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BC09" w14:textId="20DC56B9" w:rsidR="00753D8B" w:rsidRDefault="00753D8B" w:rsidP="005668D1">
      <w:pPr>
        <w:tabs>
          <w:tab w:val="left" w:pos="1766"/>
        </w:tabs>
        <w:spacing w:after="0" w:line="240" w:lineRule="auto"/>
        <w:jc w:val="center"/>
        <w:rPr>
          <w:rFonts w:ascii="Arial" w:hAnsi="Arial" w:cs="Arial"/>
          <w:noProof/>
          <w:sz w:val="20"/>
          <w:szCs w:val="20"/>
          <w:highlight w:val="yellow"/>
        </w:rPr>
      </w:pPr>
      <w:r w:rsidRPr="005668D1">
        <w:rPr>
          <w:rFonts w:ascii="Arial" w:hAnsi="Arial" w:cs="Arial"/>
          <w:noProof/>
          <w:sz w:val="20"/>
          <w:szCs w:val="20"/>
          <w:highlight w:val="yellow"/>
        </w:rPr>
        <w:t>Original Research Article</w:t>
      </w:r>
    </w:p>
    <w:p w14:paraId="20D9BF7B" w14:textId="77777777" w:rsidR="007C1F22" w:rsidRPr="005668D1" w:rsidRDefault="007C1F22" w:rsidP="005668D1">
      <w:pPr>
        <w:tabs>
          <w:tab w:val="left" w:pos="1766"/>
        </w:tabs>
        <w:spacing w:after="0" w:line="240" w:lineRule="auto"/>
        <w:jc w:val="center"/>
        <w:rPr>
          <w:rFonts w:ascii="Arial" w:hAnsi="Arial" w:cs="Arial"/>
          <w:noProof/>
          <w:sz w:val="20"/>
          <w:szCs w:val="20"/>
          <w:highlight w:val="yellow"/>
        </w:rPr>
      </w:pPr>
    </w:p>
    <w:p w14:paraId="3B5014E4" w14:textId="6FC96907" w:rsidR="00E62C6F" w:rsidRPr="00DA0E6E" w:rsidRDefault="005668D1" w:rsidP="005668D1">
      <w:pPr>
        <w:jc w:val="center"/>
        <w:rPr>
          <w:rFonts w:ascii="Times New Roman" w:hAnsi="Times New Roman" w:cs="Times New Roman"/>
          <w:sz w:val="20"/>
          <w:szCs w:val="20"/>
        </w:rPr>
      </w:pPr>
      <w:r w:rsidRPr="005668D1">
        <w:rPr>
          <w:rFonts w:ascii="Times New Roman" w:hAnsi="Times New Roman" w:cs="Times New Roman"/>
          <w:b/>
          <w:bCs/>
          <w:i/>
          <w:iCs/>
          <w:sz w:val="24"/>
          <w:szCs w:val="24"/>
          <w:highlight w:val="yellow"/>
        </w:rPr>
        <w:t>Herbal Remedy Use During Pregnancy: A Phenomenological Study in Sagnarigu Municipality, Ghana</w:t>
      </w:r>
    </w:p>
    <w:p w14:paraId="5B2E385E" w14:textId="312134B6" w:rsidR="00AA0FB4" w:rsidRPr="00E62C6F" w:rsidRDefault="004618C4" w:rsidP="00E62C6F">
      <w:pPr>
        <w:jc w:val="center"/>
        <w:rPr>
          <w:rFonts w:ascii="Times New Roman" w:hAnsi="Times New Roman" w:cs="Times New Roman"/>
          <w:b/>
          <w:bCs/>
          <w:sz w:val="20"/>
          <w:szCs w:val="20"/>
        </w:rPr>
      </w:pPr>
      <w:r w:rsidRPr="00E62C6F">
        <w:rPr>
          <w:rFonts w:ascii="Times New Roman" w:hAnsi="Times New Roman" w:cs="Times New Roman"/>
          <w:b/>
          <w:bCs/>
          <w:sz w:val="20"/>
          <w:szCs w:val="20"/>
        </w:rPr>
        <w:t>Abstrac</w:t>
      </w:r>
      <w:r w:rsidR="00AA0FB4" w:rsidRPr="00E62C6F">
        <w:rPr>
          <w:rFonts w:ascii="Times New Roman" w:hAnsi="Times New Roman" w:cs="Times New Roman"/>
          <w:b/>
          <w:bCs/>
          <w:sz w:val="20"/>
          <w:szCs w:val="20"/>
        </w:rPr>
        <w:t>t</w:t>
      </w:r>
    </w:p>
    <w:p w14:paraId="173547EA" w14:textId="55B427AF" w:rsidR="00AA0FB4" w:rsidRPr="00DA0E6E" w:rsidRDefault="00AA0FB4" w:rsidP="00DA0E6E">
      <w:pPr>
        <w:jc w:val="both"/>
        <w:rPr>
          <w:rFonts w:ascii="Times New Roman" w:hAnsi="Times New Roman" w:cs="Times New Roman"/>
          <w:sz w:val="20"/>
          <w:szCs w:val="20"/>
        </w:rPr>
      </w:pPr>
      <w:r w:rsidRPr="00CA3AF7">
        <w:rPr>
          <w:rFonts w:ascii="Times New Roman" w:hAnsi="Times New Roman" w:cs="Times New Roman"/>
          <w:i/>
          <w:iCs/>
          <w:sz w:val="20"/>
          <w:szCs w:val="20"/>
        </w:rPr>
        <w:t>Introduction:</w:t>
      </w:r>
      <w:r w:rsidRPr="00DA0E6E">
        <w:rPr>
          <w:rFonts w:ascii="Times New Roman" w:hAnsi="Times New Roman" w:cs="Times New Roman"/>
          <w:sz w:val="20"/>
          <w:szCs w:val="20"/>
        </w:rPr>
        <w:t xml:space="preserve"> The </w:t>
      </w:r>
      <w:r w:rsidRPr="005668D1">
        <w:rPr>
          <w:rFonts w:ascii="Times New Roman" w:hAnsi="Times New Roman" w:cs="Times New Roman"/>
          <w:sz w:val="20"/>
          <w:szCs w:val="20"/>
          <w:highlight w:val="yellow"/>
        </w:rPr>
        <w:t>use of herbal remedies during pregnancy remains a prevalent practice in many African communities, particularly in northern Ghana</w:t>
      </w:r>
      <w:r w:rsidR="005668D1" w:rsidRPr="005668D1">
        <w:rPr>
          <w:rFonts w:ascii="Times New Roman" w:hAnsi="Times New Roman" w:cs="Times New Roman"/>
          <w:sz w:val="20"/>
          <w:szCs w:val="20"/>
          <w:highlight w:val="yellow"/>
        </w:rPr>
        <w:t>,</w:t>
      </w:r>
      <w:r w:rsidRPr="005668D1">
        <w:rPr>
          <w:rFonts w:ascii="Times New Roman" w:hAnsi="Times New Roman" w:cs="Times New Roman"/>
          <w:sz w:val="20"/>
          <w:szCs w:val="20"/>
          <w:highlight w:val="yellow"/>
        </w:rPr>
        <w:t xml:space="preserve"> where cultural</w:t>
      </w:r>
      <w:r w:rsidRPr="00DA0E6E">
        <w:rPr>
          <w:rFonts w:ascii="Times New Roman" w:hAnsi="Times New Roman" w:cs="Times New Roman"/>
          <w:sz w:val="20"/>
          <w:szCs w:val="20"/>
        </w:rPr>
        <w:t xml:space="preserve"> traditions strongly influence healthcare decisions. Despite its widespread use, limited qualitative research exists on women's lived experiences with herbal medicine during pregnancy.  </w:t>
      </w:r>
    </w:p>
    <w:p w14:paraId="1D4C71A1" w14:textId="5BFFC19D" w:rsidR="00AA0FB4" w:rsidRPr="00DA0E6E" w:rsidRDefault="00AA0FB4" w:rsidP="00DA0E6E">
      <w:pPr>
        <w:jc w:val="both"/>
        <w:rPr>
          <w:rFonts w:ascii="Times New Roman" w:hAnsi="Times New Roman" w:cs="Times New Roman"/>
          <w:sz w:val="20"/>
          <w:szCs w:val="20"/>
        </w:rPr>
      </w:pPr>
      <w:r w:rsidRPr="00A9366B">
        <w:rPr>
          <w:rFonts w:ascii="Times New Roman" w:hAnsi="Times New Roman" w:cs="Times New Roman"/>
          <w:i/>
          <w:iCs/>
          <w:sz w:val="20"/>
          <w:szCs w:val="20"/>
        </w:rPr>
        <w:t>Aim:</w:t>
      </w:r>
      <w:r w:rsidRPr="00DA0E6E">
        <w:rPr>
          <w:rFonts w:ascii="Times New Roman" w:hAnsi="Times New Roman" w:cs="Times New Roman"/>
          <w:sz w:val="20"/>
          <w:szCs w:val="20"/>
        </w:rPr>
        <w:t xml:space="preserve"> </w:t>
      </w:r>
      <w:r w:rsidRPr="005668D1">
        <w:rPr>
          <w:rFonts w:ascii="Times New Roman" w:hAnsi="Times New Roman" w:cs="Times New Roman"/>
          <w:color w:val="FF0000"/>
          <w:sz w:val="20"/>
          <w:szCs w:val="20"/>
          <w:highlight w:val="yellow"/>
        </w:rPr>
        <w:t xml:space="preserve">This study </w:t>
      </w:r>
      <w:r w:rsidR="005668D1" w:rsidRPr="005668D1">
        <w:rPr>
          <w:rFonts w:ascii="Times New Roman" w:hAnsi="Times New Roman" w:cs="Times New Roman"/>
          <w:color w:val="FF0000"/>
          <w:sz w:val="20"/>
          <w:szCs w:val="20"/>
          <w:highlight w:val="yellow"/>
        </w:rPr>
        <w:t>explored</w:t>
      </w:r>
      <w:r w:rsidRPr="005668D1">
        <w:rPr>
          <w:rFonts w:ascii="Times New Roman" w:hAnsi="Times New Roman" w:cs="Times New Roman"/>
          <w:color w:val="FF0000"/>
          <w:sz w:val="20"/>
          <w:szCs w:val="20"/>
          <w:highlight w:val="yellow"/>
        </w:rPr>
        <w:t xml:space="preserve"> the</w:t>
      </w:r>
      <w:r w:rsidRPr="00DA0E6E">
        <w:rPr>
          <w:rFonts w:ascii="Times New Roman" w:hAnsi="Times New Roman" w:cs="Times New Roman"/>
          <w:sz w:val="20"/>
          <w:szCs w:val="20"/>
        </w:rPr>
        <w:t xml:space="preserve"> motivations, perceptions, and decision-making processes of pregnant women using herbal remedies in Sagnarigu Municipality, Ghana.  </w:t>
      </w:r>
    </w:p>
    <w:p w14:paraId="324A07E1" w14:textId="6E0D208A" w:rsidR="00AA0FB4" w:rsidRPr="00DA0E6E" w:rsidRDefault="00AA0FB4" w:rsidP="00DA0E6E">
      <w:pPr>
        <w:jc w:val="both"/>
        <w:rPr>
          <w:rFonts w:ascii="Times New Roman" w:hAnsi="Times New Roman" w:cs="Times New Roman"/>
          <w:sz w:val="20"/>
          <w:szCs w:val="20"/>
        </w:rPr>
      </w:pPr>
      <w:r w:rsidRPr="00A9366B">
        <w:rPr>
          <w:rFonts w:ascii="Times New Roman" w:hAnsi="Times New Roman" w:cs="Times New Roman"/>
          <w:i/>
          <w:iCs/>
          <w:sz w:val="20"/>
          <w:szCs w:val="20"/>
        </w:rPr>
        <w:t>Methods:</w:t>
      </w:r>
      <w:r w:rsidRPr="00DA0E6E">
        <w:rPr>
          <w:rFonts w:ascii="Times New Roman" w:hAnsi="Times New Roman" w:cs="Times New Roman"/>
          <w:sz w:val="20"/>
          <w:szCs w:val="20"/>
        </w:rPr>
        <w:t xml:space="preserve"> A qualitative phenomenological design was employed, with data collected through in-depth interviews with nine pregnant women selected via purposive and snowball sampling. Thematic analysis was conducted following Braun and Clarke's framework to identify key patterns and themes.  </w:t>
      </w:r>
    </w:p>
    <w:p w14:paraId="5BE5C718" w14:textId="0E03CC9D" w:rsidR="00875E26" w:rsidRPr="00875E26" w:rsidRDefault="00AA0FB4" w:rsidP="00DA0E6E">
      <w:pPr>
        <w:jc w:val="both"/>
        <w:rPr>
          <w:rFonts w:ascii="Times New Roman" w:hAnsi="Times New Roman" w:cs="Times New Roman"/>
          <w:sz w:val="20"/>
          <w:szCs w:val="20"/>
        </w:rPr>
      </w:pPr>
      <w:r w:rsidRPr="00A9366B">
        <w:rPr>
          <w:rFonts w:ascii="Times New Roman" w:hAnsi="Times New Roman" w:cs="Times New Roman"/>
          <w:i/>
          <w:iCs/>
          <w:sz w:val="20"/>
          <w:szCs w:val="20"/>
        </w:rPr>
        <w:t>Results:</w:t>
      </w:r>
      <w:r w:rsidRPr="00DA0E6E">
        <w:rPr>
          <w:rFonts w:ascii="Times New Roman" w:hAnsi="Times New Roman" w:cs="Times New Roman"/>
          <w:sz w:val="20"/>
          <w:szCs w:val="20"/>
        </w:rPr>
        <w:t xml:space="preserve"> Participants (aged 20-38) represented diverse educational and occupational backgrounds. </w:t>
      </w:r>
      <w:r w:rsidR="00871384">
        <w:rPr>
          <w:rFonts w:ascii="Times New Roman" w:hAnsi="Times New Roman" w:cs="Times New Roman"/>
          <w:sz w:val="20"/>
          <w:szCs w:val="20"/>
        </w:rPr>
        <w:t xml:space="preserve">The </w:t>
      </w:r>
      <w:r w:rsidR="00875E26" w:rsidRPr="00DA0E6E">
        <w:rPr>
          <w:rFonts w:ascii="Times New Roman" w:hAnsi="Times New Roman" w:cs="Times New Roman"/>
          <w:sz w:val="20"/>
          <w:szCs w:val="20"/>
        </w:rPr>
        <w:t xml:space="preserve">study participants comprised pregnant </w:t>
      </w:r>
      <w:r w:rsidR="00875E26" w:rsidRPr="00871384">
        <w:rPr>
          <w:rFonts w:ascii="Times New Roman" w:hAnsi="Times New Roman" w:cs="Times New Roman"/>
          <w:sz w:val="20"/>
          <w:szCs w:val="20"/>
          <w:highlight w:val="yellow"/>
        </w:rPr>
        <w:t>women aged 20-38 years with diverse educational backgrounds and occupations</w:t>
      </w:r>
      <w:r w:rsidR="00871384" w:rsidRPr="00871384">
        <w:rPr>
          <w:rFonts w:ascii="Times New Roman" w:hAnsi="Times New Roman" w:cs="Times New Roman"/>
          <w:sz w:val="20"/>
          <w:szCs w:val="20"/>
          <w:highlight w:val="yellow"/>
        </w:rPr>
        <w:t>,</w:t>
      </w:r>
      <w:r w:rsidR="00875E26" w:rsidRPr="00871384">
        <w:rPr>
          <w:rFonts w:ascii="Times New Roman" w:hAnsi="Times New Roman" w:cs="Times New Roman"/>
          <w:sz w:val="20"/>
          <w:szCs w:val="20"/>
          <w:highlight w:val="yellow"/>
        </w:rPr>
        <w:t xml:space="preserve"> including farmers, traders, seamstresses, and healthcare workers.</w:t>
      </w:r>
      <w:r w:rsidR="00875E26" w:rsidRPr="00DA0E6E">
        <w:rPr>
          <w:rFonts w:ascii="Times New Roman" w:hAnsi="Times New Roman" w:cs="Times New Roman"/>
          <w:sz w:val="20"/>
          <w:szCs w:val="20"/>
        </w:rPr>
        <w:t xml:space="preserve"> Most participants were Muslim. Commonly used herbal remedies included neem leaf decoctions, bitter leaf extracts, guava leaf tea, and traditional herbal mixtures prepared by healers.</w:t>
      </w:r>
      <w:r w:rsidR="00E62C6F">
        <w:rPr>
          <w:rFonts w:ascii="Times New Roman" w:hAnsi="Times New Roman" w:cs="Times New Roman"/>
          <w:sz w:val="20"/>
          <w:szCs w:val="20"/>
        </w:rPr>
        <w:t xml:space="preserve"> </w:t>
      </w:r>
      <w:r w:rsidR="00875E26" w:rsidRPr="00875E26">
        <w:rPr>
          <w:rFonts w:ascii="Times New Roman" w:hAnsi="Times New Roman" w:cs="Times New Roman"/>
          <w:sz w:val="20"/>
          <w:szCs w:val="20"/>
        </w:rPr>
        <w:t xml:space="preserve">Four key themes emerged from the analysis: First, participants strongly emphasized </w:t>
      </w:r>
      <w:r w:rsidR="00AA049C">
        <w:rPr>
          <w:rFonts w:ascii="Times New Roman" w:hAnsi="Times New Roman" w:cs="Times New Roman"/>
          <w:sz w:val="20"/>
          <w:szCs w:val="20"/>
        </w:rPr>
        <w:t>herbal use's cultural and spiritual significance</w:t>
      </w:r>
      <w:r w:rsidR="00875E26" w:rsidRPr="00875E26">
        <w:rPr>
          <w:rFonts w:ascii="Times New Roman" w:hAnsi="Times New Roman" w:cs="Times New Roman"/>
          <w:sz w:val="20"/>
          <w:szCs w:val="20"/>
        </w:rPr>
        <w:t>, describing it as both a health practice and cultural obligation typically initiated by female elders. Second, women consistently reported perceived benefits, particularly for enhancing energy and preventing pregnancy complications. Third, knowledge about herbal remedies was primarily acquired through intergenerational transmission from mothers and grandmothers, though some women also consulted traditional healers. Fourth, while some participants experienced mild adverse effects like dizziness, most continued using herbs alongside antenatal care without disclosing this to healthcare providers.</w:t>
      </w:r>
    </w:p>
    <w:p w14:paraId="0CE29CBE" w14:textId="756D0FAF" w:rsidR="00AA0FB4" w:rsidRPr="00DA0E6E" w:rsidRDefault="00AA0FB4" w:rsidP="00DA0E6E">
      <w:pPr>
        <w:jc w:val="both"/>
        <w:rPr>
          <w:rFonts w:ascii="Times New Roman" w:hAnsi="Times New Roman" w:cs="Times New Roman"/>
          <w:sz w:val="20"/>
          <w:szCs w:val="20"/>
        </w:rPr>
      </w:pPr>
      <w:r w:rsidRPr="00AA049C">
        <w:rPr>
          <w:rFonts w:ascii="Times New Roman" w:hAnsi="Times New Roman" w:cs="Times New Roman"/>
          <w:i/>
          <w:iCs/>
          <w:sz w:val="20"/>
          <w:szCs w:val="20"/>
        </w:rPr>
        <w:t>Conclusion:</w:t>
      </w:r>
      <w:r w:rsidRPr="00DA0E6E">
        <w:rPr>
          <w:rFonts w:ascii="Times New Roman" w:hAnsi="Times New Roman" w:cs="Times New Roman"/>
          <w:sz w:val="20"/>
          <w:szCs w:val="20"/>
        </w:rPr>
        <w:t xml:space="preserve"> Herbal remedy use in pregnancy is deeply embedded in cultural identity and community practices in Sagnarigu. The findings highlight the need for healthcare systems to develop culturally sensitive approaches that acknowledge traditional practices while promoting safe, integrated maternal care.  </w:t>
      </w:r>
    </w:p>
    <w:p w14:paraId="0A2A9130" w14:textId="1374162E" w:rsidR="00D13D50" w:rsidRPr="00E62C6F" w:rsidRDefault="00AA0FB4" w:rsidP="00DA0E6E">
      <w:pPr>
        <w:jc w:val="both"/>
        <w:rPr>
          <w:rFonts w:ascii="Times New Roman" w:hAnsi="Times New Roman" w:cs="Times New Roman"/>
          <w:i/>
          <w:iCs/>
          <w:sz w:val="20"/>
          <w:szCs w:val="20"/>
        </w:rPr>
      </w:pPr>
      <w:r w:rsidRPr="00DA0E6E">
        <w:rPr>
          <w:rFonts w:ascii="Times New Roman" w:hAnsi="Times New Roman" w:cs="Times New Roman"/>
          <w:sz w:val="20"/>
          <w:szCs w:val="20"/>
        </w:rPr>
        <w:t xml:space="preserve">Keywords: </w:t>
      </w:r>
      <w:r w:rsidRPr="00E62C6F">
        <w:rPr>
          <w:rFonts w:ascii="Times New Roman" w:hAnsi="Times New Roman" w:cs="Times New Roman"/>
          <w:i/>
          <w:iCs/>
          <w:sz w:val="20"/>
          <w:szCs w:val="20"/>
        </w:rPr>
        <w:t>herbal medicine, pregnancy, maternal health, traditional medicine, cultural practices</w:t>
      </w:r>
    </w:p>
    <w:p w14:paraId="49583054" w14:textId="349E00A3" w:rsidR="004618C4" w:rsidRDefault="00E62C6F" w:rsidP="00DA0E6E">
      <w:pPr>
        <w:jc w:val="both"/>
        <w:rPr>
          <w:rFonts w:ascii="Times New Roman" w:hAnsi="Times New Roman" w:cs="Times New Roman"/>
          <w:i/>
          <w:iCs/>
          <w:sz w:val="20"/>
          <w:szCs w:val="20"/>
        </w:rPr>
      </w:pPr>
      <w:r>
        <w:rPr>
          <w:rFonts w:ascii="Times New Roman" w:hAnsi="Times New Roman" w:cs="Times New Roman"/>
          <w:i/>
          <w:iCs/>
          <w:sz w:val="20"/>
          <w:szCs w:val="20"/>
        </w:rPr>
        <w:t xml:space="preserve">    </w:t>
      </w:r>
    </w:p>
    <w:p w14:paraId="4D3BE2B3" w14:textId="77777777" w:rsidR="00E62C6F" w:rsidRDefault="00E62C6F" w:rsidP="00DA0E6E">
      <w:pPr>
        <w:jc w:val="both"/>
        <w:rPr>
          <w:rFonts w:ascii="Times New Roman" w:hAnsi="Times New Roman" w:cs="Times New Roman"/>
          <w:i/>
          <w:iCs/>
          <w:sz w:val="20"/>
          <w:szCs w:val="20"/>
        </w:rPr>
      </w:pPr>
    </w:p>
    <w:p w14:paraId="1E0DAE36" w14:textId="77777777" w:rsidR="00753D8B" w:rsidRDefault="00753D8B" w:rsidP="00DA0E6E">
      <w:pPr>
        <w:jc w:val="both"/>
        <w:rPr>
          <w:rFonts w:ascii="Times New Roman" w:hAnsi="Times New Roman" w:cs="Times New Roman"/>
          <w:i/>
          <w:iCs/>
          <w:sz w:val="20"/>
          <w:szCs w:val="20"/>
        </w:rPr>
      </w:pPr>
    </w:p>
    <w:p w14:paraId="0D2479AF" w14:textId="77777777" w:rsidR="00753D8B" w:rsidRDefault="00753D8B" w:rsidP="00DA0E6E">
      <w:pPr>
        <w:jc w:val="both"/>
        <w:rPr>
          <w:rFonts w:ascii="Times New Roman" w:hAnsi="Times New Roman" w:cs="Times New Roman"/>
          <w:i/>
          <w:iCs/>
          <w:sz w:val="20"/>
          <w:szCs w:val="20"/>
        </w:rPr>
      </w:pPr>
    </w:p>
    <w:p w14:paraId="48CE3690" w14:textId="77777777" w:rsidR="00753D8B" w:rsidRDefault="00753D8B" w:rsidP="00DA0E6E">
      <w:pPr>
        <w:jc w:val="both"/>
        <w:rPr>
          <w:rFonts w:ascii="Times New Roman" w:hAnsi="Times New Roman" w:cs="Times New Roman"/>
          <w:i/>
          <w:iCs/>
          <w:sz w:val="20"/>
          <w:szCs w:val="20"/>
        </w:rPr>
      </w:pPr>
    </w:p>
    <w:p w14:paraId="441F4C4E" w14:textId="77777777" w:rsidR="00753D8B" w:rsidRDefault="00753D8B" w:rsidP="00DA0E6E">
      <w:pPr>
        <w:jc w:val="both"/>
        <w:rPr>
          <w:rFonts w:ascii="Times New Roman" w:hAnsi="Times New Roman" w:cs="Times New Roman"/>
          <w:i/>
          <w:iCs/>
          <w:sz w:val="20"/>
          <w:szCs w:val="20"/>
        </w:rPr>
      </w:pPr>
    </w:p>
    <w:p w14:paraId="65394639" w14:textId="77777777" w:rsidR="00753D8B" w:rsidRDefault="00753D8B" w:rsidP="00DA0E6E">
      <w:pPr>
        <w:jc w:val="both"/>
        <w:rPr>
          <w:rFonts w:ascii="Times New Roman" w:hAnsi="Times New Roman" w:cs="Times New Roman"/>
          <w:i/>
          <w:iCs/>
          <w:sz w:val="20"/>
          <w:szCs w:val="20"/>
        </w:rPr>
      </w:pPr>
    </w:p>
    <w:p w14:paraId="1CB28788" w14:textId="77777777" w:rsidR="00753D8B" w:rsidRDefault="00753D8B" w:rsidP="00DA0E6E">
      <w:pPr>
        <w:jc w:val="both"/>
        <w:rPr>
          <w:rFonts w:ascii="Times New Roman" w:hAnsi="Times New Roman" w:cs="Times New Roman"/>
          <w:i/>
          <w:iCs/>
          <w:sz w:val="20"/>
          <w:szCs w:val="20"/>
        </w:rPr>
      </w:pPr>
    </w:p>
    <w:p w14:paraId="710A0FDA" w14:textId="77777777" w:rsidR="00753D8B" w:rsidRDefault="00753D8B" w:rsidP="00DA0E6E">
      <w:pPr>
        <w:jc w:val="both"/>
        <w:rPr>
          <w:rFonts w:ascii="Times New Roman" w:hAnsi="Times New Roman" w:cs="Times New Roman"/>
          <w:i/>
          <w:iCs/>
          <w:sz w:val="20"/>
          <w:szCs w:val="20"/>
        </w:rPr>
      </w:pPr>
    </w:p>
    <w:p w14:paraId="6780F911" w14:textId="61E58BEB" w:rsidR="00BB2896" w:rsidRPr="00E62C6F" w:rsidRDefault="00BB2896" w:rsidP="00DA0E6E">
      <w:pPr>
        <w:jc w:val="both"/>
        <w:rPr>
          <w:rFonts w:ascii="Times New Roman" w:hAnsi="Times New Roman" w:cs="Times New Roman"/>
          <w:b/>
          <w:bCs/>
          <w:sz w:val="20"/>
          <w:szCs w:val="20"/>
        </w:rPr>
      </w:pPr>
      <w:r w:rsidRPr="00E62C6F">
        <w:rPr>
          <w:rFonts w:ascii="Times New Roman" w:hAnsi="Times New Roman" w:cs="Times New Roman"/>
          <w:b/>
          <w:bCs/>
          <w:sz w:val="20"/>
          <w:szCs w:val="20"/>
        </w:rPr>
        <w:t xml:space="preserve">Introduction </w:t>
      </w:r>
    </w:p>
    <w:p w14:paraId="62940E85" w14:textId="57C3F8AD"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lastRenderedPageBreak/>
        <w:t xml:space="preserve">The use of herbal remedies during pregnancy is a widespread global phenomenon, deeply embedded in cultural traditions and often perceived as a natural, accessible, and culturally congruent form of healthcare </w:t>
      </w:r>
      <w:r w:rsidRPr="00DA0E6E">
        <w:rPr>
          <w:rFonts w:ascii="Times New Roman" w:hAnsi="Times New Roman" w:cs="Times New Roman"/>
          <w:sz w:val="20"/>
          <w:szCs w:val="20"/>
        </w:rPr>
        <w:fldChar w:fldCharType="begin"/>
      </w:r>
      <w:r w:rsidR="0054011C" w:rsidRPr="00DA0E6E">
        <w:rPr>
          <w:rFonts w:ascii="Times New Roman" w:hAnsi="Times New Roman" w:cs="Times New Roman"/>
          <w:sz w:val="20"/>
          <w:szCs w:val="20"/>
        </w:rPr>
        <w:instrText xml:space="preserve"> ADDIN ZOTERO_ITEM CSL_CITATION {"citationID":"lb96t4I0","properties":{"formattedCitation":"(1,2)","plainCitation":"(1,2)","noteIndex":0},"citationItems":[{"id":4912,"uris":["http://zotero.org/users/15244130/items/WZGD8K4A"],"itemData":{"id":4912,"type":"webpage","abstract":"The WHO Traditional Medicine Strategy 2014–2023 was developed and launched in response to the World Health Assembly resolution on traditional medicine (WHA62.13). The strategy aims to support Member States in developing proactive policies and implementing action plans that will strengthen the role traditional medicine plays in keeping populations healthy.","language":"en","title":"WHO traditional medicine strategy: 2014-2023","title-short":"WHO traditional medicine strategy","URL":"https://www.who.int/publications/i/item/9789241506096","author":[{"literal":"World Health Organisation"}],"accessed":{"date-parts":[["2025",4,20]]},"issued":{"date-parts":[["2013"]]}}},{"id":4908,"uris":["http://zotero.org/users/15244130/items/CKAUHF8Y"],"itemData":{"id":4908,"type":"webpage","abstract":"Traditional and complementary medicine (T&amp;CM) is an important and often underestimated health resource with many applications, especially in the prevention and management of lifestyle-related chronic diseases, and in meeting the health needs of ageing populations. Many countries are seeking to expand coverage of essential health services at a time when consumer expectations for care are rising, costs are soaring, and most budgets are either stagnant or being reduced. Given the unique health challenges of the 21st century, interest in T&amp;CM is undergoing a revival. Monitoring health trends is a core function of the World Health Organization (WHO) and is key to supporting countries in generating evidence-based policies and strategic plans.","language":"en","title":"WHO global report on traditional and complementary medicine 2019","URL":"https://www.who.int/publications/i/item/978924151536","author":[{"literal":"World Health Organisation"}],"accessed":{"date-parts":[["2025",4,20]]},"issued":{"date-parts":[["2019"]]}}}],"schema":"https://github.com/citation-style-language/schema/raw/master/csl-citation.json"} </w:instrText>
      </w:r>
      <w:r w:rsidRPr="00DA0E6E">
        <w:rPr>
          <w:rFonts w:ascii="Times New Roman" w:hAnsi="Times New Roman" w:cs="Times New Roman"/>
          <w:sz w:val="20"/>
          <w:szCs w:val="20"/>
        </w:rPr>
        <w:fldChar w:fldCharType="separate"/>
      </w:r>
      <w:r w:rsidR="0054011C" w:rsidRPr="00DA0E6E">
        <w:rPr>
          <w:rFonts w:ascii="Times New Roman" w:hAnsi="Times New Roman" w:cs="Times New Roman"/>
          <w:sz w:val="20"/>
          <w:szCs w:val="20"/>
        </w:rPr>
        <w:t>(1,2)</w:t>
      </w:r>
      <w:r w:rsidRPr="00DA0E6E">
        <w:rPr>
          <w:rFonts w:ascii="Times New Roman" w:hAnsi="Times New Roman" w:cs="Times New Roman"/>
          <w:sz w:val="20"/>
          <w:szCs w:val="20"/>
        </w:rPr>
        <w:fldChar w:fldCharType="end"/>
      </w:r>
      <w:r w:rsidRPr="00A150E7">
        <w:rPr>
          <w:rFonts w:ascii="Times New Roman" w:hAnsi="Times New Roman" w:cs="Times New Roman"/>
          <w:sz w:val="20"/>
          <w:szCs w:val="20"/>
        </w:rPr>
        <w:t xml:space="preserve">. Approximately 80% of the world's population relies on traditional medicine, including herbal remedies, for primary healthcare needs, with higher prevalence in low- and middle-income countries where access to conventional healthcare is limited </w:t>
      </w:r>
      <w:r w:rsidR="0054011C" w:rsidRPr="00A150E7">
        <w:rPr>
          <w:rFonts w:ascii="Times New Roman" w:hAnsi="Times New Roman" w:cs="Times New Roman"/>
          <w:sz w:val="20"/>
          <w:szCs w:val="20"/>
        </w:rPr>
        <w:t xml:space="preserve"> </w:t>
      </w:r>
      <w:r w:rsidR="0054011C" w:rsidRPr="00DA0E6E">
        <w:rPr>
          <w:rFonts w:ascii="Times New Roman" w:hAnsi="Times New Roman" w:cs="Times New Roman"/>
          <w:sz w:val="20"/>
          <w:szCs w:val="20"/>
        </w:rPr>
        <w:fldChar w:fldCharType="begin"/>
      </w:r>
      <w:r w:rsidR="00C3174F" w:rsidRPr="00DA0E6E">
        <w:rPr>
          <w:rFonts w:ascii="Times New Roman" w:hAnsi="Times New Roman" w:cs="Times New Roman"/>
          <w:sz w:val="20"/>
          <w:szCs w:val="20"/>
        </w:rPr>
        <w:instrText xml:space="preserve"> ADDIN ZOTERO_ITEM CSL_CITATION {"citationID":"8d3lMYxU","properties":{"formattedCitation":"(1\\uc0\\u8211{}3)","plainCitation":"(1–3)","noteIndex":0},"citationItems":[{"id":4912,"uris":["http://zotero.org/users/15244130/items/WZGD8K4A"],"itemData":{"id":4912,"type":"webpage","abstract":"The WHO Traditional Medicine Strategy 2014–2023 was developed and launched in response to the World Health Assembly resolution on traditional medicine (WHA62.13). The strategy aims to support Member States in developing proactive policies and implementing action plans that will strengthen the role traditional medicine plays in keeping populations healthy.","language":"en","title":"WHO traditional medicine strategy: 2014-2023","title-short":"WHO traditional medicine strategy","URL":"https://www.who.int/publications/i/item/9789241506096","author":[{"literal":"World Health Organisation"}],"accessed":{"date-parts":[["2025",4,20]]},"issued":{"date-parts":[["2013"]]}}},{"id":4908,"uris":["http://zotero.org/users/15244130/items/CKAUHF8Y"],"itemData":{"id":4908,"type":"webpage","abstract":"Traditional and complementary medicine (T&amp;CM) is an important and often underestimated health resource with many applications, especially in the prevention and management of lifestyle-related chronic diseases, and in meeting the health needs of ageing populations. Many countries are seeking to expand coverage of essential health services at a time when consumer expectations for care are rising, costs are soaring, and most budgets are either stagnant or being reduced. Given the unique health challenges of the 21st century, interest in T&amp;CM is undergoing a revival. Monitoring health trends is a core function of the World Health Organization (WHO) and is key to supporting countries in generating evidence-based policies and strategic plans.","language":"en","title":"WHO global report on traditional and complementary medicine 2019","URL":"https://www.who.int/publications/i/item/978924151536","author":[{"literal":"World Health Organisation"}],"accessed":{"date-parts":[["2025",4,20]]},"issued":{"date-parts":[["2019"]]}}},{"id":4891,"uris":["http://zotero.org/users/15244130/items/3AGWICZW"],"itemData":{"id":4891,"type":"article-journal","abstract":"The use of herbal medicinal products and supplements has increased tremendously over the past three decades with not less than 80% of people worldwide relying on them for some part of primary healthcare. Although therapies involving these agents have shown promising potential with the efficacy of a good number of herbal products clearly established, many of them remain untested and their use are either poorly monitored or not even monitored at all. The consequence of this is an inadequate knowledge of their mode of action, potential adverse reactions, contraindications, and interactions with existing orthodox pharmaceuticals and functional foods to promote both safe and rational use of these agents. Since safety continues to be a major issue with the use of herbal remedies, it becomes imperative, therefore, that relevant regulatory authorities put in place appropriate measures to protect public health by ensuring that all herbal medicines are safe and of suitable quality. This review discusses toxicity-related issues and major safety concerns arising from the use of herbal medicinal products and also highlights some important challenges associated with effective monitoring of their safety.","container-title":"Frontiers in Pharmacology","DOI":"10.3389/fphar.2013.00177","ISSN":"1663-9812","journalAbbreviation":"Front Pharmacol","language":"eng","note":"PMID: 24454289\nPMCID: PMC3887317","page":"177","source":"PubMed","title":"The growing use of herbal medicines: issues relating to adverse reactions and challenges in monitoring safety","title-short":"The growing use of herbal medicines","volume":"4","author":[{"family":"Ekor","given":"Martins"}],"issued":{"date-parts":[["2014",1,10]]}}}],"schema":"https://github.com/citation-style-language/schema/raw/master/csl-citation.json"} </w:instrText>
      </w:r>
      <w:r w:rsidR="0054011C" w:rsidRPr="00DA0E6E">
        <w:rPr>
          <w:rFonts w:ascii="Times New Roman" w:hAnsi="Times New Roman" w:cs="Times New Roman"/>
          <w:sz w:val="20"/>
          <w:szCs w:val="20"/>
        </w:rPr>
        <w:fldChar w:fldCharType="separate"/>
      </w:r>
      <w:r w:rsidR="00C3174F" w:rsidRPr="00DA0E6E">
        <w:rPr>
          <w:rFonts w:ascii="Times New Roman" w:hAnsi="Times New Roman" w:cs="Times New Roman"/>
          <w:kern w:val="0"/>
          <w:sz w:val="20"/>
          <w:szCs w:val="20"/>
        </w:rPr>
        <w:t>(1–3)</w:t>
      </w:r>
      <w:r w:rsidR="0054011C" w:rsidRPr="00DA0E6E">
        <w:rPr>
          <w:rFonts w:ascii="Times New Roman" w:hAnsi="Times New Roman" w:cs="Times New Roman"/>
          <w:sz w:val="20"/>
          <w:szCs w:val="20"/>
        </w:rPr>
        <w:fldChar w:fldCharType="end"/>
      </w:r>
      <w:r w:rsidR="0054011C" w:rsidRPr="00A150E7">
        <w:rPr>
          <w:rFonts w:ascii="Times New Roman" w:hAnsi="Times New Roman" w:cs="Times New Roman"/>
          <w:sz w:val="20"/>
          <w:szCs w:val="20"/>
        </w:rPr>
        <w:t xml:space="preserve">. </w:t>
      </w:r>
      <w:r w:rsidRPr="00A150E7">
        <w:rPr>
          <w:rFonts w:ascii="Times New Roman" w:hAnsi="Times New Roman" w:cs="Times New Roman"/>
          <w:sz w:val="20"/>
          <w:szCs w:val="20"/>
        </w:rPr>
        <w:t xml:space="preserve"> In many cultures, herbal medicine is not merely an alternative but an integral part of maternal healthcare, passed down through generations and often perceived as safer than pharmaceutical interventions (Adams et al., 2022). However, concerns persist regarding potential herb-drug interactions, lack of standardization, and possible adverse effects during pregnancy, which remain under-researched in many regions </w:t>
      </w:r>
      <w:r w:rsidR="00C3174F" w:rsidRPr="00DA0E6E">
        <w:rPr>
          <w:rFonts w:ascii="Times New Roman" w:hAnsi="Times New Roman" w:cs="Times New Roman"/>
          <w:sz w:val="20"/>
          <w:szCs w:val="20"/>
        </w:rPr>
        <w:fldChar w:fldCharType="begin"/>
      </w:r>
      <w:r w:rsidR="00147468" w:rsidRPr="00DA0E6E">
        <w:rPr>
          <w:rFonts w:ascii="Times New Roman" w:hAnsi="Times New Roman" w:cs="Times New Roman"/>
          <w:sz w:val="20"/>
          <w:szCs w:val="20"/>
        </w:rPr>
        <w:instrText xml:space="preserve"> ADDIN ZOTERO_ITEM CSL_CITATION {"citationID":"x70MMlUu","properties":{"formattedCitation":"(4)","plainCitation":"(4)","noteIndex":0},"citationItems":[{"id":321,"uris":["http://zotero.org/users/15244130/items/2LTRIB4R"],"itemData":{"id":321,"type":"article-journal","container-title":"BMC complementary and alternative medicine","ISSN":"1472-6882","issue":"1","note":"publisher: Springer","page":"355","title":"Herbal medicine use in pregnancy: results of a multinational study","volume":"13","author":[{"family":"Kennedy","given":"Deborah A"},{"family":"Lupattelli","given":"Angela"},{"family":"Koren","given":"Gideon"},{"family":"Nordeng","given":"Hedvig"}],"issued":{"date-parts":[["2013"]]}}}],"schema":"https://github.com/citation-style-language/schema/raw/master/csl-citation.json"} </w:instrText>
      </w:r>
      <w:r w:rsidR="00C3174F" w:rsidRPr="00DA0E6E">
        <w:rPr>
          <w:rFonts w:ascii="Times New Roman" w:hAnsi="Times New Roman" w:cs="Times New Roman"/>
          <w:sz w:val="20"/>
          <w:szCs w:val="20"/>
        </w:rPr>
        <w:fldChar w:fldCharType="separate"/>
      </w:r>
      <w:r w:rsidR="00147468" w:rsidRPr="00DA0E6E">
        <w:rPr>
          <w:rFonts w:ascii="Times New Roman" w:hAnsi="Times New Roman" w:cs="Times New Roman"/>
          <w:sz w:val="20"/>
          <w:szCs w:val="20"/>
        </w:rPr>
        <w:t>(4)</w:t>
      </w:r>
      <w:r w:rsidR="00C3174F" w:rsidRPr="00DA0E6E">
        <w:rPr>
          <w:rFonts w:ascii="Times New Roman" w:hAnsi="Times New Roman" w:cs="Times New Roman"/>
          <w:sz w:val="20"/>
          <w:szCs w:val="20"/>
        </w:rPr>
        <w:fldChar w:fldCharType="end"/>
      </w:r>
      <w:r w:rsidR="00147468" w:rsidRPr="00DA0E6E">
        <w:rPr>
          <w:rFonts w:ascii="Times New Roman" w:hAnsi="Times New Roman" w:cs="Times New Roman"/>
          <w:sz w:val="20"/>
          <w:szCs w:val="20"/>
        </w:rPr>
        <w:t>.</w:t>
      </w:r>
    </w:p>
    <w:p w14:paraId="64FDFA1A" w14:textId="7C8FC1C2"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t xml:space="preserve">In sub-Saharan Africa, herbal medicine use during pregnancy is exceptionally high, with studies reporting rates between 60% and 80% </w:t>
      </w:r>
      <w:r w:rsidR="00147468" w:rsidRPr="00DA0E6E">
        <w:rPr>
          <w:rFonts w:ascii="Times New Roman" w:hAnsi="Times New Roman" w:cs="Times New Roman"/>
          <w:sz w:val="20"/>
          <w:szCs w:val="20"/>
        </w:rPr>
        <w:fldChar w:fldCharType="begin"/>
      </w:r>
      <w:r w:rsidR="00147468" w:rsidRPr="00DA0E6E">
        <w:rPr>
          <w:rFonts w:ascii="Times New Roman" w:hAnsi="Times New Roman" w:cs="Times New Roman"/>
          <w:sz w:val="20"/>
          <w:szCs w:val="20"/>
        </w:rPr>
        <w:instrText xml:space="preserve"> ADDIN ZOTERO_ITEM CSL_CITATION {"citationID":"PRZXWUab","properties":{"formattedCitation":"(5,6)","plainCitation":"(5,6)","noteIndex":0},"citationItems":[{"id":312,"uris":["http://zotero.org/users/15244130/items/GXK3Y5SG"],"itemData":{"id":312,"type":"article-journal","container-title":"BMC complementary and alternative medicine","ISSN":"1472-6882","issue":"1","note":"publisher: BioMed Central","page":"1-12","title":"‘We are nothing without herbs’: a story of herbal remedies use during pregnancy in rural Ghana","volume":"19","author":[{"family":"Peprah","given":"Prince"},{"family":"Agyemang-Duah","given":"Williams"},{"family":"Arthur-Holmes","given":"Francis"},{"family":"Budu","given":"Hayford Isaac"},{"family":"Abalo","given":"Emmanuel Mawuli"},{"family":"Okwei","given":"Reforce"},{"family":"Nyonyo","given":"Julius"}],"issued":{"date-parts":[["2019"]]}}},{"id":4856,"uris":["http://zotero.org/users/15244130/items/K69H8FZ8"],"itemData":{"id":4856,"type":"article-journal","abstract":"Background\nThere is a paucity of literature describing traditional health practices and beliefs of African women. The purpose of this study was to undertake a systematic review of the use of traditional medicine (TM) to address maternal and reproductive health complaints and wellbeing by African women in Africa and the diaspora.\n\nMethod\nA literature search of published articles, grey literature and unpublished studies was conducted using eight medical and social science databases (CINAHL, EMBASE, Infomit, Ovid Medline, ProQuest, PsychINFO, PubMed and SCOPUS) from the inception of each database until 31 December 2016. Critical appraisal was conducted using a quality assessment tool (QAT).\n\nResult\nA total of 20 studies conducted in 12 African countries representing 11,858 women were included. No literature was found on African women in the diaspora related to maternal use of TM or complementary and alternative medicine (CAM). The prevalence of TM use among the African women was as high as 80%. The most common TM used was herbal medicine for reasons related to treatment of pregnancy related symptoms. Frequent TM users were pregnant women with no formal education, low income, and living far from public health facilities. Lack of access to the mainstream maternity care was the major determining factor for use of TM.\n\nConclusion\nTM is widely used by African women for maternal and reproductive health issues due to lack of access to the mainstream maternity care. Further research is required to examine the various types of traditional and cultural health practices (other than herbal medicine), the beliefs towards TM, and the health seeking behaviors of African women in Africa and the diaspora.\n\nElectronic supplementary material\nThe online version of this article (doi:10.1186/s12906-017-1886-x) contains supplementary material, which is available to authorized users.","container-title":"BMC Complementary and Alternative Medicine","DOI":"10.1186/s12906-017-1886-x","ISSN":"1472-6882","journalAbbreviation":"BMC Complement Altern Med","note":"PMID: 28768534\nPMCID: PMC5541739","page":"382","source":"PubMed Central","title":"The use of traditional medicine in maternity care among African women in Africa and the diaspora: a systematic review","title-short":"The use of traditional medicine in maternity care among African women in Africa and the diaspora","volume":"17","author":[{"family":"Shewamene","given":"Zewdneh"},{"family":"Dune","given":"Tinashe"},{"family":"Smith","given":"Caroline A."}],"issued":{"date-parts":[["2017",8,2]]}}}],"schema":"https://github.com/citation-style-language/schema/raw/master/csl-citation.json"} </w:instrText>
      </w:r>
      <w:r w:rsidR="00147468" w:rsidRPr="00DA0E6E">
        <w:rPr>
          <w:rFonts w:ascii="Times New Roman" w:hAnsi="Times New Roman" w:cs="Times New Roman"/>
          <w:sz w:val="20"/>
          <w:szCs w:val="20"/>
        </w:rPr>
        <w:fldChar w:fldCharType="separate"/>
      </w:r>
      <w:r w:rsidR="00147468" w:rsidRPr="00DA0E6E">
        <w:rPr>
          <w:rFonts w:ascii="Times New Roman" w:hAnsi="Times New Roman" w:cs="Times New Roman"/>
          <w:sz w:val="20"/>
          <w:szCs w:val="20"/>
        </w:rPr>
        <w:t>(5,6)</w:t>
      </w:r>
      <w:r w:rsidR="00147468" w:rsidRPr="00DA0E6E">
        <w:rPr>
          <w:rFonts w:ascii="Times New Roman" w:hAnsi="Times New Roman" w:cs="Times New Roman"/>
          <w:sz w:val="20"/>
          <w:szCs w:val="20"/>
        </w:rPr>
        <w:fldChar w:fldCharType="end"/>
      </w:r>
      <w:r w:rsidRPr="00A150E7">
        <w:rPr>
          <w:rFonts w:ascii="Times New Roman" w:hAnsi="Times New Roman" w:cs="Times New Roman"/>
          <w:sz w:val="20"/>
          <w:szCs w:val="20"/>
        </w:rPr>
        <w:t xml:space="preserve">. This practice is driven by cultural beliefs, affordability, accessibility, and the perceived inefficacy of biomedical treatments for pregnancy-related conditions </w:t>
      </w:r>
      <w:r w:rsidR="00147468" w:rsidRPr="00DA0E6E">
        <w:rPr>
          <w:rFonts w:ascii="Times New Roman" w:hAnsi="Times New Roman" w:cs="Times New Roman"/>
          <w:sz w:val="20"/>
          <w:szCs w:val="20"/>
        </w:rPr>
        <w:fldChar w:fldCharType="begin"/>
      </w:r>
      <w:r w:rsidR="00060592" w:rsidRPr="00DA0E6E">
        <w:rPr>
          <w:rFonts w:ascii="Times New Roman" w:hAnsi="Times New Roman" w:cs="Times New Roman"/>
          <w:sz w:val="20"/>
          <w:szCs w:val="20"/>
        </w:rPr>
        <w:instrText xml:space="preserve"> ADDIN ZOTERO_ITEM CSL_CITATION {"citationID":"wkO2WTs2","properties":{"formattedCitation":"(7,8)","plainCitation":"(7,8)","noteIndex":0},"citationItems":[{"id":310,"uris":["http://zotero.org/users/15244130/items/4ERJW6BC"],"itemData":{"id":310,"type":"article-journal","container-title":"BMC complementary and alternative medicine","ISSN":"1472-6882","issue":"1","note":"publisher: BioMed Central","page":"1-8","title":"Use of herbal medicine during pregnancy among women with access to public healthcare in Nairobi, Kenya: a cross-sectional survey","volume":"14","author":[{"family":"Mothupi","given":"Mamothena Carol"}],"issued":{"date-parts":[["2014"]]}}},{"id":1762,"uris":["http://zotero.org/users/15244130/items/8JFTJ2BJ"],"itemData":{"id":1762,"type":"article-journal","container-title":"BMC pregnancy and childbirth","ISSN":"1471-2393","issue":"1","note":"publisher: BioMed Central","page":"1-12","title":"Prevalence and factors associated with use of herbal medicines during pregnancy among women attending postnatal clinics in Gulu district, Northern Uganda","volume":"16","author":[{"family":"Nyeko","given":"Richard"},{"family":"Tumwesigye","given":"Nazarius Mbona"},{"family":"Halage","given":"Abdullah Ali"}],"issued":{"date-parts":[["2016"]]}}}],"schema":"https://github.com/citation-style-language/schema/raw/master/csl-citation.json"} </w:instrText>
      </w:r>
      <w:r w:rsidR="00147468" w:rsidRPr="00DA0E6E">
        <w:rPr>
          <w:rFonts w:ascii="Times New Roman" w:hAnsi="Times New Roman" w:cs="Times New Roman"/>
          <w:sz w:val="20"/>
          <w:szCs w:val="20"/>
        </w:rPr>
        <w:fldChar w:fldCharType="separate"/>
      </w:r>
      <w:r w:rsidR="00060592" w:rsidRPr="00DA0E6E">
        <w:rPr>
          <w:rFonts w:ascii="Times New Roman" w:hAnsi="Times New Roman" w:cs="Times New Roman"/>
          <w:sz w:val="20"/>
          <w:szCs w:val="20"/>
        </w:rPr>
        <w:t>(7,8)</w:t>
      </w:r>
      <w:r w:rsidR="00147468" w:rsidRPr="00DA0E6E">
        <w:rPr>
          <w:rFonts w:ascii="Times New Roman" w:hAnsi="Times New Roman" w:cs="Times New Roman"/>
          <w:sz w:val="20"/>
          <w:szCs w:val="20"/>
        </w:rPr>
        <w:fldChar w:fldCharType="end"/>
      </w:r>
      <w:r w:rsidRPr="00A150E7">
        <w:rPr>
          <w:rFonts w:ascii="Times New Roman" w:hAnsi="Times New Roman" w:cs="Times New Roman"/>
          <w:sz w:val="20"/>
          <w:szCs w:val="20"/>
        </w:rPr>
        <w:t xml:space="preserve">. For example, in Ethiopia, over 70% of pregnant women use herbal remedies to manage nausea, prevent miscarriage, or enhance fetal strength, often without disclosing this to healthcare providers </w:t>
      </w:r>
      <w:r w:rsidR="00060592" w:rsidRPr="00DA0E6E">
        <w:rPr>
          <w:rFonts w:ascii="Times New Roman" w:hAnsi="Times New Roman" w:cs="Times New Roman"/>
          <w:sz w:val="20"/>
          <w:szCs w:val="20"/>
        </w:rPr>
        <w:fldChar w:fldCharType="begin"/>
      </w:r>
      <w:r w:rsidR="00060592" w:rsidRPr="00DA0E6E">
        <w:rPr>
          <w:rFonts w:ascii="Times New Roman" w:hAnsi="Times New Roman" w:cs="Times New Roman"/>
          <w:sz w:val="20"/>
          <w:szCs w:val="20"/>
        </w:rPr>
        <w:instrText xml:space="preserve"> ADDIN ZOTERO_ITEM CSL_CITATION {"citationID":"eXGbbIA0","properties":{"formattedCitation":"(9,10)","plainCitation":"(9,10)","noteIndex":0},"citationItems":[{"id":4833,"uris":["http://zotero.org/users/15244130/items/74LP5CQI"],"itemData":{"id":4833,"type":"article-journal","abstract":"Objective\nThis study was aimed at assessing the prevalence of herbal drug use among pregnant women with access to modern medicine and associated factors in public health facilities in the west Shewa zone, Oromia regional state, Ethiopia.\n\nDesign\nA sequential mixed-method study approach was carried out among pregnant women and other stakeholders.\n\nSetting\nThis study was conducted at public health facilities, including 3 public hospitals and 20 health centres, in the west Shewa zone of Ethiopia.\n\nParticipants\nA systematically selected sample of 411 pregnant women was participated in the quantitative study. For the qualitative method, focus group discussions and in-depth interviews were conducted among pregnant women attending antenatal care and key informants using an interview guide until data saturation was achieved.\n\nPrimary outcome\nFor outcome variables, the respondents were asked if they used any herbal medicine during their current pregnancy. It was then recorded as 0=no and 1=yes.\n\nResults\nThe prevalence of herbal medicines was found to be 19.7%. The most commonly used herbal medicines were Zingiber officinale, Ocimum gratissimum, Eucalyptus globules, Allium sativum and Rutacha lepensis. Herbal medicine use during pregnancy was significantly associated with older maternal age (adjusted OR (AOR) 2.4, 95% CI 1.2 to 5.1), urban residence (AOR 2.3, 95% CI 1.3 to 3.7) and second trimester of pregnancy (AOR 2.3, 95% CI 1.3 to 4.5).\n\nConclusions\nIn this study, one in five pregnant women uses herbal medicine, which is relatively low. Sociodemographic factors and the duration of pregnancy affected the utilisation of herbal drugs during pregnancy. The most common herbals used by pregnant women were intended to treat minor disorders of pregnancy and medical disorders such as hypertension.","container-title":"BMJ Open","DOI":"10.1136/bmjopen-2023-076303","ISSN":"2044-6055","issue":"2","journalAbbreviation":"BMJ Open","note":"PMID: 38316582\nPMCID: PMC10860084","page":"e076303","source":"PubMed Central","title":"Use of herbal medicine during pregnancy and associated factors among pregnant women with access to public healthcare in west Shewa zone, Central Ethiopia: sequential mixed-method study","title-short":"Use of herbal medicine during pregnancy and associated factors among pregnant women with access to public healthcare in west Shewa zone, Central Ethiopia","volume":"14","author":[{"family":"Bekele","given":"Gemechu Gelan"},{"family":"Woldeyes","given":"Benyam Seifu"},{"family":"Taye","given":"Getu Melesie"},{"family":"Kebede","given":"Ermiyas Mulu"},{"family":"Gebremichael","given":"Delelegn Yilma"}],"issued":{"date-parts":[["2024",2,5]]}}},{"id":4830,"uris":["http://zotero.org/users/15244130/items/A75E24L7"],"itemData":{"id":4830,"type":"article-journal","abstract":"Introduction:\nMany countries invest in interventions to minimize maternal and neonatal morbidity and mortality but the progress has been slow, in developing countries, especially in Africa. Traditional taboos and malpractices like home deliveries owing to cultural beliefs and traditional practices during pregnancy, childbirth, and the postpartum period increase maternal and neonatal complications. Although there are different researches in Ethiopia, the reasons for practicing such traditional activities in the East Gojjam zone in northwest Ethiopia are not well understood. Ethical clearance was obtained from the research committee of Debre Markos University.\n\nObjective:\nThis study aimed to explore cultural beliefs and traditional practices during pregnancy, childbirth, and the postpartum period in East Gojjam Zone, Northwest Ethiopia.\n\nMaterials and Methods:\nPurposive and snowball nonprobability sampling techniques were used to select the study participants. Data were collected through in-depth interviews and focused group discussions until the information was saturated and it was categorized and analyzed after the interviews were completed. The translated text file was analyzed using thematic analysis using codes and terms to create themes. Information from the interview consists of the women's descriptions and explanations of their cultural practices during pregnancy, childbirth, and the postnatal period.\n\nResult:\nRespondents report many examples of cultural, traditional, and religious practices experienced by the community in East Gojjam Zone during pregnancy, childbirth, and postpartum period, whether they are beneficial or harmful for the mother and the fetus. Drinking holy water, praying to God and Mary, taking herbal medicine, food taboo, making a confinement period in a dark room, and other cultural ceremonies are among commonly experienced cultural, traditional, and religious practices in the study area.\n\nConclusion:\nTraditional, cultural, and religious practices during pregnancy, childbirth, and the postpartum period are still popular among the community in the East Gojjam Zone. It is critical to identify the harmful practices and reinforce the positive healthy practices to make pregnancy, childbirth, and postpartum periods healthy and joyful.","container-title":"Women's Health Reports","DOI":"10.1089/whr.2023.0024","ISSN":"2688-4844","issue":"1","journalAbbreviation":"Womens Health Rep (New Rochelle)","note":"PMID: 37645589\nPMCID: PMC10460962","page":"415-422","source":"PubMed Central","title":"Cultural Beliefs and Traditional Practices During Pregnancy, Child Birth, and the Postpartum Period in East Gojjam Zone, Northwest Ethiopia: A Qualitative Study","title-short":"Cultural Beliefs and Traditional Practices During Pregnancy, Child Birth, and the Postpartum Period in East Gojjam Zone, Northwest Ethiopia","volume":"4","author":[{"family":"Aynalem","given":"Bewket Yeserah"},{"family":"Melesse","given":"Misganaw Fikrie"},{"family":"Bitewa","given":"Yibelu Bazezew"}],"issued":{"date-parts":[["2023",8,16]]}}}],"schema":"https://github.com/citation-style-language/schema/raw/master/csl-citation.json"} </w:instrText>
      </w:r>
      <w:r w:rsidR="00060592" w:rsidRPr="00DA0E6E">
        <w:rPr>
          <w:rFonts w:ascii="Times New Roman" w:hAnsi="Times New Roman" w:cs="Times New Roman"/>
          <w:sz w:val="20"/>
          <w:szCs w:val="20"/>
        </w:rPr>
        <w:fldChar w:fldCharType="separate"/>
      </w:r>
      <w:r w:rsidR="00060592" w:rsidRPr="00DA0E6E">
        <w:rPr>
          <w:rFonts w:ascii="Times New Roman" w:hAnsi="Times New Roman" w:cs="Times New Roman"/>
          <w:sz w:val="20"/>
          <w:szCs w:val="20"/>
        </w:rPr>
        <w:t>(9,10)</w:t>
      </w:r>
      <w:r w:rsidR="00060592" w:rsidRPr="00DA0E6E">
        <w:rPr>
          <w:rFonts w:ascii="Times New Roman" w:hAnsi="Times New Roman" w:cs="Times New Roman"/>
          <w:sz w:val="20"/>
          <w:szCs w:val="20"/>
        </w:rPr>
        <w:fldChar w:fldCharType="end"/>
      </w:r>
      <w:r w:rsidR="00060592"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Despite its popularity, safety concerns persist, as some herbal remedies have been linked to adverse pregnancy outcomes including preterm labor and fetal malformations </w:t>
      </w:r>
      <w:r w:rsidR="00060592" w:rsidRPr="00DA0E6E">
        <w:rPr>
          <w:rFonts w:ascii="Times New Roman" w:hAnsi="Times New Roman" w:cs="Times New Roman"/>
          <w:sz w:val="20"/>
          <w:szCs w:val="20"/>
        </w:rPr>
        <w:fldChar w:fldCharType="begin"/>
      </w:r>
      <w:r w:rsidR="000D210C" w:rsidRPr="00DA0E6E">
        <w:rPr>
          <w:rFonts w:ascii="Times New Roman" w:hAnsi="Times New Roman" w:cs="Times New Roman"/>
          <w:sz w:val="20"/>
          <w:szCs w:val="20"/>
        </w:rPr>
        <w:instrText xml:space="preserve"> ADDIN ZOTERO_ITEM CSL_CITATION {"citationID":"bRbzXndm","properties":{"formattedCitation":"(11,12)","plainCitation":"(11,12)","noteIndex":0},"citationItems":[{"id":4895,"uris":["http://zotero.org/users/15244130/items/9ESL8XCX"],"itemData":{"id":4895,"type":"article-journal","abstract":"OBJECTIVE: to review the literature on safety and efficacy of the most commonly used herbs to enable midwives to give evidence-based information to pregnant women.\nDESIGN: survey and review of the scientific literature.\nSETTING: the survey was performed at the antenatal clinic at Norfolk and Norwich University Hospital between 26 November 2007 and 15 February 2008.\nPARTICIPANTS: a total of 578 expectant mothers at least 20-weeks pregnant.\nMEASUREMENTS AND FINDINGS: 57.8% of the participants used one or more herbal remedies. The most commonly used herbal preparations during pregnancy were ginger, cranberry, raspberry leaf, chamomile, peppermint and echinacea. Altogether, 14 studies focusing on the safety and/or efficacy of these herbals in human pregnancy were identified. Ten studies of ginger, one of cranberry, two of raspberry leaf and one of echinacea were located.\nKEY CONCLUSIONS: there is limited documentation on the safety and efficacy of many herbs commonly used during pregnancy.\nIMPLICATIONS FOR PRACTICE: midwives are important caregivers for pregnant women and should strive to give evidence-based advice on herbal use in pregnancy. If 'traditional use' is the only available information, the pregnant woman should be made aware of this to enable her to make an informed decision about the eventual use.","container-title":"Midwifery","DOI":"10.1016/j.midw.2009.05.010","ISSN":"1532-3099","issue":"1","journalAbbreviation":"Midwifery","language":"eng","note":"PMID: 19782445","page":"80-86","source":"PubMed","title":"Safety and efficacy of herbal remedies in obstetrics-review and clinical implications","volume":"27","author":[{"family":"Holst","given":"Lone"},{"family":"Wright","given":"David"},{"family":"Haavik","given":"Svein"},{"family":"Nordeng","given":"Hedvig"}],"issued":{"date-parts":[["2011",2]]}}},{"id":4906,"uris":["http://zotero.org/users/15244130/items/WGZ8WY9P"],"itemData":{"id":4906,"type":"article-journal","abstract":"This paper reviews some of the evidence in relation to herbal remedies, and considers both their efficacy and safety for pregnant and childbearing women. It concludes with some suggested guidelines for midwifery and obstetric practice.","container-title":"Complementary Therapies in Nursing &amp; Midwifery","DOI":"10.1016/S1353-6117(03)00045-3","ISSN":"1353-6117","issue":"4","journalAbbreviation":"Complement Ther Nurs Midwifery","language":"eng","note":"PMID: 14556766","page":"176-181","source":"PubMed","title":"The use of herbs by pregnant and childbearing women: a risk-benefit assessment","title-short":"The use of herbs by pregnant and childbearing women","volume":"9","author":[{"family":"Tiran","given":"Denise"}],"issued":{"date-parts":[["2003",11]]}}}],"schema":"https://github.com/citation-style-language/schema/raw/master/csl-citation.json"} </w:instrText>
      </w:r>
      <w:r w:rsidR="00060592" w:rsidRPr="00DA0E6E">
        <w:rPr>
          <w:rFonts w:ascii="Times New Roman" w:hAnsi="Times New Roman" w:cs="Times New Roman"/>
          <w:sz w:val="20"/>
          <w:szCs w:val="20"/>
        </w:rPr>
        <w:fldChar w:fldCharType="separate"/>
      </w:r>
      <w:r w:rsidR="000D210C" w:rsidRPr="00DA0E6E">
        <w:rPr>
          <w:rFonts w:ascii="Times New Roman" w:hAnsi="Times New Roman" w:cs="Times New Roman"/>
          <w:sz w:val="20"/>
          <w:szCs w:val="20"/>
        </w:rPr>
        <w:t>(11,12)</w:t>
      </w:r>
      <w:r w:rsidR="00060592" w:rsidRPr="00DA0E6E">
        <w:rPr>
          <w:rFonts w:ascii="Times New Roman" w:hAnsi="Times New Roman" w:cs="Times New Roman"/>
          <w:sz w:val="20"/>
          <w:szCs w:val="20"/>
        </w:rPr>
        <w:fldChar w:fldCharType="end"/>
      </w:r>
      <w:r w:rsidR="000D210C"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These challenges highlight the need for greater integration of traditional and biomedical healthcare systems </w:t>
      </w:r>
      <w:r w:rsidR="000D210C" w:rsidRPr="00DA0E6E">
        <w:rPr>
          <w:rFonts w:ascii="Times New Roman" w:hAnsi="Times New Roman" w:cs="Times New Roman"/>
          <w:sz w:val="20"/>
          <w:szCs w:val="20"/>
        </w:rPr>
        <w:fldChar w:fldCharType="begin"/>
      </w:r>
      <w:r w:rsidR="000D210C" w:rsidRPr="00DA0E6E">
        <w:rPr>
          <w:rFonts w:ascii="Times New Roman" w:hAnsi="Times New Roman" w:cs="Times New Roman"/>
          <w:sz w:val="20"/>
          <w:szCs w:val="20"/>
        </w:rPr>
        <w:instrText xml:space="preserve"> ADDIN ZOTERO_ITEM CSL_CITATION {"citationID":"mIxkrx6O","properties":{"formattedCitation":"(2)","plainCitation":"(2)","noteIndex":0},"citationItems":[{"id":4908,"uris":["http://zotero.org/users/15244130/items/CKAUHF8Y"],"itemData":{"id":4908,"type":"webpage","abstract":"Traditional and complementary medicine (T&amp;CM) is an important and often underestimated health resource with many applications, especially in the prevention and management of lifestyle-related chronic diseases, and in meeting the health needs of ageing populations. Many countries are seeking to expand coverage of essential health services at a time when consumer expectations for care are rising, costs are soaring, and most budgets are either stagnant or being reduced. Given the unique health challenges of the 21st century, interest in T&amp;CM is undergoing a revival. Monitoring health trends is a core function of the World Health Organization (WHO) and is key to supporting countries in generating evidence-based policies and strategic plans.","language":"en","title":"WHO global report on traditional and complementary medicine 2019","URL":"https://www.who.int/publications/i/item/978924151536","author":[{"literal":"World Health Organisation"}],"accessed":{"date-parts":[["2025",4,20]]},"issued":{"date-parts":[["2019"]]}}}],"schema":"https://github.com/citation-style-language/schema/raw/master/csl-citation.json"} </w:instrText>
      </w:r>
      <w:r w:rsidR="000D210C" w:rsidRPr="00DA0E6E">
        <w:rPr>
          <w:rFonts w:ascii="Times New Roman" w:hAnsi="Times New Roman" w:cs="Times New Roman"/>
          <w:sz w:val="20"/>
          <w:szCs w:val="20"/>
        </w:rPr>
        <w:fldChar w:fldCharType="separate"/>
      </w:r>
      <w:r w:rsidR="000D210C" w:rsidRPr="00DA0E6E">
        <w:rPr>
          <w:rFonts w:ascii="Times New Roman" w:hAnsi="Times New Roman" w:cs="Times New Roman"/>
          <w:sz w:val="20"/>
          <w:szCs w:val="20"/>
        </w:rPr>
        <w:t>(2)</w:t>
      </w:r>
      <w:r w:rsidR="000D210C" w:rsidRPr="00DA0E6E">
        <w:rPr>
          <w:rFonts w:ascii="Times New Roman" w:hAnsi="Times New Roman" w:cs="Times New Roman"/>
          <w:sz w:val="20"/>
          <w:szCs w:val="20"/>
        </w:rPr>
        <w:fldChar w:fldCharType="end"/>
      </w:r>
      <w:r w:rsidR="000D210C" w:rsidRPr="00DA0E6E">
        <w:rPr>
          <w:rFonts w:ascii="Times New Roman" w:hAnsi="Times New Roman" w:cs="Times New Roman"/>
          <w:sz w:val="20"/>
          <w:szCs w:val="20"/>
        </w:rPr>
        <w:t>.</w:t>
      </w:r>
    </w:p>
    <w:p w14:paraId="7E70A5F6" w14:textId="37AB6326"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t>In Ghana, herbal medicine is constitutionally recognized as part of the national healthcare system, with over 70% of pregnant women incorporating traditional remedies into their prenatal care</w:t>
      </w:r>
      <w:r w:rsidR="000D210C" w:rsidRPr="00DA0E6E">
        <w:rPr>
          <w:rFonts w:ascii="Times New Roman" w:hAnsi="Times New Roman" w:cs="Times New Roman"/>
          <w:sz w:val="20"/>
          <w:szCs w:val="20"/>
        </w:rPr>
        <w:t xml:space="preserve"> </w:t>
      </w:r>
      <w:r w:rsidR="000D210C"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{"citationID":"YgJ91AFH","properties":{"formattedCitation":"(5,13)","plainCitation":"(5,13)","noteIndex":0},"citationItems":[{"id":312,"uris":["http://zotero.org/users/15244130/items/GXK3Y5SG"],"itemData":{"id":312,"type":"article-journal","container-title":"BMC complementary and alternative medicine","ISSN":"1472-6882","issue":"1","note":"publisher: BioMed Central","page":"1-12","title":"‘We are nothing without herbs’: a story of herbal remedies use during pregnancy in rural Ghana","volume":"19","author":[{"family":"Peprah","given":"Prince"},{"family":"Agyemang-Duah","given":"Williams"},{"family":"Arthur-Holmes","given":"Francis"},{"family":"Budu","given":"Hayford Isaac"},{"family":"Abalo","given":"Emmanuel Mawuli"},{"family":"Okwei","given":"Reforce"},{"family":"Nyonyo","given":"Julius"}],"issued":{"date-parts":[["2019"]]}}},{"id":2126,"uris":["http://zotero.org/users/15244130/items/TKFS38D4"],"itemData":{"id":2126,"type":"article-journal","title":"Ghana Health Service 2016 Annual Report. GHS. Accra","author":[{"literal":"Ghana Health Service"}],"issued":{"date-parts":[["2016"]]}}}],"schema":"https://github.com/citation-style-language/schema/raw/master/csl-citation.json"} </w:instrText>
      </w:r>
      <w:r w:rsidR="000D210C"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(5,13)</w:t>
      </w:r>
      <w:r w:rsidR="000D210C" w:rsidRPr="00DA0E6E">
        <w:rPr>
          <w:rFonts w:ascii="Times New Roman" w:hAnsi="Times New Roman" w:cs="Times New Roman"/>
          <w:sz w:val="20"/>
          <w:szCs w:val="20"/>
        </w:rPr>
        <w:fldChar w:fldCharType="end"/>
      </w:r>
      <w:r w:rsidR="00312547" w:rsidRPr="00DA0E6E">
        <w:rPr>
          <w:rFonts w:ascii="Times New Roman" w:hAnsi="Times New Roman" w:cs="Times New Roman"/>
          <w:sz w:val="20"/>
          <w:szCs w:val="20"/>
        </w:rPr>
        <w:t>. C</w:t>
      </w:r>
      <w:r w:rsidRPr="00A150E7">
        <w:rPr>
          <w:rFonts w:ascii="Times New Roman" w:hAnsi="Times New Roman" w:cs="Times New Roman"/>
          <w:sz w:val="20"/>
          <w:szCs w:val="20"/>
        </w:rPr>
        <w:t xml:space="preserve">ultural and spiritual beliefs play a pivotal role, as many Ghanaian women view herbs as divinely ordained protections against pregnancy complications </w:t>
      </w:r>
      <w:r w:rsidR="00312547" w:rsidRPr="00DA0E6E">
        <w:rPr>
          <w:rFonts w:ascii="Times New Roman" w:hAnsi="Times New Roman" w:cs="Times New Roman"/>
          <w:sz w:val="20"/>
          <w:szCs w:val="20"/>
        </w:rPr>
        <w:fldChar w:fldCharType="begin"/>
      </w:r>
      <w:r w:rsidR="00312547" w:rsidRPr="00DA0E6E">
        <w:rPr>
          <w:rFonts w:ascii="Times New Roman" w:hAnsi="Times New Roman" w:cs="Times New Roman"/>
          <w:sz w:val="20"/>
          <w:szCs w:val="20"/>
        </w:rPr>
        <w:instrText xml:space="preserve"> ADDIN ZOTERO_ITEM CSL_CITATION {"citationID":"YBjkkvpy","properties":{"formattedCitation":"(14)","plainCitation":"(14)","noteIndex":0},"citationItems":[{"id":4859,"uris":["http://zotero.org/users/15244130/items/DUP7ZP7Q"],"itemData":{"id":4859,"type":"article-journal","abstract":"Background\nPrior to the advent of modern obstetric services, traditional birth attendants (TBAs) have rendered services to pregnant women and women in labour for a long time. Although it is anticipated that women in contemporary societies will give birth in hospitals and clinics, some women still patronize the services of TBAs. The study therefore sought to gain an in-depth understanding of the initiation of TBAs and their traditional and spiritual practices employed during pregnancy and childbirth in Ghana.\n\nMethods\nThe design was an exploratory qualitative one using in-depth individual interviews. Data saturation was reached with 16 participants who were all of Christian faith. Interviews were conducted with a semi-structured interview guide, audiotaped and transcribed verbatim. Content analysis was employed to generate findings.\n\nResults\nThe findings showed that TBAs were initiated through apprenticeship from family members who were TBAs and other non-family TBAs as well as through dreams and revelations. They practice using both spiritual and physical methods and their work was founded on spiritual directions, use of spiritual artefacts, herbs and physical examination. TBAs delay cutting of the cord and disposal of the placenta was associated with beliefs which indicated that when not properly disposed, it will have negative consequences on the child during adulthood.\n\nConclusion\nAlthough, TBAs like maternal health professionals operate to improve maternal health care, some of their spiritual practices and beliefs may pose threats to their clients. Nonetheless, with appropriate initiation and training, they can become useful.","container-title":"BMC Pregnancy and Childbirth","DOI":"10.1186/s12884-018-1691-7","ISSN":"1471-2393","journalAbbreviation":"BMC Pregnancy Childbirth","note":"PMID: 29514607\nPMCID: PMC5842514","page":"64","source":"PubMed Central","title":"Initiation of traditional birth attendants and their traditional and spiritual practices during pregnancy and childbirth in Ghana","volume":"18","author":[{"family":"Aziato","given":"Lydia"},{"family":"Omenyo","given":"Cephas N."}],"issued":{"date-parts":[["2018",3,7]]}}}],"schema":"https://github.com/citation-style-language/schema/raw/master/csl-citation.json"} </w:instrText>
      </w:r>
      <w:r w:rsidR="00312547" w:rsidRPr="00DA0E6E">
        <w:rPr>
          <w:rFonts w:ascii="Times New Roman" w:hAnsi="Times New Roman" w:cs="Times New Roman"/>
          <w:sz w:val="20"/>
          <w:szCs w:val="20"/>
        </w:rPr>
        <w:fldChar w:fldCharType="separate"/>
      </w:r>
      <w:r w:rsidR="00312547" w:rsidRPr="00DA0E6E">
        <w:rPr>
          <w:rFonts w:ascii="Times New Roman" w:hAnsi="Times New Roman" w:cs="Times New Roman"/>
          <w:sz w:val="20"/>
          <w:szCs w:val="20"/>
        </w:rPr>
        <w:t>(14)</w:t>
      </w:r>
      <w:r w:rsidR="00312547" w:rsidRPr="00DA0E6E">
        <w:rPr>
          <w:rFonts w:ascii="Times New Roman" w:hAnsi="Times New Roman" w:cs="Times New Roman"/>
          <w:sz w:val="20"/>
          <w:szCs w:val="20"/>
        </w:rPr>
        <w:fldChar w:fldCharType="end"/>
      </w:r>
      <w:r w:rsidR="00312547"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Elders and traditional healers serve as primary knowledge custodians, reinforcing herbal practices through intergenerational transmission </w:t>
      </w:r>
      <w:r w:rsidR="00312547" w:rsidRPr="00DA0E6E">
        <w:rPr>
          <w:rFonts w:ascii="Times New Roman" w:hAnsi="Times New Roman" w:cs="Times New Roman"/>
          <w:sz w:val="20"/>
          <w:szCs w:val="20"/>
        </w:rPr>
        <w:fldChar w:fldCharType="begin"/>
      </w:r>
      <w:r w:rsidR="0011440A" w:rsidRPr="00DA0E6E">
        <w:rPr>
          <w:rFonts w:ascii="Times New Roman" w:hAnsi="Times New Roman" w:cs="Times New Roman"/>
          <w:sz w:val="20"/>
          <w:szCs w:val="20"/>
        </w:rPr>
        <w:instrText xml:space="preserve"> ADDIN ZOTERO_ITEM CSL_CITATION {"citationID":"HoRMAfCo","properties":{"formattedCitation":"(15)","plainCitation":"(15)","noteIndex":0},"citationItems":[{"id":4847,"uris":["http://zotero.org/users/15244130/items/F6NMCHYH"],"itemData":{"id":4847,"type":"article-journal","abstract":"User-fee exemption for skilled delivery services has been implemented in Ghana since 2003 as a way to address financial barriers to access. However, many women still deliver at home. Based on data from the 2014 Ghana Demographic and Health Survey, we estimated the prevalence of home delivery and determined the factors contributing to homebirths among a total of 622 women in the Northern region in the context of the user-fee exemption policy in Ghana. Binary and multivariate logistic regression analyses were employed. Results suggest home delivery prevalence of 59% (365/622). Traditional birth attendants attended majority of home deliveries (93.4%). After adjusting for potential confounders, making less than four antenatal care visits (aOR = 2.42; CI = 1.91-6.45; p = 0.001), being a practitioner of traditional African religion (aOR = 16.40; CI = 3.10-25.40; p = 0.000), being a Muslim (aOR 2.10; CI = 1.46-5.30; p = 0.042), not having a health insurance (aOR = 1.85; CI = 1.773-4.72; p = 0.016), living in a male-headed household (aOR = 2.07; CI = 1.02-4.53; p &lt; 0.01), and being unexposed to media (aOR = 3.10; CI = 1.12-5.38; p = 0.021) significantly predicted home delivery. Our results suggest that unless interventions are implemented to address other health system factors like insurance coverage, and socio-cultural and religious beliefs that hinder uptake of skilled care, the full benefits of user-fee exemption may not be realized in Ghana.","container-title":"The International Journal of Health Planning and Management","DOI":"10.1002/hpm.2731","ISSN":"1099-1751","issue":"2","language":"en","license":"© 2019 John Wiley &amp; Sons, Ltd.","note":"_eprint: https://onlinelibrary.wiley.com/doi/pdf/10.1002/hpm.2731","page":"727-743","source":"Wiley Online Library","title":"Understanding factors influencing home delivery in the context of user-fee abolition in Northern Ghana: Evidence from 2014 DHS","title-short":"Understanding factors influencing home delivery in the context of user-fee abolition in Northern Ghana","volume":"34","author":[{"family":"Ganle","given":"John Kuumuori"},{"family":"Mahama","given":"Musah Salifu"},{"family":"Maya","given":"Ernest"},{"family":"Manu","given":"Abubakar"},{"family":"Torpey","given":"Kwasi"},{"family":"Adanu","given":"Richard"}],"issued":{"date-parts":[["2019"]]}}}],"schema":"https://github.com/citation-style-language/schema/raw/master/csl-citation.json"} </w:instrText>
      </w:r>
      <w:r w:rsidR="00312547" w:rsidRPr="00DA0E6E">
        <w:rPr>
          <w:rFonts w:ascii="Times New Roman" w:hAnsi="Times New Roman" w:cs="Times New Roman"/>
          <w:sz w:val="20"/>
          <w:szCs w:val="20"/>
        </w:rPr>
        <w:fldChar w:fldCharType="separate"/>
      </w:r>
      <w:r w:rsidR="0011440A" w:rsidRPr="00DA0E6E">
        <w:rPr>
          <w:rFonts w:ascii="Times New Roman" w:hAnsi="Times New Roman" w:cs="Times New Roman"/>
          <w:sz w:val="20"/>
          <w:szCs w:val="20"/>
        </w:rPr>
        <w:t>(15)</w:t>
      </w:r>
      <w:r w:rsidR="00312547" w:rsidRPr="00DA0E6E">
        <w:rPr>
          <w:rFonts w:ascii="Times New Roman" w:hAnsi="Times New Roman" w:cs="Times New Roman"/>
          <w:sz w:val="20"/>
          <w:szCs w:val="20"/>
        </w:rPr>
        <w:fldChar w:fldCharType="end"/>
      </w:r>
      <w:r w:rsidR="0011440A"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However, this reliance on traditional knowledge sometimes conflicts with biomedical advice, leading some women to conceal herbal use from healthcare providers </w:t>
      </w:r>
      <w:r w:rsidR="0011440A" w:rsidRPr="00DA0E6E">
        <w:rPr>
          <w:rFonts w:ascii="Times New Roman" w:hAnsi="Times New Roman" w:cs="Times New Roman"/>
          <w:sz w:val="20"/>
          <w:szCs w:val="20"/>
        </w:rPr>
        <w:fldChar w:fldCharType="begin"/>
      </w:r>
      <w:r w:rsidR="0011440A" w:rsidRPr="00DA0E6E">
        <w:rPr>
          <w:rFonts w:ascii="Times New Roman" w:hAnsi="Times New Roman" w:cs="Times New Roman"/>
          <w:sz w:val="20"/>
          <w:szCs w:val="20"/>
        </w:rPr>
        <w:instrText xml:space="preserve"> ADDIN ZOTERO_ITEM CSL_CITATION {"citationID":"d5VwUzdS","properties":{"formattedCitation":"(16)","plainCitation":"(16)","noteIndex":0},"citationItems":[{"id":4812,"uris":["http://zotero.org/users/15244130/items/7C3CLERB"],"itemData":{"id":4812,"type":"article-journal","abstract":"BACKGROUND: Facilitating factors are potential factors that encourage the uptake of maternal health services, while limiting factors are those potential factors that limit women's access to maternal health services. Though cultural norms or values are significant factors that influence health-seeking behaviour, there is a limited exploration of the facilitating and limiting factors of these cultural norms and values on the use of maternal health services in primary health care facilities.\nAIM: To understand the facilitating and limiting factors of cultural values and norms that influence the use of maternal health services in primary healthcare facilities.\nMETHODS: The study was conducted in two primary healthcare facilities (rural and urban) using a focused ethnographic methodology described by Roper and Shapira. The study comprised 189 hours of observation of nine women from the third trimester to deliveries. Using purposive and snowballing techniques, data was collected through 21 in-depth interviews, two focus group discussions comprising 13 women, and field notes. All data was analyzed using the steps described by Roper and Shapira (Ethnography in nursing research, 2000).\nRESULTS: Using the enabler and nurturer constructs of the relationships and the expectations domain of the PEN-3 cultural model, four themes were generated: 1, The attitude of healthcare workers and 2, Factors within primary healthcare facilities, which revealed both facilitating and limiting factors. The remaining themes, 3, The High cost of services, and 4, Contextual issues within communities revealed factors that limit access to facility care.\nCONCLUSION: Several facilitating and limiting factors of cultural norms and values significantly influence women's health-seeking behaviours and use of primary health facilities. Further studies are needed on approaches to harness these factors in providing holistic care tailored to communities' cultural needs. Additionally, reinvigoration and strengthening of primary health facilities in Nigeria is critical to promoting comprehensive care that could reduce maternal mortality and enhance maternal health outcomes.","container-title":"BMC pregnancy and childbirth","DOI":"10.1186/s12884-024-06747-x","ISSN":"1471-2393","issue":"1","journalAbbreviation":"BMC Pregnancy Childbirth","language":"eng","note":"PMID: 39192210\nPMCID: PMC11348738","page":"555","source":"PubMed","title":"Facilitating and limiting factors of cultural norms influencing use of maternal health services in primary health care facilities in Kogi State, Nigeria; a focused ethnographic research on Igala women","volume":"24","author":[{"family":"Opara","given":"Uchechi Clara"},{"family":"Iheanacho","given":"Peace Njideka"},{"family":"Li","given":"Hua"},{"family":"Petrucka","given":"Pammla"}],"issued":{"date-parts":[["2024",8,27]]}}}],"schema":"https://github.com/citation-style-language/schema/raw/master/csl-citation.json"} </w:instrText>
      </w:r>
      <w:r w:rsidR="0011440A" w:rsidRPr="00DA0E6E">
        <w:rPr>
          <w:rFonts w:ascii="Times New Roman" w:hAnsi="Times New Roman" w:cs="Times New Roman"/>
          <w:sz w:val="20"/>
          <w:szCs w:val="20"/>
        </w:rPr>
        <w:fldChar w:fldCharType="separate"/>
      </w:r>
      <w:r w:rsidR="0011440A" w:rsidRPr="00DA0E6E">
        <w:rPr>
          <w:rFonts w:ascii="Times New Roman" w:hAnsi="Times New Roman" w:cs="Times New Roman"/>
          <w:sz w:val="20"/>
          <w:szCs w:val="20"/>
        </w:rPr>
        <w:t>(16)</w:t>
      </w:r>
      <w:r w:rsidR="0011440A" w:rsidRPr="00DA0E6E">
        <w:rPr>
          <w:rFonts w:ascii="Times New Roman" w:hAnsi="Times New Roman" w:cs="Times New Roman"/>
          <w:sz w:val="20"/>
          <w:szCs w:val="20"/>
        </w:rPr>
        <w:fldChar w:fldCharType="end"/>
      </w:r>
      <w:r w:rsidR="0011440A" w:rsidRPr="00DA0E6E">
        <w:rPr>
          <w:rFonts w:ascii="Times New Roman" w:hAnsi="Times New Roman" w:cs="Times New Roman"/>
          <w:sz w:val="20"/>
          <w:szCs w:val="20"/>
        </w:rPr>
        <w:t>.</w:t>
      </w:r>
    </w:p>
    <w:p w14:paraId="429BCB7F" w14:textId="68F82415"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t xml:space="preserve">The Sagnarigu Municipality in northern Ghana presents a unique setting for exploring herbal medicine use during pregnancy. As a peri-urban district with a predominantly Dagomba population, the area retains strong cultural traditions where herbal remedies are deeply intertwined with spiritual and communal health practices </w:t>
      </w:r>
      <w:r w:rsidR="00B429E8"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{"citationID":"tADKO7AX","properties":{"formattedCitation":"(14)","plainCitation":"(14)","noteIndex":0},"citationItems":[{"id":4859,"uris":["http://zotero.org/users/15244130/items/DUP7ZP7Q"],"itemData":{"id":4859,"type":"article-journal","abstract":"Background\nPrior to the advent of modern obstetric services, traditional birth attendants (TBAs) have rendered services to pregnant women and women in labour for a long time. Although it is anticipated that women in contemporary societies will give birth in hospitals and clinics, some women still patronize the services of TBAs. The study therefore sought to gain an in-depth understanding of the initiation of TBAs and their traditional and spiritual practices employed during pregnancy and childbirth in Ghana.\n\nMethods\nThe design was an exploratory qualitative one using in-depth individual interviews. Data saturation was reached with 16 participants who were all of Christian faith. Interviews were conducted with a semi-structured interview guide, audiotaped and transcribed verbatim. Content analysis was employed to generate findings.\n\nResults\nThe findings showed that TBAs were initiated through apprenticeship from family members who were TBAs and other non-family TBAs as well as through dreams and revelations. They practice using both spiritual and physical methods and their work was founded on spiritual directions, use of spiritual artefacts, herbs and physical examination. TBAs delay cutting of the cord and disposal of the placenta was associated with beliefs which indicated that when not properly disposed, it will have negative consequences on the child during adulthood.\n\nConclusion\nAlthough, TBAs like maternal health professionals operate to improve maternal health care, some of their spiritual practices and beliefs may pose threats to their clients. Nonetheless, with appropriate initiation and training, they can become useful.","container-title":"BMC Pregnancy and Childbirth","DOI":"10.1186/s12884-018-1691-7","ISSN":"1471-2393","journalAbbreviation":"BMC Pregnancy Childbirth","note":"PMID: 29514607\nPMCID: PMC5842514","page":"64","source":"PubMed Central","title":"Initiation of traditional birth attendants and their traditional and spiritual practices during pregnancy and childbirth in Ghana","volume":"18","author":[{"family":"Aziato","given":"Lydia"},{"family":"Omenyo","given":"Cephas N."}],"issued":{"date-parts":[["2018",3,7]]}}}],"schema":"https://github.com/citation-style-language/schema/raw/master/csl-citation.json"} </w:instrText>
      </w:r>
      <w:r w:rsidR="00B429E8"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(14)</w:t>
      </w:r>
      <w:r w:rsidR="00B429E8" w:rsidRPr="00DA0E6E">
        <w:rPr>
          <w:rFonts w:ascii="Times New Roman" w:hAnsi="Times New Roman" w:cs="Times New Roman"/>
          <w:sz w:val="20"/>
          <w:szCs w:val="20"/>
        </w:rPr>
        <w:fldChar w:fldCharType="end"/>
      </w:r>
      <w:r w:rsidR="00B429E8"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Despite the availability of antenatal clinics, many women continue to rely on home-based herbal treatments influenced by family elders and traditional healers </w:t>
      </w:r>
      <w:r w:rsidR="00B429E8"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{"citationID":"LESOx5y2","properties":{"formattedCitation":"(5)","plainCitation":"(5)","noteIndex":0},"citationItems":[{"id":312,"uris":["http://zotero.org/users/15244130/items/GXK3Y5SG"],"itemData":{"id":312,"type":"article-journal","container-title":"BMC complementary and alternative medicine","ISSN":"1472-6882","issue":"1","note":"publisher: BioMed Central","page":"1-12","title":"‘We are nothing without herbs’: a story of herbal remedies use during pregnancy in rural Ghana","volume":"19","author":[{"family":"Peprah","given":"Prince"},{"family":"Agyemang-Duah","given":"Williams"},{"family":"Arthur-Holmes","given":"Francis"},{"family":"Budu","given":"Hayford Isaac"},{"family":"Abalo","given":"Emmanuel Mawuli"},{"family":"Okwei","given":"Reforce"},{"family":"Nyonyo","given":"Julius"}],"issued":{"date-parts":[["2019"]]}}}],"schema":"https://github.com/citation-style-language/schema/raw/master/csl-citation.json"} </w:instrText>
      </w:r>
      <w:r w:rsidR="00B429E8"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(5)</w:t>
      </w:r>
      <w:r w:rsidR="00B429E8" w:rsidRPr="00DA0E6E">
        <w:rPr>
          <w:rFonts w:ascii="Times New Roman" w:hAnsi="Times New Roman" w:cs="Times New Roman"/>
          <w:sz w:val="20"/>
          <w:szCs w:val="20"/>
        </w:rPr>
        <w:fldChar w:fldCharType="end"/>
      </w:r>
      <w:r w:rsidR="00B429E8" w:rsidRPr="00DA0E6E">
        <w:rPr>
          <w:rFonts w:ascii="Times New Roman" w:hAnsi="Times New Roman" w:cs="Times New Roman"/>
          <w:sz w:val="20"/>
          <w:szCs w:val="20"/>
        </w:rPr>
        <w:t xml:space="preserve">. </w:t>
      </w:r>
      <w:r w:rsidRPr="00A150E7">
        <w:rPr>
          <w:rFonts w:ascii="Times New Roman" w:hAnsi="Times New Roman" w:cs="Times New Roman"/>
          <w:sz w:val="20"/>
          <w:szCs w:val="20"/>
        </w:rPr>
        <w:t>Limited qualitative research has explored the lived experiences of pregnant women in Sagnarigu regarding herbal use, with most studies focusing on quantitative prevalence rates rather than sociocultural motivations</w:t>
      </w:r>
      <w:r w:rsidR="00B429E8" w:rsidRPr="00DA0E6E">
        <w:rPr>
          <w:rFonts w:ascii="Times New Roman" w:hAnsi="Times New Roman" w:cs="Times New Roman"/>
          <w:sz w:val="20"/>
          <w:szCs w:val="20"/>
        </w:rPr>
        <w:t xml:space="preserve"> </w:t>
      </w:r>
      <w:r w:rsidR="00B429E8"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{"citationID":"4xE0KguP","properties":{"formattedCitation":"(17)","plainCitation":"(17)","noteIndex":0},"citationItems":[{"id":4846,"uris":["http://zotero.org/users/15244130/items/597M8DRA"],"itemData":{"id":4846,"type":"article-journal","container-title":"Journal of Women’s Health, Issues &amp; Care","DOI":"10.4172/2325-9795.1000171","ISSN":"23259795","issue":"06","journalAbbreviation":"J Womens Health, Issues Care","source":"DOI.org (Crossref)","title":"Addressing Socio-cultural Barriers to Maternal Healthcare in Ghana: Perspectives of Women and Healthcare Providers","title-short":"Addressing Socio-cultural Barriers to Maternal Healthcare in Ghana","URL":"http://www.scitechnol.com/addressing-sociocultural-barriers-maternal-healthcare-ghana-perspectives-women-healthcare-providers-9wKH.php?article_id=2391","volume":"03","author":[{"family":"Ganle","given":"John Kuumuori"}],"accessed":{"date-parts":[["2025",4,20]]},"issued":{"date-parts":[["2014"]]}}}],"schema":"https://github.com/citation-style-language/schema/raw/master/csl-citation.json"} </w:instrText>
      </w:r>
      <w:r w:rsidR="00B429E8"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(17)</w:t>
      </w:r>
      <w:r w:rsidR="00B429E8" w:rsidRPr="00DA0E6E">
        <w:rPr>
          <w:rFonts w:ascii="Times New Roman" w:hAnsi="Times New Roman" w:cs="Times New Roman"/>
          <w:sz w:val="20"/>
          <w:szCs w:val="20"/>
        </w:rPr>
        <w:fldChar w:fldCharType="end"/>
      </w:r>
      <w:r w:rsidR="00B429E8" w:rsidRPr="00DA0E6E">
        <w:rPr>
          <w:rFonts w:ascii="Times New Roman" w:hAnsi="Times New Roman" w:cs="Times New Roman"/>
          <w:sz w:val="20"/>
          <w:szCs w:val="20"/>
        </w:rPr>
        <w:t>.</w:t>
      </w:r>
    </w:p>
    <w:p w14:paraId="6DDAAE29" w14:textId="77777777"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t>This study addresses this gap by employing a phenomenological approach to explore the lived experiences of pregnant women in Sagnarigu who use herbal remedies. Specifically, it seeks to: (1) examine the cultural, spiritual, and social factors influencing herbal remedy use; (2) assess perceived benefits and risks; and (3) explore women's decision-making processes in balancing traditional and biomedical healthcare. By centering women's voices, this research contributes to a nuanced understanding of maternal health behaviors in northern Ghana and informs policy recommendations for safer, integrative healthcare approaches.</w:t>
      </w:r>
    </w:p>
    <w:p w14:paraId="228C8C39" w14:textId="77777777" w:rsidR="00BB2896" w:rsidRDefault="00BB2896" w:rsidP="00DA0E6E">
      <w:pPr>
        <w:jc w:val="both"/>
        <w:rPr>
          <w:rFonts w:ascii="Times New Roman" w:hAnsi="Times New Roman" w:cs="Times New Roman"/>
          <w:b/>
          <w:bCs/>
          <w:sz w:val="20"/>
          <w:szCs w:val="20"/>
        </w:rPr>
      </w:pPr>
    </w:p>
    <w:p w14:paraId="3D52FAB5" w14:textId="77777777" w:rsidR="00E62C6F" w:rsidRDefault="00E62C6F" w:rsidP="00DA0E6E">
      <w:pPr>
        <w:jc w:val="both"/>
        <w:rPr>
          <w:rFonts w:ascii="Times New Roman" w:hAnsi="Times New Roman" w:cs="Times New Roman"/>
          <w:b/>
          <w:bCs/>
          <w:sz w:val="20"/>
          <w:szCs w:val="20"/>
        </w:rPr>
      </w:pPr>
    </w:p>
    <w:p w14:paraId="20F701D7" w14:textId="77777777" w:rsidR="00753D8B" w:rsidRDefault="00753D8B" w:rsidP="00DA0E6E">
      <w:pPr>
        <w:jc w:val="both"/>
        <w:rPr>
          <w:rFonts w:ascii="Times New Roman" w:hAnsi="Times New Roman" w:cs="Times New Roman"/>
          <w:b/>
          <w:bCs/>
          <w:sz w:val="20"/>
          <w:szCs w:val="20"/>
        </w:rPr>
      </w:pPr>
    </w:p>
    <w:p w14:paraId="222E6BDD" w14:textId="77777777" w:rsidR="00753D8B" w:rsidRDefault="00753D8B" w:rsidP="00DA0E6E">
      <w:pPr>
        <w:jc w:val="both"/>
        <w:rPr>
          <w:rFonts w:ascii="Times New Roman" w:hAnsi="Times New Roman" w:cs="Times New Roman"/>
          <w:b/>
          <w:bCs/>
          <w:sz w:val="20"/>
          <w:szCs w:val="20"/>
        </w:rPr>
      </w:pPr>
    </w:p>
    <w:p w14:paraId="3A70C18D" w14:textId="77777777" w:rsidR="00753D8B" w:rsidRDefault="00753D8B" w:rsidP="00DA0E6E">
      <w:pPr>
        <w:jc w:val="both"/>
        <w:rPr>
          <w:rFonts w:ascii="Times New Roman" w:hAnsi="Times New Roman" w:cs="Times New Roman"/>
          <w:b/>
          <w:bCs/>
          <w:sz w:val="20"/>
          <w:szCs w:val="20"/>
        </w:rPr>
      </w:pPr>
    </w:p>
    <w:p w14:paraId="23267E8B" w14:textId="77777777" w:rsidR="00753D8B" w:rsidRDefault="00753D8B" w:rsidP="00DA0E6E">
      <w:pPr>
        <w:jc w:val="both"/>
        <w:rPr>
          <w:rFonts w:ascii="Times New Roman" w:hAnsi="Times New Roman" w:cs="Times New Roman"/>
          <w:b/>
          <w:bCs/>
          <w:sz w:val="20"/>
          <w:szCs w:val="20"/>
        </w:rPr>
      </w:pPr>
    </w:p>
    <w:p w14:paraId="7BED3E79" w14:textId="77777777" w:rsidR="00753D8B" w:rsidRPr="00E62C6F" w:rsidRDefault="00753D8B" w:rsidP="00DA0E6E">
      <w:pPr>
        <w:jc w:val="both"/>
        <w:rPr>
          <w:rFonts w:ascii="Times New Roman" w:hAnsi="Times New Roman" w:cs="Times New Roman"/>
          <w:b/>
          <w:bCs/>
          <w:sz w:val="20"/>
          <w:szCs w:val="20"/>
        </w:rPr>
      </w:pPr>
    </w:p>
    <w:p w14:paraId="2406A326" w14:textId="4551A057" w:rsidR="009941C6" w:rsidRPr="00E62C6F" w:rsidRDefault="009941C6" w:rsidP="00DA0E6E">
      <w:pPr>
        <w:jc w:val="both"/>
        <w:rPr>
          <w:rFonts w:ascii="Times New Roman" w:hAnsi="Times New Roman" w:cs="Times New Roman"/>
          <w:b/>
          <w:bCs/>
          <w:sz w:val="20"/>
          <w:szCs w:val="20"/>
        </w:rPr>
      </w:pPr>
      <w:r w:rsidRPr="00E62C6F">
        <w:rPr>
          <w:rFonts w:ascii="Times New Roman" w:hAnsi="Times New Roman" w:cs="Times New Roman"/>
          <w:b/>
          <w:bCs/>
          <w:sz w:val="20"/>
          <w:szCs w:val="20"/>
        </w:rPr>
        <w:t>Methods</w:t>
      </w:r>
    </w:p>
    <w:p w14:paraId="2BBD5E0C" w14:textId="77777777" w:rsidR="00E77681" w:rsidRPr="00E77681" w:rsidRDefault="00E77681" w:rsidP="00DA0E6E">
      <w:pPr>
        <w:jc w:val="both"/>
        <w:rPr>
          <w:rFonts w:ascii="Times New Roman" w:hAnsi="Times New Roman" w:cs="Times New Roman"/>
          <w:sz w:val="20"/>
          <w:szCs w:val="20"/>
        </w:rPr>
      </w:pPr>
      <w:r w:rsidRPr="00E77681">
        <w:rPr>
          <w:rFonts w:ascii="Times New Roman" w:hAnsi="Times New Roman" w:cs="Times New Roman"/>
          <w:sz w:val="20"/>
          <w:szCs w:val="20"/>
        </w:rPr>
        <w:lastRenderedPageBreak/>
        <w:t>Study Design</w:t>
      </w:r>
    </w:p>
    <w:p w14:paraId="1ACDBABE" w14:textId="77777777" w:rsidR="00E77681" w:rsidRPr="00DA0E6E" w:rsidRDefault="00E77681" w:rsidP="00DA0E6E">
      <w:pPr>
        <w:jc w:val="both"/>
        <w:rPr>
          <w:rFonts w:ascii="Times New Roman" w:hAnsi="Times New Roman" w:cs="Times New Roman"/>
          <w:sz w:val="20"/>
          <w:szCs w:val="20"/>
        </w:rPr>
      </w:pPr>
      <w:r w:rsidRPr="00E77681">
        <w:rPr>
          <w:rFonts w:ascii="Times New Roman" w:hAnsi="Times New Roman" w:cs="Times New Roman"/>
          <w:sz w:val="20"/>
          <w:szCs w:val="20"/>
        </w:rPr>
        <w:t>This study employed a qualitative phenomenological design to explore the lived experiences of pregnant women who used herbal remedies during pregnancy. The phenomenological approach was chosen to gain deep insights into the personal, cultural, and social meanings that women attach to their use of herbs, focusing on their perceptions, motivations, and decision-making processes.</w:t>
      </w:r>
    </w:p>
    <w:p w14:paraId="6C159161" w14:textId="50D626C6" w:rsidR="00E77681" w:rsidRPr="00DA0E6E" w:rsidRDefault="00E77681" w:rsidP="00DA0E6E">
      <w:pPr>
        <w:jc w:val="both"/>
        <w:rPr>
          <w:rFonts w:ascii="Times New Roman" w:hAnsi="Times New Roman" w:cs="Times New Roman"/>
          <w:sz w:val="20"/>
          <w:szCs w:val="20"/>
        </w:rPr>
      </w:pPr>
      <w:r w:rsidRPr="00DA0E6E">
        <w:rPr>
          <w:rFonts w:ascii="Times New Roman" w:hAnsi="Times New Roman" w:cs="Times New Roman"/>
          <w:sz w:val="20"/>
          <w:szCs w:val="20"/>
        </w:rPr>
        <w:t>Study setting</w:t>
      </w:r>
    </w:p>
    <w:p w14:paraId="07937E69" w14:textId="300E2396" w:rsidR="00C71520" w:rsidRPr="00DA0E6E" w:rsidRDefault="00C71520"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The Sagnarigu Municipality, located in Ghana’s Northern Region, is a peri-urban district with a population of over 150,000, predominantly Dagomba people. Established in 2018, it borders Tamale and serves as an important agricultural and trading hub. The local economy relies on subsistence farming (yam, maize, livestock) and small-scale commerce, supported by its proximity to Tamale. Infrastructure includes basic schools, health centers, and road networks, though rural areas face </w:t>
      </w:r>
      <w:r w:rsidR="006B0FEB" w:rsidRPr="00DA0E6E">
        <w:rPr>
          <w:rFonts w:ascii="Times New Roman" w:hAnsi="Times New Roman" w:cs="Times New Roman"/>
          <w:sz w:val="20"/>
          <w:szCs w:val="20"/>
        </w:rPr>
        <w:t>water access and sanitation challenges</w:t>
      </w:r>
      <w:r w:rsidRPr="00DA0E6E">
        <w:rPr>
          <w:rFonts w:ascii="Times New Roman" w:hAnsi="Times New Roman" w:cs="Times New Roman"/>
          <w:sz w:val="20"/>
          <w:szCs w:val="20"/>
        </w:rPr>
        <w:t xml:space="preserve">. Culturally, the municipality is rich in Dagomba traditions, with festivals like Damba and Bugum playing a central role in community life.  </w:t>
      </w:r>
    </w:p>
    <w:p w14:paraId="35F6D974" w14:textId="7A4F7077" w:rsidR="00E77681" w:rsidRPr="00DA0E6E" w:rsidRDefault="00C71520"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Despite its growth, Sagnarigu faces key challenges, including youth unemployment, land disputes due to urbanization, and inadequate social services. Governance is structured under the Sagnarigu Municipal Assembly, with traditional chiefs also playing a vital role in local affairs. The municipality’s mix of rural and urban characteristics makes it </w:t>
      </w:r>
      <w:r w:rsidR="006B0FEB" w:rsidRPr="00DA0E6E">
        <w:rPr>
          <w:rFonts w:ascii="Times New Roman" w:hAnsi="Times New Roman" w:cs="Times New Roman"/>
          <w:sz w:val="20"/>
          <w:szCs w:val="20"/>
        </w:rPr>
        <w:t>ideal research</w:t>
      </w:r>
      <w:r w:rsidRPr="00DA0E6E">
        <w:rPr>
          <w:rFonts w:ascii="Times New Roman" w:hAnsi="Times New Roman" w:cs="Times New Roman"/>
          <w:sz w:val="20"/>
          <w:szCs w:val="20"/>
        </w:rPr>
        <w:t xml:space="preserve"> setting for studies on development, livelihoods, and local governance in northern Ghana. Its dynamic socio-economic environment provides valuable insights into peri-urban transformation and community resilience.</w:t>
      </w:r>
    </w:p>
    <w:p w14:paraId="10C085AE" w14:textId="77777777" w:rsidR="00C71520" w:rsidRPr="00C71520" w:rsidRDefault="00C71520" w:rsidP="00DA0E6E">
      <w:pPr>
        <w:jc w:val="both"/>
        <w:rPr>
          <w:rFonts w:ascii="Times New Roman" w:hAnsi="Times New Roman" w:cs="Times New Roman"/>
          <w:sz w:val="20"/>
          <w:szCs w:val="20"/>
        </w:rPr>
      </w:pPr>
      <w:r w:rsidRPr="00C71520">
        <w:rPr>
          <w:rFonts w:ascii="Times New Roman" w:hAnsi="Times New Roman" w:cs="Times New Roman"/>
          <w:sz w:val="20"/>
          <w:szCs w:val="20"/>
        </w:rPr>
        <w:t>Study Population</w:t>
      </w:r>
    </w:p>
    <w:p w14:paraId="44D525EC" w14:textId="77777777" w:rsidR="00C71520" w:rsidRPr="00C71520" w:rsidRDefault="00C71520" w:rsidP="00DA0E6E">
      <w:pPr>
        <w:jc w:val="both"/>
        <w:rPr>
          <w:rFonts w:ascii="Times New Roman" w:hAnsi="Times New Roman" w:cs="Times New Roman"/>
          <w:sz w:val="20"/>
          <w:szCs w:val="20"/>
        </w:rPr>
      </w:pPr>
      <w:r w:rsidRPr="00C71520">
        <w:rPr>
          <w:rFonts w:ascii="Times New Roman" w:hAnsi="Times New Roman" w:cs="Times New Roman"/>
          <w:sz w:val="20"/>
          <w:szCs w:val="20"/>
        </w:rPr>
        <w:t>The study population consisted of pregnant women residing in the Sagnarigu Municipality who had used at least one herbal remedy during their current or any previous pregnancy.</w:t>
      </w:r>
    </w:p>
    <w:p w14:paraId="46D3CD55" w14:textId="77777777" w:rsidR="00F76DF1" w:rsidRPr="00F76DF1" w:rsidRDefault="00F76DF1" w:rsidP="00DA0E6E">
      <w:pPr>
        <w:jc w:val="both"/>
        <w:rPr>
          <w:rFonts w:ascii="Times New Roman" w:hAnsi="Times New Roman" w:cs="Times New Roman"/>
          <w:sz w:val="20"/>
          <w:szCs w:val="20"/>
        </w:rPr>
      </w:pPr>
      <w:r w:rsidRPr="00F76DF1">
        <w:rPr>
          <w:rFonts w:ascii="Times New Roman" w:hAnsi="Times New Roman" w:cs="Times New Roman"/>
          <w:sz w:val="20"/>
          <w:szCs w:val="20"/>
        </w:rPr>
        <w:t>Inclusion and Exclusion Criteria</w:t>
      </w:r>
    </w:p>
    <w:p w14:paraId="46790873" w14:textId="77777777" w:rsidR="00F76DF1" w:rsidRPr="00DA0E6E" w:rsidRDefault="00F76DF1" w:rsidP="00DA0E6E">
      <w:pPr>
        <w:jc w:val="both"/>
        <w:rPr>
          <w:rFonts w:ascii="Times New Roman" w:hAnsi="Times New Roman" w:cs="Times New Roman"/>
          <w:sz w:val="20"/>
          <w:szCs w:val="20"/>
        </w:rPr>
      </w:pPr>
      <w:r w:rsidRPr="00F76DF1">
        <w:rPr>
          <w:rFonts w:ascii="Times New Roman" w:hAnsi="Times New Roman" w:cs="Times New Roman"/>
          <w:sz w:val="20"/>
          <w:szCs w:val="20"/>
        </w:rPr>
        <w:t>Participants were eligible for inclusion if they were pregnant women residing in the Sagnarigu Municipality who had used herbal remedies during their current or any previous pregnancy. Women were included regardless of their age, educational background, religious affiliation, or number of pregnancies, provided they were able to communicate effectively in either English or Dagbani and gave informed consent to participate in the study. Women were excluded if they had never used herbal remedies during pregnancy or if they were experiencing serious medical or psychological conditions at the time of data collection that could interfere with their ability to participate in an in-depth interview. Additionally, women who declined to be recorded or were unwilling to share personal experiences were not included in the study.</w:t>
      </w:r>
    </w:p>
    <w:p w14:paraId="660B62C3" w14:textId="77777777" w:rsidR="00661A58" w:rsidRPr="00661A58" w:rsidRDefault="00661A58" w:rsidP="00DA0E6E">
      <w:pPr>
        <w:jc w:val="both"/>
        <w:rPr>
          <w:rFonts w:ascii="Times New Roman" w:hAnsi="Times New Roman" w:cs="Times New Roman"/>
          <w:sz w:val="20"/>
          <w:szCs w:val="20"/>
        </w:rPr>
      </w:pPr>
      <w:r w:rsidRPr="00661A58">
        <w:rPr>
          <w:rFonts w:ascii="Times New Roman" w:hAnsi="Times New Roman" w:cs="Times New Roman"/>
          <w:sz w:val="20"/>
          <w:szCs w:val="20"/>
        </w:rPr>
        <w:t>Sample Size and Saturation</w:t>
      </w:r>
    </w:p>
    <w:p w14:paraId="5DD8B226" w14:textId="77777777" w:rsidR="00661A58" w:rsidRPr="00DA0E6E" w:rsidRDefault="00661A58" w:rsidP="00DA0E6E">
      <w:pPr>
        <w:jc w:val="both"/>
        <w:rPr>
          <w:rFonts w:ascii="Times New Roman" w:hAnsi="Times New Roman" w:cs="Times New Roman"/>
          <w:sz w:val="20"/>
          <w:szCs w:val="20"/>
        </w:rPr>
      </w:pPr>
      <w:r w:rsidRPr="00661A58">
        <w:rPr>
          <w:rFonts w:ascii="Times New Roman" w:hAnsi="Times New Roman" w:cs="Times New Roman"/>
          <w:sz w:val="20"/>
          <w:szCs w:val="20"/>
        </w:rPr>
        <w:t xml:space="preserve">A total of nine (9) pregnant women participated in this study. The sample size was determined based on the principles of data saturation, a key concept in qualitative research that refers to the point at which no new information or themes emerge from additional interviews. After the seventh interview, the research team observed that responses were becoming repetitive and that no new codes or insights were being generated. Two additional interviews were conducted to confirm this trend, bringing the total to nine participants. At that point, thematic saturation was considered achieved, as the core themes had been thoroughly explored and adequately represented across participants with varying backgrounds. </w:t>
      </w:r>
    </w:p>
    <w:p w14:paraId="6A321EF5" w14:textId="77777777" w:rsidR="00661A58" w:rsidRPr="00661A58" w:rsidRDefault="00661A58" w:rsidP="00DA0E6E">
      <w:pPr>
        <w:jc w:val="both"/>
        <w:rPr>
          <w:rFonts w:ascii="Times New Roman" w:hAnsi="Times New Roman" w:cs="Times New Roman"/>
          <w:sz w:val="20"/>
          <w:szCs w:val="20"/>
        </w:rPr>
      </w:pPr>
      <w:r w:rsidRPr="00661A58">
        <w:rPr>
          <w:rFonts w:ascii="Times New Roman" w:hAnsi="Times New Roman" w:cs="Times New Roman"/>
          <w:sz w:val="20"/>
          <w:szCs w:val="20"/>
        </w:rPr>
        <w:t>Sampling Techniques</w:t>
      </w:r>
    </w:p>
    <w:p w14:paraId="1FDA951E" w14:textId="77777777" w:rsidR="00661A58" w:rsidRPr="00661A58" w:rsidRDefault="00661A58" w:rsidP="00DA0E6E">
      <w:pPr>
        <w:jc w:val="both"/>
        <w:rPr>
          <w:rFonts w:ascii="Times New Roman" w:hAnsi="Times New Roman" w:cs="Times New Roman"/>
          <w:sz w:val="20"/>
          <w:szCs w:val="20"/>
        </w:rPr>
      </w:pPr>
      <w:r w:rsidRPr="00661A58">
        <w:rPr>
          <w:rFonts w:ascii="Times New Roman" w:hAnsi="Times New Roman" w:cs="Times New Roman"/>
          <w:sz w:val="20"/>
          <w:szCs w:val="20"/>
        </w:rPr>
        <w:t xml:space="preserve">This study employed a combination of purposive and snowball sampling techniques to recruit participants. Purposive sampling was used to deliberately select pregnant women who had experience using herbal remedies during pregnancy, as they could provide rich and relevant insights aligned with the study objectives. Participants were selected based on their willingness to share their experiences and their ability to communicate in English or Dagbani. To broaden the sample and reach additional eligible participants, snowball sampling was also utilized, </w:t>
      </w:r>
      <w:r w:rsidRPr="00661A58">
        <w:rPr>
          <w:rFonts w:ascii="Times New Roman" w:hAnsi="Times New Roman" w:cs="Times New Roman"/>
          <w:sz w:val="20"/>
          <w:szCs w:val="20"/>
        </w:rPr>
        <w:lastRenderedPageBreak/>
        <w:t>where initial participants referred other pregnant women within their networks who met the inclusion criteria. This combined approach facilitated access to a diverse group of participants with varying socio-demographic backgrounds and helped ensure data saturation.</w:t>
      </w:r>
    </w:p>
    <w:p w14:paraId="3B9F0008"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t>Data Collection Tools and Techniques</w:t>
      </w:r>
    </w:p>
    <w:p w14:paraId="5DD11210"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t>Data were collected using a semi-structured interview guide designed to explore participants’ experiences with herbal remedy use during pregnancy. The guide included open-ended questions and probing prompts covering areas such as types of herbal remedies used, reasons for use, perceived benefits, sources of knowledge, side effects, and how herbal use was balanced with formal antenatal care. The tool was developed based on literature review and expert input, and was pretested with two women outside the study sample to ensure clarity and cultural relevance.</w:t>
      </w:r>
    </w:p>
    <w:p w14:paraId="38AEE3E1"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t>Participants were initially contacted through community health volunteers, antenatal clinics, and local women’s groups. After identifying eligible participants through purposive sampling, researchers obtained referrals using snowballing where participants helped identify others who met the criteria. Once potential participants expressed interest, the research team provided full information about the study’s purpose, voluntary nature, and confidentiality measures, both verbally and in writing.</w:t>
      </w:r>
    </w:p>
    <w:p w14:paraId="2868F014"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t>Interviews were conducted face-to-face, either in the participants’ homes or at a neutral, quiet location preferred by the participant, ensuring privacy and comfort. Each interview lasted between 30 to 60 minutes and was conducted in either English or Dagbani, depending on the participant’s language preference. Interviews were audio-recorded with prior consent and later transcribed verbatim for analysis.</w:t>
      </w:r>
    </w:p>
    <w:p w14:paraId="5CCEF1BA"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t>Before each interview, informed consent was obtained in writing or orally (for those with limited literacy), including permission to record the conversation. Participants were assured that they could withdraw at any point without any consequences. The study adhered to strict ethical standards, including protecting participant confidentiality through the use of pseudonyms and removing identifiable information from transcripts.</w:t>
      </w:r>
    </w:p>
    <w:p w14:paraId="25DA9A51" w14:textId="77777777" w:rsidR="009C2F6C" w:rsidRPr="009C2F6C" w:rsidRDefault="009C2F6C" w:rsidP="00DA0E6E">
      <w:pPr>
        <w:jc w:val="both"/>
        <w:rPr>
          <w:rFonts w:ascii="Times New Roman" w:hAnsi="Times New Roman" w:cs="Times New Roman"/>
          <w:sz w:val="20"/>
          <w:szCs w:val="20"/>
        </w:rPr>
      </w:pPr>
      <w:r w:rsidRPr="009C2F6C">
        <w:rPr>
          <w:rFonts w:ascii="Times New Roman" w:hAnsi="Times New Roman" w:cs="Times New Roman"/>
          <w:sz w:val="20"/>
          <w:szCs w:val="20"/>
        </w:rPr>
        <w:t>Data Analysis</w:t>
      </w:r>
    </w:p>
    <w:p w14:paraId="4E5ECEE5" w14:textId="08F31DB3" w:rsidR="009C2F6C" w:rsidRPr="00DA0E6E" w:rsidRDefault="009C2F6C" w:rsidP="00DA0E6E">
      <w:pPr>
        <w:jc w:val="both"/>
        <w:rPr>
          <w:rFonts w:ascii="Times New Roman" w:hAnsi="Times New Roman" w:cs="Times New Roman"/>
          <w:sz w:val="20"/>
          <w:szCs w:val="20"/>
        </w:rPr>
      </w:pPr>
      <w:r w:rsidRPr="009C2F6C">
        <w:rPr>
          <w:rFonts w:ascii="Times New Roman" w:hAnsi="Times New Roman" w:cs="Times New Roman"/>
          <w:sz w:val="20"/>
          <w:szCs w:val="20"/>
        </w:rPr>
        <w:t>The data collected from interviews were analyzed using thematic analysis, following the six-step framework outlined by Braun and Clarke. First, all audio recordings were transcribed verbatim and reviewed alongside field notes for accuracy and completeness. The researchers began with familiarization, reading through each transcript multiple times to immerse themselves in the data. Next, initial codes were generated manually and later refined using NVivo software to support the systematic organization of data. These codes were grouped into categories, and similar categories were then merged to form overarching themes and sub-themes that reflected recurring patterns and meanings across the data. The analysis was iterative, with themes continuously reviewed, refined, and defined in relation to the study objectives. Reflexive discussions were held within the research team to ensure consistency, credibility, and depth in interpreting the data. To further enhance trustworthiness, direct quotes from participants were used to illustrate themes, providing authentic representation of their lived experiences</w:t>
      </w:r>
      <w:r w:rsidR="00B82F37" w:rsidRPr="00DA0E6E">
        <w:rPr>
          <w:rFonts w:ascii="Times New Roman" w:hAnsi="Times New Roman" w:cs="Times New Roman"/>
          <w:sz w:val="20"/>
          <w:szCs w:val="20"/>
        </w:rPr>
        <w:t>.</w:t>
      </w:r>
    </w:p>
    <w:p w14:paraId="1B7AE3A6" w14:textId="77777777" w:rsidR="00B82F37" w:rsidRPr="00B82F37" w:rsidRDefault="00B82F37" w:rsidP="00DA0E6E">
      <w:pPr>
        <w:jc w:val="both"/>
        <w:rPr>
          <w:rFonts w:ascii="Times New Roman" w:hAnsi="Times New Roman" w:cs="Times New Roman"/>
          <w:sz w:val="20"/>
          <w:szCs w:val="20"/>
        </w:rPr>
      </w:pPr>
      <w:r w:rsidRPr="00B82F37">
        <w:rPr>
          <w:rFonts w:ascii="Times New Roman" w:hAnsi="Times New Roman" w:cs="Times New Roman"/>
          <w:sz w:val="20"/>
          <w:szCs w:val="20"/>
        </w:rPr>
        <w:t>Methodological Rigour</w:t>
      </w:r>
    </w:p>
    <w:p w14:paraId="6F9DE140" w14:textId="31A64600" w:rsidR="00B82F37" w:rsidRPr="00DA0E6E" w:rsidRDefault="00B82F37" w:rsidP="00DA0E6E">
      <w:pPr>
        <w:jc w:val="both"/>
        <w:rPr>
          <w:rFonts w:ascii="Times New Roman" w:hAnsi="Times New Roman" w:cs="Times New Roman"/>
          <w:sz w:val="20"/>
          <w:szCs w:val="20"/>
        </w:rPr>
      </w:pPr>
      <w:r w:rsidRPr="00B82F37">
        <w:rPr>
          <w:rFonts w:ascii="Times New Roman" w:hAnsi="Times New Roman" w:cs="Times New Roman"/>
          <w:sz w:val="20"/>
          <w:szCs w:val="20"/>
        </w:rPr>
        <w:t>To ensure methodological rigour and trustworthiness, this study adhered to the four key principles of qualitative research: credibility, transferability, dependability, and confirmability.</w:t>
      </w:r>
      <w:r w:rsidRPr="00DA0E6E">
        <w:rPr>
          <w:rFonts w:ascii="Times New Roman" w:hAnsi="Times New Roman" w:cs="Times New Roman"/>
          <w:sz w:val="20"/>
          <w:szCs w:val="20"/>
        </w:rPr>
        <w:t xml:space="preserve"> </w:t>
      </w:r>
      <w:r w:rsidRPr="00B82F37">
        <w:rPr>
          <w:rFonts w:ascii="Times New Roman" w:hAnsi="Times New Roman" w:cs="Times New Roman"/>
          <w:sz w:val="20"/>
          <w:szCs w:val="20"/>
        </w:rPr>
        <w:t>Credibility was achieved through prolonged engagement with participants and the use of member checking, where selected participants were contacted after interviews to verify the accuracy of their responses and the interpretations drawn from them. This helped to ensure that the participants’ voices were authentically represented.</w:t>
      </w:r>
      <w:r w:rsidRPr="00DA0E6E">
        <w:rPr>
          <w:rFonts w:ascii="Times New Roman" w:hAnsi="Times New Roman" w:cs="Times New Roman"/>
          <w:sz w:val="20"/>
          <w:szCs w:val="20"/>
        </w:rPr>
        <w:t xml:space="preserve"> </w:t>
      </w:r>
      <w:r w:rsidRPr="00B82F37">
        <w:rPr>
          <w:rFonts w:ascii="Times New Roman" w:hAnsi="Times New Roman" w:cs="Times New Roman"/>
          <w:sz w:val="20"/>
          <w:szCs w:val="20"/>
        </w:rPr>
        <w:t>Transferability was supported by providing thick, detailed descriptions of the research context, participant demographics, and data collection process. This allows readers to determine whether the findings may be applicable to other similar settings or populations.</w:t>
      </w:r>
      <w:r w:rsidRPr="00DA0E6E">
        <w:rPr>
          <w:rFonts w:ascii="Times New Roman" w:hAnsi="Times New Roman" w:cs="Times New Roman"/>
          <w:sz w:val="20"/>
          <w:szCs w:val="20"/>
        </w:rPr>
        <w:t xml:space="preserve"> </w:t>
      </w:r>
      <w:r w:rsidRPr="00B82F37">
        <w:rPr>
          <w:rFonts w:ascii="Times New Roman" w:hAnsi="Times New Roman" w:cs="Times New Roman"/>
          <w:sz w:val="20"/>
          <w:szCs w:val="20"/>
        </w:rPr>
        <w:t>Dependability was ensured by maintaining an audit trail throughout the research process. This included documentation of all methodological decisions, coding schemes, and changes made during the analysis. The research team also engaged in regular debriefing and reflection sessions to maintain consistency in data interpretation.</w:t>
      </w:r>
      <w:r w:rsidRPr="00DA0E6E">
        <w:rPr>
          <w:rFonts w:ascii="Times New Roman" w:hAnsi="Times New Roman" w:cs="Times New Roman"/>
          <w:sz w:val="20"/>
          <w:szCs w:val="20"/>
        </w:rPr>
        <w:t xml:space="preserve"> </w:t>
      </w:r>
      <w:r w:rsidRPr="00B82F37">
        <w:rPr>
          <w:rFonts w:ascii="Times New Roman" w:hAnsi="Times New Roman" w:cs="Times New Roman"/>
          <w:sz w:val="20"/>
          <w:szCs w:val="20"/>
        </w:rPr>
        <w:t xml:space="preserve">Confirmability was addressed by demonstrating neutrality and reflexivity. The researchers acknowledged their own potential biases and </w:t>
      </w:r>
      <w:r w:rsidRPr="00B82F37">
        <w:rPr>
          <w:rFonts w:ascii="Times New Roman" w:hAnsi="Times New Roman" w:cs="Times New Roman"/>
          <w:sz w:val="20"/>
          <w:szCs w:val="20"/>
        </w:rPr>
        <w:lastRenderedPageBreak/>
        <w:t>preconceptions and minimized their influence through reflexive journaling and peer debriefing. Additionally, all data, including field notes, transcripts, and coding files, were stored securely to allow for external review if needed.</w:t>
      </w:r>
    </w:p>
    <w:p w14:paraId="4EC46F37" w14:textId="63F63DD6" w:rsidR="00B82F37" w:rsidRPr="00DA0E6E" w:rsidRDefault="007E0C91" w:rsidP="00DA0E6E">
      <w:pPr>
        <w:jc w:val="both"/>
        <w:rPr>
          <w:rFonts w:ascii="Times New Roman" w:hAnsi="Times New Roman" w:cs="Times New Roman"/>
          <w:sz w:val="20"/>
          <w:szCs w:val="20"/>
        </w:rPr>
      </w:pPr>
      <w:r w:rsidRPr="00DA0E6E">
        <w:rPr>
          <w:rFonts w:ascii="Times New Roman" w:hAnsi="Times New Roman" w:cs="Times New Roman"/>
          <w:sz w:val="20"/>
          <w:szCs w:val="20"/>
        </w:rPr>
        <w:t>Ethical consideration</w:t>
      </w:r>
    </w:p>
    <w:p w14:paraId="73899DB3" w14:textId="73EC8031" w:rsidR="007E0C91" w:rsidRPr="00B82F37" w:rsidRDefault="007E0C91" w:rsidP="00DA0E6E">
      <w:pPr>
        <w:jc w:val="both"/>
        <w:rPr>
          <w:rFonts w:ascii="Times New Roman" w:hAnsi="Times New Roman" w:cs="Times New Roman"/>
          <w:sz w:val="20"/>
          <w:szCs w:val="20"/>
        </w:rPr>
      </w:pPr>
      <w:r w:rsidRPr="00DA0E6E">
        <w:rPr>
          <w:rFonts w:ascii="Times New Roman" w:hAnsi="Times New Roman" w:cs="Times New Roman"/>
          <w:sz w:val="20"/>
          <w:szCs w:val="20"/>
        </w:rPr>
        <w:t>Permission was also sought from relevant local health authorities and community leaders within the Sagnarigu Municipality to facilitate community access and participant recruitment. All participants were provided with detailed information about the purpose, procedures, risks, and benefits of the study in a language they understood. Written or verbal informed consent was obtained from each participant before the interview began. Participants were assured of the voluntary nature of their participation, their right to withdraw at any time without any consequences, and the confidentiality of their responses. To protect privacy, pseudonyms were used, and all identifying information was removed from transcripts and reports. Audio recordings and transcripts were securely stored and accessed only by the research team.</w:t>
      </w:r>
    </w:p>
    <w:p w14:paraId="6177730E" w14:textId="3B3127BF" w:rsidR="009941C6" w:rsidRPr="00DA0E6E" w:rsidRDefault="009941C6" w:rsidP="00DA0E6E">
      <w:pPr>
        <w:jc w:val="both"/>
        <w:rPr>
          <w:rFonts w:ascii="Times New Roman" w:hAnsi="Times New Roman" w:cs="Times New Roman"/>
          <w:sz w:val="20"/>
          <w:szCs w:val="20"/>
        </w:rPr>
      </w:pPr>
    </w:p>
    <w:p w14:paraId="091A0682" w14:textId="130438E0" w:rsidR="002E7DFB" w:rsidRDefault="002E7DFB" w:rsidP="00DA0E6E">
      <w:pPr>
        <w:jc w:val="both"/>
        <w:rPr>
          <w:rFonts w:ascii="Times New Roman" w:hAnsi="Times New Roman" w:cs="Times New Roman"/>
          <w:b/>
          <w:bCs/>
          <w:sz w:val="20"/>
          <w:szCs w:val="20"/>
        </w:rPr>
      </w:pPr>
      <w:r w:rsidRPr="00E62C6F">
        <w:rPr>
          <w:rFonts w:ascii="Times New Roman" w:hAnsi="Times New Roman" w:cs="Times New Roman"/>
          <w:b/>
          <w:bCs/>
          <w:sz w:val="20"/>
          <w:szCs w:val="20"/>
        </w:rPr>
        <w:t>Results</w:t>
      </w:r>
    </w:p>
    <w:p w14:paraId="397A36F8" w14:textId="1059AF52" w:rsidR="003956FD" w:rsidRDefault="003C60E8" w:rsidP="00DA0E6E">
      <w:pPr>
        <w:jc w:val="both"/>
        <w:rPr>
          <w:rFonts w:ascii="Times New Roman" w:hAnsi="Times New Roman" w:cs="Times New Roman"/>
          <w:b/>
          <w:bCs/>
          <w:sz w:val="20"/>
          <w:szCs w:val="20"/>
        </w:rPr>
      </w:pPr>
      <w:r>
        <w:rPr>
          <w:rFonts w:ascii="Times New Roman" w:hAnsi="Times New Roman" w:cs="Times New Roman"/>
          <w:b/>
          <w:bCs/>
          <w:sz w:val="20"/>
          <w:szCs w:val="20"/>
        </w:rPr>
        <w:t>Socio-demographic</w:t>
      </w:r>
      <w:r w:rsidR="003956FD">
        <w:rPr>
          <w:rFonts w:ascii="Times New Roman" w:hAnsi="Times New Roman" w:cs="Times New Roman"/>
          <w:b/>
          <w:bCs/>
          <w:sz w:val="20"/>
          <w:szCs w:val="20"/>
        </w:rPr>
        <w:t xml:space="preserve"> characteristics</w:t>
      </w:r>
    </w:p>
    <w:p w14:paraId="359ED848" w14:textId="0B0AC349" w:rsidR="003956FD" w:rsidRPr="003C60E8" w:rsidRDefault="003C60E8" w:rsidP="00DA0E6E">
      <w:pPr>
        <w:jc w:val="both"/>
        <w:rPr>
          <w:rFonts w:ascii="Times New Roman" w:hAnsi="Times New Roman" w:cs="Times New Roman"/>
          <w:sz w:val="20"/>
          <w:szCs w:val="20"/>
        </w:rPr>
      </w:pPr>
      <w:r w:rsidRPr="003C60E8">
        <w:rPr>
          <w:rFonts w:ascii="Times New Roman" w:hAnsi="Times New Roman" w:cs="Times New Roman"/>
          <w:sz w:val="20"/>
          <w:szCs w:val="20"/>
        </w:rPr>
        <w:t xml:space="preserve">The table </w:t>
      </w:r>
      <w:r>
        <w:rPr>
          <w:rFonts w:ascii="Times New Roman" w:hAnsi="Times New Roman" w:cs="Times New Roman"/>
          <w:sz w:val="20"/>
          <w:szCs w:val="20"/>
        </w:rPr>
        <w:t xml:space="preserve">1 </w:t>
      </w:r>
      <w:r w:rsidRPr="003C60E8">
        <w:rPr>
          <w:rFonts w:ascii="Times New Roman" w:hAnsi="Times New Roman" w:cs="Times New Roman"/>
          <w:sz w:val="20"/>
          <w:szCs w:val="20"/>
        </w:rPr>
        <w:t>presents data on nine participants, highlighting their age, obstetric history (gravida and parity), education level, occupation, religion, and the type of herbal remedy used during pregnancy. The ages of respondents range from 20 to 38 years. Gravidity ranges from G1 to G6, and parity from P0 to P5. Educational attainment varies, with some having no formal education while others have reached tertiary level. Occupations include seamstress, trader, teacher, housewife, farmer, nurse, student, and food vendor. The majority are Muslims, with a few Christians and one Traditionalist. Various herbal remedies were reported, including neem leaves decoction, bitter leaf extract, guava leaf tea, and herbal mixtures from traditional healers.</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51"/>
        <w:gridCol w:w="921"/>
        <w:gridCol w:w="744"/>
        <w:gridCol w:w="1759"/>
        <w:gridCol w:w="1276"/>
        <w:gridCol w:w="1360"/>
        <w:gridCol w:w="2650"/>
      </w:tblGrid>
      <w:tr w:rsidR="00E259DD" w:rsidRPr="003956FD" w14:paraId="639D000B" w14:textId="77777777" w:rsidTr="00516333">
        <w:trPr>
          <w:trHeight w:val="301"/>
          <w:jc w:val="center"/>
        </w:trPr>
        <w:tc>
          <w:tcPr>
            <w:tcW w:w="10257" w:type="dxa"/>
            <w:gridSpan w:val="8"/>
            <w:shd w:val="clear" w:color="auto" w:fill="auto"/>
            <w:noWrap/>
            <w:vAlign w:val="bottom"/>
            <w:hideMark/>
          </w:tcPr>
          <w:p w14:paraId="72D15454" w14:textId="7B784980" w:rsidR="00E259DD" w:rsidRPr="003956FD" w:rsidRDefault="00E259DD" w:rsidP="00DA0E6E">
            <w:pPr>
              <w:spacing w:after="0" w:line="240" w:lineRule="auto"/>
              <w:jc w:val="both"/>
              <w:rPr>
                <w:rFonts w:ascii="Times New Roman" w:eastAsia="Times New Roman" w:hAnsi="Times New Roman" w:cs="Times New Roman"/>
                <w:kern w:val="0"/>
                <w:sz w:val="18"/>
                <w:szCs w:val="18"/>
                <w14:ligatures w14:val="none"/>
              </w:rPr>
            </w:pPr>
            <w:r w:rsidRPr="003956FD">
              <w:rPr>
                <w:rFonts w:ascii="Times New Roman" w:eastAsia="Times New Roman" w:hAnsi="Times New Roman" w:cs="Times New Roman"/>
                <w:color w:val="000000"/>
                <w:kern w:val="0"/>
                <w:sz w:val="18"/>
                <w:szCs w:val="18"/>
                <w14:ligatures w14:val="none"/>
              </w:rPr>
              <w:t>Table 1: Socio-demographic characteristics of the respondents</w:t>
            </w:r>
          </w:p>
        </w:tc>
      </w:tr>
      <w:tr w:rsidR="00E259DD" w:rsidRPr="003956FD" w14:paraId="646DC252" w14:textId="77777777" w:rsidTr="00516333">
        <w:trPr>
          <w:trHeight w:val="301"/>
          <w:jc w:val="center"/>
        </w:trPr>
        <w:tc>
          <w:tcPr>
            <w:tcW w:w="996" w:type="dxa"/>
            <w:shd w:val="clear" w:color="auto" w:fill="auto"/>
            <w:noWrap/>
            <w:vAlign w:val="center"/>
            <w:hideMark/>
          </w:tcPr>
          <w:p w14:paraId="191784A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Participant</w:t>
            </w:r>
          </w:p>
        </w:tc>
        <w:tc>
          <w:tcPr>
            <w:tcW w:w="551" w:type="dxa"/>
            <w:shd w:val="clear" w:color="auto" w:fill="auto"/>
            <w:noWrap/>
            <w:vAlign w:val="center"/>
            <w:hideMark/>
          </w:tcPr>
          <w:p w14:paraId="3647FE2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Age</w:t>
            </w:r>
          </w:p>
        </w:tc>
        <w:tc>
          <w:tcPr>
            <w:tcW w:w="921" w:type="dxa"/>
            <w:shd w:val="clear" w:color="auto" w:fill="auto"/>
            <w:noWrap/>
            <w:vAlign w:val="center"/>
            <w:hideMark/>
          </w:tcPr>
          <w:p w14:paraId="02ED62E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Gravida</w:t>
            </w:r>
          </w:p>
        </w:tc>
        <w:tc>
          <w:tcPr>
            <w:tcW w:w="744" w:type="dxa"/>
            <w:shd w:val="clear" w:color="auto" w:fill="auto"/>
            <w:noWrap/>
            <w:vAlign w:val="center"/>
            <w:hideMark/>
          </w:tcPr>
          <w:p w14:paraId="67F7F7C1"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Parity</w:t>
            </w:r>
          </w:p>
        </w:tc>
        <w:tc>
          <w:tcPr>
            <w:tcW w:w="1759" w:type="dxa"/>
            <w:shd w:val="clear" w:color="auto" w:fill="auto"/>
            <w:noWrap/>
            <w:vAlign w:val="center"/>
            <w:hideMark/>
          </w:tcPr>
          <w:p w14:paraId="2EE89E0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Education Level</w:t>
            </w:r>
          </w:p>
        </w:tc>
        <w:tc>
          <w:tcPr>
            <w:tcW w:w="1276" w:type="dxa"/>
            <w:shd w:val="clear" w:color="auto" w:fill="auto"/>
            <w:noWrap/>
            <w:vAlign w:val="center"/>
            <w:hideMark/>
          </w:tcPr>
          <w:p w14:paraId="2D03472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Occupation</w:t>
            </w:r>
          </w:p>
        </w:tc>
        <w:tc>
          <w:tcPr>
            <w:tcW w:w="1360" w:type="dxa"/>
            <w:shd w:val="clear" w:color="auto" w:fill="auto"/>
            <w:noWrap/>
            <w:vAlign w:val="center"/>
            <w:hideMark/>
          </w:tcPr>
          <w:p w14:paraId="5CACEB7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Religion</w:t>
            </w:r>
          </w:p>
        </w:tc>
        <w:tc>
          <w:tcPr>
            <w:tcW w:w="2650" w:type="dxa"/>
            <w:shd w:val="clear" w:color="auto" w:fill="auto"/>
            <w:noWrap/>
            <w:vAlign w:val="center"/>
            <w:hideMark/>
          </w:tcPr>
          <w:p w14:paraId="510914BF" w14:textId="323F25C3"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Herbal Remedy Used</w:t>
            </w:r>
          </w:p>
        </w:tc>
      </w:tr>
      <w:tr w:rsidR="00E259DD" w:rsidRPr="003956FD" w14:paraId="5A6CE363" w14:textId="77777777" w:rsidTr="00516333">
        <w:trPr>
          <w:trHeight w:val="301"/>
          <w:jc w:val="center"/>
        </w:trPr>
        <w:tc>
          <w:tcPr>
            <w:tcW w:w="996" w:type="dxa"/>
            <w:shd w:val="clear" w:color="auto" w:fill="auto"/>
            <w:noWrap/>
            <w:vAlign w:val="center"/>
            <w:hideMark/>
          </w:tcPr>
          <w:p w14:paraId="61C4A2F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P1</w:t>
            </w:r>
          </w:p>
        </w:tc>
        <w:tc>
          <w:tcPr>
            <w:tcW w:w="551" w:type="dxa"/>
            <w:shd w:val="clear" w:color="auto" w:fill="auto"/>
            <w:noWrap/>
            <w:vAlign w:val="center"/>
            <w:hideMark/>
          </w:tcPr>
          <w:p w14:paraId="4FAC11FA"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24</w:t>
            </w:r>
          </w:p>
        </w:tc>
        <w:tc>
          <w:tcPr>
            <w:tcW w:w="921" w:type="dxa"/>
            <w:shd w:val="clear" w:color="auto" w:fill="auto"/>
            <w:noWrap/>
            <w:vAlign w:val="center"/>
            <w:hideMark/>
          </w:tcPr>
          <w:p w14:paraId="173A8B86"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G2</w:t>
            </w:r>
          </w:p>
        </w:tc>
        <w:tc>
          <w:tcPr>
            <w:tcW w:w="744" w:type="dxa"/>
            <w:shd w:val="clear" w:color="auto" w:fill="auto"/>
            <w:noWrap/>
            <w:vAlign w:val="center"/>
            <w:hideMark/>
          </w:tcPr>
          <w:p w14:paraId="3C07562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P1</w:t>
            </w:r>
          </w:p>
        </w:tc>
        <w:tc>
          <w:tcPr>
            <w:tcW w:w="1759" w:type="dxa"/>
            <w:shd w:val="clear" w:color="auto" w:fill="auto"/>
            <w:noWrap/>
            <w:vAlign w:val="center"/>
            <w:hideMark/>
          </w:tcPr>
          <w:p w14:paraId="0080815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Secondary</w:t>
            </w:r>
          </w:p>
        </w:tc>
        <w:tc>
          <w:tcPr>
            <w:tcW w:w="1276" w:type="dxa"/>
            <w:shd w:val="clear" w:color="auto" w:fill="auto"/>
            <w:noWrap/>
            <w:vAlign w:val="center"/>
            <w:hideMark/>
          </w:tcPr>
          <w:p w14:paraId="5CEEAD6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Seamstress</w:t>
            </w:r>
          </w:p>
        </w:tc>
        <w:tc>
          <w:tcPr>
            <w:tcW w:w="1360" w:type="dxa"/>
            <w:shd w:val="clear" w:color="auto" w:fill="auto"/>
            <w:noWrap/>
            <w:vAlign w:val="center"/>
            <w:hideMark/>
          </w:tcPr>
          <w:p w14:paraId="768ECB9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5F26468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Neem leaves decoction</w:t>
            </w:r>
          </w:p>
        </w:tc>
      </w:tr>
      <w:tr w:rsidR="00E259DD" w:rsidRPr="003956FD" w14:paraId="4462E204" w14:textId="77777777" w:rsidTr="00516333">
        <w:trPr>
          <w:trHeight w:val="301"/>
          <w:jc w:val="center"/>
        </w:trPr>
        <w:tc>
          <w:tcPr>
            <w:tcW w:w="996" w:type="dxa"/>
            <w:shd w:val="clear" w:color="auto" w:fill="auto"/>
            <w:noWrap/>
            <w:vAlign w:val="center"/>
            <w:hideMark/>
          </w:tcPr>
          <w:p w14:paraId="1E5C433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P2</w:t>
            </w:r>
          </w:p>
        </w:tc>
        <w:tc>
          <w:tcPr>
            <w:tcW w:w="551" w:type="dxa"/>
            <w:shd w:val="clear" w:color="auto" w:fill="auto"/>
            <w:noWrap/>
            <w:vAlign w:val="center"/>
            <w:hideMark/>
          </w:tcPr>
          <w:p w14:paraId="548AED7E"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31</w:t>
            </w:r>
          </w:p>
        </w:tc>
        <w:tc>
          <w:tcPr>
            <w:tcW w:w="921" w:type="dxa"/>
            <w:shd w:val="clear" w:color="auto" w:fill="auto"/>
            <w:noWrap/>
            <w:vAlign w:val="center"/>
            <w:hideMark/>
          </w:tcPr>
          <w:p w14:paraId="70C5DF2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G4</w:t>
            </w:r>
          </w:p>
        </w:tc>
        <w:tc>
          <w:tcPr>
            <w:tcW w:w="744" w:type="dxa"/>
            <w:shd w:val="clear" w:color="auto" w:fill="auto"/>
            <w:noWrap/>
            <w:vAlign w:val="center"/>
            <w:hideMark/>
          </w:tcPr>
          <w:p w14:paraId="720FAA7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P3</w:t>
            </w:r>
          </w:p>
        </w:tc>
        <w:tc>
          <w:tcPr>
            <w:tcW w:w="1759" w:type="dxa"/>
            <w:shd w:val="clear" w:color="auto" w:fill="auto"/>
            <w:noWrap/>
            <w:vAlign w:val="center"/>
            <w:hideMark/>
          </w:tcPr>
          <w:p w14:paraId="5E0BB7C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Primary</w:t>
            </w:r>
          </w:p>
        </w:tc>
        <w:tc>
          <w:tcPr>
            <w:tcW w:w="1276" w:type="dxa"/>
            <w:shd w:val="clear" w:color="auto" w:fill="auto"/>
            <w:noWrap/>
            <w:vAlign w:val="center"/>
            <w:hideMark/>
          </w:tcPr>
          <w:p w14:paraId="0297173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Trader</w:t>
            </w:r>
          </w:p>
        </w:tc>
        <w:tc>
          <w:tcPr>
            <w:tcW w:w="1360" w:type="dxa"/>
            <w:shd w:val="clear" w:color="auto" w:fill="auto"/>
            <w:noWrap/>
            <w:vAlign w:val="center"/>
            <w:hideMark/>
          </w:tcPr>
          <w:p w14:paraId="3E40AA4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51D06FEE"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Bitter leaf extract</w:t>
            </w:r>
          </w:p>
        </w:tc>
      </w:tr>
      <w:tr w:rsidR="00E259DD" w:rsidRPr="003956FD" w14:paraId="01F2684D" w14:textId="77777777" w:rsidTr="00516333">
        <w:trPr>
          <w:trHeight w:val="301"/>
          <w:jc w:val="center"/>
        </w:trPr>
        <w:tc>
          <w:tcPr>
            <w:tcW w:w="996" w:type="dxa"/>
            <w:shd w:val="clear" w:color="auto" w:fill="auto"/>
            <w:noWrap/>
            <w:vAlign w:val="center"/>
            <w:hideMark/>
          </w:tcPr>
          <w:p w14:paraId="2085842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P3</w:t>
            </w:r>
          </w:p>
        </w:tc>
        <w:tc>
          <w:tcPr>
            <w:tcW w:w="551" w:type="dxa"/>
            <w:shd w:val="clear" w:color="auto" w:fill="auto"/>
            <w:noWrap/>
            <w:vAlign w:val="center"/>
            <w:hideMark/>
          </w:tcPr>
          <w:p w14:paraId="3D2B97B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27</w:t>
            </w:r>
          </w:p>
        </w:tc>
        <w:tc>
          <w:tcPr>
            <w:tcW w:w="921" w:type="dxa"/>
            <w:shd w:val="clear" w:color="auto" w:fill="auto"/>
            <w:noWrap/>
            <w:vAlign w:val="center"/>
            <w:hideMark/>
          </w:tcPr>
          <w:p w14:paraId="4C67651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G3</w:t>
            </w:r>
          </w:p>
        </w:tc>
        <w:tc>
          <w:tcPr>
            <w:tcW w:w="744" w:type="dxa"/>
            <w:shd w:val="clear" w:color="auto" w:fill="auto"/>
            <w:noWrap/>
            <w:vAlign w:val="center"/>
            <w:hideMark/>
          </w:tcPr>
          <w:p w14:paraId="359E5D5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P2</w:t>
            </w:r>
          </w:p>
        </w:tc>
        <w:tc>
          <w:tcPr>
            <w:tcW w:w="1759" w:type="dxa"/>
            <w:shd w:val="clear" w:color="auto" w:fill="auto"/>
            <w:noWrap/>
            <w:vAlign w:val="center"/>
            <w:hideMark/>
          </w:tcPr>
          <w:p w14:paraId="176F32EA"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Tertiary</w:t>
            </w:r>
          </w:p>
        </w:tc>
        <w:tc>
          <w:tcPr>
            <w:tcW w:w="1276" w:type="dxa"/>
            <w:shd w:val="clear" w:color="auto" w:fill="auto"/>
            <w:noWrap/>
            <w:vAlign w:val="center"/>
            <w:hideMark/>
          </w:tcPr>
          <w:p w14:paraId="2000F4DB"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Teacher</w:t>
            </w:r>
          </w:p>
        </w:tc>
        <w:tc>
          <w:tcPr>
            <w:tcW w:w="1360" w:type="dxa"/>
            <w:shd w:val="clear" w:color="auto" w:fill="auto"/>
            <w:noWrap/>
            <w:vAlign w:val="center"/>
            <w:hideMark/>
          </w:tcPr>
          <w:p w14:paraId="1E8680F1"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Christian</w:t>
            </w:r>
          </w:p>
        </w:tc>
        <w:tc>
          <w:tcPr>
            <w:tcW w:w="2650" w:type="dxa"/>
            <w:shd w:val="clear" w:color="auto" w:fill="auto"/>
            <w:noWrap/>
            <w:vAlign w:val="center"/>
            <w:hideMark/>
          </w:tcPr>
          <w:p w14:paraId="290D6542" w14:textId="67EF8966"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Herbal mixture from a traditional healer</w:t>
            </w:r>
          </w:p>
        </w:tc>
      </w:tr>
      <w:tr w:rsidR="00E259DD" w:rsidRPr="003956FD" w14:paraId="2CB4416B" w14:textId="77777777" w:rsidTr="00516333">
        <w:trPr>
          <w:trHeight w:val="301"/>
          <w:jc w:val="center"/>
        </w:trPr>
        <w:tc>
          <w:tcPr>
            <w:tcW w:w="996" w:type="dxa"/>
            <w:shd w:val="clear" w:color="auto" w:fill="auto"/>
            <w:noWrap/>
            <w:vAlign w:val="center"/>
            <w:hideMark/>
          </w:tcPr>
          <w:p w14:paraId="4B9804D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P4</w:t>
            </w:r>
          </w:p>
        </w:tc>
        <w:tc>
          <w:tcPr>
            <w:tcW w:w="551" w:type="dxa"/>
            <w:shd w:val="clear" w:color="auto" w:fill="auto"/>
            <w:noWrap/>
            <w:vAlign w:val="center"/>
            <w:hideMark/>
          </w:tcPr>
          <w:p w14:paraId="21FEDF7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20</w:t>
            </w:r>
          </w:p>
        </w:tc>
        <w:tc>
          <w:tcPr>
            <w:tcW w:w="921" w:type="dxa"/>
            <w:shd w:val="clear" w:color="auto" w:fill="auto"/>
            <w:noWrap/>
            <w:vAlign w:val="center"/>
            <w:hideMark/>
          </w:tcPr>
          <w:p w14:paraId="49D0830B"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G1</w:t>
            </w:r>
          </w:p>
        </w:tc>
        <w:tc>
          <w:tcPr>
            <w:tcW w:w="744" w:type="dxa"/>
            <w:shd w:val="clear" w:color="auto" w:fill="auto"/>
            <w:noWrap/>
            <w:vAlign w:val="center"/>
            <w:hideMark/>
          </w:tcPr>
          <w:p w14:paraId="5F40258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P0</w:t>
            </w:r>
          </w:p>
        </w:tc>
        <w:tc>
          <w:tcPr>
            <w:tcW w:w="1759" w:type="dxa"/>
            <w:shd w:val="clear" w:color="auto" w:fill="auto"/>
            <w:noWrap/>
            <w:vAlign w:val="center"/>
            <w:hideMark/>
          </w:tcPr>
          <w:p w14:paraId="3AEC4811"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No formal education</w:t>
            </w:r>
          </w:p>
        </w:tc>
        <w:tc>
          <w:tcPr>
            <w:tcW w:w="1276" w:type="dxa"/>
            <w:shd w:val="clear" w:color="auto" w:fill="auto"/>
            <w:noWrap/>
            <w:vAlign w:val="center"/>
            <w:hideMark/>
          </w:tcPr>
          <w:p w14:paraId="15958B7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Housewife</w:t>
            </w:r>
          </w:p>
        </w:tc>
        <w:tc>
          <w:tcPr>
            <w:tcW w:w="1360" w:type="dxa"/>
            <w:shd w:val="clear" w:color="auto" w:fill="auto"/>
            <w:noWrap/>
            <w:vAlign w:val="center"/>
            <w:hideMark/>
          </w:tcPr>
          <w:p w14:paraId="15BBF1BC"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66357AC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Guava leaf tea</w:t>
            </w:r>
          </w:p>
        </w:tc>
      </w:tr>
      <w:tr w:rsidR="00E259DD" w:rsidRPr="003956FD" w14:paraId="09654735" w14:textId="77777777" w:rsidTr="00516333">
        <w:trPr>
          <w:trHeight w:val="301"/>
          <w:jc w:val="center"/>
        </w:trPr>
        <w:tc>
          <w:tcPr>
            <w:tcW w:w="996" w:type="dxa"/>
            <w:shd w:val="clear" w:color="auto" w:fill="auto"/>
            <w:noWrap/>
            <w:vAlign w:val="center"/>
            <w:hideMark/>
          </w:tcPr>
          <w:p w14:paraId="1A3E7BE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P5</w:t>
            </w:r>
          </w:p>
        </w:tc>
        <w:tc>
          <w:tcPr>
            <w:tcW w:w="551" w:type="dxa"/>
            <w:shd w:val="clear" w:color="auto" w:fill="auto"/>
            <w:noWrap/>
            <w:vAlign w:val="center"/>
            <w:hideMark/>
          </w:tcPr>
          <w:p w14:paraId="6A23A16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36</w:t>
            </w:r>
          </w:p>
        </w:tc>
        <w:tc>
          <w:tcPr>
            <w:tcW w:w="921" w:type="dxa"/>
            <w:shd w:val="clear" w:color="auto" w:fill="auto"/>
            <w:noWrap/>
            <w:vAlign w:val="center"/>
            <w:hideMark/>
          </w:tcPr>
          <w:p w14:paraId="73F3185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G5</w:t>
            </w:r>
          </w:p>
        </w:tc>
        <w:tc>
          <w:tcPr>
            <w:tcW w:w="744" w:type="dxa"/>
            <w:shd w:val="clear" w:color="auto" w:fill="auto"/>
            <w:noWrap/>
            <w:vAlign w:val="center"/>
            <w:hideMark/>
          </w:tcPr>
          <w:p w14:paraId="4FF9EFD0"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P4</w:t>
            </w:r>
          </w:p>
        </w:tc>
        <w:tc>
          <w:tcPr>
            <w:tcW w:w="1759" w:type="dxa"/>
            <w:shd w:val="clear" w:color="auto" w:fill="auto"/>
            <w:noWrap/>
            <w:vAlign w:val="center"/>
            <w:hideMark/>
          </w:tcPr>
          <w:p w14:paraId="4271E48A"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Secondary</w:t>
            </w:r>
          </w:p>
        </w:tc>
        <w:tc>
          <w:tcPr>
            <w:tcW w:w="1276" w:type="dxa"/>
            <w:shd w:val="clear" w:color="auto" w:fill="auto"/>
            <w:noWrap/>
            <w:vAlign w:val="center"/>
            <w:hideMark/>
          </w:tcPr>
          <w:p w14:paraId="2659642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Farmer</w:t>
            </w:r>
          </w:p>
        </w:tc>
        <w:tc>
          <w:tcPr>
            <w:tcW w:w="1360" w:type="dxa"/>
            <w:shd w:val="clear" w:color="auto" w:fill="auto"/>
            <w:noWrap/>
            <w:vAlign w:val="center"/>
            <w:hideMark/>
          </w:tcPr>
          <w:p w14:paraId="5AA6AE7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Traditionalist</w:t>
            </w:r>
          </w:p>
        </w:tc>
        <w:tc>
          <w:tcPr>
            <w:tcW w:w="2650" w:type="dxa"/>
            <w:shd w:val="clear" w:color="auto" w:fill="auto"/>
            <w:noWrap/>
            <w:vAlign w:val="center"/>
            <w:hideMark/>
          </w:tcPr>
          <w:p w14:paraId="477FB591"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Powdered roots in water</w:t>
            </w:r>
          </w:p>
        </w:tc>
      </w:tr>
      <w:tr w:rsidR="00E259DD" w:rsidRPr="003956FD" w14:paraId="5111192C" w14:textId="77777777" w:rsidTr="00516333">
        <w:trPr>
          <w:trHeight w:val="301"/>
          <w:jc w:val="center"/>
        </w:trPr>
        <w:tc>
          <w:tcPr>
            <w:tcW w:w="996" w:type="dxa"/>
            <w:shd w:val="clear" w:color="auto" w:fill="auto"/>
            <w:noWrap/>
            <w:vAlign w:val="center"/>
            <w:hideMark/>
          </w:tcPr>
          <w:p w14:paraId="0D69735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P6</w:t>
            </w:r>
          </w:p>
        </w:tc>
        <w:tc>
          <w:tcPr>
            <w:tcW w:w="551" w:type="dxa"/>
            <w:shd w:val="clear" w:color="auto" w:fill="auto"/>
            <w:noWrap/>
            <w:vAlign w:val="center"/>
            <w:hideMark/>
          </w:tcPr>
          <w:p w14:paraId="217A2466"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29</w:t>
            </w:r>
          </w:p>
        </w:tc>
        <w:tc>
          <w:tcPr>
            <w:tcW w:w="921" w:type="dxa"/>
            <w:shd w:val="clear" w:color="auto" w:fill="auto"/>
            <w:noWrap/>
            <w:vAlign w:val="center"/>
            <w:hideMark/>
          </w:tcPr>
          <w:p w14:paraId="65D3307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G2</w:t>
            </w:r>
          </w:p>
        </w:tc>
        <w:tc>
          <w:tcPr>
            <w:tcW w:w="744" w:type="dxa"/>
            <w:shd w:val="clear" w:color="auto" w:fill="auto"/>
            <w:noWrap/>
            <w:vAlign w:val="center"/>
            <w:hideMark/>
          </w:tcPr>
          <w:p w14:paraId="71F68BFC"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P1</w:t>
            </w:r>
          </w:p>
        </w:tc>
        <w:tc>
          <w:tcPr>
            <w:tcW w:w="1759" w:type="dxa"/>
            <w:shd w:val="clear" w:color="auto" w:fill="auto"/>
            <w:noWrap/>
            <w:vAlign w:val="center"/>
            <w:hideMark/>
          </w:tcPr>
          <w:p w14:paraId="1A65251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Tertiary</w:t>
            </w:r>
          </w:p>
        </w:tc>
        <w:tc>
          <w:tcPr>
            <w:tcW w:w="1276" w:type="dxa"/>
            <w:shd w:val="clear" w:color="auto" w:fill="auto"/>
            <w:noWrap/>
            <w:vAlign w:val="center"/>
            <w:hideMark/>
          </w:tcPr>
          <w:p w14:paraId="354C44B6"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Nurse</w:t>
            </w:r>
          </w:p>
        </w:tc>
        <w:tc>
          <w:tcPr>
            <w:tcW w:w="1360" w:type="dxa"/>
            <w:shd w:val="clear" w:color="auto" w:fill="auto"/>
            <w:noWrap/>
            <w:vAlign w:val="center"/>
            <w:hideMark/>
          </w:tcPr>
          <w:p w14:paraId="4EC7E2F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Christian</w:t>
            </w:r>
          </w:p>
        </w:tc>
        <w:tc>
          <w:tcPr>
            <w:tcW w:w="2650" w:type="dxa"/>
            <w:shd w:val="clear" w:color="auto" w:fill="auto"/>
            <w:noWrap/>
            <w:vAlign w:val="center"/>
            <w:hideMark/>
          </w:tcPr>
          <w:p w14:paraId="655A378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Herbal tonic</w:t>
            </w:r>
          </w:p>
        </w:tc>
      </w:tr>
      <w:tr w:rsidR="00E259DD" w:rsidRPr="003956FD" w14:paraId="55072008" w14:textId="77777777" w:rsidTr="00516333">
        <w:trPr>
          <w:trHeight w:val="301"/>
          <w:jc w:val="center"/>
        </w:trPr>
        <w:tc>
          <w:tcPr>
            <w:tcW w:w="996" w:type="dxa"/>
            <w:shd w:val="clear" w:color="auto" w:fill="auto"/>
            <w:noWrap/>
            <w:vAlign w:val="center"/>
            <w:hideMark/>
          </w:tcPr>
          <w:p w14:paraId="17FF92B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P7</w:t>
            </w:r>
          </w:p>
        </w:tc>
        <w:tc>
          <w:tcPr>
            <w:tcW w:w="551" w:type="dxa"/>
            <w:shd w:val="clear" w:color="auto" w:fill="auto"/>
            <w:noWrap/>
            <w:vAlign w:val="center"/>
            <w:hideMark/>
          </w:tcPr>
          <w:p w14:paraId="42AD29C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33</w:t>
            </w:r>
          </w:p>
        </w:tc>
        <w:tc>
          <w:tcPr>
            <w:tcW w:w="921" w:type="dxa"/>
            <w:shd w:val="clear" w:color="auto" w:fill="auto"/>
            <w:noWrap/>
            <w:vAlign w:val="center"/>
            <w:hideMark/>
          </w:tcPr>
          <w:p w14:paraId="0827F42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G3</w:t>
            </w:r>
          </w:p>
        </w:tc>
        <w:tc>
          <w:tcPr>
            <w:tcW w:w="744" w:type="dxa"/>
            <w:shd w:val="clear" w:color="auto" w:fill="auto"/>
            <w:noWrap/>
            <w:vAlign w:val="center"/>
            <w:hideMark/>
          </w:tcPr>
          <w:p w14:paraId="7FCE85F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P2</w:t>
            </w:r>
          </w:p>
        </w:tc>
        <w:tc>
          <w:tcPr>
            <w:tcW w:w="1759" w:type="dxa"/>
            <w:shd w:val="clear" w:color="auto" w:fill="auto"/>
            <w:noWrap/>
            <w:vAlign w:val="center"/>
            <w:hideMark/>
          </w:tcPr>
          <w:p w14:paraId="30F609A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Primary</w:t>
            </w:r>
          </w:p>
        </w:tc>
        <w:tc>
          <w:tcPr>
            <w:tcW w:w="1276" w:type="dxa"/>
            <w:shd w:val="clear" w:color="auto" w:fill="auto"/>
            <w:noWrap/>
            <w:vAlign w:val="center"/>
            <w:hideMark/>
          </w:tcPr>
          <w:p w14:paraId="69DC489E"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Trader</w:t>
            </w:r>
          </w:p>
        </w:tc>
        <w:tc>
          <w:tcPr>
            <w:tcW w:w="1360" w:type="dxa"/>
            <w:shd w:val="clear" w:color="auto" w:fill="auto"/>
            <w:noWrap/>
            <w:vAlign w:val="center"/>
            <w:hideMark/>
          </w:tcPr>
          <w:p w14:paraId="5C4A944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3426F16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Boiled bark extract</w:t>
            </w:r>
          </w:p>
        </w:tc>
      </w:tr>
      <w:tr w:rsidR="00E259DD" w:rsidRPr="003956FD" w14:paraId="67E2902C" w14:textId="77777777" w:rsidTr="00516333">
        <w:trPr>
          <w:trHeight w:val="301"/>
          <w:jc w:val="center"/>
        </w:trPr>
        <w:tc>
          <w:tcPr>
            <w:tcW w:w="996" w:type="dxa"/>
            <w:shd w:val="clear" w:color="auto" w:fill="auto"/>
            <w:noWrap/>
            <w:vAlign w:val="center"/>
            <w:hideMark/>
          </w:tcPr>
          <w:p w14:paraId="0D64AE2C"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P8</w:t>
            </w:r>
          </w:p>
        </w:tc>
        <w:tc>
          <w:tcPr>
            <w:tcW w:w="551" w:type="dxa"/>
            <w:shd w:val="clear" w:color="auto" w:fill="auto"/>
            <w:noWrap/>
            <w:vAlign w:val="center"/>
            <w:hideMark/>
          </w:tcPr>
          <w:p w14:paraId="6A7A8A9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23</w:t>
            </w:r>
          </w:p>
        </w:tc>
        <w:tc>
          <w:tcPr>
            <w:tcW w:w="921" w:type="dxa"/>
            <w:shd w:val="clear" w:color="auto" w:fill="auto"/>
            <w:noWrap/>
            <w:vAlign w:val="center"/>
            <w:hideMark/>
          </w:tcPr>
          <w:p w14:paraId="7A240DC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G1</w:t>
            </w:r>
          </w:p>
        </w:tc>
        <w:tc>
          <w:tcPr>
            <w:tcW w:w="744" w:type="dxa"/>
            <w:shd w:val="clear" w:color="auto" w:fill="auto"/>
            <w:noWrap/>
            <w:vAlign w:val="center"/>
            <w:hideMark/>
          </w:tcPr>
          <w:p w14:paraId="5430C72F"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P0</w:t>
            </w:r>
          </w:p>
        </w:tc>
        <w:tc>
          <w:tcPr>
            <w:tcW w:w="1759" w:type="dxa"/>
            <w:shd w:val="clear" w:color="auto" w:fill="auto"/>
            <w:noWrap/>
            <w:vAlign w:val="center"/>
            <w:hideMark/>
          </w:tcPr>
          <w:p w14:paraId="6E562BB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Secondary</w:t>
            </w:r>
          </w:p>
        </w:tc>
        <w:tc>
          <w:tcPr>
            <w:tcW w:w="1276" w:type="dxa"/>
            <w:shd w:val="clear" w:color="auto" w:fill="auto"/>
            <w:noWrap/>
            <w:vAlign w:val="center"/>
            <w:hideMark/>
          </w:tcPr>
          <w:p w14:paraId="7AD7FCEB"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Student</w:t>
            </w:r>
          </w:p>
        </w:tc>
        <w:tc>
          <w:tcPr>
            <w:tcW w:w="1360" w:type="dxa"/>
            <w:shd w:val="clear" w:color="auto" w:fill="auto"/>
            <w:noWrap/>
            <w:vAlign w:val="center"/>
            <w:hideMark/>
          </w:tcPr>
          <w:p w14:paraId="107D2FA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Christian</w:t>
            </w:r>
          </w:p>
        </w:tc>
        <w:tc>
          <w:tcPr>
            <w:tcW w:w="2650" w:type="dxa"/>
            <w:shd w:val="clear" w:color="auto" w:fill="auto"/>
            <w:noWrap/>
            <w:vAlign w:val="center"/>
            <w:hideMark/>
          </w:tcPr>
          <w:p w14:paraId="2D9929BA" w14:textId="4AA694B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Herbal tea from the family</w:t>
            </w:r>
          </w:p>
        </w:tc>
      </w:tr>
      <w:tr w:rsidR="00E259DD" w:rsidRPr="003956FD" w14:paraId="7CA4BE7D" w14:textId="77777777" w:rsidTr="00516333">
        <w:trPr>
          <w:trHeight w:val="301"/>
          <w:jc w:val="center"/>
        </w:trPr>
        <w:tc>
          <w:tcPr>
            <w:tcW w:w="996" w:type="dxa"/>
            <w:shd w:val="clear" w:color="auto" w:fill="auto"/>
            <w:noWrap/>
            <w:vAlign w:val="center"/>
            <w:hideMark/>
          </w:tcPr>
          <w:p w14:paraId="79C1CC6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P9</w:t>
            </w:r>
          </w:p>
        </w:tc>
        <w:tc>
          <w:tcPr>
            <w:tcW w:w="551" w:type="dxa"/>
            <w:shd w:val="clear" w:color="auto" w:fill="auto"/>
            <w:noWrap/>
            <w:vAlign w:val="center"/>
            <w:hideMark/>
          </w:tcPr>
          <w:p w14:paraId="1ACADB1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38</w:t>
            </w:r>
          </w:p>
        </w:tc>
        <w:tc>
          <w:tcPr>
            <w:tcW w:w="921" w:type="dxa"/>
            <w:shd w:val="clear" w:color="auto" w:fill="auto"/>
            <w:noWrap/>
            <w:vAlign w:val="center"/>
            <w:hideMark/>
          </w:tcPr>
          <w:p w14:paraId="7343D53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G6</w:t>
            </w:r>
          </w:p>
        </w:tc>
        <w:tc>
          <w:tcPr>
            <w:tcW w:w="744" w:type="dxa"/>
            <w:shd w:val="clear" w:color="auto" w:fill="auto"/>
            <w:noWrap/>
            <w:vAlign w:val="center"/>
            <w:hideMark/>
          </w:tcPr>
          <w:p w14:paraId="0C56E92F"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P5</w:t>
            </w:r>
          </w:p>
        </w:tc>
        <w:tc>
          <w:tcPr>
            <w:tcW w:w="1759" w:type="dxa"/>
            <w:shd w:val="clear" w:color="auto" w:fill="auto"/>
            <w:noWrap/>
            <w:vAlign w:val="center"/>
            <w:hideMark/>
          </w:tcPr>
          <w:p w14:paraId="7D3C7A06"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No formal education</w:t>
            </w:r>
          </w:p>
        </w:tc>
        <w:tc>
          <w:tcPr>
            <w:tcW w:w="1276" w:type="dxa"/>
            <w:shd w:val="clear" w:color="auto" w:fill="auto"/>
            <w:noWrap/>
            <w:vAlign w:val="center"/>
            <w:hideMark/>
          </w:tcPr>
          <w:p w14:paraId="1422431A"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Food vendor</w:t>
            </w:r>
          </w:p>
        </w:tc>
        <w:tc>
          <w:tcPr>
            <w:tcW w:w="1360" w:type="dxa"/>
            <w:shd w:val="clear" w:color="auto" w:fill="auto"/>
            <w:noWrap/>
            <w:vAlign w:val="center"/>
            <w:hideMark/>
          </w:tcPr>
          <w:p w14:paraId="7CCC11EC"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3BD8864B"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Ground leaves with shea butter</w:t>
            </w:r>
          </w:p>
        </w:tc>
      </w:tr>
    </w:tbl>
    <w:p w14:paraId="268924C6" w14:textId="77777777" w:rsidR="00F9785C" w:rsidRDefault="00F9785C" w:rsidP="00DA0E6E">
      <w:pPr>
        <w:jc w:val="both"/>
        <w:rPr>
          <w:rFonts w:ascii="Times New Roman" w:hAnsi="Times New Roman" w:cs="Times New Roman"/>
          <w:sz w:val="20"/>
          <w:szCs w:val="20"/>
        </w:rPr>
      </w:pPr>
    </w:p>
    <w:p w14:paraId="5EFEE228" w14:textId="77777777" w:rsidR="00516333" w:rsidRDefault="00516333" w:rsidP="00DA0E6E">
      <w:pPr>
        <w:jc w:val="both"/>
        <w:rPr>
          <w:rFonts w:ascii="Times New Roman" w:hAnsi="Times New Roman" w:cs="Times New Roman"/>
          <w:sz w:val="20"/>
          <w:szCs w:val="20"/>
        </w:rPr>
      </w:pPr>
    </w:p>
    <w:p w14:paraId="22F09F27" w14:textId="77777777" w:rsidR="00516333" w:rsidRDefault="00516333" w:rsidP="00DA0E6E">
      <w:pPr>
        <w:jc w:val="both"/>
        <w:rPr>
          <w:rFonts w:ascii="Times New Roman" w:hAnsi="Times New Roman" w:cs="Times New Roman"/>
          <w:sz w:val="20"/>
          <w:szCs w:val="20"/>
        </w:rPr>
      </w:pPr>
    </w:p>
    <w:p w14:paraId="6A6038BE" w14:textId="77777777" w:rsidR="00516333" w:rsidRDefault="00516333" w:rsidP="00DA0E6E">
      <w:pPr>
        <w:jc w:val="both"/>
        <w:rPr>
          <w:rFonts w:ascii="Times New Roman" w:hAnsi="Times New Roman" w:cs="Times New Roman"/>
          <w:sz w:val="20"/>
          <w:szCs w:val="20"/>
        </w:rPr>
      </w:pPr>
    </w:p>
    <w:p w14:paraId="783FACE5" w14:textId="77777777" w:rsidR="00516333" w:rsidRDefault="00516333" w:rsidP="00DA0E6E">
      <w:pPr>
        <w:jc w:val="both"/>
        <w:rPr>
          <w:rFonts w:ascii="Times New Roman" w:hAnsi="Times New Roman" w:cs="Times New Roman"/>
          <w:sz w:val="20"/>
          <w:szCs w:val="20"/>
        </w:rPr>
      </w:pPr>
    </w:p>
    <w:p w14:paraId="3F248645" w14:textId="77777777" w:rsidR="00516333" w:rsidRDefault="00516333" w:rsidP="00DA0E6E">
      <w:pPr>
        <w:jc w:val="both"/>
        <w:rPr>
          <w:rFonts w:ascii="Times New Roman" w:hAnsi="Times New Roman" w:cs="Times New Roman"/>
          <w:sz w:val="20"/>
          <w:szCs w:val="20"/>
        </w:rPr>
      </w:pPr>
    </w:p>
    <w:p w14:paraId="67296988" w14:textId="77777777" w:rsidR="00516333" w:rsidRDefault="00516333" w:rsidP="00DA0E6E">
      <w:pPr>
        <w:jc w:val="both"/>
        <w:rPr>
          <w:rFonts w:ascii="Times New Roman" w:hAnsi="Times New Roman" w:cs="Times New Roman"/>
          <w:sz w:val="20"/>
          <w:szCs w:val="20"/>
        </w:rPr>
      </w:pPr>
    </w:p>
    <w:p w14:paraId="217D0331" w14:textId="1557C0EE" w:rsidR="002E7DFB" w:rsidRPr="00391C8F" w:rsidRDefault="00B67939" w:rsidP="00DA0E6E">
      <w:pPr>
        <w:jc w:val="both"/>
        <w:rPr>
          <w:rFonts w:ascii="Times New Roman" w:hAnsi="Times New Roman" w:cs="Times New Roman"/>
          <w:b/>
          <w:bCs/>
          <w:sz w:val="20"/>
          <w:szCs w:val="20"/>
        </w:rPr>
      </w:pPr>
      <w:r w:rsidRPr="00391C8F">
        <w:rPr>
          <w:rFonts w:ascii="Times New Roman" w:hAnsi="Times New Roman" w:cs="Times New Roman"/>
          <w:b/>
          <w:bCs/>
          <w:sz w:val="20"/>
          <w:szCs w:val="20"/>
        </w:rPr>
        <w:lastRenderedPageBreak/>
        <w:t>Main and sub-themes</w:t>
      </w:r>
    </w:p>
    <w:p w14:paraId="1A00F9B9" w14:textId="77777777" w:rsidR="00391C8F" w:rsidRPr="00391C8F" w:rsidRDefault="00391C8F" w:rsidP="00391C8F">
      <w:pPr>
        <w:jc w:val="both"/>
        <w:rPr>
          <w:rFonts w:ascii="Times New Roman" w:hAnsi="Times New Roman" w:cs="Times New Roman"/>
          <w:sz w:val="20"/>
          <w:szCs w:val="20"/>
        </w:rPr>
      </w:pPr>
      <w:r w:rsidRPr="00391C8F">
        <w:rPr>
          <w:rFonts w:ascii="Times New Roman" w:hAnsi="Times New Roman" w:cs="Times New Roman"/>
          <w:sz w:val="20"/>
          <w:szCs w:val="20"/>
        </w:rPr>
        <w:t>Table 2 presents the main themes, sub-themes, and their operational definitions related to the use of herbal remedies during pregnancy. The themes highlight cultural influences, perceived benefits, sources of knowledge, and safety concerns. Cultural and religious beliefs, along with the influence of elders and community norms, play a significant role in encouraging herbal use. Women often believe that herbs provide strength, energy, and protection against pregnancy complications. Knowledge about herbal remedies is largely passed down through generations or obtained from traditional practitioners. Despite these beliefs, concerns about side effects and the need to balance medical advice with traditional practices influence women's personal decisions regarding herbal use.</w:t>
      </w:r>
    </w:p>
    <w:p w14:paraId="03B77C3D" w14:textId="77777777" w:rsidR="003C60E8" w:rsidRPr="003956FD" w:rsidRDefault="003C60E8" w:rsidP="00DA0E6E">
      <w:pPr>
        <w:jc w:val="both"/>
        <w:rPr>
          <w:rFonts w:ascii="Times New Roman" w:hAnsi="Times New Roman" w:cs="Times New Roman"/>
          <w:b/>
          <w:bCs/>
          <w:sz w:val="20"/>
          <w:szCs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5940"/>
      </w:tblGrid>
      <w:tr w:rsidR="00202164" w:rsidRPr="00391C8F" w14:paraId="637A2D80" w14:textId="77777777" w:rsidTr="00391C8F">
        <w:trPr>
          <w:trHeight w:val="185"/>
        </w:trPr>
        <w:tc>
          <w:tcPr>
            <w:tcW w:w="10098" w:type="dxa"/>
            <w:gridSpan w:val="3"/>
            <w:tcBorders>
              <w:top w:val="nil"/>
              <w:left w:val="nil"/>
              <w:bottom w:val="single" w:sz="4" w:space="0" w:color="auto"/>
              <w:right w:val="nil"/>
            </w:tcBorders>
            <w:shd w:val="clear" w:color="auto" w:fill="auto"/>
            <w:noWrap/>
            <w:vAlign w:val="center"/>
            <w:hideMark/>
          </w:tcPr>
          <w:p w14:paraId="05A69A4D" w14:textId="3189B47D" w:rsidR="00202164" w:rsidRPr="00391C8F" w:rsidRDefault="00202164"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Table 2: Themes, Sub-Themes, and Operational Definitions</w:t>
            </w:r>
          </w:p>
        </w:tc>
      </w:tr>
      <w:tr w:rsidR="00CC748E" w:rsidRPr="00391C8F" w14:paraId="49198AE7" w14:textId="77777777" w:rsidTr="00391C8F">
        <w:trPr>
          <w:trHeight w:val="251"/>
        </w:trPr>
        <w:tc>
          <w:tcPr>
            <w:tcW w:w="1908" w:type="dxa"/>
            <w:tcBorders>
              <w:top w:val="single" w:sz="4" w:space="0" w:color="auto"/>
            </w:tcBorders>
            <w:shd w:val="clear" w:color="auto" w:fill="auto"/>
            <w:noWrap/>
            <w:vAlign w:val="center"/>
            <w:hideMark/>
          </w:tcPr>
          <w:p w14:paraId="613063CF" w14:textId="77777777" w:rsidR="00CC748E" w:rsidRPr="00391C8F" w:rsidRDefault="00CC748E"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Theme</w:t>
            </w:r>
          </w:p>
        </w:tc>
        <w:tc>
          <w:tcPr>
            <w:tcW w:w="2250" w:type="dxa"/>
            <w:tcBorders>
              <w:top w:val="single" w:sz="4" w:space="0" w:color="auto"/>
            </w:tcBorders>
            <w:shd w:val="clear" w:color="auto" w:fill="auto"/>
            <w:noWrap/>
            <w:vAlign w:val="center"/>
            <w:hideMark/>
          </w:tcPr>
          <w:p w14:paraId="1871F403" w14:textId="77777777" w:rsidR="00CC748E" w:rsidRPr="00391C8F" w:rsidRDefault="00CC748E"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Sub-theme</w:t>
            </w:r>
          </w:p>
        </w:tc>
        <w:tc>
          <w:tcPr>
            <w:tcW w:w="5940" w:type="dxa"/>
            <w:tcBorders>
              <w:top w:val="single" w:sz="4" w:space="0" w:color="auto"/>
            </w:tcBorders>
            <w:shd w:val="clear" w:color="auto" w:fill="auto"/>
            <w:noWrap/>
            <w:vAlign w:val="center"/>
            <w:hideMark/>
          </w:tcPr>
          <w:p w14:paraId="43B670FE" w14:textId="58A9C148" w:rsidR="00CC748E" w:rsidRPr="00391C8F" w:rsidRDefault="00CC748E"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Operational Definition</w:t>
            </w:r>
          </w:p>
        </w:tc>
      </w:tr>
      <w:tr w:rsidR="00070C51" w:rsidRPr="00391C8F" w14:paraId="63D7C335" w14:textId="77777777" w:rsidTr="00391C8F">
        <w:trPr>
          <w:trHeight w:val="341"/>
        </w:trPr>
        <w:tc>
          <w:tcPr>
            <w:tcW w:w="1908" w:type="dxa"/>
            <w:vMerge w:val="restart"/>
            <w:shd w:val="clear" w:color="auto" w:fill="auto"/>
            <w:noWrap/>
            <w:vAlign w:val="center"/>
            <w:hideMark/>
          </w:tcPr>
          <w:p w14:paraId="73F29675"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1. Cultural Influences on Herbal Use</w:t>
            </w:r>
          </w:p>
        </w:tc>
        <w:tc>
          <w:tcPr>
            <w:tcW w:w="2250" w:type="dxa"/>
            <w:shd w:val="clear" w:color="auto" w:fill="auto"/>
            <w:noWrap/>
            <w:vAlign w:val="center"/>
            <w:hideMark/>
          </w:tcPr>
          <w:p w14:paraId="3C82FED7"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1.1 Traditional and Religious Beliefs</w:t>
            </w:r>
          </w:p>
        </w:tc>
        <w:tc>
          <w:tcPr>
            <w:tcW w:w="5940" w:type="dxa"/>
            <w:shd w:val="clear" w:color="auto" w:fill="auto"/>
            <w:noWrap/>
            <w:vAlign w:val="center"/>
            <w:hideMark/>
          </w:tcPr>
          <w:p w14:paraId="08774D29"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The role of cultural and religious teachings that support or promote herbal use in pregnancy</w:t>
            </w:r>
          </w:p>
        </w:tc>
      </w:tr>
      <w:tr w:rsidR="00070C51" w:rsidRPr="00391C8F" w14:paraId="57647584" w14:textId="77777777" w:rsidTr="00391C8F">
        <w:trPr>
          <w:trHeight w:val="153"/>
        </w:trPr>
        <w:tc>
          <w:tcPr>
            <w:tcW w:w="1908" w:type="dxa"/>
            <w:vMerge/>
            <w:shd w:val="clear" w:color="auto" w:fill="auto"/>
            <w:noWrap/>
            <w:vAlign w:val="center"/>
            <w:hideMark/>
          </w:tcPr>
          <w:p w14:paraId="6768B3A0" w14:textId="77777777" w:rsidR="000F30AF" w:rsidRPr="00391C8F" w:rsidRDefault="000F30AF" w:rsidP="00DA0E6E">
            <w:pPr>
              <w:spacing w:after="0" w:line="240" w:lineRule="auto"/>
              <w:jc w:val="both"/>
              <w:rPr>
                <w:rFonts w:ascii="Times New Roman" w:hAnsi="Times New Roman" w:cs="Times New Roman"/>
                <w:sz w:val="16"/>
                <w:szCs w:val="16"/>
              </w:rPr>
            </w:pPr>
          </w:p>
        </w:tc>
        <w:tc>
          <w:tcPr>
            <w:tcW w:w="2250" w:type="dxa"/>
            <w:shd w:val="clear" w:color="auto" w:fill="auto"/>
            <w:noWrap/>
            <w:vAlign w:val="center"/>
            <w:hideMark/>
          </w:tcPr>
          <w:p w14:paraId="36BFE621"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1.2 Influence of Elders and Community Norms</w:t>
            </w:r>
          </w:p>
        </w:tc>
        <w:tc>
          <w:tcPr>
            <w:tcW w:w="5940" w:type="dxa"/>
            <w:shd w:val="clear" w:color="auto" w:fill="auto"/>
            <w:noWrap/>
            <w:vAlign w:val="center"/>
            <w:hideMark/>
          </w:tcPr>
          <w:p w14:paraId="7AEC5421"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Influence from family members, especially elders, on the use of traditional remedies</w:t>
            </w:r>
          </w:p>
        </w:tc>
      </w:tr>
      <w:tr w:rsidR="00070C51" w:rsidRPr="00391C8F" w14:paraId="267791CA" w14:textId="77777777" w:rsidTr="00391C8F">
        <w:trPr>
          <w:trHeight w:val="153"/>
        </w:trPr>
        <w:tc>
          <w:tcPr>
            <w:tcW w:w="1908" w:type="dxa"/>
            <w:vMerge w:val="restart"/>
            <w:shd w:val="clear" w:color="auto" w:fill="auto"/>
            <w:noWrap/>
            <w:vAlign w:val="center"/>
            <w:hideMark/>
          </w:tcPr>
          <w:p w14:paraId="43FD28C9"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2. Perceived Benefits of Herbal Remedies</w:t>
            </w:r>
          </w:p>
        </w:tc>
        <w:tc>
          <w:tcPr>
            <w:tcW w:w="2250" w:type="dxa"/>
            <w:shd w:val="clear" w:color="auto" w:fill="auto"/>
            <w:noWrap/>
            <w:vAlign w:val="center"/>
            <w:hideMark/>
          </w:tcPr>
          <w:p w14:paraId="62128D12"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2.1 Strength and Energy</w:t>
            </w:r>
          </w:p>
        </w:tc>
        <w:tc>
          <w:tcPr>
            <w:tcW w:w="5940" w:type="dxa"/>
            <w:shd w:val="clear" w:color="auto" w:fill="auto"/>
            <w:noWrap/>
            <w:vAlign w:val="center"/>
            <w:hideMark/>
          </w:tcPr>
          <w:p w14:paraId="7CBAD483"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Beliefs that herbs improve stamina and resilience during pregnancy</w:t>
            </w:r>
          </w:p>
        </w:tc>
      </w:tr>
      <w:tr w:rsidR="00070C51" w:rsidRPr="00391C8F" w14:paraId="68D6B6E7" w14:textId="77777777" w:rsidTr="00391C8F">
        <w:trPr>
          <w:trHeight w:val="153"/>
        </w:trPr>
        <w:tc>
          <w:tcPr>
            <w:tcW w:w="1908" w:type="dxa"/>
            <w:vMerge/>
            <w:shd w:val="clear" w:color="auto" w:fill="auto"/>
            <w:noWrap/>
            <w:vAlign w:val="center"/>
            <w:hideMark/>
          </w:tcPr>
          <w:p w14:paraId="5420B0F2" w14:textId="77777777" w:rsidR="000F30AF" w:rsidRPr="00391C8F" w:rsidRDefault="000F30AF" w:rsidP="00DA0E6E">
            <w:pPr>
              <w:spacing w:after="0" w:line="240" w:lineRule="auto"/>
              <w:jc w:val="both"/>
              <w:rPr>
                <w:rFonts w:ascii="Times New Roman" w:hAnsi="Times New Roman" w:cs="Times New Roman"/>
                <w:sz w:val="16"/>
                <w:szCs w:val="16"/>
              </w:rPr>
            </w:pPr>
          </w:p>
        </w:tc>
        <w:tc>
          <w:tcPr>
            <w:tcW w:w="2250" w:type="dxa"/>
            <w:shd w:val="clear" w:color="auto" w:fill="auto"/>
            <w:noWrap/>
            <w:vAlign w:val="center"/>
            <w:hideMark/>
          </w:tcPr>
          <w:p w14:paraId="05312775"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2.2 Prevention of Pregnancy Complications</w:t>
            </w:r>
          </w:p>
        </w:tc>
        <w:tc>
          <w:tcPr>
            <w:tcW w:w="5940" w:type="dxa"/>
            <w:shd w:val="clear" w:color="auto" w:fill="auto"/>
            <w:noWrap/>
            <w:vAlign w:val="center"/>
            <w:hideMark/>
          </w:tcPr>
          <w:p w14:paraId="49C36A6D"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Beliefs that herbal use prevents miscarriage or illness in the fetus or mother</w:t>
            </w:r>
          </w:p>
        </w:tc>
      </w:tr>
      <w:tr w:rsidR="00070C51" w:rsidRPr="00391C8F" w14:paraId="62DCA512" w14:textId="77777777" w:rsidTr="00391C8F">
        <w:trPr>
          <w:trHeight w:val="153"/>
        </w:trPr>
        <w:tc>
          <w:tcPr>
            <w:tcW w:w="1908" w:type="dxa"/>
            <w:vMerge w:val="restart"/>
            <w:shd w:val="clear" w:color="auto" w:fill="auto"/>
            <w:noWrap/>
            <w:vAlign w:val="center"/>
            <w:hideMark/>
          </w:tcPr>
          <w:p w14:paraId="1033BDEC"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3. Sources of Herbal Knowledge</w:t>
            </w:r>
          </w:p>
        </w:tc>
        <w:tc>
          <w:tcPr>
            <w:tcW w:w="2250" w:type="dxa"/>
            <w:shd w:val="clear" w:color="auto" w:fill="auto"/>
            <w:noWrap/>
            <w:vAlign w:val="center"/>
            <w:hideMark/>
          </w:tcPr>
          <w:p w14:paraId="2C09BFD5"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3.1 Intergenerational Knowledge</w:t>
            </w:r>
          </w:p>
        </w:tc>
        <w:tc>
          <w:tcPr>
            <w:tcW w:w="5940" w:type="dxa"/>
            <w:shd w:val="clear" w:color="auto" w:fill="auto"/>
            <w:noWrap/>
            <w:vAlign w:val="center"/>
            <w:hideMark/>
          </w:tcPr>
          <w:p w14:paraId="0D111198"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Learning about herbs from family, especially older women</w:t>
            </w:r>
          </w:p>
        </w:tc>
      </w:tr>
      <w:tr w:rsidR="00070C51" w:rsidRPr="00391C8F" w14:paraId="3534631B" w14:textId="77777777" w:rsidTr="00391C8F">
        <w:trPr>
          <w:trHeight w:val="395"/>
        </w:trPr>
        <w:tc>
          <w:tcPr>
            <w:tcW w:w="1908" w:type="dxa"/>
            <w:vMerge/>
            <w:shd w:val="clear" w:color="auto" w:fill="auto"/>
            <w:noWrap/>
            <w:vAlign w:val="center"/>
            <w:hideMark/>
          </w:tcPr>
          <w:p w14:paraId="45B58DDD" w14:textId="77777777" w:rsidR="000F30AF" w:rsidRPr="00391C8F" w:rsidRDefault="000F30AF" w:rsidP="00DA0E6E">
            <w:pPr>
              <w:spacing w:after="0" w:line="240" w:lineRule="auto"/>
              <w:jc w:val="both"/>
              <w:rPr>
                <w:rFonts w:ascii="Times New Roman" w:hAnsi="Times New Roman" w:cs="Times New Roman"/>
                <w:sz w:val="16"/>
                <w:szCs w:val="16"/>
              </w:rPr>
            </w:pPr>
          </w:p>
        </w:tc>
        <w:tc>
          <w:tcPr>
            <w:tcW w:w="2250" w:type="dxa"/>
            <w:shd w:val="clear" w:color="auto" w:fill="auto"/>
            <w:noWrap/>
            <w:vAlign w:val="center"/>
            <w:hideMark/>
          </w:tcPr>
          <w:p w14:paraId="61102775"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3.2 Traditional Practitioners</w:t>
            </w:r>
          </w:p>
        </w:tc>
        <w:tc>
          <w:tcPr>
            <w:tcW w:w="5940" w:type="dxa"/>
            <w:shd w:val="clear" w:color="auto" w:fill="auto"/>
            <w:noWrap/>
            <w:vAlign w:val="center"/>
            <w:hideMark/>
          </w:tcPr>
          <w:p w14:paraId="43C69AFB"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Seeking herbal care or advice from traditional healers or birth attendants</w:t>
            </w:r>
          </w:p>
        </w:tc>
      </w:tr>
      <w:tr w:rsidR="00070C51" w:rsidRPr="00391C8F" w14:paraId="4E7D0072" w14:textId="77777777" w:rsidTr="00391C8F">
        <w:trPr>
          <w:trHeight w:val="153"/>
        </w:trPr>
        <w:tc>
          <w:tcPr>
            <w:tcW w:w="1908" w:type="dxa"/>
            <w:vMerge w:val="restart"/>
            <w:shd w:val="clear" w:color="auto" w:fill="auto"/>
            <w:noWrap/>
            <w:vAlign w:val="center"/>
            <w:hideMark/>
          </w:tcPr>
          <w:p w14:paraId="35CAC712"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4. Safety Concerns and Personal Decisions</w:t>
            </w:r>
          </w:p>
        </w:tc>
        <w:tc>
          <w:tcPr>
            <w:tcW w:w="2250" w:type="dxa"/>
            <w:shd w:val="clear" w:color="auto" w:fill="auto"/>
            <w:noWrap/>
            <w:vAlign w:val="center"/>
            <w:hideMark/>
          </w:tcPr>
          <w:p w14:paraId="3F43C339"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4.1 Side Effects and Reactions</w:t>
            </w:r>
          </w:p>
        </w:tc>
        <w:tc>
          <w:tcPr>
            <w:tcW w:w="5940" w:type="dxa"/>
            <w:shd w:val="clear" w:color="auto" w:fill="auto"/>
            <w:noWrap/>
            <w:vAlign w:val="center"/>
            <w:hideMark/>
          </w:tcPr>
          <w:p w14:paraId="25A538B3"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Negative outcomes experienced during or after herbal use</w:t>
            </w:r>
          </w:p>
        </w:tc>
      </w:tr>
      <w:tr w:rsidR="00070C51" w:rsidRPr="00391C8F" w14:paraId="5508F72B" w14:textId="77777777" w:rsidTr="00391C8F">
        <w:trPr>
          <w:trHeight w:val="251"/>
        </w:trPr>
        <w:tc>
          <w:tcPr>
            <w:tcW w:w="1908" w:type="dxa"/>
            <w:vMerge/>
            <w:shd w:val="clear" w:color="auto" w:fill="auto"/>
            <w:noWrap/>
            <w:vAlign w:val="center"/>
            <w:hideMark/>
          </w:tcPr>
          <w:p w14:paraId="2C86F1F4" w14:textId="77777777" w:rsidR="000F30AF" w:rsidRPr="00391C8F" w:rsidRDefault="000F30AF" w:rsidP="00DA0E6E">
            <w:pPr>
              <w:spacing w:after="0" w:line="240" w:lineRule="auto"/>
              <w:jc w:val="both"/>
              <w:rPr>
                <w:rFonts w:ascii="Times New Roman" w:hAnsi="Times New Roman" w:cs="Times New Roman"/>
                <w:sz w:val="16"/>
                <w:szCs w:val="16"/>
              </w:rPr>
            </w:pPr>
          </w:p>
        </w:tc>
        <w:tc>
          <w:tcPr>
            <w:tcW w:w="2250" w:type="dxa"/>
            <w:shd w:val="clear" w:color="auto" w:fill="auto"/>
            <w:noWrap/>
            <w:vAlign w:val="center"/>
            <w:hideMark/>
          </w:tcPr>
          <w:p w14:paraId="4FFCDDA1"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4.2 Balancing Medical and Herbal Practices</w:t>
            </w:r>
          </w:p>
        </w:tc>
        <w:tc>
          <w:tcPr>
            <w:tcW w:w="5940" w:type="dxa"/>
            <w:shd w:val="clear" w:color="auto" w:fill="auto"/>
            <w:noWrap/>
            <w:vAlign w:val="center"/>
            <w:hideMark/>
          </w:tcPr>
          <w:p w14:paraId="32CF47F9"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How women juggle the advice from hospitals versus traditional remedies</w:t>
            </w:r>
          </w:p>
        </w:tc>
      </w:tr>
    </w:tbl>
    <w:p w14:paraId="0E7A190B" w14:textId="77777777" w:rsidR="00202164" w:rsidRPr="00DA0E6E" w:rsidRDefault="00202164" w:rsidP="00DA0E6E">
      <w:pPr>
        <w:jc w:val="both"/>
        <w:rPr>
          <w:rFonts w:ascii="Times New Roman" w:hAnsi="Times New Roman" w:cs="Times New Roman"/>
          <w:sz w:val="20"/>
          <w:szCs w:val="20"/>
        </w:rPr>
      </w:pPr>
    </w:p>
    <w:p w14:paraId="3406DE84" w14:textId="77777777" w:rsidR="000A3CA7"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Cultural Influences on Herbal Use</w:t>
      </w:r>
    </w:p>
    <w:p w14:paraId="2F363CA7" w14:textId="7F9D93A1"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This theme captures the deep-rooted cultural and spiritual values that shape women’s use of herbal remedies during pregnancy. Across different faiths and family settings, there is a strong sense of cultural expectation and social pressure to use traditional herbs.</w:t>
      </w:r>
    </w:p>
    <w:p w14:paraId="24350106" w14:textId="1E228711"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Traditional and Religious Beliefs</w:t>
      </w:r>
    </w:p>
    <w:p w14:paraId="207502B9" w14:textId="4DA0CD4F"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Women expressed that herbal use was not just a health decision, but a spiritual and cultural duty. Whether Muslim, Christian, or Traditionalist, participants felt their beliefs supported or allowed the use of herbs</w:t>
      </w:r>
      <w:r w:rsidR="00A1410A" w:rsidRPr="00DA0E6E">
        <w:rPr>
          <w:rFonts w:ascii="Times New Roman" w:hAnsi="Times New Roman" w:cs="Times New Roman"/>
          <w:sz w:val="20"/>
          <w:szCs w:val="20"/>
        </w:rPr>
        <w:t xml:space="preserve">, </w:t>
      </w:r>
      <w:r w:rsidRPr="00DA0E6E">
        <w:rPr>
          <w:rFonts w:ascii="Times New Roman" w:hAnsi="Times New Roman" w:cs="Times New Roman"/>
          <w:sz w:val="20"/>
          <w:szCs w:val="20"/>
        </w:rPr>
        <w:t>sometimes as a first line of defense.</w:t>
      </w:r>
    </w:p>
    <w:p w14:paraId="418D9669" w14:textId="77777777" w:rsidR="00A1410A"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 xml:space="preserve">“It is part of who we are. Even before you go to the clinic, you must protect the baby spiritually with herbs like </w:t>
      </w:r>
      <w:proofErr w:type="spellStart"/>
      <w:r w:rsidRPr="00DA0E6E">
        <w:rPr>
          <w:rFonts w:ascii="Times New Roman" w:hAnsi="Times New Roman" w:cs="Times New Roman"/>
          <w:i/>
          <w:iCs/>
          <w:sz w:val="20"/>
          <w:szCs w:val="20"/>
        </w:rPr>
        <w:t>n’taba</w:t>
      </w:r>
      <w:proofErr w:type="spellEnd"/>
      <w:r w:rsidRPr="00DA0E6E">
        <w:rPr>
          <w:rFonts w:ascii="Times New Roman" w:hAnsi="Times New Roman" w:cs="Times New Roman"/>
          <w:i/>
          <w:iCs/>
          <w:sz w:val="20"/>
          <w:szCs w:val="20"/>
        </w:rPr>
        <w:t xml:space="preserve"> (guava).”</w:t>
      </w:r>
      <w:r w:rsidRPr="00DA0E6E">
        <w:rPr>
          <w:rFonts w:ascii="Times New Roman" w:hAnsi="Times New Roman" w:cs="Times New Roman"/>
          <w:sz w:val="20"/>
          <w:szCs w:val="20"/>
        </w:rPr>
        <w:t xml:space="preserve"> (P2, Muslim)</w:t>
      </w:r>
    </w:p>
    <w:p w14:paraId="43F627E2" w14:textId="6FD00299"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“For us Christians, we believe in faith, but I still used herbs. My pastor said as long as it’s not harmful, it’s God’s plant.”</w:t>
      </w:r>
      <w:r w:rsidRPr="00DA0E6E">
        <w:rPr>
          <w:rFonts w:ascii="Times New Roman" w:hAnsi="Times New Roman" w:cs="Times New Roman"/>
          <w:sz w:val="20"/>
          <w:szCs w:val="20"/>
        </w:rPr>
        <w:t xml:space="preserve"> (P6, Christian)</w:t>
      </w:r>
    </w:p>
    <w:p w14:paraId="5564D72D"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For the Traditionalist woman, spiritual beliefs guided her medicinal choices:</w:t>
      </w:r>
    </w:p>
    <w:p w14:paraId="189FBD88" w14:textId="77777777" w:rsidR="00CA374B" w:rsidRPr="00DA0E6E" w:rsidRDefault="00CA374B" w:rsidP="00DA0E6E">
      <w:pPr>
        <w:ind w:left="720" w:right="720"/>
        <w:jc w:val="both"/>
        <w:rPr>
          <w:rFonts w:ascii="Times New Roman" w:hAnsi="Times New Roman" w:cs="Times New Roman"/>
          <w:sz w:val="20"/>
          <w:szCs w:val="20"/>
        </w:rPr>
      </w:pPr>
      <w:r w:rsidRPr="00DA0E6E">
        <w:rPr>
          <w:rFonts w:ascii="Times New Roman" w:hAnsi="Times New Roman" w:cs="Times New Roman"/>
          <w:i/>
          <w:iCs/>
          <w:sz w:val="20"/>
          <w:szCs w:val="20"/>
        </w:rPr>
        <w:t>“I don’t trust the hospital alone. My ancestors guide me, and they show me which root to take.”</w:t>
      </w:r>
      <w:r w:rsidRPr="00DA0E6E">
        <w:rPr>
          <w:rFonts w:ascii="Times New Roman" w:hAnsi="Times New Roman" w:cs="Times New Roman"/>
          <w:sz w:val="20"/>
          <w:szCs w:val="20"/>
        </w:rPr>
        <w:t xml:space="preserve"> (P5, Traditionalist)</w:t>
      </w:r>
    </w:p>
    <w:p w14:paraId="2547C27A" w14:textId="4D6B0819"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Influence of Elders and Community Norms</w:t>
      </w:r>
    </w:p>
    <w:p w14:paraId="4CFC7785"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Many women described how they were influenced—or expected—to use herbs because of pressure from elders or what was considered the "normal way." The decision was often communal rather than personal.</w:t>
      </w:r>
    </w:p>
    <w:p w14:paraId="0C8201CF"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“My grandmother didn’t even ask. She brought the herbs and said, ‘Start taking this every evening before bed.’”</w:t>
      </w:r>
      <w:r w:rsidRPr="00DA0E6E">
        <w:rPr>
          <w:rFonts w:ascii="Times New Roman" w:hAnsi="Times New Roman" w:cs="Times New Roman"/>
          <w:sz w:val="20"/>
          <w:szCs w:val="20"/>
        </w:rPr>
        <w:t xml:space="preserve"> (P1, Muslim)</w:t>
      </w:r>
      <w:r w:rsidRPr="00DA0E6E">
        <w:rPr>
          <w:rFonts w:ascii="Times New Roman" w:hAnsi="Times New Roman" w:cs="Times New Roman"/>
          <w:sz w:val="20"/>
          <w:szCs w:val="20"/>
        </w:rPr>
        <w:br/>
      </w:r>
      <w:r w:rsidRPr="00DA0E6E">
        <w:rPr>
          <w:rFonts w:ascii="Times New Roman" w:hAnsi="Times New Roman" w:cs="Times New Roman"/>
          <w:i/>
          <w:iCs/>
          <w:sz w:val="20"/>
          <w:szCs w:val="20"/>
        </w:rPr>
        <w:lastRenderedPageBreak/>
        <w:t>“When I was newly pregnant, my aunties gave me a leaf to boil. Everyone in the house had used it.”</w:t>
      </w:r>
      <w:r w:rsidRPr="00DA0E6E">
        <w:rPr>
          <w:rFonts w:ascii="Times New Roman" w:hAnsi="Times New Roman" w:cs="Times New Roman"/>
          <w:sz w:val="20"/>
          <w:szCs w:val="20"/>
        </w:rPr>
        <w:t xml:space="preserve"> (P8, Christian)</w:t>
      </w:r>
    </w:p>
    <w:p w14:paraId="30A8B2D3" w14:textId="77777777" w:rsidR="00F72FC9"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Perceived Benefits of Herbal Remedies</w:t>
      </w:r>
    </w:p>
    <w:p w14:paraId="6771B595" w14:textId="35D7BE34"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br/>
        <w:t>This theme reflects participants’ motivations for herbal use, often framed around improving maternal strength and preventing complications. These perceived benefits formed strong justification for continuing traditional practices.</w:t>
      </w:r>
    </w:p>
    <w:p w14:paraId="59D1FECE" w14:textId="3E2F3958"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Strength and Energy</w:t>
      </w:r>
    </w:p>
    <w:p w14:paraId="6828F90E"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Participants believed that herbs helped boost energy and made them more resilient during pregnancy. Many preferred herbs over hospital medications for this reason.</w:t>
      </w:r>
    </w:p>
    <w:p w14:paraId="06E779B0"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“I used to feel weak every morning until I started the neem. After that, I was able to do my sewing and household chores.”</w:t>
      </w:r>
      <w:r w:rsidRPr="00DA0E6E">
        <w:rPr>
          <w:rFonts w:ascii="Times New Roman" w:hAnsi="Times New Roman" w:cs="Times New Roman"/>
          <w:sz w:val="20"/>
          <w:szCs w:val="20"/>
        </w:rPr>
        <w:t xml:space="preserve"> (P1, Muslim)</w:t>
      </w:r>
      <w:r w:rsidRPr="00DA0E6E">
        <w:rPr>
          <w:rFonts w:ascii="Times New Roman" w:hAnsi="Times New Roman" w:cs="Times New Roman"/>
          <w:sz w:val="20"/>
          <w:szCs w:val="20"/>
        </w:rPr>
        <w:br/>
      </w:r>
      <w:r w:rsidRPr="00DA0E6E">
        <w:rPr>
          <w:rFonts w:ascii="Times New Roman" w:hAnsi="Times New Roman" w:cs="Times New Roman"/>
          <w:i/>
          <w:iCs/>
          <w:sz w:val="20"/>
          <w:szCs w:val="20"/>
        </w:rPr>
        <w:t>“Even though I’m Christian, I used the bitter leaf to fight tiredness. It worked better than those pills from the hospital.”</w:t>
      </w:r>
      <w:r w:rsidRPr="00DA0E6E">
        <w:rPr>
          <w:rFonts w:ascii="Times New Roman" w:hAnsi="Times New Roman" w:cs="Times New Roman"/>
          <w:sz w:val="20"/>
          <w:szCs w:val="20"/>
        </w:rPr>
        <w:t xml:space="preserve"> (P3, Christian)</w:t>
      </w:r>
    </w:p>
    <w:p w14:paraId="21CC85A1" w14:textId="77777777" w:rsidR="001C3C5D" w:rsidRPr="00DA0E6E" w:rsidRDefault="001C3C5D" w:rsidP="00DA0E6E">
      <w:pPr>
        <w:jc w:val="both"/>
        <w:rPr>
          <w:rFonts w:ascii="Times New Roman" w:hAnsi="Times New Roman" w:cs="Times New Roman"/>
          <w:sz w:val="20"/>
          <w:szCs w:val="20"/>
        </w:rPr>
      </w:pPr>
    </w:p>
    <w:p w14:paraId="5B42270B" w14:textId="68D0800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Prevention of Pregnancy Complications</w:t>
      </w:r>
    </w:p>
    <w:p w14:paraId="13E0AB70"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Participants used herbal remedies to prevent miscarriages, protect the fetus, and promote smooth delivery. These practices were considered protective, even when women still attended antenatal clinics.</w:t>
      </w:r>
    </w:p>
    <w:p w14:paraId="2D1DA462"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“In my second pregnancy, I bled a lot. This time I used boiled roots, and by God’s grace, everything went well.”</w:t>
      </w:r>
      <w:r w:rsidRPr="00DA0E6E">
        <w:rPr>
          <w:rFonts w:ascii="Times New Roman" w:hAnsi="Times New Roman" w:cs="Times New Roman"/>
          <w:sz w:val="20"/>
          <w:szCs w:val="20"/>
        </w:rPr>
        <w:t xml:space="preserve"> (P7, Muslim)</w:t>
      </w:r>
      <w:r w:rsidRPr="00DA0E6E">
        <w:rPr>
          <w:rFonts w:ascii="Times New Roman" w:hAnsi="Times New Roman" w:cs="Times New Roman"/>
          <w:sz w:val="20"/>
          <w:szCs w:val="20"/>
        </w:rPr>
        <w:br/>
      </w:r>
      <w:r w:rsidRPr="00DA0E6E">
        <w:rPr>
          <w:rFonts w:ascii="Times New Roman" w:hAnsi="Times New Roman" w:cs="Times New Roman"/>
          <w:i/>
          <w:iCs/>
          <w:sz w:val="20"/>
          <w:szCs w:val="20"/>
        </w:rPr>
        <w:t>“I drank a bark extract every morning. They said it would make the baby strong and settle in my womb.”</w:t>
      </w:r>
      <w:r w:rsidRPr="00DA0E6E">
        <w:rPr>
          <w:rFonts w:ascii="Times New Roman" w:hAnsi="Times New Roman" w:cs="Times New Roman"/>
          <w:sz w:val="20"/>
          <w:szCs w:val="20"/>
        </w:rPr>
        <w:t xml:space="preserve"> (P4, Muslim)</w:t>
      </w:r>
    </w:p>
    <w:p w14:paraId="6537FC05"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The use of such remedies was tied to a desire for control and reassurance during pregnancy.</w:t>
      </w:r>
    </w:p>
    <w:p w14:paraId="3EA3F59E" w14:textId="77777777" w:rsidR="001C3C5D" w:rsidRPr="00DA0E6E" w:rsidRDefault="001C3C5D" w:rsidP="00DA0E6E">
      <w:pPr>
        <w:jc w:val="both"/>
        <w:rPr>
          <w:rFonts w:ascii="Times New Roman" w:hAnsi="Times New Roman" w:cs="Times New Roman"/>
          <w:sz w:val="20"/>
          <w:szCs w:val="20"/>
        </w:rPr>
      </w:pPr>
    </w:p>
    <w:p w14:paraId="4A429C5C" w14:textId="1491F656"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Sources of Herbal Knowledge</w:t>
      </w:r>
    </w:p>
    <w:p w14:paraId="78755C5F" w14:textId="7A429BAB"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br/>
        <w:t xml:space="preserve">This theme explores how women </w:t>
      </w:r>
      <w:r w:rsidR="00391C8F">
        <w:rPr>
          <w:rFonts w:ascii="Times New Roman" w:hAnsi="Times New Roman" w:cs="Times New Roman"/>
          <w:sz w:val="20"/>
          <w:szCs w:val="20"/>
        </w:rPr>
        <w:t xml:space="preserve">learned which herbs to use. Knowledge was mostly passed on </w:t>
      </w:r>
      <w:r w:rsidRPr="00DA0E6E">
        <w:rPr>
          <w:rFonts w:ascii="Times New Roman" w:hAnsi="Times New Roman" w:cs="Times New Roman"/>
          <w:sz w:val="20"/>
          <w:szCs w:val="20"/>
        </w:rPr>
        <w:t>through female relatives or acquired through trusted traditional practitioners in the community.</w:t>
      </w:r>
    </w:p>
    <w:p w14:paraId="6BE996DC" w14:textId="48AB8793"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Intergenerational Knowledge</w:t>
      </w:r>
    </w:p>
    <w:p w14:paraId="7B4D6856" w14:textId="2C18F79F"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Many participants recalled learning about herbs from </w:t>
      </w:r>
      <w:r w:rsidR="00391C8F">
        <w:rPr>
          <w:rFonts w:ascii="Times New Roman" w:hAnsi="Times New Roman" w:cs="Times New Roman"/>
          <w:sz w:val="20"/>
          <w:szCs w:val="20"/>
        </w:rPr>
        <w:t>their mothers, grandmothers, or elder siblings. This knowledge transmission</w:t>
      </w:r>
      <w:r w:rsidRPr="00DA0E6E">
        <w:rPr>
          <w:rFonts w:ascii="Times New Roman" w:hAnsi="Times New Roman" w:cs="Times New Roman"/>
          <w:sz w:val="20"/>
          <w:szCs w:val="20"/>
        </w:rPr>
        <w:t xml:space="preserve"> reinforced herbal use as a generational norm.</w:t>
      </w:r>
    </w:p>
    <w:p w14:paraId="7125AD68" w14:textId="77777777" w:rsidR="00A51141"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“My mother used these herbs when she was carrying me, and now she showed me how to prepare the same leaves.”</w:t>
      </w:r>
      <w:r w:rsidRPr="00DA0E6E">
        <w:rPr>
          <w:rFonts w:ascii="Times New Roman" w:hAnsi="Times New Roman" w:cs="Times New Roman"/>
          <w:sz w:val="20"/>
          <w:szCs w:val="20"/>
        </w:rPr>
        <w:t xml:space="preserve"> (P4, Muslim)</w:t>
      </w:r>
    </w:p>
    <w:p w14:paraId="63A8932A" w14:textId="4D7A573B"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“You grow up seeing your sisters and aunties doing it. When it’s your turn, you don’t ask much—you just follow.”</w:t>
      </w:r>
      <w:r w:rsidRPr="00DA0E6E">
        <w:rPr>
          <w:rFonts w:ascii="Times New Roman" w:hAnsi="Times New Roman" w:cs="Times New Roman"/>
          <w:sz w:val="20"/>
          <w:szCs w:val="20"/>
        </w:rPr>
        <w:t xml:space="preserve"> (P8, Christian)</w:t>
      </w:r>
    </w:p>
    <w:p w14:paraId="5522B010" w14:textId="6B109E71" w:rsidR="00CA374B" w:rsidRPr="00DA0E6E" w:rsidRDefault="00CA374B" w:rsidP="00DA0E6E">
      <w:pPr>
        <w:jc w:val="both"/>
        <w:rPr>
          <w:rFonts w:ascii="Times New Roman" w:hAnsi="Times New Roman" w:cs="Times New Roman"/>
          <w:sz w:val="20"/>
          <w:szCs w:val="20"/>
        </w:rPr>
      </w:pPr>
    </w:p>
    <w:p w14:paraId="2EC92EAE" w14:textId="1AEF725F"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Traditional Practitioners</w:t>
      </w:r>
    </w:p>
    <w:p w14:paraId="77108D05"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Some participants sought help from traditional birth attendants or local healers. These individuals were respected for their knowledge and experience in handling pregnancy-related issues.</w:t>
      </w:r>
    </w:p>
    <w:p w14:paraId="50FEE16A"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lastRenderedPageBreak/>
        <w:t>“The old woman in our area has helped many pregnant women. She mixes herbs depending on how your body feels.”</w:t>
      </w:r>
      <w:r w:rsidRPr="00DA0E6E">
        <w:rPr>
          <w:rFonts w:ascii="Times New Roman" w:hAnsi="Times New Roman" w:cs="Times New Roman"/>
          <w:sz w:val="20"/>
          <w:szCs w:val="20"/>
        </w:rPr>
        <w:t xml:space="preserve"> (P5, Traditionalist)</w:t>
      </w:r>
      <w:r w:rsidRPr="00DA0E6E">
        <w:rPr>
          <w:rFonts w:ascii="Times New Roman" w:hAnsi="Times New Roman" w:cs="Times New Roman"/>
          <w:sz w:val="20"/>
          <w:szCs w:val="20"/>
        </w:rPr>
        <w:br/>
      </w:r>
      <w:r w:rsidRPr="00DA0E6E">
        <w:rPr>
          <w:rFonts w:ascii="Times New Roman" w:hAnsi="Times New Roman" w:cs="Times New Roman"/>
          <w:i/>
          <w:iCs/>
          <w:sz w:val="20"/>
          <w:szCs w:val="20"/>
        </w:rPr>
        <w:t>“When the pain started, I went straight to a healer. The hospital gave me paracetamol, but she gave me a tonic that worked faster.”</w:t>
      </w:r>
      <w:r w:rsidRPr="00DA0E6E">
        <w:rPr>
          <w:rFonts w:ascii="Times New Roman" w:hAnsi="Times New Roman" w:cs="Times New Roman"/>
          <w:sz w:val="20"/>
          <w:szCs w:val="20"/>
        </w:rPr>
        <w:t xml:space="preserve"> (P3, Christian)</w:t>
      </w:r>
    </w:p>
    <w:p w14:paraId="5D1A8F39"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Their role complements the formal health system and demonstrates the hybrid nature of health-seeking behavior.</w:t>
      </w:r>
    </w:p>
    <w:p w14:paraId="5EF5773D" w14:textId="2C51A98A" w:rsidR="00CA374B" w:rsidRPr="00DA0E6E" w:rsidRDefault="00CA374B" w:rsidP="00DA0E6E">
      <w:pPr>
        <w:jc w:val="both"/>
        <w:rPr>
          <w:rFonts w:ascii="Times New Roman" w:hAnsi="Times New Roman" w:cs="Times New Roman"/>
          <w:sz w:val="20"/>
          <w:szCs w:val="20"/>
        </w:rPr>
      </w:pPr>
    </w:p>
    <w:p w14:paraId="09EC50D4" w14:textId="1EE30DB9"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Safety Concerns and Personal Decisions</w:t>
      </w:r>
    </w:p>
    <w:p w14:paraId="49E59D8C" w14:textId="40730020"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While most women spoke positively of herbal use, some acknowledged risks and side effects. This theme also highlights how women balanced hospital advice with traditional practices—sometimes covertly.</w:t>
      </w:r>
    </w:p>
    <w:p w14:paraId="12FB4A5E" w14:textId="1BF51F5D"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Side Effects and Reactions</w:t>
      </w:r>
    </w:p>
    <w:p w14:paraId="4D60A7F4"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A few women reported experiencing unpleasant reactions after taking certain herbs. These experiences did not always stop usage but made women more selective.</w:t>
      </w:r>
    </w:p>
    <w:p w14:paraId="10181123"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“One time, I took too much of the bitter leaf and started feeling dizzy. I had to stop.”</w:t>
      </w:r>
      <w:r w:rsidRPr="00DA0E6E">
        <w:rPr>
          <w:rFonts w:ascii="Times New Roman" w:hAnsi="Times New Roman" w:cs="Times New Roman"/>
          <w:sz w:val="20"/>
          <w:szCs w:val="20"/>
        </w:rPr>
        <w:t xml:space="preserve"> (P9, Muslim)</w:t>
      </w:r>
      <w:r w:rsidRPr="00DA0E6E">
        <w:rPr>
          <w:rFonts w:ascii="Times New Roman" w:hAnsi="Times New Roman" w:cs="Times New Roman"/>
          <w:sz w:val="20"/>
          <w:szCs w:val="20"/>
        </w:rPr>
        <w:br/>
      </w:r>
      <w:r w:rsidRPr="00DA0E6E">
        <w:rPr>
          <w:rFonts w:ascii="Times New Roman" w:hAnsi="Times New Roman" w:cs="Times New Roman"/>
          <w:i/>
          <w:iCs/>
          <w:sz w:val="20"/>
          <w:szCs w:val="20"/>
        </w:rPr>
        <w:t>“I vomited badly after taking something my friend gave me. I think it wasn’t meant for early pregnancy.”</w:t>
      </w:r>
      <w:r w:rsidRPr="00DA0E6E">
        <w:rPr>
          <w:rFonts w:ascii="Times New Roman" w:hAnsi="Times New Roman" w:cs="Times New Roman"/>
          <w:sz w:val="20"/>
          <w:szCs w:val="20"/>
        </w:rPr>
        <w:t xml:space="preserve"> (P6, Christian)</w:t>
      </w:r>
    </w:p>
    <w:p w14:paraId="065628DC"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These concerns highlight the lack of dosage regulation in herbal practice.</w:t>
      </w:r>
    </w:p>
    <w:p w14:paraId="3084933E" w14:textId="667EA86B"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Balancing Medical and Herbal Practices</w:t>
      </w:r>
    </w:p>
    <w:p w14:paraId="691189B6"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Participants often managed both hospital care and herbal use simultaneously. Some did so openly, while others avoided disclosing herbal use to health professionals.</w:t>
      </w:r>
    </w:p>
    <w:p w14:paraId="60DD034D"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“The midwife said not to use anything not prescribed. But at home, I take herbs at night. I don’t want trouble with my family.”</w:t>
      </w:r>
      <w:r w:rsidRPr="00DA0E6E">
        <w:rPr>
          <w:rFonts w:ascii="Times New Roman" w:hAnsi="Times New Roman" w:cs="Times New Roman"/>
          <w:sz w:val="20"/>
          <w:szCs w:val="20"/>
        </w:rPr>
        <w:t xml:space="preserve"> (P2, Muslim)</w:t>
      </w:r>
      <w:r w:rsidRPr="00DA0E6E">
        <w:rPr>
          <w:rFonts w:ascii="Times New Roman" w:hAnsi="Times New Roman" w:cs="Times New Roman"/>
          <w:sz w:val="20"/>
          <w:szCs w:val="20"/>
        </w:rPr>
        <w:br/>
      </w:r>
      <w:r w:rsidRPr="00DA0E6E">
        <w:rPr>
          <w:rFonts w:ascii="Times New Roman" w:hAnsi="Times New Roman" w:cs="Times New Roman"/>
          <w:i/>
          <w:iCs/>
          <w:sz w:val="20"/>
          <w:szCs w:val="20"/>
        </w:rPr>
        <w:t>“My husband is a health worker, so he warned me. But I still use mild herbs like guava tea—it’s common here.”</w:t>
      </w:r>
      <w:r w:rsidRPr="00DA0E6E">
        <w:rPr>
          <w:rFonts w:ascii="Times New Roman" w:hAnsi="Times New Roman" w:cs="Times New Roman"/>
          <w:sz w:val="20"/>
          <w:szCs w:val="20"/>
        </w:rPr>
        <w:t xml:space="preserve"> (P3, Christian)</w:t>
      </w:r>
    </w:p>
    <w:p w14:paraId="19D4884D" w14:textId="6C091DB1" w:rsidR="00CA374B"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This sub-theme shows how women’s </w:t>
      </w:r>
      <w:r w:rsidR="009A4C30" w:rsidRPr="00DA0E6E">
        <w:rPr>
          <w:rFonts w:ascii="Times New Roman" w:hAnsi="Times New Roman" w:cs="Times New Roman"/>
          <w:sz w:val="20"/>
          <w:szCs w:val="20"/>
        </w:rPr>
        <w:t>agencies play</w:t>
      </w:r>
      <w:r w:rsidRPr="00DA0E6E">
        <w:rPr>
          <w:rFonts w:ascii="Times New Roman" w:hAnsi="Times New Roman" w:cs="Times New Roman"/>
          <w:sz w:val="20"/>
          <w:szCs w:val="20"/>
        </w:rPr>
        <w:t xml:space="preserve"> out in decision-making between modern and traditional medicine.</w:t>
      </w:r>
    </w:p>
    <w:p w14:paraId="4FCB633B" w14:textId="77777777" w:rsidR="00391C8F" w:rsidRDefault="00391C8F" w:rsidP="00DA0E6E">
      <w:pPr>
        <w:jc w:val="both"/>
        <w:rPr>
          <w:rFonts w:ascii="Times New Roman" w:hAnsi="Times New Roman" w:cs="Times New Roman"/>
          <w:sz w:val="20"/>
          <w:szCs w:val="20"/>
        </w:rPr>
      </w:pPr>
    </w:p>
    <w:p w14:paraId="34867BA8" w14:textId="77777777" w:rsidR="00391C8F" w:rsidRDefault="00391C8F" w:rsidP="00DA0E6E">
      <w:pPr>
        <w:jc w:val="both"/>
        <w:rPr>
          <w:rFonts w:ascii="Times New Roman" w:hAnsi="Times New Roman" w:cs="Times New Roman"/>
          <w:sz w:val="20"/>
          <w:szCs w:val="20"/>
        </w:rPr>
      </w:pPr>
    </w:p>
    <w:p w14:paraId="643A4C5E" w14:textId="77777777" w:rsidR="00391C8F" w:rsidRPr="00DA0E6E" w:rsidRDefault="00391C8F" w:rsidP="00DA0E6E">
      <w:pPr>
        <w:jc w:val="both"/>
        <w:rPr>
          <w:rFonts w:ascii="Times New Roman" w:hAnsi="Times New Roman" w:cs="Times New Roman"/>
          <w:sz w:val="20"/>
          <w:szCs w:val="20"/>
        </w:rPr>
      </w:pPr>
    </w:p>
    <w:p w14:paraId="624F3CC1" w14:textId="7A6A90CE" w:rsidR="00C63886" w:rsidRPr="00391C8F" w:rsidRDefault="00C63886" w:rsidP="00DA0E6E">
      <w:pPr>
        <w:jc w:val="both"/>
        <w:rPr>
          <w:rFonts w:ascii="Times New Roman" w:hAnsi="Times New Roman" w:cs="Times New Roman"/>
          <w:b/>
          <w:bCs/>
          <w:sz w:val="20"/>
          <w:szCs w:val="20"/>
        </w:rPr>
      </w:pPr>
      <w:r w:rsidRPr="00391C8F">
        <w:rPr>
          <w:rFonts w:ascii="Times New Roman" w:hAnsi="Times New Roman" w:cs="Times New Roman"/>
          <w:b/>
          <w:bCs/>
          <w:sz w:val="20"/>
          <w:szCs w:val="20"/>
        </w:rPr>
        <w:t>Discussion</w:t>
      </w:r>
    </w:p>
    <w:p w14:paraId="4BE2D001" w14:textId="28EFFD30" w:rsidR="00503384" w:rsidRPr="00DA0E6E" w:rsidRDefault="00503384" w:rsidP="00DA0E6E">
      <w:pPr>
        <w:jc w:val="both"/>
        <w:rPr>
          <w:rFonts w:ascii="Times New Roman" w:hAnsi="Times New Roman" w:cs="Times New Roman"/>
          <w:sz w:val="20"/>
          <w:szCs w:val="20"/>
        </w:rPr>
      </w:pPr>
      <w:r w:rsidRPr="00DA0E6E">
        <w:rPr>
          <w:rFonts w:ascii="Times New Roman" w:hAnsi="Times New Roman" w:cs="Times New Roman"/>
          <w:sz w:val="20"/>
          <w:szCs w:val="20"/>
        </w:rPr>
        <w:t>This study examined the factors influencing herbal remedy use among pregnant women in the Sagnarigu Municipality. The findings show that herbal use is deeply rooted in cultural and religious beliefs, often encouraged by elders and community norms. Women perceived herbs as effective for boosting strength and preventing complications. Knowledge was mostly passed down through generations or provided by traditional healers. Although some participants reported side effects, herbal use remained common, with many women combining it with medical care</w:t>
      </w:r>
      <w:r w:rsidR="00BD474F" w:rsidRPr="00DA0E6E">
        <w:rPr>
          <w:rFonts w:ascii="Times New Roman" w:hAnsi="Times New Roman" w:cs="Times New Roman"/>
          <w:sz w:val="20"/>
          <w:szCs w:val="20"/>
        </w:rPr>
        <w:t xml:space="preserve">, often without informing healthcare providers, </w:t>
      </w:r>
      <w:r w:rsidR="009B6661" w:rsidRPr="00DA0E6E">
        <w:rPr>
          <w:rFonts w:ascii="Times New Roman" w:hAnsi="Times New Roman" w:cs="Times New Roman"/>
          <w:sz w:val="20"/>
          <w:szCs w:val="20"/>
        </w:rPr>
        <w:t>to</w:t>
      </w:r>
      <w:r w:rsidRPr="00DA0E6E">
        <w:rPr>
          <w:rFonts w:ascii="Times New Roman" w:hAnsi="Times New Roman" w:cs="Times New Roman"/>
          <w:sz w:val="20"/>
          <w:szCs w:val="20"/>
        </w:rPr>
        <w:t xml:space="preserve"> meet both cultural expectations and health needs.</w:t>
      </w:r>
    </w:p>
    <w:p w14:paraId="0C7EA15A" w14:textId="2C415C50" w:rsidR="002274D8" w:rsidRPr="00DA0E6E" w:rsidRDefault="001240A8" w:rsidP="00DA0E6E">
      <w:pPr>
        <w:jc w:val="both"/>
        <w:rPr>
          <w:rFonts w:ascii="Times New Roman" w:hAnsi="Times New Roman" w:cs="Times New Roman"/>
          <w:sz w:val="20"/>
          <w:szCs w:val="20"/>
        </w:rPr>
      </w:pPr>
      <w:r w:rsidRPr="00DA0E6E">
        <w:rPr>
          <w:rFonts w:ascii="Times New Roman" w:hAnsi="Times New Roman" w:cs="Times New Roman"/>
          <w:sz w:val="20"/>
          <w:szCs w:val="20"/>
        </w:rPr>
        <w:t>In this study, pregnant women in the Sagnarigu Municipality described herbal remedy use as an indispensable cultural and spiritual duty, viewing plant-based preparations as ancestral safeguards intertwined with their religious and communal identities. This perspective aligns with evidence from Ghana and other parts of sub</w:t>
      </w:r>
      <w:r w:rsidRPr="00DA0E6E">
        <w:rPr>
          <w:rFonts w:ascii="Times New Roman" w:hAnsi="Times New Roman" w:cs="Times New Roman"/>
          <w:sz w:val="20"/>
          <w:szCs w:val="20"/>
        </w:rPr>
        <w:noBreakHyphen/>
        <w:t xml:space="preserve">Saharan Africa, where herbs are considered the “first line of defense” against pregnancy ailments and integral to holistic health </w:t>
      </w:r>
      <w:r w:rsidRPr="00DA0E6E">
        <w:rPr>
          <w:rFonts w:ascii="Times New Roman" w:hAnsi="Times New Roman" w:cs="Times New Roman"/>
          <w:sz w:val="20"/>
          <w:szCs w:val="20"/>
        </w:rPr>
        <w:lastRenderedPageBreak/>
        <w:t xml:space="preserve">beliefs </w:t>
      </w:r>
      <w:r w:rsidR="008A0347"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{"citationID":"YzbmSrCC","properties":{"formattedCitation":"(10,18)","plainCitation":"(10,18)","noteIndex":0},"citationItems":[{"id":4830,"uris":["http://zotero.org/users/15244130/items/A75E24L7"],"itemData":{"id":4830,"type":"article-journal","abstract":"Introduction:\nMany countries invest in interventions to minimize maternal and neonatal morbidity and mortality but the progress has been slow, in developing countries, especially in Africa. Traditional taboos and malpractices like home deliveries owing to cultural beliefs and traditional practices during pregnancy, childbirth, and the postpartum period increase maternal and neonatal complications. Although there are different researches in Ethiopia, the reasons for practicing such traditional activities in the East Gojjam zone in northwest Ethiopia are not well understood. Ethical clearance was obtained from the research committee of Debre Markos University.\n\nObjective:\nThis study aimed to explore cultural beliefs and traditional practices during pregnancy, childbirth, and the postpartum period in East Gojjam Zone, Northwest Ethiopia.\n\nMaterials and Methods:\nPurposive and snowball nonprobability sampling techniques were used to select the study participants. Data were collected through in-depth interviews and focused group discussions until the information was saturated and it was categorized and analyzed after the interviews were completed. The translated text file was analyzed using thematic analysis using codes and terms to create themes. Information from the interview consists of the women's descriptions and explanations of their cultural practices during pregnancy, childbirth, and the postnatal period.\n\nResult:\nRespondents report many examples of cultural, traditional, and religious practices experienced by the community in East Gojjam Zone during pregnancy, childbirth, and postpartum period, whether they are beneficial or harmful for the mother and the fetus. Drinking holy water, praying to God and Mary, taking herbal medicine, food taboo, making a confinement period in a dark room, and other cultural ceremonies are among commonly experienced cultural, traditional, and religious practices in the study area.\n\nConclusion:\nTraditional, cultural, and religious practices during pregnancy, childbirth, and the postpartum period are still popular among the community in the East Gojjam Zone. It is critical to identify the harmful practices and reinforce the positive healthy practices to make pregnancy, childbirth, and postpartum periods healthy and joyful.","container-title":"Women's Health Reports","DOI":"10.1089/whr.2023.0024","ISSN":"2688-4844","issue":"1","journalAbbreviation":"Womens Health Rep (New Rochelle)","note":"PMID: 37645589\nPMCID: PMC10460962","page":"415-422","source":"PubMed Central","title":"Cultural Beliefs and Traditional Practices During Pregnancy, Child Birth, and the Postpartum Period in East Gojjam Zone, Northwest Ethiopia: A Qualitative Study","title-short":"Cultural Beliefs and Traditional Practices During Pregnancy, Child Birth, and the Postpartum Period in East Gojjam Zone, Northwest Ethiopia","volume":"4","author":[{"family":"Aynalem","given":"Bewket Yeserah"},{"family":"Melesse","given":"Misganaw Fikrie"},{"family":"Bitewa","given":"Yibelu Bazezew"}],"issued":{"date-parts":[["2023",8,16]]}}},{"id":325,"uris":["http://zotero.org/users/15244130/items/HBJEMVUV"],"itemData":{"id":325,"type":"article-journal","container-title":"Frontiers in Pharmacology","ISSN":"1663-9812","note":"publisher: Frontiers Media SA","page":"866","title":"Herbal medicine use during pregnancy: a review of the literature with a special focus on sub-Saharan Africa","volume":"11","author":[{"family":"El Hajj","given":"Magalie"},{"family":"Holst","given":"Lone"}],"issued":{"date-parts":[["2020"]]}}}],"schema":"https://github.com/citation-style-language/schema/raw/master/csl-citation.json"} </w:instrText>
      </w:r>
      <w:r w:rsidR="008A0347"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(10,18)</w:t>
      </w:r>
      <w:r w:rsidR="008A0347" w:rsidRPr="00DA0E6E">
        <w:rPr>
          <w:rFonts w:ascii="Times New Roman" w:hAnsi="Times New Roman" w:cs="Times New Roman"/>
          <w:sz w:val="20"/>
          <w:szCs w:val="20"/>
        </w:rPr>
        <w:fldChar w:fldCharType="end"/>
      </w:r>
      <w:r w:rsidRPr="00DA0E6E">
        <w:rPr>
          <w:rFonts w:ascii="Times New Roman" w:hAnsi="Times New Roman" w:cs="Times New Roman"/>
          <w:sz w:val="20"/>
          <w:szCs w:val="20"/>
        </w:rPr>
        <w:t>. Conversely, a sequential mixed</w:t>
      </w:r>
      <w:r w:rsidRPr="00DA0E6E">
        <w:rPr>
          <w:rFonts w:ascii="Times New Roman" w:hAnsi="Times New Roman" w:cs="Times New Roman"/>
          <w:sz w:val="20"/>
          <w:szCs w:val="20"/>
        </w:rPr>
        <w:noBreakHyphen/>
        <w:t xml:space="preserve">method study in Ethiopia found that higher education and household income correlate with reduced herbal medicine use, indicating that socioeconomic status can attenuate even deeply held spiritual imperatives </w:t>
      </w:r>
      <w:r w:rsidR="008A0347"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{"citationID":"LZnvQYTA","properties":{"formattedCitation":"(9,17)","plainCitation":"(9,17)","noteIndex":0},"citationItems":[{"id":4833,"uris":["http://zotero.org/users/15244130/items/74LP5CQI"],"itemData":{"id":4833,"type":"article-journal","abstract":"Objective\nThis study was aimed at assessing the prevalence of herbal drug use among pregnant women with access to modern medicine and associated factors in public health facilities in the west Shewa zone, Oromia regional state, Ethiopia.\n\nDesign\nA sequential mixed-method study approach was carried out among pregnant women and other stakeholders.\n\nSetting\nThis study was conducted at public health facilities, including 3 public hospitals and 20 health centres, in the west Shewa zone of Ethiopia.\n\nParticipants\nA systematically selected sample of 411 pregnant women was participated in the quantitative study. For the qualitative method, focus group discussions and in-depth interviews were conducted among pregnant women attending antenatal care and key informants using an interview guide until data saturation was achieved.\n\nPrimary outcome\nFor outcome variables, the respondents were asked if they used any herbal medicine during their current pregnancy. It was then recorded as 0=no and 1=yes.\n\nResults\nThe prevalence of herbal medicines was found to be 19.7%. The most commonly used herbal medicines were Zingiber officinale, Ocimum gratissimum, Eucalyptus globules, Allium sativum and Rutacha lepensis. Herbal medicine use during pregnancy was significantly associated with older maternal age (adjusted OR (AOR) 2.4, 95% CI 1.2 to 5.1), urban residence (AOR 2.3, 95% CI 1.3 to 3.7) and second trimester of pregnancy (AOR 2.3, 95% CI 1.3 to 4.5).\n\nConclusions\nIn this study, one in five pregnant women uses herbal medicine, which is relatively low. Sociodemographic factors and the duration of pregnancy affected the utilisation of herbal drugs during pregnancy. The most common herbals used by pregnant women were intended to treat minor disorders of pregnancy and medical disorders such as hypertension.","container-title":"BMJ Open","DOI":"10.1136/bmjopen-2023-076303","ISSN":"2044-6055","issue":"2","journalAbbreviation":"BMJ Open","note":"PMID: 38316582\nPMCID: PMC10860084","page":"e076303","source":"PubMed Central","title":"Use of herbal medicine during pregnancy and associated factors among pregnant women with access to public healthcare in west Shewa zone, Central Ethiopia: sequential mixed-method study","title-short":"Use of herbal medicine during pregnancy and associated factors among pregnant women with access to public healthcare in west Shewa zone, Central Ethiopia","volume":"14","author":[{"family":"Bekele","given":"Gemechu Gelan"},{"family":"Woldeyes","given":"Benyam Seifu"},{"family":"Taye","given":"Getu Melesie"},{"family":"Kebede","given":"Ermiyas Mulu"},{"family":"Gebremichael","given":"Delelegn Yilma"}],"issued":{"date-parts":[["2024",2,5]]}}},{"id":4846,"uris":["http://zotero.org/users/15244130/items/597M8DRA"],"itemData":{"id":4846,"type":"article-journal","container-title":"Journal of Women’s Health, Issues &amp; Care","DOI":"10.4172/2325-9795.1000171","ISSN":"23259795","issue":"06","journalAbbreviation":"J Womens Health, Issues Care","source":"DOI.org (Crossref)","title":"Addressing Socio-cultural Barriers to Maternal Healthcare in Ghana: Perspectives of Women and Healthcare Providers","title-short":"Addressing Socio-cultural Barriers to Maternal Healthcare in Ghana","URL":"http://www.scitechnol.com/addressing-sociocultural-barriers-maternal-healthcare-ghana-perspectives-women-healthcare-providers-9wKH.php?article_id=2391","volume":"03","author":[{"family":"Ganle","given":"John Kuumuori"}],"accessed":{"date-parts":[["2025",4,20]]},"issued":{"date-parts":[["2014"]]}}}],"schema":"https://github.com/citation-style-language/schema/raw/master/csl-citation.json"} </w:instrText>
      </w:r>
      <w:r w:rsidR="008A0347"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(9,17)</w:t>
      </w:r>
      <w:r w:rsidR="008A0347" w:rsidRPr="00DA0E6E">
        <w:rPr>
          <w:rFonts w:ascii="Times New Roman" w:hAnsi="Times New Roman" w:cs="Times New Roman"/>
          <w:sz w:val="20"/>
          <w:szCs w:val="20"/>
        </w:rPr>
        <w:fldChar w:fldCharType="end"/>
      </w:r>
      <w:r w:rsidRPr="00DA0E6E">
        <w:rPr>
          <w:rFonts w:ascii="Times New Roman" w:hAnsi="Times New Roman" w:cs="Times New Roman"/>
          <w:sz w:val="20"/>
          <w:szCs w:val="20"/>
        </w:rPr>
        <w:t>. These observations imply that maternal health initiatives must be both culturally sensitive—honoring spiritual traditions—and practically empowering, by addressing educational and economic barriers through tailored literacy and livelihood programs</w:t>
      </w:r>
      <w:r w:rsidR="00344102" w:rsidRPr="00DA0E6E">
        <w:rPr>
          <w:rFonts w:ascii="Times New Roman" w:hAnsi="Times New Roman" w:cs="Times New Roman"/>
          <w:sz w:val="20"/>
          <w:szCs w:val="20"/>
        </w:rPr>
        <w:t xml:space="preserve">. </w:t>
      </w:r>
    </w:p>
    <w:p w14:paraId="3C6474EA" w14:textId="53647CFE" w:rsidR="00D443C6" w:rsidRPr="00DA0E6E" w:rsidRDefault="00D443C6" w:rsidP="00DA0E6E">
      <w:pPr>
        <w:jc w:val="both"/>
        <w:rPr>
          <w:rFonts w:ascii="Times New Roman" w:hAnsi="Times New Roman" w:cs="Times New Roman"/>
          <w:sz w:val="20"/>
          <w:szCs w:val="20"/>
        </w:rPr>
      </w:pPr>
      <w:r w:rsidRPr="00DA0E6E">
        <w:rPr>
          <w:rFonts w:ascii="Times New Roman" w:hAnsi="Times New Roman" w:cs="Times New Roman"/>
          <w:sz w:val="20"/>
          <w:szCs w:val="20"/>
        </w:rPr>
        <w:t>Family elders, particularly mothers and grandmothers, emerged as authoritative figures whose unsolicited recommendations shaped much of the participants’ herbal practices. Similar intergenerational knowledge transfer has been documented in Ghana, where elder women’s counsel is rarely questioned, reinforcing communal health wisdom</w:t>
      </w:r>
      <w:r w:rsidR="00AB1CFC" w:rsidRPr="00DA0E6E">
        <w:rPr>
          <w:rFonts w:ascii="Times New Roman" w:hAnsi="Times New Roman" w:cs="Times New Roman"/>
          <w:sz w:val="20"/>
          <w:szCs w:val="20"/>
        </w:rPr>
        <w:t xml:space="preserve"> </w:t>
      </w:r>
      <w:r w:rsidR="00AB1CFC"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{"citationID":"qrcgBG9Q","properties":{"formattedCitation":"(17,19)","plainCitation":"(17,19)","noteIndex":0},"citationItems":[{"id":4846,"uris":["http://zotero.org/users/15244130/items/597M8DRA"],"itemData":{"id":4846,"type":"article-journal","container-title":"Journal of Women’s Health, Issues &amp; Care","DOI":"10.4172/2325-9795.1000171","ISSN":"23259795","issue":"06","journalAbbreviation":"J Womens Health, Issues Care","source":"DOI.org (Crossref)","title":"Addressing Socio-cultural Barriers to Maternal Healthcare in Ghana: Perspectives of Women and Healthcare Providers","title-short":"Addressing Socio-cultural Barriers to Maternal Healthcare in Ghana","URL":"http://www.scitechnol.com/addressing-sociocultural-barriers-maternal-healthcare-ghana-perspectives-women-healthcare-providers-9wKH.php?article_id=2391","volume":"03","author":[{"family":"Ganle","given":"John Kuumuori"}],"accessed":{"date-parts":[["2025",4,20]]},"issued":{"date-parts":[["2014"]]}}},{"id":328,"uris":["http://zotero.org/users/15244130/items/N9L9J37L"],"itemData":{"id":328,"type":"article-journal","container-title":"International Journal of Environmental Research and Public Health","ISSN":"1660-4601","issue":"11","note":"publisher: MDPI","page":"5988","title":"African herbal medicines: Adverse effects and cytotoxic potentials with different therapeutic applications","volume":"18","author":[{"family":"Okaiyeto","given":"Kunle"},{"family":"Oguntibeju","given":"Oluwafemi O"}],"issued":{"date-parts":[["2021"]]}}}],"schema":"https://github.com/citation-style-language/schema/raw/master/csl-citation.json"} </w:instrText>
      </w:r>
      <w:r w:rsidR="00AB1CFC"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(17,19)</w:t>
      </w:r>
      <w:r w:rsidR="00AB1CFC" w:rsidRPr="00DA0E6E">
        <w:rPr>
          <w:rFonts w:ascii="Times New Roman" w:hAnsi="Times New Roman" w:cs="Times New Roman"/>
          <w:sz w:val="20"/>
          <w:szCs w:val="20"/>
        </w:rPr>
        <w:fldChar w:fldCharType="end"/>
      </w:r>
      <w:r w:rsidR="00AB1CFC" w:rsidRPr="00DA0E6E">
        <w:rPr>
          <w:rFonts w:ascii="Times New Roman" w:hAnsi="Times New Roman" w:cs="Times New Roman"/>
          <w:sz w:val="20"/>
          <w:szCs w:val="20"/>
        </w:rPr>
        <w:t>Gan</w:t>
      </w:r>
      <w:r w:rsidRPr="00DA0E6E">
        <w:rPr>
          <w:rFonts w:ascii="Times New Roman" w:hAnsi="Times New Roman" w:cs="Times New Roman"/>
          <w:sz w:val="20"/>
          <w:szCs w:val="20"/>
        </w:rPr>
        <w:t>. However, urban Accra residents report a gradual decline in elder authority due to increased access to formal education and media</w:t>
      </w:r>
      <w:r w:rsidRPr="00DA0E6E">
        <w:rPr>
          <w:rFonts w:ascii="Times New Roman" w:hAnsi="Times New Roman" w:cs="Times New Roman"/>
          <w:sz w:val="20"/>
          <w:szCs w:val="20"/>
        </w:rPr>
        <w:noBreakHyphen/>
        <w:t>based health information, leading to more autonomous decision</w:t>
      </w:r>
      <w:r w:rsidRPr="00DA0E6E">
        <w:rPr>
          <w:rFonts w:ascii="Times New Roman" w:hAnsi="Times New Roman" w:cs="Times New Roman"/>
          <w:sz w:val="20"/>
          <w:szCs w:val="20"/>
        </w:rPr>
        <w:noBreakHyphen/>
        <w:t xml:space="preserve">making </w:t>
      </w:r>
      <w:r w:rsidR="0062435C" w:rsidRPr="00DA0E6E">
        <w:rPr>
          <w:rFonts w:ascii="Times New Roman" w:hAnsi="Times New Roman" w:cs="Times New Roman"/>
          <w:sz w:val="20"/>
          <w:szCs w:val="20"/>
        </w:rPr>
        <w:fldChar w:fldCharType="begin"/>
      </w:r>
      <w:r w:rsidR="0011440A" w:rsidRPr="00DA0E6E">
        <w:rPr>
          <w:rFonts w:ascii="Times New Roman" w:hAnsi="Times New Roman" w:cs="Times New Roman"/>
          <w:sz w:val="20"/>
          <w:szCs w:val="20"/>
        </w:rPr>
        <w:instrText xml:space="preserve"> ADDIN ZOTERO_ITEM CSL_CITATION {"citationID":"qZxXuY3N","properties":{"formattedCitation":"(15,16)","plainCitation":"(15,16)","noteIndex":0},"citationItems":[{"id":4847,"uris":["http://zotero.org/users/15244130/items/F6NMCHYH"],"itemData":{"id":4847,"type":"article-journal","abstract":"User-fee exemption for skilled delivery services has been implemented in Ghana since 2003 as a way to address financial barriers to access. However, many women still deliver at home. Based on data from the 2014 Ghana Demographic and Health Survey, we estimated the prevalence of home delivery and determined the factors contributing to homebirths among a total of 622 women in the Northern region in the context of the user-fee exemption policy in Ghana. Binary and multivariate logistic regression analyses were employed. Results suggest home delivery prevalence of 59% (365/622). Traditional birth attendants attended majority of home deliveries (93.4%). After adjusting for potential confounders, making less than four antenatal care visits (aOR = 2.42; CI = 1.91-6.45; p = 0.001), being a practitioner of traditional African religion (aOR = 16.40; CI = 3.10-25.40; p = 0.000), being a Muslim (aOR 2.10; CI = 1.46-5.30; p = 0.042), not having a health insurance (aOR = 1.85; CI = 1.773-4.72; p = 0.016), living in a male-headed household (aOR = 2.07; CI = 1.02-4.53; p &lt; 0.01), and being unexposed to media (aOR = 3.10; CI = 1.12-5.38; p = 0.021) significantly predicted home delivery. Our results suggest that unless interventions are implemented to address other health system factors like insurance coverage, and socio-cultural and religious beliefs that hinder uptake of skilled care, the full benefits of user-fee exemption may not be realized in Ghana.","container-title":"The International Journal of Health Planning and Management","DOI":"10.1002/hpm.2731","ISSN":"1099-1751","issue":"2","language":"en","license":"© 2019 John Wiley &amp; Sons, Ltd.","note":"_eprint: https://onlinelibrary.wiley.com/doi/pdf/10.1002/hpm.2731","page":"727-743","source":"Wiley Online Library","title":"Understanding factors influencing home delivery in the context of user-fee abolition in Northern Ghana: Evidence from 2014 DHS","title-short":"Understanding factors influencing home delivery in the context of user-fee abolition in Northern Ghana","volume":"34","author":[{"family":"Ganle","given":"John Kuumuori"},{"family":"Mahama","given":"Musah Salifu"},{"family":"Maya","given":"Ernest"},{"family":"Manu","given":"Abubakar"},{"family":"Torpey","given":"Kwasi"},{"family":"Adanu","given":"Richard"}],"issued":{"date-parts":[["2019"]]}}},{"id":4812,"uris":["http://zotero.org/users/15244130/items/7C3CLERB"],"itemData":{"id":4812,"type":"article-journal","abstract":"BACKGROUND: Facilitating factors are potential factors that encourage the uptake of maternal health services, while limiting factors are those potential factors that limit women's access to maternal health services. Though cultural norms or values are significant factors that influence health-seeking behaviour, there is a limited exploration of the facilitating and limiting factors of these cultural norms and values on the use of maternal health services in primary health care facilities.\nAIM: To understand the facilitating and limiting factors of cultural values and norms that influence the use of maternal health services in primary healthcare facilities.\nMETHODS: The study was conducted in two primary healthcare facilities (rural and urban) using a focused ethnographic methodology described by Roper and Shapira. The study comprised 189 hours of observation of nine women from the third trimester to deliveries. Using purposive and snowballing techniques, data was collected through 21 in-depth interviews, two focus group discussions comprising 13 women, and field notes. All data was analyzed using the steps described by Roper and Shapira (Ethnography in nursing research, 2000).\nRESULTS: Using the enabler and nurturer constructs of the relationships and the expectations domain of the PEN-3 cultural model, four themes were generated: 1, The attitude of healthcare workers and 2, Factors within primary healthcare facilities, which revealed both facilitating and limiting factors. The remaining themes, 3, The High cost of services, and 4, Contextual issues within communities revealed factors that limit access to facility care.\nCONCLUSION: Several facilitating and limiting factors of cultural norms and values significantly influence women's health-seeking behaviours and use of primary health facilities. Further studies are needed on approaches to harness these factors in providing holistic care tailored to communities' cultural needs. Additionally, reinvigoration and strengthening of primary health facilities in Nigeria is critical to promoting comprehensive care that could reduce maternal mortality and enhance maternal health outcomes.","container-title":"BMC pregnancy and childbirth","DOI":"10.1186/s12884-024-06747-x","ISSN":"1471-2393","issue":"1","journalAbbreviation":"BMC Pregnancy Childbirth","language":"eng","note":"PMID: 39192210\nPMCID: PMC11348738","page":"555","source":"PubMed","title":"Facilitating and limiting factors of cultural norms influencing use of maternal health services in primary health care facilities in Kogi State, Nigeria; a focused ethnographic research on Igala women","volume":"24","author":[{"family":"Opara","given":"Uchechi Clara"},{"family":"Iheanacho","given":"Peace Njideka"},{"family":"Li","given":"Hua"},{"family":"Petrucka","given":"Pammla"}],"issued":{"date-parts":[["2024",8,27]]}}}],"schema":"https://github.com/citation-style-language/schema/raw/master/csl-citation.json"} </w:instrText>
      </w:r>
      <w:r w:rsidR="0062435C" w:rsidRPr="00DA0E6E">
        <w:rPr>
          <w:rFonts w:ascii="Times New Roman" w:hAnsi="Times New Roman" w:cs="Times New Roman"/>
          <w:sz w:val="20"/>
          <w:szCs w:val="20"/>
        </w:rPr>
        <w:fldChar w:fldCharType="separate"/>
      </w:r>
      <w:r w:rsidR="0011440A" w:rsidRPr="00DA0E6E">
        <w:rPr>
          <w:rFonts w:ascii="Times New Roman" w:hAnsi="Times New Roman" w:cs="Times New Roman"/>
          <w:sz w:val="20"/>
          <w:szCs w:val="20"/>
        </w:rPr>
        <w:t>(15,16)</w:t>
      </w:r>
      <w:r w:rsidR="0062435C" w:rsidRPr="00DA0E6E">
        <w:rPr>
          <w:rFonts w:ascii="Times New Roman" w:hAnsi="Times New Roman" w:cs="Times New Roman"/>
          <w:sz w:val="20"/>
          <w:szCs w:val="20"/>
        </w:rPr>
        <w:fldChar w:fldCharType="end"/>
      </w:r>
      <w:r w:rsidRPr="00DA0E6E">
        <w:rPr>
          <w:rFonts w:ascii="Times New Roman" w:hAnsi="Times New Roman" w:cs="Times New Roman"/>
          <w:sz w:val="20"/>
          <w:szCs w:val="20"/>
        </w:rPr>
        <w:t>. Engaging respected community elders as active partners—inviting them to co</w:t>
      </w:r>
      <w:r w:rsidRPr="00DA0E6E">
        <w:rPr>
          <w:rFonts w:ascii="Times New Roman" w:hAnsi="Times New Roman" w:cs="Times New Roman"/>
          <w:sz w:val="20"/>
          <w:szCs w:val="20"/>
        </w:rPr>
        <w:noBreakHyphen/>
        <w:t>facilitate antenatal workshops or community dialogues—could harness their influence to promote evidence</w:t>
      </w:r>
      <w:r w:rsidRPr="00DA0E6E">
        <w:rPr>
          <w:rFonts w:ascii="Times New Roman" w:hAnsi="Times New Roman" w:cs="Times New Roman"/>
          <w:sz w:val="20"/>
          <w:szCs w:val="20"/>
        </w:rPr>
        <w:noBreakHyphen/>
        <w:t>based herbal use while preserving valuable cultural continuity</w:t>
      </w:r>
      <w:r w:rsidR="0062435C" w:rsidRPr="00DA0E6E">
        <w:rPr>
          <w:rFonts w:ascii="Times New Roman" w:hAnsi="Times New Roman" w:cs="Times New Roman"/>
          <w:sz w:val="20"/>
          <w:szCs w:val="20"/>
        </w:rPr>
        <w:t>.</w:t>
      </w:r>
    </w:p>
    <w:p w14:paraId="5A089FE2" w14:textId="633A3ACC" w:rsidR="0062435C" w:rsidRPr="00DA0E6E" w:rsidRDefault="00CE312D"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Participants believed herbal tonics enhanced physical stamina and protected against miscarriage and other complications, often preferring traditional botanicals to pharmaceuticals for relieving </w:t>
      </w:r>
      <w:proofErr w:type="gramStart"/>
      <w:r w:rsidRPr="00DA0E6E">
        <w:rPr>
          <w:rFonts w:ascii="Times New Roman" w:hAnsi="Times New Roman" w:cs="Times New Roman"/>
          <w:sz w:val="20"/>
          <w:szCs w:val="20"/>
        </w:rPr>
        <w:t>fatigue .</w:t>
      </w:r>
      <w:proofErr w:type="gramEnd"/>
      <w:r w:rsidRPr="00DA0E6E">
        <w:rPr>
          <w:rFonts w:ascii="Times New Roman" w:hAnsi="Times New Roman" w:cs="Times New Roman"/>
          <w:sz w:val="20"/>
          <w:szCs w:val="20"/>
        </w:rPr>
        <w:t xml:space="preserve"> A global review confirmed that energy enhancement and symptom relief are key motivators for herbal use during pregnancy </w:t>
      </w:r>
      <w:r w:rsidR="005F217B" w:rsidRPr="00DA0E6E">
        <w:rPr>
          <w:rFonts w:ascii="Times New Roman" w:hAnsi="Times New Roman" w:cs="Times New Roman"/>
          <w:sz w:val="20"/>
          <w:szCs w:val="20"/>
        </w:rPr>
        <w:fldChar w:fldCharType="begin"/>
      </w:r>
      <w:r w:rsidR="00312547" w:rsidRPr="00DA0E6E">
        <w:rPr>
          <w:rFonts w:ascii="Times New Roman" w:hAnsi="Times New Roman" w:cs="Times New Roman"/>
          <w:sz w:val="20"/>
          <w:szCs w:val="20"/>
        </w:rPr>
        <w:instrText xml:space="preserve"> ADDIN ZOTERO_ITEM CSL_CITATION {"citationID":"T7TpvIJy","properties":{"formattedCitation":"(20,21)","plainCitation":"(20,21)","noteIndex":0},"citationItems":[{"id":4085,"uris":["http://zotero.org/users/15244130/items/83IAGGQJ"],"itemData":{"id":4085,"type":"article-journal","abstract":"Background\nThe importance of men's involvement in facilitating women’s access to skilled maternal healthcare in patriarchal societies such as Ghana is increasingly being recognised. However, few studies have been conducted to examine men’s involvement in issues of maternal healthcare, the barriers to men’s involvement, and how best to actively involve men. The purpose of this paper is to explore the barriers to and opportunities for men’s involvement in maternal healthcare in the Upper West Region of Ghana.\n\nMethods\nQualitative focus group discussions, in-depth interviews and key informant interviews were conducted with adult men and women aged 20–50 in a total of seven communities in two geographic districts and across urban and rural areas in the Upper West Region of Ghana. Attride-Stirling’s thematic network analysis framework was used to analyse and present the qualitative data.\n\nResults\nFindings suggest that although many men recognise the importance of skilled care during pregnancy and childbirth, and the benefits of their involvement, most did not actively involve themselves in issues of maternal healthcare unless complications set in during pregnancy or labour. Less than a quarter of male participants had ever accompanied their wives for antenatal care or postnatal care in a health facility. Four main barriers to men’s involvement were identified: perceptions that pregnancy care is a female role while men are family providers; negative cultural beliefs such as the belief that men who accompany their wives to receive ANC services are being dominated by their wives; health services factors such as unfavourable opening hours of services, poor attitudes of healthcare providers such as maltreatment of women and their spouses and lack of space to accommodate male partners in health facilities; and the high cost associated with accompanying women to seek maternity care. Suggestions for addressing these barriers include community mobilisation programmes to promote greater male involvement, health education, effective leadership, and respectful and patient-centred care training for healthcare providers.\n\nConclusions\nThe findings in this paper highlight the need to address the barriers to men’s involvement, engage men and women on issues of maternal health, and improve the healthcare systems – both in terms of facilities and attitudes of health staff - so that couples who wish to be together when accessing care can truly do so.","container-title":"Reproductive Health","DOI":"10.1186/s12978-015-0083-y","ISSN":"1742-4755","journalAbbreviation":"Reprod Health","note":"PMID: 26452546\nPMCID: PMC4600282","page":"93","source":"PubMed Central","title":"‘What men don’t know can hurt women’s health’: a qualitative study of the barriers to and opportunities for men’s involvement in maternal healthcare in Ghana","title-short":"‘What men don’t know can hurt women’s health’","volume":"12","author":[{"family":"Ganle","given":"John Kuumuori"},{"family":"Dery","given":"Isaac"}],"issued":{"date-parts":[["2015",10,10]]}}},{"id":4853,"uris":["http://zotero.org/users/15244130/items/B3RBFFHK"],"itemData":{"id":4853,"type":"article-journal","abstract":"Background\nGlobally,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complications.\n\nAims\nTo explore the perceptions of women on the use of herbal medicine during pregnancy and labour in rural Malawi.\n\nMethods\nWe employed a qualitative descriptive (QD) study on the purposively identified participants (women with parity \\documentclass[12pt]{minimal}\n\t\t\t\t\\usepackage{amsmath}\n\t\t\t\t\\usepackage{wasysym} \n\t\t\t\t\\usepackage{amsfonts} \n\t\t\t\t\\usepackage{amssymb} \n\t\t\t\t\\usepackage{amsbsy}\n\t\t\t\t\\usepackage{mathrsfs}\n\t\t\t\t\\usepackage{upgreek}\n\t\t\t\t\\setlength{\\oddsidemargin}{-69pt}\n\t\t\t\t\\begin{document}$$\\ge 2$$\\end{document}≥2),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approach.\n\nResults\nA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risks.\n\nConclusion\nIn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women.\n\nSupplementary Information\nThe online version contains supplementary material available at 10.1186/s12905-023-02387-z.","container-title":"BMC Women's Health","DOI":"10.1186/s12905-023-02387-z","ISSN":"1472-6874","journalAbbreviation":"BMC Womens Health","note":"PMID: 37143030\nPMCID: PMC10158248","page":"228","source":"PubMed Central","title":"Herbal medicine use during pregnancy and childbirth: perceptions of women living in Lilongwe rural, Malawi – a qualitative study","title-short":"Herbal medicine use during pregnancy and childbirth","volume":"23","author":[{"family":"Makombe","given":"Dziwenji"},{"family":"Thombozi","given":"Enalla"},{"family":"Chilemba","given":"Winnie"},{"family":"Mboma","given":"Alexander"},{"family":"Banda","given":"Kondwani Joseph"},{"family":"Mwakilama","given":"Elias"}],"issued":{"date-parts":[["2023",5,4]]}}}],"schema":"https://github.com/citation-style-language/schema/raw/master/csl-citation.json"} </w:instrText>
      </w:r>
      <w:r w:rsidR="005F217B" w:rsidRPr="00DA0E6E">
        <w:rPr>
          <w:rFonts w:ascii="Times New Roman" w:hAnsi="Times New Roman" w:cs="Times New Roman"/>
          <w:sz w:val="20"/>
          <w:szCs w:val="20"/>
        </w:rPr>
        <w:fldChar w:fldCharType="separate"/>
      </w:r>
      <w:r w:rsidR="00312547" w:rsidRPr="00DA0E6E">
        <w:rPr>
          <w:rFonts w:ascii="Times New Roman" w:hAnsi="Times New Roman" w:cs="Times New Roman"/>
          <w:sz w:val="20"/>
          <w:szCs w:val="20"/>
        </w:rPr>
        <w:t>(20,21)</w:t>
      </w:r>
      <w:r w:rsidR="005F217B" w:rsidRPr="00DA0E6E">
        <w:rPr>
          <w:rFonts w:ascii="Times New Roman" w:hAnsi="Times New Roman" w:cs="Times New Roman"/>
          <w:sz w:val="20"/>
          <w:szCs w:val="20"/>
        </w:rPr>
        <w:fldChar w:fldCharType="end"/>
      </w:r>
      <w:r w:rsidRPr="00DA0E6E">
        <w:rPr>
          <w:rFonts w:ascii="Times New Roman" w:hAnsi="Times New Roman" w:cs="Times New Roman"/>
          <w:sz w:val="20"/>
          <w:szCs w:val="20"/>
        </w:rPr>
        <w:t>. Yet research on non</w:t>
      </w:r>
      <w:r w:rsidRPr="00DA0E6E">
        <w:rPr>
          <w:rFonts w:ascii="Times New Roman" w:hAnsi="Times New Roman" w:cs="Times New Roman"/>
          <w:sz w:val="20"/>
          <w:szCs w:val="20"/>
        </w:rPr>
        <w:noBreakHyphen/>
        <w:t xml:space="preserve">conventional herbal uterotonics in northern Ghana linked </w:t>
      </w:r>
      <w:r w:rsidR="006D51DD" w:rsidRPr="00DA0E6E">
        <w:rPr>
          <w:rFonts w:ascii="Times New Roman" w:hAnsi="Times New Roman" w:cs="Times New Roman"/>
          <w:sz w:val="20"/>
          <w:szCs w:val="20"/>
        </w:rPr>
        <w:t>specific</w:t>
      </w:r>
      <w:r w:rsidRPr="00DA0E6E">
        <w:rPr>
          <w:rFonts w:ascii="Times New Roman" w:hAnsi="Times New Roman" w:cs="Times New Roman"/>
          <w:sz w:val="20"/>
          <w:szCs w:val="20"/>
        </w:rPr>
        <w:t xml:space="preserve"> preparations to adverse neonatal outcomes, including birth asphyxia and stillbirth, challenging assumptions of safety </w:t>
      </w:r>
      <w:r w:rsidR="005F217B" w:rsidRPr="00DA0E6E">
        <w:rPr>
          <w:rFonts w:ascii="Times New Roman" w:hAnsi="Times New Roman" w:cs="Times New Roman"/>
          <w:sz w:val="20"/>
          <w:szCs w:val="20"/>
        </w:rPr>
        <w:fldChar w:fldCharType="begin"/>
      </w:r>
      <w:r w:rsidR="00147468" w:rsidRPr="00DA0E6E">
        <w:rPr>
          <w:rFonts w:ascii="Times New Roman" w:hAnsi="Times New Roman" w:cs="Times New Roman"/>
          <w:sz w:val="20"/>
          <w:szCs w:val="20"/>
        </w:rPr>
        <w:instrText xml:space="preserve"> ADDIN ZOTERO_ITEM CSL_CITATION {"citationID":"TntXVkf9","properties":{"formattedCitation":"(5,6)","plainCitation":"(5,6)","noteIndex":0},"citationItems":[{"id":312,"uris":["http://zotero.org/users/15244130/items/GXK3Y5SG"],"itemData":{"id":312,"type":"article-journal","container-title":"BMC complementary and alternative medicine","ISSN":"1472-6882","issue":"1","note":"publisher: BioMed Central","page":"1-12","title":"‘We are nothing without herbs’: a story of herbal remedies use during pregnancy in rural Ghana","volume":"19","author":[{"family":"Peprah","given":"Prince"},{"family":"Agyemang-Duah","given":"Williams"},{"family":"Arthur-Holmes","given":"Francis"},{"family":"Budu","given":"Hayford Isaac"},{"family":"Abalo","given":"Emmanuel Mawuli"},{"family":"Okwei","given":"Reforce"},{"family":"Nyonyo","given":"Julius"}],"issued":{"date-parts":[["2019"]]}}},{"id":4856,"uris":["http://zotero.org/users/15244130/items/K69H8FZ8"],"itemData":{"id":4856,"type":"article-journal","abstract":"Background\nThere is a paucity of literature describing traditional health practices and beliefs of African women. The purpose of this study was to undertake a systematic review of the use of traditional medicine (TM) to address maternal and reproductive health complaints and wellbeing by African women in Africa and the diaspora.\n\nMethod\nA literature search of published articles, grey literature and unpublished studies was conducted using eight medical and social science databases (CINAHL, EMBASE, Infomit, Ovid Medline, ProQuest, PsychINFO, PubMed and SCOPUS) from the inception of each database until 31 December 2016. Critical appraisal was conducted using a quality assessment tool (QAT).\n\nResult\nA total of 20 studies conducted in 12 African countries representing 11,858 women were included. No literature was found on African women in the diaspora related to maternal use of TM or complementary and alternative medicine (CAM). The prevalence of TM use among the African women was as high as 80%. The most common TM used was herbal medicine for reasons related to treatment of pregnancy related symptoms. Frequent TM users were pregnant women with no formal education, low income, and living far from public health facilities. Lack of access to the mainstream maternity care was the major determining factor for use of TM.\n\nConclusion\nTM is widely used by African women for maternal and reproductive health issues due to lack of access to the mainstream maternity care. Further research is required to examine the various types of traditional and cultural health practices (other than herbal medicine), the beliefs towards TM, and the health seeking behaviors of African women in Africa and the diaspora.\n\nElectronic supplementary material\nThe online version of this article (doi:10.1186/s12906-017-1886-x) contains supplementary material, which is available to authorized users.","container-title":"BMC Complementary and Alternative Medicine","DOI":"10.1186/s12906-017-1886-x","ISSN":"1472-6882","journalAbbreviation":"BMC Complement Altern Med","note":"PMID: 28768534\nPMCID: PMC5541739","page":"382","source":"PubMed Central","title":"The use of traditional medicine in maternity care among African women in Africa and the diaspora: a systematic review","title-short":"The use of traditional medicine in maternity care among African women in Africa and the diaspora","volume":"17","author":[{"family":"Shewamene","given":"Zewdneh"},{"family":"Dune","given":"Tinashe"},{"family":"Smith","given":"Caroline A."}],"issued":{"date-parts":[["2017",8,2]]}}}],"schema":"https://github.com/citation-style-language/schema/raw/master/csl-citation.json"} </w:instrText>
      </w:r>
      <w:r w:rsidR="005F217B" w:rsidRPr="00DA0E6E">
        <w:rPr>
          <w:rFonts w:ascii="Times New Roman" w:hAnsi="Times New Roman" w:cs="Times New Roman"/>
          <w:sz w:val="20"/>
          <w:szCs w:val="20"/>
        </w:rPr>
        <w:fldChar w:fldCharType="separate"/>
      </w:r>
      <w:r w:rsidR="00147468" w:rsidRPr="00DA0E6E">
        <w:rPr>
          <w:rFonts w:ascii="Times New Roman" w:hAnsi="Times New Roman" w:cs="Times New Roman"/>
          <w:sz w:val="20"/>
          <w:szCs w:val="20"/>
        </w:rPr>
        <w:t>(5,6)</w:t>
      </w:r>
      <w:r w:rsidR="005F217B" w:rsidRPr="00DA0E6E">
        <w:rPr>
          <w:rFonts w:ascii="Times New Roman" w:hAnsi="Times New Roman" w:cs="Times New Roman"/>
          <w:sz w:val="20"/>
          <w:szCs w:val="20"/>
        </w:rPr>
        <w:fldChar w:fldCharType="end"/>
      </w:r>
      <w:r w:rsidRPr="00DA0E6E">
        <w:rPr>
          <w:rFonts w:ascii="Times New Roman" w:hAnsi="Times New Roman" w:cs="Times New Roman"/>
          <w:sz w:val="20"/>
          <w:szCs w:val="20"/>
        </w:rPr>
        <w:t>. These contrasting findings underscore the need for public health messaging that acknowledges perceived benefits while transparently communicating potential harms, encouraging women to discuss herbal use openly with their healthcare providers</w:t>
      </w:r>
      <w:r w:rsidR="00962B99" w:rsidRPr="00DA0E6E">
        <w:rPr>
          <w:rFonts w:ascii="Times New Roman" w:hAnsi="Times New Roman" w:cs="Times New Roman"/>
          <w:sz w:val="20"/>
          <w:szCs w:val="20"/>
        </w:rPr>
        <w:t>.</w:t>
      </w:r>
    </w:p>
    <w:p w14:paraId="6F332608" w14:textId="420B27D6" w:rsidR="006D51DD" w:rsidRPr="006D51DD" w:rsidRDefault="006D51DD" w:rsidP="00DA0E6E">
      <w:pPr>
        <w:jc w:val="both"/>
        <w:rPr>
          <w:rFonts w:ascii="Times New Roman" w:hAnsi="Times New Roman" w:cs="Times New Roman"/>
          <w:sz w:val="20"/>
          <w:szCs w:val="20"/>
        </w:rPr>
      </w:pPr>
      <w:r w:rsidRPr="006D51DD">
        <w:rPr>
          <w:rFonts w:ascii="Times New Roman" w:hAnsi="Times New Roman" w:cs="Times New Roman"/>
          <w:sz w:val="20"/>
          <w:szCs w:val="20"/>
        </w:rPr>
        <w:t xml:space="preserve">Participants frequently consulted traditional healers and birth attendants for personalized herbal formulations, valuing their cultural congruence and perceived </w:t>
      </w:r>
      <w:proofErr w:type="gramStart"/>
      <w:r w:rsidRPr="006D51DD">
        <w:rPr>
          <w:rFonts w:ascii="Times New Roman" w:hAnsi="Times New Roman" w:cs="Times New Roman"/>
          <w:sz w:val="20"/>
          <w:szCs w:val="20"/>
        </w:rPr>
        <w:t>efficacy</w:t>
      </w:r>
      <w:r w:rsidR="0033131C" w:rsidRPr="00DA0E6E">
        <w:rPr>
          <w:rFonts w:ascii="Times New Roman" w:hAnsi="Times New Roman" w:cs="Times New Roman"/>
          <w:sz w:val="20"/>
          <w:szCs w:val="20"/>
        </w:rPr>
        <w:t xml:space="preserve"> .</w:t>
      </w:r>
      <w:proofErr w:type="gramEnd"/>
      <w:r w:rsidRPr="006D51DD">
        <w:rPr>
          <w:rFonts w:ascii="Times New Roman" w:hAnsi="Times New Roman" w:cs="Times New Roman"/>
          <w:sz w:val="20"/>
          <w:szCs w:val="20"/>
        </w:rPr>
        <w:t xml:space="preserve"> Historical analyses document traditional birth attendants in Ghana as mediators of pregnancy and birth through spiritually informed herbal care</w:t>
      </w:r>
      <w:r w:rsidR="0033131C" w:rsidRPr="00DA0E6E">
        <w:rPr>
          <w:rFonts w:ascii="Times New Roman" w:hAnsi="Times New Roman" w:cs="Times New Roman"/>
          <w:sz w:val="20"/>
          <w:szCs w:val="20"/>
        </w:rPr>
        <w:t xml:space="preserve"> </w:t>
      </w:r>
      <w:r w:rsidR="0033131C" w:rsidRPr="00DA0E6E">
        <w:rPr>
          <w:rFonts w:ascii="Times New Roman" w:hAnsi="Times New Roman" w:cs="Times New Roman"/>
          <w:sz w:val="20"/>
          <w:szCs w:val="20"/>
        </w:rPr>
        <w:fldChar w:fldCharType="begin"/>
      </w:r>
      <w:r w:rsidR="00312547" w:rsidRPr="00DA0E6E">
        <w:rPr>
          <w:rFonts w:ascii="Times New Roman" w:hAnsi="Times New Roman" w:cs="Times New Roman"/>
          <w:sz w:val="20"/>
          <w:szCs w:val="20"/>
        </w:rPr>
        <w:instrText xml:space="preserve"> ADDIN ZOTERO_ITEM CSL_CITATION {"citationID":"nmFTDBNJ","properties":{"formattedCitation":"(14,22)","plainCitation":"(14,22)","noteIndex":0},"citationItems":[{"id":4859,"uris":["http://zotero.org/users/15244130/items/DUP7ZP7Q"],"itemData":{"id":4859,"type":"article-journal","abstract":"Background\nPrior to the advent of modern obstetric services, traditional birth attendants (TBAs) have rendered services to pregnant women and women in labour for a long time. Although it is anticipated that women in contemporary societies will give birth in hospitals and clinics, some women still patronize the services of TBAs. The study therefore sought to gain an in-depth understanding of the initiation of TBAs and their traditional and spiritual practices employed during pregnancy and childbirth in Ghana.\n\nMethods\nThe design was an exploratory qualitative one using in-depth individual interviews. Data saturation was reached with 16 participants who were all of Christian faith. Interviews were conducted with a semi-structured interview guide, audiotaped and transcribed verbatim. Content analysis was employed to generate findings.\n\nResults\nThe findings showed that TBAs were initiated through apprenticeship from family members who were TBAs and other non-family TBAs as well as through dreams and revelations. They practice using both spiritual and physical methods and their work was founded on spiritual directions, use of spiritual artefacts, herbs and physical examination. TBAs delay cutting of the cord and disposal of the placenta was associated with beliefs which indicated that when not properly disposed, it will have negative consequences on the child during adulthood.\n\nConclusion\nAlthough, TBAs like maternal health professionals operate to improve maternal health care, some of their spiritual practices and beliefs may pose threats to their clients. Nonetheless, with appropriate initiation and training, they can become useful.","container-title":"BMC Pregnancy and Childbirth","DOI":"10.1186/s12884-018-1691-7","ISSN":"1471-2393","journalAbbreviation":"BMC Pregnancy Childbirth","note":"PMID: 29514607\nPMCID: PMC5842514","page":"64","source":"PubMed Central","title":"Initiation of traditional birth attendants and their traditional and spiritual practices during pregnancy and childbirth in Ghana","volume":"18","author":[{"family":"Aziato","given":"Lydia"},{"family":"Omenyo","given":"Cephas N."}],"issued":{"date-parts":[["2018",3,7]]}}},{"id":4844,"uris":["http://zotero.org/users/15244130/items/849V9CY8"],"itemData":{"id":4844,"type":"article-journal","abstract":"This paper reflects on a growing shift away from the training and use of traditional birth attendants (TBAS) to provide maternity care services in Ghana and calls for greater collaboration between TBAs and the health system in Ghana. The paper communicates personal reflections based on experiences working with communities to address barriers to maternal and newborn health care services in Ghana. It also draws on evidence from a larger research study examining the effects of Ghana’s free maternal healthcare policy on women’s maternity care seeking experience, equity of access and barriers to accessibility and utilization of maternal and newborn healthcare services. The design of this larger study involved analysis of nationally representative, retrospective household survey data in combination with qualitative exploration using focus group discussions, in-depth interviews, case studies and structured field observations in a total of six communities between November 2011 and May 2012. The study was comprised of 185 expectant and lactating mothers, 15 traditional birth attendants and 20 healthcare providers (i.e. community health nurses, midwives, doctors, health facility managers, district and regional directors of health, district and regional public health nurses, policy makers at the Ministry of Health and Ghana Health Services).","container-title":"The Journal of Global Health at Columbia University","DOI":"10.7916/THEJGH.V4I2.5273","language":"en","note":"dimensions: 39-42 Pages\npublisher: The Journal of Global Health at Columbia University","page":"39-42 Pages","source":"DOI.org (Datacite)","title":"Chasing out traditional birth attendants in Ghana – implications for maternal and newborn health","author":[{"family":"Ganle","given":"John Kuumuori"}],"issued":{"date-parts":[["2014",12,19]]}}}],"schema":"https://github.com/citation-style-language/schema/raw/master/csl-citation.json"} </w:instrText>
      </w:r>
      <w:r w:rsidR="0033131C" w:rsidRPr="00DA0E6E">
        <w:rPr>
          <w:rFonts w:ascii="Times New Roman" w:hAnsi="Times New Roman" w:cs="Times New Roman"/>
          <w:sz w:val="20"/>
          <w:szCs w:val="20"/>
        </w:rPr>
        <w:fldChar w:fldCharType="separate"/>
      </w:r>
      <w:r w:rsidR="00312547" w:rsidRPr="00DA0E6E">
        <w:rPr>
          <w:rFonts w:ascii="Times New Roman" w:hAnsi="Times New Roman" w:cs="Times New Roman"/>
          <w:sz w:val="20"/>
          <w:szCs w:val="20"/>
        </w:rPr>
        <w:t>(14,22)</w:t>
      </w:r>
      <w:r w:rsidR="0033131C" w:rsidRPr="00DA0E6E">
        <w:rPr>
          <w:rFonts w:ascii="Times New Roman" w:hAnsi="Times New Roman" w:cs="Times New Roman"/>
          <w:sz w:val="20"/>
          <w:szCs w:val="20"/>
        </w:rPr>
        <w:fldChar w:fldCharType="end"/>
      </w:r>
      <w:r w:rsidRPr="006D51DD">
        <w:rPr>
          <w:rFonts w:ascii="Times New Roman" w:hAnsi="Times New Roman" w:cs="Times New Roman"/>
          <w:sz w:val="20"/>
          <w:szCs w:val="20"/>
        </w:rPr>
        <w:t xml:space="preserve">. Yet in urban areas with enhanced healthcare infrastructure, some women are shifting toward formal medical consultations, driven by perceptions of improved clinical safety and efficacy </w:t>
      </w:r>
      <w:r w:rsidR="001D77E1"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{"citationID":"D2Gbbj2d","properties":{"formattedCitation":"(23)","plainCitation":"(23)","noteIndex":0},"citationItems":[{"id":4862,"uris":["http://zotero.org/users/15244130/items/9Q65E2CK"],"itemData":{"id":4862,"type":"article-journal","abstract":"Background\nIn East Africa, women face significant challenges accessing maternal healthcare during pregnancy, childbirth, and the postnatal period. While several studies have examined barriers and facilitators to maternal care, there is no comprehensive review reflecting the various perspectives of women, their families, healthcare providers, and key stakeholders. We systematically reviewed qualitative literature on maternal healthcare in East Africa, synthesizing insights from multiple perspectives and exploring barriers and facilitators across socioecological levels.\n\nMethods\nA qualitative evidence synthesis focused on studies from East Africa published between January 2015 and June 2024. We searched electronic databases, including PubMed, Embase, Scopus, Cochrane, Web of Science, and ProQuest, and used citation tracking to find additional references. Eligible studies were critically appraised using the Critical Appraisal Skills Program, and a thematic synthesis was performed to identify barriers and facilitators.\n\nResults\nOf the 3181 records identified, 81 studies (63 qualitative and 18 mixed method) met the inclusion criteria, representing 4816 individuals from six East African countries. This review identified barriers at various levels: individual barriers included a lack of awareness and knowledge, fear of being treated poorly, and financial constraints; interpersonal barriers comprised limited family support, communication challenges, and a lack of decision-making autonomy; health facility barriers included poor quality of healthcare, poor infrastructure, limited medical supplies, provider shortages, abusive behaviors from healthcare providers, lack of transportation, and high service costs; community-level barriers involved socio-cultural norms, societal stigma, and gender-based disparities; and policy-level barriers included poor focus on maternal health, a lack of male accompaniment policies, and conflicts. Key facilitators identified included improved healthcare understanding and women's self-efficacy at the individual level, family support and positive social influences at the interpersonal level, high-quality services, reliable transportation, compassionate care, and health education at the health facility level, community initiatives, gender equality, and maternity waiting homes at the community level, as well as free maternity services and health extension programs at the policy level.\n\nConclusion\nThe synthesis identified key barriers and facilitators to the maternal healthcare in East African countries, ranging from individual to policy levels. We recommend that future initiatives focus on addressing these barriers while enhancing facilitators across individual, interpersonal, health facility, community, and policy levels through woman-centered, evidence-based strategies. Moreover, fostering collaboration among governments, healthcare providers, and communities is essential for improving access to the maternal continuum of care.\n\nSupplementary Information\nThe online version contains supplementary material available at 10.1186/s12884-025-07225-8.","container-title":"BMC Pregnancy and Childbirth","DOI":"10.1186/s12884-025-07225-8","ISSN":"1471-2393","journalAbbreviation":"BMC Pregnancy Childbirth","note":"PMID: 39901111\nPMCID: PMC11792318","page":"111","source":"PubMed Central","title":"Barriers and facilitators to maternal healthcare in East Africa: a systematic review and qualitative synthesis of perspectives from women, their families, healthcare providers, and key stakeholders","title-short":"Barriers and facilitators to maternal healthcare in East Africa","volume":"25","author":[{"family":"Yihune Teshale","given":"Manaye"},{"family":"Bante","given":"Agegnehu"},{"family":"Gedefaw Belete","given":"Abebe"},{"family":"Crutzen","given":"Rik"},{"family":"Spigt","given":"Mark"},{"family":"Stutterheim","given":"Sarah E."}],"issued":{"date-parts":[["2025",2,3]]}}}],"schema":"https://github.com/citation-style-language/schema/raw/master/csl-citation.json"} </w:instrText>
      </w:r>
      <w:r w:rsidR="001D77E1"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(23)</w:t>
      </w:r>
      <w:r w:rsidR="001D77E1" w:rsidRPr="00DA0E6E">
        <w:rPr>
          <w:rFonts w:ascii="Times New Roman" w:hAnsi="Times New Roman" w:cs="Times New Roman"/>
          <w:sz w:val="20"/>
          <w:szCs w:val="20"/>
        </w:rPr>
        <w:fldChar w:fldCharType="end"/>
      </w:r>
      <w:r w:rsidRPr="006D51DD">
        <w:rPr>
          <w:rFonts w:ascii="Times New Roman" w:hAnsi="Times New Roman" w:cs="Times New Roman"/>
          <w:sz w:val="20"/>
          <w:szCs w:val="20"/>
        </w:rPr>
        <w:t>. Establishing formal collaborations between healthcare systems and accredited traditional practitioners may bridge this divide, fostering mutual respect and ensuring coordinated, culturally appropriate care</w:t>
      </w:r>
      <w:r w:rsidR="00513029" w:rsidRPr="00DA0E6E">
        <w:rPr>
          <w:rFonts w:ascii="Times New Roman" w:hAnsi="Times New Roman" w:cs="Times New Roman"/>
          <w:sz w:val="20"/>
          <w:szCs w:val="20"/>
        </w:rPr>
        <w:t>.</w:t>
      </w:r>
    </w:p>
    <w:p w14:paraId="1846FE44" w14:textId="7098EB84" w:rsidR="006D51DD" w:rsidRPr="006D51DD" w:rsidRDefault="006D51DD" w:rsidP="00DA0E6E">
      <w:pPr>
        <w:jc w:val="both"/>
        <w:rPr>
          <w:rFonts w:ascii="Times New Roman" w:hAnsi="Times New Roman" w:cs="Times New Roman"/>
          <w:sz w:val="20"/>
          <w:szCs w:val="20"/>
        </w:rPr>
      </w:pPr>
      <w:r w:rsidRPr="006D51DD">
        <w:rPr>
          <w:rFonts w:ascii="Times New Roman" w:hAnsi="Times New Roman" w:cs="Times New Roman"/>
          <w:sz w:val="20"/>
          <w:szCs w:val="20"/>
        </w:rPr>
        <w:t>Although most women reported positive experiences, some described adverse effects—such as dizziness, gastrointestinal upset, and suspected uterine hyperstimulation—after consuming certain herbal preparations. Under</w:t>
      </w:r>
      <w:r w:rsidRPr="006D51DD">
        <w:rPr>
          <w:rFonts w:ascii="Times New Roman" w:hAnsi="Times New Roman" w:cs="Times New Roman"/>
          <w:sz w:val="20"/>
          <w:szCs w:val="20"/>
        </w:rPr>
        <w:noBreakHyphen/>
        <w:t>reporting of adverse events remains pervasive, perpetuating the myth that “natural” equates to “risk</w:t>
      </w:r>
      <w:r w:rsidRPr="006D51DD">
        <w:rPr>
          <w:rFonts w:ascii="Times New Roman" w:hAnsi="Times New Roman" w:cs="Times New Roman"/>
          <w:sz w:val="20"/>
          <w:szCs w:val="20"/>
        </w:rPr>
        <w:noBreakHyphen/>
        <w:t xml:space="preserve">free” </w:t>
      </w:r>
      <w:r w:rsidR="008166EC"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{"citationID":"KpY95wDN","properties":{"formattedCitation":"(24,25)","plainCitation":"(24,25)","noteIndex":0},"citationItems":[{"id":4867,"uris":["http://zotero.org/users/15244130/items/T5W6ZCWC"],"itemData":{"id":4867,"type":"article-journal","abstract":"Kolanut contains caffeine and it is widely consumed in various social contexts in Nigeria and other Sub-Saharan African countries. While some studies have suggested that kolanut is consumed by pregnant women, there is a dearth of information on the prevalence, consumption pattern and reasons for kolanut consumption among this group. This study investigated kolanut use among pregnant women in Ibadan, Oyo State, Nigeria. A cross-sectional study involving 478 consenting pregnant women in all trimesters of pregnancy was conducted. Semi-structured questionnaires were used to collect data. Associations between kolanut use and respondent characteristics were investigated using the chi-square test and logistic regression analysis. The mean age of the women was 28.7 ± 6.3 years. One hundred and sixty-two (33.9%) of women reported kolanut use during pregnancy, 140 (29.3%) in the current pregnancy. Fifty-five (39.3%) pregnant women reported frequent use and 46 (32.9%) used it in high quantities. Significant associations were found between current kolanut use and Hausa respondents (p = 0.014), educational level; secondary (p = 0.032), tertiary (p = 0.006), TBA (p = 0.005). The majority (93.7%) used kolanut to prevent spitting, nausea, and vomiting. This study showed that kolanut use is quite common among pregnant women and frequently used in large quantities.","container-title":"Scientific Reports","DOI":"10.1038/s41598-023-41754-6","ISSN":"2045-2322","journalAbbreviation":"Sci Rep","note":"PMID: 37660226\nPMCID: PMC10475128","page":"14422","source":"PubMed Central","title":"Prevalence and consumption pattern of kolanut among pregnant women in Ibadan metropolis","volume":"13","author":[{"family":"Atiba","given":"F. A."},{"family":"Popoola","given":"O. A."},{"family":"Odukogbe","given":"A. A."},{"family":"Ihunwo","given":"A. O."}],"issued":{"date-parts":[["2023",9,2]]}}},{"id":4870,"uris":["http://zotero.org/users/15244130/items/N8LM6WFX"],"itemData":{"id":4870,"type":"article-journal","abstract":"Southern Morocco, particularly the Guelmim-Oued Noun region, is rich in a wide diversity of plant species. Pregnant women in this region use medicinal plants during pregnancy and childbirth for various purposes; however, the use of these plants has never been documented. The objectives of this study are threefold: to estimate the prevalence of medicinal plant uses by pregnant women in the province of Guelmim, Morocco, to describe the traditional practices of self-medication and to determine the associated factors. This is a multicenter cross-sectional study with descriptive and analytical approaches. Data were collected using an interview questionnaire, which was administered to pregnant women at health care centers and hospitals in the province of Guelmim. A total of 560 women participated in this study. The prevalence of medicinal plant use was 66.96%. Artemisia herba-alba Asso, Thymus maroccanus Ball., Trigonella foenum-graecum L., Aloysia citriodora Palau, Lepidium sativum L. and Cuminum cyminum L. were the plants with the highest UV. Pain, the induction and facilitation of childbirth, flu syndrome and anemia were the most listed reasons for use. The use of medicinal plants was significantly associated with the level of education (chi-square = 15.651; p = 0.004), and pregnancy monitoring (chi-square = 5.283; p = 0.028). In the province of Guelmim, the prevalence of the use of medicinal plants by women during pregnancy and childbirth is high. Further research is necessary in order to explore potential associated risks and complications.","container-title":"Healthcare","DOI":"10.3390/healthcare10112327","ISSN":"2227-9032","issue":"11","journalAbbreviation":"Healthcare (Basel)","note":"PMID: 36421651\nPMCID: PMC9690511","page":"2327","source":"PubMed Central","title":"Use of Medicinal Plants during Pregnancy, Childbirth and Postpartum in Southern Morocco","volume":"10","author":[{"family":"Kamel","given":"Nadia"},{"family":"El Boullani","given":"Rachida"},{"family":"Cherrah","given":"Yahia"}],"issued":{"date-parts":[["2022",11,21]]}}}],"schema":"https://github.com/citation-style-language/schema/raw/master/csl-citation.json"} </w:instrText>
      </w:r>
      <w:r w:rsidR="008166EC"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(24,25)</w:t>
      </w:r>
      <w:r w:rsidR="008166EC" w:rsidRPr="00DA0E6E">
        <w:rPr>
          <w:rFonts w:ascii="Times New Roman" w:hAnsi="Times New Roman" w:cs="Times New Roman"/>
          <w:sz w:val="20"/>
          <w:szCs w:val="20"/>
        </w:rPr>
        <w:fldChar w:fldCharType="end"/>
      </w:r>
      <w:r w:rsidRPr="006D51DD">
        <w:rPr>
          <w:rFonts w:ascii="Times New Roman" w:hAnsi="Times New Roman" w:cs="Times New Roman"/>
          <w:sz w:val="20"/>
          <w:szCs w:val="20"/>
        </w:rPr>
        <w:t>. Community</w:t>
      </w:r>
      <w:r w:rsidRPr="006D51DD">
        <w:rPr>
          <w:rFonts w:ascii="Times New Roman" w:hAnsi="Times New Roman" w:cs="Times New Roman"/>
          <w:sz w:val="20"/>
          <w:szCs w:val="20"/>
        </w:rPr>
        <w:noBreakHyphen/>
        <w:t xml:space="preserve">based pharmacovigilance programs, coupled with targeted education on safe dosing, preparation hygiene, and risk recognition, are essential to mitigate potential harms and empower women to make informed choices </w:t>
      </w:r>
      <w:r w:rsidR="00BC7B7F"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{"citationID":"NvsAuK6j","properties":{"formattedCitation":"(26)","plainCitation":"(26)","noteIndex":0},"citationItems":[{"id":4873,"uris":["http://zotero.org/users/15244130/items/VSXTHQTH"],"itemData":{"id":4873,"type":"article-journal","abstract":"Introduction\nLack of transparent communication between patients and physicians regarding the use of herbal medicine (HM) presents a major public health challenge, as inappropriate HM use poses health risks. Considering the widespread use of HM and the risk of adverse events, it is crucial for pregnant women to openly discuss their HM use with healthcare providers. Therefore, this systematic review and meta-analysis aims to estimate the pooled prevalence of pregnant women’s HM use and disclosure to healthcare providers and to examine the relationship between HM disclosure and various maternal and child health (MCH) measures.\n\nMethods\nA systematic search of five databases was conducted for cross-sectional studies on HM use during pregnancy published from 2000 to 2023. Data extraction followed a standardised approach, and Stata V.16.0 was used for data analysis. Also, Spearman’s correlation coefficient was calculated to examine the association between use and disclosure of HM and various MCH indicators.\n\nResults\nThis review included 111 studies across 51 countries on the use of HM among pregnant women. Our findings showed that 34.4% of women used HM during pregnancy, driven by the perception that HM is presumably safer and more natural than conventional medical therapies. However, only 27.9% of the HM users disclosed their use to healthcare providers because they considered HM as harmless and were not prompted by the healthcare providers to discuss their self-care practices. Furthermore, a significant correlation was observed between HM disclosure and improved MCH outcomes.\n\nConclusion\nInadequate communication between pregnant women and physicians on HM use highlights a deficiency in the quality of care that may be associated with unfavourable maternal outcomes. Thus, physician engagement in effective and unbiased communication about HM during antenatal care, along with evidence-based guidance on HM use, can help mitigate the potential risks associated with inappropriate HM use.","container-title":"BMJ Global Health","DOI":"10.1136/bmjgh-2023-013412","ISSN":"2059-7908","issue":"3","journalAbbreviation":"BMJ Glob Health","note":"PMID: 38448037\nPMCID: PMC10916170","page":"e013412","source":"PubMed Central","title":"Patient–physician communication on herbal medicine use during pregnancy: a systematic review and meta-analysis","title-short":"Patient–physician communication on herbal medicine use during pregnancy","volume":"9","author":[{"family":"Im","given":"Hyea Bin"},{"family":"Hwang","given":"Jung Hye"},{"family":"Choi","given":"Dain"},{"family":"Choi","given":"Soo Jeung"},{"family":"Han","given":"Dongwoon"}],"issued":{"date-parts":[["2024",3,5]]}}}],"schema":"https://github.com/citation-style-language/schema/raw/master/csl-citation.json"} </w:instrText>
      </w:r>
      <w:r w:rsidR="00BC7B7F"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(26)</w:t>
      </w:r>
      <w:r w:rsidR="00BC7B7F" w:rsidRPr="00DA0E6E">
        <w:rPr>
          <w:rFonts w:ascii="Times New Roman" w:hAnsi="Times New Roman" w:cs="Times New Roman"/>
          <w:sz w:val="20"/>
          <w:szCs w:val="20"/>
        </w:rPr>
        <w:fldChar w:fldCharType="end"/>
      </w:r>
      <w:r w:rsidR="00BC7B7F" w:rsidRPr="00DA0E6E">
        <w:rPr>
          <w:rFonts w:ascii="Times New Roman" w:hAnsi="Times New Roman" w:cs="Times New Roman"/>
          <w:sz w:val="20"/>
          <w:szCs w:val="20"/>
        </w:rPr>
        <w:t>.</w:t>
      </w:r>
    </w:p>
    <w:p w14:paraId="769525D4" w14:textId="25DF202B" w:rsidR="006D51DD" w:rsidRPr="006D51DD" w:rsidRDefault="006D51DD" w:rsidP="00DA0E6E">
      <w:pPr>
        <w:jc w:val="both"/>
        <w:rPr>
          <w:rFonts w:ascii="Times New Roman" w:hAnsi="Times New Roman" w:cs="Times New Roman"/>
          <w:sz w:val="20"/>
          <w:szCs w:val="20"/>
        </w:rPr>
      </w:pPr>
      <w:r w:rsidRPr="006D51DD">
        <w:rPr>
          <w:rFonts w:ascii="Times New Roman" w:hAnsi="Times New Roman" w:cs="Times New Roman"/>
          <w:sz w:val="20"/>
          <w:szCs w:val="20"/>
        </w:rPr>
        <w:t>Finally, many women combined herbal remedies with prescribed antenatal medications without disclosing their traditional practices to healthcare providers. This covert strategy reflects a balancing act between cultural expectations and formal medical advice, but it can hinder comprehensive care and safety monitoring</w:t>
      </w:r>
      <w:r w:rsidR="00BC7B7F" w:rsidRPr="00DA0E6E">
        <w:rPr>
          <w:rFonts w:ascii="Times New Roman" w:hAnsi="Times New Roman" w:cs="Times New Roman"/>
          <w:sz w:val="20"/>
          <w:szCs w:val="20"/>
        </w:rPr>
        <w:t xml:space="preserve"> </w:t>
      </w:r>
      <w:r w:rsidR="00BC7B7F"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{"citationID":"FgAiaGQE","properties":{"formattedCitation":"(24,27)","plainCitation":"(24,27)","noteIndex":0},"citationItems":[{"id":4867,"uris":["http://zotero.org/users/15244130/items/T5W6ZCWC"],"itemData":{"id":4867,"type":"article-journal","abstract":"Kolanut contains caffeine and it is widely consumed in various social contexts in Nigeria and other Sub-Saharan African countries. While some studies have suggested that kolanut is consumed by pregnant women, there is a dearth of information on the prevalence, consumption pattern and reasons for kolanut consumption among this group. This study investigated kolanut use among pregnant women in Ibadan, Oyo State, Nigeria. A cross-sectional study involving 478 consenting pregnant women in all trimesters of pregnancy was conducted. Semi-structured questionnaires were used to collect data. Associations between kolanut use and respondent characteristics were investigated using the chi-square test and logistic regression analysis. The mean age of the women was 28.7 ± 6.3 years. One hundred and sixty-two (33.9%) of women reported kolanut use during pregnancy, 140 (29.3%) in the current pregnancy. Fifty-five (39.3%) pregnant women reported frequent use and 46 (32.9%) used it in high quantities. Significant associations were found between current kolanut use and Hausa respondents (p = 0.014), educational level; secondary (p = 0.032), tertiary (p = 0.006), TBA (p = 0.005). The majority (93.7%) used kolanut to prevent spitting, nausea, and vomiting. This study showed that kolanut use is quite common among pregnant women and frequently used in large quantities.","container-title":"Scientific Reports","DOI":"10.1038/s41598-023-41754-6","ISSN":"2045-2322","journalAbbreviation":"Sci Rep","note":"PMID: 37660226\nPMCID: PMC10475128","page":"14422","source":"PubMed Central","title":"Prevalence and consumption pattern of kolanut among pregnant women in Ibadan metropolis","volume":"13","author":[{"family":"Atiba","given":"F. A."},{"family":"Popoola","given":"O. A."},{"family":"Odukogbe","given":"A. A."},{"family":"Ihunwo","given":"A. O."}],"issued":{"date-parts":[["2023",9,2]]}}},{"id":4876,"uris":["http://zotero.org/users/15244130/items/MXPZFL4P"],"itemData":{"id":4876,"type":"article-journal","abstract":"Background:\nInvestigations across the world confirm dramatic increment in the use of complementary and alternative medicine in pregnant women. The most important aspect is lack of awareness of pregnant women about potential effects of using traditional medicine on fetus; some herbal products may be teratogenic in human and animal models. In this area, so far, no research has been conducted in Ethiopia to assess traditional medicine use in pregnant women.\n\nObjectives:\nTherefore, the main objective of this study was to investigate the prevalence and use of herbal drugs among pregnant women attending Nekemte Hospital to provide baseline information for future studies.\n\nPatients and Methods:\nA cross-sectional descriptive study was conducted by quantitative and qualitative approaches to identify the prevalence of using herbal medicines among pregnant women. About 50.4% of study participants used herbal drugs during their pregnancy. The proportion of herbal drug usage was gradually decreased along with the first, second and third trimesters of pregnancy. The most and least commonly used herbs were ginger (44.36%) and tenaadam (9.15 %), respectively. The common indications of herbal remedies use during pregnancy were nausea (23.90%) and morning sickness (21.05%).\n\nResults:\nThe result of the present study confirmed wide use of herbal drugs use during pregnancy that need to report the safety concerns of these drugs during pregnancy.\n\nConclusions:\nTo achieve the requirements of pregnant women, it is vital for health care workers to be familiar with the effect of herbal medicine in pregnancy.","container-title":"Jundishapur Journal of Natural Pharmaceutical Products","ISSN":"1735-7780","issue":"4","journalAbbreviation":"Jundishapur J Nat Pharm Prod","note":"PMID: 25625049\nPMCID: PMC4302397","page":"e17368","source":"PubMed Central","title":"Use of Herbal Medicine Among Pregnant Women on Antenatal Care at Nekemte Hospital, Western Ethiopia","volume":"9","author":[{"family":"Bayisa","given":"Bodena"},{"family":"Tatiparthi","given":"Ramanjireddy"},{"family":"Mulisa","given":"Eshetu"}],"issued":{"date-parts":[["2014",9,15]]}}}],"schema":"https://github.com/citation-style-language/schema/raw/master/csl-citation.json"} </w:instrText>
      </w:r>
      <w:r w:rsidR="00BC7B7F"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(24,27)</w:t>
      </w:r>
      <w:r w:rsidR="00BC7B7F" w:rsidRPr="00DA0E6E">
        <w:rPr>
          <w:rFonts w:ascii="Times New Roman" w:hAnsi="Times New Roman" w:cs="Times New Roman"/>
          <w:sz w:val="20"/>
          <w:szCs w:val="20"/>
        </w:rPr>
        <w:fldChar w:fldCharType="end"/>
      </w:r>
      <w:r w:rsidR="00BC7B7F" w:rsidRPr="00DA0E6E">
        <w:rPr>
          <w:rFonts w:ascii="Times New Roman" w:hAnsi="Times New Roman" w:cs="Times New Roman"/>
          <w:sz w:val="20"/>
          <w:szCs w:val="20"/>
        </w:rPr>
        <w:t>.</w:t>
      </w:r>
      <w:r w:rsidRPr="006D51DD">
        <w:rPr>
          <w:rFonts w:ascii="Times New Roman" w:hAnsi="Times New Roman" w:cs="Times New Roman"/>
          <w:sz w:val="20"/>
          <w:szCs w:val="20"/>
        </w:rPr>
        <w:t>Healthcare professionals should be trained in culturally sensitive communication and to inquire non</w:t>
      </w:r>
      <w:r w:rsidRPr="006D51DD">
        <w:rPr>
          <w:rFonts w:ascii="Times New Roman" w:hAnsi="Times New Roman" w:cs="Times New Roman"/>
          <w:sz w:val="20"/>
          <w:szCs w:val="20"/>
        </w:rPr>
        <w:noBreakHyphen/>
        <w:t xml:space="preserve">judgmentally about herbal </w:t>
      </w:r>
      <w:r w:rsidRPr="00DA0E6E">
        <w:rPr>
          <w:rFonts w:ascii="Times New Roman" w:hAnsi="Times New Roman" w:cs="Times New Roman"/>
          <w:sz w:val="20"/>
          <w:szCs w:val="20"/>
        </w:rPr>
        <w:t>use, fostering open dialogue and enabling more holistic, patient</w:t>
      </w:r>
      <w:r w:rsidRPr="00DA0E6E">
        <w:rPr>
          <w:rFonts w:ascii="Times New Roman" w:hAnsi="Times New Roman" w:cs="Times New Roman"/>
          <w:sz w:val="20"/>
          <w:szCs w:val="20"/>
        </w:rPr>
        <w:noBreakHyphen/>
        <w:t>centered maternal healthcare.</w:t>
      </w:r>
    </w:p>
    <w:p w14:paraId="39E99796" w14:textId="605E4ED7" w:rsidR="00962B99" w:rsidRPr="00DA0E6E" w:rsidRDefault="00CD6BCC"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This study offers valuable insight into the cultural and health beliefs surrounding herbal remedy use among pregnant women in Sagnarigu Municipality. One of its key strengths lies in its rich qualitative design, which allowed for an in-depth exploration of participants' lived experiences, capturing a range of perspectives across different religious, educational, and occupational backgrounds. The use of direct quotes from women gave voice to their realities and enhanced the authenticity of the findings. However, the study also has limitations. The small sample size of nine participants limits the generalizability of the findings beyond the immediate study setting. Additionally, as with most qualitative studies, there is a risk of social desirability bias, where participants may underreport or overstate certain behaviors, particularly in relation to hospital or herbal use. Despite these limitations, the study contributes </w:t>
      </w:r>
      <w:r w:rsidRPr="00DA0E6E">
        <w:rPr>
          <w:rFonts w:ascii="Times New Roman" w:hAnsi="Times New Roman" w:cs="Times New Roman"/>
          <w:sz w:val="20"/>
          <w:szCs w:val="20"/>
        </w:rPr>
        <w:lastRenderedPageBreak/>
        <w:t>meaningfully to understanding how traditional beliefs intersect with maternal health behaviors, offering a basis for culturally informed healthcare interventions.</w:t>
      </w:r>
    </w:p>
    <w:p w14:paraId="0233D5F7" w14:textId="58A9EC18" w:rsidR="00CD6BCC" w:rsidRPr="00391C8F" w:rsidRDefault="00CD6BCC" w:rsidP="00DA0E6E">
      <w:pPr>
        <w:jc w:val="both"/>
        <w:rPr>
          <w:rFonts w:ascii="Times New Roman" w:hAnsi="Times New Roman" w:cs="Times New Roman"/>
          <w:b/>
          <w:bCs/>
          <w:sz w:val="20"/>
          <w:szCs w:val="20"/>
        </w:rPr>
      </w:pPr>
      <w:r w:rsidRPr="00391C8F">
        <w:rPr>
          <w:rFonts w:ascii="Times New Roman" w:hAnsi="Times New Roman" w:cs="Times New Roman"/>
          <w:b/>
          <w:bCs/>
          <w:sz w:val="20"/>
          <w:szCs w:val="20"/>
        </w:rPr>
        <w:t>Conclusion</w:t>
      </w:r>
    </w:p>
    <w:p w14:paraId="4ED82A21" w14:textId="77777777" w:rsidR="00F20CB6" w:rsidRPr="00F20CB6" w:rsidRDefault="00F20CB6" w:rsidP="00DA0E6E">
      <w:pPr>
        <w:jc w:val="both"/>
        <w:rPr>
          <w:rFonts w:ascii="Times New Roman" w:hAnsi="Times New Roman" w:cs="Times New Roman"/>
          <w:sz w:val="20"/>
          <w:szCs w:val="20"/>
        </w:rPr>
      </w:pPr>
      <w:r w:rsidRPr="00F20CB6">
        <w:rPr>
          <w:rFonts w:ascii="Times New Roman" w:hAnsi="Times New Roman" w:cs="Times New Roman"/>
          <w:sz w:val="20"/>
          <w:szCs w:val="20"/>
        </w:rPr>
        <w:t>In conclusion, this study reveals that the use of herbal remedies during pregnancy in Sagnarigu Municipality is deeply embedded in cultural, spiritual, and social traditions. Women often rely on advice from elders, intergenerational knowledge, and perceived health benefits to guide their use of herbs, even when accessing formal antenatal care. While most participants viewed herbal remedies positively, some reported adverse effects and admitted to concealing herbal use from healthcare providers due to fear of judgment. These findings highlight the complexity of maternal health-seeking behaviors in culturally rich communities. A key recommendation is that healthcare providers adopt culturally sensitive approaches that encourage open dialogue about herbal use without stigma. Additionally, community education programs should involve traditional leaders and family influencers to promote safe practices. Policymakers and researchers should also prioritize the regulation and scientific evaluation of commonly used herbal remedies to ensure their safety and appropriate use during pregnancy.</w:t>
      </w:r>
    </w:p>
    <w:p w14:paraId="5487EEB4" w14:textId="77777777" w:rsidR="00AA7D54" w:rsidRPr="00DA0E6E" w:rsidRDefault="00AA7D54" w:rsidP="00DA0E6E">
      <w:pPr>
        <w:spacing w:after="0" w:line="276" w:lineRule="auto"/>
        <w:jc w:val="both"/>
        <w:rPr>
          <w:rFonts w:ascii="Times New Roman" w:hAnsi="Times New Roman" w:cs="Times New Roman"/>
          <w:sz w:val="20"/>
          <w:szCs w:val="20"/>
        </w:rPr>
      </w:pPr>
      <w:r w:rsidRPr="00DA0E6E">
        <w:rPr>
          <w:rFonts w:ascii="Times New Roman" w:hAnsi="Times New Roman" w:cs="Times New Roman"/>
          <w:sz w:val="20"/>
          <w:szCs w:val="20"/>
        </w:rPr>
        <w:t>Consent for publication</w:t>
      </w:r>
    </w:p>
    <w:p w14:paraId="7DDD4F85" w14:textId="77777777" w:rsidR="00AA7D54" w:rsidRPr="00DA0E6E" w:rsidRDefault="00AA7D54" w:rsidP="00DA0E6E">
      <w:pPr>
        <w:spacing w:after="0" w:line="276" w:lineRule="auto"/>
        <w:jc w:val="both"/>
        <w:rPr>
          <w:rFonts w:ascii="Times New Roman" w:eastAsia="Times New Roman" w:hAnsi="Times New Roman" w:cs="Times New Roman"/>
          <w:sz w:val="20"/>
          <w:szCs w:val="20"/>
          <w:lang w:eastAsia="en-GB"/>
        </w:rPr>
      </w:pPr>
      <w:r w:rsidRPr="00DA0E6E">
        <w:rPr>
          <w:rFonts w:ascii="Times New Roman" w:eastAsia="Times New Roman" w:hAnsi="Times New Roman" w:cs="Times New Roman"/>
          <w:sz w:val="20"/>
          <w:szCs w:val="20"/>
          <w:lang w:eastAsia="en-GB"/>
        </w:rPr>
        <w:t>Not applicable</w:t>
      </w:r>
    </w:p>
    <w:p w14:paraId="2E40A33E" w14:textId="77777777" w:rsidR="00AA7D54" w:rsidRPr="00DA0E6E" w:rsidRDefault="00AA7D54" w:rsidP="00DA0E6E">
      <w:pPr>
        <w:spacing w:after="0" w:line="276" w:lineRule="auto"/>
        <w:jc w:val="both"/>
        <w:rPr>
          <w:rFonts w:ascii="Times New Roman" w:eastAsia="Times New Roman" w:hAnsi="Times New Roman" w:cs="Times New Roman"/>
          <w:sz w:val="20"/>
          <w:szCs w:val="20"/>
          <w:lang w:eastAsia="en-GB"/>
        </w:rPr>
      </w:pPr>
    </w:p>
    <w:p w14:paraId="00C35A2B" w14:textId="77777777" w:rsidR="00AA7D54" w:rsidRPr="00DA0E6E" w:rsidRDefault="00AA7D54" w:rsidP="00DA0E6E">
      <w:pPr>
        <w:spacing w:after="0" w:line="276" w:lineRule="auto"/>
        <w:jc w:val="both"/>
        <w:rPr>
          <w:rFonts w:ascii="Times New Roman" w:eastAsia="Times New Roman" w:hAnsi="Times New Roman" w:cs="Times New Roman"/>
          <w:sz w:val="20"/>
          <w:szCs w:val="20"/>
          <w:lang w:eastAsia="en-GB"/>
        </w:rPr>
      </w:pPr>
      <w:r w:rsidRPr="00DA0E6E">
        <w:rPr>
          <w:rFonts w:ascii="Times New Roman" w:eastAsia="Times New Roman" w:hAnsi="Times New Roman" w:cs="Times New Roman"/>
          <w:sz w:val="20"/>
          <w:szCs w:val="20"/>
          <w:lang w:eastAsia="en-GB"/>
        </w:rPr>
        <w:t>Data Availability</w:t>
      </w:r>
    </w:p>
    <w:p w14:paraId="6166D286" w14:textId="77777777" w:rsidR="00AA7D54" w:rsidRPr="00DA0E6E" w:rsidRDefault="00AA7D54" w:rsidP="00DA0E6E">
      <w:pPr>
        <w:pStyle w:val="NoSpacing"/>
        <w:spacing w:line="276" w:lineRule="auto"/>
        <w:jc w:val="both"/>
        <w:rPr>
          <w:rFonts w:ascii="Times New Roman" w:eastAsia="Times New Roman" w:hAnsi="Times New Roman" w:cs="Times New Roman"/>
          <w:sz w:val="20"/>
          <w:szCs w:val="20"/>
          <w:lang w:eastAsia="en-GB"/>
        </w:rPr>
      </w:pPr>
      <w:r w:rsidRPr="00DA0E6E">
        <w:rPr>
          <w:rFonts w:ascii="Times New Roman" w:eastAsia="Times New Roman" w:hAnsi="Times New Roman" w:cs="Times New Roman"/>
          <w:sz w:val="20"/>
          <w:szCs w:val="20"/>
          <w:lang w:eastAsia="en-GB"/>
        </w:rPr>
        <w:t xml:space="preserve">Data used to support this study are available from the corresponding author upon request. </w:t>
      </w:r>
    </w:p>
    <w:p w14:paraId="40A753A5" w14:textId="77777777" w:rsidR="00AA7D54" w:rsidRPr="00DA0E6E" w:rsidRDefault="00AA7D54" w:rsidP="00DA0E6E">
      <w:pPr>
        <w:pStyle w:val="NoSpacing"/>
        <w:spacing w:line="276" w:lineRule="auto"/>
        <w:jc w:val="both"/>
        <w:rPr>
          <w:rFonts w:ascii="Times New Roman" w:eastAsia="Times New Roman" w:hAnsi="Times New Roman" w:cs="Times New Roman"/>
          <w:sz w:val="20"/>
          <w:szCs w:val="20"/>
          <w:lang w:eastAsia="en-GB"/>
        </w:rPr>
      </w:pPr>
    </w:p>
    <w:p w14:paraId="6E40B4A2" w14:textId="77777777" w:rsidR="00AA7D54" w:rsidRPr="00DA0E6E" w:rsidRDefault="00AA7D54" w:rsidP="00DA0E6E">
      <w:pPr>
        <w:pStyle w:val="NoSpacing"/>
        <w:spacing w:line="276" w:lineRule="auto"/>
        <w:jc w:val="both"/>
        <w:rPr>
          <w:rFonts w:ascii="Times New Roman" w:hAnsi="Times New Roman" w:cs="Times New Roman"/>
          <w:sz w:val="20"/>
          <w:szCs w:val="20"/>
        </w:rPr>
      </w:pPr>
      <w:r w:rsidRPr="00DA0E6E">
        <w:rPr>
          <w:rFonts w:ascii="Times New Roman" w:hAnsi="Times New Roman" w:cs="Times New Roman"/>
          <w:sz w:val="20"/>
          <w:szCs w:val="20"/>
        </w:rPr>
        <w:t>Conflicts of Interest</w:t>
      </w:r>
    </w:p>
    <w:p w14:paraId="435EA6EF" w14:textId="77777777" w:rsidR="00AA7D54" w:rsidRPr="00DA0E6E" w:rsidRDefault="00AA7D54" w:rsidP="00DA0E6E">
      <w:pPr>
        <w:spacing w:after="0" w:line="276" w:lineRule="auto"/>
        <w:jc w:val="both"/>
        <w:rPr>
          <w:rFonts w:ascii="Times New Roman" w:hAnsi="Times New Roman" w:cs="Times New Roman"/>
          <w:sz w:val="20"/>
          <w:szCs w:val="20"/>
          <w:shd w:val="clear" w:color="auto" w:fill="FFFFFF"/>
        </w:rPr>
      </w:pPr>
      <w:r w:rsidRPr="00DA0E6E">
        <w:rPr>
          <w:rFonts w:ascii="Times New Roman" w:hAnsi="Times New Roman" w:cs="Times New Roman"/>
          <w:sz w:val="20"/>
          <w:szCs w:val="20"/>
          <w:shd w:val="clear" w:color="auto" w:fill="FFFFFF"/>
        </w:rPr>
        <w:t>The authors declared that they have no competing interests.</w:t>
      </w:r>
    </w:p>
    <w:p w14:paraId="2136F0DF" w14:textId="77777777" w:rsidR="00AA7D54" w:rsidRPr="00DA0E6E" w:rsidRDefault="00AA7D54" w:rsidP="00DA0E6E">
      <w:pPr>
        <w:spacing w:after="0" w:line="276" w:lineRule="auto"/>
        <w:jc w:val="both"/>
        <w:rPr>
          <w:rFonts w:ascii="Times New Roman" w:hAnsi="Times New Roman" w:cs="Times New Roman"/>
          <w:sz w:val="20"/>
          <w:szCs w:val="20"/>
          <w:shd w:val="clear" w:color="auto" w:fill="FFFFFF"/>
        </w:rPr>
      </w:pPr>
    </w:p>
    <w:p w14:paraId="53C370E1" w14:textId="77777777" w:rsidR="00AA7D54" w:rsidRPr="00DA0E6E" w:rsidRDefault="00AA7D54" w:rsidP="00DA0E6E">
      <w:pPr>
        <w:spacing w:after="0" w:line="276" w:lineRule="auto"/>
        <w:jc w:val="both"/>
        <w:rPr>
          <w:rFonts w:ascii="Times New Roman" w:hAnsi="Times New Roman" w:cs="Times New Roman"/>
          <w:sz w:val="20"/>
          <w:szCs w:val="20"/>
          <w:shd w:val="clear" w:color="auto" w:fill="FFFFFF"/>
        </w:rPr>
      </w:pPr>
      <w:r w:rsidRPr="00DA0E6E">
        <w:rPr>
          <w:rFonts w:ascii="Times New Roman" w:hAnsi="Times New Roman" w:cs="Times New Roman"/>
          <w:sz w:val="20"/>
          <w:szCs w:val="20"/>
          <w:shd w:val="clear" w:color="auto" w:fill="FFFFFF"/>
        </w:rPr>
        <w:t>Disclaimer (Artificial intelligence)</w:t>
      </w:r>
    </w:p>
    <w:p w14:paraId="0BCE47BA" w14:textId="77777777" w:rsidR="00AA7D54" w:rsidRPr="00DA0E6E" w:rsidRDefault="00AA7D54" w:rsidP="00DA0E6E">
      <w:pPr>
        <w:spacing w:after="0" w:line="276" w:lineRule="auto"/>
        <w:jc w:val="both"/>
        <w:rPr>
          <w:rFonts w:ascii="Times New Roman" w:hAnsi="Times New Roman" w:cs="Times New Roman"/>
          <w:sz w:val="20"/>
          <w:szCs w:val="20"/>
          <w:shd w:val="clear" w:color="auto" w:fill="FFFFFF"/>
        </w:rPr>
      </w:pPr>
      <w:r w:rsidRPr="00DA0E6E">
        <w:rPr>
          <w:rFonts w:ascii="Times New Roman" w:hAnsi="Times New Roman" w:cs="Times New Roman"/>
          <w:sz w:val="20"/>
          <w:szCs w:val="20"/>
          <w:shd w:val="clear" w:color="auto" w:fill="FFFFFF"/>
        </w:rPr>
        <w:t>Authors at this moment declare that generative AI (ChatGPT) has been used during the editing of manuscripts.</w:t>
      </w:r>
    </w:p>
    <w:p w14:paraId="66D0979F" w14:textId="77777777" w:rsidR="00AA7D54" w:rsidRPr="00DA0E6E" w:rsidRDefault="00AA7D54" w:rsidP="00DA0E6E">
      <w:pPr>
        <w:spacing w:after="0" w:line="276" w:lineRule="auto"/>
        <w:jc w:val="both"/>
        <w:rPr>
          <w:rFonts w:ascii="Times New Roman" w:hAnsi="Times New Roman" w:cs="Times New Roman"/>
          <w:sz w:val="20"/>
          <w:szCs w:val="20"/>
        </w:rPr>
      </w:pPr>
    </w:p>
    <w:p w14:paraId="4E62EB37" w14:textId="305FF1F0" w:rsidR="00AA7D54" w:rsidRPr="00DA0E6E" w:rsidRDefault="00AA7D54" w:rsidP="00DA0E6E">
      <w:pPr>
        <w:spacing w:after="0" w:line="276" w:lineRule="auto"/>
        <w:jc w:val="both"/>
        <w:rPr>
          <w:rFonts w:ascii="Times New Roman" w:hAnsi="Times New Roman" w:cs="Times New Roman"/>
          <w:sz w:val="20"/>
          <w:szCs w:val="20"/>
        </w:rPr>
      </w:pPr>
      <w:r w:rsidRPr="00DA0E6E">
        <w:rPr>
          <w:rFonts w:ascii="Times New Roman" w:hAnsi="Times New Roman" w:cs="Times New Roman"/>
          <w:sz w:val="20"/>
          <w:szCs w:val="20"/>
        </w:rPr>
        <w:t>References</w:t>
      </w:r>
    </w:p>
    <w:p w14:paraId="78D2936A" w14:textId="77777777" w:rsidR="00B429E8" w:rsidRPr="00DA0E6E" w:rsidRDefault="00AA7D54"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fldChar w:fldCharType="begin"/>
      </w:r>
      <w:r w:rsidRPr="00DA0E6E">
        <w:rPr>
          <w:rFonts w:ascii="Times New Roman" w:hAnsi="Times New Roman" w:cs="Times New Roman"/>
          <w:sz w:val="20"/>
          <w:szCs w:val="20"/>
        </w:rPr>
        <w:instrText xml:space="preserve"> ADDIN ZOTERO_BIBL {"uncited":[],"omitted":[],"custom":[]} CSL_BIBLIOGRAPHY </w:instrText>
      </w:r>
      <w:r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w:t>
      </w:r>
      <w:r w:rsidR="00B429E8" w:rsidRPr="00DA0E6E">
        <w:rPr>
          <w:rFonts w:ascii="Times New Roman" w:hAnsi="Times New Roman" w:cs="Times New Roman"/>
          <w:sz w:val="20"/>
          <w:szCs w:val="20"/>
        </w:rPr>
        <w:tab/>
        <w:t>World Health Organisation. WHO traditional medicine strategy: 2014-2023 [Internet]. 2013 [cited 2025 Apr 20]. Available from: https://www.who.int/publications/i/item/9789241506096</w:t>
      </w:r>
    </w:p>
    <w:p w14:paraId="416E3661"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w:t>
      </w:r>
      <w:r w:rsidRPr="00DA0E6E">
        <w:rPr>
          <w:rFonts w:ascii="Times New Roman" w:hAnsi="Times New Roman" w:cs="Times New Roman"/>
          <w:sz w:val="20"/>
          <w:szCs w:val="20"/>
        </w:rPr>
        <w:tab/>
        <w:t>World Health Organisation. WHO global report on traditional and complementary medicine 2019 [Internet]. 2019 [cited 2025 Apr 20]. Available from: https://www.who.int/publications/i/item/978924151536</w:t>
      </w:r>
    </w:p>
    <w:p w14:paraId="3C28FE3B"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3.</w:t>
      </w:r>
      <w:r w:rsidRPr="00DA0E6E">
        <w:rPr>
          <w:rFonts w:ascii="Times New Roman" w:hAnsi="Times New Roman" w:cs="Times New Roman"/>
          <w:sz w:val="20"/>
          <w:szCs w:val="20"/>
        </w:rPr>
        <w:tab/>
        <w:t xml:space="preserve">Ekor M. The growing use of herbal medicines: issues relating to adverse reactions and challenges in monitoring safety. Front Pharmacol. 2014 Jan 10;4:177. </w:t>
      </w:r>
    </w:p>
    <w:p w14:paraId="0BADF2DB"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4.</w:t>
      </w:r>
      <w:r w:rsidRPr="00DA0E6E">
        <w:rPr>
          <w:rFonts w:ascii="Times New Roman" w:hAnsi="Times New Roman" w:cs="Times New Roman"/>
          <w:sz w:val="20"/>
          <w:szCs w:val="20"/>
        </w:rPr>
        <w:tab/>
        <w:t xml:space="preserve">Kennedy DA, Lupattelli A, Koren G, Nordeng H. Herbal medicine use in pregnancy: results of a multinational study. BMC Complement Altern Med. 2013;13(1):355. </w:t>
      </w:r>
    </w:p>
    <w:p w14:paraId="2B4A71BC"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5.</w:t>
      </w:r>
      <w:r w:rsidRPr="00DA0E6E">
        <w:rPr>
          <w:rFonts w:ascii="Times New Roman" w:hAnsi="Times New Roman" w:cs="Times New Roman"/>
          <w:sz w:val="20"/>
          <w:szCs w:val="20"/>
        </w:rPr>
        <w:tab/>
        <w:t xml:space="preserve">Peprah P, Agyemang-Duah W, Arthur-Holmes F, Budu HI, Abalo EM, Okwei R, et al. ‘We are nothing without herbs’: a story of herbal remedies use during pregnancy in rural Ghana. BMC Complement Altern Med. 2019;19(1):1–12. </w:t>
      </w:r>
    </w:p>
    <w:p w14:paraId="61F9F949"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6.</w:t>
      </w:r>
      <w:r w:rsidRPr="00DA0E6E">
        <w:rPr>
          <w:rFonts w:ascii="Times New Roman" w:hAnsi="Times New Roman" w:cs="Times New Roman"/>
          <w:sz w:val="20"/>
          <w:szCs w:val="20"/>
        </w:rPr>
        <w:tab/>
        <w:t xml:space="preserve">Shewamene Z, Dune T, Smith CA. The use of traditional medicine in maternity care among African women in Africa and the diaspora: a systematic review. BMC Complement Altern Med. 2017 Aug 2;17:382. </w:t>
      </w:r>
    </w:p>
    <w:p w14:paraId="4DDD4401"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7.</w:t>
      </w:r>
      <w:r w:rsidRPr="00DA0E6E">
        <w:rPr>
          <w:rFonts w:ascii="Times New Roman" w:hAnsi="Times New Roman" w:cs="Times New Roman"/>
          <w:sz w:val="20"/>
          <w:szCs w:val="20"/>
        </w:rPr>
        <w:tab/>
        <w:t xml:space="preserve">Mothupi MC. Use of herbal medicine during pregnancy among women with access to public healthcare in Nairobi, Kenya: a cross-sectional survey. BMC Complement Altern Med. 2014;14(1):1–8. </w:t>
      </w:r>
    </w:p>
    <w:p w14:paraId="3C86B613"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lastRenderedPageBreak/>
        <w:t>8.</w:t>
      </w:r>
      <w:r w:rsidRPr="00DA0E6E">
        <w:rPr>
          <w:rFonts w:ascii="Times New Roman" w:hAnsi="Times New Roman" w:cs="Times New Roman"/>
          <w:sz w:val="20"/>
          <w:szCs w:val="20"/>
        </w:rPr>
        <w:tab/>
        <w:t xml:space="preserve">Nyeko R, Tumwesigye NM, Halage AA. Prevalence and factors associated with use of herbal medicines during pregnancy among women attending postnatal clinics in Gulu district, Northern Uganda. BMC Pregnancy Childbirth. 2016;16(1):1–12. </w:t>
      </w:r>
    </w:p>
    <w:p w14:paraId="1703DD55"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9.</w:t>
      </w:r>
      <w:r w:rsidRPr="00DA0E6E">
        <w:rPr>
          <w:rFonts w:ascii="Times New Roman" w:hAnsi="Times New Roman" w:cs="Times New Roman"/>
          <w:sz w:val="20"/>
          <w:szCs w:val="20"/>
        </w:rPr>
        <w:tab/>
        <w:t xml:space="preserve">Bekele GG, Woldeyes BS, Taye GM, Kebede EM, Gebremichael DY. Use of herbal medicine during pregnancy and associated factors among pregnant women with access to public healthcare in west Shewa zone, Central Ethiopia: sequential mixed-method study. BMJ Open. 2024 Feb 5;14(2):e076303. </w:t>
      </w:r>
    </w:p>
    <w:p w14:paraId="0A4EC4F9"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10.</w:t>
      </w:r>
      <w:r w:rsidRPr="00DA0E6E">
        <w:rPr>
          <w:rFonts w:ascii="Times New Roman" w:hAnsi="Times New Roman" w:cs="Times New Roman"/>
          <w:sz w:val="20"/>
          <w:szCs w:val="20"/>
        </w:rPr>
        <w:tab/>
        <w:t xml:space="preserve">Aynalem BY, Melesse MF, Bitewa YB. Cultural Beliefs and Traditional Practices During Pregnancy, Child Birth, and the Postpartum Period in East Gojjam Zone, Northwest Ethiopia: A Qualitative Study. Womens Health Rep. 2023 Aug 16;4(1):415–22. </w:t>
      </w:r>
    </w:p>
    <w:p w14:paraId="0AE735B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11.</w:t>
      </w:r>
      <w:r w:rsidRPr="00DA0E6E">
        <w:rPr>
          <w:rFonts w:ascii="Times New Roman" w:hAnsi="Times New Roman" w:cs="Times New Roman"/>
          <w:sz w:val="20"/>
          <w:szCs w:val="20"/>
        </w:rPr>
        <w:tab/>
        <w:t xml:space="preserve">Holst L, Wright D, Haavik S, Nordeng H. Safety and efficacy of herbal remedies in obstetrics-review and clinical implications. Midwifery. 2011 Feb;27(1):80–6. </w:t>
      </w:r>
    </w:p>
    <w:p w14:paraId="6303616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12.</w:t>
      </w:r>
      <w:r w:rsidRPr="00DA0E6E">
        <w:rPr>
          <w:rFonts w:ascii="Times New Roman" w:hAnsi="Times New Roman" w:cs="Times New Roman"/>
          <w:sz w:val="20"/>
          <w:szCs w:val="20"/>
        </w:rPr>
        <w:tab/>
        <w:t xml:space="preserve">Tiran D. The use of herbs by pregnant and childbearing women: a risk-benefit assessment. Complement Ther Nurs Midwifery. 2003 Nov;9(4):176–81. </w:t>
      </w:r>
    </w:p>
    <w:p w14:paraId="13BB81CF"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13.</w:t>
      </w:r>
      <w:r w:rsidRPr="00DA0E6E">
        <w:rPr>
          <w:rFonts w:ascii="Times New Roman" w:hAnsi="Times New Roman" w:cs="Times New Roman"/>
          <w:sz w:val="20"/>
          <w:szCs w:val="20"/>
        </w:rPr>
        <w:tab/>
        <w:t xml:space="preserve">Ghana Health Service. Ghana Health Service 2016 Annual Report. GHS. Accra. 2016; </w:t>
      </w:r>
    </w:p>
    <w:p w14:paraId="1B6FA53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14.</w:t>
      </w:r>
      <w:r w:rsidRPr="00DA0E6E">
        <w:rPr>
          <w:rFonts w:ascii="Times New Roman" w:hAnsi="Times New Roman" w:cs="Times New Roman"/>
          <w:sz w:val="20"/>
          <w:szCs w:val="20"/>
        </w:rPr>
        <w:tab/>
        <w:t xml:space="preserve">Aziato L, Omenyo CN. Initiation of traditional birth attendants and their traditional and spiritual practices during pregnancy and childbirth in Ghana. BMC Pregnancy Childbirth. 2018 Mar 7;18:64. </w:t>
      </w:r>
    </w:p>
    <w:p w14:paraId="2520E4C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15.</w:t>
      </w:r>
      <w:r w:rsidRPr="00DA0E6E">
        <w:rPr>
          <w:rFonts w:ascii="Times New Roman" w:hAnsi="Times New Roman" w:cs="Times New Roman"/>
          <w:sz w:val="20"/>
          <w:szCs w:val="20"/>
        </w:rPr>
        <w:tab/>
        <w:t xml:space="preserve">Ganle JK, Mahama MS, Maya E, Manu A, Torpey K, Adanu R. Understanding factors influencing home delivery in the context of user-fee abolition in Northern Ghana: Evidence from 2014 DHS. Int J Health Plann Manage. 2019;34(2):727–43. </w:t>
      </w:r>
    </w:p>
    <w:p w14:paraId="79F46A12"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16.</w:t>
      </w:r>
      <w:r w:rsidRPr="00DA0E6E">
        <w:rPr>
          <w:rFonts w:ascii="Times New Roman" w:hAnsi="Times New Roman" w:cs="Times New Roman"/>
          <w:sz w:val="20"/>
          <w:szCs w:val="20"/>
        </w:rPr>
        <w:tab/>
        <w:t xml:space="preserve">Opara UC, Iheanacho PN, Li H, Petrucka P. Facilitating and limiting factors of cultural norms influencing use of maternal health services in primary health care facilities in Kogi State, Nigeria; a focused ethnographic research on Igala women. BMC Pregnancy Childbirth. 2024 Aug 27;24(1):555. </w:t>
      </w:r>
    </w:p>
    <w:p w14:paraId="309629F4"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17.</w:t>
      </w:r>
      <w:r w:rsidRPr="00DA0E6E">
        <w:rPr>
          <w:rFonts w:ascii="Times New Roman" w:hAnsi="Times New Roman" w:cs="Times New Roman"/>
          <w:sz w:val="20"/>
          <w:szCs w:val="20"/>
        </w:rPr>
        <w:tab/>
        <w:t>Ganle JK. Addressing Socio-cultural Barriers to Maternal Healthcare in Ghana: Perspectives of Women and Healthcare Providers. J Women’s Health Issues Care [Internet]. 2014 [cited 2025 Apr 20];03(06). Available from: http://www.scitechnol.com/addressing-sociocultural-barriers-maternal-healthcare-ghana-perspectives-women-healthcare-providers-9wKH.php?article_id=2391</w:t>
      </w:r>
    </w:p>
    <w:p w14:paraId="0BD44166"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18.</w:t>
      </w:r>
      <w:r w:rsidRPr="00DA0E6E">
        <w:rPr>
          <w:rFonts w:ascii="Times New Roman" w:hAnsi="Times New Roman" w:cs="Times New Roman"/>
          <w:sz w:val="20"/>
          <w:szCs w:val="20"/>
        </w:rPr>
        <w:tab/>
        <w:t xml:space="preserve">El Hajj M, Holst L. Herbal medicine use during pregnancy: a review of the literature with a special focus on sub-Saharan Africa. Front Pharmacol. 2020;11:866. </w:t>
      </w:r>
    </w:p>
    <w:p w14:paraId="68DD8BAB"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19.</w:t>
      </w:r>
      <w:r w:rsidRPr="00DA0E6E">
        <w:rPr>
          <w:rFonts w:ascii="Times New Roman" w:hAnsi="Times New Roman" w:cs="Times New Roman"/>
          <w:sz w:val="20"/>
          <w:szCs w:val="20"/>
        </w:rPr>
        <w:tab/>
        <w:t xml:space="preserve">Okaiyeto K, Oguntibeju OO. African herbal medicines: Adverse effects and cytotoxic potentials with different therapeutic applications. Int J Environ Res Public Health. 2021;18(11):5988. </w:t>
      </w:r>
    </w:p>
    <w:p w14:paraId="16440002"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20.</w:t>
      </w:r>
      <w:r w:rsidRPr="00DA0E6E">
        <w:rPr>
          <w:rFonts w:ascii="Times New Roman" w:hAnsi="Times New Roman" w:cs="Times New Roman"/>
          <w:sz w:val="20"/>
          <w:szCs w:val="20"/>
        </w:rPr>
        <w:tab/>
        <w:t xml:space="preserve">Ganle JK, Dery I. ‘What men don’t know can hurt women’s health’: a qualitative study of the barriers to and opportunities for men’s involvement in maternal healthcare in Ghana. Reprod Health. 2015 Oct 10;12:93. </w:t>
      </w:r>
    </w:p>
    <w:p w14:paraId="49C0FAE2"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21.</w:t>
      </w:r>
      <w:r w:rsidRPr="00DA0E6E">
        <w:rPr>
          <w:rFonts w:ascii="Times New Roman" w:hAnsi="Times New Roman" w:cs="Times New Roman"/>
          <w:sz w:val="20"/>
          <w:szCs w:val="20"/>
        </w:rPr>
        <w:tab/>
        <w:t xml:space="preserve">Makombe D, Thombozi E, Chilemba W, Mboma A, Banda KJ, Mwakilama E. Herbal medicine use during pregnancy and childbirth: perceptions of women living in Lilongwe rural, Malawi – a qualitative study. BMC Womens Health. 2023 May 4;23:228. </w:t>
      </w:r>
    </w:p>
    <w:p w14:paraId="0B6585C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22.</w:t>
      </w:r>
      <w:r w:rsidRPr="00DA0E6E">
        <w:rPr>
          <w:rFonts w:ascii="Times New Roman" w:hAnsi="Times New Roman" w:cs="Times New Roman"/>
          <w:sz w:val="20"/>
          <w:szCs w:val="20"/>
        </w:rPr>
        <w:tab/>
        <w:t xml:space="preserve">Ganle JK. Chasing out traditional birth attendants in Ghana – implications for maternal and newborn health. J Glob Health Columbia Univ. 2014 Dec 19;39-42 Pages. </w:t>
      </w:r>
    </w:p>
    <w:p w14:paraId="50C8BB77"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23.</w:t>
      </w:r>
      <w:r w:rsidRPr="00DA0E6E">
        <w:rPr>
          <w:rFonts w:ascii="Times New Roman" w:hAnsi="Times New Roman" w:cs="Times New Roman"/>
          <w:sz w:val="20"/>
          <w:szCs w:val="20"/>
        </w:rPr>
        <w:tab/>
        <w:t xml:space="preserve">Yihune Teshale M, Bante A, Gedefaw Belete A, Crutzen R, Spigt M, Stutterheim SE. Barriers and facilitators to maternal healthcare in East Africa: a systematic review and qualitative synthesis of perspectives from women, their families, healthcare providers, and key stakeholders. BMC Pregnancy Childbirth. 2025 Feb 3;25:111. </w:t>
      </w:r>
    </w:p>
    <w:p w14:paraId="3FCC9E38"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lastRenderedPageBreak/>
        <w:t>24.</w:t>
      </w:r>
      <w:r w:rsidRPr="00DA0E6E">
        <w:rPr>
          <w:rFonts w:ascii="Times New Roman" w:hAnsi="Times New Roman" w:cs="Times New Roman"/>
          <w:sz w:val="20"/>
          <w:szCs w:val="20"/>
        </w:rPr>
        <w:tab/>
        <w:t xml:space="preserve">Atiba FA, Popoola OA, Odukogbe AA, Ihunwo AO. Prevalence and consumption pattern of kolanut among pregnant women in Ibadan metropolis. Sci Rep. 2023 Sep 2;13:14422. </w:t>
      </w:r>
    </w:p>
    <w:p w14:paraId="27DEA9F4"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25.</w:t>
      </w:r>
      <w:r w:rsidRPr="00DA0E6E">
        <w:rPr>
          <w:rFonts w:ascii="Times New Roman" w:hAnsi="Times New Roman" w:cs="Times New Roman"/>
          <w:sz w:val="20"/>
          <w:szCs w:val="20"/>
        </w:rPr>
        <w:tab/>
        <w:t xml:space="preserve">Kamel N, El Boullani R, Cherrah Y. Use of Medicinal Plants during Pregnancy, Childbirth and Postpartum in Southern Morocco. Healthcare. 2022 Nov 21;10(11):2327. </w:t>
      </w:r>
    </w:p>
    <w:p w14:paraId="242AC6CA"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26.</w:t>
      </w:r>
      <w:r w:rsidRPr="00DA0E6E">
        <w:rPr>
          <w:rFonts w:ascii="Times New Roman" w:hAnsi="Times New Roman" w:cs="Times New Roman"/>
          <w:sz w:val="20"/>
          <w:szCs w:val="20"/>
        </w:rPr>
        <w:tab/>
        <w:t xml:space="preserve">Im HB, Hwang JH, Choi D, Choi SJ, Han D. Patient–physician communication on herbal medicine use during pregnancy: a systematic review and meta-analysis. BMJ Glob Health. 2024 Mar 5;9(3):e013412. </w:t>
      </w:r>
    </w:p>
    <w:p w14:paraId="1819025C"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27.</w:t>
      </w:r>
      <w:r w:rsidRPr="00DA0E6E">
        <w:rPr>
          <w:rFonts w:ascii="Times New Roman" w:hAnsi="Times New Roman" w:cs="Times New Roman"/>
          <w:sz w:val="20"/>
          <w:szCs w:val="20"/>
        </w:rPr>
        <w:tab/>
        <w:t xml:space="preserve">Bayisa B, Tatiparthi R, Mulisa E. Use of Herbal Medicine Among Pregnant Women on Antenatal Care at Nekemte Hospital, Western Ethiopia. Jundishapur J Nat Pharm Prod. 2014 Sep 15;9(4):e17368. </w:t>
      </w:r>
    </w:p>
    <w:p w14:paraId="70A761F8" w14:textId="14C09851" w:rsidR="00AA7D54" w:rsidRPr="00DA0E6E" w:rsidRDefault="00AA7D54" w:rsidP="00DA0E6E">
      <w:pPr>
        <w:jc w:val="both"/>
        <w:rPr>
          <w:rFonts w:ascii="Times New Roman" w:hAnsi="Times New Roman" w:cs="Times New Roman"/>
          <w:sz w:val="20"/>
          <w:szCs w:val="20"/>
        </w:rPr>
      </w:pPr>
      <w:r w:rsidRPr="00DA0E6E">
        <w:rPr>
          <w:rFonts w:ascii="Times New Roman" w:hAnsi="Times New Roman" w:cs="Times New Roman"/>
          <w:sz w:val="20"/>
          <w:szCs w:val="20"/>
        </w:rPr>
        <w:fldChar w:fldCharType="end"/>
      </w:r>
    </w:p>
    <w:p w14:paraId="606651A4" w14:textId="77777777" w:rsidR="00AA7D54" w:rsidRPr="00DA0E6E" w:rsidRDefault="00AA7D54" w:rsidP="00DA0E6E">
      <w:pPr>
        <w:jc w:val="both"/>
        <w:rPr>
          <w:rFonts w:ascii="Times New Roman" w:hAnsi="Times New Roman" w:cs="Times New Roman"/>
          <w:sz w:val="20"/>
          <w:szCs w:val="20"/>
        </w:rPr>
      </w:pPr>
    </w:p>
    <w:p w14:paraId="0785606A" w14:textId="77777777" w:rsidR="00CD6BCC" w:rsidRPr="00DA0E6E" w:rsidRDefault="00CD6BCC" w:rsidP="00DA0E6E">
      <w:pPr>
        <w:jc w:val="both"/>
        <w:rPr>
          <w:rFonts w:ascii="Times New Roman" w:hAnsi="Times New Roman" w:cs="Times New Roman"/>
          <w:sz w:val="20"/>
          <w:szCs w:val="20"/>
        </w:rPr>
      </w:pPr>
    </w:p>
    <w:sectPr w:rsidR="00CD6BCC" w:rsidRPr="00DA0E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9ABB3" w14:textId="77777777" w:rsidR="00FA3150" w:rsidRDefault="00FA3150" w:rsidP="00FA0ED7">
      <w:pPr>
        <w:spacing w:after="0" w:line="240" w:lineRule="auto"/>
      </w:pPr>
      <w:r>
        <w:separator/>
      </w:r>
    </w:p>
  </w:endnote>
  <w:endnote w:type="continuationSeparator" w:id="0">
    <w:p w14:paraId="7E386A78" w14:textId="77777777" w:rsidR="00FA3150" w:rsidRDefault="00FA3150" w:rsidP="00FA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F0A2" w14:textId="77777777" w:rsidR="00FA0ED7" w:rsidRDefault="00FA0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5645" w14:textId="77777777" w:rsidR="00FA0ED7" w:rsidRDefault="00FA0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5E33" w14:textId="77777777" w:rsidR="00FA0ED7" w:rsidRDefault="00FA0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5628" w14:textId="77777777" w:rsidR="00FA3150" w:rsidRDefault="00FA3150" w:rsidP="00FA0ED7">
      <w:pPr>
        <w:spacing w:after="0" w:line="240" w:lineRule="auto"/>
      </w:pPr>
      <w:r>
        <w:separator/>
      </w:r>
    </w:p>
  </w:footnote>
  <w:footnote w:type="continuationSeparator" w:id="0">
    <w:p w14:paraId="3F469F7E" w14:textId="77777777" w:rsidR="00FA3150" w:rsidRDefault="00FA3150" w:rsidP="00FA0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7E53" w14:textId="523C708B" w:rsidR="00FA0ED7" w:rsidRDefault="00000000">
    <w:pPr>
      <w:pStyle w:val="Header"/>
    </w:pPr>
    <w:r>
      <w:rPr>
        <w:noProof/>
      </w:rPr>
      <w:pict w14:anchorId="3A185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447A" w14:textId="10F54AEF" w:rsidR="00FA0ED7" w:rsidRDefault="00000000">
    <w:pPr>
      <w:pStyle w:val="Header"/>
    </w:pPr>
    <w:r>
      <w:rPr>
        <w:noProof/>
      </w:rPr>
      <w:pict w14:anchorId="202D9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EE8A" w14:textId="14095BBC" w:rsidR="00FA0ED7" w:rsidRDefault="00000000">
    <w:pPr>
      <w:pStyle w:val="Header"/>
    </w:pPr>
    <w:r>
      <w:rPr>
        <w:noProof/>
      </w:rPr>
      <w:pict w14:anchorId="26BF4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21A"/>
    <w:multiLevelType w:val="multilevel"/>
    <w:tmpl w:val="9AD6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707B5"/>
    <w:multiLevelType w:val="multilevel"/>
    <w:tmpl w:val="9A6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A1080"/>
    <w:multiLevelType w:val="multilevel"/>
    <w:tmpl w:val="82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97291"/>
    <w:multiLevelType w:val="multilevel"/>
    <w:tmpl w:val="0CD0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234495">
    <w:abstractNumId w:val="1"/>
  </w:num>
  <w:num w:numId="2" w16cid:durableId="1023286919">
    <w:abstractNumId w:val="2"/>
  </w:num>
  <w:num w:numId="3" w16cid:durableId="1656645622">
    <w:abstractNumId w:val="3"/>
  </w:num>
  <w:num w:numId="4" w16cid:durableId="91154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C2F"/>
    <w:rsid w:val="00004768"/>
    <w:rsid w:val="000130A7"/>
    <w:rsid w:val="00026201"/>
    <w:rsid w:val="000307BA"/>
    <w:rsid w:val="0003480C"/>
    <w:rsid w:val="00060592"/>
    <w:rsid w:val="00070C51"/>
    <w:rsid w:val="00076DC9"/>
    <w:rsid w:val="0008119A"/>
    <w:rsid w:val="000A3CA7"/>
    <w:rsid w:val="000B34BA"/>
    <w:rsid w:val="000D210C"/>
    <w:rsid w:val="000F30AF"/>
    <w:rsid w:val="00106296"/>
    <w:rsid w:val="0011440A"/>
    <w:rsid w:val="001240A8"/>
    <w:rsid w:val="00125671"/>
    <w:rsid w:val="00131CA6"/>
    <w:rsid w:val="00147468"/>
    <w:rsid w:val="00150455"/>
    <w:rsid w:val="0017529F"/>
    <w:rsid w:val="001A7B1B"/>
    <w:rsid w:val="001C3775"/>
    <w:rsid w:val="001C3C5D"/>
    <w:rsid w:val="001D77E1"/>
    <w:rsid w:val="001F351A"/>
    <w:rsid w:val="00202164"/>
    <w:rsid w:val="002274D8"/>
    <w:rsid w:val="00236E3C"/>
    <w:rsid w:val="00241E35"/>
    <w:rsid w:val="00245E7C"/>
    <w:rsid w:val="00263C21"/>
    <w:rsid w:val="002A6632"/>
    <w:rsid w:val="002B4C14"/>
    <w:rsid w:val="002E7DFB"/>
    <w:rsid w:val="00312547"/>
    <w:rsid w:val="0032133A"/>
    <w:rsid w:val="0033131C"/>
    <w:rsid w:val="00344102"/>
    <w:rsid w:val="00344EA2"/>
    <w:rsid w:val="00345BC8"/>
    <w:rsid w:val="00357F54"/>
    <w:rsid w:val="003718F4"/>
    <w:rsid w:val="00375472"/>
    <w:rsid w:val="00391C8F"/>
    <w:rsid w:val="00393ED3"/>
    <w:rsid w:val="003956FD"/>
    <w:rsid w:val="003B2E73"/>
    <w:rsid w:val="003C60E8"/>
    <w:rsid w:val="003F6320"/>
    <w:rsid w:val="00403026"/>
    <w:rsid w:val="00445705"/>
    <w:rsid w:val="00445B1E"/>
    <w:rsid w:val="00447E93"/>
    <w:rsid w:val="00451BF7"/>
    <w:rsid w:val="00453257"/>
    <w:rsid w:val="004618C4"/>
    <w:rsid w:val="00482D61"/>
    <w:rsid w:val="004B2BE5"/>
    <w:rsid w:val="004B78B9"/>
    <w:rsid w:val="004C197C"/>
    <w:rsid w:val="004C5E24"/>
    <w:rsid w:val="004C66CD"/>
    <w:rsid w:val="00503384"/>
    <w:rsid w:val="00513029"/>
    <w:rsid w:val="00516333"/>
    <w:rsid w:val="00527E5B"/>
    <w:rsid w:val="0054011C"/>
    <w:rsid w:val="005668D1"/>
    <w:rsid w:val="00596FE7"/>
    <w:rsid w:val="005A66CF"/>
    <w:rsid w:val="005F217B"/>
    <w:rsid w:val="005F49D5"/>
    <w:rsid w:val="006075CF"/>
    <w:rsid w:val="0062435C"/>
    <w:rsid w:val="00655625"/>
    <w:rsid w:val="00661A58"/>
    <w:rsid w:val="006770A7"/>
    <w:rsid w:val="00690807"/>
    <w:rsid w:val="006A2096"/>
    <w:rsid w:val="006B0FEB"/>
    <w:rsid w:val="006C3617"/>
    <w:rsid w:val="006D51DD"/>
    <w:rsid w:val="007006A0"/>
    <w:rsid w:val="00726E69"/>
    <w:rsid w:val="00737870"/>
    <w:rsid w:val="00744CFE"/>
    <w:rsid w:val="00753D8B"/>
    <w:rsid w:val="00767A58"/>
    <w:rsid w:val="007B53BE"/>
    <w:rsid w:val="007C1F22"/>
    <w:rsid w:val="007D07DD"/>
    <w:rsid w:val="007D0C2F"/>
    <w:rsid w:val="007E0C91"/>
    <w:rsid w:val="00806111"/>
    <w:rsid w:val="008166EC"/>
    <w:rsid w:val="0083050B"/>
    <w:rsid w:val="00830818"/>
    <w:rsid w:val="00833549"/>
    <w:rsid w:val="00843DC6"/>
    <w:rsid w:val="008578C8"/>
    <w:rsid w:val="008708A7"/>
    <w:rsid w:val="00871384"/>
    <w:rsid w:val="00875E26"/>
    <w:rsid w:val="00881A05"/>
    <w:rsid w:val="008A0347"/>
    <w:rsid w:val="008C01D8"/>
    <w:rsid w:val="00910687"/>
    <w:rsid w:val="00914436"/>
    <w:rsid w:val="009204F0"/>
    <w:rsid w:val="00925587"/>
    <w:rsid w:val="00932622"/>
    <w:rsid w:val="00952614"/>
    <w:rsid w:val="00962B99"/>
    <w:rsid w:val="009941C6"/>
    <w:rsid w:val="0099701D"/>
    <w:rsid w:val="009A4C30"/>
    <w:rsid w:val="009B42D7"/>
    <w:rsid w:val="009B6661"/>
    <w:rsid w:val="009C2F6C"/>
    <w:rsid w:val="00A1410A"/>
    <w:rsid w:val="00A150E7"/>
    <w:rsid w:val="00A37574"/>
    <w:rsid w:val="00A424FB"/>
    <w:rsid w:val="00A45670"/>
    <w:rsid w:val="00A51141"/>
    <w:rsid w:val="00A630B7"/>
    <w:rsid w:val="00A9366B"/>
    <w:rsid w:val="00A9533E"/>
    <w:rsid w:val="00AA049C"/>
    <w:rsid w:val="00AA0FB4"/>
    <w:rsid w:val="00AA7D54"/>
    <w:rsid w:val="00AB1CFC"/>
    <w:rsid w:val="00AC4F71"/>
    <w:rsid w:val="00AF477D"/>
    <w:rsid w:val="00B30420"/>
    <w:rsid w:val="00B429E8"/>
    <w:rsid w:val="00B5166D"/>
    <w:rsid w:val="00B673E8"/>
    <w:rsid w:val="00B67939"/>
    <w:rsid w:val="00B82F37"/>
    <w:rsid w:val="00BB2896"/>
    <w:rsid w:val="00BC7B7F"/>
    <w:rsid w:val="00BD474F"/>
    <w:rsid w:val="00BF4487"/>
    <w:rsid w:val="00C3174F"/>
    <w:rsid w:val="00C46282"/>
    <w:rsid w:val="00C63886"/>
    <w:rsid w:val="00C71520"/>
    <w:rsid w:val="00C77030"/>
    <w:rsid w:val="00C943A2"/>
    <w:rsid w:val="00CA374B"/>
    <w:rsid w:val="00CA3AF7"/>
    <w:rsid w:val="00CC748E"/>
    <w:rsid w:val="00CD6BCC"/>
    <w:rsid w:val="00CE312D"/>
    <w:rsid w:val="00D13D50"/>
    <w:rsid w:val="00D443C6"/>
    <w:rsid w:val="00D51640"/>
    <w:rsid w:val="00DA0E6E"/>
    <w:rsid w:val="00DC0F88"/>
    <w:rsid w:val="00DE75F1"/>
    <w:rsid w:val="00E173D9"/>
    <w:rsid w:val="00E259DD"/>
    <w:rsid w:val="00E62C6F"/>
    <w:rsid w:val="00E64B3B"/>
    <w:rsid w:val="00E73A88"/>
    <w:rsid w:val="00E77681"/>
    <w:rsid w:val="00E9526C"/>
    <w:rsid w:val="00E95A0A"/>
    <w:rsid w:val="00EC33D3"/>
    <w:rsid w:val="00EE3F7A"/>
    <w:rsid w:val="00F20CB6"/>
    <w:rsid w:val="00F2579A"/>
    <w:rsid w:val="00F263DE"/>
    <w:rsid w:val="00F72FC9"/>
    <w:rsid w:val="00F76DF1"/>
    <w:rsid w:val="00F8264B"/>
    <w:rsid w:val="00F9785C"/>
    <w:rsid w:val="00FA0ED7"/>
    <w:rsid w:val="00FA3150"/>
    <w:rsid w:val="00FC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CA92D"/>
  <w15:chartTrackingRefBased/>
  <w15:docId w15:val="{138898CC-B890-44CD-BE52-A454273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D0C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0C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0C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D0C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0C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0C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0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C2F"/>
    <w:rPr>
      <w:rFonts w:eastAsiaTheme="majorEastAsia" w:cstheme="majorBidi"/>
      <w:color w:val="272727" w:themeColor="text1" w:themeTint="D8"/>
    </w:rPr>
  </w:style>
  <w:style w:type="paragraph" w:styleId="Title">
    <w:name w:val="Title"/>
    <w:basedOn w:val="Normal"/>
    <w:next w:val="Normal"/>
    <w:link w:val="TitleChar"/>
    <w:uiPriority w:val="10"/>
    <w:qFormat/>
    <w:rsid w:val="007D0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C2F"/>
    <w:pPr>
      <w:spacing w:before="160"/>
      <w:jc w:val="center"/>
    </w:pPr>
    <w:rPr>
      <w:i/>
      <w:iCs/>
      <w:color w:val="404040" w:themeColor="text1" w:themeTint="BF"/>
    </w:rPr>
  </w:style>
  <w:style w:type="character" w:customStyle="1" w:styleId="QuoteChar">
    <w:name w:val="Quote Char"/>
    <w:basedOn w:val="DefaultParagraphFont"/>
    <w:link w:val="Quote"/>
    <w:uiPriority w:val="29"/>
    <w:rsid w:val="007D0C2F"/>
    <w:rPr>
      <w:i/>
      <w:iCs/>
      <w:color w:val="404040" w:themeColor="text1" w:themeTint="BF"/>
    </w:rPr>
  </w:style>
  <w:style w:type="paragraph" w:styleId="ListParagraph">
    <w:name w:val="List Paragraph"/>
    <w:basedOn w:val="Normal"/>
    <w:uiPriority w:val="34"/>
    <w:qFormat/>
    <w:rsid w:val="007D0C2F"/>
    <w:pPr>
      <w:ind w:left="720"/>
      <w:contextualSpacing/>
    </w:pPr>
  </w:style>
  <w:style w:type="character" w:styleId="IntenseEmphasis">
    <w:name w:val="Intense Emphasis"/>
    <w:basedOn w:val="DefaultParagraphFont"/>
    <w:uiPriority w:val="21"/>
    <w:qFormat/>
    <w:rsid w:val="007D0C2F"/>
    <w:rPr>
      <w:i/>
      <w:iCs/>
      <w:color w:val="2F5496" w:themeColor="accent1" w:themeShade="BF"/>
    </w:rPr>
  </w:style>
  <w:style w:type="paragraph" w:styleId="IntenseQuote">
    <w:name w:val="Intense Quote"/>
    <w:basedOn w:val="Normal"/>
    <w:next w:val="Normal"/>
    <w:link w:val="IntenseQuoteChar"/>
    <w:uiPriority w:val="30"/>
    <w:qFormat/>
    <w:rsid w:val="007D0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0C2F"/>
    <w:rPr>
      <w:i/>
      <w:iCs/>
      <w:color w:val="2F5496" w:themeColor="accent1" w:themeShade="BF"/>
    </w:rPr>
  </w:style>
  <w:style w:type="character" w:styleId="IntenseReference">
    <w:name w:val="Intense Reference"/>
    <w:basedOn w:val="DefaultParagraphFont"/>
    <w:uiPriority w:val="32"/>
    <w:qFormat/>
    <w:rsid w:val="007D0C2F"/>
    <w:rPr>
      <w:b/>
      <w:bCs/>
      <w:smallCaps/>
      <w:color w:val="2F5496" w:themeColor="accent1" w:themeShade="BF"/>
      <w:spacing w:val="5"/>
    </w:rPr>
  </w:style>
  <w:style w:type="character" w:styleId="Hyperlink">
    <w:name w:val="Hyperlink"/>
    <w:basedOn w:val="DefaultParagraphFont"/>
    <w:uiPriority w:val="99"/>
    <w:unhideWhenUsed/>
    <w:rsid w:val="001240A8"/>
    <w:rPr>
      <w:color w:val="0563C1" w:themeColor="hyperlink"/>
      <w:u w:val="single"/>
    </w:rPr>
  </w:style>
  <w:style w:type="character" w:styleId="UnresolvedMention">
    <w:name w:val="Unresolved Mention"/>
    <w:basedOn w:val="DefaultParagraphFont"/>
    <w:uiPriority w:val="99"/>
    <w:semiHidden/>
    <w:unhideWhenUsed/>
    <w:rsid w:val="001240A8"/>
    <w:rPr>
      <w:color w:val="605E5C"/>
      <w:shd w:val="clear" w:color="auto" w:fill="E1DFDD"/>
    </w:rPr>
  </w:style>
  <w:style w:type="paragraph" w:styleId="NoSpacing">
    <w:name w:val="No Spacing"/>
    <w:link w:val="NoSpacingChar"/>
    <w:uiPriority w:val="1"/>
    <w:qFormat/>
    <w:rsid w:val="00AA7D54"/>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AA7D54"/>
    <w:rPr>
      <w:rFonts w:ascii="Calibri" w:eastAsia="Calibri" w:hAnsi="Calibri" w:cs="Arial"/>
      <w:kern w:val="0"/>
    </w:rPr>
  </w:style>
  <w:style w:type="paragraph" w:styleId="Bibliography">
    <w:name w:val="Bibliography"/>
    <w:basedOn w:val="Normal"/>
    <w:next w:val="Normal"/>
    <w:uiPriority w:val="37"/>
    <w:unhideWhenUsed/>
    <w:rsid w:val="00AA7D54"/>
    <w:pPr>
      <w:tabs>
        <w:tab w:val="left" w:pos="384"/>
      </w:tabs>
      <w:spacing w:after="240" w:line="240" w:lineRule="auto"/>
      <w:ind w:left="384" w:hanging="384"/>
    </w:pPr>
  </w:style>
  <w:style w:type="paragraph" w:styleId="NormalWeb">
    <w:name w:val="Normal (Web)"/>
    <w:basedOn w:val="Normal"/>
    <w:uiPriority w:val="99"/>
    <w:semiHidden/>
    <w:unhideWhenUsed/>
    <w:rsid w:val="00875E26"/>
    <w:rPr>
      <w:rFonts w:ascii="Times New Roman" w:hAnsi="Times New Roman" w:cs="Times New Roman"/>
      <w:sz w:val="24"/>
      <w:szCs w:val="24"/>
    </w:rPr>
  </w:style>
  <w:style w:type="paragraph" w:styleId="Header">
    <w:name w:val="header"/>
    <w:basedOn w:val="Normal"/>
    <w:link w:val="HeaderChar"/>
    <w:uiPriority w:val="99"/>
    <w:unhideWhenUsed/>
    <w:rsid w:val="00FA0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ED7"/>
  </w:style>
  <w:style w:type="paragraph" w:styleId="Footer">
    <w:name w:val="footer"/>
    <w:basedOn w:val="Normal"/>
    <w:link w:val="FooterChar"/>
    <w:uiPriority w:val="99"/>
    <w:unhideWhenUsed/>
    <w:rsid w:val="00FA0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434">
      <w:bodyDiv w:val="1"/>
      <w:marLeft w:val="0"/>
      <w:marRight w:val="0"/>
      <w:marTop w:val="0"/>
      <w:marBottom w:val="0"/>
      <w:divBdr>
        <w:top w:val="none" w:sz="0" w:space="0" w:color="auto"/>
        <w:left w:val="none" w:sz="0" w:space="0" w:color="auto"/>
        <w:bottom w:val="none" w:sz="0" w:space="0" w:color="auto"/>
        <w:right w:val="none" w:sz="0" w:space="0" w:color="auto"/>
      </w:divBdr>
      <w:divsChild>
        <w:div w:id="3508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9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7291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42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53070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18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49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481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46707">
      <w:bodyDiv w:val="1"/>
      <w:marLeft w:val="0"/>
      <w:marRight w:val="0"/>
      <w:marTop w:val="0"/>
      <w:marBottom w:val="0"/>
      <w:divBdr>
        <w:top w:val="none" w:sz="0" w:space="0" w:color="auto"/>
        <w:left w:val="none" w:sz="0" w:space="0" w:color="auto"/>
        <w:bottom w:val="none" w:sz="0" w:space="0" w:color="auto"/>
        <w:right w:val="none" w:sz="0" w:space="0" w:color="auto"/>
      </w:divBdr>
    </w:div>
    <w:div w:id="144006214">
      <w:bodyDiv w:val="1"/>
      <w:marLeft w:val="0"/>
      <w:marRight w:val="0"/>
      <w:marTop w:val="0"/>
      <w:marBottom w:val="0"/>
      <w:divBdr>
        <w:top w:val="none" w:sz="0" w:space="0" w:color="auto"/>
        <w:left w:val="none" w:sz="0" w:space="0" w:color="auto"/>
        <w:bottom w:val="none" w:sz="0" w:space="0" w:color="auto"/>
        <w:right w:val="none" w:sz="0" w:space="0" w:color="auto"/>
      </w:divBdr>
    </w:div>
    <w:div w:id="230044400">
      <w:bodyDiv w:val="1"/>
      <w:marLeft w:val="0"/>
      <w:marRight w:val="0"/>
      <w:marTop w:val="0"/>
      <w:marBottom w:val="0"/>
      <w:divBdr>
        <w:top w:val="none" w:sz="0" w:space="0" w:color="auto"/>
        <w:left w:val="none" w:sz="0" w:space="0" w:color="auto"/>
        <w:bottom w:val="none" w:sz="0" w:space="0" w:color="auto"/>
        <w:right w:val="none" w:sz="0" w:space="0" w:color="auto"/>
      </w:divBdr>
    </w:div>
    <w:div w:id="517623924">
      <w:bodyDiv w:val="1"/>
      <w:marLeft w:val="0"/>
      <w:marRight w:val="0"/>
      <w:marTop w:val="0"/>
      <w:marBottom w:val="0"/>
      <w:divBdr>
        <w:top w:val="none" w:sz="0" w:space="0" w:color="auto"/>
        <w:left w:val="none" w:sz="0" w:space="0" w:color="auto"/>
        <w:bottom w:val="none" w:sz="0" w:space="0" w:color="auto"/>
        <w:right w:val="none" w:sz="0" w:space="0" w:color="auto"/>
      </w:divBdr>
    </w:div>
    <w:div w:id="568156466">
      <w:bodyDiv w:val="1"/>
      <w:marLeft w:val="0"/>
      <w:marRight w:val="0"/>
      <w:marTop w:val="0"/>
      <w:marBottom w:val="0"/>
      <w:divBdr>
        <w:top w:val="none" w:sz="0" w:space="0" w:color="auto"/>
        <w:left w:val="none" w:sz="0" w:space="0" w:color="auto"/>
        <w:bottom w:val="none" w:sz="0" w:space="0" w:color="auto"/>
        <w:right w:val="none" w:sz="0" w:space="0" w:color="auto"/>
      </w:divBdr>
      <w:divsChild>
        <w:div w:id="208032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321010">
          <w:blockQuote w:val="1"/>
          <w:marLeft w:val="720"/>
          <w:marRight w:val="720"/>
          <w:marTop w:val="100"/>
          <w:marBottom w:val="100"/>
          <w:divBdr>
            <w:top w:val="none" w:sz="0" w:space="0" w:color="auto"/>
            <w:left w:val="none" w:sz="0" w:space="0" w:color="auto"/>
            <w:bottom w:val="none" w:sz="0" w:space="0" w:color="auto"/>
            <w:right w:val="none" w:sz="0" w:space="0" w:color="auto"/>
          </w:divBdr>
        </w:div>
        <w:div w:id="76665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080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5783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9833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53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88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884988">
      <w:bodyDiv w:val="1"/>
      <w:marLeft w:val="0"/>
      <w:marRight w:val="0"/>
      <w:marTop w:val="0"/>
      <w:marBottom w:val="0"/>
      <w:divBdr>
        <w:top w:val="none" w:sz="0" w:space="0" w:color="auto"/>
        <w:left w:val="none" w:sz="0" w:space="0" w:color="auto"/>
        <w:bottom w:val="none" w:sz="0" w:space="0" w:color="auto"/>
        <w:right w:val="none" w:sz="0" w:space="0" w:color="auto"/>
      </w:divBdr>
    </w:div>
    <w:div w:id="626280725">
      <w:bodyDiv w:val="1"/>
      <w:marLeft w:val="0"/>
      <w:marRight w:val="0"/>
      <w:marTop w:val="0"/>
      <w:marBottom w:val="0"/>
      <w:divBdr>
        <w:top w:val="none" w:sz="0" w:space="0" w:color="auto"/>
        <w:left w:val="none" w:sz="0" w:space="0" w:color="auto"/>
        <w:bottom w:val="none" w:sz="0" w:space="0" w:color="auto"/>
        <w:right w:val="none" w:sz="0" w:space="0" w:color="auto"/>
      </w:divBdr>
    </w:div>
    <w:div w:id="668677192">
      <w:bodyDiv w:val="1"/>
      <w:marLeft w:val="0"/>
      <w:marRight w:val="0"/>
      <w:marTop w:val="0"/>
      <w:marBottom w:val="0"/>
      <w:divBdr>
        <w:top w:val="none" w:sz="0" w:space="0" w:color="auto"/>
        <w:left w:val="none" w:sz="0" w:space="0" w:color="auto"/>
        <w:bottom w:val="none" w:sz="0" w:space="0" w:color="auto"/>
        <w:right w:val="none" w:sz="0" w:space="0" w:color="auto"/>
      </w:divBdr>
    </w:div>
    <w:div w:id="679547817">
      <w:bodyDiv w:val="1"/>
      <w:marLeft w:val="0"/>
      <w:marRight w:val="0"/>
      <w:marTop w:val="0"/>
      <w:marBottom w:val="0"/>
      <w:divBdr>
        <w:top w:val="none" w:sz="0" w:space="0" w:color="auto"/>
        <w:left w:val="none" w:sz="0" w:space="0" w:color="auto"/>
        <w:bottom w:val="none" w:sz="0" w:space="0" w:color="auto"/>
        <w:right w:val="none" w:sz="0" w:space="0" w:color="auto"/>
      </w:divBdr>
    </w:div>
    <w:div w:id="684288706">
      <w:bodyDiv w:val="1"/>
      <w:marLeft w:val="0"/>
      <w:marRight w:val="0"/>
      <w:marTop w:val="0"/>
      <w:marBottom w:val="0"/>
      <w:divBdr>
        <w:top w:val="none" w:sz="0" w:space="0" w:color="auto"/>
        <w:left w:val="none" w:sz="0" w:space="0" w:color="auto"/>
        <w:bottom w:val="none" w:sz="0" w:space="0" w:color="auto"/>
        <w:right w:val="none" w:sz="0" w:space="0" w:color="auto"/>
      </w:divBdr>
    </w:div>
    <w:div w:id="769736948">
      <w:bodyDiv w:val="1"/>
      <w:marLeft w:val="0"/>
      <w:marRight w:val="0"/>
      <w:marTop w:val="0"/>
      <w:marBottom w:val="0"/>
      <w:divBdr>
        <w:top w:val="none" w:sz="0" w:space="0" w:color="auto"/>
        <w:left w:val="none" w:sz="0" w:space="0" w:color="auto"/>
        <w:bottom w:val="none" w:sz="0" w:space="0" w:color="auto"/>
        <w:right w:val="none" w:sz="0" w:space="0" w:color="auto"/>
      </w:divBdr>
    </w:div>
    <w:div w:id="812450146">
      <w:bodyDiv w:val="1"/>
      <w:marLeft w:val="0"/>
      <w:marRight w:val="0"/>
      <w:marTop w:val="0"/>
      <w:marBottom w:val="0"/>
      <w:divBdr>
        <w:top w:val="none" w:sz="0" w:space="0" w:color="auto"/>
        <w:left w:val="none" w:sz="0" w:space="0" w:color="auto"/>
        <w:bottom w:val="none" w:sz="0" w:space="0" w:color="auto"/>
        <w:right w:val="none" w:sz="0" w:space="0" w:color="auto"/>
      </w:divBdr>
    </w:div>
    <w:div w:id="829447385">
      <w:bodyDiv w:val="1"/>
      <w:marLeft w:val="0"/>
      <w:marRight w:val="0"/>
      <w:marTop w:val="0"/>
      <w:marBottom w:val="0"/>
      <w:divBdr>
        <w:top w:val="none" w:sz="0" w:space="0" w:color="auto"/>
        <w:left w:val="none" w:sz="0" w:space="0" w:color="auto"/>
        <w:bottom w:val="none" w:sz="0" w:space="0" w:color="auto"/>
        <w:right w:val="none" w:sz="0" w:space="0" w:color="auto"/>
      </w:divBdr>
    </w:div>
    <w:div w:id="887644756">
      <w:bodyDiv w:val="1"/>
      <w:marLeft w:val="0"/>
      <w:marRight w:val="0"/>
      <w:marTop w:val="0"/>
      <w:marBottom w:val="0"/>
      <w:divBdr>
        <w:top w:val="none" w:sz="0" w:space="0" w:color="auto"/>
        <w:left w:val="none" w:sz="0" w:space="0" w:color="auto"/>
        <w:bottom w:val="none" w:sz="0" w:space="0" w:color="auto"/>
        <w:right w:val="none" w:sz="0" w:space="0" w:color="auto"/>
      </w:divBdr>
    </w:div>
    <w:div w:id="938293957">
      <w:bodyDiv w:val="1"/>
      <w:marLeft w:val="0"/>
      <w:marRight w:val="0"/>
      <w:marTop w:val="0"/>
      <w:marBottom w:val="0"/>
      <w:divBdr>
        <w:top w:val="none" w:sz="0" w:space="0" w:color="auto"/>
        <w:left w:val="none" w:sz="0" w:space="0" w:color="auto"/>
        <w:bottom w:val="none" w:sz="0" w:space="0" w:color="auto"/>
        <w:right w:val="none" w:sz="0" w:space="0" w:color="auto"/>
      </w:divBdr>
    </w:div>
    <w:div w:id="940260407">
      <w:bodyDiv w:val="1"/>
      <w:marLeft w:val="0"/>
      <w:marRight w:val="0"/>
      <w:marTop w:val="0"/>
      <w:marBottom w:val="0"/>
      <w:divBdr>
        <w:top w:val="none" w:sz="0" w:space="0" w:color="auto"/>
        <w:left w:val="none" w:sz="0" w:space="0" w:color="auto"/>
        <w:bottom w:val="none" w:sz="0" w:space="0" w:color="auto"/>
        <w:right w:val="none" w:sz="0" w:space="0" w:color="auto"/>
      </w:divBdr>
    </w:div>
    <w:div w:id="1025712872">
      <w:bodyDiv w:val="1"/>
      <w:marLeft w:val="0"/>
      <w:marRight w:val="0"/>
      <w:marTop w:val="0"/>
      <w:marBottom w:val="0"/>
      <w:divBdr>
        <w:top w:val="none" w:sz="0" w:space="0" w:color="auto"/>
        <w:left w:val="none" w:sz="0" w:space="0" w:color="auto"/>
        <w:bottom w:val="none" w:sz="0" w:space="0" w:color="auto"/>
        <w:right w:val="none" w:sz="0" w:space="0" w:color="auto"/>
      </w:divBdr>
    </w:div>
    <w:div w:id="1164978245">
      <w:bodyDiv w:val="1"/>
      <w:marLeft w:val="0"/>
      <w:marRight w:val="0"/>
      <w:marTop w:val="0"/>
      <w:marBottom w:val="0"/>
      <w:divBdr>
        <w:top w:val="none" w:sz="0" w:space="0" w:color="auto"/>
        <w:left w:val="none" w:sz="0" w:space="0" w:color="auto"/>
        <w:bottom w:val="none" w:sz="0" w:space="0" w:color="auto"/>
        <w:right w:val="none" w:sz="0" w:space="0" w:color="auto"/>
      </w:divBdr>
    </w:div>
    <w:div w:id="1174109674">
      <w:bodyDiv w:val="1"/>
      <w:marLeft w:val="0"/>
      <w:marRight w:val="0"/>
      <w:marTop w:val="0"/>
      <w:marBottom w:val="0"/>
      <w:divBdr>
        <w:top w:val="none" w:sz="0" w:space="0" w:color="auto"/>
        <w:left w:val="none" w:sz="0" w:space="0" w:color="auto"/>
        <w:bottom w:val="none" w:sz="0" w:space="0" w:color="auto"/>
        <w:right w:val="none" w:sz="0" w:space="0" w:color="auto"/>
      </w:divBdr>
    </w:div>
    <w:div w:id="1203789161">
      <w:bodyDiv w:val="1"/>
      <w:marLeft w:val="0"/>
      <w:marRight w:val="0"/>
      <w:marTop w:val="0"/>
      <w:marBottom w:val="0"/>
      <w:divBdr>
        <w:top w:val="none" w:sz="0" w:space="0" w:color="auto"/>
        <w:left w:val="none" w:sz="0" w:space="0" w:color="auto"/>
        <w:bottom w:val="none" w:sz="0" w:space="0" w:color="auto"/>
        <w:right w:val="none" w:sz="0" w:space="0" w:color="auto"/>
      </w:divBdr>
    </w:div>
    <w:div w:id="1214928581">
      <w:bodyDiv w:val="1"/>
      <w:marLeft w:val="0"/>
      <w:marRight w:val="0"/>
      <w:marTop w:val="0"/>
      <w:marBottom w:val="0"/>
      <w:divBdr>
        <w:top w:val="none" w:sz="0" w:space="0" w:color="auto"/>
        <w:left w:val="none" w:sz="0" w:space="0" w:color="auto"/>
        <w:bottom w:val="none" w:sz="0" w:space="0" w:color="auto"/>
        <w:right w:val="none" w:sz="0" w:space="0" w:color="auto"/>
      </w:divBdr>
    </w:div>
    <w:div w:id="1267955869">
      <w:bodyDiv w:val="1"/>
      <w:marLeft w:val="0"/>
      <w:marRight w:val="0"/>
      <w:marTop w:val="0"/>
      <w:marBottom w:val="0"/>
      <w:divBdr>
        <w:top w:val="none" w:sz="0" w:space="0" w:color="auto"/>
        <w:left w:val="none" w:sz="0" w:space="0" w:color="auto"/>
        <w:bottom w:val="none" w:sz="0" w:space="0" w:color="auto"/>
        <w:right w:val="none" w:sz="0" w:space="0" w:color="auto"/>
      </w:divBdr>
    </w:div>
    <w:div w:id="1363558680">
      <w:bodyDiv w:val="1"/>
      <w:marLeft w:val="0"/>
      <w:marRight w:val="0"/>
      <w:marTop w:val="0"/>
      <w:marBottom w:val="0"/>
      <w:divBdr>
        <w:top w:val="none" w:sz="0" w:space="0" w:color="auto"/>
        <w:left w:val="none" w:sz="0" w:space="0" w:color="auto"/>
        <w:bottom w:val="none" w:sz="0" w:space="0" w:color="auto"/>
        <w:right w:val="none" w:sz="0" w:space="0" w:color="auto"/>
      </w:divBdr>
    </w:div>
    <w:div w:id="1397704417">
      <w:bodyDiv w:val="1"/>
      <w:marLeft w:val="0"/>
      <w:marRight w:val="0"/>
      <w:marTop w:val="0"/>
      <w:marBottom w:val="0"/>
      <w:divBdr>
        <w:top w:val="none" w:sz="0" w:space="0" w:color="auto"/>
        <w:left w:val="none" w:sz="0" w:space="0" w:color="auto"/>
        <w:bottom w:val="none" w:sz="0" w:space="0" w:color="auto"/>
        <w:right w:val="none" w:sz="0" w:space="0" w:color="auto"/>
      </w:divBdr>
      <w:divsChild>
        <w:div w:id="139869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30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0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02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497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659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434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53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7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80888">
      <w:bodyDiv w:val="1"/>
      <w:marLeft w:val="0"/>
      <w:marRight w:val="0"/>
      <w:marTop w:val="0"/>
      <w:marBottom w:val="0"/>
      <w:divBdr>
        <w:top w:val="none" w:sz="0" w:space="0" w:color="auto"/>
        <w:left w:val="none" w:sz="0" w:space="0" w:color="auto"/>
        <w:bottom w:val="none" w:sz="0" w:space="0" w:color="auto"/>
        <w:right w:val="none" w:sz="0" w:space="0" w:color="auto"/>
      </w:divBdr>
    </w:div>
    <w:div w:id="1563101856">
      <w:bodyDiv w:val="1"/>
      <w:marLeft w:val="0"/>
      <w:marRight w:val="0"/>
      <w:marTop w:val="0"/>
      <w:marBottom w:val="0"/>
      <w:divBdr>
        <w:top w:val="none" w:sz="0" w:space="0" w:color="auto"/>
        <w:left w:val="none" w:sz="0" w:space="0" w:color="auto"/>
        <w:bottom w:val="none" w:sz="0" w:space="0" w:color="auto"/>
        <w:right w:val="none" w:sz="0" w:space="0" w:color="auto"/>
      </w:divBdr>
    </w:div>
    <w:div w:id="1568494552">
      <w:bodyDiv w:val="1"/>
      <w:marLeft w:val="0"/>
      <w:marRight w:val="0"/>
      <w:marTop w:val="0"/>
      <w:marBottom w:val="0"/>
      <w:divBdr>
        <w:top w:val="none" w:sz="0" w:space="0" w:color="auto"/>
        <w:left w:val="none" w:sz="0" w:space="0" w:color="auto"/>
        <w:bottom w:val="none" w:sz="0" w:space="0" w:color="auto"/>
        <w:right w:val="none" w:sz="0" w:space="0" w:color="auto"/>
      </w:divBdr>
    </w:div>
    <w:div w:id="1631670344">
      <w:bodyDiv w:val="1"/>
      <w:marLeft w:val="0"/>
      <w:marRight w:val="0"/>
      <w:marTop w:val="0"/>
      <w:marBottom w:val="0"/>
      <w:divBdr>
        <w:top w:val="none" w:sz="0" w:space="0" w:color="auto"/>
        <w:left w:val="none" w:sz="0" w:space="0" w:color="auto"/>
        <w:bottom w:val="none" w:sz="0" w:space="0" w:color="auto"/>
        <w:right w:val="none" w:sz="0" w:space="0" w:color="auto"/>
      </w:divBdr>
    </w:div>
    <w:div w:id="1655253679">
      <w:bodyDiv w:val="1"/>
      <w:marLeft w:val="0"/>
      <w:marRight w:val="0"/>
      <w:marTop w:val="0"/>
      <w:marBottom w:val="0"/>
      <w:divBdr>
        <w:top w:val="none" w:sz="0" w:space="0" w:color="auto"/>
        <w:left w:val="none" w:sz="0" w:space="0" w:color="auto"/>
        <w:bottom w:val="none" w:sz="0" w:space="0" w:color="auto"/>
        <w:right w:val="none" w:sz="0" w:space="0" w:color="auto"/>
      </w:divBdr>
    </w:div>
    <w:div w:id="1754207836">
      <w:bodyDiv w:val="1"/>
      <w:marLeft w:val="0"/>
      <w:marRight w:val="0"/>
      <w:marTop w:val="0"/>
      <w:marBottom w:val="0"/>
      <w:divBdr>
        <w:top w:val="none" w:sz="0" w:space="0" w:color="auto"/>
        <w:left w:val="none" w:sz="0" w:space="0" w:color="auto"/>
        <w:bottom w:val="none" w:sz="0" w:space="0" w:color="auto"/>
        <w:right w:val="none" w:sz="0" w:space="0" w:color="auto"/>
      </w:divBdr>
    </w:div>
    <w:div w:id="1760448743">
      <w:bodyDiv w:val="1"/>
      <w:marLeft w:val="0"/>
      <w:marRight w:val="0"/>
      <w:marTop w:val="0"/>
      <w:marBottom w:val="0"/>
      <w:divBdr>
        <w:top w:val="none" w:sz="0" w:space="0" w:color="auto"/>
        <w:left w:val="none" w:sz="0" w:space="0" w:color="auto"/>
        <w:bottom w:val="none" w:sz="0" w:space="0" w:color="auto"/>
        <w:right w:val="none" w:sz="0" w:space="0" w:color="auto"/>
      </w:divBdr>
    </w:div>
    <w:div w:id="1796561937">
      <w:bodyDiv w:val="1"/>
      <w:marLeft w:val="0"/>
      <w:marRight w:val="0"/>
      <w:marTop w:val="0"/>
      <w:marBottom w:val="0"/>
      <w:divBdr>
        <w:top w:val="none" w:sz="0" w:space="0" w:color="auto"/>
        <w:left w:val="none" w:sz="0" w:space="0" w:color="auto"/>
        <w:bottom w:val="none" w:sz="0" w:space="0" w:color="auto"/>
        <w:right w:val="none" w:sz="0" w:space="0" w:color="auto"/>
      </w:divBdr>
    </w:div>
    <w:div w:id="1814253339">
      <w:bodyDiv w:val="1"/>
      <w:marLeft w:val="0"/>
      <w:marRight w:val="0"/>
      <w:marTop w:val="0"/>
      <w:marBottom w:val="0"/>
      <w:divBdr>
        <w:top w:val="none" w:sz="0" w:space="0" w:color="auto"/>
        <w:left w:val="none" w:sz="0" w:space="0" w:color="auto"/>
        <w:bottom w:val="none" w:sz="0" w:space="0" w:color="auto"/>
        <w:right w:val="none" w:sz="0" w:space="0" w:color="auto"/>
      </w:divBdr>
    </w:div>
    <w:div w:id="1918199928">
      <w:bodyDiv w:val="1"/>
      <w:marLeft w:val="0"/>
      <w:marRight w:val="0"/>
      <w:marTop w:val="0"/>
      <w:marBottom w:val="0"/>
      <w:divBdr>
        <w:top w:val="none" w:sz="0" w:space="0" w:color="auto"/>
        <w:left w:val="none" w:sz="0" w:space="0" w:color="auto"/>
        <w:bottom w:val="none" w:sz="0" w:space="0" w:color="auto"/>
        <w:right w:val="none" w:sz="0" w:space="0" w:color="auto"/>
      </w:divBdr>
      <w:divsChild>
        <w:div w:id="77109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8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86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12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4194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2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6136">
      <w:bodyDiv w:val="1"/>
      <w:marLeft w:val="0"/>
      <w:marRight w:val="0"/>
      <w:marTop w:val="0"/>
      <w:marBottom w:val="0"/>
      <w:divBdr>
        <w:top w:val="none" w:sz="0" w:space="0" w:color="auto"/>
        <w:left w:val="none" w:sz="0" w:space="0" w:color="auto"/>
        <w:bottom w:val="none" w:sz="0" w:space="0" w:color="auto"/>
        <w:right w:val="none" w:sz="0" w:space="0" w:color="auto"/>
      </w:divBdr>
    </w:div>
    <w:div w:id="1941377999">
      <w:bodyDiv w:val="1"/>
      <w:marLeft w:val="0"/>
      <w:marRight w:val="0"/>
      <w:marTop w:val="0"/>
      <w:marBottom w:val="0"/>
      <w:divBdr>
        <w:top w:val="none" w:sz="0" w:space="0" w:color="auto"/>
        <w:left w:val="none" w:sz="0" w:space="0" w:color="auto"/>
        <w:bottom w:val="none" w:sz="0" w:space="0" w:color="auto"/>
        <w:right w:val="none" w:sz="0" w:space="0" w:color="auto"/>
      </w:divBdr>
    </w:div>
    <w:div w:id="1955863884">
      <w:bodyDiv w:val="1"/>
      <w:marLeft w:val="0"/>
      <w:marRight w:val="0"/>
      <w:marTop w:val="0"/>
      <w:marBottom w:val="0"/>
      <w:divBdr>
        <w:top w:val="none" w:sz="0" w:space="0" w:color="auto"/>
        <w:left w:val="none" w:sz="0" w:space="0" w:color="auto"/>
        <w:bottom w:val="none" w:sz="0" w:space="0" w:color="auto"/>
        <w:right w:val="none" w:sz="0" w:space="0" w:color="auto"/>
      </w:divBdr>
    </w:div>
    <w:div w:id="2013101962">
      <w:bodyDiv w:val="1"/>
      <w:marLeft w:val="0"/>
      <w:marRight w:val="0"/>
      <w:marTop w:val="0"/>
      <w:marBottom w:val="0"/>
      <w:divBdr>
        <w:top w:val="none" w:sz="0" w:space="0" w:color="auto"/>
        <w:left w:val="none" w:sz="0" w:space="0" w:color="auto"/>
        <w:bottom w:val="none" w:sz="0" w:space="0" w:color="auto"/>
        <w:right w:val="none" w:sz="0" w:space="0" w:color="auto"/>
      </w:divBdr>
    </w:div>
    <w:div w:id="2015035643">
      <w:bodyDiv w:val="1"/>
      <w:marLeft w:val="0"/>
      <w:marRight w:val="0"/>
      <w:marTop w:val="0"/>
      <w:marBottom w:val="0"/>
      <w:divBdr>
        <w:top w:val="none" w:sz="0" w:space="0" w:color="auto"/>
        <w:left w:val="none" w:sz="0" w:space="0" w:color="auto"/>
        <w:bottom w:val="none" w:sz="0" w:space="0" w:color="auto"/>
        <w:right w:val="none" w:sz="0" w:space="0" w:color="auto"/>
      </w:divBdr>
    </w:div>
    <w:div w:id="2086679831">
      <w:bodyDiv w:val="1"/>
      <w:marLeft w:val="0"/>
      <w:marRight w:val="0"/>
      <w:marTop w:val="0"/>
      <w:marBottom w:val="0"/>
      <w:divBdr>
        <w:top w:val="none" w:sz="0" w:space="0" w:color="auto"/>
        <w:left w:val="none" w:sz="0" w:space="0" w:color="auto"/>
        <w:bottom w:val="none" w:sz="0" w:space="0" w:color="auto"/>
        <w:right w:val="none" w:sz="0" w:space="0" w:color="auto"/>
      </w:divBdr>
    </w:div>
    <w:div w:id="2095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5D3D-8617-48F5-ABB6-B51E29F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12</Pages>
  <Words>18277</Words>
  <Characters>104180</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Editor-28</cp:lastModifiedBy>
  <cp:revision>19</cp:revision>
  <dcterms:created xsi:type="dcterms:W3CDTF">2025-04-13T21:10:00Z</dcterms:created>
  <dcterms:modified xsi:type="dcterms:W3CDTF">2025-05-05T07:14:00Z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bc565438-278e-429f-bd2e-08fbde98a77d</vt:lpwstr>
  </property>
  <property fmtid="{D5CDD505-2E9C-101B-9397-08002B2CF9AE}" pid="3" name="ZOTERO_PREF_1">
    <vt:lpwstr>&lt;data data-version="3" zotero-version="7.0.15"&gt;&lt;session id="Ai8qpRm8"/&gt;&lt;style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12th edition - Harvard</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(deprecated)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9th edition</vt:lpwstr>
  </property>
  <property fmtid="{D5CDD505-2E9C-101B-9397-08002B2CF9AE}" pid="17" name="Mendeley Recent Style Id 6_1">
    <vt:lpwstr>http://www.zotero.org/styles/sage-vancouver-brackets</vt:lpwstr>
  </property>
  <property fmtid="{D5CDD505-2E9C-101B-9397-08002B2CF9AE}" pid="18" name="Mendeley Recent Style Name 6_1">
    <vt:lpwstr>SAGE - Vancouver (brackets)</vt:lpwstr>
  </property>
  <property fmtid="{D5CDD505-2E9C-101B-9397-08002B2CF9AE}" pid="19" name="Mendeley Recent Style Id 7_1">
    <vt:lpwstr>http://www.zotero.org/styles/springer-vancouver</vt:lpwstr>
  </property>
  <property fmtid="{D5CDD505-2E9C-101B-9397-08002B2CF9AE}" pid="20" name="Mendeley Recent Style Name 7_1">
    <vt:lpwstr>Springer - Vancouver</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