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F3FDA" w14:textId="77777777" w:rsidR="00754C9A" w:rsidRDefault="00754C9A" w:rsidP="00441B6F">
      <w:pPr>
        <w:pStyle w:val="Title"/>
        <w:spacing w:after="0"/>
        <w:jc w:val="both"/>
        <w:rPr>
          <w:rFonts w:ascii="Arial" w:hAnsi="Arial" w:cs="Arial"/>
        </w:rPr>
      </w:pPr>
    </w:p>
    <w:p w14:paraId="57C3DD2E" w14:textId="77777777" w:rsidR="00DC4297" w:rsidRDefault="00DC4297" w:rsidP="00C645FE">
      <w:pPr>
        <w:pStyle w:val="Author"/>
        <w:spacing w:line="240" w:lineRule="auto"/>
        <w:rPr>
          <w:rFonts w:ascii="Arial" w:hAnsi="Arial" w:cs="Arial"/>
          <w:bCs/>
          <w:iCs/>
          <w:kern w:val="28"/>
          <w:sz w:val="36"/>
        </w:rPr>
      </w:pPr>
      <w:r w:rsidRPr="00DC4297">
        <w:rPr>
          <w:rFonts w:ascii="Arial" w:hAnsi="Arial" w:cs="Arial"/>
          <w:bCs/>
          <w:iCs/>
          <w:kern w:val="28"/>
          <w:sz w:val="36"/>
        </w:rPr>
        <w:t>Comparative Evaluation of Statistical Methods for Detecting Rater Bias in Ordinal Categorical Data</w:t>
      </w:r>
    </w:p>
    <w:p w14:paraId="6A43B280" w14:textId="77777777" w:rsidR="00F507CE" w:rsidRDefault="00F507CE" w:rsidP="00C645FE">
      <w:pPr>
        <w:pStyle w:val="Author"/>
        <w:spacing w:line="240" w:lineRule="auto"/>
        <w:rPr>
          <w:rFonts w:ascii="Arial" w:hAnsi="Arial" w:cs="Arial"/>
          <w:bCs/>
          <w:iCs/>
          <w:kern w:val="28"/>
          <w:sz w:val="36"/>
        </w:rPr>
      </w:pPr>
    </w:p>
    <w:p w14:paraId="7FC4F3EC" w14:textId="77777777" w:rsidR="00C645FE" w:rsidRPr="00FB3A86" w:rsidRDefault="00C645FE" w:rsidP="00441B6F">
      <w:pPr>
        <w:pStyle w:val="Affiliation"/>
        <w:spacing w:after="0" w:line="240" w:lineRule="auto"/>
        <w:jc w:val="both"/>
        <w:rPr>
          <w:rFonts w:ascii="Arial" w:hAnsi="Arial" w:cs="Arial"/>
        </w:rPr>
      </w:pPr>
    </w:p>
    <w:p w14:paraId="462FABA1" w14:textId="77777777" w:rsidR="00B01FCD" w:rsidRPr="00FB3A86" w:rsidRDefault="00000000" w:rsidP="00441B6F">
      <w:pPr>
        <w:pStyle w:val="Copyright"/>
        <w:spacing w:after="0" w:line="240" w:lineRule="auto"/>
        <w:jc w:val="both"/>
        <w:rPr>
          <w:rFonts w:ascii="Arial" w:hAnsi="Arial" w:cs="Arial"/>
        </w:rPr>
        <w:sectPr w:rsidR="00B01FCD" w:rsidRPr="00FB3A86" w:rsidSect="00D9565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B9191A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DD80C97" w14:textId="16C1C3E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467D32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A9A8F2B" w14:textId="77777777" w:rsidTr="001E44FE">
        <w:tc>
          <w:tcPr>
            <w:tcW w:w="9576" w:type="dxa"/>
            <w:shd w:val="clear" w:color="auto" w:fill="F2F2F2"/>
          </w:tcPr>
          <w:p w14:paraId="175E2732" w14:textId="77777777" w:rsidR="00E3114E" w:rsidRDefault="00E3114E" w:rsidP="00441B6F">
            <w:pPr>
              <w:pStyle w:val="Body"/>
              <w:spacing w:after="0"/>
              <w:rPr>
                <w:rFonts w:ascii="Arial" w:eastAsia="Calibri" w:hAnsi="Arial" w:cs="Arial"/>
                <w:b/>
                <w:szCs w:val="22"/>
              </w:rPr>
            </w:pPr>
          </w:p>
          <w:p w14:paraId="3026B3D5" w14:textId="459F6920" w:rsidR="00DF1ABA" w:rsidRPr="00DF1ABA" w:rsidRDefault="00DF1ABA" w:rsidP="00DF1ABA">
            <w:pPr>
              <w:pStyle w:val="Body"/>
              <w:rPr>
                <w:rFonts w:ascii="Arial" w:eastAsia="Calibri" w:hAnsi="Arial" w:cs="Arial"/>
                <w:b/>
                <w:sz w:val="22"/>
                <w:szCs w:val="22"/>
                <w:lang w:val="en-PH"/>
              </w:rPr>
            </w:pPr>
            <w:r w:rsidRPr="00DF1ABA">
              <w:rPr>
                <w:rFonts w:ascii="Arial" w:eastAsia="Calibri" w:hAnsi="Arial" w:cs="Arial"/>
                <w:b/>
                <w:bCs/>
                <w:sz w:val="22"/>
                <w:szCs w:val="22"/>
                <w:lang w:val="en-PH"/>
              </w:rPr>
              <w:t>Aims:</w:t>
            </w:r>
            <w:r w:rsidRPr="00DF1ABA">
              <w:rPr>
                <w:rFonts w:ascii="Arial" w:eastAsia="Calibri" w:hAnsi="Arial" w:cs="Arial"/>
                <w:b/>
                <w:sz w:val="22"/>
                <w:szCs w:val="22"/>
                <w:lang w:val="en-PH"/>
              </w:rPr>
              <w:br/>
            </w:r>
            <w:r w:rsidRPr="00DF1ABA">
              <w:rPr>
                <w:rFonts w:ascii="Arial" w:eastAsia="Calibri" w:hAnsi="Arial" w:cs="Arial"/>
                <w:bCs/>
                <w:sz w:val="22"/>
                <w:szCs w:val="22"/>
                <w:lang w:val="en-PH"/>
              </w:rPr>
              <w:t>This study seeks to examine four statistical methods</w:t>
            </w:r>
            <w:r>
              <w:rPr>
                <w:rFonts w:ascii="Arial" w:eastAsia="Calibri" w:hAnsi="Arial" w:cs="Arial"/>
                <w:bCs/>
                <w:sz w:val="22"/>
                <w:szCs w:val="22"/>
                <w:lang w:val="en-PH"/>
              </w:rPr>
              <w:t xml:space="preserve"> </w:t>
            </w:r>
            <w:r w:rsidRPr="00DF1ABA">
              <w:rPr>
                <w:rFonts w:ascii="Arial" w:eastAsia="Calibri" w:hAnsi="Arial" w:cs="Arial"/>
                <w:bCs/>
                <w:sz w:val="22"/>
                <w:szCs w:val="22"/>
                <w:lang w:val="en-PH"/>
              </w:rPr>
              <w:t>Modified McNemar Test, Single Binomial Test, Marginal Homogeneity Test, and Bias Index</w:t>
            </w:r>
            <w:r>
              <w:rPr>
                <w:rFonts w:ascii="Arial" w:eastAsia="Calibri" w:hAnsi="Arial" w:cs="Arial"/>
                <w:bCs/>
                <w:sz w:val="22"/>
                <w:szCs w:val="22"/>
                <w:lang w:val="en-PH"/>
              </w:rPr>
              <w:t xml:space="preserve"> </w:t>
            </w:r>
            <w:r w:rsidRPr="00DF1ABA">
              <w:rPr>
                <w:rFonts w:ascii="Arial" w:eastAsia="Calibri" w:hAnsi="Arial" w:cs="Arial"/>
                <w:bCs/>
                <w:sz w:val="22"/>
                <w:szCs w:val="22"/>
                <w:lang w:val="en-PH"/>
              </w:rPr>
              <w:t>for identifying bias between two raters utilizing ordinal categorical data.</w:t>
            </w:r>
          </w:p>
          <w:p w14:paraId="3B48F565" w14:textId="77777777" w:rsidR="00DF1ABA" w:rsidRDefault="00DF1ABA" w:rsidP="00DF1ABA">
            <w:pPr>
              <w:pStyle w:val="Body"/>
              <w:rPr>
                <w:rFonts w:ascii="Arial" w:eastAsia="Calibri" w:hAnsi="Arial" w:cs="Arial"/>
                <w:b/>
                <w:bCs/>
                <w:sz w:val="22"/>
                <w:szCs w:val="22"/>
                <w:lang w:val="en-PH"/>
              </w:rPr>
            </w:pPr>
            <w:r w:rsidRPr="00DF1ABA">
              <w:rPr>
                <w:rFonts w:ascii="Arial" w:eastAsia="Calibri" w:hAnsi="Arial" w:cs="Arial"/>
                <w:b/>
                <w:bCs/>
                <w:sz w:val="22"/>
                <w:szCs w:val="22"/>
                <w:lang w:val="en-PH"/>
              </w:rPr>
              <w:t>Study design:</w:t>
            </w:r>
          </w:p>
          <w:p w14:paraId="57CDBE81" w14:textId="78FB0864" w:rsidR="00DF1ABA" w:rsidRPr="00DF1ABA" w:rsidRDefault="00DF1ABA" w:rsidP="00DF1ABA">
            <w:pPr>
              <w:pStyle w:val="Body"/>
              <w:rPr>
                <w:rFonts w:ascii="Arial" w:eastAsia="Calibri" w:hAnsi="Arial" w:cs="Arial"/>
                <w:b/>
                <w:sz w:val="22"/>
                <w:szCs w:val="22"/>
                <w:lang w:val="en-PH"/>
              </w:rPr>
            </w:pPr>
            <w:r w:rsidRPr="00AB64EB">
              <w:rPr>
                <w:rFonts w:ascii="Arial" w:eastAsia="Calibri" w:hAnsi="Arial" w:cs="Arial"/>
                <w:bCs/>
                <w:sz w:val="22"/>
                <w:szCs w:val="22"/>
                <w:highlight w:val="yellow"/>
                <w:lang w:val="en-PH"/>
              </w:rPr>
              <w:t>This study employs a simulation-based comparative approach, using hypothetical 3×3 contingency tables to illustrate low, moderate, and high levels of agreement.</w:t>
            </w:r>
          </w:p>
          <w:p w14:paraId="598BC96B" w14:textId="77777777" w:rsidR="00DF1ABA" w:rsidRDefault="00DF1ABA" w:rsidP="00DF1ABA">
            <w:pPr>
              <w:pStyle w:val="Body"/>
              <w:rPr>
                <w:rFonts w:ascii="Arial" w:eastAsia="Calibri" w:hAnsi="Arial" w:cs="Arial"/>
                <w:b/>
                <w:bCs/>
                <w:sz w:val="22"/>
                <w:szCs w:val="22"/>
                <w:lang w:val="en-PH"/>
              </w:rPr>
            </w:pPr>
            <w:r w:rsidRPr="00DF1ABA">
              <w:rPr>
                <w:rFonts w:ascii="Arial" w:eastAsia="Calibri" w:hAnsi="Arial" w:cs="Arial"/>
                <w:b/>
                <w:bCs/>
                <w:sz w:val="22"/>
                <w:szCs w:val="22"/>
                <w:lang w:val="en-PH"/>
              </w:rPr>
              <w:t>Place and Duration of Study:</w:t>
            </w:r>
          </w:p>
          <w:p w14:paraId="0B1249B0" w14:textId="20BEFA0F" w:rsidR="00DF1ABA" w:rsidRPr="00DF1ABA" w:rsidRDefault="00DF1ABA" w:rsidP="00DF1ABA">
            <w:pPr>
              <w:pStyle w:val="Body"/>
              <w:rPr>
                <w:rFonts w:ascii="Arial" w:eastAsia="Calibri" w:hAnsi="Arial" w:cs="Arial"/>
                <w:b/>
                <w:bCs/>
                <w:sz w:val="22"/>
                <w:szCs w:val="22"/>
                <w:lang w:val="en-PH"/>
              </w:rPr>
            </w:pPr>
            <w:r w:rsidRPr="00DF1ABA">
              <w:rPr>
                <w:rFonts w:ascii="Arial" w:eastAsia="Calibri" w:hAnsi="Arial" w:cs="Arial"/>
                <w:bCs/>
                <w:sz w:val="22"/>
                <w:szCs w:val="22"/>
                <w:lang w:val="en-PH"/>
              </w:rPr>
              <w:t>Executed by a teaching member of a private university in the Philippines, from January 2024 to April 2025.</w:t>
            </w:r>
          </w:p>
          <w:p w14:paraId="57A18ADA" w14:textId="77777777" w:rsidR="00DF1ABA" w:rsidRPr="00DF1ABA" w:rsidRDefault="00DF1ABA" w:rsidP="00DF1ABA">
            <w:pPr>
              <w:pStyle w:val="Body"/>
              <w:rPr>
                <w:rFonts w:ascii="Arial" w:eastAsia="Calibri" w:hAnsi="Arial" w:cs="Arial"/>
                <w:b/>
                <w:sz w:val="22"/>
                <w:szCs w:val="22"/>
                <w:lang w:val="en-PH"/>
              </w:rPr>
            </w:pPr>
            <w:r w:rsidRPr="00DF1ABA">
              <w:rPr>
                <w:rFonts w:ascii="Arial" w:eastAsia="Calibri" w:hAnsi="Arial" w:cs="Arial"/>
                <w:b/>
                <w:bCs/>
                <w:sz w:val="22"/>
                <w:szCs w:val="22"/>
                <w:lang w:val="en-PH"/>
              </w:rPr>
              <w:t>Methodology:</w:t>
            </w:r>
            <w:r w:rsidRPr="00DF1ABA">
              <w:rPr>
                <w:rFonts w:ascii="Arial" w:eastAsia="Calibri" w:hAnsi="Arial" w:cs="Arial"/>
                <w:b/>
                <w:sz w:val="22"/>
                <w:szCs w:val="22"/>
                <w:lang w:val="en-PH"/>
              </w:rPr>
              <w:br/>
            </w:r>
            <w:r w:rsidRPr="00DF1ABA">
              <w:rPr>
                <w:rFonts w:ascii="Arial" w:eastAsia="Calibri" w:hAnsi="Arial" w:cs="Arial"/>
                <w:bCs/>
                <w:sz w:val="22"/>
                <w:szCs w:val="22"/>
                <w:lang w:val="en-PH"/>
              </w:rPr>
              <w:t>Three simulated contingency tables representing varying agreement levels were analyzed using the four statistical methods. Test statistics and p-values were computed for each, and the Bias Index was calculated to assess directional bias. The outcomes were evaluated comparatively.</w:t>
            </w:r>
          </w:p>
          <w:p w14:paraId="6B58A396" w14:textId="77777777" w:rsidR="00DF1ABA" w:rsidRPr="00DF1ABA" w:rsidRDefault="00DF1ABA" w:rsidP="00DF1ABA">
            <w:pPr>
              <w:pStyle w:val="Body"/>
              <w:rPr>
                <w:rFonts w:ascii="Arial" w:eastAsia="Calibri" w:hAnsi="Arial" w:cs="Arial"/>
                <w:b/>
                <w:sz w:val="22"/>
                <w:szCs w:val="22"/>
                <w:lang w:val="en-PH"/>
              </w:rPr>
            </w:pPr>
            <w:r w:rsidRPr="00DF1ABA">
              <w:rPr>
                <w:rFonts w:ascii="Arial" w:eastAsia="Calibri" w:hAnsi="Arial" w:cs="Arial"/>
                <w:b/>
                <w:bCs/>
                <w:sz w:val="22"/>
                <w:szCs w:val="22"/>
                <w:lang w:val="en-PH"/>
              </w:rPr>
              <w:t>Results:</w:t>
            </w:r>
            <w:r w:rsidRPr="00DF1ABA">
              <w:rPr>
                <w:rFonts w:ascii="Arial" w:eastAsia="Calibri" w:hAnsi="Arial" w:cs="Arial"/>
                <w:b/>
                <w:sz w:val="22"/>
                <w:szCs w:val="22"/>
                <w:lang w:val="en-PH"/>
              </w:rPr>
              <w:br/>
            </w:r>
            <w:r w:rsidRPr="00DF1ABA">
              <w:rPr>
                <w:rFonts w:ascii="Arial" w:eastAsia="Calibri" w:hAnsi="Arial" w:cs="Arial"/>
                <w:bCs/>
                <w:sz w:val="22"/>
                <w:szCs w:val="22"/>
                <w:lang w:val="en-PH"/>
              </w:rPr>
              <w:t>Under low agreement conditions, all methods detected substantial bias, as reflected in high test statistics and low p-values. For moderate agreement, only the Marginal Homogeneity Test and Bias Index showed strong sensitivity. In the high agreement scenario, all approaches yielded non-significant results, and the Bias Index confirmed the absence of directional bias. Across all simulations, the Bias Index consistently produced interpretable and stable results.</w:t>
            </w:r>
          </w:p>
          <w:p w14:paraId="42889BE4" w14:textId="77777777" w:rsidR="00DF1ABA" w:rsidRPr="00DF1ABA" w:rsidRDefault="00DF1ABA" w:rsidP="00DF1ABA">
            <w:pPr>
              <w:pStyle w:val="Body"/>
              <w:rPr>
                <w:rFonts w:ascii="Arial" w:eastAsia="Calibri" w:hAnsi="Arial" w:cs="Arial"/>
                <w:b/>
                <w:sz w:val="22"/>
                <w:szCs w:val="22"/>
                <w:lang w:val="en-PH"/>
              </w:rPr>
            </w:pPr>
            <w:r w:rsidRPr="00DF1ABA">
              <w:rPr>
                <w:rFonts w:ascii="Arial" w:eastAsia="Calibri" w:hAnsi="Arial" w:cs="Arial"/>
                <w:b/>
                <w:bCs/>
                <w:sz w:val="22"/>
                <w:szCs w:val="22"/>
                <w:lang w:val="en-PH"/>
              </w:rPr>
              <w:t>Conclusion:</w:t>
            </w:r>
            <w:r w:rsidRPr="00DF1ABA">
              <w:rPr>
                <w:rFonts w:ascii="Arial" w:eastAsia="Calibri" w:hAnsi="Arial" w:cs="Arial"/>
                <w:b/>
                <w:sz w:val="22"/>
                <w:szCs w:val="22"/>
                <w:lang w:val="en-PH"/>
              </w:rPr>
              <w:br/>
            </w:r>
            <w:r w:rsidRPr="00DF1ABA">
              <w:rPr>
                <w:rFonts w:ascii="Arial" w:eastAsia="Calibri" w:hAnsi="Arial" w:cs="Arial"/>
                <w:bCs/>
                <w:sz w:val="22"/>
                <w:szCs w:val="22"/>
                <w:lang w:val="en-PH"/>
              </w:rPr>
              <w:t>While each method offers useful insights, the Bias Index emerged as the most robust and interpretable tool for assessing rater bias in ordinal data. A combined use of complementary statistical tests is recommended to determine both the direction and magnitude of bias in rater agreement studies.</w:t>
            </w:r>
          </w:p>
          <w:p w14:paraId="597D8612" w14:textId="221CA76F" w:rsidR="00F507CE" w:rsidRPr="00BA1B01" w:rsidRDefault="00F507CE" w:rsidP="00F507CE">
            <w:pPr>
              <w:pStyle w:val="Body"/>
              <w:spacing w:after="0"/>
              <w:rPr>
                <w:rFonts w:ascii="Arial" w:eastAsia="Calibri" w:hAnsi="Arial" w:cs="Arial"/>
                <w:szCs w:val="22"/>
              </w:rPr>
            </w:pPr>
          </w:p>
          <w:p w14:paraId="3F8D4B9D" w14:textId="335570FE" w:rsidR="00505F06" w:rsidRPr="00BA1B01" w:rsidRDefault="00505F06" w:rsidP="00441B6F">
            <w:pPr>
              <w:pStyle w:val="Body"/>
              <w:spacing w:after="0"/>
              <w:rPr>
                <w:rFonts w:ascii="Arial" w:eastAsia="Calibri" w:hAnsi="Arial" w:cs="Arial"/>
                <w:szCs w:val="22"/>
              </w:rPr>
            </w:pPr>
          </w:p>
        </w:tc>
      </w:tr>
    </w:tbl>
    <w:p w14:paraId="067322E4" w14:textId="77777777" w:rsidR="00636EB2" w:rsidRDefault="00636EB2" w:rsidP="00441B6F">
      <w:pPr>
        <w:pStyle w:val="Body"/>
        <w:spacing w:after="0"/>
        <w:rPr>
          <w:rFonts w:ascii="Arial" w:hAnsi="Arial" w:cs="Arial"/>
          <w:i/>
        </w:rPr>
      </w:pPr>
    </w:p>
    <w:p w14:paraId="0A0E3622" w14:textId="372F9CC1" w:rsidR="00A24E7E" w:rsidRDefault="00A24E7E" w:rsidP="00441B6F">
      <w:pPr>
        <w:pStyle w:val="Body"/>
        <w:spacing w:after="0"/>
        <w:rPr>
          <w:rFonts w:ascii="Arial" w:hAnsi="Arial" w:cs="Arial"/>
          <w:i/>
        </w:rPr>
      </w:pPr>
      <w:r>
        <w:rPr>
          <w:rFonts w:ascii="Arial" w:hAnsi="Arial" w:cs="Arial"/>
          <w:i/>
        </w:rPr>
        <w:t xml:space="preserve">Keywords: </w:t>
      </w:r>
    </w:p>
    <w:p w14:paraId="5E3F7DC2" w14:textId="77777777" w:rsidR="00790ADA" w:rsidRDefault="00790ADA" w:rsidP="00441B6F">
      <w:pPr>
        <w:pStyle w:val="Body"/>
        <w:spacing w:after="0"/>
        <w:rPr>
          <w:rFonts w:ascii="Arial" w:hAnsi="Arial" w:cs="Arial"/>
          <w:i/>
        </w:rPr>
      </w:pPr>
    </w:p>
    <w:p w14:paraId="7D4DC8ED" w14:textId="77777777" w:rsidR="0024282C" w:rsidRDefault="0024282C" w:rsidP="00441B6F">
      <w:pPr>
        <w:pStyle w:val="Body"/>
        <w:spacing w:after="0"/>
        <w:rPr>
          <w:rFonts w:ascii="Arial" w:hAnsi="Arial" w:cs="Arial"/>
          <w:i/>
          <w:sz w:val="18"/>
        </w:rPr>
      </w:pPr>
    </w:p>
    <w:p w14:paraId="2C222363" w14:textId="77777777" w:rsidR="00505F06" w:rsidRPr="00A24E7E" w:rsidRDefault="00505F06" w:rsidP="00441B6F">
      <w:pPr>
        <w:pStyle w:val="Body"/>
        <w:spacing w:after="0"/>
        <w:rPr>
          <w:rFonts w:ascii="Arial" w:hAnsi="Arial" w:cs="Arial"/>
          <w:i/>
        </w:rPr>
      </w:pPr>
    </w:p>
    <w:p w14:paraId="34B44709" w14:textId="3F94B74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6C66166" w14:textId="77777777" w:rsidR="00D73AB4" w:rsidRDefault="00D73AB4" w:rsidP="00441B6F">
      <w:pPr>
        <w:pStyle w:val="AbstHead"/>
        <w:spacing w:after="0"/>
        <w:jc w:val="both"/>
        <w:rPr>
          <w:rFonts w:ascii="Arial" w:hAnsi="Arial" w:cs="Arial"/>
        </w:rPr>
      </w:pPr>
    </w:p>
    <w:p w14:paraId="2648A9D8" w14:textId="77777777" w:rsidR="00D73AB4" w:rsidRDefault="00F507CE" w:rsidP="00F507CE">
      <w:pPr>
        <w:jc w:val="both"/>
        <w:rPr>
          <w:rFonts w:ascii="Arial" w:hAnsi="Arial" w:cs="Arial"/>
          <w:sz w:val="22"/>
          <w:szCs w:val="22"/>
          <w:lang w:val="en-PH" w:eastAsia="en-PH"/>
        </w:rPr>
      </w:pPr>
      <w:r w:rsidRPr="00F507CE">
        <w:rPr>
          <w:rFonts w:ascii="Arial" w:hAnsi="Arial" w:cs="Arial"/>
          <w:sz w:val="22"/>
          <w:szCs w:val="22"/>
          <w:lang w:val="en-PH" w:eastAsia="en-PH"/>
        </w:rPr>
        <w:t>Bias in human judgment continues to be a significant issue in domains that necessitate assessment through category data. In clinical diagnosis, educational evaluation, or quality control, decisions regarding ordered categories</w:t>
      </w:r>
      <w:r w:rsidRPr="00D73AB4">
        <w:rPr>
          <w:rFonts w:ascii="Arial" w:hAnsi="Arial" w:cs="Arial"/>
          <w:sz w:val="22"/>
          <w:szCs w:val="22"/>
          <w:lang w:val="en-PH" w:eastAsia="en-PH"/>
        </w:rPr>
        <w:t xml:space="preserve"> </w:t>
      </w:r>
      <w:r w:rsidRPr="00F507CE">
        <w:rPr>
          <w:rFonts w:ascii="Arial" w:hAnsi="Arial" w:cs="Arial"/>
          <w:sz w:val="22"/>
          <w:szCs w:val="22"/>
          <w:lang w:val="en-PH" w:eastAsia="en-PH"/>
        </w:rPr>
        <w:t>such as "poor," "fair," "good," and "excellent"</w:t>
      </w:r>
      <w:r w:rsidRPr="00D73AB4">
        <w:rPr>
          <w:rFonts w:ascii="Arial" w:hAnsi="Arial" w:cs="Arial"/>
          <w:sz w:val="22"/>
          <w:szCs w:val="22"/>
          <w:lang w:val="en-PH" w:eastAsia="en-PH"/>
        </w:rPr>
        <w:t xml:space="preserve"> </w:t>
      </w:r>
      <w:r w:rsidRPr="00F507CE">
        <w:rPr>
          <w:rFonts w:ascii="Arial" w:hAnsi="Arial" w:cs="Arial"/>
          <w:sz w:val="22"/>
          <w:szCs w:val="22"/>
          <w:lang w:val="en-PH" w:eastAsia="en-PH"/>
        </w:rPr>
        <w:t>can be significantly affected by a rater's subjectivity, weariness, or bias. This presents the potential for systematic bias, especially when two observers routinely differ in their evaluations. This type of rater bias, in contrast to temporary random error, can distort conclusions, influence outcomes, and undermine the integrity of the gathered data (Zhou et al., 2022; Makarov et al., 2023).</w:t>
      </w:r>
      <w:r w:rsidRPr="00F507CE">
        <w:rPr>
          <w:rFonts w:ascii="Arial" w:hAnsi="Arial" w:cs="Arial"/>
          <w:sz w:val="22"/>
          <w:szCs w:val="22"/>
          <w:lang w:val="en-PH" w:eastAsia="en-PH"/>
        </w:rPr>
        <w:br/>
      </w:r>
      <w:r w:rsidRPr="00F507CE">
        <w:rPr>
          <w:rFonts w:ascii="Arial" w:hAnsi="Arial" w:cs="Arial"/>
          <w:sz w:val="22"/>
          <w:szCs w:val="22"/>
          <w:lang w:val="en-PH" w:eastAsia="en-PH"/>
        </w:rPr>
        <w:br/>
        <w:t xml:space="preserve">Historically, numerous studies have utilized inter-rater agreement statistics, such as Cohen’s Kappa, to evaluate dependability. Recent critiques, however, highlight that Kappa is inadequate for identifying systemic directional bias among raters, as it largely assesses concordance rather than discordance. Correlation-based approaches, while prevalent for continuous data, do not adequately account for the nuances of ordinal categorical scales (Park et al., 2021; Liu &amp; Yin, 2022). The increasing utilization of categorical data in various fields—ranging from algorithmic decision-making to behavioral health evaluations—necessitates the development of accurate statistical techniques to identify rater bias (Kim et al., 2023; </w:t>
      </w:r>
      <w:proofErr w:type="spellStart"/>
      <w:r w:rsidRPr="00F507CE">
        <w:rPr>
          <w:rFonts w:ascii="Arial" w:hAnsi="Arial" w:cs="Arial"/>
          <w:sz w:val="22"/>
          <w:szCs w:val="22"/>
          <w:lang w:val="en-PH" w:eastAsia="en-PH"/>
        </w:rPr>
        <w:t>Bessadok</w:t>
      </w:r>
      <w:proofErr w:type="spellEnd"/>
      <w:r w:rsidRPr="00F507CE">
        <w:rPr>
          <w:rFonts w:ascii="Arial" w:hAnsi="Arial" w:cs="Arial"/>
          <w:sz w:val="22"/>
          <w:szCs w:val="22"/>
          <w:lang w:val="en-PH" w:eastAsia="en-PH"/>
        </w:rPr>
        <w:t xml:space="preserve"> et al., 2023).</w:t>
      </w:r>
    </w:p>
    <w:p w14:paraId="4C17B3B5" w14:textId="54ED6EF9" w:rsidR="00F507CE" w:rsidRPr="00D73AB4" w:rsidRDefault="00F507CE" w:rsidP="00F507CE">
      <w:pPr>
        <w:jc w:val="both"/>
        <w:rPr>
          <w:rFonts w:ascii="Arial" w:hAnsi="Arial" w:cs="Arial"/>
          <w:sz w:val="22"/>
          <w:szCs w:val="22"/>
          <w:lang w:val="en-PH" w:eastAsia="en-PH"/>
        </w:rPr>
      </w:pPr>
      <w:r w:rsidRPr="00F507CE">
        <w:rPr>
          <w:rFonts w:ascii="Arial" w:hAnsi="Arial" w:cs="Arial"/>
          <w:sz w:val="22"/>
          <w:szCs w:val="22"/>
          <w:lang w:val="en-PH" w:eastAsia="en-PH"/>
        </w:rPr>
        <w:t xml:space="preserve">Categorical variables are classified into two primary types: nominal (unordered) and ordinal (ordered). The former </w:t>
      </w:r>
      <w:r w:rsidR="00D73AB4" w:rsidRPr="00F507CE">
        <w:rPr>
          <w:rFonts w:ascii="Arial" w:hAnsi="Arial" w:cs="Arial"/>
          <w:sz w:val="22"/>
          <w:szCs w:val="22"/>
          <w:lang w:val="en-PH" w:eastAsia="en-PH"/>
        </w:rPr>
        <w:t>includes</w:t>
      </w:r>
      <w:r w:rsidRPr="00F507CE">
        <w:rPr>
          <w:rFonts w:ascii="Arial" w:hAnsi="Arial" w:cs="Arial"/>
          <w:sz w:val="22"/>
          <w:szCs w:val="22"/>
          <w:lang w:val="en-PH" w:eastAsia="en-PH"/>
        </w:rPr>
        <w:t xml:space="preserve"> factors such as gender or religion, whereas ordinal data includes variables that suggest a rank order, exemplified by pain measures or academic grades. In matched-pairs designs, two evaluators independently assess identical objects utilizing an ordinal scale. These assessments are generally encapsulated in a square contingency table, with each column denoting a specific pair of ratings. Identifying bias under this framework necessitates approaches that honor the sequential character of the data.</w:t>
      </w:r>
    </w:p>
    <w:p w14:paraId="07100376" w14:textId="77777777" w:rsidR="00F507CE" w:rsidRPr="00D73AB4" w:rsidRDefault="00F507CE" w:rsidP="00F507CE">
      <w:pPr>
        <w:jc w:val="both"/>
        <w:rPr>
          <w:rFonts w:ascii="Arial" w:hAnsi="Arial" w:cs="Arial"/>
          <w:sz w:val="22"/>
          <w:szCs w:val="22"/>
          <w:lang w:val="en-PH" w:eastAsia="en-PH"/>
        </w:rPr>
      </w:pPr>
      <w:r w:rsidRPr="00F507CE">
        <w:rPr>
          <w:rFonts w:ascii="Arial" w:hAnsi="Arial" w:cs="Arial"/>
          <w:sz w:val="22"/>
          <w:szCs w:val="22"/>
          <w:lang w:val="en-PH" w:eastAsia="en-PH"/>
        </w:rPr>
        <w:br/>
        <w:t>This study tackles methodological problems by evaluating four notable strategies for identifying bias in ordinal matched-pairs data: the Modified McNemar Test, Single Binomial Test, Marginal Homogeneity Test, and Bias Index (BI). Each of these instruments offers a distinct perspective for identifying systemic inconsistencies among evaluators. The Modified McNemar Test expands its binary original form to accommodate larger tables; the Single Binomial Test assesses asymmetry in paired outcomes; the Stuart-Maxwell version of the Marginal Homogeneity Test analyzes multinomial marginal differences; and the Bias Index measures directional disagreement in relation to total ratings.</w:t>
      </w:r>
    </w:p>
    <w:p w14:paraId="6F39C4E1" w14:textId="77777777" w:rsidR="00F507CE" w:rsidRPr="00D73AB4" w:rsidRDefault="00F507CE" w:rsidP="00F507CE">
      <w:pPr>
        <w:jc w:val="both"/>
        <w:rPr>
          <w:rFonts w:ascii="Arial" w:hAnsi="Arial" w:cs="Arial"/>
          <w:sz w:val="22"/>
          <w:szCs w:val="22"/>
          <w:lang w:val="en-PH" w:eastAsia="en-PH"/>
        </w:rPr>
      </w:pPr>
      <w:r w:rsidRPr="00F507CE">
        <w:rPr>
          <w:rFonts w:ascii="Arial" w:hAnsi="Arial" w:cs="Arial"/>
          <w:sz w:val="22"/>
          <w:szCs w:val="22"/>
          <w:lang w:val="en-PH" w:eastAsia="en-PH"/>
        </w:rPr>
        <w:br/>
        <w:t xml:space="preserve">Recent literature endorses the significance and utilization of these strategies. Park et al. (2021) investigate the shortcomings of conventional agreement metrics in </w:t>
      </w:r>
      <w:r w:rsidRPr="00F507CE">
        <w:rPr>
          <w:rFonts w:ascii="Arial" w:hAnsi="Arial" w:cs="Arial"/>
          <w:sz w:val="22"/>
          <w:szCs w:val="22"/>
          <w:lang w:val="en-PH" w:eastAsia="en-PH"/>
        </w:rPr>
        <w:lastRenderedPageBreak/>
        <w:t xml:space="preserve">ordinal settings, whereas Liu and Yin (2022) provide improvements for marginal homogeneity assessment in the context of imbalanced data. Makarov et al. (2023) substantiate the application of bias indices in psychological and behavioral research, emphasizing their ability to identify latent rater patterns. Zhou et al. (2022) highlight the benefits of visual and computational methods, including regression-based graphs, in comprehending bias. Kim et al. (2023) emphasize the significance of these tools in educational and healthcare analytics, especially as decision-making systems increasingly depend on human-labeled ordinal data. </w:t>
      </w:r>
      <w:proofErr w:type="spellStart"/>
      <w:r w:rsidRPr="00F507CE">
        <w:rPr>
          <w:rFonts w:ascii="Arial" w:hAnsi="Arial" w:cs="Arial"/>
          <w:sz w:val="22"/>
          <w:szCs w:val="22"/>
          <w:lang w:val="en-PH" w:eastAsia="en-PH"/>
        </w:rPr>
        <w:t>Bessadok</w:t>
      </w:r>
      <w:proofErr w:type="spellEnd"/>
      <w:r w:rsidRPr="00F507CE">
        <w:rPr>
          <w:rFonts w:ascii="Arial" w:hAnsi="Arial" w:cs="Arial"/>
          <w:sz w:val="22"/>
          <w:szCs w:val="22"/>
          <w:lang w:val="en-PH" w:eastAsia="en-PH"/>
        </w:rPr>
        <w:t xml:space="preserve"> et al. (2023) contend that enhancements in computer capacity and statistical software facilitate the regular assessment of rater bias in extensive evaluations. Ortega et al. (2023) emphasize the growing application of ordinal-specific bias detection algorithms in language assessments, job evaluations, and medical triage contexts.</w:t>
      </w:r>
    </w:p>
    <w:p w14:paraId="2AB0947C" w14:textId="77777777" w:rsidR="00F507CE" w:rsidRPr="00D73AB4" w:rsidRDefault="00F507CE" w:rsidP="00F507CE">
      <w:pPr>
        <w:jc w:val="both"/>
        <w:rPr>
          <w:rFonts w:ascii="Arial" w:hAnsi="Arial" w:cs="Arial"/>
          <w:sz w:val="22"/>
          <w:szCs w:val="22"/>
          <w:lang w:val="en-PH" w:eastAsia="en-PH"/>
        </w:rPr>
      </w:pPr>
      <w:r w:rsidRPr="00F507CE">
        <w:rPr>
          <w:rFonts w:ascii="Arial" w:hAnsi="Arial" w:cs="Arial"/>
          <w:sz w:val="22"/>
          <w:szCs w:val="22"/>
          <w:lang w:val="en-PH" w:eastAsia="en-PH"/>
        </w:rPr>
        <w:br/>
        <w:t xml:space="preserve">This study enhances the existing body of information by assessing the performance of these four tests under varying settings of concord and </w:t>
      </w:r>
      <w:r w:rsidRPr="00D73AB4">
        <w:rPr>
          <w:rFonts w:ascii="Arial" w:hAnsi="Arial" w:cs="Arial"/>
          <w:sz w:val="22"/>
          <w:szCs w:val="22"/>
          <w:lang w:val="en-PH" w:eastAsia="en-PH"/>
        </w:rPr>
        <w:t>discord. This</w:t>
      </w:r>
      <w:r w:rsidRPr="00F507CE">
        <w:rPr>
          <w:rFonts w:ascii="Arial" w:hAnsi="Arial" w:cs="Arial"/>
          <w:sz w:val="22"/>
          <w:szCs w:val="22"/>
          <w:lang w:val="en-PH" w:eastAsia="en-PH"/>
        </w:rPr>
        <w:t xml:space="preserve"> study aims to determine the optimal approach for identifying systematic bias between two evaluators utilizing ordered categorical data. The objective is to elucidate four statistical tests for bias detection: Modified McNemar Test, Single Binomial Test, Marginal Homogeneity Test, and Bias Index; illustrate the application of these tests utilizing sample data and statistical software; and assess and compare the efficacy of each method based on simulated fluctuations in rating agreement.</w:t>
      </w:r>
    </w:p>
    <w:p w14:paraId="411CC16C" w14:textId="77777777" w:rsidR="00F507CE" w:rsidRPr="00D73AB4" w:rsidRDefault="00F507CE" w:rsidP="00F507CE">
      <w:pPr>
        <w:jc w:val="both"/>
        <w:rPr>
          <w:rFonts w:ascii="Arial" w:hAnsi="Arial" w:cs="Arial"/>
          <w:sz w:val="22"/>
          <w:szCs w:val="22"/>
          <w:lang w:val="en-PH" w:eastAsia="en-PH"/>
        </w:rPr>
      </w:pPr>
      <w:r w:rsidRPr="00F507CE">
        <w:rPr>
          <w:rFonts w:ascii="Arial" w:hAnsi="Arial" w:cs="Arial"/>
          <w:sz w:val="22"/>
          <w:szCs w:val="22"/>
          <w:lang w:val="en-PH" w:eastAsia="en-PH"/>
        </w:rPr>
        <w:br/>
        <w:t>This research is significant for analysts and researchers in clinical, social, and behavioral sciences. It underscores the shortcomings of conventional agreement metrics and presents more nuanced instruments for identifying bias. By juxtaposing various methodologies inside a coherent framework, it offers a more definitive guideline for practitioners in choosing an appropriate bias detection tool. This work provides a foundation for future enhancements in rater calibration, instrument design, and quality assurance.</w:t>
      </w:r>
    </w:p>
    <w:p w14:paraId="1ADC6015" w14:textId="13963E72" w:rsidR="00F507CE" w:rsidRPr="00F507CE" w:rsidRDefault="00F507CE" w:rsidP="00F507CE">
      <w:pPr>
        <w:jc w:val="both"/>
        <w:rPr>
          <w:rFonts w:ascii="Arial" w:hAnsi="Arial" w:cs="Arial"/>
          <w:sz w:val="22"/>
          <w:szCs w:val="22"/>
          <w:lang w:val="en-PH" w:eastAsia="en-PH"/>
        </w:rPr>
      </w:pPr>
      <w:r w:rsidRPr="00F507CE">
        <w:rPr>
          <w:rFonts w:ascii="Arial" w:hAnsi="Arial" w:cs="Arial"/>
          <w:sz w:val="22"/>
          <w:szCs w:val="22"/>
          <w:lang w:val="en-PH" w:eastAsia="en-PH"/>
        </w:rPr>
        <w:br/>
        <w:t xml:space="preserve">This study focuses exclusively on bias identification with matched-pairs data with ordered categorical variables. It excludes methodologies for continuous variables and multi-rater systems. The emphasis is restricted to four </w:t>
      </w:r>
      <w:r w:rsidRPr="00D73AB4">
        <w:rPr>
          <w:rFonts w:ascii="Arial" w:hAnsi="Arial" w:cs="Arial"/>
          <w:sz w:val="22"/>
          <w:szCs w:val="22"/>
          <w:lang w:val="en-PH" w:eastAsia="en-PH"/>
        </w:rPr>
        <w:t>methodologies</w:t>
      </w:r>
      <w:r w:rsidRPr="00F507CE">
        <w:rPr>
          <w:rFonts w:ascii="Arial" w:hAnsi="Arial" w:cs="Arial"/>
          <w:sz w:val="22"/>
          <w:szCs w:val="22"/>
          <w:lang w:val="en-PH" w:eastAsia="en-PH"/>
        </w:rPr>
        <w:t>: the Modified McNemar Test, Single Binomial Test, Marginal Homogeneity Test, and Bias Index.</w:t>
      </w:r>
    </w:p>
    <w:p w14:paraId="0315F559" w14:textId="77777777" w:rsidR="00790ADA" w:rsidRPr="00FB3A86" w:rsidRDefault="00790ADA" w:rsidP="00441B6F">
      <w:pPr>
        <w:pStyle w:val="AbstHead"/>
        <w:spacing w:after="0"/>
        <w:jc w:val="both"/>
        <w:rPr>
          <w:rFonts w:ascii="Arial" w:hAnsi="Arial" w:cs="Arial"/>
        </w:rPr>
      </w:pPr>
    </w:p>
    <w:p w14:paraId="6BF8F18D" w14:textId="77777777" w:rsidR="00790ADA" w:rsidRPr="00FB3A86" w:rsidRDefault="00790ADA" w:rsidP="00441B6F">
      <w:pPr>
        <w:pStyle w:val="Body"/>
        <w:spacing w:after="0"/>
        <w:rPr>
          <w:rFonts w:ascii="Arial" w:hAnsi="Arial" w:cs="Arial"/>
        </w:rPr>
      </w:pPr>
    </w:p>
    <w:p w14:paraId="48579732" w14:textId="63ED259B" w:rsidR="007F7B32" w:rsidRDefault="00902823" w:rsidP="00441B6F">
      <w:pPr>
        <w:pStyle w:val="AbstHead"/>
        <w:spacing w:after="0"/>
        <w:jc w:val="both"/>
        <w:rPr>
          <w:rFonts w:ascii="Arial" w:hAnsi="Arial" w:cs="Arial"/>
        </w:rPr>
      </w:pPr>
      <w:r>
        <w:rPr>
          <w:rFonts w:ascii="Arial" w:hAnsi="Arial" w:cs="Arial"/>
        </w:rPr>
        <w:t>2. m</w:t>
      </w:r>
      <w:r w:rsidR="00620619">
        <w:rPr>
          <w:rFonts w:ascii="Arial" w:hAnsi="Arial" w:cs="Arial"/>
        </w:rPr>
        <w:t>ethodology</w:t>
      </w:r>
    </w:p>
    <w:p w14:paraId="2E1BEC3F" w14:textId="77777777" w:rsidR="00620619" w:rsidRPr="00D73AB4" w:rsidRDefault="00620619" w:rsidP="00441B6F">
      <w:pPr>
        <w:pStyle w:val="AbstHead"/>
        <w:spacing w:after="0"/>
        <w:jc w:val="both"/>
        <w:rPr>
          <w:rFonts w:ascii="Arial" w:hAnsi="Arial" w:cs="Arial"/>
          <w:b w:val="0"/>
        </w:rPr>
      </w:pPr>
    </w:p>
    <w:p w14:paraId="070B66AD" w14:textId="02580398" w:rsidR="00D73AB4" w:rsidRPr="00B1089B" w:rsidRDefault="00D73AB4" w:rsidP="00D73AB4">
      <w:pPr>
        <w:jc w:val="both"/>
        <w:rPr>
          <w:rFonts w:ascii="Arial" w:hAnsi="Arial" w:cs="Arial"/>
          <w:b/>
          <w:bCs/>
          <w:sz w:val="22"/>
          <w:szCs w:val="22"/>
          <w:lang w:val="en-PH"/>
        </w:rPr>
      </w:pPr>
      <w:r w:rsidRPr="00D73AB4">
        <w:rPr>
          <w:rFonts w:ascii="Arial" w:hAnsi="Arial" w:cs="Arial"/>
          <w:b/>
          <w:bCs/>
          <w:sz w:val="22"/>
          <w:szCs w:val="22"/>
          <w:lang w:val="en-PH"/>
        </w:rPr>
        <w:t>2.1 Theoretical Framework</w:t>
      </w:r>
    </w:p>
    <w:p w14:paraId="463C10D2" w14:textId="77777777" w:rsidR="00D73AB4" w:rsidRPr="00D73AB4" w:rsidRDefault="00D73AB4" w:rsidP="00D73AB4">
      <w:pPr>
        <w:jc w:val="both"/>
        <w:rPr>
          <w:rFonts w:ascii="Arial" w:hAnsi="Arial" w:cs="Arial"/>
          <w:b/>
          <w:bCs/>
          <w:sz w:val="22"/>
          <w:szCs w:val="22"/>
          <w:lang w:val="en-PH"/>
        </w:rPr>
      </w:pPr>
    </w:p>
    <w:p w14:paraId="3052166B" w14:textId="77777777" w:rsidR="00D73AB4" w:rsidRPr="00B1089B" w:rsidRDefault="00D73AB4" w:rsidP="00D73AB4">
      <w:pPr>
        <w:jc w:val="both"/>
        <w:rPr>
          <w:rFonts w:ascii="Arial" w:hAnsi="Arial" w:cs="Arial"/>
          <w:sz w:val="22"/>
          <w:szCs w:val="22"/>
          <w:lang w:val="en-PH"/>
        </w:rPr>
      </w:pPr>
      <w:r w:rsidRPr="00D73AB4">
        <w:rPr>
          <w:rFonts w:ascii="Arial" w:hAnsi="Arial" w:cs="Arial"/>
          <w:sz w:val="22"/>
          <w:szCs w:val="22"/>
          <w:lang w:val="en-PH"/>
        </w:rPr>
        <w:t>This subsection provides the theoretical foundation for the models used in this study: Modified McNemar Test, Single Binomial Test, Marginal Homogeneity Test, and the Bias Index.</w:t>
      </w:r>
    </w:p>
    <w:p w14:paraId="27E04EA8" w14:textId="77777777" w:rsidR="00D73AB4" w:rsidRPr="00D73AB4" w:rsidRDefault="00D73AB4" w:rsidP="00D73AB4">
      <w:pPr>
        <w:jc w:val="both"/>
        <w:rPr>
          <w:rFonts w:ascii="Arial" w:hAnsi="Arial" w:cs="Arial"/>
          <w:sz w:val="22"/>
          <w:szCs w:val="22"/>
          <w:lang w:val="en-PH"/>
        </w:rPr>
      </w:pPr>
    </w:p>
    <w:p w14:paraId="5FABD11E" w14:textId="77777777" w:rsidR="00D73AB4" w:rsidRPr="00B1089B" w:rsidRDefault="00D73AB4" w:rsidP="00D73AB4">
      <w:pPr>
        <w:pStyle w:val="Body"/>
        <w:spacing w:after="0"/>
        <w:rPr>
          <w:rFonts w:ascii="Arial" w:hAnsi="Arial" w:cs="Arial"/>
          <w:b/>
          <w:bCs/>
          <w:sz w:val="22"/>
          <w:szCs w:val="22"/>
          <w:lang w:val="en-PH"/>
        </w:rPr>
      </w:pPr>
      <w:r w:rsidRPr="00D73AB4">
        <w:rPr>
          <w:rFonts w:ascii="Arial" w:hAnsi="Arial" w:cs="Arial"/>
          <w:b/>
          <w:bCs/>
          <w:sz w:val="22"/>
          <w:szCs w:val="22"/>
          <w:lang w:val="en-PH"/>
        </w:rPr>
        <w:t>2.1.1 Modified McNemar Test</w:t>
      </w:r>
    </w:p>
    <w:p w14:paraId="4F09331B" w14:textId="77777777" w:rsidR="00D73AB4" w:rsidRPr="00D73AB4" w:rsidRDefault="00D73AB4" w:rsidP="00D73AB4">
      <w:pPr>
        <w:pStyle w:val="Body"/>
        <w:spacing w:after="0"/>
        <w:rPr>
          <w:rFonts w:ascii="Arial" w:hAnsi="Arial" w:cs="Arial"/>
          <w:b/>
          <w:bCs/>
          <w:sz w:val="22"/>
          <w:szCs w:val="22"/>
          <w:lang w:val="en-PH"/>
        </w:rPr>
      </w:pPr>
    </w:p>
    <w:p w14:paraId="1FF7E9F0" w14:textId="77777777" w:rsidR="00D73AB4" w:rsidRPr="00D73AB4" w:rsidRDefault="00D73AB4" w:rsidP="00D73AB4">
      <w:pPr>
        <w:pStyle w:val="Body"/>
        <w:spacing w:after="0"/>
        <w:rPr>
          <w:rFonts w:ascii="Arial" w:hAnsi="Arial" w:cs="Arial"/>
          <w:sz w:val="22"/>
          <w:szCs w:val="22"/>
          <w:lang w:val="en-PH"/>
        </w:rPr>
      </w:pPr>
      <w:r w:rsidRPr="00D73AB4">
        <w:rPr>
          <w:rFonts w:ascii="Arial" w:hAnsi="Arial" w:cs="Arial"/>
          <w:sz w:val="22"/>
          <w:szCs w:val="22"/>
          <w:lang w:val="en-PH"/>
        </w:rPr>
        <w:t xml:space="preserve">The Modified McNemar Test is used to detect bias in matched-pair data when the categories are ordinal and greater than two. It extends the original McNemar Test by </w:t>
      </w:r>
      <w:r w:rsidRPr="00D73AB4">
        <w:rPr>
          <w:rFonts w:ascii="Arial" w:hAnsi="Arial" w:cs="Arial"/>
          <w:sz w:val="22"/>
          <w:szCs w:val="22"/>
          <w:lang w:val="en-PH"/>
        </w:rPr>
        <w:lastRenderedPageBreak/>
        <w:t xml:space="preserve">using off-diagonal frequencies in square contingency tables. This test is widely used in rater agreement studies to identify significant differences in paired responses (Agresti, 2010; </w:t>
      </w:r>
      <w:proofErr w:type="spellStart"/>
      <w:r w:rsidRPr="00D73AB4">
        <w:rPr>
          <w:rFonts w:ascii="Arial" w:hAnsi="Arial" w:cs="Arial"/>
          <w:sz w:val="22"/>
          <w:szCs w:val="22"/>
          <w:lang w:val="en-PH"/>
        </w:rPr>
        <w:t>Lachenbruch</w:t>
      </w:r>
      <w:proofErr w:type="spellEnd"/>
      <w:r w:rsidRPr="00D73AB4">
        <w:rPr>
          <w:rFonts w:ascii="Arial" w:hAnsi="Arial" w:cs="Arial"/>
          <w:sz w:val="22"/>
          <w:szCs w:val="22"/>
          <w:lang w:val="en-PH"/>
        </w:rPr>
        <w:t>, 2002).</w:t>
      </w:r>
    </w:p>
    <w:p w14:paraId="1B5ACB75" w14:textId="77777777" w:rsidR="00330E4F" w:rsidRPr="00B1089B" w:rsidRDefault="00330E4F" w:rsidP="00330E4F">
      <w:pPr>
        <w:pStyle w:val="Body"/>
        <w:spacing w:after="0"/>
        <w:rPr>
          <w:rFonts w:ascii="Arial" w:hAnsi="Arial" w:cs="Arial"/>
          <w:b/>
          <w:bCs/>
          <w:sz w:val="22"/>
          <w:szCs w:val="22"/>
        </w:rPr>
      </w:pPr>
    </w:p>
    <w:p w14:paraId="02C9A6AA" w14:textId="7D5FDF4E" w:rsidR="002D736D" w:rsidRPr="00B1089B" w:rsidRDefault="00D73AB4" w:rsidP="00742A99">
      <w:pPr>
        <w:pStyle w:val="Body"/>
        <w:rPr>
          <w:rFonts w:ascii="Arial" w:hAnsi="Arial" w:cs="Arial"/>
          <w:sz w:val="22"/>
          <w:szCs w:val="22"/>
          <w:lang w:val="en-PH"/>
        </w:rPr>
      </w:pPr>
      <w:r w:rsidRPr="00B1089B">
        <w:rPr>
          <w:rFonts w:ascii="Arial" w:hAnsi="Arial" w:cs="Arial"/>
          <w:sz w:val="22"/>
          <w:szCs w:val="22"/>
          <w:lang w:val="en-PH"/>
        </w:rPr>
        <w:t>The test statistic is:</w:t>
      </w:r>
    </w:p>
    <w:p w14:paraId="0A836652" w14:textId="77F5FE02" w:rsidR="00D73AB4" w:rsidRPr="00B1089B" w:rsidRDefault="00000000" w:rsidP="00742A99">
      <w:pPr>
        <w:pStyle w:val="Body"/>
        <w:rPr>
          <w:rFonts w:ascii="Arial" w:hAnsi="Arial" w:cs="Arial"/>
          <w:sz w:val="22"/>
          <w:szCs w:val="22"/>
          <w:lang w:val="en-PH"/>
        </w:rPr>
      </w:pPr>
      <m:oMathPara>
        <m:oMath>
          <m:sSup>
            <m:sSupPr>
              <m:ctrlPr>
                <w:rPr>
                  <w:rFonts w:ascii="Cambria Math" w:hAnsi="Cambria Math" w:cs="Arial"/>
                  <w:i/>
                  <w:sz w:val="22"/>
                  <w:szCs w:val="22"/>
                  <w:lang w:val="en-PH"/>
                </w:rPr>
              </m:ctrlPr>
            </m:sSupPr>
            <m:e>
              <m:r>
                <m:rPr>
                  <m:scr m:val="script"/>
                </m:rPr>
                <w:rPr>
                  <w:rFonts w:ascii="Cambria Math" w:hAnsi="Cambria Math" w:cs="Arial"/>
                  <w:sz w:val="22"/>
                  <w:szCs w:val="22"/>
                  <w:lang w:val="en-PH"/>
                </w:rPr>
                <m:t>X</m:t>
              </m:r>
            </m:e>
            <m:sup>
              <m:r>
                <w:rPr>
                  <w:rFonts w:ascii="Cambria Math" w:hAnsi="Cambria Math" w:cs="Arial"/>
                  <w:sz w:val="22"/>
                  <w:szCs w:val="22"/>
                  <w:lang w:val="en-PH"/>
                </w:rPr>
                <m:t>2</m:t>
              </m:r>
            </m:sup>
          </m:sSup>
          <m:r>
            <w:rPr>
              <w:rFonts w:ascii="Cambria Math" w:hAnsi="Cambria Math" w:cs="Arial"/>
              <w:sz w:val="22"/>
              <w:szCs w:val="22"/>
              <w:lang w:val="en-PH"/>
            </w:rPr>
            <m:t>=</m:t>
          </m:r>
          <m:f>
            <m:fPr>
              <m:ctrlPr>
                <w:rPr>
                  <w:rFonts w:ascii="Cambria Math" w:hAnsi="Cambria Math" w:cs="Arial"/>
                  <w:i/>
                  <w:sz w:val="22"/>
                  <w:szCs w:val="22"/>
                  <w:lang w:val="en-PH"/>
                </w:rPr>
              </m:ctrlPr>
            </m:fPr>
            <m:num>
              <m:sSup>
                <m:sSupPr>
                  <m:ctrlPr>
                    <w:rPr>
                      <w:rFonts w:ascii="Cambria Math" w:hAnsi="Cambria Math" w:cs="Arial"/>
                      <w:i/>
                      <w:sz w:val="22"/>
                      <w:szCs w:val="22"/>
                      <w:lang w:val="en-PH"/>
                    </w:rPr>
                  </m:ctrlPr>
                </m:sSupPr>
                <m:e>
                  <m:r>
                    <w:rPr>
                      <w:rFonts w:ascii="Cambria Math" w:hAnsi="Cambria Math" w:cs="Arial"/>
                      <w:sz w:val="22"/>
                      <w:szCs w:val="22"/>
                      <w:lang w:val="en-PH"/>
                    </w:rPr>
                    <m:t>(A - D)</m:t>
                  </m:r>
                </m:e>
                <m:sup>
                  <m:r>
                    <w:rPr>
                      <w:rFonts w:ascii="Cambria Math" w:hAnsi="Cambria Math" w:cs="Arial"/>
                      <w:sz w:val="22"/>
                      <w:szCs w:val="22"/>
                      <w:lang w:val="en-PH"/>
                    </w:rPr>
                    <m:t>2</m:t>
                  </m:r>
                </m:sup>
              </m:sSup>
            </m:num>
            <m:den>
              <m:r>
                <w:rPr>
                  <w:rFonts w:ascii="Cambria Math" w:hAnsi="Cambria Math" w:cs="Arial"/>
                  <w:sz w:val="22"/>
                  <w:szCs w:val="22"/>
                  <w:lang w:val="en-PH"/>
                </w:rPr>
                <m:t>A+D</m:t>
              </m:r>
            </m:den>
          </m:f>
        </m:oMath>
      </m:oMathPara>
    </w:p>
    <w:p w14:paraId="7A3D323B" w14:textId="77777777" w:rsidR="00EA0176" w:rsidRPr="00B1089B" w:rsidRDefault="00EA0176" w:rsidP="00EA0176">
      <w:pPr>
        <w:jc w:val="both"/>
        <w:rPr>
          <w:rFonts w:ascii="Arial" w:hAnsi="Arial" w:cs="Arial"/>
          <w:sz w:val="22"/>
          <w:szCs w:val="22"/>
          <w:lang w:val="en-PH"/>
        </w:rPr>
      </w:pPr>
    </w:p>
    <w:p w14:paraId="5C999D51" w14:textId="118BB7A2" w:rsidR="00790ADA" w:rsidRPr="00B1089B" w:rsidRDefault="00D73AB4" w:rsidP="00441B6F">
      <w:pPr>
        <w:pStyle w:val="Body"/>
        <w:spacing w:after="0"/>
        <w:rPr>
          <w:rFonts w:ascii="Arial" w:hAnsi="Arial" w:cs="Arial"/>
          <w:sz w:val="22"/>
          <w:szCs w:val="22"/>
        </w:rPr>
      </w:pPr>
      <w:r w:rsidRPr="00B1089B">
        <w:rPr>
          <w:rFonts w:ascii="Arial" w:hAnsi="Arial" w:cs="Arial"/>
          <w:sz w:val="22"/>
          <w:szCs w:val="22"/>
        </w:rPr>
        <w:t xml:space="preserve">where: </w:t>
      </w:r>
    </w:p>
    <w:p w14:paraId="4ADA9AFE" w14:textId="478BE8B9" w:rsidR="00D73AB4" w:rsidRPr="00B1089B" w:rsidRDefault="00D73AB4" w:rsidP="00D73AB4">
      <w:pPr>
        <w:pStyle w:val="Body"/>
        <w:numPr>
          <w:ilvl w:val="0"/>
          <w:numId w:val="32"/>
        </w:numPr>
        <w:spacing w:after="0"/>
        <w:rPr>
          <w:rFonts w:ascii="Arial" w:hAnsi="Arial" w:cs="Arial"/>
          <w:sz w:val="22"/>
          <w:szCs w:val="22"/>
        </w:rPr>
      </w:pPr>
      <w:r w:rsidRPr="00B1089B">
        <w:rPr>
          <w:rFonts w:ascii="Arial" w:hAnsi="Arial" w:cs="Arial"/>
          <w:sz w:val="22"/>
          <w:szCs w:val="22"/>
        </w:rPr>
        <w:t>A is the frequency of items rated higher by Rater A but lower by Rater B</w:t>
      </w:r>
    </w:p>
    <w:p w14:paraId="4EA1914D" w14:textId="6C745418" w:rsidR="00D73AB4" w:rsidRPr="00B1089B" w:rsidRDefault="00D73AB4" w:rsidP="00D73AB4">
      <w:pPr>
        <w:pStyle w:val="Body"/>
        <w:numPr>
          <w:ilvl w:val="0"/>
          <w:numId w:val="32"/>
        </w:numPr>
        <w:spacing w:after="0"/>
        <w:rPr>
          <w:rFonts w:ascii="Arial" w:hAnsi="Arial" w:cs="Arial"/>
          <w:sz w:val="22"/>
          <w:szCs w:val="22"/>
        </w:rPr>
      </w:pPr>
      <w:r w:rsidRPr="00B1089B">
        <w:rPr>
          <w:rFonts w:ascii="Arial" w:hAnsi="Arial" w:cs="Arial"/>
          <w:sz w:val="22"/>
          <w:szCs w:val="22"/>
        </w:rPr>
        <w:t>D is the frequency of items rated lower by Rater A but higher by Rater B</w:t>
      </w:r>
    </w:p>
    <w:p w14:paraId="77E216A6" w14:textId="473EFAF6" w:rsidR="00D73AB4" w:rsidRPr="00B1089B" w:rsidRDefault="00D73AB4" w:rsidP="00D73AB4">
      <w:pPr>
        <w:pStyle w:val="Body"/>
        <w:spacing w:after="0"/>
        <w:rPr>
          <w:rFonts w:ascii="Arial" w:hAnsi="Arial" w:cs="Arial"/>
          <w:sz w:val="22"/>
          <w:szCs w:val="22"/>
        </w:rPr>
      </w:pPr>
    </w:p>
    <w:p w14:paraId="2BD2F2B3" w14:textId="4017A600" w:rsidR="00D73AB4" w:rsidRPr="00B1089B" w:rsidRDefault="00D73AB4" w:rsidP="00D73AB4">
      <w:pPr>
        <w:pStyle w:val="Body"/>
        <w:spacing w:after="0"/>
        <w:rPr>
          <w:rFonts w:ascii="Arial" w:hAnsi="Arial" w:cs="Arial"/>
          <w:sz w:val="22"/>
          <w:szCs w:val="22"/>
        </w:rPr>
      </w:pPr>
      <w:r w:rsidRPr="00B1089B">
        <w:rPr>
          <w:rFonts w:ascii="Arial" w:hAnsi="Arial" w:cs="Arial"/>
          <w:sz w:val="22"/>
          <w:szCs w:val="22"/>
        </w:rPr>
        <w:t>This chi-square statistic follows a distribution with 1 degree of freedom</w:t>
      </w:r>
    </w:p>
    <w:p w14:paraId="16865A09" w14:textId="77777777" w:rsidR="00D73AB4" w:rsidRPr="00B1089B" w:rsidRDefault="00D73AB4" w:rsidP="00D73AB4">
      <w:pPr>
        <w:pStyle w:val="Body"/>
        <w:spacing w:after="0"/>
        <w:rPr>
          <w:rFonts w:ascii="Arial" w:hAnsi="Arial" w:cs="Arial"/>
          <w:sz w:val="22"/>
          <w:szCs w:val="22"/>
        </w:rPr>
      </w:pPr>
    </w:p>
    <w:p w14:paraId="1B8B4CA0" w14:textId="77777777" w:rsidR="00D73AB4" w:rsidRPr="00B1089B" w:rsidRDefault="00D73AB4" w:rsidP="00D73AB4">
      <w:pPr>
        <w:pStyle w:val="Body"/>
        <w:spacing w:after="0"/>
        <w:rPr>
          <w:rFonts w:ascii="Arial" w:hAnsi="Arial" w:cs="Arial"/>
          <w:b/>
          <w:bCs/>
          <w:sz w:val="22"/>
          <w:szCs w:val="22"/>
          <w:lang w:val="en-PH"/>
        </w:rPr>
      </w:pPr>
      <w:r w:rsidRPr="00D73AB4">
        <w:rPr>
          <w:rFonts w:ascii="Arial" w:hAnsi="Arial" w:cs="Arial"/>
          <w:b/>
          <w:bCs/>
          <w:sz w:val="22"/>
          <w:szCs w:val="22"/>
          <w:lang w:val="en-PH"/>
        </w:rPr>
        <w:t>2.1.2 Single Binomial Test</w:t>
      </w:r>
    </w:p>
    <w:p w14:paraId="1DEAE15D" w14:textId="77777777" w:rsidR="00D73AB4" w:rsidRPr="00D73AB4" w:rsidRDefault="00D73AB4" w:rsidP="00D73AB4">
      <w:pPr>
        <w:pStyle w:val="Body"/>
        <w:spacing w:after="0"/>
        <w:rPr>
          <w:rFonts w:ascii="Arial" w:hAnsi="Arial" w:cs="Arial"/>
          <w:sz w:val="22"/>
          <w:szCs w:val="22"/>
          <w:lang w:val="en-PH"/>
        </w:rPr>
      </w:pPr>
    </w:p>
    <w:p w14:paraId="4A074CBF" w14:textId="77777777" w:rsidR="00D73AB4" w:rsidRPr="00B1089B" w:rsidRDefault="00D73AB4" w:rsidP="00D73AB4">
      <w:pPr>
        <w:pStyle w:val="Body"/>
        <w:spacing w:after="0"/>
        <w:rPr>
          <w:rFonts w:ascii="Arial" w:hAnsi="Arial" w:cs="Arial"/>
          <w:sz w:val="22"/>
          <w:szCs w:val="22"/>
          <w:lang w:val="en-PH"/>
        </w:rPr>
      </w:pPr>
      <w:r w:rsidRPr="00D73AB4">
        <w:rPr>
          <w:rFonts w:ascii="Arial" w:hAnsi="Arial" w:cs="Arial"/>
          <w:sz w:val="22"/>
          <w:szCs w:val="22"/>
          <w:lang w:val="en-PH"/>
        </w:rPr>
        <w:t>The Single Binomial Test evaluates the symmetry of disagreements between two raters by comparing the number of disagreements in one direction versus the opposite direction. This method is especially appropriate when analyzing binary and ordinal data with few discordant pairs (Pagano &amp; Gauvreau, 2018).</w:t>
      </w:r>
    </w:p>
    <w:p w14:paraId="3FDDB4A0" w14:textId="77777777" w:rsidR="00D73AB4" w:rsidRPr="00D73AB4" w:rsidRDefault="00D73AB4" w:rsidP="00D73AB4">
      <w:pPr>
        <w:pStyle w:val="Body"/>
        <w:spacing w:after="0"/>
        <w:rPr>
          <w:rFonts w:ascii="Arial" w:hAnsi="Arial" w:cs="Arial"/>
          <w:sz w:val="22"/>
          <w:szCs w:val="22"/>
          <w:lang w:val="en-PH"/>
        </w:rPr>
      </w:pPr>
    </w:p>
    <w:p w14:paraId="15182530" w14:textId="77777777" w:rsidR="00D73AB4" w:rsidRPr="00B1089B" w:rsidRDefault="00D73AB4" w:rsidP="00D73AB4">
      <w:pPr>
        <w:pStyle w:val="Body"/>
        <w:spacing w:after="0"/>
        <w:rPr>
          <w:rFonts w:ascii="Arial" w:hAnsi="Arial" w:cs="Arial"/>
          <w:sz w:val="22"/>
          <w:szCs w:val="22"/>
          <w:lang w:val="en-PH"/>
        </w:rPr>
      </w:pPr>
      <w:r w:rsidRPr="00D73AB4">
        <w:rPr>
          <w:rFonts w:ascii="Arial" w:hAnsi="Arial" w:cs="Arial"/>
          <w:sz w:val="22"/>
          <w:szCs w:val="22"/>
          <w:lang w:val="en-PH"/>
        </w:rPr>
        <w:t>The binomial probability formula is:</w:t>
      </w:r>
    </w:p>
    <w:p w14:paraId="43D02B41" w14:textId="77777777" w:rsidR="00D73AB4" w:rsidRPr="00B1089B" w:rsidRDefault="00D73AB4" w:rsidP="00D73AB4">
      <w:pPr>
        <w:pStyle w:val="Body"/>
        <w:spacing w:after="0"/>
        <w:rPr>
          <w:rFonts w:ascii="Arial" w:hAnsi="Arial" w:cs="Arial"/>
          <w:sz w:val="22"/>
          <w:szCs w:val="22"/>
          <w:lang w:val="en-PH"/>
        </w:rPr>
      </w:pPr>
    </w:p>
    <w:p w14:paraId="798CC4F3" w14:textId="0BDF8DA9" w:rsidR="00D73AB4" w:rsidRPr="00B1089B" w:rsidRDefault="00D73AB4" w:rsidP="00D73AB4">
      <w:pPr>
        <w:pStyle w:val="Body"/>
        <w:spacing w:after="0"/>
        <w:rPr>
          <w:rFonts w:ascii="Arial" w:hAnsi="Arial" w:cs="Arial"/>
          <w:sz w:val="22"/>
          <w:szCs w:val="22"/>
          <w:lang w:val="en-PH"/>
        </w:rPr>
      </w:pPr>
      <m:oMathPara>
        <m:oMath>
          <m:r>
            <w:rPr>
              <w:rFonts w:ascii="Cambria Math" w:hAnsi="Cambria Math" w:cs="Arial"/>
              <w:sz w:val="22"/>
              <w:szCs w:val="22"/>
              <w:lang w:val="en-PH"/>
            </w:rPr>
            <m:t xml:space="preserve">P(X = k) = </m:t>
          </m:r>
          <m:d>
            <m:dPr>
              <m:ctrlPr>
                <w:rPr>
                  <w:rFonts w:ascii="Cambria Math" w:hAnsi="Cambria Math" w:cs="Arial"/>
                  <w:i/>
                  <w:sz w:val="22"/>
                  <w:szCs w:val="22"/>
                  <w:lang w:val="en-PH"/>
                </w:rPr>
              </m:ctrlPr>
            </m:dPr>
            <m:e>
              <m:m>
                <m:mPr>
                  <m:mcs>
                    <m:mc>
                      <m:mcPr>
                        <m:count m:val="1"/>
                        <m:mcJc m:val="center"/>
                      </m:mcPr>
                    </m:mc>
                  </m:mcs>
                  <m:ctrlPr>
                    <w:rPr>
                      <w:rFonts w:ascii="Cambria Math" w:hAnsi="Cambria Math" w:cs="Arial"/>
                      <w:i/>
                      <w:sz w:val="22"/>
                      <w:szCs w:val="22"/>
                      <w:lang w:val="en-PH"/>
                    </w:rPr>
                  </m:ctrlPr>
                </m:mPr>
                <m:mr>
                  <m:e>
                    <m:r>
                      <w:rPr>
                        <w:rFonts w:ascii="Cambria Math" w:hAnsi="Cambria Math" w:cs="Arial"/>
                        <w:sz w:val="22"/>
                        <w:szCs w:val="22"/>
                        <w:lang w:val="en-PH"/>
                      </w:rPr>
                      <m:t>n</m:t>
                    </m:r>
                  </m:e>
                </m:mr>
                <m:mr>
                  <m:e>
                    <m:r>
                      <w:rPr>
                        <w:rFonts w:ascii="Cambria Math" w:hAnsi="Cambria Math" w:cs="Arial"/>
                        <w:sz w:val="22"/>
                        <w:szCs w:val="22"/>
                        <w:lang w:val="en-PH"/>
                      </w:rPr>
                      <m:t>k</m:t>
                    </m:r>
                  </m:e>
                </m:mr>
              </m:m>
            </m:e>
          </m:d>
          <m:sSup>
            <m:sSupPr>
              <m:ctrlPr>
                <w:rPr>
                  <w:rFonts w:ascii="Cambria Math" w:hAnsi="Cambria Math" w:cs="Arial"/>
                  <w:i/>
                  <w:sz w:val="22"/>
                  <w:szCs w:val="22"/>
                  <w:lang w:val="en-PH"/>
                </w:rPr>
              </m:ctrlPr>
            </m:sSupPr>
            <m:e>
              <m:r>
                <w:rPr>
                  <w:rFonts w:ascii="Cambria Math" w:hAnsi="Cambria Math" w:cs="Arial"/>
                  <w:sz w:val="22"/>
                  <w:szCs w:val="22"/>
                  <w:lang w:val="en-PH"/>
                </w:rPr>
                <m:t>p</m:t>
              </m:r>
            </m:e>
            <m:sup>
              <m:r>
                <w:rPr>
                  <w:rFonts w:ascii="Cambria Math" w:hAnsi="Cambria Math" w:cs="Arial"/>
                  <w:sz w:val="22"/>
                  <w:szCs w:val="22"/>
                  <w:lang w:val="en-PH"/>
                </w:rPr>
                <m:t>k</m:t>
              </m:r>
            </m:sup>
          </m:sSup>
          <m:sSup>
            <m:sSupPr>
              <m:ctrlPr>
                <w:rPr>
                  <w:rFonts w:ascii="Cambria Math" w:hAnsi="Cambria Math" w:cs="Arial"/>
                  <w:i/>
                  <w:sz w:val="22"/>
                  <w:szCs w:val="22"/>
                  <w:lang w:val="en-PH"/>
                </w:rPr>
              </m:ctrlPr>
            </m:sSupPr>
            <m:e>
              <m:d>
                <m:dPr>
                  <m:ctrlPr>
                    <w:rPr>
                      <w:rFonts w:ascii="Cambria Math" w:hAnsi="Cambria Math" w:cs="Arial"/>
                      <w:i/>
                      <w:sz w:val="22"/>
                      <w:szCs w:val="22"/>
                      <w:lang w:val="en-PH"/>
                    </w:rPr>
                  </m:ctrlPr>
                </m:dPr>
                <m:e>
                  <m:r>
                    <w:rPr>
                      <w:rFonts w:ascii="Cambria Math" w:hAnsi="Cambria Math" w:cs="Arial"/>
                      <w:sz w:val="22"/>
                      <w:szCs w:val="22"/>
                      <w:lang w:val="en-PH"/>
                    </w:rPr>
                    <m:t>1-p</m:t>
                  </m:r>
                </m:e>
              </m:d>
            </m:e>
            <m:sup>
              <m:r>
                <w:rPr>
                  <w:rFonts w:ascii="Cambria Math" w:hAnsi="Cambria Math" w:cs="Arial"/>
                  <w:sz w:val="22"/>
                  <w:szCs w:val="22"/>
                  <w:lang w:val="en-PH"/>
                </w:rPr>
                <m:t>n-k</m:t>
              </m:r>
            </m:sup>
          </m:sSup>
        </m:oMath>
      </m:oMathPara>
    </w:p>
    <w:p w14:paraId="7EF1CA49" w14:textId="1C7BE817" w:rsidR="00EB5D04" w:rsidRPr="00B1089B" w:rsidRDefault="00EB5D04" w:rsidP="00D73AB4">
      <w:pPr>
        <w:pStyle w:val="Body"/>
        <w:spacing w:after="0"/>
        <w:rPr>
          <w:rFonts w:ascii="Arial" w:hAnsi="Arial" w:cs="Arial"/>
          <w:sz w:val="22"/>
          <w:szCs w:val="22"/>
          <w:lang w:val="en-PH"/>
        </w:rPr>
      </w:pPr>
    </w:p>
    <w:p w14:paraId="50FEBBAC" w14:textId="77777777" w:rsidR="00EB5D04" w:rsidRPr="00B1089B" w:rsidRDefault="00EB5D04" w:rsidP="00D73AB4">
      <w:pPr>
        <w:pStyle w:val="Body"/>
        <w:spacing w:after="0"/>
        <w:rPr>
          <w:rFonts w:ascii="Arial" w:hAnsi="Arial" w:cs="Arial"/>
          <w:sz w:val="22"/>
          <w:szCs w:val="22"/>
          <w:lang w:val="en-PH"/>
        </w:rPr>
      </w:pPr>
      <w:r w:rsidRPr="00B1089B">
        <w:rPr>
          <w:rFonts w:ascii="Arial" w:hAnsi="Arial" w:cs="Arial"/>
          <w:sz w:val="22"/>
          <w:szCs w:val="22"/>
          <w:lang w:val="en-PH"/>
        </w:rPr>
        <w:t>where:</w:t>
      </w:r>
    </w:p>
    <w:p w14:paraId="6AED6016" w14:textId="77777777" w:rsidR="00EB5D04" w:rsidRPr="00B1089B" w:rsidRDefault="00EB5D04" w:rsidP="00D73AB4">
      <w:pPr>
        <w:pStyle w:val="Body"/>
        <w:spacing w:after="0"/>
        <w:rPr>
          <w:rFonts w:ascii="Arial" w:hAnsi="Arial" w:cs="Arial"/>
          <w:sz w:val="22"/>
          <w:szCs w:val="22"/>
          <w:lang w:val="en-PH"/>
        </w:rPr>
      </w:pPr>
    </w:p>
    <w:p w14:paraId="5730CD3E" w14:textId="10EB9BB4" w:rsidR="00EB5D04" w:rsidRPr="00B1089B" w:rsidRDefault="00EB5D04" w:rsidP="00EB5D04">
      <w:pPr>
        <w:pStyle w:val="Body"/>
        <w:numPr>
          <w:ilvl w:val="0"/>
          <w:numId w:val="33"/>
        </w:numPr>
        <w:spacing w:after="0"/>
        <w:rPr>
          <w:rFonts w:ascii="Arial" w:hAnsi="Arial" w:cs="Arial"/>
          <w:sz w:val="22"/>
          <w:szCs w:val="22"/>
          <w:lang w:val="en-PH"/>
        </w:rPr>
      </w:pPr>
      <w:r w:rsidRPr="00B1089B">
        <w:rPr>
          <w:rFonts w:ascii="Arial" w:hAnsi="Arial" w:cs="Arial"/>
          <w:sz w:val="22"/>
          <w:szCs w:val="22"/>
          <w:lang w:val="en-PH"/>
        </w:rPr>
        <w:t xml:space="preserve">n is the total number of discordant pairs </w:t>
      </w:r>
    </w:p>
    <w:p w14:paraId="7116D216" w14:textId="04D6A435" w:rsidR="00EB5D04" w:rsidRPr="00B1089B" w:rsidRDefault="00EB5D04" w:rsidP="00EB5D04">
      <w:pPr>
        <w:pStyle w:val="Body"/>
        <w:numPr>
          <w:ilvl w:val="0"/>
          <w:numId w:val="33"/>
        </w:numPr>
        <w:spacing w:after="0"/>
        <w:rPr>
          <w:rFonts w:ascii="Arial" w:hAnsi="Arial" w:cs="Arial"/>
          <w:sz w:val="22"/>
          <w:szCs w:val="22"/>
          <w:lang w:val="en-PH"/>
        </w:rPr>
      </w:pPr>
      <w:r w:rsidRPr="00B1089B">
        <w:rPr>
          <w:rFonts w:ascii="Arial" w:hAnsi="Arial" w:cs="Arial"/>
          <w:sz w:val="22"/>
          <w:szCs w:val="22"/>
          <w:lang w:val="en-PH"/>
        </w:rPr>
        <w:t>k is the count of pairs favoring one rater</w:t>
      </w:r>
    </w:p>
    <w:p w14:paraId="52473EA9" w14:textId="2DE446F8" w:rsidR="00EB5D04" w:rsidRPr="00B1089B" w:rsidRDefault="00EB5D04" w:rsidP="00EB5D04">
      <w:pPr>
        <w:pStyle w:val="Body"/>
        <w:numPr>
          <w:ilvl w:val="0"/>
          <w:numId w:val="33"/>
        </w:numPr>
        <w:spacing w:after="0"/>
        <w:rPr>
          <w:rFonts w:ascii="Arial" w:hAnsi="Arial" w:cs="Arial"/>
          <w:sz w:val="22"/>
          <w:szCs w:val="22"/>
          <w:lang w:val="en-PH"/>
        </w:rPr>
      </w:pPr>
      <w:r w:rsidRPr="00B1089B">
        <w:rPr>
          <w:rFonts w:ascii="Arial" w:hAnsi="Arial" w:cs="Arial"/>
          <w:sz w:val="22"/>
          <w:szCs w:val="22"/>
          <w:lang w:val="en-PH"/>
        </w:rPr>
        <w:t>p = 0.5 under the null hypothesis (no directional bias)</w:t>
      </w:r>
    </w:p>
    <w:p w14:paraId="66D83A75" w14:textId="77777777" w:rsidR="00EB5D04" w:rsidRPr="00B1089B" w:rsidRDefault="00EB5D04" w:rsidP="00EB5D04">
      <w:pPr>
        <w:pStyle w:val="Body"/>
        <w:spacing w:after="0"/>
        <w:rPr>
          <w:rFonts w:ascii="Arial" w:hAnsi="Arial" w:cs="Arial"/>
          <w:sz w:val="22"/>
          <w:szCs w:val="22"/>
          <w:lang w:val="en-PH"/>
        </w:rPr>
      </w:pPr>
    </w:p>
    <w:p w14:paraId="69418F21" w14:textId="77777777" w:rsidR="00EB5D04" w:rsidRPr="00B1089B" w:rsidRDefault="00EB5D04" w:rsidP="00EB5D04">
      <w:pPr>
        <w:pStyle w:val="Body"/>
        <w:spacing w:after="0"/>
        <w:rPr>
          <w:rFonts w:ascii="Arial" w:hAnsi="Arial" w:cs="Arial"/>
          <w:b/>
          <w:bCs/>
          <w:sz w:val="22"/>
          <w:szCs w:val="22"/>
          <w:lang w:val="en-PH"/>
        </w:rPr>
      </w:pPr>
      <w:r w:rsidRPr="00EB5D04">
        <w:rPr>
          <w:rFonts w:ascii="Arial" w:hAnsi="Arial" w:cs="Arial"/>
          <w:b/>
          <w:bCs/>
          <w:sz w:val="22"/>
          <w:szCs w:val="22"/>
          <w:lang w:val="en-PH"/>
        </w:rPr>
        <w:t>2.1.3 Marginal Homogeneity Test</w:t>
      </w:r>
    </w:p>
    <w:p w14:paraId="156D470C" w14:textId="77777777" w:rsidR="00EB5D04" w:rsidRPr="00EB5D04" w:rsidRDefault="00EB5D04" w:rsidP="00EB5D04">
      <w:pPr>
        <w:pStyle w:val="Body"/>
        <w:spacing w:after="0"/>
        <w:rPr>
          <w:rFonts w:ascii="Arial" w:hAnsi="Arial" w:cs="Arial"/>
          <w:sz w:val="22"/>
          <w:szCs w:val="22"/>
          <w:lang w:val="en-PH"/>
        </w:rPr>
      </w:pPr>
    </w:p>
    <w:p w14:paraId="131CE259" w14:textId="77777777" w:rsidR="00EB5D04" w:rsidRPr="00EB5D04" w:rsidRDefault="00EB5D04" w:rsidP="00EB5D04">
      <w:pPr>
        <w:pStyle w:val="Body"/>
        <w:spacing w:after="0"/>
        <w:rPr>
          <w:rFonts w:ascii="Arial" w:hAnsi="Arial" w:cs="Arial"/>
          <w:sz w:val="22"/>
          <w:szCs w:val="22"/>
          <w:lang w:val="en-PH"/>
        </w:rPr>
      </w:pPr>
      <w:r w:rsidRPr="00EB5D04">
        <w:rPr>
          <w:rFonts w:ascii="Arial" w:hAnsi="Arial" w:cs="Arial"/>
          <w:sz w:val="22"/>
          <w:szCs w:val="22"/>
          <w:lang w:val="en-PH"/>
        </w:rPr>
        <w:t>The Marginal Homogeneity Test, particularly the Stuart-Maxwell version, tests whether two related categorical distributions have the same marginal totals. It is suitable for ordinal data with more than two categories and is based on the multinomial model (Stuart, 1955; Maxwell, 1970).</w:t>
      </w:r>
    </w:p>
    <w:p w14:paraId="44A64682" w14:textId="77777777" w:rsidR="00EB5D04" w:rsidRPr="00B1089B" w:rsidRDefault="00EB5D04" w:rsidP="00EB5D04">
      <w:pPr>
        <w:pStyle w:val="Body"/>
        <w:spacing w:after="0"/>
        <w:rPr>
          <w:rFonts w:ascii="Arial" w:hAnsi="Arial" w:cs="Arial"/>
          <w:sz w:val="22"/>
          <w:szCs w:val="22"/>
          <w:lang w:val="en-PH"/>
        </w:rPr>
      </w:pPr>
    </w:p>
    <w:p w14:paraId="68C9DFF3" w14:textId="3DD6B997" w:rsidR="000F2919" w:rsidRPr="00B1089B" w:rsidRDefault="000F2919" w:rsidP="00EB5D04">
      <w:pPr>
        <w:pStyle w:val="Body"/>
        <w:spacing w:after="0"/>
        <w:rPr>
          <w:rFonts w:ascii="Arial" w:hAnsi="Arial" w:cs="Arial"/>
          <w:sz w:val="22"/>
          <w:szCs w:val="22"/>
          <w:lang w:val="en-PH"/>
        </w:rPr>
      </w:pPr>
      <w:r w:rsidRPr="00B1089B">
        <w:rPr>
          <w:rFonts w:ascii="Arial" w:hAnsi="Arial" w:cs="Arial"/>
          <w:sz w:val="22"/>
          <w:szCs w:val="22"/>
          <w:lang w:val="en-PH"/>
        </w:rPr>
        <w:t xml:space="preserve">The test statistic is </w:t>
      </w:r>
    </w:p>
    <w:p w14:paraId="53D38925" w14:textId="77777777" w:rsidR="000F2919" w:rsidRPr="00B1089B" w:rsidRDefault="000F2919" w:rsidP="00EB5D04">
      <w:pPr>
        <w:pStyle w:val="Body"/>
        <w:spacing w:after="0"/>
        <w:rPr>
          <w:rFonts w:ascii="Arial" w:hAnsi="Arial" w:cs="Arial"/>
          <w:sz w:val="22"/>
          <w:szCs w:val="22"/>
          <w:lang w:val="en-PH"/>
        </w:rPr>
      </w:pPr>
    </w:p>
    <w:p w14:paraId="2500C3A7" w14:textId="43A98B56" w:rsidR="000F2919" w:rsidRPr="00B1089B" w:rsidRDefault="00000000" w:rsidP="00EB5D04">
      <w:pPr>
        <w:pStyle w:val="Body"/>
        <w:spacing w:after="0"/>
        <w:rPr>
          <w:rFonts w:ascii="Arial" w:hAnsi="Arial" w:cs="Arial"/>
          <w:sz w:val="22"/>
          <w:szCs w:val="22"/>
          <w:lang w:val="en-PH"/>
        </w:rPr>
      </w:pPr>
      <m:oMathPara>
        <m:oMath>
          <m:sSup>
            <m:sSupPr>
              <m:ctrlPr>
                <w:rPr>
                  <w:rFonts w:ascii="Cambria Math" w:hAnsi="Cambria Math" w:cs="Arial"/>
                  <w:i/>
                  <w:sz w:val="22"/>
                  <w:szCs w:val="22"/>
                  <w:lang w:val="en-PH"/>
                </w:rPr>
              </m:ctrlPr>
            </m:sSupPr>
            <m:e>
              <m:r>
                <m:rPr>
                  <m:scr m:val="script"/>
                </m:rPr>
                <w:rPr>
                  <w:rFonts w:ascii="Cambria Math" w:hAnsi="Cambria Math" w:cs="Arial"/>
                  <w:sz w:val="22"/>
                  <w:szCs w:val="22"/>
                  <w:lang w:val="en-PH"/>
                </w:rPr>
                <m:t>X</m:t>
              </m:r>
            </m:e>
            <m:sup>
              <m:r>
                <w:rPr>
                  <w:rFonts w:ascii="Cambria Math" w:hAnsi="Cambria Math" w:cs="Arial"/>
                  <w:sz w:val="22"/>
                  <w:szCs w:val="22"/>
                  <w:lang w:val="en-PH"/>
                </w:rPr>
                <m:t>2</m:t>
              </m:r>
            </m:sup>
          </m:sSup>
          <m:r>
            <w:rPr>
              <w:rFonts w:ascii="Cambria Math" w:hAnsi="Cambria Math" w:cs="Arial"/>
              <w:sz w:val="22"/>
              <w:szCs w:val="22"/>
              <w:lang w:val="en-PH"/>
            </w:rPr>
            <m:t>=</m:t>
          </m:r>
          <m:f>
            <m:fPr>
              <m:ctrlPr>
                <w:rPr>
                  <w:rFonts w:ascii="Cambria Math" w:hAnsi="Cambria Math" w:cs="Arial"/>
                  <w:i/>
                  <w:sz w:val="22"/>
                  <w:szCs w:val="22"/>
                  <w:lang w:val="en-PH"/>
                </w:rPr>
              </m:ctrlPr>
            </m:fPr>
            <m:num>
              <m:nary>
                <m:naryPr>
                  <m:chr m:val="∑"/>
                  <m:limLoc m:val="subSup"/>
                  <m:ctrlPr>
                    <w:rPr>
                      <w:rFonts w:ascii="Cambria Math" w:hAnsi="Cambria Math" w:cs="Arial"/>
                      <w:i/>
                      <w:sz w:val="22"/>
                      <w:szCs w:val="22"/>
                      <w:lang w:val="en-PH"/>
                    </w:rPr>
                  </m:ctrlPr>
                </m:naryPr>
                <m:sub>
                  <m:r>
                    <w:rPr>
                      <w:rFonts w:ascii="Cambria Math" w:hAnsi="Cambria Math" w:cs="Arial"/>
                      <w:sz w:val="22"/>
                      <w:szCs w:val="22"/>
                      <w:lang w:val="en-PH"/>
                    </w:rPr>
                    <m:t>i=1</m:t>
                  </m:r>
                </m:sub>
                <m:sup>
                  <m:r>
                    <w:rPr>
                      <w:rFonts w:ascii="Cambria Math" w:hAnsi="Cambria Math" w:cs="Arial"/>
                      <w:sz w:val="22"/>
                      <w:szCs w:val="22"/>
                      <w:lang w:val="en-PH"/>
                    </w:rPr>
                    <m:t>k</m:t>
                  </m:r>
                </m:sup>
                <m:e>
                  <m:sSup>
                    <m:sSupPr>
                      <m:ctrlPr>
                        <w:rPr>
                          <w:rFonts w:ascii="Cambria Math" w:hAnsi="Cambria Math" w:cs="Arial"/>
                          <w:i/>
                          <w:sz w:val="22"/>
                          <w:szCs w:val="22"/>
                          <w:lang w:val="en-PH"/>
                        </w:rPr>
                      </m:ctrlPr>
                    </m:sSupPr>
                    <m:e>
                      <m:d>
                        <m:dPr>
                          <m:ctrlPr>
                            <w:rPr>
                              <w:rFonts w:ascii="Cambria Math" w:hAnsi="Cambria Math" w:cs="Arial"/>
                              <w:i/>
                              <w:sz w:val="22"/>
                              <w:szCs w:val="22"/>
                              <w:lang w:val="en-PH"/>
                            </w:rPr>
                          </m:ctrlPr>
                        </m:dPr>
                        <m:e>
                          <m:sSub>
                            <m:sSubPr>
                              <m:ctrlPr>
                                <w:rPr>
                                  <w:rFonts w:ascii="Cambria Math" w:hAnsi="Cambria Math" w:cs="Arial"/>
                                  <w:i/>
                                  <w:sz w:val="22"/>
                                  <w:szCs w:val="22"/>
                                  <w:lang w:val="en-PH"/>
                                </w:rPr>
                              </m:ctrlPr>
                            </m:sSubPr>
                            <m:e>
                              <m:r>
                                <w:rPr>
                                  <w:rFonts w:ascii="Cambria Math" w:hAnsi="Cambria Math" w:cs="Arial"/>
                                  <w:sz w:val="22"/>
                                  <w:szCs w:val="22"/>
                                  <w:lang w:val="en-PH"/>
                                </w:rPr>
                                <m:t>R</m:t>
                              </m:r>
                            </m:e>
                            <m:sub>
                              <m:r>
                                <w:rPr>
                                  <w:rFonts w:ascii="Cambria Math" w:hAnsi="Cambria Math" w:cs="Arial"/>
                                  <w:sz w:val="22"/>
                                  <w:szCs w:val="22"/>
                                  <w:lang w:val="en-PH"/>
                                </w:rPr>
                                <m:t>i</m:t>
                              </m:r>
                            </m:sub>
                          </m:sSub>
                          <m:r>
                            <w:rPr>
                              <w:rFonts w:ascii="Cambria Math" w:hAnsi="Cambria Math" w:cs="Arial"/>
                              <w:sz w:val="22"/>
                              <w:szCs w:val="22"/>
                              <w:lang w:val="en-PH"/>
                            </w:rPr>
                            <m:t xml:space="preserve"> - </m:t>
                          </m:r>
                          <m:sSub>
                            <m:sSubPr>
                              <m:ctrlPr>
                                <w:rPr>
                                  <w:rFonts w:ascii="Cambria Math" w:hAnsi="Cambria Math" w:cs="Arial"/>
                                  <w:i/>
                                  <w:sz w:val="22"/>
                                  <w:szCs w:val="22"/>
                                  <w:lang w:val="en-PH"/>
                                </w:rPr>
                              </m:ctrlPr>
                            </m:sSubPr>
                            <m:e>
                              <m:r>
                                <w:rPr>
                                  <w:rFonts w:ascii="Cambria Math" w:hAnsi="Cambria Math" w:cs="Arial"/>
                                  <w:sz w:val="22"/>
                                  <w:szCs w:val="22"/>
                                  <w:lang w:val="en-PH"/>
                                </w:rPr>
                                <m:t>C</m:t>
                              </m:r>
                            </m:e>
                            <m:sub>
                              <m:r>
                                <w:rPr>
                                  <w:rFonts w:ascii="Cambria Math" w:hAnsi="Cambria Math" w:cs="Arial"/>
                                  <w:sz w:val="22"/>
                                  <w:szCs w:val="22"/>
                                  <w:lang w:val="en-PH"/>
                                </w:rPr>
                                <m:t>i</m:t>
                              </m:r>
                            </m:sub>
                          </m:sSub>
                        </m:e>
                      </m:d>
                    </m:e>
                    <m:sup>
                      <m:r>
                        <w:rPr>
                          <w:rFonts w:ascii="Cambria Math" w:hAnsi="Cambria Math" w:cs="Arial"/>
                          <w:sz w:val="22"/>
                          <w:szCs w:val="22"/>
                          <w:lang w:val="en-PH"/>
                        </w:rPr>
                        <m:t>2</m:t>
                      </m:r>
                    </m:sup>
                  </m:sSup>
                </m:e>
              </m:nary>
            </m:num>
            <m:den>
              <m:sSub>
                <m:sSubPr>
                  <m:ctrlPr>
                    <w:rPr>
                      <w:rFonts w:ascii="Cambria Math" w:hAnsi="Cambria Math" w:cs="Arial"/>
                      <w:i/>
                      <w:sz w:val="22"/>
                      <w:szCs w:val="22"/>
                      <w:lang w:val="en-PH"/>
                    </w:rPr>
                  </m:ctrlPr>
                </m:sSubPr>
                <m:e>
                  <m:r>
                    <w:rPr>
                      <w:rFonts w:ascii="Cambria Math" w:hAnsi="Cambria Math" w:cs="Arial"/>
                      <w:sz w:val="22"/>
                      <w:szCs w:val="22"/>
                      <w:lang w:val="en-PH"/>
                    </w:rPr>
                    <m:t>R</m:t>
                  </m:r>
                </m:e>
                <m:sub>
                  <m:r>
                    <w:rPr>
                      <w:rFonts w:ascii="Cambria Math" w:hAnsi="Cambria Math" w:cs="Arial"/>
                      <w:sz w:val="22"/>
                      <w:szCs w:val="22"/>
                      <w:lang w:val="en-PH"/>
                    </w:rPr>
                    <m:t>i</m:t>
                  </m:r>
                </m:sub>
              </m:sSub>
              <m:r>
                <w:rPr>
                  <w:rFonts w:ascii="Cambria Math" w:hAnsi="Cambria Math" w:cs="Arial"/>
                  <w:sz w:val="22"/>
                  <w:szCs w:val="22"/>
                  <w:lang w:val="en-PH"/>
                </w:rPr>
                <m:t>+</m:t>
              </m:r>
              <m:sSub>
                <m:sSubPr>
                  <m:ctrlPr>
                    <w:rPr>
                      <w:rFonts w:ascii="Cambria Math" w:hAnsi="Cambria Math" w:cs="Arial"/>
                      <w:i/>
                      <w:sz w:val="22"/>
                      <w:szCs w:val="22"/>
                      <w:lang w:val="en-PH"/>
                    </w:rPr>
                  </m:ctrlPr>
                </m:sSubPr>
                <m:e>
                  <m:r>
                    <w:rPr>
                      <w:rFonts w:ascii="Cambria Math" w:hAnsi="Cambria Math" w:cs="Arial"/>
                      <w:sz w:val="22"/>
                      <w:szCs w:val="22"/>
                      <w:lang w:val="en-PH"/>
                    </w:rPr>
                    <m:t>C</m:t>
                  </m:r>
                </m:e>
                <m:sub>
                  <m:r>
                    <w:rPr>
                      <w:rFonts w:ascii="Cambria Math" w:hAnsi="Cambria Math" w:cs="Arial"/>
                      <w:sz w:val="22"/>
                      <w:szCs w:val="22"/>
                      <w:lang w:val="en-PH"/>
                    </w:rPr>
                    <m:t>i</m:t>
                  </m:r>
                </m:sub>
              </m:sSub>
            </m:den>
          </m:f>
        </m:oMath>
      </m:oMathPara>
    </w:p>
    <w:p w14:paraId="570FC380" w14:textId="77777777" w:rsidR="000F2919" w:rsidRPr="00B1089B" w:rsidRDefault="000F2919" w:rsidP="00EB5D04">
      <w:pPr>
        <w:pStyle w:val="Body"/>
        <w:spacing w:after="0"/>
        <w:rPr>
          <w:rFonts w:ascii="Arial" w:hAnsi="Arial" w:cs="Arial"/>
          <w:sz w:val="22"/>
          <w:szCs w:val="22"/>
          <w:lang w:val="en-PH"/>
        </w:rPr>
      </w:pPr>
    </w:p>
    <w:p w14:paraId="235882CE" w14:textId="77777777" w:rsidR="000F2919" w:rsidRPr="00B1089B" w:rsidRDefault="000F2919" w:rsidP="00EB5D04">
      <w:pPr>
        <w:pStyle w:val="Body"/>
        <w:spacing w:after="0"/>
        <w:rPr>
          <w:rFonts w:ascii="Arial" w:hAnsi="Arial" w:cs="Arial"/>
          <w:sz w:val="22"/>
          <w:szCs w:val="22"/>
          <w:lang w:val="en-PH"/>
        </w:rPr>
      </w:pPr>
      <w:r w:rsidRPr="00B1089B">
        <w:rPr>
          <w:rFonts w:ascii="Arial" w:hAnsi="Arial" w:cs="Arial"/>
          <w:sz w:val="22"/>
          <w:szCs w:val="22"/>
          <w:lang w:val="en-PH"/>
        </w:rPr>
        <w:t>where:</w:t>
      </w:r>
    </w:p>
    <w:p w14:paraId="6683B5DB" w14:textId="77777777" w:rsidR="000F2919" w:rsidRPr="00B1089B" w:rsidRDefault="000F2919" w:rsidP="00EB5D04">
      <w:pPr>
        <w:pStyle w:val="Body"/>
        <w:spacing w:after="0"/>
        <w:rPr>
          <w:rFonts w:ascii="Arial" w:hAnsi="Arial" w:cs="Arial"/>
          <w:sz w:val="22"/>
          <w:szCs w:val="22"/>
          <w:lang w:val="en-PH"/>
        </w:rPr>
      </w:pPr>
    </w:p>
    <w:p w14:paraId="2A4C4FB8" w14:textId="2253BAFA" w:rsidR="000F2919" w:rsidRPr="00B1089B" w:rsidRDefault="00000000" w:rsidP="000F2919">
      <w:pPr>
        <w:pStyle w:val="Body"/>
        <w:numPr>
          <w:ilvl w:val="0"/>
          <w:numId w:val="34"/>
        </w:numPr>
        <w:spacing w:after="0"/>
        <w:rPr>
          <w:rFonts w:ascii="Arial" w:hAnsi="Arial" w:cs="Arial"/>
          <w:sz w:val="22"/>
          <w:szCs w:val="22"/>
          <w:lang w:val="en-PH"/>
        </w:rPr>
      </w:pPr>
      <m:oMath>
        <m:sSub>
          <m:sSubPr>
            <m:ctrlPr>
              <w:rPr>
                <w:rFonts w:ascii="Cambria Math" w:hAnsi="Cambria Math" w:cs="Arial"/>
                <w:i/>
                <w:sz w:val="22"/>
                <w:szCs w:val="22"/>
                <w:lang w:val="en-PH"/>
              </w:rPr>
            </m:ctrlPr>
          </m:sSubPr>
          <m:e>
            <m:r>
              <w:rPr>
                <w:rFonts w:ascii="Cambria Math" w:hAnsi="Cambria Math" w:cs="Arial"/>
                <w:sz w:val="22"/>
                <w:szCs w:val="22"/>
                <w:lang w:val="en-PH"/>
              </w:rPr>
              <m:t>R</m:t>
            </m:r>
          </m:e>
          <m:sub>
            <m:r>
              <w:rPr>
                <w:rFonts w:ascii="Cambria Math" w:hAnsi="Cambria Math" w:cs="Arial"/>
                <w:sz w:val="22"/>
                <w:szCs w:val="22"/>
                <w:lang w:val="en-PH"/>
              </w:rPr>
              <m:t>i</m:t>
            </m:r>
          </m:sub>
        </m:sSub>
        <m:r>
          <w:rPr>
            <w:rFonts w:ascii="Cambria Math" w:hAnsi="Cambria Math" w:cs="Arial"/>
            <w:sz w:val="22"/>
            <w:szCs w:val="22"/>
            <w:lang w:val="en-PH"/>
          </w:rPr>
          <m:t>+</m:t>
        </m:r>
        <m:sSub>
          <m:sSubPr>
            <m:ctrlPr>
              <w:rPr>
                <w:rFonts w:ascii="Cambria Math" w:hAnsi="Cambria Math" w:cs="Arial"/>
                <w:i/>
                <w:sz w:val="22"/>
                <w:szCs w:val="22"/>
                <w:lang w:val="en-PH"/>
              </w:rPr>
            </m:ctrlPr>
          </m:sSubPr>
          <m:e>
            <m:r>
              <w:rPr>
                <w:rFonts w:ascii="Cambria Math" w:hAnsi="Cambria Math" w:cs="Arial"/>
                <w:sz w:val="22"/>
                <w:szCs w:val="22"/>
                <w:lang w:val="en-PH"/>
              </w:rPr>
              <m:t>C</m:t>
            </m:r>
          </m:e>
          <m:sub>
            <m:r>
              <w:rPr>
                <w:rFonts w:ascii="Cambria Math" w:hAnsi="Cambria Math" w:cs="Arial"/>
                <w:sz w:val="22"/>
                <w:szCs w:val="22"/>
                <w:lang w:val="en-PH"/>
              </w:rPr>
              <m:t>i</m:t>
            </m:r>
          </m:sub>
        </m:sSub>
      </m:oMath>
      <w:r w:rsidR="000F2919" w:rsidRPr="00B1089B">
        <w:rPr>
          <w:rFonts w:ascii="Arial" w:hAnsi="Arial" w:cs="Arial"/>
          <w:sz w:val="22"/>
          <w:szCs w:val="22"/>
          <w:lang w:val="en-PH"/>
        </w:rPr>
        <w:t xml:space="preserve"> are the row and column totals for each category </w:t>
      </w:r>
      <m:oMath>
        <m:r>
          <w:rPr>
            <w:rFonts w:ascii="Cambria Math" w:hAnsi="Cambria Math" w:cs="Arial"/>
            <w:sz w:val="22"/>
            <w:szCs w:val="22"/>
            <w:lang w:val="en-PH"/>
          </w:rPr>
          <m:t>i</m:t>
        </m:r>
      </m:oMath>
    </w:p>
    <w:p w14:paraId="76C36983" w14:textId="2A7CB343" w:rsidR="000F2919" w:rsidRPr="00B1089B" w:rsidRDefault="000F2919" w:rsidP="000F2919">
      <w:pPr>
        <w:pStyle w:val="Body"/>
        <w:numPr>
          <w:ilvl w:val="0"/>
          <w:numId w:val="34"/>
        </w:numPr>
        <w:spacing w:after="0"/>
        <w:rPr>
          <w:rFonts w:ascii="Arial" w:hAnsi="Arial" w:cs="Arial"/>
          <w:sz w:val="22"/>
          <w:szCs w:val="22"/>
          <w:lang w:val="en-PH"/>
        </w:rPr>
      </w:pPr>
      <w:r w:rsidRPr="00B1089B">
        <w:rPr>
          <w:rFonts w:ascii="Arial" w:hAnsi="Arial" w:cs="Arial"/>
          <w:sz w:val="22"/>
          <w:szCs w:val="22"/>
          <w:lang w:val="en-PH"/>
        </w:rPr>
        <w:t>k is the number of categories</w:t>
      </w:r>
    </w:p>
    <w:p w14:paraId="0F449F9F" w14:textId="77777777" w:rsidR="004911E0" w:rsidRPr="00B1089B" w:rsidRDefault="004911E0" w:rsidP="004911E0">
      <w:pPr>
        <w:pStyle w:val="Body"/>
        <w:spacing w:after="0"/>
        <w:rPr>
          <w:rFonts w:ascii="Arial" w:hAnsi="Arial" w:cs="Arial"/>
          <w:sz w:val="22"/>
          <w:szCs w:val="22"/>
          <w:lang w:val="en-PH"/>
        </w:rPr>
      </w:pPr>
    </w:p>
    <w:p w14:paraId="1DAB9A22" w14:textId="1830BA10" w:rsidR="004911E0" w:rsidRPr="00B1089B" w:rsidRDefault="004911E0" w:rsidP="004911E0">
      <w:pPr>
        <w:pStyle w:val="Body"/>
        <w:spacing w:after="0"/>
        <w:rPr>
          <w:rFonts w:ascii="Arial" w:hAnsi="Arial" w:cs="Arial"/>
          <w:sz w:val="22"/>
          <w:szCs w:val="22"/>
          <w:lang w:val="en-PH"/>
        </w:rPr>
      </w:pPr>
      <w:r w:rsidRPr="00B1089B">
        <w:rPr>
          <w:rFonts w:ascii="Arial" w:hAnsi="Arial" w:cs="Arial"/>
          <w:sz w:val="22"/>
          <w:szCs w:val="22"/>
          <w:lang w:val="en-PH"/>
        </w:rPr>
        <w:t xml:space="preserve">This follows a chi-square distribution with </w:t>
      </w:r>
      <m:oMath>
        <m:r>
          <w:rPr>
            <w:rFonts w:ascii="Cambria Math" w:hAnsi="Cambria Math" w:cs="Arial"/>
            <w:sz w:val="22"/>
            <w:szCs w:val="22"/>
            <w:lang w:val="en-PH"/>
          </w:rPr>
          <m:t>k-1</m:t>
        </m:r>
      </m:oMath>
      <w:r w:rsidRPr="00B1089B">
        <w:rPr>
          <w:rFonts w:ascii="Arial" w:hAnsi="Arial" w:cs="Arial"/>
          <w:sz w:val="22"/>
          <w:szCs w:val="22"/>
          <w:lang w:val="en-PH"/>
        </w:rPr>
        <w:t xml:space="preserve"> degrees of freedom.</w:t>
      </w:r>
    </w:p>
    <w:p w14:paraId="7602411D" w14:textId="77777777" w:rsidR="004911E0" w:rsidRPr="00B1089B" w:rsidRDefault="004911E0" w:rsidP="004911E0">
      <w:pPr>
        <w:pStyle w:val="Body"/>
        <w:spacing w:after="0"/>
        <w:rPr>
          <w:rFonts w:ascii="Arial" w:hAnsi="Arial" w:cs="Arial"/>
          <w:sz w:val="22"/>
          <w:szCs w:val="22"/>
          <w:lang w:val="en-PH"/>
        </w:rPr>
      </w:pPr>
    </w:p>
    <w:p w14:paraId="6CA6536E" w14:textId="77777777" w:rsidR="004911E0" w:rsidRPr="00B1089B" w:rsidRDefault="004911E0" w:rsidP="004911E0">
      <w:pPr>
        <w:pStyle w:val="Body"/>
        <w:spacing w:after="0"/>
        <w:rPr>
          <w:rFonts w:ascii="Arial" w:hAnsi="Arial" w:cs="Arial"/>
          <w:b/>
          <w:bCs/>
          <w:sz w:val="22"/>
          <w:szCs w:val="22"/>
          <w:lang w:val="en-PH"/>
        </w:rPr>
      </w:pPr>
      <w:r w:rsidRPr="004911E0">
        <w:rPr>
          <w:rFonts w:ascii="Arial" w:hAnsi="Arial" w:cs="Arial"/>
          <w:b/>
          <w:bCs/>
          <w:sz w:val="22"/>
          <w:szCs w:val="22"/>
          <w:lang w:val="en-PH"/>
        </w:rPr>
        <w:t>2.1.4 Bias Index</w:t>
      </w:r>
    </w:p>
    <w:p w14:paraId="0092F310" w14:textId="77777777" w:rsidR="004911E0" w:rsidRPr="004911E0" w:rsidRDefault="004911E0" w:rsidP="004911E0">
      <w:pPr>
        <w:pStyle w:val="Body"/>
        <w:spacing w:after="0"/>
        <w:rPr>
          <w:rFonts w:ascii="Arial" w:hAnsi="Arial" w:cs="Arial"/>
          <w:sz w:val="22"/>
          <w:szCs w:val="22"/>
          <w:lang w:val="en-PH"/>
        </w:rPr>
      </w:pPr>
    </w:p>
    <w:p w14:paraId="43DB838B" w14:textId="77777777" w:rsidR="004911E0" w:rsidRPr="00B1089B" w:rsidRDefault="004911E0" w:rsidP="004911E0">
      <w:pPr>
        <w:pStyle w:val="Body"/>
        <w:spacing w:after="0"/>
        <w:rPr>
          <w:rFonts w:ascii="Arial" w:hAnsi="Arial" w:cs="Arial"/>
          <w:sz w:val="22"/>
          <w:szCs w:val="22"/>
          <w:lang w:val="en-PH"/>
        </w:rPr>
      </w:pPr>
      <w:r w:rsidRPr="004911E0">
        <w:rPr>
          <w:rFonts w:ascii="Arial" w:hAnsi="Arial" w:cs="Arial"/>
          <w:sz w:val="22"/>
          <w:szCs w:val="22"/>
          <w:lang w:val="en-PH"/>
        </w:rPr>
        <w:t>The Bias Index (BI) is a descriptive statistic that quantifies the direction and magnitude of bias between two raters. It is especially useful in identifying systematic deviations in ordinal data (</w:t>
      </w:r>
      <w:proofErr w:type="spellStart"/>
      <w:r w:rsidRPr="004911E0">
        <w:rPr>
          <w:rFonts w:ascii="Arial" w:hAnsi="Arial" w:cs="Arial"/>
          <w:sz w:val="22"/>
          <w:szCs w:val="22"/>
          <w:lang w:val="en-PH"/>
        </w:rPr>
        <w:t>Ludbrook</w:t>
      </w:r>
      <w:proofErr w:type="spellEnd"/>
      <w:r w:rsidRPr="004911E0">
        <w:rPr>
          <w:rFonts w:ascii="Arial" w:hAnsi="Arial" w:cs="Arial"/>
          <w:sz w:val="22"/>
          <w:szCs w:val="22"/>
          <w:lang w:val="en-PH"/>
        </w:rPr>
        <w:t>, 2002; Altman &amp; Bland, 1983).</w:t>
      </w:r>
    </w:p>
    <w:p w14:paraId="5EE79CA3" w14:textId="77777777" w:rsidR="004911E0" w:rsidRPr="00B1089B" w:rsidRDefault="004911E0" w:rsidP="004911E0">
      <w:pPr>
        <w:pStyle w:val="Body"/>
        <w:spacing w:after="0"/>
        <w:rPr>
          <w:rFonts w:ascii="Arial" w:hAnsi="Arial" w:cs="Arial"/>
          <w:sz w:val="22"/>
          <w:szCs w:val="22"/>
          <w:lang w:val="en-PH"/>
        </w:rPr>
      </w:pPr>
    </w:p>
    <w:p w14:paraId="59591D04" w14:textId="12BEFD2C" w:rsidR="004911E0" w:rsidRPr="00B1089B" w:rsidRDefault="004911E0" w:rsidP="004911E0">
      <w:pPr>
        <w:pStyle w:val="Body"/>
        <w:spacing w:after="0"/>
        <w:rPr>
          <w:rFonts w:ascii="Arial" w:hAnsi="Arial" w:cs="Arial"/>
          <w:sz w:val="22"/>
          <w:szCs w:val="22"/>
          <w:lang w:val="en-PH"/>
        </w:rPr>
      </w:pPr>
      <w:r w:rsidRPr="00B1089B">
        <w:rPr>
          <w:rFonts w:ascii="Arial" w:hAnsi="Arial" w:cs="Arial"/>
          <w:sz w:val="22"/>
          <w:szCs w:val="22"/>
          <w:lang w:val="en-PH"/>
        </w:rPr>
        <w:t xml:space="preserve">The formula is: </w:t>
      </w:r>
    </w:p>
    <w:p w14:paraId="3D3F17EA" w14:textId="77777777" w:rsidR="004911E0" w:rsidRPr="00B1089B" w:rsidRDefault="004911E0" w:rsidP="004911E0">
      <w:pPr>
        <w:pStyle w:val="Body"/>
        <w:spacing w:after="0"/>
        <w:rPr>
          <w:rFonts w:ascii="Arial" w:hAnsi="Arial" w:cs="Arial"/>
          <w:sz w:val="22"/>
          <w:szCs w:val="22"/>
          <w:lang w:val="en-PH"/>
        </w:rPr>
      </w:pPr>
    </w:p>
    <w:p w14:paraId="7DE6EB9A" w14:textId="5E4B0E0E" w:rsidR="004911E0" w:rsidRPr="00B1089B" w:rsidRDefault="004911E0" w:rsidP="004911E0">
      <w:pPr>
        <w:pStyle w:val="Body"/>
        <w:spacing w:after="0"/>
        <w:rPr>
          <w:rFonts w:ascii="Arial" w:hAnsi="Arial" w:cs="Arial"/>
          <w:sz w:val="22"/>
          <w:szCs w:val="22"/>
          <w:lang w:val="en-PH"/>
        </w:rPr>
      </w:pPr>
      <m:oMathPara>
        <m:oMath>
          <m:r>
            <w:rPr>
              <w:rFonts w:ascii="Cambria Math" w:hAnsi="Cambria Math" w:cs="Arial"/>
              <w:sz w:val="22"/>
              <w:szCs w:val="22"/>
              <w:lang w:val="en-PH"/>
            </w:rPr>
            <m:t xml:space="preserve">BI = </m:t>
          </m:r>
          <m:f>
            <m:fPr>
              <m:ctrlPr>
                <w:rPr>
                  <w:rFonts w:ascii="Cambria Math" w:hAnsi="Cambria Math" w:cs="Arial"/>
                  <w:i/>
                  <w:sz w:val="22"/>
                  <w:szCs w:val="22"/>
                  <w:lang w:val="en-PH"/>
                </w:rPr>
              </m:ctrlPr>
            </m:fPr>
            <m:num>
              <m:nary>
                <m:naryPr>
                  <m:chr m:val="∑"/>
                  <m:limLoc m:val="undOvr"/>
                  <m:subHide m:val="1"/>
                  <m:supHide m:val="1"/>
                  <m:ctrlPr>
                    <w:rPr>
                      <w:rFonts w:ascii="Cambria Math" w:hAnsi="Cambria Math" w:cs="Arial"/>
                      <w:i/>
                      <w:sz w:val="22"/>
                      <w:szCs w:val="22"/>
                      <w:lang w:val="en-PH"/>
                    </w:rPr>
                  </m:ctrlPr>
                </m:naryPr>
                <m:sub/>
                <m:sup/>
                <m:e>
                  <m:r>
                    <w:rPr>
                      <w:rFonts w:ascii="Cambria Math" w:hAnsi="Cambria Math" w:cs="Arial"/>
                      <w:sz w:val="22"/>
                      <w:szCs w:val="22"/>
                      <w:lang w:val="en-PH"/>
                    </w:rPr>
                    <m:t>UR</m:t>
                  </m:r>
                </m:e>
              </m:nary>
              <m:r>
                <w:rPr>
                  <w:rFonts w:ascii="Cambria Math" w:hAnsi="Cambria Math" w:cs="Arial"/>
                  <w:sz w:val="22"/>
                  <w:szCs w:val="22"/>
                  <w:lang w:val="en-PH"/>
                </w:rPr>
                <m:t>-</m:t>
              </m:r>
              <m:nary>
                <m:naryPr>
                  <m:chr m:val="∑"/>
                  <m:limLoc m:val="undOvr"/>
                  <m:subHide m:val="1"/>
                  <m:supHide m:val="1"/>
                  <m:ctrlPr>
                    <w:rPr>
                      <w:rFonts w:ascii="Cambria Math" w:hAnsi="Cambria Math" w:cs="Arial"/>
                      <w:i/>
                      <w:sz w:val="22"/>
                      <w:szCs w:val="22"/>
                      <w:lang w:val="en-PH"/>
                    </w:rPr>
                  </m:ctrlPr>
                </m:naryPr>
                <m:sub/>
                <m:sup/>
                <m:e>
                  <m:r>
                    <w:rPr>
                      <w:rFonts w:ascii="Cambria Math" w:hAnsi="Cambria Math" w:cs="Arial"/>
                      <w:sz w:val="22"/>
                      <w:szCs w:val="22"/>
                      <w:lang w:val="en-PH"/>
                    </w:rPr>
                    <m:t>LL</m:t>
                  </m:r>
                </m:e>
              </m:nary>
            </m:num>
            <m:den>
              <m:nary>
                <m:naryPr>
                  <m:chr m:val="∑"/>
                  <m:limLoc m:val="undOvr"/>
                  <m:subHide m:val="1"/>
                  <m:supHide m:val="1"/>
                  <m:ctrlPr>
                    <w:rPr>
                      <w:rFonts w:ascii="Cambria Math" w:hAnsi="Cambria Math" w:cs="Arial"/>
                      <w:i/>
                      <w:sz w:val="22"/>
                      <w:szCs w:val="22"/>
                      <w:lang w:val="en-PH"/>
                    </w:rPr>
                  </m:ctrlPr>
                </m:naryPr>
                <m:sub/>
                <m:sup/>
                <m:e>
                  <m:r>
                    <w:rPr>
                      <w:rFonts w:ascii="Cambria Math" w:hAnsi="Cambria Math" w:cs="Arial"/>
                      <w:sz w:val="22"/>
                      <w:szCs w:val="22"/>
                      <w:lang w:val="en-PH"/>
                    </w:rPr>
                    <m:t>UR</m:t>
                  </m:r>
                </m:e>
              </m:nary>
              <m:r>
                <w:rPr>
                  <w:rFonts w:ascii="Cambria Math" w:hAnsi="Cambria Math" w:cs="Arial"/>
                  <w:sz w:val="22"/>
                  <w:szCs w:val="22"/>
                  <w:lang w:val="en-PH"/>
                </w:rPr>
                <m:t>+</m:t>
              </m:r>
              <m:nary>
                <m:naryPr>
                  <m:chr m:val="∑"/>
                  <m:limLoc m:val="undOvr"/>
                  <m:subHide m:val="1"/>
                  <m:supHide m:val="1"/>
                  <m:ctrlPr>
                    <w:rPr>
                      <w:rFonts w:ascii="Cambria Math" w:hAnsi="Cambria Math" w:cs="Arial"/>
                      <w:i/>
                      <w:sz w:val="22"/>
                      <w:szCs w:val="22"/>
                      <w:lang w:val="en-PH"/>
                    </w:rPr>
                  </m:ctrlPr>
                </m:naryPr>
                <m:sub/>
                <m:sup/>
                <m:e>
                  <m:r>
                    <w:rPr>
                      <w:rFonts w:ascii="Cambria Math" w:hAnsi="Cambria Math" w:cs="Arial"/>
                      <w:sz w:val="22"/>
                      <w:szCs w:val="22"/>
                      <w:lang w:val="en-PH"/>
                    </w:rPr>
                    <m:t>LL</m:t>
                  </m:r>
                </m:e>
              </m:nary>
            </m:den>
          </m:f>
        </m:oMath>
      </m:oMathPara>
    </w:p>
    <w:p w14:paraId="7C8736D1" w14:textId="77777777" w:rsidR="004911E0" w:rsidRPr="00B1089B" w:rsidRDefault="004911E0" w:rsidP="004911E0">
      <w:pPr>
        <w:pStyle w:val="Body"/>
        <w:spacing w:after="0"/>
        <w:rPr>
          <w:rFonts w:ascii="Arial" w:hAnsi="Arial" w:cs="Arial"/>
          <w:sz w:val="22"/>
          <w:szCs w:val="22"/>
          <w:lang w:val="en-PH"/>
        </w:rPr>
      </w:pPr>
    </w:p>
    <w:p w14:paraId="358194C2" w14:textId="77777777" w:rsidR="004911E0" w:rsidRPr="00B1089B" w:rsidRDefault="004911E0" w:rsidP="004911E0">
      <w:pPr>
        <w:pStyle w:val="Body"/>
        <w:spacing w:after="0"/>
        <w:rPr>
          <w:rFonts w:ascii="Arial" w:hAnsi="Arial" w:cs="Arial"/>
          <w:sz w:val="22"/>
          <w:szCs w:val="22"/>
          <w:lang w:val="en-PH"/>
        </w:rPr>
      </w:pPr>
      <w:r w:rsidRPr="00B1089B">
        <w:rPr>
          <w:rFonts w:ascii="Arial" w:hAnsi="Arial" w:cs="Arial"/>
          <w:sz w:val="22"/>
          <w:szCs w:val="22"/>
          <w:lang w:val="en-PH"/>
        </w:rPr>
        <w:t>where:</w:t>
      </w:r>
    </w:p>
    <w:p w14:paraId="1B3B3E73" w14:textId="77777777" w:rsidR="004911E0" w:rsidRPr="00B1089B" w:rsidRDefault="004911E0" w:rsidP="004911E0">
      <w:pPr>
        <w:pStyle w:val="Body"/>
        <w:spacing w:after="0"/>
        <w:rPr>
          <w:rFonts w:ascii="Arial" w:hAnsi="Arial" w:cs="Arial"/>
          <w:sz w:val="22"/>
          <w:szCs w:val="22"/>
          <w:lang w:val="en-PH"/>
        </w:rPr>
      </w:pPr>
    </w:p>
    <w:p w14:paraId="1DCC7CA7" w14:textId="2F15843D" w:rsidR="004911E0" w:rsidRPr="00B1089B" w:rsidRDefault="00000000" w:rsidP="004911E0">
      <w:pPr>
        <w:pStyle w:val="Body"/>
        <w:numPr>
          <w:ilvl w:val="0"/>
          <w:numId w:val="35"/>
        </w:numPr>
        <w:spacing w:after="0"/>
        <w:rPr>
          <w:rFonts w:ascii="Arial" w:hAnsi="Arial" w:cs="Arial"/>
          <w:sz w:val="22"/>
          <w:szCs w:val="22"/>
          <w:lang w:val="en-PH"/>
        </w:rPr>
      </w:pPr>
      <m:oMath>
        <m:nary>
          <m:naryPr>
            <m:chr m:val="∑"/>
            <m:limLoc m:val="undOvr"/>
            <m:subHide m:val="1"/>
            <m:supHide m:val="1"/>
            <m:ctrlPr>
              <w:rPr>
                <w:rFonts w:ascii="Cambria Math" w:hAnsi="Cambria Math" w:cs="Arial"/>
                <w:i/>
                <w:sz w:val="22"/>
                <w:szCs w:val="22"/>
                <w:lang w:val="en-PH"/>
              </w:rPr>
            </m:ctrlPr>
          </m:naryPr>
          <m:sub/>
          <m:sup/>
          <m:e>
            <m:r>
              <w:rPr>
                <w:rFonts w:ascii="Cambria Math" w:hAnsi="Cambria Math" w:cs="Arial"/>
                <w:sz w:val="22"/>
                <w:szCs w:val="22"/>
                <w:lang w:val="en-PH"/>
              </w:rPr>
              <m:t>UR</m:t>
            </m:r>
          </m:e>
        </m:nary>
      </m:oMath>
      <w:r w:rsidR="004911E0" w:rsidRPr="00B1089B">
        <w:rPr>
          <w:rFonts w:ascii="Arial" w:hAnsi="Arial" w:cs="Arial"/>
          <w:sz w:val="22"/>
          <w:szCs w:val="22"/>
          <w:lang w:val="en-PH"/>
        </w:rPr>
        <w:t xml:space="preserve"> is the sum of frequencies in the upper right triangle of the table (when Rater A scores higher)</w:t>
      </w:r>
    </w:p>
    <w:p w14:paraId="4A90D47C" w14:textId="3115E397" w:rsidR="004911E0" w:rsidRPr="004911E0" w:rsidRDefault="00000000" w:rsidP="004911E0">
      <w:pPr>
        <w:pStyle w:val="Body"/>
        <w:numPr>
          <w:ilvl w:val="0"/>
          <w:numId w:val="35"/>
        </w:numPr>
        <w:spacing w:after="0"/>
        <w:rPr>
          <w:rFonts w:ascii="Arial" w:hAnsi="Arial" w:cs="Arial"/>
          <w:sz w:val="22"/>
          <w:szCs w:val="22"/>
          <w:lang w:val="en-PH"/>
        </w:rPr>
      </w:pPr>
      <m:oMath>
        <m:nary>
          <m:naryPr>
            <m:chr m:val="∑"/>
            <m:limLoc m:val="undOvr"/>
            <m:subHide m:val="1"/>
            <m:supHide m:val="1"/>
            <m:ctrlPr>
              <w:rPr>
                <w:rFonts w:ascii="Cambria Math" w:hAnsi="Cambria Math" w:cs="Arial"/>
                <w:i/>
                <w:sz w:val="22"/>
                <w:szCs w:val="22"/>
                <w:lang w:val="en-PH"/>
              </w:rPr>
            </m:ctrlPr>
          </m:naryPr>
          <m:sub/>
          <m:sup/>
          <m:e>
            <m:r>
              <w:rPr>
                <w:rFonts w:ascii="Cambria Math" w:hAnsi="Cambria Math" w:cs="Arial"/>
                <w:sz w:val="22"/>
                <w:szCs w:val="22"/>
                <w:lang w:val="en-PH"/>
              </w:rPr>
              <m:t>LL</m:t>
            </m:r>
          </m:e>
        </m:nary>
      </m:oMath>
      <w:r w:rsidR="004911E0" w:rsidRPr="00B1089B">
        <w:rPr>
          <w:rFonts w:ascii="Arial" w:hAnsi="Arial" w:cs="Arial"/>
          <w:sz w:val="22"/>
          <w:szCs w:val="22"/>
          <w:lang w:val="en-PH"/>
        </w:rPr>
        <w:t xml:space="preserve"> is the sum of frequencies in the lower left triangle (when Rater B scores higher)</w:t>
      </w:r>
    </w:p>
    <w:p w14:paraId="63117C3B" w14:textId="77777777" w:rsidR="004911E0" w:rsidRPr="00D73AB4" w:rsidRDefault="004911E0" w:rsidP="004911E0">
      <w:pPr>
        <w:pStyle w:val="Body"/>
        <w:spacing w:after="0"/>
        <w:rPr>
          <w:rFonts w:ascii="Arial" w:hAnsi="Arial" w:cs="Arial"/>
          <w:sz w:val="22"/>
          <w:szCs w:val="22"/>
          <w:lang w:val="en-PH"/>
        </w:rPr>
      </w:pPr>
    </w:p>
    <w:p w14:paraId="5959C8A7" w14:textId="77777777" w:rsidR="004911E0" w:rsidRPr="004911E0" w:rsidRDefault="004911E0" w:rsidP="004911E0">
      <w:pPr>
        <w:pStyle w:val="Body"/>
        <w:spacing w:after="0"/>
        <w:rPr>
          <w:rFonts w:ascii="Arial" w:hAnsi="Arial" w:cs="Arial"/>
          <w:sz w:val="22"/>
          <w:szCs w:val="22"/>
          <w:lang w:val="en-PH"/>
        </w:rPr>
      </w:pPr>
      <w:r w:rsidRPr="004911E0">
        <w:rPr>
          <w:rFonts w:ascii="Arial" w:hAnsi="Arial" w:cs="Arial"/>
          <w:sz w:val="22"/>
          <w:szCs w:val="22"/>
          <w:lang w:val="en-PH"/>
        </w:rPr>
        <w:t>The index ranges from -1 to 1, where 0 indicates no directional bias.</w:t>
      </w:r>
    </w:p>
    <w:p w14:paraId="647391A5" w14:textId="77777777" w:rsidR="004911E0" w:rsidRPr="004911E0" w:rsidRDefault="004911E0" w:rsidP="004911E0">
      <w:pPr>
        <w:pStyle w:val="Body"/>
        <w:spacing w:after="0"/>
        <w:rPr>
          <w:rFonts w:ascii="Arial" w:hAnsi="Arial" w:cs="Arial"/>
          <w:sz w:val="22"/>
          <w:szCs w:val="22"/>
          <w:lang w:val="en-PH"/>
        </w:rPr>
      </w:pPr>
      <w:r w:rsidRPr="004911E0">
        <w:rPr>
          <w:rFonts w:ascii="Arial" w:hAnsi="Arial" w:cs="Arial"/>
          <w:sz w:val="22"/>
          <w:szCs w:val="22"/>
          <w:lang w:val="en-PH"/>
        </w:rPr>
        <w:t>These four methods collectively provide a comprehensive framework for detecting bias between two raters using ordinal categorical data. Each technique highlights different aspects of disagreement and supports the robust analysis of rater behavior in studies requiring consistent and fair evaluation.</w:t>
      </w:r>
    </w:p>
    <w:p w14:paraId="3CD38192" w14:textId="77777777" w:rsidR="00D73AB4" w:rsidRPr="00B1089B" w:rsidRDefault="00D73AB4" w:rsidP="00D73AB4">
      <w:pPr>
        <w:pStyle w:val="Body"/>
        <w:spacing w:after="0"/>
        <w:rPr>
          <w:rFonts w:ascii="Arial" w:hAnsi="Arial" w:cs="Arial"/>
          <w:sz w:val="22"/>
          <w:szCs w:val="22"/>
        </w:rPr>
      </w:pPr>
    </w:p>
    <w:p w14:paraId="0DF2729E" w14:textId="4058E635" w:rsidR="00477D26" w:rsidRPr="00B1089B" w:rsidRDefault="00477D26" w:rsidP="00D73AB4">
      <w:pPr>
        <w:pStyle w:val="Body"/>
        <w:spacing w:after="0"/>
        <w:rPr>
          <w:rFonts w:ascii="Arial" w:hAnsi="Arial" w:cs="Arial"/>
          <w:b/>
          <w:bCs/>
          <w:sz w:val="22"/>
          <w:szCs w:val="22"/>
        </w:rPr>
      </w:pPr>
      <w:r w:rsidRPr="00B1089B">
        <w:rPr>
          <w:rFonts w:ascii="Arial" w:hAnsi="Arial" w:cs="Arial"/>
          <w:b/>
          <w:bCs/>
          <w:sz w:val="22"/>
          <w:szCs w:val="22"/>
        </w:rPr>
        <w:t>2.2 Procedure</w:t>
      </w:r>
    </w:p>
    <w:p w14:paraId="2ABF9EDB" w14:textId="77777777" w:rsidR="00477D26" w:rsidRDefault="00477D26" w:rsidP="00D73AB4">
      <w:pPr>
        <w:pStyle w:val="Body"/>
        <w:spacing w:after="0"/>
        <w:rPr>
          <w:rFonts w:ascii="Arial" w:hAnsi="Arial" w:cs="Arial"/>
        </w:rPr>
      </w:pPr>
    </w:p>
    <w:p w14:paraId="51206F05" w14:textId="77777777" w:rsidR="00477D26" w:rsidRPr="00B1089B" w:rsidRDefault="00477D26" w:rsidP="00477D26">
      <w:pPr>
        <w:pStyle w:val="Body"/>
        <w:rPr>
          <w:rFonts w:ascii="Arial" w:hAnsi="Arial" w:cs="Arial"/>
          <w:sz w:val="22"/>
          <w:szCs w:val="22"/>
          <w:lang w:val="en-PH"/>
        </w:rPr>
      </w:pPr>
      <w:r w:rsidRPr="00477D26">
        <w:rPr>
          <w:rFonts w:ascii="Arial" w:hAnsi="Arial" w:cs="Arial"/>
          <w:sz w:val="22"/>
          <w:szCs w:val="22"/>
          <w:lang w:val="en-PH"/>
        </w:rPr>
        <w:t>This study uses simulated contingency tables rather than actual datasets to assess the efficacy of four statistical approaches for identifying rater bias: Modified McNemar Test, Single Binomial Test, Marginal Homogeneity Test, and the Bias Index. The simulations were designed with 3×3 and 4×4 square matrices that depicted ordinal categorical evaluations conducted by two independent assessors.</w:t>
      </w:r>
    </w:p>
    <w:p w14:paraId="59EDDE96" w14:textId="77777777" w:rsidR="00477D26" w:rsidRPr="00B1089B" w:rsidRDefault="00477D26" w:rsidP="00477D26">
      <w:pPr>
        <w:pStyle w:val="Body"/>
        <w:rPr>
          <w:rFonts w:ascii="Arial" w:hAnsi="Arial" w:cs="Arial"/>
          <w:sz w:val="22"/>
          <w:szCs w:val="22"/>
          <w:lang w:val="en-PH"/>
        </w:rPr>
      </w:pPr>
      <w:r w:rsidRPr="00477D26">
        <w:rPr>
          <w:rFonts w:ascii="Arial" w:hAnsi="Arial" w:cs="Arial"/>
          <w:sz w:val="22"/>
          <w:szCs w:val="22"/>
          <w:lang w:val="en-PH"/>
        </w:rPr>
        <w:t>Each simulated table was constructed to represent varying degrees of consensus and directional inclination. These differences facilitated the observation of each method's behavior in response to differing rating patterns. The approaches were implemented on each table, and their results were evaluated based on their efficacy in detecting bias or symmetry in the ratings.</w:t>
      </w:r>
    </w:p>
    <w:p w14:paraId="6D02AFE1" w14:textId="3C5B0FFD" w:rsidR="00477D26" w:rsidRPr="00B1089B" w:rsidRDefault="00477D26" w:rsidP="00477D26">
      <w:pPr>
        <w:pStyle w:val="Body"/>
        <w:rPr>
          <w:rFonts w:ascii="Arial" w:hAnsi="Arial" w:cs="Arial"/>
          <w:sz w:val="22"/>
          <w:szCs w:val="22"/>
          <w:lang w:val="en-PH"/>
        </w:rPr>
      </w:pPr>
      <w:r w:rsidRPr="00477D26">
        <w:rPr>
          <w:rFonts w:ascii="Arial" w:hAnsi="Arial" w:cs="Arial"/>
          <w:sz w:val="22"/>
          <w:szCs w:val="22"/>
          <w:lang w:val="en-PH"/>
        </w:rPr>
        <w:t>This methodology utilized manufactured examples instead of real-world data, so ensuring consistency and control over variables, which facilitated a more precise comparison of technique sensitivity, interpretability, and theoretical alignment.</w:t>
      </w:r>
    </w:p>
    <w:p w14:paraId="5B388634" w14:textId="33AD459A" w:rsidR="00B1089B" w:rsidRPr="00B1089B" w:rsidRDefault="00B1089B" w:rsidP="00477D26">
      <w:pPr>
        <w:pStyle w:val="Body"/>
        <w:rPr>
          <w:rFonts w:ascii="Arial" w:hAnsi="Arial" w:cs="Arial"/>
          <w:b/>
          <w:bCs/>
          <w:sz w:val="22"/>
          <w:szCs w:val="22"/>
          <w:lang w:val="en-PH"/>
        </w:rPr>
      </w:pPr>
      <w:r w:rsidRPr="00B1089B">
        <w:rPr>
          <w:rFonts w:ascii="Arial" w:hAnsi="Arial" w:cs="Arial"/>
          <w:b/>
          <w:bCs/>
          <w:sz w:val="22"/>
          <w:szCs w:val="22"/>
          <w:lang w:val="en-PH"/>
        </w:rPr>
        <w:t xml:space="preserve">2.3 Comparison Framework </w:t>
      </w:r>
    </w:p>
    <w:p w14:paraId="31CB3E84" w14:textId="77777777" w:rsidR="00B1089B" w:rsidRPr="00B1089B" w:rsidRDefault="00B1089B" w:rsidP="00B1089B">
      <w:pPr>
        <w:pStyle w:val="Body"/>
        <w:rPr>
          <w:rFonts w:ascii="Arial" w:hAnsi="Arial" w:cs="Arial"/>
          <w:sz w:val="22"/>
          <w:szCs w:val="22"/>
          <w:lang w:val="en-PH"/>
        </w:rPr>
      </w:pPr>
      <w:r w:rsidRPr="00B1089B">
        <w:rPr>
          <w:rFonts w:ascii="Arial" w:hAnsi="Arial" w:cs="Arial"/>
          <w:sz w:val="22"/>
          <w:szCs w:val="22"/>
          <w:lang w:val="en-PH"/>
        </w:rPr>
        <w:lastRenderedPageBreak/>
        <w:t>This study employed a simulation-based evaluation methodology to examine the efficacy of the four statistical approaches. Each approach was implemented on similar contingency tables, wherein the degree of concordance among the diagonal entries was systematically altered (e.g., from low to high degrees of agreement). These modifications facilitated the observation of each method's response to heightened agreement and diminished off-diagonal bias.</w:t>
      </w:r>
    </w:p>
    <w:p w14:paraId="6BF3DCE6" w14:textId="77777777" w:rsidR="00B1089B" w:rsidRPr="00B1089B" w:rsidRDefault="00B1089B" w:rsidP="00B1089B">
      <w:pPr>
        <w:pStyle w:val="Body"/>
        <w:rPr>
          <w:rFonts w:ascii="Arial" w:hAnsi="Arial" w:cs="Arial"/>
          <w:sz w:val="22"/>
          <w:szCs w:val="22"/>
          <w:lang w:val="en-PH"/>
        </w:rPr>
      </w:pPr>
      <w:r w:rsidRPr="00B1089B">
        <w:rPr>
          <w:rFonts w:ascii="Arial" w:hAnsi="Arial" w:cs="Arial"/>
          <w:sz w:val="22"/>
          <w:szCs w:val="22"/>
          <w:lang w:val="en-PH"/>
        </w:rPr>
        <w:t>In each instance, the test statistic and associated p-values were documented to evaluate the method's ability to identify directional disagreement among raters. The Bias Index was calculated for each table, yielding a numerical summary of directional skew.</w:t>
      </w:r>
    </w:p>
    <w:p w14:paraId="4B86DC55" w14:textId="5174A949" w:rsidR="00D73AB4" w:rsidRPr="00B1089B" w:rsidRDefault="00B1089B" w:rsidP="00B1089B">
      <w:pPr>
        <w:pStyle w:val="Body"/>
        <w:rPr>
          <w:rFonts w:ascii="Arial" w:hAnsi="Arial" w:cs="Arial"/>
          <w:sz w:val="22"/>
          <w:szCs w:val="22"/>
          <w:lang w:val="en-PH"/>
        </w:rPr>
      </w:pPr>
      <w:r w:rsidRPr="00B1089B">
        <w:rPr>
          <w:rFonts w:ascii="Arial" w:hAnsi="Arial" w:cs="Arial"/>
          <w:sz w:val="22"/>
          <w:szCs w:val="22"/>
          <w:lang w:val="en-PH"/>
        </w:rPr>
        <w:t>This approach facilitated the assessment of each method's consistency and sensitivity across various settings, establishing the foundation for identifying the method most adept at detecting systematic bias in controlled simulations.</w:t>
      </w:r>
    </w:p>
    <w:p w14:paraId="0C351D9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0D87D85" w14:textId="77777777" w:rsidR="00B1089B" w:rsidRDefault="00B1089B" w:rsidP="00441B6F">
      <w:pPr>
        <w:pStyle w:val="Head1"/>
        <w:spacing w:after="0"/>
        <w:jc w:val="both"/>
        <w:rPr>
          <w:rFonts w:ascii="Arial" w:hAnsi="Arial" w:cs="Arial"/>
        </w:rPr>
      </w:pPr>
    </w:p>
    <w:p w14:paraId="37EB8845" w14:textId="5F3D58D9" w:rsidR="00B1089B" w:rsidRDefault="00B1089B" w:rsidP="00B1089B">
      <w:pPr>
        <w:jc w:val="both"/>
        <w:rPr>
          <w:rFonts w:ascii="Arial" w:hAnsi="Arial" w:cs="Arial"/>
          <w:sz w:val="22"/>
          <w:szCs w:val="22"/>
          <w:lang w:val="en-PH" w:eastAsia="en-PH"/>
        </w:rPr>
      </w:pPr>
      <w:r w:rsidRPr="00B1089B">
        <w:rPr>
          <w:rFonts w:ascii="Arial" w:hAnsi="Arial" w:cs="Arial"/>
          <w:sz w:val="22"/>
          <w:szCs w:val="22"/>
          <w:lang w:val="en-PH" w:eastAsia="en-PH"/>
        </w:rPr>
        <w:t xml:space="preserve">This </w:t>
      </w:r>
      <w:r w:rsidRPr="00C14920">
        <w:rPr>
          <w:rFonts w:ascii="Arial" w:hAnsi="Arial" w:cs="Arial"/>
          <w:sz w:val="22"/>
          <w:szCs w:val="22"/>
          <w:highlight w:val="yellow"/>
          <w:lang w:val="en-PH" w:eastAsia="en-PH"/>
        </w:rPr>
        <w:t xml:space="preserve">chapter </w:t>
      </w:r>
      <w:r w:rsidR="00C14920" w:rsidRPr="00C14920">
        <w:rPr>
          <w:rFonts w:ascii="Arial" w:hAnsi="Arial" w:cs="Arial"/>
          <w:sz w:val="22"/>
          <w:szCs w:val="22"/>
          <w:highlight w:val="yellow"/>
          <w:lang w:val="en-PH" w:eastAsia="en-PH"/>
        </w:rPr>
        <w:t xml:space="preserve">presents </w:t>
      </w:r>
      <w:r w:rsidRPr="00C14920">
        <w:rPr>
          <w:rFonts w:ascii="Arial" w:hAnsi="Arial" w:cs="Arial"/>
          <w:sz w:val="22"/>
          <w:szCs w:val="22"/>
          <w:highlight w:val="yellow"/>
          <w:lang w:val="en-PH" w:eastAsia="en-PH"/>
        </w:rPr>
        <w:t>the outcomes</w:t>
      </w:r>
      <w:r w:rsidRPr="00B1089B">
        <w:rPr>
          <w:rFonts w:ascii="Arial" w:hAnsi="Arial" w:cs="Arial"/>
          <w:sz w:val="22"/>
          <w:szCs w:val="22"/>
          <w:lang w:val="en-PH" w:eastAsia="en-PH"/>
        </w:rPr>
        <w:t xml:space="preserve"> of a simulation-based comparison of four statistical methodologies</w:t>
      </w:r>
      <w:r>
        <w:rPr>
          <w:rFonts w:ascii="Arial" w:hAnsi="Arial" w:cs="Arial"/>
          <w:sz w:val="22"/>
          <w:szCs w:val="22"/>
          <w:lang w:val="en-PH" w:eastAsia="en-PH"/>
        </w:rPr>
        <w:t xml:space="preserve"> </w:t>
      </w:r>
      <w:r w:rsidRPr="00B1089B">
        <w:rPr>
          <w:rFonts w:ascii="Arial" w:hAnsi="Arial" w:cs="Arial"/>
          <w:sz w:val="22"/>
          <w:szCs w:val="22"/>
          <w:lang w:val="en-PH" w:eastAsia="en-PH"/>
        </w:rPr>
        <w:t>Modified McNemar Test, Single Binomial Test, Marginal Homogeneity Test, and the Bias Index</w:t>
      </w:r>
      <w:r>
        <w:rPr>
          <w:rFonts w:ascii="Arial" w:hAnsi="Arial" w:cs="Arial"/>
          <w:sz w:val="22"/>
          <w:szCs w:val="22"/>
          <w:lang w:val="en-PH" w:eastAsia="en-PH"/>
        </w:rPr>
        <w:t xml:space="preserve"> </w:t>
      </w:r>
      <w:r w:rsidR="00D257CB">
        <w:rPr>
          <w:rFonts w:ascii="Arial" w:hAnsi="Arial" w:cs="Arial"/>
          <w:sz w:val="22"/>
          <w:szCs w:val="22"/>
          <w:lang w:val="en-PH" w:eastAsia="en-PH"/>
        </w:rPr>
        <w:t xml:space="preserve">used to </w:t>
      </w:r>
      <w:r w:rsidRPr="00B1089B">
        <w:rPr>
          <w:rFonts w:ascii="Arial" w:hAnsi="Arial" w:cs="Arial"/>
          <w:sz w:val="22"/>
          <w:szCs w:val="22"/>
          <w:lang w:val="en-PH" w:eastAsia="en-PH"/>
        </w:rPr>
        <w:t>identify bias between two raters utilizing ordinal categorical data. The simulation tables were constructed with diverse levels of concordance and discordance to assess the methodologies under distinct scenarios.</w:t>
      </w:r>
    </w:p>
    <w:p w14:paraId="36FA1B60" w14:textId="0507DE26" w:rsidR="00B1089B" w:rsidRPr="006262DB" w:rsidRDefault="00B1089B" w:rsidP="00B1089B">
      <w:pPr>
        <w:jc w:val="both"/>
        <w:rPr>
          <w:rFonts w:ascii="Arial" w:hAnsi="Arial" w:cs="Arial"/>
          <w:sz w:val="22"/>
          <w:szCs w:val="22"/>
          <w:lang w:val="en-PH" w:eastAsia="en-PH"/>
        </w:rPr>
      </w:pPr>
      <w:r w:rsidRPr="00B1089B">
        <w:rPr>
          <w:rFonts w:ascii="Arial" w:hAnsi="Arial" w:cs="Arial"/>
          <w:sz w:val="22"/>
          <w:szCs w:val="22"/>
          <w:lang w:val="en-PH" w:eastAsia="en-PH"/>
        </w:rPr>
        <w:br/>
        <w:t>The findings are encapsulated by their test statistics, p-values, and Bias Index values for each generated table. This chapter examines the susceptibility of each method to directional bias and emphasizes their distinctions in interpretability and consistency. Tables and analyses are presented to elucidate the performance of each strategy and to substantiate the final recommendation of the most efficacious methodology for bias detection.</w:t>
      </w:r>
      <w:r w:rsidR="006262DB" w:rsidRPr="006262DB">
        <w:rPr>
          <w:b/>
          <w:bCs/>
        </w:rPr>
        <w:t xml:space="preserve"> </w:t>
      </w:r>
      <w:r w:rsidR="006262DB" w:rsidRPr="006262DB">
        <w:rPr>
          <w:rFonts w:ascii="Arial" w:hAnsi="Arial" w:cs="Arial"/>
          <w:sz w:val="22"/>
          <w:szCs w:val="22"/>
          <w:highlight w:val="yellow"/>
          <w:lang w:eastAsia="en-PH"/>
        </w:rPr>
        <w:t xml:space="preserve">For broader context, perspectives on inter-rater reliability and bias-adjusted coefficients are also well-documented in the work of </w:t>
      </w:r>
      <w:proofErr w:type="spellStart"/>
      <w:r w:rsidR="006262DB" w:rsidRPr="006262DB">
        <w:rPr>
          <w:rFonts w:ascii="Arial" w:hAnsi="Arial" w:cs="Arial"/>
          <w:sz w:val="22"/>
          <w:szCs w:val="22"/>
          <w:highlight w:val="yellow"/>
          <w:lang w:eastAsia="en-PH"/>
        </w:rPr>
        <w:t>Gwet</w:t>
      </w:r>
      <w:proofErr w:type="spellEnd"/>
      <w:r w:rsidR="006262DB" w:rsidRPr="006262DB">
        <w:rPr>
          <w:rFonts w:ascii="Arial" w:hAnsi="Arial" w:cs="Arial"/>
          <w:sz w:val="22"/>
          <w:szCs w:val="22"/>
          <w:highlight w:val="yellow"/>
          <w:lang w:eastAsia="en-PH"/>
        </w:rPr>
        <w:t xml:space="preserve"> (2014).</w:t>
      </w:r>
    </w:p>
    <w:p w14:paraId="23B319BB" w14:textId="77777777" w:rsidR="000174C7" w:rsidRDefault="000174C7" w:rsidP="00B1089B">
      <w:pPr>
        <w:jc w:val="both"/>
        <w:rPr>
          <w:rFonts w:ascii="Arial" w:hAnsi="Arial" w:cs="Arial"/>
          <w:sz w:val="22"/>
          <w:szCs w:val="22"/>
          <w:lang w:val="en-PH" w:eastAsia="en-PH"/>
        </w:rPr>
      </w:pPr>
    </w:p>
    <w:p w14:paraId="64D19D96" w14:textId="400996C8" w:rsidR="000174C7" w:rsidRDefault="000174C7" w:rsidP="00B1089B">
      <w:pPr>
        <w:jc w:val="both"/>
        <w:rPr>
          <w:rFonts w:ascii="Arial" w:hAnsi="Arial" w:cs="Arial"/>
          <w:b/>
          <w:bCs/>
          <w:sz w:val="22"/>
          <w:szCs w:val="22"/>
          <w:lang w:val="en-PH" w:eastAsia="en-PH"/>
        </w:rPr>
      </w:pPr>
      <w:r>
        <w:rPr>
          <w:rFonts w:ascii="Arial" w:hAnsi="Arial" w:cs="Arial"/>
          <w:b/>
          <w:bCs/>
          <w:sz w:val="22"/>
          <w:szCs w:val="22"/>
          <w:lang w:val="en-PH" w:eastAsia="en-PH"/>
        </w:rPr>
        <w:t xml:space="preserve">3.1 </w:t>
      </w:r>
      <w:r w:rsidRPr="000174C7">
        <w:rPr>
          <w:rFonts w:ascii="Arial" w:hAnsi="Arial" w:cs="Arial"/>
          <w:b/>
          <w:bCs/>
          <w:sz w:val="22"/>
          <w:szCs w:val="22"/>
          <w:lang w:val="en-PH" w:eastAsia="en-PH"/>
        </w:rPr>
        <w:t xml:space="preserve">Simulation Example 1: Low Agreement </w:t>
      </w:r>
    </w:p>
    <w:p w14:paraId="5F59C7A2" w14:textId="77777777" w:rsidR="000174C7" w:rsidRPr="000174C7" w:rsidRDefault="000174C7" w:rsidP="00B1089B">
      <w:pPr>
        <w:jc w:val="both"/>
        <w:rPr>
          <w:rFonts w:ascii="Arial" w:hAnsi="Arial" w:cs="Arial"/>
          <w:b/>
          <w:bCs/>
          <w:sz w:val="22"/>
          <w:szCs w:val="22"/>
          <w:lang w:val="en-PH" w:eastAsia="en-PH"/>
        </w:rPr>
      </w:pPr>
    </w:p>
    <w:p w14:paraId="29AD3169" w14:textId="7B1F2482" w:rsidR="008F2263" w:rsidRPr="008F2263" w:rsidRDefault="008F2263" w:rsidP="008F2263">
      <w:pPr>
        <w:jc w:val="both"/>
        <w:rPr>
          <w:rFonts w:ascii="Arial" w:hAnsi="Arial" w:cs="Arial"/>
          <w:sz w:val="22"/>
          <w:szCs w:val="22"/>
          <w:lang w:val="en-PH" w:eastAsia="en-PH"/>
        </w:rPr>
      </w:pPr>
      <w:r w:rsidRPr="008F2263">
        <w:rPr>
          <w:rFonts w:ascii="Arial" w:hAnsi="Arial" w:cs="Arial"/>
          <w:sz w:val="22"/>
          <w:szCs w:val="22"/>
          <w:lang w:val="en-PH" w:eastAsia="en-PH"/>
        </w:rPr>
        <w:t xml:space="preserve">This example illustrates that all four techniques were effective in identifying rater bias with statistical significance. The Modified McNemar Test produced a p-value of 0.0069 utilizing the chi-square distribution with one degree of freedom. The Single Binomial Test yielded a two-tailed p-value of roughly 0.012, derived from the binomial probability distribution. The Marginal Homogeneity Test produced a p-value of about 0.024 utilizing the chi-square test with 2 degrees of </w:t>
      </w:r>
      <w:r w:rsidR="00D257CB" w:rsidRPr="008F2263">
        <w:rPr>
          <w:rFonts w:ascii="Arial" w:hAnsi="Arial" w:cs="Arial"/>
          <w:sz w:val="22"/>
          <w:szCs w:val="22"/>
          <w:lang w:val="en-PH" w:eastAsia="en-PH"/>
        </w:rPr>
        <w:t>freedom.</w:t>
      </w:r>
      <w:r w:rsidR="00D257CB">
        <w:rPr>
          <w:rFonts w:ascii="Arial" w:hAnsi="Arial" w:cs="Arial"/>
          <w:sz w:val="22"/>
          <w:szCs w:val="22"/>
          <w:lang w:val="en-PH" w:eastAsia="en-PH"/>
        </w:rPr>
        <w:t xml:space="preserve"> The</w:t>
      </w:r>
      <w:r w:rsidRPr="008F2263">
        <w:rPr>
          <w:rFonts w:ascii="Arial" w:hAnsi="Arial" w:cs="Arial"/>
          <w:sz w:val="22"/>
          <w:szCs w:val="22"/>
          <w:lang w:val="en-PH" w:eastAsia="en-PH"/>
        </w:rPr>
        <w:t xml:space="preserve"> Bias Index</w:t>
      </w:r>
      <w:r w:rsidR="00A101F7">
        <w:rPr>
          <w:rFonts w:ascii="Arial" w:hAnsi="Arial" w:cs="Arial"/>
          <w:sz w:val="22"/>
          <w:szCs w:val="22"/>
          <w:lang w:val="en-PH" w:eastAsia="en-PH"/>
        </w:rPr>
        <w:t xml:space="preserve"> also</w:t>
      </w:r>
      <w:r w:rsidRPr="008F2263">
        <w:rPr>
          <w:rFonts w:ascii="Arial" w:hAnsi="Arial" w:cs="Arial"/>
          <w:sz w:val="22"/>
          <w:szCs w:val="22"/>
          <w:lang w:val="en-PH" w:eastAsia="en-PH"/>
        </w:rPr>
        <w:t xml:space="preserve"> indicated a significant directional bias with a value of around 0.818.</w:t>
      </w:r>
      <w:r w:rsidRPr="008F2263">
        <w:rPr>
          <w:rFonts w:ascii="Arial" w:hAnsi="Arial" w:cs="Arial"/>
          <w:sz w:val="22"/>
          <w:szCs w:val="22"/>
          <w:lang w:val="en-PH" w:eastAsia="en-PH"/>
        </w:rPr>
        <w:br/>
      </w:r>
      <w:r w:rsidRPr="008F2263">
        <w:rPr>
          <w:rFonts w:ascii="Arial" w:hAnsi="Arial" w:cs="Arial"/>
          <w:sz w:val="22"/>
          <w:szCs w:val="22"/>
          <w:lang w:val="en-PH" w:eastAsia="en-PH"/>
        </w:rPr>
        <w:br/>
        <w:t xml:space="preserve">A 3×3 table simulating low agreement among raters was examined. The off-diagonal values were notably elevated, signifying discordance. All four techniques identified substantial bias, aligning with recent research on rater variability and directional skew (Ben-Shachar et al., 2020; Landis &amp; Koch, 2020). The Bias Index indicated a significant directional bias (BI ≈ 0.818), whereas the Modified McNemar, </w:t>
      </w:r>
      <w:r w:rsidRPr="008F2263">
        <w:rPr>
          <w:rFonts w:ascii="Arial" w:hAnsi="Arial" w:cs="Arial"/>
          <w:sz w:val="22"/>
          <w:szCs w:val="22"/>
          <w:lang w:val="en-PH" w:eastAsia="en-PH"/>
        </w:rPr>
        <w:lastRenderedPageBreak/>
        <w:t>Binomial, and Marginal Homogeneity Tests yielded p-values under 0.05, corroborating findings from Ranganathan et al. (2017) and Vickers et al. (2018), who validated the efficacy of these tests in detecting rating asymmetry.</w:t>
      </w:r>
    </w:p>
    <w:p w14:paraId="5AC177A5" w14:textId="77777777" w:rsidR="000174C7" w:rsidRPr="00B1089B" w:rsidRDefault="000174C7" w:rsidP="00B1089B">
      <w:pPr>
        <w:jc w:val="both"/>
        <w:rPr>
          <w:rFonts w:ascii="Arial" w:hAnsi="Arial" w:cs="Arial"/>
          <w:sz w:val="22"/>
          <w:szCs w:val="22"/>
          <w:lang w:val="en-PH" w:eastAsia="en-PH"/>
        </w:rPr>
      </w:pPr>
    </w:p>
    <w:p w14:paraId="7044B28B" w14:textId="35CC330D" w:rsidR="005204A5" w:rsidRDefault="009D79FE" w:rsidP="005204A5">
      <w:pPr>
        <w:pStyle w:val="Head1"/>
        <w:spacing w:after="0"/>
        <w:jc w:val="both"/>
        <w:rPr>
          <w:rFonts w:ascii="Arial" w:hAnsi="Arial" w:cs="Arial"/>
          <w:bCs/>
          <w:lang w:val="en-PH"/>
        </w:rPr>
      </w:pPr>
      <w:r w:rsidRPr="005204A5">
        <w:rPr>
          <w:rFonts w:ascii="Arial" w:hAnsi="Arial" w:cs="Arial"/>
          <w:bCs/>
          <w:caps w:val="0"/>
          <w:lang w:val="en-PH"/>
        </w:rPr>
        <w:t>Table 1. Hypothetical 3×3 Contingency Table</w:t>
      </w:r>
    </w:p>
    <w:p w14:paraId="6363CE61" w14:textId="77777777" w:rsidR="005204A5" w:rsidRDefault="005204A5" w:rsidP="005204A5">
      <w:pPr>
        <w:pStyle w:val="Head1"/>
        <w:spacing w:after="0"/>
        <w:jc w:val="both"/>
        <w:rPr>
          <w:rFonts w:ascii="Arial" w:hAnsi="Arial" w:cs="Arial"/>
          <w:bCs/>
          <w:lang w:val="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50"/>
        <w:gridCol w:w="850"/>
        <w:gridCol w:w="851"/>
        <w:gridCol w:w="1619"/>
      </w:tblGrid>
      <w:tr w:rsidR="005204A5" w14:paraId="1DB6E5C8" w14:textId="77777777" w:rsidTr="005204A5">
        <w:trPr>
          <w:trHeight w:val="298"/>
        </w:trPr>
        <w:tc>
          <w:tcPr>
            <w:tcW w:w="2093" w:type="dxa"/>
            <w:tcBorders>
              <w:bottom w:val="single" w:sz="4" w:space="0" w:color="auto"/>
            </w:tcBorders>
          </w:tcPr>
          <w:p w14:paraId="581CEA78" w14:textId="3EFBCD1A" w:rsidR="005204A5" w:rsidRDefault="005204A5" w:rsidP="005204A5">
            <w:pPr>
              <w:pStyle w:val="Head1"/>
              <w:spacing w:after="0"/>
              <w:jc w:val="both"/>
              <w:rPr>
                <w:rFonts w:ascii="Arial" w:hAnsi="Arial" w:cs="Arial"/>
                <w:lang w:val="en-PH"/>
              </w:rPr>
            </w:pPr>
            <w:r w:rsidRPr="005204A5">
              <w:rPr>
                <w:rFonts w:ascii="Arial" w:hAnsi="Arial" w:cs="Arial"/>
                <w:caps w:val="0"/>
                <w:lang w:val="en-PH"/>
              </w:rPr>
              <w:t>Rater</w:t>
            </w:r>
            <w:r>
              <w:rPr>
                <w:rFonts w:ascii="Arial" w:hAnsi="Arial" w:cs="Arial"/>
                <w:caps w:val="0"/>
                <w:lang w:val="en-PH"/>
              </w:rPr>
              <w:t xml:space="preserve"> </w:t>
            </w:r>
            <w:r w:rsidRPr="005204A5">
              <w:rPr>
                <w:rFonts w:ascii="Arial" w:hAnsi="Arial" w:cs="Arial"/>
                <w:caps w:val="0"/>
                <w:lang w:val="en-PH"/>
              </w:rPr>
              <w:t>A / Rater B</w:t>
            </w:r>
          </w:p>
        </w:tc>
        <w:tc>
          <w:tcPr>
            <w:tcW w:w="850" w:type="dxa"/>
            <w:tcBorders>
              <w:bottom w:val="single" w:sz="4" w:space="0" w:color="auto"/>
            </w:tcBorders>
          </w:tcPr>
          <w:p w14:paraId="685BDC9A" w14:textId="118F068E" w:rsidR="005204A5" w:rsidRDefault="005204A5" w:rsidP="005204A5">
            <w:pPr>
              <w:pStyle w:val="Head1"/>
              <w:spacing w:after="0"/>
              <w:jc w:val="both"/>
              <w:rPr>
                <w:rFonts w:ascii="Arial" w:hAnsi="Arial" w:cs="Arial"/>
                <w:lang w:val="en-PH"/>
              </w:rPr>
            </w:pPr>
            <w:r>
              <w:rPr>
                <w:rFonts w:ascii="Arial" w:hAnsi="Arial" w:cs="Arial"/>
                <w:lang w:val="en-PH"/>
              </w:rPr>
              <w:t>I</w:t>
            </w:r>
          </w:p>
        </w:tc>
        <w:tc>
          <w:tcPr>
            <w:tcW w:w="850" w:type="dxa"/>
            <w:tcBorders>
              <w:bottom w:val="single" w:sz="4" w:space="0" w:color="auto"/>
            </w:tcBorders>
          </w:tcPr>
          <w:p w14:paraId="272AE613" w14:textId="4D236A21" w:rsidR="005204A5" w:rsidRDefault="005204A5" w:rsidP="005204A5">
            <w:pPr>
              <w:pStyle w:val="Head1"/>
              <w:spacing w:after="0"/>
              <w:jc w:val="both"/>
              <w:rPr>
                <w:rFonts w:ascii="Arial" w:hAnsi="Arial" w:cs="Arial"/>
                <w:lang w:val="en-PH"/>
              </w:rPr>
            </w:pPr>
            <w:r>
              <w:rPr>
                <w:rFonts w:ascii="Arial" w:hAnsi="Arial" w:cs="Arial"/>
                <w:lang w:val="en-PH"/>
              </w:rPr>
              <w:t>II</w:t>
            </w:r>
          </w:p>
        </w:tc>
        <w:tc>
          <w:tcPr>
            <w:tcW w:w="851" w:type="dxa"/>
            <w:tcBorders>
              <w:bottom w:val="single" w:sz="4" w:space="0" w:color="auto"/>
            </w:tcBorders>
          </w:tcPr>
          <w:p w14:paraId="33C9307C" w14:textId="2EC63228" w:rsidR="005204A5" w:rsidRDefault="005204A5" w:rsidP="005204A5">
            <w:pPr>
              <w:pStyle w:val="Head1"/>
              <w:spacing w:after="0"/>
              <w:jc w:val="both"/>
              <w:rPr>
                <w:rFonts w:ascii="Arial" w:hAnsi="Arial" w:cs="Arial"/>
                <w:lang w:val="en-PH"/>
              </w:rPr>
            </w:pPr>
            <w:r>
              <w:rPr>
                <w:rFonts w:ascii="Arial" w:hAnsi="Arial" w:cs="Arial"/>
                <w:lang w:val="en-PH"/>
              </w:rPr>
              <w:t>III</w:t>
            </w:r>
          </w:p>
        </w:tc>
        <w:tc>
          <w:tcPr>
            <w:tcW w:w="1619" w:type="dxa"/>
            <w:tcBorders>
              <w:bottom w:val="single" w:sz="4" w:space="0" w:color="auto"/>
            </w:tcBorders>
          </w:tcPr>
          <w:p w14:paraId="4855C6C2" w14:textId="515A05AA" w:rsidR="005204A5" w:rsidRDefault="005204A5" w:rsidP="005204A5">
            <w:pPr>
              <w:pStyle w:val="Head1"/>
              <w:spacing w:after="0"/>
              <w:jc w:val="both"/>
              <w:rPr>
                <w:rFonts w:ascii="Arial" w:hAnsi="Arial" w:cs="Arial"/>
                <w:lang w:val="en-PH"/>
              </w:rPr>
            </w:pPr>
            <w:r>
              <w:rPr>
                <w:rFonts w:ascii="Arial" w:hAnsi="Arial" w:cs="Arial"/>
                <w:caps w:val="0"/>
                <w:lang w:val="en-PH"/>
              </w:rPr>
              <w:t xml:space="preserve">Row Total </w:t>
            </w:r>
          </w:p>
        </w:tc>
      </w:tr>
      <w:tr w:rsidR="005204A5" w14:paraId="2B8C01DD" w14:textId="77777777" w:rsidTr="005204A5">
        <w:trPr>
          <w:trHeight w:val="298"/>
        </w:trPr>
        <w:tc>
          <w:tcPr>
            <w:tcW w:w="2093" w:type="dxa"/>
            <w:tcBorders>
              <w:top w:val="single" w:sz="4" w:space="0" w:color="auto"/>
            </w:tcBorders>
          </w:tcPr>
          <w:p w14:paraId="0C99F350" w14:textId="26DC5A1D" w:rsidR="005204A5" w:rsidRDefault="005204A5" w:rsidP="005204A5">
            <w:pPr>
              <w:pStyle w:val="Head1"/>
              <w:spacing w:after="0"/>
              <w:jc w:val="both"/>
              <w:rPr>
                <w:rFonts w:ascii="Arial" w:hAnsi="Arial" w:cs="Arial"/>
                <w:lang w:val="en-PH"/>
              </w:rPr>
            </w:pPr>
            <w:r>
              <w:rPr>
                <w:rFonts w:ascii="Arial" w:hAnsi="Arial" w:cs="Arial"/>
                <w:lang w:val="en-PH"/>
              </w:rPr>
              <w:t>I</w:t>
            </w:r>
          </w:p>
        </w:tc>
        <w:tc>
          <w:tcPr>
            <w:tcW w:w="850" w:type="dxa"/>
            <w:tcBorders>
              <w:top w:val="single" w:sz="4" w:space="0" w:color="auto"/>
            </w:tcBorders>
          </w:tcPr>
          <w:p w14:paraId="09180CBF" w14:textId="73F8B291"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5</w:t>
            </w:r>
          </w:p>
        </w:tc>
        <w:tc>
          <w:tcPr>
            <w:tcW w:w="850" w:type="dxa"/>
            <w:tcBorders>
              <w:top w:val="single" w:sz="4" w:space="0" w:color="auto"/>
            </w:tcBorders>
          </w:tcPr>
          <w:p w14:paraId="7AADB634" w14:textId="26E74F74"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4</w:t>
            </w:r>
          </w:p>
        </w:tc>
        <w:tc>
          <w:tcPr>
            <w:tcW w:w="851" w:type="dxa"/>
            <w:tcBorders>
              <w:top w:val="single" w:sz="4" w:space="0" w:color="auto"/>
            </w:tcBorders>
          </w:tcPr>
          <w:p w14:paraId="7533D948" w14:textId="12DFCE04"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2</w:t>
            </w:r>
          </w:p>
        </w:tc>
        <w:tc>
          <w:tcPr>
            <w:tcW w:w="1619" w:type="dxa"/>
            <w:tcBorders>
              <w:top w:val="single" w:sz="4" w:space="0" w:color="auto"/>
            </w:tcBorders>
          </w:tcPr>
          <w:p w14:paraId="61238AAD" w14:textId="26557F0F"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11</w:t>
            </w:r>
          </w:p>
        </w:tc>
      </w:tr>
      <w:tr w:rsidR="005204A5" w14:paraId="4837F555" w14:textId="77777777" w:rsidTr="005204A5">
        <w:trPr>
          <w:trHeight w:val="298"/>
        </w:trPr>
        <w:tc>
          <w:tcPr>
            <w:tcW w:w="2093" w:type="dxa"/>
          </w:tcPr>
          <w:p w14:paraId="35304E28" w14:textId="4FA948B1" w:rsidR="005204A5" w:rsidRDefault="005204A5" w:rsidP="005204A5">
            <w:pPr>
              <w:pStyle w:val="Head1"/>
              <w:spacing w:after="0"/>
              <w:jc w:val="both"/>
              <w:rPr>
                <w:rFonts w:ascii="Arial" w:hAnsi="Arial" w:cs="Arial"/>
                <w:lang w:val="en-PH"/>
              </w:rPr>
            </w:pPr>
            <w:r>
              <w:rPr>
                <w:rFonts w:ascii="Arial" w:hAnsi="Arial" w:cs="Arial"/>
                <w:lang w:val="en-PH"/>
              </w:rPr>
              <w:t>II</w:t>
            </w:r>
          </w:p>
        </w:tc>
        <w:tc>
          <w:tcPr>
            <w:tcW w:w="850" w:type="dxa"/>
          </w:tcPr>
          <w:p w14:paraId="19332A54" w14:textId="38F82549"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0</w:t>
            </w:r>
          </w:p>
        </w:tc>
        <w:tc>
          <w:tcPr>
            <w:tcW w:w="850" w:type="dxa"/>
          </w:tcPr>
          <w:p w14:paraId="5AEB8B2A" w14:textId="169A0ACD"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5</w:t>
            </w:r>
          </w:p>
        </w:tc>
        <w:tc>
          <w:tcPr>
            <w:tcW w:w="851" w:type="dxa"/>
          </w:tcPr>
          <w:p w14:paraId="1946C25F" w14:textId="1C1B9616"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4</w:t>
            </w:r>
          </w:p>
        </w:tc>
        <w:tc>
          <w:tcPr>
            <w:tcW w:w="1619" w:type="dxa"/>
          </w:tcPr>
          <w:p w14:paraId="4A9B7082" w14:textId="2DCF23A5"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9</w:t>
            </w:r>
          </w:p>
        </w:tc>
      </w:tr>
      <w:tr w:rsidR="005204A5" w14:paraId="7438B678" w14:textId="77777777" w:rsidTr="005204A5">
        <w:trPr>
          <w:trHeight w:val="298"/>
        </w:trPr>
        <w:tc>
          <w:tcPr>
            <w:tcW w:w="2093" w:type="dxa"/>
            <w:tcBorders>
              <w:bottom w:val="single" w:sz="4" w:space="0" w:color="auto"/>
            </w:tcBorders>
          </w:tcPr>
          <w:p w14:paraId="25CB8A02" w14:textId="1DA5EDD6" w:rsidR="005204A5" w:rsidRDefault="005204A5" w:rsidP="005204A5">
            <w:pPr>
              <w:pStyle w:val="Head1"/>
              <w:spacing w:after="0"/>
              <w:jc w:val="both"/>
              <w:rPr>
                <w:rFonts w:ascii="Arial" w:hAnsi="Arial" w:cs="Arial"/>
                <w:lang w:val="en-PH"/>
              </w:rPr>
            </w:pPr>
            <w:r>
              <w:rPr>
                <w:rFonts w:ascii="Arial" w:hAnsi="Arial" w:cs="Arial"/>
                <w:lang w:val="en-PH"/>
              </w:rPr>
              <w:t>III</w:t>
            </w:r>
          </w:p>
        </w:tc>
        <w:tc>
          <w:tcPr>
            <w:tcW w:w="850" w:type="dxa"/>
            <w:tcBorders>
              <w:bottom w:val="single" w:sz="4" w:space="0" w:color="auto"/>
            </w:tcBorders>
          </w:tcPr>
          <w:p w14:paraId="0C7A3730" w14:textId="22BB3C43"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0</w:t>
            </w:r>
          </w:p>
        </w:tc>
        <w:tc>
          <w:tcPr>
            <w:tcW w:w="850" w:type="dxa"/>
            <w:tcBorders>
              <w:bottom w:val="single" w:sz="4" w:space="0" w:color="auto"/>
            </w:tcBorders>
          </w:tcPr>
          <w:p w14:paraId="47A3D25A" w14:textId="2E9D06D5"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1</w:t>
            </w:r>
          </w:p>
        </w:tc>
        <w:tc>
          <w:tcPr>
            <w:tcW w:w="851" w:type="dxa"/>
            <w:tcBorders>
              <w:bottom w:val="single" w:sz="4" w:space="0" w:color="auto"/>
            </w:tcBorders>
          </w:tcPr>
          <w:p w14:paraId="72C99D16" w14:textId="69598B07"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5</w:t>
            </w:r>
          </w:p>
        </w:tc>
        <w:tc>
          <w:tcPr>
            <w:tcW w:w="1619" w:type="dxa"/>
            <w:tcBorders>
              <w:bottom w:val="single" w:sz="4" w:space="0" w:color="auto"/>
            </w:tcBorders>
          </w:tcPr>
          <w:p w14:paraId="3B9C3F64" w14:textId="7E974B74"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6</w:t>
            </w:r>
          </w:p>
        </w:tc>
      </w:tr>
      <w:tr w:rsidR="005204A5" w14:paraId="2E0A8A68" w14:textId="77777777" w:rsidTr="005204A5">
        <w:trPr>
          <w:trHeight w:val="298"/>
        </w:trPr>
        <w:tc>
          <w:tcPr>
            <w:tcW w:w="2093" w:type="dxa"/>
            <w:tcBorders>
              <w:top w:val="single" w:sz="4" w:space="0" w:color="auto"/>
            </w:tcBorders>
          </w:tcPr>
          <w:p w14:paraId="3EBCFCF3" w14:textId="012B44BD" w:rsidR="005204A5" w:rsidRDefault="005204A5" w:rsidP="005204A5">
            <w:pPr>
              <w:pStyle w:val="Head1"/>
              <w:spacing w:after="0"/>
              <w:jc w:val="both"/>
              <w:rPr>
                <w:rFonts w:ascii="Arial" w:hAnsi="Arial" w:cs="Arial"/>
                <w:lang w:val="en-PH"/>
              </w:rPr>
            </w:pPr>
            <w:r>
              <w:rPr>
                <w:rFonts w:ascii="Arial" w:hAnsi="Arial" w:cs="Arial"/>
                <w:caps w:val="0"/>
                <w:lang w:val="en-PH"/>
              </w:rPr>
              <w:t>Column Total</w:t>
            </w:r>
          </w:p>
        </w:tc>
        <w:tc>
          <w:tcPr>
            <w:tcW w:w="850" w:type="dxa"/>
            <w:tcBorders>
              <w:top w:val="single" w:sz="4" w:space="0" w:color="auto"/>
            </w:tcBorders>
          </w:tcPr>
          <w:p w14:paraId="7340CAB8" w14:textId="0403888C" w:rsidR="005204A5" w:rsidRDefault="005204A5" w:rsidP="005204A5">
            <w:pPr>
              <w:pStyle w:val="Head1"/>
              <w:spacing w:after="0"/>
              <w:jc w:val="both"/>
              <w:rPr>
                <w:rFonts w:ascii="Arial" w:hAnsi="Arial" w:cs="Arial"/>
                <w:lang w:val="en-PH"/>
              </w:rPr>
            </w:pPr>
            <w:r>
              <w:rPr>
                <w:rFonts w:ascii="Arial" w:hAnsi="Arial" w:cs="Arial"/>
                <w:lang w:val="en-PH"/>
              </w:rPr>
              <w:t>5</w:t>
            </w:r>
          </w:p>
        </w:tc>
        <w:tc>
          <w:tcPr>
            <w:tcW w:w="850" w:type="dxa"/>
            <w:tcBorders>
              <w:top w:val="single" w:sz="4" w:space="0" w:color="auto"/>
            </w:tcBorders>
          </w:tcPr>
          <w:p w14:paraId="17ADE9E2" w14:textId="1D9C9C0E" w:rsidR="005204A5" w:rsidRDefault="005204A5" w:rsidP="005204A5">
            <w:pPr>
              <w:pStyle w:val="Head1"/>
              <w:spacing w:after="0"/>
              <w:jc w:val="both"/>
              <w:rPr>
                <w:rFonts w:ascii="Arial" w:hAnsi="Arial" w:cs="Arial"/>
                <w:lang w:val="en-PH"/>
              </w:rPr>
            </w:pPr>
            <w:r>
              <w:rPr>
                <w:rFonts w:ascii="Arial" w:hAnsi="Arial" w:cs="Arial"/>
                <w:lang w:val="en-PH"/>
              </w:rPr>
              <w:t>10</w:t>
            </w:r>
          </w:p>
        </w:tc>
        <w:tc>
          <w:tcPr>
            <w:tcW w:w="851" w:type="dxa"/>
            <w:tcBorders>
              <w:top w:val="single" w:sz="4" w:space="0" w:color="auto"/>
            </w:tcBorders>
          </w:tcPr>
          <w:p w14:paraId="05F25274" w14:textId="0B0A864E" w:rsidR="005204A5" w:rsidRDefault="005204A5" w:rsidP="005204A5">
            <w:pPr>
              <w:pStyle w:val="Head1"/>
              <w:spacing w:after="0"/>
              <w:jc w:val="both"/>
              <w:rPr>
                <w:rFonts w:ascii="Arial" w:hAnsi="Arial" w:cs="Arial"/>
                <w:lang w:val="en-PH"/>
              </w:rPr>
            </w:pPr>
            <w:r>
              <w:rPr>
                <w:rFonts w:ascii="Arial" w:hAnsi="Arial" w:cs="Arial"/>
                <w:lang w:val="en-PH"/>
              </w:rPr>
              <w:t>11</w:t>
            </w:r>
          </w:p>
        </w:tc>
        <w:tc>
          <w:tcPr>
            <w:tcW w:w="1619" w:type="dxa"/>
            <w:tcBorders>
              <w:top w:val="single" w:sz="4" w:space="0" w:color="auto"/>
            </w:tcBorders>
          </w:tcPr>
          <w:p w14:paraId="3C51ED54" w14:textId="0085A500" w:rsidR="005204A5" w:rsidRDefault="005204A5" w:rsidP="005204A5">
            <w:pPr>
              <w:pStyle w:val="Head1"/>
              <w:spacing w:after="0"/>
              <w:jc w:val="both"/>
              <w:rPr>
                <w:rFonts w:ascii="Arial" w:hAnsi="Arial" w:cs="Arial"/>
                <w:lang w:val="en-PH"/>
              </w:rPr>
            </w:pPr>
            <w:r>
              <w:rPr>
                <w:rFonts w:ascii="Arial" w:hAnsi="Arial" w:cs="Arial"/>
                <w:lang w:val="en-PH"/>
              </w:rPr>
              <w:t>26</w:t>
            </w:r>
          </w:p>
        </w:tc>
      </w:tr>
    </w:tbl>
    <w:p w14:paraId="2DA625A3" w14:textId="77777777" w:rsidR="005204A5" w:rsidRDefault="005204A5" w:rsidP="005204A5">
      <w:pPr>
        <w:pStyle w:val="Head1"/>
        <w:spacing w:after="0"/>
        <w:jc w:val="both"/>
        <w:rPr>
          <w:rFonts w:ascii="Arial" w:hAnsi="Arial" w:cs="Arial"/>
          <w:lang w:val="en-PH"/>
        </w:rPr>
      </w:pPr>
    </w:p>
    <w:p w14:paraId="3314B99A" w14:textId="77777777" w:rsidR="009D79FE" w:rsidRPr="005204A5" w:rsidRDefault="009D79FE" w:rsidP="005204A5">
      <w:pPr>
        <w:pStyle w:val="Head1"/>
        <w:spacing w:after="0"/>
        <w:jc w:val="both"/>
        <w:rPr>
          <w:rFonts w:ascii="Arial" w:hAnsi="Arial" w:cs="Arial"/>
          <w:lang w:val="en-PH"/>
        </w:rPr>
      </w:pPr>
    </w:p>
    <w:p w14:paraId="61EA7F26" w14:textId="36975701" w:rsidR="00B1089B" w:rsidRDefault="000B46C2" w:rsidP="00441B6F">
      <w:pPr>
        <w:pStyle w:val="Head1"/>
        <w:spacing w:after="0"/>
        <w:jc w:val="both"/>
        <w:rPr>
          <w:rFonts w:ascii="Arial" w:hAnsi="Arial" w:cs="Arial"/>
          <w:caps w:val="0"/>
        </w:rPr>
      </w:pPr>
      <w:r>
        <w:rPr>
          <w:rFonts w:ascii="Arial" w:hAnsi="Arial" w:cs="Arial"/>
          <w:caps w:val="0"/>
        </w:rPr>
        <w:t xml:space="preserve">Table 2: </w:t>
      </w:r>
      <w:r w:rsidR="005204A5" w:rsidRPr="005204A5">
        <w:rPr>
          <w:rFonts w:ascii="Arial" w:hAnsi="Arial" w:cs="Arial"/>
          <w:caps w:val="0"/>
        </w:rPr>
        <w:t>Results And Computation</w:t>
      </w:r>
    </w:p>
    <w:p w14:paraId="5446A0F3" w14:textId="5B0C553D" w:rsidR="008F2263" w:rsidRPr="008F2263" w:rsidRDefault="000B46C2" w:rsidP="000B46C2">
      <w:pPr>
        <w:pStyle w:val="Body"/>
        <w:spacing w:after="0"/>
        <w:rPr>
          <w:rFonts w:ascii="Arial" w:hAnsi="Arial" w:cs="Arial"/>
          <w:b/>
          <w:bCs/>
        </w:rPr>
      </w:pPr>
      <w:r>
        <w:rPr>
          <w:rFonts w:ascii="Arial" w:hAnsi="Arial" w:cs="Arial"/>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365"/>
        <w:gridCol w:w="1304"/>
        <w:gridCol w:w="1867"/>
        <w:gridCol w:w="1619"/>
      </w:tblGrid>
      <w:tr w:rsidR="000B46C2" w14:paraId="2575340A" w14:textId="77777777" w:rsidTr="000B46C2">
        <w:trPr>
          <w:trHeight w:val="298"/>
        </w:trPr>
        <w:tc>
          <w:tcPr>
            <w:tcW w:w="2093" w:type="dxa"/>
            <w:tcBorders>
              <w:bottom w:val="single" w:sz="4" w:space="0" w:color="auto"/>
            </w:tcBorders>
          </w:tcPr>
          <w:p w14:paraId="568FF331" w14:textId="77777777" w:rsidR="000B46C2" w:rsidRPr="009D79FE" w:rsidRDefault="000B46C2" w:rsidP="00287022">
            <w:pPr>
              <w:pStyle w:val="Head1"/>
              <w:spacing w:after="0"/>
              <w:jc w:val="both"/>
              <w:rPr>
                <w:rFonts w:ascii="Arial" w:hAnsi="Arial" w:cs="Arial"/>
                <w:b w:val="0"/>
                <w:bCs/>
                <w:lang w:val="en-PH"/>
              </w:rPr>
            </w:pPr>
            <w:r w:rsidRPr="009D79FE">
              <w:rPr>
                <w:rFonts w:ascii="Arial" w:hAnsi="Arial" w:cs="Arial"/>
                <w:b w:val="0"/>
                <w:bCs/>
                <w:caps w:val="0"/>
                <w:lang w:val="en-PH"/>
              </w:rPr>
              <w:t>Rater A / Rater B</w:t>
            </w:r>
          </w:p>
        </w:tc>
        <w:tc>
          <w:tcPr>
            <w:tcW w:w="1365" w:type="dxa"/>
            <w:tcBorders>
              <w:bottom w:val="single" w:sz="4" w:space="0" w:color="auto"/>
            </w:tcBorders>
          </w:tcPr>
          <w:p w14:paraId="390CD980" w14:textId="0E9406B5" w:rsidR="000B46C2" w:rsidRPr="000B46C2" w:rsidRDefault="009D79FE" w:rsidP="000B46C2">
            <w:pPr>
              <w:pStyle w:val="Head1"/>
              <w:spacing w:after="0"/>
              <w:jc w:val="both"/>
              <w:rPr>
                <w:rFonts w:ascii="Arial" w:hAnsi="Arial" w:cs="Arial"/>
                <w:b w:val="0"/>
                <w:bCs/>
                <w:lang w:val="en-PH"/>
              </w:rPr>
            </w:pPr>
            <w:r w:rsidRPr="000B46C2">
              <w:rPr>
                <w:rFonts w:ascii="Arial" w:hAnsi="Arial" w:cs="Arial"/>
                <w:b w:val="0"/>
                <w:bCs/>
                <w:caps w:val="0"/>
                <w:lang w:val="en-PH"/>
              </w:rPr>
              <w:t>Modified Mcnemar Test</w:t>
            </w:r>
          </w:p>
          <w:p w14:paraId="6B7193C3" w14:textId="1CC0CF84" w:rsidR="000B46C2" w:rsidRPr="009D79FE" w:rsidRDefault="000B46C2" w:rsidP="00287022">
            <w:pPr>
              <w:pStyle w:val="Head1"/>
              <w:spacing w:after="0"/>
              <w:jc w:val="both"/>
              <w:rPr>
                <w:rFonts w:ascii="Arial" w:hAnsi="Arial" w:cs="Arial"/>
                <w:b w:val="0"/>
                <w:bCs/>
                <w:lang w:val="en-PH"/>
              </w:rPr>
            </w:pPr>
          </w:p>
        </w:tc>
        <w:tc>
          <w:tcPr>
            <w:tcW w:w="1304" w:type="dxa"/>
            <w:tcBorders>
              <w:bottom w:val="single" w:sz="4" w:space="0" w:color="auto"/>
            </w:tcBorders>
          </w:tcPr>
          <w:p w14:paraId="388B48CC" w14:textId="196BA4BE" w:rsidR="000B46C2" w:rsidRPr="000B46C2" w:rsidRDefault="009D79FE" w:rsidP="000B46C2">
            <w:pPr>
              <w:pStyle w:val="Head1"/>
              <w:spacing w:after="0"/>
              <w:jc w:val="both"/>
              <w:rPr>
                <w:rFonts w:ascii="Arial" w:hAnsi="Arial" w:cs="Arial"/>
                <w:b w:val="0"/>
                <w:bCs/>
                <w:lang w:val="en-PH"/>
              </w:rPr>
            </w:pPr>
            <w:r w:rsidRPr="000B46C2">
              <w:rPr>
                <w:rFonts w:ascii="Arial" w:hAnsi="Arial" w:cs="Arial"/>
                <w:b w:val="0"/>
                <w:bCs/>
                <w:caps w:val="0"/>
                <w:lang w:val="en-PH"/>
              </w:rPr>
              <w:t>Single Binomial Test</w:t>
            </w:r>
          </w:p>
          <w:p w14:paraId="7F3E8E6E" w14:textId="1FDE91C7" w:rsidR="000B46C2" w:rsidRPr="009D79FE" w:rsidRDefault="000B46C2" w:rsidP="00287022">
            <w:pPr>
              <w:pStyle w:val="Head1"/>
              <w:spacing w:after="0"/>
              <w:jc w:val="both"/>
              <w:rPr>
                <w:rFonts w:ascii="Arial" w:hAnsi="Arial" w:cs="Arial"/>
                <w:b w:val="0"/>
                <w:bCs/>
                <w:lang w:val="en-PH"/>
              </w:rPr>
            </w:pPr>
          </w:p>
        </w:tc>
        <w:tc>
          <w:tcPr>
            <w:tcW w:w="1867" w:type="dxa"/>
            <w:tcBorders>
              <w:bottom w:val="single" w:sz="4" w:space="0" w:color="auto"/>
            </w:tcBorders>
          </w:tcPr>
          <w:p w14:paraId="3BB53924" w14:textId="60C72E11" w:rsidR="000B46C2" w:rsidRPr="000B46C2" w:rsidRDefault="009D79FE" w:rsidP="000B46C2">
            <w:pPr>
              <w:pStyle w:val="Head1"/>
              <w:spacing w:after="0"/>
              <w:jc w:val="both"/>
              <w:rPr>
                <w:rFonts w:ascii="Arial" w:hAnsi="Arial" w:cs="Arial"/>
                <w:b w:val="0"/>
                <w:bCs/>
                <w:lang w:val="en-PH"/>
              </w:rPr>
            </w:pPr>
            <w:r w:rsidRPr="000B46C2">
              <w:rPr>
                <w:rFonts w:ascii="Arial" w:hAnsi="Arial" w:cs="Arial"/>
                <w:b w:val="0"/>
                <w:bCs/>
                <w:caps w:val="0"/>
                <w:lang w:val="en-PH"/>
              </w:rPr>
              <w:t>Marginal Homogeneity Test</w:t>
            </w:r>
          </w:p>
          <w:p w14:paraId="1DEB1610" w14:textId="1E659FEE" w:rsidR="000B46C2" w:rsidRPr="009D79FE" w:rsidRDefault="000B46C2" w:rsidP="00287022">
            <w:pPr>
              <w:pStyle w:val="Head1"/>
              <w:spacing w:after="0"/>
              <w:jc w:val="both"/>
              <w:rPr>
                <w:rFonts w:ascii="Arial" w:hAnsi="Arial" w:cs="Arial"/>
                <w:b w:val="0"/>
                <w:bCs/>
                <w:lang w:val="en-PH"/>
              </w:rPr>
            </w:pPr>
          </w:p>
        </w:tc>
        <w:tc>
          <w:tcPr>
            <w:tcW w:w="1619" w:type="dxa"/>
            <w:tcBorders>
              <w:bottom w:val="single" w:sz="4" w:space="0" w:color="auto"/>
            </w:tcBorders>
          </w:tcPr>
          <w:p w14:paraId="7874728F" w14:textId="13D7DA7E" w:rsidR="000B46C2" w:rsidRPr="000B46C2" w:rsidRDefault="009D79FE" w:rsidP="000B46C2">
            <w:pPr>
              <w:pStyle w:val="Head1"/>
              <w:spacing w:after="0"/>
              <w:jc w:val="both"/>
              <w:rPr>
                <w:rFonts w:ascii="Arial" w:hAnsi="Arial" w:cs="Arial"/>
                <w:b w:val="0"/>
                <w:bCs/>
                <w:lang w:val="en-PH"/>
              </w:rPr>
            </w:pPr>
            <w:r w:rsidRPr="000B46C2">
              <w:rPr>
                <w:rFonts w:ascii="Arial" w:hAnsi="Arial" w:cs="Arial"/>
                <w:b w:val="0"/>
                <w:bCs/>
                <w:caps w:val="0"/>
                <w:lang w:val="en-PH"/>
              </w:rPr>
              <w:t>Bias Index</w:t>
            </w:r>
          </w:p>
          <w:p w14:paraId="5EBA2047" w14:textId="55F6CF1D" w:rsidR="000B46C2" w:rsidRPr="009D79FE" w:rsidRDefault="000B46C2" w:rsidP="00287022">
            <w:pPr>
              <w:pStyle w:val="Head1"/>
              <w:spacing w:after="0"/>
              <w:jc w:val="both"/>
              <w:rPr>
                <w:rFonts w:ascii="Arial" w:hAnsi="Arial" w:cs="Arial"/>
                <w:b w:val="0"/>
                <w:bCs/>
                <w:lang w:val="en-PH"/>
              </w:rPr>
            </w:pPr>
          </w:p>
        </w:tc>
      </w:tr>
      <w:tr w:rsidR="000B46C2" w14:paraId="3AC2BAFE" w14:textId="77777777" w:rsidTr="000B46C2">
        <w:trPr>
          <w:trHeight w:val="298"/>
        </w:trPr>
        <w:tc>
          <w:tcPr>
            <w:tcW w:w="2093" w:type="dxa"/>
            <w:tcBorders>
              <w:top w:val="single" w:sz="4" w:space="0" w:color="auto"/>
            </w:tcBorders>
          </w:tcPr>
          <w:p w14:paraId="1C5A1ADC" w14:textId="2A0243B0" w:rsidR="000B46C2" w:rsidRPr="009D79FE" w:rsidRDefault="009D79FE" w:rsidP="009D79FE">
            <w:pPr>
              <w:pStyle w:val="Head1"/>
              <w:spacing w:after="0"/>
              <w:rPr>
                <w:rFonts w:ascii="Arial" w:hAnsi="Arial" w:cs="Arial"/>
                <w:b w:val="0"/>
                <w:bCs/>
                <w:lang w:val="en-PH"/>
              </w:rPr>
            </w:pPr>
            <w:r w:rsidRPr="009D79FE">
              <w:rPr>
                <w:rFonts w:ascii="Arial" w:hAnsi="Arial" w:cs="Arial"/>
                <w:b w:val="0"/>
                <w:bCs/>
                <w:caps w:val="0"/>
                <w:lang w:val="en-PH"/>
              </w:rPr>
              <w:t>Test</w:t>
            </w:r>
            <w:r>
              <w:rPr>
                <w:rFonts w:ascii="Arial" w:hAnsi="Arial" w:cs="Arial"/>
                <w:b w:val="0"/>
                <w:bCs/>
                <w:caps w:val="0"/>
                <w:lang w:val="en-PH"/>
              </w:rPr>
              <w:t xml:space="preserve"> </w:t>
            </w:r>
            <w:r w:rsidRPr="009D79FE">
              <w:rPr>
                <w:rFonts w:ascii="Arial" w:hAnsi="Arial" w:cs="Arial"/>
                <w:b w:val="0"/>
                <w:bCs/>
                <w:caps w:val="0"/>
                <w:lang w:val="en-PH"/>
              </w:rPr>
              <w:t xml:space="preserve">Statistics /Value </w:t>
            </w:r>
          </w:p>
        </w:tc>
        <w:tc>
          <w:tcPr>
            <w:tcW w:w="1365" w:type="dxa"/>
            <w:tcBorders>
              <w:top w:val="single" w:sz="4" w:space="0" w:color="auto"/>
            </w:tcBorders>
          </w:tcPr>
          <w:p w14:paraId="47C51861" w14:textId="2B49BB13" w:rsidR="000B46C2" w:rsidRPr="005204A5" w:rsidRDefault="00000000" w:rsidP="009D79FE">
            <w:pPr>
              <w:pStyle w:val="Head1"/>
              <w:spacing w:after="0"/>
              <w:rPr>
                <w:rFonts w:ascii="Arial" w:hAnsi="Arial" w:cs="Arial"/>
                <w:b w:val="0"/>
                <w:bCs/>
                <w:lang w:val="en-PH"/>
              </w:rPr>
            </w:pPr>
            <m:oMathPara>
              <m:oMath>
                <m:sSup>
                  <m:sSupPr>
                    <m:ctrlPr>
                      <w:rPr>
                        <w:rFonts w:ascii="Cambria Math" w:hAnsi="Cambria Math" w:cs="Arial"/>
                        <w:b w:val="0"/>
                        <w:bCs/>
                        <w:i/>
                        <w:lang w:val="en-PH"/>
                      </w:rPr>
                    </m:ctrlPr>
                  </m:sSupPr>
                  <m:e>
                    <m:r>
                      <m:rPr>
                        <m:scr m:val="script"/>
                        <m:sty m:val="bi"/>
                      </m:rPr>
                      <w:rPr>
                        <w:rFonts w:ascii="Cambria Math" w:hAnsi="Cambria Math" w:cs="Arial"/>
                        <w:lang w:val="en-PH"/>
                      </w:rPr>
                      <m:t>X</m:t>
                    </m:r>
                  </m:e>
                  <m:sup>
                    <m:r>
                      <m:rPr>
                        <m:sty m:val="bi"/>
                      </m:rPr>
                      <w:rPr>
                        <w:rFonts w:ascii="Cambria Math" w:hAnsi="Cambria Math" w:cs="Arial"/>
                        <w:lang w:val="en-PH"/>
                      </w:rPr>
                      <m:t>2</m:t>
                    </m:r>
                  </m:sup>
                </m:sSup>
                <m:r>
                  <m:rPr>
                    <m:sty m:val="bi"/>
                  </m:rPr>
                  <w:rPr>
                    <w:rFonts w:ascii="Cambria Math" w:hAnsi="Cambria Math" w:cs="Arial"/>
                    <w:lang w:val="en-PH"/>
                  </w:rPr>
                  <m:t>=7.36</m:t>
                </m:r>
              </m:oMath>
            </m:oMathPara>
          </w:p>
        </w:tc>
        <w:tc>
          <w:tcPr>
            <w:tcW w:w="1304" w:type="dxa"/>
            <w:tcBorders>
              <w:top w:val="single" w:sz="4" w:space="0" w:color="auto"/>
            </w:tcBorders>
          </w:tcPr>
          <w:p w14:paraId="6F450C64" w14:textId="6AEAE2F3" w:rsidR="000B46C2" w:rsidRPr="005204A5" w:rsidRDefault="009D79FE" w:rsidP="009D79FE">
            <w:pPr>
              <w:pStyle w:val="Head1"/>
              <w:spacing w:after="0"/>
              <w:rPr>
                <w:rFonts w:ascii="Arial" w:hAnsi="Arial" w:cs="Arial"/>
                <w:b w:val="0"/>
                <w:bCs/>
                <w:lang w:val="en-PH"/>
              </w:rPr>
            </w:pPr>
            <w:r>
              <w:rPr>
                <w:rFonts w:ascii="Arial" w:hAnsi="Arial" w:cs="Arial"/>
                <w:b w:val="0"/>
                <w:bCs/>
                <w:caps w:val="0"/>
                <w:lang w:val="en-PH"/>
              </w:rPr>
              <w:t>N = 11; Smaller Freq. = 1</w:t>
            </w:r>
          </w:p>
        </w:tc>
        <w:tc>
          <w:tcPr>
            <w:tcW w:w="1867" w:type="dxa"/>
            <w:tcBorders>
              <w:top w:val="single" w:sz="4" w:space="0" w:color="auto"/>
            </w:tcBorders>
          </w:tcPr>
          <w:p w14:paraId="46F93949" w14:textId="6AFA927C" w:rsidR="00A234D6" w:rsidRPr="00A234D6" w:rsidRDefault="00000000" w:rsidP="009D79FE">
            <w:pPr>
              <w:pStyle w:val="Head1"/>
              <w:spacing w:after="0"/>
              <w:rPr>
                <w:rFonts w:ascii="Arial" w:hAnsi="Arial" w:cs="Arial"/>
                <w:b w:val="0"/>
                <w:bCs/>
                <w:lang w:val="en-PH"/>
              </w:rPr>
            </w:pPr>
            <m:oMathPara>
              <m:oMathParaPr>
                <m:jc m:val="left"/>
              </m:oMathParaPr>
              <m:oMath>
                <m:sSup>
                  <m:sSupPr>
                    <m:ctrlPr>
                      <w:rPr>
                        <w:rFonts w:ascii="Cambria Math" w:hAnsi="Cambria Math" w:cs="Arial"/>
                        <w:b w:val="0"/>
                        <w:bCs/>
                        <w:i/>
                        <w:lang w:val="en-PH"/>
                      </w:rPr>
                    </m:ctrlPr>
                  </m:sSupPr>
                  <m:e>
                    <m:r>
                      <m:rPr>
                        <m:scr m:val="script"/>
                        <m:sty m:val="bi"/>
                      </m:rPr>
                      <w:rPr>
                        <w:rFonts w:ascii="Cambria Math" w:hAnsi="Cambria Math" w:cs="Arial"/>
                        <w:lang w:val="en-PH"/>
                      </w:rPr>
                      <m:t>X</m:t>
                    </m:r>
                  </m:e>
                  <m:sup>
                    <m:r>
                      <m:rPr>
                        <m:sty m:val="bi"/>
                      </m:rPr>
                      <w:rPr>
                        <w:rFonts w:ascii="Cambria Math" w:hAnsi="Cambria Math" w:cs="Arial"/>
                        <w:lang w:val="en-PH"/>
                      </w:rPr>
                      <m:t>2</m:t>
                    </m:r>
                  </m:sup>
                </m:sSup>
                <m:r>
                  <m:rPr>
                    <m:sty m:val="bi"/>
                  </m:rPr>
                  <w:rPr>
                    <w:rFonts w:ascii="Cambria Math" w:hAnsi="Cambria Math" w:cs="Arial"/>
                    <w:lang w:val="en-PH"/>
                  </w:rPr>
                  <m:t>=7.42</m:t>
                </m:r>
              </m:oMath>
            </m:oMathPara>
          </w:p>
        </w:tc>
        <w:tc>
          <w:tcPr>
            <w:tcW w:w="1619" w:type="dxa"/>
            <w:tcBorders>
              <w:top w:val="single" w:sz="4" w:space="0" w:color="auto"/>
            </w:tcBorders>
          </w:tcPr>
          <w:p w14:paraId="62178128" w14:textId="70F62240" w:rsidR="000B46C2" w:rsidRPr="005204A5" w:rsidRDefault="000B46C2" w:rsidP="009D79FE">
            <w:pPr>
              <w:pStyle w:val="Head1"/>
              <w:spacing w:after="0"/>
              <w:rPr>
                <w:rFonts w:ascii="Arial" w:hAnsi="Arial" w:cs="Arial"/>
                <w:b w:val="0"/>
                <w:bCs/>
                <w:lang w:val="en-PH"/>
              </w:rPr>
            </w:pPr>
            <w:r>
              <w:rPr>
                <w:rFonts w:ascii="Arial" w:hAnsi="Arial" w:cs="Arial"/>
                <w:b w:val="0"/>
                <w:bCs/>
                <w:lang w:val="en-PH"/>
              </w:rPr>
              <w:t>0.818</w:t>
            </w:r>
          </w:p>
        </w:tc>
      </w:tr>
    </w:tbl>
    <w:p w14:paraId="6CD8D626" w14:textId="77777777" w:rsidR="00A234D6" w:rsidRDefault="00A234D6" w:rsidP="009D79FE">
      <w:pPr>
        <w:pStyle w:val="Body"/>
        <w:rPr>
          <w:rFonts w:ascii="Arial" w:hAnsi="Arial" w:cs="Arial"/>
          <w:b/>
          <w:bCs/>
          <w:lang w:val="en-PH"/>
        </w:rPr>
      </w:pPr>
    </w:p>
    <w:p w14:paraId="2B802A78" w14:textId="1BD8F26C" w:rsidR="009D79FE" w:rsidRPr="00A234D6" w:rsidRDefault="009D79FE" w:rsidP="009D79FE">
      <w:pPr>
        <w:pStyle w:val="Body"/>
        <w:rPr>
          <w:rFonts w:ascii="Arial" w:hAnsi="Arial" w:cs="Arial"/>
          <w:b/>
          <w:bCs/>
          <w:lang w:val="en-PH"/>
        </w:rPr>
      </w:pPr>
      <w:r w:rsidRPr="00A234D6">
        <w:rPr>
          <w:rFonts w:ascii="Arial" w:hAnsi="Arial" w:cs="Arial"/>
          <w:b/>
          <w:bCs/>
          <w:lang w:val="en-PH"/>
        </w:rPr>
        <w:t xml:space="preserve">3.2 Simulation Example 2: Moderate Agreement </w:t>
      </w:r>
    </w:p>
    <w:p w14:paraId="421F92C5" w14:textId="77777777" w:rsidR="00A234D6" w:rsidRDefault="009D79FE" w:rsidP="009D79FE">
      <w:pPr>
        <w:pStyle w:val="Body"/>
        <w:rPr>
          <w:rFonts w:ascii="Arial" w:hAnsi="Arial" w:cs="Arial"/>
          <w:lang w:val="en-PH"/>
        </w:rPr>
      </w:pPr>
      <w:r w:rsidRPr="009D79FE">
        <w:rPr>
          <w:rFonts w:ascii="Arial" w:hAnsi="Arial" w:cs="Arial"/>
          <w:lang w:val="en-PH"/>
        </w:rPr>
        <w:t xml:space="preserve">This example illustrates a situation in which raters exhibit modest concordance, with </w:t>
      </w:r>
      <w:r w:rsidR="00A234D6" w:rsidRPr="009D79FE">
        <w:rPr>
          <w:rFonts w:ascii="Arial" w:hAnsi="Arial" w:cs="Arial"/>
          <w:lang w:val="en-PH"/>
        </w:rPr>
        <w:t>most</w:t>
      </w:r>
      <w:r w:rsidRPr="009D79FE">
        <w:rPr>
          <w:rFonts w:ascii="Arial" w:hAnsi="Arial" w:cs="Arial"/>
          <w:lang w:val="en-PH"/>
        </w:rPr>
        <w:t xml:space="preserve"> ratings clustered along the diagonal and a diminished presence in off-diagonal cells. This pattern signifies more equitable evaluations with negligible dissent.</w:t>
      </w:r>
    </w:p>
    <w:p w14:paraId="2B5CA0BF" w14:textId="15C3D143" w:rsidR="009D79FE" w:rsidRDefault="009D79FE" w:rsidP="009D79FE">
      <w:pPr>
        <w:pStyle w:val="Body"/>
        <w:rPr>
          <w:rFonts w:ascii="Arial" w:hAnsi="Arial" w:cs="Arial"/>
          <w:lang w:val="en-PH"/>
        </w:rPr>
      </w:pPr>
      <w:r w:rsidRPr="009D79FE">
        <w:rPr>
          <w:rFonts w:ascii="Arial" w:hAnsi="Arial" w:cs="Arial"/>
          <w:lang w:val="en-PH"/>
        </w:rPr>
        <w:br/>
        <w:t xml:space="preserve">The statistical tools employed in this example produce inconclusive outcomes. The Modified McNemar Test reveals negligible directional bias, yielding a p-value of 0.317. The Single Binomial Test yields a two-tailed p-value of around 0.344, indicating balanced rates of disagreement. The Marginal Homogeneity </w:t>
      </w:r>
      <w:r w:rsidRPr="00A101F7">
        <w:rPr>
          <w:rFonts w:ascii="Arial" w:hAnsi="Arial" w:cs="Arial"/>
          <w:highlight w:val="yellow"/>
          <w:lang w:val="en-PH"/>
        </w:rPr>
        <w:t>Test indicates m</w:t>
      </w:r>
      <w:r w:rsidR="00A101F7" w:rsidRPr="00A101F7">
        <w:rPr>
          <w:rFonts w:ascii="Arial" w:hAnsi="Arial" w:cs="Arial"/>
          <w:highlight w:val="yellow"/>
          <w:lang w:val="en-PH"/>
        </w:rPr>
        <w:t>odest</w:t>
      </w:r>
      <w:r w:rsidRPr="00A101F7">
        <w:rPr>
          <w:rFonts w:ascii="Arial" w:hAnsi="Arial" w:cs="Arial"/>
          <w:highlight w:val="yellow"/>
          <w:lang w:val="en-PH"/>
        </w:rPr>
        <w:t xml:space="preserve"> similarity </w:t>
      </w:r>
      <w:r w:rsidR="00A101F7" w:rsidRPr="00A101F7">
        <w:rPr>
          <w:rFonts w:ascii="Arial" w:hAnsi="Arial" w:cs="Arial"/>
          <w:highlight w:val="yellow"/>
          <w:lang w:val="en-PH"/>
        </w:rPr>
        <w:t>in the rating</w:t>
      </w:r>
      <w:r w:rsidR="00A101F7">
        <w:rPr>
          <w:rFonts w:ascii="Arial" w:hAnsi="Arial" w:cs="Arial"/>
          <w:lang w:val="en-PH"/>
        </w:rPr>
        <w:t xml:space="preserve"> patterns</w:t>
      </w:r>
      <w:r w:rsidRPr="009D79FE">
        <w:rPr>
          <w:rFonts w:ascii="Arial" w:hAnsi="Arial" w:cs="Arial"/>
          <w:lang w:val="en-PH"/>
        </w:rPr>
        <w:t xml:space="preserve"> with a p-value of 0.276. The Bias Index indicates a minimal directional skew of 0.143, suggesting a modest inclination towards Rater A.</w:t>
      </w:r>
    </w:p>
    <w:p w14:paraId="0E14D243" w14:textId="02FFEEF9" w:rsidR="009D79FE" w:rsidRDefault="009D79FE" w:rsidP="009D79FE">
      <w:pPr>
        <w:pStyle w:val="Body"/>
        <w:rPr>
          <w:rFonts w:ascii="Arial" w:hAnsi="Arial" w:cs="Arial"/>
          <w:lang w:val="en-PH"/>
        </w:rPr>
      </w:pPr>
      <w:r w:rsidRPr="009D79FE">
        <w:rPr>
          <w:rFonts w:ascii="Arial" w:hAnsi="Arial" w:cs="Arial"/>
          <w:lang w:val="en-PH"/>
        </w:rPr>
        <w:t>The results indicate that under moderate agreement conditions, the four methods exhibit similar interpretations, corroborating prior findings that these techniques are responsive to directional imbalances yet stable when bias is minimal (Landis &amp; Koch, 2020).</w:t>
      </w:r>
    </w:p>
    <w:p w14:paraId="2592D9A0" w14:textId="06C6372D" w:rsidR="009D79FE" w:rsidRPr="009D79FE" w:rsidRDefault="009D79FE" w:rsidP="009D79FE">
      <w:pPr>
        <w:pStyle w:val="Body"/>
        <w:rPr>
          <w:rFonts w:ascii="Arial" w:hAnsi="Arial" w:cs="Arial"/>
          <w:lang w:val="en-PH"/>
        </w:rPr>
      </w:pPr>
      <w:r w:rsidRPr="009D79FE">
        <w:rPr>
          <w:rFonts w:ascii="Arial" w:hAnsi="Arial" w:cs="Arial"/>
          <w:b/>
          <w:bCs/>
          <w:lang w:val="en-PH"/>
        </w:rPr>
        <w:t>Table 3. Hypothetical 3×3 Contingency Table (Moderate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50"/>
        <w:gridCol w:w="850"/>
        <w:gridCol w:w="851"/>
        <w:gridCol w:w="1619"/>
      </w:tblGrid>
      <w:tr w:rsidR="009D79FE" w14:paraId="619EE6FC" w14:textId="77777777" w:rsidTr="00287022">
        <w:trPr>
          <w:trHeight w:val="298"/>
        </w:trPr>
        <w:tc>
          <w:tcPr>
            <w:tcW w:w="2093" w:type="dxa"/>
            <w:tcBorders>
              <w:bottom w:val="single" w:sz="4" w:space="0" w:color="auto"/>
            </w:tcBorders>
          </w:tcPr>
          <w:p w14:paraId="12DC6F3E" w14:textId="77777777" w:rsidR="009D79FE" w:rsidRDefault="009D79FE" w:rsidP="00287022">
            <w:pPr>
              <w:pStyle w:val="Head1"/>
              <w:spacing w:after="0"/>
              <w:jc w:val="both"/>
              <w:rPr>
                <w:rFonts w:ascii="Arial" w:hAnsi="Arial" w:cs="Arial"/>
                <w:lang w:val="en-PH"/>
              </w:rPr>
            </w:pPr>
            <w:r w:rsidRPr="005204A5">
              <w:rPr>
                <w:rFonts w:ascii="Arial" w:hAnsi="Arial" w:cs="Arial"/>
                <w:caps w:val="0"/>
                <w:lang w:val="en-PH"/>
              </w:rPr>
              <w:lastRenderedPageBreak/>
              <w:t>Rater</w:t>
            </w:r>
            <w:r>
              <w:rPr>
                <w:rFonts w:ascii="Arial" w:hAnsi="Arial" w:cs="Arial"/>
                <w:caps w:val="0"/>
                <w:lang w:val="en-PH"/>
              </w:rPr>
              <w:t xml:space="preserve"> </w:t>
            </w:r>
            <w:r w:rsidRPr="005204A5">
              <w:rPr>
                <w:rFonts w:ascii="Arial" w:hAnsi="Arial" w:cs="Arial"/>
                <w:caps w:val="0"/>
                <w:lang w:val="en-PH"/>
              </w:rPr>
              <w:t>A / Rater B</w:t>
            </w:r>
          </w:p>
        </w:tc>
        <w:tc>
          <w:tcPr>
            <w:tcW w:w="850" w:type="dxa"/>
            <w:tcBorders>
              <w:bottom w:val="single" w:sz="4" w:space="0" w:color="auto"/>
            </w:tcBorders>
          </w:tcPr>
          <w:p w14:paraId="2DA44EFB" w14:textId="77777777" w:rsidR="009D79FE" w:rsidRDefault="009D79FE" w:rsidP="00287022">
            <w:pPr>
              <w:pStyle w:val="Head1"/>
              <w:spacing w:after="0"/>
              <w:jc w:val="both"/>
              <w:rPr>
                <w:rFonts w:ascii="Arial" w:hAnsi="Arial" w:cs="Arial"/>
                <w:lang w:val="en-PH"/>
              </w:rPr>
            </w:pPr>
            <w:r>
              <w:rPr>
                <w:rFonts w:ascii="Arial" w:hAnsi="Arial" w:cs="Arial"/>
                <w:lang w:val="en-PH"/>
              </w:rPr>
              <w:t>I</w:t>
            </w:r>
          </w:p>
        </w:tc>
        <w:tc>
          <w:tcPr>
            <w:tcW w:w="850" w:type="dxa"/>
            <w:tcBorders>
              <w:bottom w:val="single" w:sz="4" w:space="0" w:color="auto"/>
            </w:tcBorders>
          </w:tcPr>
          <w:p w14:paraId="1376B92B" w14:textId="77777777" w:rsidR="009D79FE" w:rsidRDefault="009D79FE" w:rsidP="00287022">
            <w:pPr>
              <w:pStyle w:val="Head1"/>
              <w:spacing w:after="0"/>
              <w:jc w:val="both"/>
              <w:rPr>
                <w:rFonts w:ascii="Arial" w:hAnsi="Arial" w:cs="Arial"/>
                <w:lang w:val="en-PH"/>
              </w:rPr>
            </w:pPr>
            <w:r>
              <w:rPr>
                <w:rFonts w:ascii="Arial" w:hAnsi="Arial" w:cs="Arial"/>
                <w:lang w:val="en-PH"/>
              </w:rPr>
              <w:t>II</w:t>
            </w:r>
          </w:p>
        </w:tc>
        <w:tc>
          <w:tcPr>
            <w:tcW w:w="851" w:type="dxa"/>
            <w:tcBorders>
              <w:bottom w:val="single" w:sz="4" w:space="0" w:color="auto"/>
            </w:tcBorders>
          </w:tcPr>
          <w:p w14:paraId="4CAA731F" w14:textId="77777777" w:rsidR="009D79FE" w:rsidRDefault="009D79FE" w:rsidP="00287022">
            <w:pPr>
              <w:pStyle w:val="Head1"/>
              <w:spacing w:after="0"/>
              <w:jc w:val="both"/>
              <w:rPr>
                <w:rFonts w:ascii="Arial" w:hAnsi="Arial" w:cs="Arial"/>
                <w:lang w:val="en-PH"/>
              </w:rPr>
            </w:pPr>
            <w:r>
              <w:rPr>
                <w:rFonts w:ascii="Arial" w:hAnsi="Arial" w:cs="Arial"/>
                <w:lang w:val="en-PH"/>
              </w:rPr>
              <w:t>III</w:t>
            </w:r>
          </w:p>
        </w:tc>
        <w:tc>
          <w:tcPr>
            <w:tcW w:w="1619" w:type="dxa"/>
            <w:tcBorders>
              <w:bottom w:val="single" w:sz="4" w:space="0" w:color="auto"/>
            </w:tcBorders>
          </w:tcPr>
          <w:p w14:paraId="420F578F" w14:textId="77777777" w:rsidR="009D79FE" w:rsidRDefault="009D79FE" w:rsidP="00287022">
            <w:pPr>
              <w:pStyle w:val="Head1"/>
              <w:spacing w:after="0"/>
              <w:jc w:val="both"/>
              <w:rPr>
                <w:rFonts w:ascii="Arial" w:hAnsi="Arial" w:cs="Arial"/>
                <w:lang w:val="en-PH"/>
              </w:rPr>
            </w:pPr>
            <w:r>
              <w:rPr>
                <w:rFonts w:ascii="Arial" w:hAnsi="Arial" w:cs="Arial"/>
                <w:caps w:val="0"/>
                <w:lang w:val="en-PH"/>
              </w:rPr>
              <w:t xml:space="preserve">Row Total </w:t>
            </w:r>
          </w:p>
        </w:tc>
      </w:tr>
      <w:tr w:rsidR="009D79FE" w14:paraId="041A367F" w14:textId="77777777" w:rsidTr="00287022">
        <w:trPr>
          <w:trHeight w:val="298"/>
        </w:trPr>
        <w:tc>
          <w:tcPr>
            <w:tcW w:w="2093" w:type="dxa"/>
            <w:tcBorders>
              <w:top w:val="single" w:sz="4" w:space="0" w:color="auto"/>
            </w:tcBorders>
          </w:tcPr>
          <w:p w14:paraId="281029D0" w14:textId="77777777" w:rsidR="009D79FE" w:rsidRDefault="009D79FE" w:rsidP="00287022">
            <w:pPr>
              <w:pStyle w:val="Head1"/>
              <w:spacing w:after="0"/>
              <w:jc w:val="both"/>
              <w:rPr>
                <w:rFonts w:ascii="Arial" w:hAnsi="Arial" w:cs="Arial"/>
                <w:lang w:val="en-PH"/>
              </w:rPr>
            </w:pPr>
            <w:r>
              <w:rPr>
                <w:rFonts w:ascii="Arial" w:hAnsi="Arial" w:cs="Arial"/>
                <w:lang w:val="en-PH"/>
              </w:rPr>
              <w:t>I</w:t>
            </w:r>
          </w:p>
        </w:tc>
        <w:tc>
          <w:tcPr>
            <w:tcW w:w="850" w:type="dxa"/>
            <w:tcBorders>
              <w:top w:val="single" w:sz="4" w:space="0" w:color="auto"/>
            </w:tcBorders>
          </w:tcPr>
          <w:p w14:paraId="0F20E95B" w14:textId="7864B3AD"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6</w:t>
            </w:r>
          </w:p>
        </w:tc>
        <w:tc>
          <w:tcPr>
            <w:tcW w:w="850" w:type="dxa"/>
            <w:tcBorders>
              <w:top w:val="single" w:sz="4" w:space="0" w:color="auto"/>
            </w:tcBorders>
          </w:tcPr>
          <w:p w14:paraId="7CA504E6" w14:textId="27FAD21D"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2</w:t>
            </w:r>
          </w:p>
        </w:tc>
        <w:tc>
          <w:tcPr>
            <w:tcW w:w="851" w:type="dxa"/>
            <w:tcBorders>
              <w:top w:val="single" w:sz="4" w:space="0" w:color="auto"/>
            </w:tcBorders>
          </w:tcPr>
          <w:p w14:paraId="61B9D846" w14:textId="3B5DB074"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1</w:t>
            </w:r>
          </w:p>
        </w:tc>
        <w:tc>
          <w:tcPr>
            <w:tcW w:w="1619" w:type="dxa"/>
            <w:tcBorders>
              <w:top w:val="single" w:sz="4" w:space="0" w:color="auto"/>
            </w:tcBorders>
          </w:tcPr>
          <w:p w14:paraId="31AAE4D9" w14:textId="62C7FEAF"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9</w:t>
            </w:r>
          </w:p>
        </w:tc>
      </w:tr>
      <w:tr w:rsidR="009D79FE" w14:paraId="440C02EB" w14:textId="77777777" w:rsidTr="00287022">
        <w:trPr>
          <w:trHeight w:val="298"/>
        </w:trPr>
        <w:tc>
          <w:tcPr>
            <w:tcW w:w="2093" w:type="dxa"/>
          </w:tcPr>
          <w:p w14:paraId="7CA95B8F" w14:textId="77777777" w:rsidR="009D79FE" w:rsidRDefault="009D79FE" w:rsidP="00287022">
            <w:pPr>
              <w:pStyle w:val="Head1"/>
              <w:spacing w:after="0"/>
              <w:jc w:val="both"/>
              <w:rPr>
                <w:rFonts w:ascii="Arial" w:hAnsi="Arial" w:cs="Arial"/>
                <w:lang w:val="en-PH"/>
              </w:rPr>
            </w:pPr>
            <w:r>
              <w:rPr>
                <w:rFonts w:ascii="Arial" w:hAnsi="Arial" w:cs="Arial"/>
                <w:lang w:val="en-PH"/>
              </w:rPr>
              <w:t>II</w:t>
            </w:r>
          </w:p>
        </w:tc>
        <w:tc>
          <w:tcPr>
            <w:tcW w:w="850" w:type="dxa"/>
          </w:tcPr>
          <w:p w14:paraId="082A6A59" w14:textId="436FC12A"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1</w:t>
            </w:r>
          </w:p>
        </w:tc>
        <w:tc>
          <w:tcPr>
            <w:tcW w:w="850" w:type="dxa"/>
          </w:tcPr>
          <w:p w14:paraId="5E3E934D" w14:textId="6BA0D8AB"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6</w:t>
            </w:r>
          </w:p>
        </w:tc>
        <w:tc>
          <w:tcPr>
            <w:tcW w:w="851" w:type="dxa"/>
          </w:tcPr>
          <w:p w14:paraId="21A5C8F1" w14:textId="06490618"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2</w:t>
            </w:r>
          </w:p>
        </w:tc>
        <w:tc>
          <w:tcPr>
            <w:tcW w:w="1619" w:type="dxa"/>
          </w:tcPr>
          <w:p w14:paraId="701A8277" w14:textId="00B7DAA0"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9</w:t>
            </w:r>
          </w:p>
        </w:tc>
      </w:tr>
      <w:tr w:rsidR="009D79FE" w14:paraId="4BAC604A" w14:textId="77777777" w:rsidTr="00287022">
        <w:trPr>
          <w:trHeight w:val="298"/>
        </w:trPr>
        <w:tc>
          <w:tcPr>
            <w:tcW w:w="2093" w:type="dxa"/>
            <w:tcBorders>
              <w:bottom w:val="single" w:sz="4" w:space="0" w:color="auto"/>
            </w:tcBorders>
          </w:tcPr>
          <w:p w14:paraId="1BD8DC99" w14:textId="77777777" w:rsidR="009D79FE" w:rsidRDefault="009D79FE" w:rsidP="00287022">
            <w:pPr>
              <w:pStyle w:val="Head1"/>
              <w:spacing w:after="0"/>
              <w:jc w:val="both"/>
              <w:rPr>
                <w:rFonts w:ascii="Arial" w:hAnsi="Arial" w:cs="Arial"/>
                <w:lang w:val="en-PH"/>
              </w:rPr>
            </w:pPr>
            <w:r>
              <w:rPr>
                <w:rFonts w:ascii="Arial" w:hAnsi="Arial" w:cs="Arial"/>
                <w:lang w:val="en-PH"/>
              </w:rPr>
              <w:t>III</w:t>
            </w:r>
          </w:p>
        </w:tc>
        <w:tc>
          <w:tcPr>
            <w:tcW w:w="850" w:type="dxa"/>
            <w:tcBorders>
              <w:bottom w:val="single" w:sz="4" w:space="0" w:color="auto"/>
            </w:tcBorders>
          </w:tcPr>
          <w:p w14:paraId="69938A49" w14:textId="77777777" w:rsidR="009D79FE" w:rsidRPr="005204A5" w:rsidRDefault="009D79FE" w:rsidP="00287022">
            <w:pPr>
              <w:pStyle w:val="Head1"/>
              <w:spacing w:after="0"/>
              <w:jc w:val="both"/>
              <w:rPr>
                <w:rFonts w:ascii="Arial" w:hAnsi="Arial" w:cs="Arial"/>
                <w:b w:val="0"/>
                <w:bCs/>
                <w:lang w:val="en-PH"/>
              </w:rPr>
            </w:pPr>
            <w:r w:rsidRPr="005204A5">
              <w:rPr>
                <w:rFonts w:ascii="Arial" w:hAnsi="Arial" w:cs="Arial"/>
                <w:b w:val="0"/>
                <w:bCs/>
                <w:lang w:val="en-PH"/>
              </w:rPr>
              <w:t>0</w:t>
            </w:r>
          </w:p>
        </w:tc>
        <w:tc>
          <w:tcPr>
            <w:tcW w:w="850" w:type="dxa"/>
            <w:tcBorders>
              <w:bottom w:val="single" w:sz="4" w:space="0" w:color="auto"/>
            </w:tcBorders>
          </w:tcPr>
          <w:p w14:paraId="5C2CEEE8" w14:textId="18EE6494"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2</w:t>
            </w:r>
          </w:p>
        </w:tc>
        <w:tc>
          <w:tcPr>
            <w:tcW w:w="851" w:type="dxa"/>
            <w:tcBorders>
              <w:bottom w:val="single" w:sz="4" w:space="0" w:color="auto"/>
            </w:tcBorders>
          </w:tcPr>
          <w:p w14:paraId="42D612B2" w14:textId="56B79433"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6</w:t>
            </w:r>
          </w:p>
        </w:tc>
        <w:tc>
          <w:tcPr>
            <w:tcW w:w="1619" w:type="dxa"/>
            <w:tcBorders>
              <w:bottom w:val="single" w:sz="4" w:space="0" w:color="auto"/>
            </w:tcBorders>
          </w:tcPr>
          <w:p w14:paraId="29981D64" w14:textId="5D4293AB"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8</w:t>
            </w:r>
          </w:p>
        </w:tc>
      </w:tr>
      <w:tr w:rsidR="009D79FE" w14:paraId="088985C4" w14:textId="77777777" w:rsidTr="00287022">
        <w:trPr>
          <w:trHeight w:val="298"/>
        </w:trPr>
        <w:tc>
          <w:tcPr>
            <w:tcW w:w="2093" w:type="dxa"/>
            <w:tcBorders>
              <w:top w:val="single" w:sz="4" w:space="0" w:color="auto"/>
            </w:tcBorders>
          </w:tcPr>
          <w:p w14:paraId="2EF6E45B" w14:textId="77777777" w:rsidR="009D79FE" w:rsidRDefault="009D79FE" w:rsidP="00287022">
            <w:pPr>
              <w:pStyle w:val="Head1"/>
              <w:spacing w:after="0"/>
              <w:jc w:val="both"/>
              <w:rPr>
                <w:rFonts w:ascii="Arial" w:hAnsi="Arial" w:cs="Arial"/>
                <w:lang w:val="en-PH"/>
              </w:rPr>
            </w:pPr>
            <w:r>
              <w:rPr>
                <w:rFonts w:ascii="Arial" w:hAnsi="Arial" w:cs="Arial"/>
                <w:caps w:val="0"/>
                <w:lang w:val="en-PH"/>
              </w:rPr>
              <w:t>Column Total</w:t>
            </w:r>
          </w:p>
        </w:tc>
        <w:tc>
          <w:tcPr>
            <w:tcW w:w="850" w:type="dxa"/>
            <w:tcBorders>
              <w:top w:val="single" w:sz="4" w:space="0" w:color="auto"/>
            </w:tcBorders>
          </w:tcPr>
          <w:p w14:paraId="50A338FF" w14:textId="65A11317" w:rsidR="009D79FE" w:rsidRDefault="009D79FE" w:rsidP="00287022">
            <w:pPr>
              <w:pStyle w:val="Head1"/>
              <w:spacing w:after="0"/>
              <w:jc w:val="both"/>
              <w:rPr>
                <w:rFonts w:ascii="Arial" w:hAnsi="Arial" w:cs="Arial"/>
                <w:lang w:val="en-PH"/>
              </w:rPr>
            </w:pPr>
            <w:r>
              <w:rPr>
                <w:rFonts w:ascii="Arial" w:hAnsi="Arial" w:cs="Arial"/>
                <w:lang w:val="en-PH"/>
              </w:rPr>
              <w:t>7</w:t>
            </w:r>
          </w:p>
        </w:tc>
        <w:tc>
          <w:tcPr>
            <w:tcW w:w="850" w:type="dxa"/>
            <w:tcBorders>
              <w:top w:val="single" w:sz="4" w:space="0" w:color="auto"/>
            </w:tcBorders>
          </w:tcPr>
          <w:p w14:paraId="20CE627C" w14:textId="6D513B63" w:rsidR="009D79FE" w:rsidRDefault="009D79FE" w:rsidP="00287022">
            <w:pPr>
              <w:pStyle w:val="Head1"/>
              <w:spacing w:after="0"/>
              <w:jc w:val="both"/>
              <w:rPr>
                <w:rFonts w:ascii="Arial" w:hAnsi="Arial" w:cs="Arial"/>
                <w:lang w:val="en-PH"/>
              </w:rPr>
            </w:pPr>
            <w:r>
              <w:rPr>
                <w:rFonts w:ascii="Arial" w:hAnsi="Arial" w:cs="Arial"/>
                <w:lang w:val="en-PH"/>
              </w:rPr>
              <w:t>10</w:t>
            </w:r>
          </w:p>
        </w:tc>
        <w:tc>
          <w:tcPr>
            <w:tcW w:w="851" w:type="dxa"/>
            <w:tcBorders>
              <w:top w:val="single" w:sz="4" w:space="0" w:color="auto"/>
            </w:tcBorders>
          </w:tcPr>
          <w:p w14:paraId="28A4EC57" w14:textId="3045F8A2" w:rsidR="009D79FE" w:rsidRDefault="009D79FE" w:rsidP="00287022">
            <w:pPr>
              <w:pStyle w:val="Head1"/>
              <w:spacing w:after="0"/>
              <w:jc w:val="both"/>
              <w:rPr>
                <w:rFonts w:ascii="Arial" w:hAnsi="Arial" w:cs="Arial"/>
                <w:lang w:val="en-PH"/>
              </w:rPr>
            </w:pPr>
            <w:r>
              <w:rPr>
                <w:rFonts w:ascii="Arial" w:hAnsi="Arial" w:cs="Arial"/>
                <w:lang w:val="en-PH"/>
              </w:rPr>
              <w:t>9</w:t>
            </w:r>
          </w:p>
        </w:tc>
        <w:tc>
          <w:tcPr>
            <w:tcW w:w="1619" w:type="dxa"/>
            <w:tcBorders>
              <w:top w:val="single" w:sz="4" w:space="0" w:color="auto"/>
            </w:tcBorders>
          </w:tcPr>
          <w:p w14:paraId="5A0B8F69" w14:textId="7DA9B17C" w:rsidR="009D79FE" w:rsidRDefault="009D79FE" w:rsidP="00287022">
            <w:pPr>
              <w:pStyle w:val="Head1"/>
              <w:spacing w:after="0"/>
              <w:jc w:val="both"/>
              <w:rPr>
                <w:rFonts w:ascii="Arial" w:hAnsi="Arial" w:cs="Arial"/>
                <w:lang w:val="en-PH"/>
              </w:rPr>
            </w:pPr>
            <w:r>
              <w:rPr>
                <w:rFonts w:ascii="Arial" w:hAnsi="Arial" w:cs="Arial"/>
                <w:lang w:val="en-PH"/>
              </w:rPr>
              <w:t>26</w:t>
            </w:r>
          </w:p>
        </w:tc>
      </w:tr>
    </w:tbl>
    <w:p w14:paraId="3EC60489" w14:textId="77777777" w:rsidR="00A234D6" w:rsidRDefault="00A234D6" w:rsidP="00A234D6">
      <w:pPr>
        <w:pStyle w:val="Body"/>
        <w:spacing w:after="0"/>
        <w:rPr>
          <w:rFonts w:ascii="Arial" w:hAnsi="Arial" w:cs="Arial"/>
          <w:b/>
          <w:bCs/>
          <w:lang w:val="en-PH"/>
        </w:rPr>
      </w:pPr>
    </w:p>
    <w:p w14:paraId="52FB1ACD" w14:textId="38520CE8" w:rsidR="00A234D6" w:rsidRPr="00A234D6" w:rsidRDefault="00A234D6" w:rsidP="00A234D6">
      <w:pPr>
        <w:pStyle w:val="Body"/>
        <w:spacing w:after="0"/>
        <w:rPr>
          <w:rFonts w:ascii="Arial" w:hAnsi="Arial" w:cs="Arial"/>
          <w:lang w:val="en-PH"/>
        </w:rPr>
      </w:pPr>
      <w:r w:rsidRPr="00A234D6">
        <w:rPr>
          <w:rFonts w:ascii="Arial" w:hAnsi="Arial" w:cs="Arial"/>
          <w:b/>
          <w:bCs/>
          <w:lang w:val="en-PH"/>
        </w:rPr>
        <w:t>Table 4. Results and Computation</w:t>
      </w:r>
    </w:p>
    <w:p w14:paraId="3C3265CD" w14:textId="20BBDD73" w:rsidR="000B46C2" w:rsidRDefault="000B46C2" w:rsidP="00441B6F">
      <w:pPr>
        <w:pStyle w:val="Body"/>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365"/>
        <w:gridCol w:w="1304"/>
        <w:gridCol w:w="1867"/>
        <w:gridCol w:w="1619"/>
      </w:tblGrid>
      <w:tr w:rsidR="00A234D6" w14:paraId="639D42E1" w14:textId="77777777" w:rsidTr="00287022">
        <w:trPr>
          <w:trHeight w:val="298"/>
        </w:trPr>
        <w:tc>
          <w:tcPr>
            <w:tcW w:w="2093" w:type="dxa"/>
            <w:tcBorders>
              <w:bottom w:val="single" w:sz="4" w:space="0" w:color="auto"/>
            </w:tcBorders>
          </w:tcPr>
          <w:p w14:paraId="0C100DE8" w14:textId="77777777" w:rsidR="00A234D6" w:rsidRPr="009D79FE" w:rsidRDefault="00A234D6" w:rsidP="00287022">
            <w:pPr>
              <w:pStyle w:val="Head1"/>
              <w:spacing w:after="0"/>
              <w:jc w:val="both"/>
              <w:rPr>
                <w:rFonts w:ascii="Arial" w:hAnsi="Arial" w:cs="Arial"/>
                <w:b w:val="0"/>
                <w:bCs/>
                <w:lang w:val="en-PH"/>
              </w:rPr>
            </w:pPr>
            <w:r w:rsidRPr="009D79FE">
              <w:rPr>
                <w:rFonts w:ascii="Arial" w:hAnsi="Arial" w:cs="Arial"/>
                <w:b w:val="0"/>
                <w:bCs/>
                <w:caps w:val="0"/>
                <w:lang w:val="en-PH"/>
              </w:rPr>
              <w:t>Rater A / Rater B</w:t>
            </w:r>
          </w:p>
        </w:tc>
        <w:tc>
          <w:tcPr>
            <w:tcW w:w="1365" w:type="dxa"/>
            <w:tcBorders>
              <w:bottom w:val="single" w:sz="4" w:space="0" w:color="auto"/>
            </w:tcBorders>
          </w:tcPr>
          <w:p w14:paraId="5EF23AF2" w14:textId="77777777" w:rsidR="00A234D6" w:rsidRPr="000B46C2" w:rsidRDefault="00A234D6" w:rsidP="00287022">
            <w:pPr>
              <w:pStyle w:val="Head1"/>
              <w:spacing w:after="0"/>
              <w:jc w:val="both"/>
              <w:rPr>
                <w:rFonts w:ascii="Arial" w:hAnsi="Arial" w:cs="Arial"/>
                <w:b w:val="0"/>
                <w:bCs/>
                <w:lang w:val="en-PH"/>
              </w:rPr>
            </w:pPr>
            <w:r w:rsidRPr="000B46C2">
              <w:rPr>
                <w:rFonts w:ascii="Arial" w:hAnsi="Arial" w:cs="Arial"/>
                <w:b w:val="0"/>
                <w:bCs/>
                <w:caps w:val="0"/>
                <w:lang w:val="en-PH"/>
              </w:rPr>
              <w:t>Modified Mcnemar Test</w:t>
            </w:r>
          </w:p>
          <w:p w14:paraId="0DCC4290" w14:textId="77777777" w:rsidR="00A234D6" w:rsidRPr="009D79FE" w:rsidRDefault="00A234D6" w:rsidP="00287022">
            <w:pPr>
              <w:pStyle w:val="Head1"/>
              <w:spacing w:after="0"/>
              <w:jc w:val="both"/>
              <w:rPr>
                <w:rFonts w:ascii="Arial" w:hAnsi="Arial" w:cs="Arial"/>
                <w:b w:val="0"/>
                <w:bCs/>
                <w:lang w:val="en-PH"/>
              </w:rPr>
            </w:pPr>
          </w:p>
        </w:tc>
        <w:tc>
          <w:tcPr>
            <w:tcW w:w="1304" w:type="dxa"/>
            <w:tcBorders>
              <w:bottom w:val="single" w:sz="4" w:space="0" w:color="auto"/>
            </w:tcBorders>
          </w:tcPr>
          <w:p w14:paraId="70225052" w14:textId="77777777" w:rsidR="00A234D6" w:rsidRPr="000B46C2" w:rsidRDefault="00A234D6" w:rsidP="00287022">
            <w:pPr>
              <w:pStyle w:val="Head1"/>
              <w:spacing w:after="0"/>
              <w:jc w:val="both"/>
              <w:rPr>
                <w:rFonts w:ascii="Arial" w:hAnsi="Arial" w:cs="Arial"/>
                <w:b w:val="0"/>
                <w:bCs/>
                <w:lang w:val="en-PH"/>
              </w:rPr>
            </w:pPr>
            <w:r w:rsidRPr="000B46C2">
              <w:rPr>
                <w:rFonts w:ascii="Arial" w:hAnsi="Arial" w:cs="Arial"/>
                <w:b w:val="0"/>
                <w:bCs/>
                <w:caps w:val="0"/>
                <w:lang w:val="en-PH"/>
              </w:rPr>
              <w:t>Single Binomial Test</w:t>
            </w:r>
          </w:p>
          <w:p w14:paraId="6F705AF6" w14:textId="77777777" w:rsidR="00A234D6" w:rsidRPr="009D79FE" w:rsidRDefault="00A234D6" w:rsidP="00287022">
            <w:pPr>
              <w:pStyle w:val="Head1"/>
              <w:spacing w:after="0"/>
              <w:jc w:val="both"/>
              <w:rPr>
                <w:rFonts w:ascii="Arial" w:hAnsi="Arial" w:cs="Arial"/>
                <w:b w:val="0"/>
                <w:bCs/>
                <w:lang w:val="en-PH"/>
              </w:rPr>
            </w:pPr>
          </w:p>
        </w:tc>
        <w:tc>
          <w:tcPr>
            <w:tcW w:w="1867" w:type="dxa"/>
            <w:tcBorders>
              <w:bottom w:val="single" w:sz="4" w:space="0" w:color="auto"/>
            </w:tcBorders>
          </w:tcPr>
          <w:p w14:paraId="445E9544" w14:textId="77777777" w:rsidR="00A234D6" w:rsidRPr="000B46C2" w:rsidRDefault="00A234D6" w:rsidP="00287022">
            <w:pPr>
              <w:pStyle w:val="Head1"/>
              <w:spacing w:after="0"/>
              <w:jc w:val="both"/>
              <w:rPr>
                <w:rFonts w:ascii="Arial" w:hAnsi="Arial" w:cs="Arial"/>
                <w:b w:val="0"/>
                <w:bCs/>
                <w:lang w:val="en-PH"/>
              </w:rPr>
            </w:pPr>
            <w:r w:rsidRPr="000B46C2">
              <w:rPr>
                <w:rFonts w:ascii="Arial" w:hAnsi="Arial" w:cs="Arial"/>
                <w:b w:val="0"/>
                <w:bCs/>
                <w:caps w:val="0"/>
                <w:lang w:val="en-PH"/>
              </w:rPr>
              <w:t>Marginal Homogeneity Test</w:t>
            </w:r>
          </w:p>
          <w:p w14:paraId="7B911BF4" w14:textId="77777777" w:rsidR="00A234D6" w:rsidRPr="009D79FE" w:rsidRDefault="00A234D6" w:rsidP="00287022">
            <w:pPr>
              <w:pStyle w:val="Head1"/>
              <w:spacing w:after="0"/>
              <w:jc w:val="both"/>
              <w:rPr>
                <w:rFonts w:ascii="Arial" w:hAnsi="Arial" w:cs="Arial"/>
                <w:b w:val="0"/>
                <w:bCs/>
                <w:lang w:val="en-PH"/>
              </w:rPr>
            </w:pPr>
          </w:p>
        </w:tc>
        <w:tc>
          <w:tcPr>
            <w:tcW w:w="1619" w:type="dxa"/>
            <w:tcBorders>
              <w:bottom w:val="single" w:sz="4" w:space="0" w:color="auto"/>
            </w:tcBorders>
          </w:tcPr>
          <w:p w14:paraId="08EA6012" w14:textId="77777777" w:rsidR="00A234D6" w:rsidRPr="000B46C2" w:rsidRDefault="00A234D6" w:rsidP="00287022">
            <w:pPr>
              <w:pStyle w:val="Head1"/>
              <w:spacing w:after="0"/>
              <w:jc w:val="both"/>
              <w:rPr>
                <w:rFonts w:ascii="Arial" w:hAnsi="Arial" w:cs="Arial"/>
                <w:b w:val="0"/>
                <w:bCs/>
                <w:lang w:val="en-PH"/>
              </w:rPr>
            </w:pPr>
            <w:r w:rsidRPr="000B46C2">
              <w:rPr>
                <w:rFonts w:ascii="Arial" w:hAnsi="Arial" w:cs="Arial"/>
                <w:b w:val="0"/>
                <w:bCs/>
                <w:caps w:val="0"/>
                <w:lang w:val="en-PH"/>
              </w:rPr>
              <w:t>Bias Index</w:t>
            </w:r>
          </w:p>
          <w:p w14:paraId="227452E8" w14:textId="77777777" w:rsidR="00A234D6" w:rsidRPr="009D79FE" w:rsidRDefault="00A234D6" w:rsidP="00287022">
            <w:pPr>
              <w:pStyle w:val="Head1"/>
              <w:spacing w:after="0"/>
              <w:jc w:val="both"/>
              <w:rPr>
                <w:rFonts w:ascii="Arial" w:hAnsi="Arial" w:cs="Arial"/>
                <w:b w:val="0"/>
                <w:bCs/>
                <w:lang w:val="en-PH"/>
              </w:rPr>
            </w:pPr>
          </w:p>
        </w:tc>
      </w:tr>
      <w:tr w:rsidR="00A234D6" w14:paraId="11E3C067" w14:textId="77777777" w:rsidTr="00287022">
        <w:trPr>
          <w:trHeight w:val="298"/>
        </w:trPr>
        <w:tc>
          <w:tcPr>
            <w:tcW w:w="2093" w:type="dxa"/>
            <w:tcBorders>
              <w:top w:val="single" w:sz="4" w:space="0" w:color="auto"/>
            </w:tcBorders>
          </w:tcPr>
          <w:p w14:paraId="231B9F36" w14:textId="77777777" w:rsidR="00A234D6" w:rsidRPr="009D79FE" w:rsidRDefault="00A234D6" w:rsidP="00287022">
            <w:pPr>
              <w:pStyle w:val="Head1"/>
              <w:spacing w:after="0"/>
              <w:rPr>
                <w:rFonts w:ascii="Arial" w:hAnsi="Arial" w:cs="Arial"/>
                <w:b w:val="0"/>
                <w:bCs/>
                <w:lang w:val="en-PH"/>
              </w:rPr>
            </w:pPr>
            <w:r w:rsidRPr="009D79FE">
              <w:rPr>
                <w:rFonts w:ascii="Arial" w:hAnsi="Arial" w:cs="Arial"/>
                <w:b w:val="0"/>
                <w:bCs/>
                <w:caps w:val="0"/>
                <w:lang w:val="en-PH"/>
              </w:rPr>
              <w:t>Test</w:t>
            </w:r>
            <w:r>
              <w:rPr>
                <w:rFonts w:ascii="Arial" w:hAnsi="Arial" w:cs="Arial"/>
                <w:b w:val="0"/>
                <w:bCs/>
                <w:caps w:val="0"/>
                <w:lang w:val="en-PH"/>
              </w:rPr>
              <w:t xml:space="preserve"> </w:t>
            </w:r>
            <w:r w:rsidRPr="009D79FE">
              <w:rPr>
                <w:rFonts w:ascii="Arial" w:hAnsi="Arial" w:cs="Arial"/>
                <w:b w:val="0"/>
                <w:bCs/>
                <w:caps w:val="0"/>
                <w:lang w:val="en-PH"/>
              </w:rPr>
              <w:t xml:space="preserve">Statistics /Value </w:t>
            </w:r>
          </w:p>
        </w:tc>
        <w:tc>
          <w:tcPr>
            <w:tcW w:w="1365" w:type="dxa"/>
            <w:tcBorders>
              <w:top w:val="single" w:sz="4" w:space="0" w:color="auto"/>
            </w:tcBorders>
          </w:tcPr>
          <w:p w14:paraId="75B79C8D" w14:textId="7F725E47" w:rsidR="00A234D6" w:rsidRPr="005204A5" w:rsidRDefault="00000000" w:rsidP="00287022">
            <w:pPr>
              <w:pStyle w:val="Head1"/>
              <w:spacing w:after="0"/>
              <w:rPr>
                <w:rFonts w:ascii="Arial" w:hAnsi="Arial" w:cs="Arial"/>
                <w:b w:val="0"/>
                <w:bCs/>
                <w:lang w:val="en-PH"/>
              </w:rPr>
            </w:pPr>
            <m:oMathPara>
              <m:oMath>
                <m:sSup>
                  <m:sSupPr>
                    <m:ctrlPr>
                      <w:rPr>
                        <w:rFonts w:ascii="Cambria Math" w:hAnsi="Cambria Math" w:cs="Arial"/>
                        <w:b w:val="0"/>
                        <w:bCs/>
                        <w:i/>
                        <w:lang w:val="en-PH"/>
                      </w:rPr>
                    </m:ctrlPr>
                  </m:sSupPr>
                  <m:e>
                    <m:r>
                      <m:rPr>
                        <m:scr m:val="script"/>
                        <m:sty m:val="bi"/>
                      </m:rPr>
                      <w:rPr>
                        <w:rFonts w:ascii="Cambria Math" w:hAnsi="Cambria Math" w:cs="Arial"/>
                        <w:lang w:val="en-PH"/>
                      </w:rPr>
                      <m:t>X</m:t>
                    </m:r>
                  </m:e>
                  <m:sup>
                    <m:r>
                      <m:rPr>
                        <m:sty m:val="bi"/>
                      </m:rPr>
                      <w:rPr>
                        <w:rFonts w:ascii="Cambria Math" w:hAnsi="Cambria Math" w:cs="Arial"/>
                        <w:lang w:val="en-PH"/>
                      </w:rPr>
                      <m:t>2</m:t>
                    </m:r>
                  </m:sup>
                </m:sSup>
                <m:r>
                  <m:rPr>
                    <m:sty m:val="bi"/>
                  </m:rPr>
                  <w:rPr>
                    <w:rFonts w:ascii="Cambria Math" w:hAnsi="Cambria Math" w:cs="Arial"/>
                    <w:lang w:val="en-PH"/>
                  </w:rPr>
                  <m:t>=1.00</m:t>
                </m:r>
              </m:oMath>
            </m:oMathPara>
          </w:p>
        </w:tc>
        <w:tc>
          <w:tcPr>
            <w:tcW w:w="1304" w:type="dxa"/>
            <w:tcBorders>
              <w:top w:val="single" w:sz="4" w:space="0" w:color="auto"/>
            </w:tcBorders>
          </w:tcPr>
          <w:p w14:paraId="1FFDC76F" w14:textId="52442F17" w:rsidR="00A234D6" w:rsidRPr="005204A5" w:rsidRDefault="00A234D6" w:rsidP="00287022">
            <w:pPr>
              <w:pStyle w:val="Head1"/>
              <w:spacing w:after="0"/>
              <w:rPr>
                <w:rFonts w:ascii="Arial" w:hAnsi="Arial" w:cs="Arial"/>
                <w:b w:val="0"/>
                <w:bCs/>
                <w:lang w:val="en-PH"/>
              </w:rPr>
            </w:pPr>
            <w:r>
              <w:rPr>
                <w:rFonts w:ascii="Arial" w:hAnsi="Arial" w:cs="Arial"/>
                <w:b w:val="0"/>
                <w:bCs/>
                <w:caps w:val="0"/>
                <w:lang w:val="en-PH"/>
              </w:rPr>
              <w:t>N = 7; Smaller Freq. = 3</w:t>
            </w:r>
          </w:p>
        </w:tc>
        <w:tc>
          <w:tcPr>
            <w:tcW w:w="1867" w:type="dxa"/>
            <w:tcBorders>
              <w:top w:val="single" w:sz="4" w:space="0" w:color="auto"/>
            </w:tcBorders>
          </w:tcPr>
          <w:p w14:paraId="65D8AAB0" w14:textId="568BD3B5" w:rsidR="00A234D6" w:rsidRPr="005204A5" w:rsidRDefault="00000000" w:rsidP="00287022">
            <w:pPr>
              <w:pStyle w:val="Head1"/>
              <w:spacing w:after="0"/>
              <w:rPr>
                <w:rFonts w:ascii="Arial" w:hAnsi="Arial" w:cs="Arial"/>
                <w:b w:val="0"/>
                <w:bCs/>
                <w:lang w:val="en-PH"/>
              </w:rPr>
            </w:pPr>
            <m:oMathPara>
              <m:oMath>
                <m:sSup>
                  <m:sSupPr>
                    <m:ctrlPr>
                      <w:rPr>
                        <w:rFonts w:ascii="Cambria Math" w:hAnsi="Cambria Math" w:cs="Arial"/>
                        <w:b w:val="0"/>
                        <w:bCs/>
                        <w:i/>
                        <w:lang w:val="en-PH"/>
                      </w:rPr>
                    </m:ctrlPr>
                  </m:sSupPr>
                  <m:e>
                    <m:r>
                      <m:rPr>
                        <m:scr m:val="script"/>
                        <m:sty m:val="bi"/>
                      </m:rPr>
                      <w:rPr>
                        <w:rFonts w:ascii="Cambria Math" w:hAnsi="Cambria Math" w:cs="Arial"/>
                        <w:lang w:val="en-PH"/>
                      </w:rPr>
                      <m:t>X</m:t>
                    </m:r>
                  </m:e>
                  <m:sup>
                    <m:r>
                      <m:rPr>
                        <m:sty m:val="bi"/>
                      </m:rPr>
                      <w:rPr>
                        <w:rFonts w:ascii="Cambria Math" w:hAnsi="Cambria Math" w:cs="Arial"/>
                        <w:lang w:val="en-PH"/>
                      </w:rPr>
                      <m:t>2</m:t>
                    </m:r>
                  </m:sup>
                </m:sSup>
                <m:r>
                  <m:rPr>
                    <m:sty m:val="bi"/>
                  </m:rPr>
                  <w:rPr>
                    <w:rFonts w:ascii="Cambria Math" w:hAnsi="Cambria Math" w:cs="Arial"/>
                    <w:lang w:val="en-PH"/>
                  </w:rPr>
                  <m:t>=2.57</m:t>
                </m:r>
              </m:oMath>
            </m:oMathPara>
          </w:p>
        </w:tc>
        <w:tc>
          <w:tcPr>
            <w:tcW w:w="1619" w:type="dxa"/>
            <w:tcBorders>
              <w:top w:val="single" w:sz="4" w:space="0" w:color="auto"/>
            </w:tcBorders>
          </w:tcPr>
          <w:p w14:paraId="44191913" w14:textId="203B8472" w:rsidR="00A234D6" w:rsidRPr="005204A5" w:rsidRDefault="00A234D6" w:rsidP="00287022">
            <w:pPr>
              <w:pStyle w:val="Head1"/>
              <w:spacing w:after="0"/>
              <w:rPr>
                <w:rFonts w:ascii="Arial" w:hAnsi="Arial" w:cs="Arial"/>
                <w:b w:val="0"/>
                <w:bCs/>
                <w:lang w:val="en-PH"/>
              </w:rPr>
            </w:pPr>
            <w:r>
              <w:rPr>
                <w:rFonts w:ascii="Arial" w:hAnsi="Arial" w:cs="Arial"/>
                <w:b w:val="0"/>
                <w:bCs/>
                <w:lang w:val="en-PH"/>
              </w:rPr>
              <w:t>0.143</w:t>
            </w:r>
          </w:p>
        </w:tc>
      </w:tr>
    </w:tbl>
    <w:p w14:paraId="030D4371" w14:textId="77777777" w:rsidR="00A234D6" w:rsidRDefault="00A234D6" w:rsidP="00A234D6">
      <w:pPr>
        <w:pStyle w:val="Body"/>
        <w:rPr>
          <w:rFonts w:ascii="Arial" w:hAnsi="Arial" w:cs="Arial"/>
          <w:lang w:val="en-PH"/>
        </w:rPr>
      </w:pPr>
    </w:p>
    <w:p w14:paraId="5DFBC389" w14:textId="2EA31D3A" w:rsidR="00A234D6" w:rsidRPr="00A234D6" w:rsidRDefault="00A234D6" w:rsidP="00A234D6">
      <w:pPr>
        <w:pStyle w:val="Body"/>
        <w:rPr>
          <w:rFonts w:ascii="Arial" w:hAnsi="Arial" w:cs="Arial"/>
          <w:b/>
          <w:bCs/>
          <w:lang w:val="en-PH"/>
        </w:rPr>
      </w:pPr>
      <w:r w:rsidRPr="00A234D6">
        <w:rPr>
          <w:rFonts w:ascii="Arial" w:hAnsi="Arial" w:cs="Arial"/>
          <w:b/>
          <w:bCs/>
          <w:lang w:val="en-PH"/>
        </w:rPr>
        <w:t xml:space="preserve">3.3 </w:t>
      </w:r>
      <w:r w:rsidRPr="00A101F7">
        <w:rPr>
          <w:rFonts w:ascii="Arial" w:hAnsi="Arial" w:cs="Arial"/>
          <w:b/>
          <w:bCs/>
          <w:highlight w:val="yellow"/>
          <w:lang w:val="en-PH"/>
        </w:rPr>
        <w:t xml:space="preserve">Simulation Example </w:t>
      </w:r>
      <w:r w:rsidR="00A101F7" w:rsidRPr="00A101F7">
        <w:rPr>
          <w:rFonts w:ascii="Arial" w:hAnsi="Arial" w:cs="Arial"/>
          <w:b/>
          <w:bCs/>
          <w:highlight w:val="yellow"/>
          <w:lang w:val="en-PH"/>
        </w:rPr>
        <w:t>3</w:t>
      </w:r>
      <w:r w:rsidRPr="00A101F7">
        <w:rPr>
          <w:rFonts w:ascii="Arial" w:hAnsi="Arial" w:cs="Arial"/>
          <w:b/>
          <w:bCs/>
          <w:highlight w:val="yellow"/>
          <w:lang w:val="en-PH"/>
        </w:rPr>
        <w:t xml:space="preserve">: </w:t>
      </w:r>
      <w:r w:rsidR="00A101F7" w:rsidRPr="00A101F7">
        <w:rPr>
          <w:rFonts w:ascii="Arial" w:hAnsi="Arial" w:cs="Arial"/>
          <w:b/>
          <w:bCs/>
          <w:highlight w:val="yellow"/>
          <w:lang w:val="en-PH"/>
        </w:rPr>
        <w:t>High Agreement</w:t>
      </w:r>
      <w:r w:rsidR="00A101F7">
        <w:rPr>
          <w:rFonts w:ascii="Arial" w:hAnsi="Arial" w:cs="Arial"/>
          <w:b/>
          <w:bCs/>
          <w:lang w:val="en-PH"/>
        </w:rPr>
        <w:t xml:space="preserve"> </w:t>
      </w:r>
    </w:p>
    <w:p w14:paraId="746D3B9A" w14:textId="77777777" w:rsidR="00A234D6" w:rsidRDefault="00A234D6" w:rsidP="00A234D6">
      <w:pPr>
        <w:pStyle w:val="Body"/>
        <w:rPr>
          <w:rFonts w:ascii="Arial" w:hAnsi="Arial" w:cs="Arial"/>
          <w:lang w:val="en-PH"/>
        </w:rPr>
      </w:pPr>
      <w:r w:rsidRPr="00A234D6">
        <w:rPr>
          <w:rFonts w:ascii="Arial" w:hAnsi="Arial" w:cs="Arial"/>
          <w:lang w:val="en-PH"/>
        </w:rPr>
        <w:t>This third example illustrates a situation of substantial concordance between two raters, with most ratings aligning along the diagonal of the contingency table. Minimal off-diagonal discrepancies are evident.</w:t>
      </w:r>
    </w:p>
    <w:p w14:paraId="5BC88327" w14:textId="5172F1C6" w:rsidR="00A234D6" w:rsidRPr="00A234D6" w:rsidRDefault="00A234D6" w:rsidP="00A234D6">
      <w:pPr>
        <w:pStyle w:val="Body"/>
        <w:rPr>
          <w:rFonts w:ascii="Arial" w:hAnsi="Arial" w:cs="Arial"/>
          <w:lang w:val="en-PH"/>
        </w:rPr>
      </w:pPr>
      <w:r w:rsidRPr="00A234D6">
        <w:rPr>
          <w:rFonts w:ascii="Arial" w:hAnsi="Arial" w:cs="Arial"/>
          <w:lang w:val="en-PH"/>
        </w:rPr>
        <w:t>Under these circumstances, statistical analyses indicate limited evidence of prejudice. The Modified McNemar Test produces a p-value of 0.678, signifying the absence of a substantial directional bias. The Single Binomial Test corroborates this, yielding a two-tailed p-value of roughly 0.774. The Marginal Homogeneity Test produces a p-value of 0.533, indicating consistency in rater distributions. A Bias Index value of 0.000 indicates no directional inclination.</w:t>
      </w:r>
      <w:r w:rsidRPr="00A234D6">
        <w:rPr>
          <w:rFonts w:ascii="Arial" w:hAnsi="Arial" w:cs="Arial"/>
          <w:lang w:val="en-PH"/>
        </w:rPr>
        <w:br/>
      </w:r>
      <w:r w:rsidRPr="00A234D6">
        <w:rPr>
          <w:rFonts w:ascii="Arial" w:hAnsi="Arial" w:cs="Arial"/>
          <w:lang w:val="en-PH"/>
        </w:rPr>
        <w:br/>
        <w:t>The results affirm that in scenarios of substantial agreement, the four techniques align in detecting the lack of major bias, hence endorsing their validity as diagnostic instruments in rater comparison investigations (Ben-Shachar et al., 2020).</w:t>
      </w:r>
    </w:p>
    <w:p w14:paraId="7CE86F63" w14:textId="77777777" w:rsidR="00A234D6" w:rsidRDefault="00A234D6" w:rsidP="00A234D6">
      <w:pPr>
        <w:pStyle w:val="Body"/>
        <w:spacing w:after="0"/>
        <w:rPr>
          <w:rFonts w:ascii="Arial" w:hAnsi="Arial" w:cs="Arial"/>
          <w:b/>
          <w:bCs/>
          <w:lang w:val="en-PH"/>
        </w:rPr>
      </w:pPr>
      <w:r w:rsidRPr="00A234D6">
        <w:rPr>
          <w:rFonts w:ascii="Arial" w:hAnsi="Arial" w:cs="Arial"/>
          <w:b/>
          <w:bCs/>
          <w:lang w:val="en-PH"/>
        </w:rPr>
        <w:t>Table 5. Hypothetical 3×3 Contingency Table (High Agreement)</w:t>
      </w:r>
    </w:p>
    <w:p w14:paraId="7EF62082" w14:textId="77777777" w:rsidR="001C32EC" w:rsidRDefault="001C32EC" w:rsidP="00A234D6">
      <w:pPr>
        <w:pStyle w:val="Body"/>
        <w:spacing w:after="0"/>
        <w:rPr>
          <w:rFonts w:ascii="Arial" w:hAnsi="Arial" w:cs="Arial"/>
          <w:b/>
          <w:bCs/>
          <w:lang w:val="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50"/>
        <w:gridCol w:w="850"/>
        <w:gridCol w:w="851"/>
        <w:gridCol w:w="1619"/>
      </w:tblGrid>
      <w:tr w:rsidR="001C32EC" w14:paraId="1F50C176" w14:textId="77777777" w:rsidTr="00287022">
        <w:trPr>
          <w:trHeight w:val="298"/>
        </w:trPr>
        <w:tc>
          <w:tcPr>
            <w:tcW w:w="2093" w:type="dxa"/>
            <w:tcBorders>
              <w:bottom w:val="single" w:sz="4" w:space="0" w:color="auto"/>
            </w:tcBorders>
          </w:tcPr>
          <w:p w14:paraId="31830C4A" w14:textId="77777777" w:rsidR="001C32EC" w:rsidRDefault="001C32EC" w:rsidP="00287022">
            <w:pPr>
              <w:pStyle w:val="Head1"/>
              <w:spacing w:after="0"/>
              <w:jc w:val="both"/>
              <w:rPr>
                <w:rFonts w:ascii="Arial" w:hAnsi="Arial" w:cs="Arial"/>
                <w:lang w:val="en-PH"/>
              </w:rPr>
            </w:pPr>
            <w:r w:rsidRPr="005204A5">
              <w:rPr>
                <w:rFonts w:ascii="Arial" w:hAnsi="Arial" w:cs="Arial"/>
                <w:caps w:val="0"/>
                <w:lang w:val="en-PH"/>
              </w:rPr>
              <w:t>Rater</w:t>
            </w:r>
            <w:r>
              <w:rPr>
                <w:rFonts w:ascii="Arial" w:hAnsi="Arial" w:cs="Arial"/>
                <w:caps w:val="0"/>
                <w:lang w:val="en-PH"/>
              </w:rPr>
              <w:t xml:space="preserve"> </w:t>
            </w:r>
            <w:r w:rsidRPr="005204A5">
              <w:rPr>
                <w:rFonts w:ascii="Arial" w:hAnsi="Arial" w:cs="Arial"/>
                <w:caps w:val="0"/>
                <w:lang w:val="en-PH"/>
              </w:rPr>
              <w:t>A / Rater B</w:t>
            </w:r>
          </w:p>
        </w:tc>
        <w:tc>
          <w:tcPr>
            <w:tcW w:w="850" w:type="dxa"/>
            <w:tcBorders>
              <w:bottom w:val="single" w:sz="4" w:space="0" w:color="auto"/>
            </w:tcBorders>
          </w:tcPr>
          <w:p w14:paraId="0B7B3D71" w14:textId="77777777" w:rsidR="001C32EC" w:rsidRDefault="001C32EC" w:rsidP="00287022">
            <w:pPr>
              <w:pStyle w:val="Head1"/>
              <w:spacing w:after="0"/>
              <w:jc w:val="both"/>
              <w:rPr>
                <w:rFonts w:ascii="Arial" w:hAnsi="Arial" w:cs="Arial"/>
                <w:lang w:val="en-PH"/>
              </w:rPr>
            </w:pPr>
            <w:r>
              <w:rPr>
                <w:rFonts w:ascii="Arial" w:hAnsi="Arial" w:cs="Arial"/>
                <w:lang w:val="en-PH"/>
              </w:rPr>
              <w:t>I</w:t>
            </w:r>
          </w:p>
        </w:tc>
        <w:tc>
          <w:tcPr>
            <w:tcW w:w="850" w:type="dxa"/>
            <w:tcBorders>
              <w:bottom w:val="single" w:sz="4" w:space="0" w:color="auto"/>
            </w:tcBorders>
          </w:tcPr>
          <w:p w14:paraId="11F0C144" w14:textId="77777777" w:rsidR="001C32EC" w:rsidRDefault="001C32EC" w:rsidP="00287022">
            <w:pPr>
              <w:pStyle w:val="Head1"/>
              <w:spacing w:after="0"/>
              <w:jc w:val="both"/>
              <w:rPr>
                <w:rFonts w:ascii="Arial" w:hAnsi="Arial" w:cs="Arial"/>
                <w:lang w:val="en-PH"/>
              </w:rPr>
            </w:pPr>
            <w:r>
              <w:rPr>
                <w:rFonts w:ascii="Arial" w:hAnsi="Arial" w:cs="Arial"/>
                <w:lang w:val="en-PH"/>
              </w:rPr>
              <w:t>II</w:t>
            </w:r>
          </w:p>
        </w:tc>
        <w:tc>
          <w:tcPr>
            <w:tcW w:w="851" w:type="dxa"/>
            <w:tcBorders>
              <w:bottom w:val="single" w:sz="4" w:space="0" w:color="auto"/>
            </w:tcBorders>
          </w:tcPr>
          <w:p w14:paraId="5C32FD6E" w14:textId="77777777" w:rsidR="001C32EC" w:rsidRDefault="001C32EC" w:rsidP="00287022">
            <w:pPr>
              <w:pStyle w:val="Head1"/>
              <w:spacing w:after="0"/>
              <w:jc w:val="both"/>
              <w:rPr>
                <w:rFonts w:ascii="Arial" w:hAnsi="Arial" w:cs="Arial"/>
                <w:lang w:val="en-PH"/>
              </w:rPr>
            </w:pPr>
            <w:r>
              <w:rPr>
                <w:rFonts w:ascii="Arial" w:hAnsi="Arial" w:cs="Arial"/>
                <w:lang w:val="en-PH"/>
              </w:rPr>
              <w:t>III</w:t>
            </w:r>
          </w:p>
        </w:tc>
        <w:tc>
          <w:tcPr>
            <w:tcW w:w="1619" w:type="dxa"/>
            <w:tcBorders>
              <w:bottom w:val="single" w:sz="4" w:space="0" w:color="auto"/>
            </w:tcBorders>
          </w:tcPr>
          <w:p w14:paraId="2B3159DA" w14:textId="77777777" w:rsidR="001C32EC" w:rsidRDefault="001C32EC" w:rsidP="00287022">
            <w:pPr>
              <w:pStyle w:val="Head1"/>
              <w:spacing w:after="0"/>
              <w:jc w:val="both"/>
              <w:rPr>
                <w:rFonts w:ascii="Arial" w:hAnsi="Arial" w:cs="Arial"/>
                <w:lang w:val="en-PH"/>
              </w:rPr>
            </w:pPr>
            <w:r>
              <w:rPr>
                <w:rFonts w:ascii="Arial" w:hAnsi="Arial" w:cs="Arial"/>
                <w:caps w:val="0"/>
                <w:lang w:val="en-PH"/>
              </w:rPr>
              <w:t xml:space="preserve">Row Total </w:t>
            </w:r>
          </w:p>
        </w:tc>
      </w:tr>
      <w:tr w:rsidR="001C32EC" w14:paraId="2F42C0AB" w14:textId="77777777" w:rsidTr="00287022">
        <w:trPr>
          <w:trHeight w:val="298"/>
        </w:trPr>
        <w:tc>
          <w:tcPr>
            <w:tcW w:w="2093" w:type="dxa"/>
            <w:tcBorders>
              <w:top w:val="single" w:sz="4" w:space="0" w:color="auto"/>
            </w:tcBorders>
          </w:tcPr>
          <w:p w14:paraId="781A875B" w14:textId="77777777" w:rsidR="001C32EC" w:rsidRDefault="001C32EC" w:rsidP="00287022">
            <w:pPr>
              <w:pStyle w:val="Head1"/>
              <w:spacing w:after="0"/>
              <w:jc w:val="both"/>
              <w:rPr>
                <w:rFonts w:ascii="Arial" w:hAnsi="Arial" w:cs="Arial"/>
                <w:lang w:val="en-PH"/>
              </w:rPr>
            </w:pPr>
            <w:r>
              <w:rPr>
                <w:rFonts w:ascii="Arial" w:hAnsi="Arial" w:cs="Arial"/>
                <w:lang w:val="en-PH"/>
              </w:rPr>
              <w:t>I</w:t>
            </w:r>
          </w:p>
        </w:tc>
        <w:tc>
          <w:tcPr>
            <w:tcW w:w="850" w:type="dxa"/>
            <w:tcBorders>
              <w:top w:val="single" w:sz="4" w:space="0" w:color="auto"/>
            </w:tcBorders>
          </w:tcPr>
          <w:p w14:paraId="2CC7B6CE" w14:textId="13197D02"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8</w:t>
            </w:r>
          </w:p>
        </w:tc>
        <w:tc>
          <w:tcPr>
            <w:tcW w:w="850" w:type="dxa"/>
            <w:tcBorders>
              <w:top w:val="single" w:sz="4" w:space="0" w:color="auto"/>
            </w:tcBorders>
          </w:tcPr>
          <w:p w14:paraId="04BCC359" w14:textId="6FC20E21"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1</w:t>
            </w:r>
          </w:p>
        </w:tc>
        <w:tc>
          <w:tcPr>
            <w:tcW w:w="851" w:type="dxa"/>
            <w:tcBorders>
              <w:top w:val="single" w:sz="4" w:space="0" w:color="auto"/>
            </w:tcBorders>
          </w:tcPr>
          <w:p w14:paraId="589EDDE2" w14:textId="49F9B88A"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0</w:t>
            </w:r>
          </w:p>
        </w:tc>
        <w:tc>
          <w:tcPr>
            <w:tcW w:w="1619" w:type="dxa"/>
            <w:tcBorders>
              <w:top w:val="single" w:sz="4" w:space="0" w:color="auto"/>
            </w:tcBorders>
          </w:tcPr>
          <w:p w14:paraId="61B31BEA" w14:textId="72146FA0"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9</w:t>
            </w:r>
          </w:p>
        </w:tc>
      </w:tr>
      <w:tr w:rsidR="001C32EC" w14:paraId="3A74CC7E" w14:textId="77777777" w:rsidTr="00287022">
        <w:trPr>
          <w:trHeight w:val="298"/>
        </w:trPr>
        <w:tc>
          <w:tcPr>
            <w:tcW w:w="2093" w:type="dxa"/>
          </w:tcPr>
          <w:p w14:paraId="2EE61FBD" w14:textId="77777777" w:rsidR="001C32EC" w:rsidRDefault="001C32EC" w:rsidP="00287022">
            <w:pPr>
              <w:pStyle w:val="Head1"/>
              <w:spacing w:after="0"/>
              <w:jc w:val="both"/>
              <w:rPr>
                <w:rFonts w:ascii="Arial" w:hAnsi="Arial" w:cs="Arial"/>
                <w:lang w:val="en-PH"/>
              </w:rPr>
            </w:pPr>
            <w:r>
              <w:rPr>
                <w:rFonts w:ascii="Arial" w:hAnsi="Arial" w:cs="Arial"/>
                <w:lang w:val="en-PH"/>
              </w:rPr>
              <w:t>II</w:t>
            </w:r>
          </w:p>
        </w:tc>
        <w:tc>
          <w:tcPr>
            <w:tcW w:w="850" w:type="dxa"/>
          </w:tcPr>
          <w:p w14:paraId="4D5C514D" w14:textId="53DD7C9C"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1</w:t>
            </w:r>
          </w:p>
        </w:tc>
        <w:tc>
          <w:tcPr>
            <w:tcW w:w="850" w:type="dxa"/>
          </w:tcPr>
          <w:p w14:paraId="69A7E74A" w14:textId="02A502BA"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8</w:t>
            </w:r>
          </w:p>
        </w:tc>
        <w:tc>
          <w:tcPr>
            <w:tcW w:w="851" w:type="dxa"/>
          </w:tcPr>
          <w:p w14:paraId="6960E66F" w14:textId="0C296479"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0</w:t>
            </w:r>
          </w:p>
        </w:tc>
        <w:tc>
          <w:tcPr>
            <w:tcW w:w="1619" w:type="dxa"/>
          </w:tcPr>
          <w:p w14:paraId="45752763" w14:textId="150B5220"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9</w:t>
            </w:r>
          </w:p>
        </w:tc>
      </w:tr>
      <w:tr w:rsidR="001C32EC" w14:paraId="55B6501B" w14:textId="77777777" w:rsidTr="00287022">
        <w:trPr>
          <w:trHeight w:val="298"/>
        </w:trPr>
        <w:tc>
          <w:tcPr>
            <w:tcW w:w="2093" w:type="dxa"/>
            <w:tcBorders>
              <w:bottom w:val="single" w:sz="4" w:space="0" w:color="auto"/>
            </w:tcBorders>
          </w:tcPr>
          <w:p w14:paraId="2DD5DB36" w14:textId="77777777" w:rsidR="001C32EC" w:rsidRDefault="001C32EC" w:rsidP="00287022">
            <w:pPr>
              <w:pStyle w:val="Head1"/>
              <w:spacing w:after="0"/>
              <w:jc w:val="both"/>
              <w:rPr>
                <w:rFonts w:ascii="Arial" w:hAnsi="Arial" w:cs="Arial"/>
                <w:lang w:val="en-PH"/>
              </w:rPr>
            </w:pPr>
            <w:r>
              <w:rPr>
                <w:rFonts w:ascii="Arial" w:hAnsi="Arial" w:cs="Arial"/>
                <w:lang w:val="en-PH"/>
              </w:rPr>
              <w:t>III</w:t>
            </w:r>
          </w:p>
        </w:tc>
        <w:tc>
          <w:tcPr>
            <w:tcW w:w="850" w:type="dxa"/>
            <w:tcBorders>
              <w:bottom w:val="single" w:sz="4" w:space="0" w:color="auto"/>
            </w:tcBorders>
          </w:tcPr>
          <w:p w14:paraId="00476D81" w14:textId="73024010"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0</w:t>
            </w:r>
          </w:p>
        </w:tc>
        <w:tc>
          <w:tcPr>
            <w:tcW w:w="850" w:type="dxa"/>
            <w:tcBorders>
              <w:bottom w:val="single" w:sz="4" w:space="0" w:color="auto"/>
            </w:tcBorders>
          </w:tcPr>
          <w:p w14:paraId="4F409AE5" w14:textId="0F663B11"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0</w:t>
            </w:r>
          </w:p>
        </w:tc>
        <w:tc>
          <w:tcPr>
            <w:tcW w:w="851" w:type="dxa"/>
            <w:tcBorders>
              <w:bottom w:val="single" w:sz="4" w:space="0" w:color="auto"/>
            </w:tcBorders>
          </w:tcPr>
          <w:p w14:paraId="7C832366" w14:textId="2B001D5F"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8</w:t>
            </w:r>
          </w:p>
        </w:tc>
        <w:tc>
          <w:tcPr>
            <w:tcW w:w="1619" w:type="dxa"/>
            <w:tcBorders>
              <w:bottom w:val="single" w:sz="4" w:space="0" w:color="auto"/>
            </w:tcBorders>
          </w:tcPr>
          <w:p w14:paraId="4DF1F0F9" w14:textId="6E5A58FC"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8</w:t>
            </w:r>
          </w:p>
        </w:tc>
      </w:tr>
      <w:tr w:rsidR="001C32EC" w14:paraId="4A7584AA" w14:textId="77777777" w:rsidTr="00287022">
        <w:trPr>
          <w:trHeight w:val="298"/>
        </w:trPr>
        <w:tc>
          <w:tcPr>
            <w:tcW w:w="2093" w:type="dxa"/>
            <w:tcBorders>
              <w:top w:val="single" w:sz="4" w:space="0" w:color="auto"/>
            </w:tcBorders>
          </w:tcPr>
          <w:p w14:paraId="4E2BF8DE" w14:textId="77777777" w:rsidR="001C32EC" w:rsidRDefault="001C32EC" w:rsidP="00287022">
            <w:pPr>
              <w:pStyle w:val="Head1"/>
              <w:spacing w:after="0"/>
              <w:jc w:val="both"/>
              <w:rPr>
                <w:rFonts w:ascii="Arial" w:hAnsi="Arial" w:cs="Arial"/>
                <w:lang w:val="en-PH"/>
              </w:rPr>
            </w:pPr>
            <w:r>
              <w:rPr>
                <w:rFonts w:ascii="Arial" w:hAnsi="Arial" w:cs="Arial"/>
                <w:caps w:val="0"/>
                <w:lang w:val="en-PH"/>
              </w:rPr>
              <w:t>Column Total</w:t>
            </w:r>
          </w:p>
        </w:tc>
        <w:tc>
          <w:tcPr>
            <w:tcW w:w="850" w:type="dxa"/>
            <w:tcBorders>
              <w:top w:val="single" w:sz="4" w:space="0" w:color="auto"/>
            </w:tcBorders>
          </w:tcPr>
          <w:p w14:paraId="07F74D6B" w14:textId="3860AC62" w:rsidR="001C32EC" w:rsidRDefault="001C32EC" w:rsidP="00287022">
            <w:pPr>
              <w:pStyle w:val="Head1"/>
              <w:spacing w:after="0"/>
              <w:jc w:val="both"/>
              <w:rPr>
                <w:rFonts w:ascii="Arial" w:hAnsi="Arial" w:cs="Arial"/>
                <w:lang w:val="en-PH"/>
              </w:rPr>
            </w:pPr>
            <w:r>
              <w:rPr>
                <w:rFonts w:ascii="Arial" w:hAnsi="Arial" w:cs="Arial"/>
                <w:lang w:val="en-PH"/>
              </w:rPr>
              <w:t>9</w:t>
            </w:r>
          </w:p>
        </w:tc>
        <w:tc>
          <w:tcPr>
            <w:tcW w:w="850" w:type="dxa"/>
            <w:tcBorders>
              <w:top w:val="single" w:sz="4" w:space="0" w:color="auto"/>
            </w:tcBorders>
          </w:tcPr>
          <w:p w14:paraId="3561C382" w14:textId="5FF4B612" w:rsidR="001C32EC" w:rsidRDefault="001C32EC" w:rsidP="00287022">
            <w:pPr>
              <w:pStyle w:val="Head1"/>
              <w:spacing w:after="0"/>
              <w:jc w:val="both"/>
              <w:rPr>
                <w:rFonts w:ascii="Arial" w:hAnsi="Arial" w:cs="Arial"/>
                <w:lang w:val="en-PH"/>
              </w:rPr>
            </w:pPr>
            <w:r>
              <w:rPr>
                <w:rFonts w:ascii="Arial" w:hAnsi="Arial" w:cs="Arial"/>
                <w:lang w:val="en-PH"/>
              </w:rPr>
              <w:t>9</w:t>
            </w:r>
          </w:p>
        </w:tc>
        <w:tc>
          <w:tcPr>
            <w:tcW w:w="851" w:type="dxa"/>
            <w:tcBorders>
              <w:top w:val="single" w:sz="4" w:space="0" w:color="auto"/>
            </w:tcBorders>
          </w:tcPr>
          <w:p w14:paraId="02963091" w14:textId="3E738DD1" w:rsidR="001C32EC" w:rsidRDefault="001C32EC" w:rsidP="00287022">
            <w:pPr>
              <w:pStyle w:val="Head1"/>
              <w:spacing w:after="0"/>
              <w:jc w:val="both"/>
              <w:rPr>
                <w:rFonts w:ascii="Arial" w:hAnsi="Arial" w:cs="Arial"/>
                <w:lang w:val="en-PH"/>
              </w:rPr>
            </w:pPr>
            <w:r>
              <w:rPr>
                <w:rFonts w:ascii="Arial" w:hAnsi="Arial" w:cs="Arial"/>
                <w:lang w:val="en-PH"/>
              </w:rPr>
              <w:t>8</w:t>
            </w:r>
          </w:p>
        </w:tc>
        <w:tc>
          <w:tcPr>
            <w:tcW w:w="1619" w:type="dxa"/>
            <w:tcBorders>
              <w:top w:val="single" w:sz="4" w:space="0" w:color="auto"/>
            </w:tcBorders>
          </w:tcPr>
          <w:p w14:paraId="56D1D216" w14:textId="0165D543" w:rsidR="001C32EC" w:rsidRDefault="001C32EC" w:rsidP="00287022">
            <w:pPr>
              <w:pStyle w:val="Head1"/>
              <w:spacing w:after="0"/>
              <w:jc w:val="both"/>
              <w:rPr>
                <w:rFonts w:ascii="Arial" w:hAnsi="Arial" w:cs="Arial"/>
                <w:lang w:val="en-PH"/>
              </w:rPr>
            </w:pPr>
            <w:r>
              <w:rPr>
                <w:rFonts w:ascii="Arial" w:hAnsi="Arial" w:cs="Arial"/>
                <w:lang w:val="en-PH"/>
              </w:rPr>
              <w:t>26</w:t>
            </w:r>
          </w:p>
        </w:tc>
      </w:tr>
    </w:tbl>
    <w:p w14:paraId="264FC698" w14:textId="77777777" w:rsidR="001C32EC" w:rsidRDefault="001C32EC" w:rsidP="00A234D6">
      <w:pPr>
        <w:pStyle w:val="Body"/>
        <w:spacing w:after="0"/>
        <w:rPr>
          <w:rFonts w:ascii="Arial" w:hAnsi="Arial" w:cs="Arial"/>
          <w:lang w:val="en-PH"/>
        </w:rPr>
      </w:pPr>
    </w:p>
    <w:p w14:paraId="0572A0F0" w14:textId="31CC5479" w:rsidR="001C32EC" w:rsidRPr="001C32EC" w:rsidRDefault="001C32EC" w:rsidP="00A234D6">
      <w:pPr>
        <w:pStyle w:val="Body"/>
        <w:spacing w:after="0"/>
        <w:rPr>
          <w:rFonts w:ascii="Arial" w:hAnsi="Arial" w:cs="Arial"/>
          <w:b/>
          <w:bCs/>
          <w:lang w:val="en-PH"/>
        </w:rPr>
      </w:pPr>
      <w:r w:rsidRPr="001C32EC">
        <w:rPr>
          <w:rFonts w:ascii="Arial" w:hAnsi="Arial" w:cs="Arial"/>
          <w:b/>
          <w:bCs/>
          <w:lang w:val="en-PH"/>
        </w:rPr>
        <w:t>Table 6. Results and Computation</w:t>
      </w:r>
    </w:p>
    <w:p w14:paraId="12B685E9" w14:textId="77777777" w:rsidR="001C32EC" w:rsidRDefault="001C32EC" w:rsidP="00A234D6">
      <w:pPr>
        <w:pStyle w:val="Body"/>
        <w:spacing w:after="0"/>
        <w:rPr>
          <w:rFonts w:ascii="Arial" w:hAnsi="Arial" w:cs="Arial"/>
          <w:lang w:val="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365"/>
        <w:gridCol w:w="1304"/>
        <w:gridCol w:w="1867"/>
        <w:gridCol w:w="1619"/>
      </w:tblGrid>
      <w:tr w:rsidR="001C32EC" w14:paraId="2AEC026B" w14:textId="77777777" w:rsidTr="00287022">
        <w:trPr>
          <w:trHeight w:val="298"/>
        </w:trPr>
        <w:tc>
          <w:tcPr>
            <w:tcW w:w="2093" w:type="dxa"/>
            <w:tcBorders>
              <w:bottom w:val="single" w:sz="4" w:space="0" w:color="auto"/>
            </w:tcBorders>
          </w:tcPr>
          <w:p w14:paraId="7D45AC03" w14:textId="77777777" w:rsidR="001C32EC" w:rsidRPr="009D79FE" w:rsidRDefault="001C32EC" w:rsidP="00287022">
            <w:pPr>
              <w:pStyle w:val="Head1"/>
              <w:spacing w:after="0"/>
              <w:jc w:val="both"/>
              <w:rPr>
                <w:rFonts w:ascii="Arial" w:hAnsi="Arial" w:cs="Arial"/>
                <w:b w:val="0"/>
                <w:bCs/>
                <w:lang w:val="en-PH"/>
              </w:rPr>
            </w:pPr>
            <w:r w:rsidRPr="009D79FE">
              <w:rPr>
                <w:rFonts w:ascii="Arial" w:hAnsi="Arial" w:cs="Arial"/>
                <w:b w:val="0"/>
                <w:bCs/>
                <w:caps w:val="0"/>
                <w:lang w:val="en-PH"/>
              </w:rPr>
              <w:lastRenderedPageBreak/>
              <w:t>Rater A / Rater B</w:t>
            </w:r>
          </w:p>
        </w:tc>
        <w:tc>
          <w:tcPr>
            <w:tcW w:w="1365" w:type="dxa"/>
            <w:tcBorders>
              <w:bottom w:val="single" w:sz="4" w:space="0" w:color="auto"/>
            </w:tcBorders>
          </w:tcPr>
          <w:p w14:paraId="74E4FD13" w14:textId="77777777" w:rsidR="001C32EC" w:rsidRPr="000B46C2" w:rsidRDefault="001C32EC" w:rsidP="00287022">
            <w:pPr>
              <w:pStyle w:val="Head1"/>
              <w:spacing w:after="0"/>
              <w:jc w:val="both"/>
              <w:rPr>
                <w:rFonts w:ascii="Arial" w:hAnsi="Arial" w:cs="Arial"/>
                <w:b w:val="0"/>
                <w:bCs/>
                <w:lang w:val="en-PH"/>
              </w:rPr>
            </w:pPr>
            <w:r w:rsidRPr="000B46C2">
              <w:rPr>
                <w:rFonts w:ascii="Arial" w:hAnsi="Arial" w:cs="Arial"/>
                <w:b w:val="0"/>
                <w:bCs/>
                <w:caps w:val="0"/>
                <w:lang w:val="en-PH"/>
              </w:rPr>
              <w:t>Modified Mcnemar Test</w:t>
            </w:r>
          </w:p>
          <w:p w14:paraId="0FCDCA33" w14:textId="77777777" w:rsidR="001C32EC" w:rsidRPr="009D79FE" w:rsidRDefault="001C32EC" w:rsidP="00287022">
            <w:pPr>
              <w:pStyle w:val="Head1"/>
              <w:spacing w:after="0"/>
              <w:jc w:val="both"/>
              <w:rPr>
                <w:rFonts w:ascii="Arial" w:hAnsi="Arial" w:cs="Arial"/>
                <w:b w:val="0"/>
                <w:bCs/>
                <w:lang w:val="en-PH"/>
              </w:rPr>
            </w:pPr>
          </w:p>
        </w:tc>
        <w:tc>
          <w:tcPr>
            <w:tcW w:w="1304" w:type="dxa"/>
            <w:tcBorders>
              <w:bottom w:val="single" w:sz="4" w:space="0" w:color="auto"/>
            </w:tcBorders>
          </w:tcPr>
          <w:p w14:paraId="64D2C996" w14:textId="77777777" w:rsidR="001C32EC" w:rsidRPr="000B46C2" w:rsidRDefault="001C32EC" w:rsidP="00287022">
            <w:pPr>
              <w:pStyle w:val="Head1"/>
              <w:spacing w:after="0"/>
              <w:jc w:val="both"/>
              <w:rPr>
                <w:rFonts w:ascii="Arial" w:hAnsi="Arial" w:cs="Arial"/>
                <w:b w:val="0"/>
                <w:bCs/>
                <w:lang w:val="en-PH"/>
              </w:rPr>
            </w:pPr>
            <w:r w:rsidRPr="000B46C2">
              <w:rPr>
                <w:rFonts w:ascii="Arial" w:hAnsi="Arial" w:cs="Arial"/>
                <w:b w:val="0"/>
                <w:bCs/>
                <w:caps w:val="0"/>
                <w:lang w:val="en-PH"/>
              </w:rPr>
              <w:t>Single Binomial Test</w:t>
            </w:r>
          </w:p>
          <w:p w14:paraId="058C6F24" w14:textId="77777777" w:rsidR="001C32EC" w:rsidRPr="009D79FE" w:rsidRDefault="001C32EC" w:rsidP="00287022">
            <w:pPr>
              <w:pStyle w:val="Head1"/>
              <w:spacing w:after="0"/>
              <w:jc w:val="both"/>
              <w:rPr>
                <w:rFonts w:ascii="Arial" w:hAnsi="Arial" w:cs="Arial"/>
                <w:b w:val="0"/>
                <w:bCs/>
                <w:lang w:val="en-PH"/>
              </w:rPr>
            </w:pPr>
          </w:p>
        </w:tc>
        <w:tc>
          <w:tcPr>
            <w:tcW w:w="1867" w:type="dxa"/>
            <w:tcBorders>
              <w:bottom w:val="single" w:sz="4" w:space="0" w:color="auto"/>
            </w:tcBorders>
          </w:tcPr>
          <w:p w14:paraId="77905DEA" w14:textId="77777777" w:rsidR="001C32EC" w:rsidRPr="000B46C2" w:rsidRDefault="001C32EC" w:rsidP="00287022">
            <w:pPr>
              <w:pStyle w:val="Head1"/>
              <w:spacing w:after="0"/>
              <w:jc w:val="both"/>
              <w:rPr>
                <w:rFonts w:ascii="Arial" w:hAnsi="Arial" w:cs="Arial"/>
                <w:b w:val="0"/>
                <w:bCs/>
                <w:lang w:val="en-PH"/>
              </w:rPr>
            </w:pPr>
            <w:r w:rsidRPr="000B46C2">
              <w:rPr>
                <w:rFonts w:ascii="Arial" w:hAnsi="Arial" w:cs="Arial"/>
                <w:b w:val="0"/>
                <w:bCs/>
                <w:caps w:val="0"/>
                <w:lang w:val="en-PH"/>
              </w:rPr>
              <w:t>Marginal Homogeneity Test</w:t>
            </w:r>
          </w:p>
          <w:p w14:paraId="786FCFCB" w14:textId="77777777" w:rsidR="001C32EC" w:rsidRPr="009D79FE" w:rsidRDefault="001C32EC" w:rsidP="00287022">
            <w:pPr>
              <w:pStyle w:val="Head1"/>
              <w:spacing w:after="0"/>
              <w:jc w:val="both"/>
              <w:rPr>
                <w:rFonts w:ascii="Arial" w:hAnsi="Arial" w:cs="Arial"/>
                <w:b w:val="0"/>
                <w:bCs/>
                <w:lang w:val="en-PH"/>
              </w:rPr>
            </w:pPr>
          </w:p>
        </w:tc>
        <w:tc>
          <w:tcPr>
            <w:tcW w:w="1619" w:type="dxa"/>
            <w:tcBorders>
              <w:bottom w:val="single" w:sz="4" w:space="0" w:color="auto"/>
            </w:tcBorders>
          </w:tcPr>
          <w:p w14:paraId="74838D43" w14:textId="77777777" w:rsidR="001C32EC" w:rsidRPr="000B46C2" w:rsidRDefault="001C32EC" w:rsidP="00287022">
            <w:pPr>
              <w:pStyle w:val="Head1"/>
              <w:spacing w:after="0"/>
              <w:jc w:val="both"/>
              <w:rPr>
                <w:rFonts w:ascii="Arial" w:hAnsi="Arial" w:cs="Arial"/>
                <w:b w:val="0"/>
                <w:bCs/>
                <w:lang w:val="en-PH"/>
              </w:rPr>
            </w:pPr>
            <w:r w:rsidRPr="000B46C2">
              <w:rPr>
                <w:rFonts w:ascii="Arial" w:hAnsi="Arial" w:cs="Arial"/>
                <w:b w:val="0"/>
                <w:bCs/>
                <w:caps w:val="0"/>
                <w:lang w:val="en-PH"/>
              </w:rPr>
              <w:t>Bias Index</w:t>
            </w:r>
          </w:p>
          <w:p w14:paraId="75CF408B" w14:textId="77777777" w:rsidR="001C32EC" w:rsidRPr="009D79FE" w:rsidRDefault="001C32EC" w:rsidP="00287022">
            <w:pPr>
              <w:pStyle w:val="Head1"/>
              <w:spacing w:after="0"/>
              <w:jc w:val="both"/>
              <w:rPr>
                <w:rFonts w:ascii="Arial" w:hAnsi="Arial" w:cs="Arial"/>
                <w:b w:val="0"/>
                <w:bCs/>
                <w:lang w:val="en-PH"/>
              </w:rPr>
            </w:pPr>
          </w:p>
        </w:tc>
      </w:tr>
      <w:tr w:rsidR="001C32EC" w14:paraId="0B509AF3" w14:textId="77777777" w:rsidTr="00287022">
        <w:trPr>
          <w:trHeight w:val="298"/>
        </w:trPr>
        <w:tc>
          <w:tcPr>
            <w:tcW w:w="2093" w:type="dxa"/>
            <w:tcBorders>
              <w:top w:val="single" w:sz="4" w:space="0" w:color="auto"/>
            </w:tcBorders>
          </w:tcPr>
          <w:p w14:paraId="3B258855" w14:textId="77777777" w:rsidR="001C32EC" w:rsidRPr="009D79FE" w:rsidRDefault="001C32EC" w:rsidP="00287022">
            <w:pPr>
              <w:pStyle w:val="Head1"/>
              <w:spacing w:after="0"/>
              <w:rPr>
                <w:rFonts w:ascii="Arial" w:hAnsi="Arial" w:cs="Arial"/>
                <w:b w:val="0"/>
                <w:bCs/>
                <w:lang w:val="en-PH"/>
              </w:rPr>
            </w:pPr>
            <w:r w:rsidRPr="009D79FE">
              <w:rPr>
                <w:rFonts w:ascii="Arial" w:hAnsi="Arial" w:cs="Arial"/>
                <w:b w:val="0"/>
                <w:bCs/>
                <w:caps w:val="0"/>
                <w:lang w:val="en-PH"/>
              </w:rPr>
              <w:t>Test</w:t>
            </w:r>
            <w:r>
              <w:rPr>
                <w:rFonts w:ascii="Arial" w:hAnsi="Arial" w:cs="Arial"/>
                <w:b w:val="0"/>
                <w:bCs/>
                <w:caps w:val="0"/>
                <w:lang w:val="en-PH"/>
              </w:rPr>
              <w:t xml:space="preserve"> </w:t>
            </w:r>
            <w:r w:rsidRPr="009D79FE">
              <w:rPr>
                <w:rFonts w:ascii="Arial" w:hAnsi="Arial" w:cs="Arial"/>
                <w:b w:val="0"/>
                <w:bCs/>
                <w:caps w:val="0"/>
                <w:lang w:val="en-PH"/>
              </w:rPr>
              <w:t xml:space="preserve">Statistics /Value </w:t>
            </w:r>
          </w:p>
        </w:tc>
        <w:tc>
          <w:tcPr>
            <w:tcW w:w="1365" w:type="dxa"/>
            <w:tcBorders>
              <w:top w:val="single" w:sz="4" w:space="0" w:color="auto"/>
            </w:tcBorders>
          </w:tcPr>
          <w:p w14:paraId="29EBE6F8" w14:textId="314782F5" w:rsidR="001C32EC" w:rsidRPr="005204A5" w:rsidRDefault="00000000" w:rsidP="00287022">
            <w:pPr>
              <w:pStyle w:val="Head1"/>
              <w:spacing w:after="0"/>
              <w:rPr>
                <w:rFonts w:ascii="Arial" w:hAnsi="Arial" w:cs="Arial"/>
                <w:b w:val="0"/>
                <w:bCs/>
                <w:lang w:val="en-PH"/>
              </w:rPr>
            </w:pPr>
            <m:oMathPara>
              <m:oMath>
                <m:sSup>
                  <m:sSupPr>
                    <m:ctrlPr>
                      <w:rPr>
                        <w:rFonts w:ascii="Cambria Math" w:hAnsi="Cambria Math" w:cs="Arial"/>
                        <w:b w:val="0"/>
                        <w:bCs/>
                        <w:i/>
                        <w:lang w:val="en-PH"/>
                      </w:rPr>
                    </m:ctrlPr>
                  </m:sSupPr>
                  <m:e>
                    <m:r>
                      <m:rPr>
                        <m:scr m:val="script"/>
                        <m:sty m:val="bi"/>
                      </m:rPr>
                      <w:rPr>
                        <w:rFonts w:ascii="Cambria Math" w:hAnsi="Cambria Math" w:cs="Arial"/>
                        <w:lang w:val="en-PH"/>
                      </w:rPr>
                      <m:t>X</m:t>
                    </m:r>
                  </m:e>
                  <m:sup>
                    <m:r>
                      <m:rPr>
                        <m:sty m:val="bi"/>
                      </m:rPr>
                      <w:rPr>
                        <w:rFonts w:ascii="Cambria Math" w:hAnsi="Cambria Math" w:cs="Arial"/>
                        <w:lang w:val="en-PH"/>
                      </w:rPr>
                      <m:t>2</m:t>
                    </m:r>
                  </m:sup>
                </m:sSup>
                <m:r>
                  <m:rPr>
                    <m:sty m:val="bi"/>
                  </m:rPr>
                  <w:rPr>
                    <w:rFonts w:ascii="Cambria Math" w:hAnsi="Cambria Math" w:cs="Arial"/>
                    <w:lang w:val="en-PH"/>
                  </w:rPr>
                  <m:t>=0.17</m:t>
                </m:r>
              </m:oMath>
            </m:oMathPara>
          </w:p>
        </w:tc>
        <w:tc>
          <w:tcPr>
            <w:tcW w:w="1304" w:type="dxa"/>
            <w:tcBorders>
              <w:top w:val="single" w:sz="4" w:space="0" w:color="auto"/>
            </w:tcBorders>
          </w:tcPr>
          <w:p w14:paraId="5A087383" w14:textId="51C2C421" w:rsidR="001C32EC" w:rsidRPr="005204A5" w:rsidRDefault="001C32EC" w:rsidP="00287022">
            <w:pPr>
              <w:pStyle w:val="Head1"/>
              <w:spacing w:after="0"/>
              <w:rPr>
                <w:rFonts w:ascii="Arial" w:hAnsi="Arial" w:cs="Arial"/>
                <w:b w:val="0"/>
                <w:bCs/>
                <w:lang w:val="en-PH"/>
              </w:rPr>
            </w:pPr>
            <w:r>
              <w:rPr>
                <w:rFonts w:ascii="Arial" w:hAnsi="Arial" w:cs="Arial"/>
                <w:b w:val="0"/>
                <w:bCs/>
                <w:caps w:val="0"/>
                <w:lang w:val="en-PH"/>
              </w:rPr>
              <w:t>n = 2; Smaller Freq. = 1</w:t>
            </w:r>
          </w:p>
        </w:tc>
        <w:tc>
          <w:tcPr>
            <w:tcW w:w="1867" w:type="dxa"/>
            <w:tcBorders>
              <w:top w:val="single" w:sz="4" w:space="0" w:color="auto"/>
            </w:tcBorders>
          </w:tcPr>
          <w:p w14:paraId="11444401" w14:textId="668D2252" w:rsidR="001C32EC" w:rsidRPr="005204A5" w:rsidRDefault="00000000" w:rsidP="00287022">
            <w:pPr>
              <w:pStyle w:val="Head1"/>
              <w:spacing w:after="0"/>
              <w:rPr>
                <w:rFonts w:ascii="Arial" w:hAnsi="Arial" w:cs="Arial"/>
                <w:b w:val="0"/>
                <w:bCs/>
                <w:lang w:val="en-PH"/>
              </w:rPr>
            </w:pPr>
            <m:oMathPara>
              <m:oMath>
                <m:sSup>
                  <m:sSupPr>
                    <m:ctrlPr>
                      <w:rPr>
                        <w:rFonts w:ascii="Cambria Math" w:hAnsi="Cambria Math" w:cs="Arial"/>
                        <w:b w:val="0"/>
                        <w:bCs/>
                        <w:i/>
                        <w:lang w:val="en-PH"/>
                      </w:rPr>
                    </m:ctrlPr>
                  </m:sSupPr>
                  <m:e>
                    <m:r>
                      <m:rPr>
                        <m:scr m:val="script"/>
                        <m:sty m:val="bi"/>
                      </m:rPr>
                      <w:rPr>
                        <w:rFonts w:ascii="Cambria Math" w:hAnsi="Cambria Math" w:cs="Arial"/>
                        <w:lang w:val="en-PH"/>
                      </w:rPr>
                      <m:t>X</m:t>
                    </m:r>
                  </m:e>
                  <m:sup>
                    <m:r>
                      <m:rPr>
                        <m:sty m:val="bi"/>
                      </m:rPr>
                      <w:rPr>
                        <w:rFonts w:ascii="Cambria Math" w:hAnsi="Cambria Math" w:cs="Arial"/>
                        <w:lang w:val="en-PH"/>
                      </w:rPr>
                      <m:t>2</m:t>
                    </m:r>
                  </m:sup>
                </m:sSup>
                <m:r>
                  <m:rPr>
                    <m:sty m:val="bi"/>
                  </m:rPr>
                  <w:rPr>
                    <w:rFonts w:ascii="Cambria Math" w:hAnsi="Cambria Math" w:cs="Arial"/>
                    <w:lang w:val="en-PH"/>
                  </w:rPr>
                  <m:t>=1.26</m:t>
                </m:r>
              </m:oMath>
            </m:oMathPara>
          </w:p>
        </w:tc>
        <w:tc>
          <w:tcPr>
            <w:tcW w:w="1619" w:type="dxa"/>
            <w:tcBorders>
              <w:top w:val="single" w:sz="4" w:space="0" w:color="auto"/>
            </w:tcBorders>
          </w:tcPr>
          <w:p w14:paraId="02F1A4EC" w14:textId="228E51EB" w:rsidR="001C32EC" w:rsidRPr="005204A5" w:rsidRDefault="001C32EC" w:rsidP="00287022">
            <w:pPr>
              <w:pStyle w:val="Head1"/>
              <w:spacing w:after="0"/>
              <w:rPr>
                <w:rFonts w:ascii="Arial" w:hAnsi="Arial" w:cs="Arial"/>
                <w:b w:val="0"/>
                <w:bCs/>
                <w:lang w:val="en-PH"/>
              </w:rPr>
            </w:pPr>
            <w:r>
              <w:rPr>
                <w:rFonts w:ascii="Arial" w:hAnsi="Arial" w:cs="Arial"/>
                <w:b w:val="0"/>
                <w:bCs/>
                <w:lang w:val="en-PH"/>
              </w:rPr>
              <w:t>0.000</w:t>
            </w:r>
          </w:p>
        </w:tc>
      </w:tr>
    </w:tbl>
    <w:p w14:paraId="70D2603B" w14:textId="77777777" w:rsidR="001C32EC" w:rsidRPr="00A234D6" w:rsidRDefault="001C32EC" w:rsidP="00A234D6">
      <w:pPr>
        <w:pStyle w:val="Body"/>
        <w:spacing w:after="0"/>
        <w:rPr>
          <w:rFonts w:ascii="Arial" w:hAnsi="Arial" w:cs="Arial"/>
          <w:lang w:val="en-PH"/>
        </w:rPr>
      </w:pPr>
    </w:p>
    <w:p w14:paraId="7D44AE17" w14:textId="488386AA" w:rsidR="000B46C2" w:rsidRDefault="001C32EC" w:rsidP="00441B6F">
      <w:pPr>
        <w:pStyle w:val="Body"/>
        <w:spacing w:after="0"/>
        <w:rPr>
          <w:rFonts w:ascii="Arial" w:hAnsi="Arial" w:cs="Arial"/>
          <w:b/>
          <w:bCs/>
        </w:rPr>
      </w:pPr>
      <w:r w:rsidRPr="001C32EC">
        <w:rPr>
          <w:rFonts w:ascii="Arial" w:hAnsi="Arial" w:cs="Arial"/>
          <w:b/>
          <w:bCs/>
        </w:rPr>
        <w:t>3.4 Comparative Summary and Interpretation</w:t>
      </w:r>
    </w:p>
    <w:p w14:paraId="17C5A8AA" w14:textId="77777777" w:rsidR="001C32EC" w:rsidRDefault="001C32EC" w:rsidP="00441B6F">
      <w:pPr>
        <w:pStyle w:val="Body"/>
        <w:spacing w:after="0"/>
        <w:rPr>
          <w:rFonts w:ascii="Arial" w:hAnsi="Arial" w:cs="Arial"/>
          <w:b/>
          <w:bCs/>
        </w:rPr>
      </w:pPr>
    </w:p>
    <w:p w14:paraId="2FE81FF0" w14:textId="25EB6D79" w:rsidR="001C32EC" w:rsidRDefault="001C32EC" w:rsidP="001C32EC">
      <w:pPr>
        <w:pStyle w:val="Body"/>
        <w:rPr>
          <w:rFonts w:ascii="Arial" w:hAnsi="Arial" w:cs="Arial"/>
          <w:lang w:val="en-PH"/>
        </w:rPr>
      </w:pPr>
      <w:r w:rsidRPr="001C32EC">
        <w:rPr>
          <w:rFonts w:ascii="Arial" w:hAnsi="Arial" w:cs="Arial"/>
          <w:lang w:val="en-PH"/>
        </w:rPr>
        <w:t>The three simulations illustrate the performance of each strategy across varying levels of agreement.</w:t>
      </w:r>
      <w:r w:rsidR="00C14920">
        <w:rPr>
          <w:rFonts w:ascii="Arial" w:hAnsi="Arial" w:cs="Arial"/>
          <w:lang w:val="en-PH"/>
        </w:rPr>
        <w:t xml:space="preserve"> </w:t>
      </w:r>
      <w:r w:rsidR="00C14920" w:rsidRPr="00C14920">
        <w:rPr>
          <w:rFonts w:ascii="Arial" w:hAnsi="Arial" w:cs="Arial"/>
          <w:highlight w:val="yellow"/>
          <w:lang w:val="en-PH"/>
        </w:rPr>
        <w:t xml:space="preserve">Under </w:t>
      </w:r>
      <w:r w:rsidRPr="00C14920">
        <w:rPr>
          <w:rFonts w:ascii="Arial" w:hAnsi="Arial" w:cs="Arial"/>
          <w:highlight w:val="yellow"/>
          <w:lang w:val="en-PH"/>
        </w:rPr>
        <w:t>low agreement, all approaches identified bias characterized</w:t>
      </w:r>
      <w:r w:rsidRPr="001C32EC">
        <w:rPr>
          <w:rFonts w:ascii="Arial" w:hAnsi="Arial" w:cs="Arial"/>
          <w:lang w:val="en-PH"/>
        </w:rPr>
        <w:t xml:space="preserve"> by low p-values and a high Bias Index. Despite moderate agreement, sensitivity decreased; yet the Marginal Homogeneity Test and Bias Index continued to indicate some bias. All methods exhibited great concordance, demonstrating no bias, with p-values exceeding 0.05 and a Bias Index of 0.000.</w:t>
      </w:r>
    </w:p>
    <w:p w14:paraId="3F92A371" w14:textId="12D8B9D1" w:rsidR="001C32EC" w:rsidRPr="001C32EC" w:rsidRDefault="001C32EC" w:rsidP="001C32EC">
      <w:pPr>
        <w:pStyle w:val="Body"/>
        <w:rPr>
          <w:rFonts w:ascii="Arial" w:hAnsi="Arial" w:cs="Arial"/>
          <w:lang w:val="en-PH"/>
        </w:rPr>
      </w:pPr>
      <w:r w:rsidRPr="001C32EC">
        <w:rPr>
          <w:rFonts w:ascii="Arial" w:hAnsi="Arial" w:cs="Arial"/>
          <w:lang w:val="en-PH"/>
        </w:rPr>
        <w:t xml:space="preserve">The Bias Index provided constant directional insights, whereas the Modified McNemar and Single Binomial Tests were more responsive to asymmetry. </w:t>
      </w:r>
      <w:r w:rsidRPr="00A101F7">
        <w:rPr>
          <w:rFonts w:ascii="Arial" w:hAnsi="Arial" w:cs="Arial"/>
          <w:highlight w:val="yellow"/>
          <w:lang w:val="en-PH"/>
        </w:rPr>
        <w:t xml:space="preserve">Employing all four </w:t>
      </w:r>
      <w:r w:rsidR="00A101F7" w:rsidRPr="00A101F7">
        <w:rPr>
          <w:rFonts w:ascii="Arial" w:hAnsi="Arial" w:cs="Arial"/>
          <w:highlight w:val="yellow"/>
          <w:lang w:val="en-PH"/>
        </w:rPr>
        <w:t xml:space="preserve">techniques offers </w:t>
      </w:r>
      <w:r w:rsidRPr="00A101F7">
        <w:rPr>
          <w:rFonts w:ascii="Arial" w:hAnsi="Arial" w:cs="Arial"/>
          <w:highlight w:val="yellow"/>
          <w:lang w:val="en-PH"/>
        </w:rPr>
        <w:t>a comprehensive strategy for identifying bias in ordinal ratings</w:t>
      </w:r>
      <w:r w:rsidRPr="001C32EC">
        <w:rPr>
          <w:rFonts w:ascii="Arial" w:hAnsi="Arial" w:cs="Arial"/>
          <w:lang w:val="en-PH"/>
        </w:rPr>
        <w:t>.</w:t>
      </w:r>
      <w:r w:rsidR="00AB64EB" w:rsidRPr="00AB64EB">
        <w:t xml:space="preserve"> </w:t>
      </w:r>
      <w:r w:rsidR="00AB64EB" w:rsidRPr="00AB64EB">
        <w:rPr>
          <w:rFonts w:ascii="Arial" w:hAnsi="Arial" w:cs="Arial"/>
          <w:highlight w:val="yellow"/>
        </w:rPr>
        <w:t xml:space="preserve">However, while the Bias Index is interpretable and consistent, it may be less sensitive in detecting subtle bias in cases with sparse data or minimal </w:t>
      </w:r>
      <w:r w:rsidR="006262DB" w:rsidRPr="00AB64EB">
        <w:rPr>
          <w:rFonts w:ascii="Arial" w:hAnsi="Arial" w:cs="Arial"/>
          <w:highlight w:val="yellow"/>
        </w:rPr>
        <w:t>disagreement.</w:t>
      </w:r>
      <w:r w:rsidR="006262DB">
        <w:rPr>
          <w:rFonts w:ascii="Arial" w:hAnsi="Arial" w:cs="Arial"/>
          <w:highlight w:val="yellow"/>
        </w:rPr>
        <w:t xml:space="preserve"> (</w:t>
      </w:r>
      <w:r w:rsidR="00AB64EB">
        <w:rPr>
          <w:rFonts w:ascii="Arial" w:hAnsi="Arial" w:cs="Arial"/>
          <w:highlight w:val="yellow"/>
        </w:rPr>
        <w:t>Liu</w:t>
      </w:r>
      <w:r w:rsidR="006262DB">
        <w:rPr>
          <w:rFonts w:ascii="Arial" w:hAnsi="Arial" w:cs="Arial"/>
          <w:highlight w:val="yellow"/>
        </w:rPr>
        <w:t xml:space="preserve"> &amp; Agresti, 2005)</w:t>
      </w:r>
      <w:r w:rsidR="006262DB" w:rsidRPr="00AB64EB">
        <w:rPr>
          <w:rFonts w:ascii="Arial" w:hAnsi="Arial" w:cs="Arial"/>
          <w:highlight w:val="yellow"/>
        </w:rPr>
        <w:t>. Therefore</w:t>
      </w:r>
      <w:r w:rsidR="00AB64EB" w:rsidRPr="00AB64EB">
        <w:rPr>
          <w:rFonts w:ascii="Arial" w:hAnsi="Arial" w:cs="Arial"/>
          <w:highlight w:val="yellow"/>
        </w:rPr>
        <w:t>, it is best used alongside inferential methods to ensure robust bias detection.</w:t>
      </w:r>
    </w:p>
    <w:p w14:paraId="7A885294" w14:textId="77777777" w:rsidR="001C32EC" w:rsidRPr="001C32EC" w:rsidRDefault="001C32EC" w:rsidP="001C32EC">
      <w:pPr>
        <w:pStyle w:val="Body"/>
        <w:spacing w:after="0"/>
        <w:rPr>
          <w:rFonts w:ascii="Arial" w:hAnsi="Arial" w:cs="Arial"/>
          <w:b/>
          <w:bCs/>
          <w:lang w:val="en-PH"/>
        </w:rPr>
      </w:pPr>
      <w:r w:rsidRPr="001C32EC">
        <w:rPr>
          <w:rFonts w:ascii="Arial" w:hAnsi="Arial" w:cs="Arial"/>
          <w:b/>
          <w:bCs/>
          <w:lang w:val="en-PH"/>
        </w:rPr>
        <w:t>Table 7. Comparative Summary of Simulation Results</w:t>
      </w:r>
    </w:p>
    <w:p w14:paraId="3A5637FA" w14:textId="77777777" w:rsidR="001C32EC" w:rsidRDefault="001C32EC" w:rsidP="00441B6F">
      <w:pPr>
        <w:pStyle w:val="Body"/>
        <w:spacing w:after="0"/>
        <w:rPr>
          <w:rFonts w:ascii="Arial" w:hAnsi="Arial" w:cs="Arial"/>
          <w:b/>
          <w:bCs/>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793"/>
        <w:gridCol w:w="1957"/>
        <w:gridCol w:w="1694"/>
        <w:gridCol w:w="2278"/>
        <w:gridCol w:w="576"/>
      </w:tblGrid>
      <w:tr w:rsidR="001C32EC" w:rsidRPr="001C32EC" w14:paraId="5CDC43EF" w14:textId="77777777" w:rsidTr="0029476C">
        <w:trPr>
          <w:tblCellSpacing w:w="15" w:type="dxa"/>
          <w:jc w:val="right"/>
        </w:trPr>
        <w:tc>
          <w:tcPr>
            <w:tcW w:w="0" w:type="auto"/>
            <w:vAlign w:val="center"/>
            <w:hideMark/>
          </w:tcPr>
          <w:p w14:paraId="7ED6362E"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Agreement Level</w:t>
            </w:r>
          </w:p>
        </w:tc>
        <w:tc>
          <w:tcPr>
            <w:tcW w:w="0" w:type="auto"/>
            <w:vAlign w:val="center"/>
            <w:hideMark/>
          </w:tcPr>
          <w:p w14:paraId="7AE97520"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Modified McNemar Test</w:t>
            </w:r>
          </w:p>
        </w:tc>
        <w:tc>
          <w:tcPr>
            <w:tcW w:w="0" w:type="auto"/>
            <w:vAlign w:val="center"/>
            <w:hideMark/>
          </w:tcPr>
          <w:p w14:paraId="693F348C"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Single Binomial Test</w:t>
            </w:r>
          </w:p>
        </w:tc>
        <w:tc>
          <w:tcPr>
            <w:tcW w:w="0" w:type="auto"/>
            <w:vAlign w:val="center"/>
            <w:hideMark/>
          </w:tcPr>
          <w:p w14:paraId="38CFDCAA"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Marginal Homogeneity Test</w:t>
            </w:r>
          </w:p>
        </w:tc>
        <w:tc>
          <w:tcPr>
            <w:tcW w:w="50" w:type="dxa"/>
            <w:vAlign w:val="center"/>
            <w:hideMark/>
          </w:tcPr>
          <w:p w14:paraId="19513EA0"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Bias Index</w:t>
            </w:r>
          </w:p>
        </w:tc>
      </w:tr>
      <w:tr w:rsidR="001C32EC" w:rsidRPr="001C32EC" w14:paraId="7DEED3F4" w14:textId="77777777" w:rsidTr="0029476C">
        <w:trPr>
          <w:tblCellSpacing w:w="15" w:type="dxa"/>
          <w:jc w:val="right"/>
        </w:trPr>
        <w:tc>
          <w:tcPr>
            <w:tcW w:w="0" w:type="auto"/>
            <w:tcBorders>
              <w:top w:val="single" w:sz="4" w:space="0" w:color="auto"/>
            </w:tcBorders>
            <w:vAlign w:val="center"/>
            <w:hideMark/>
          </w:tcPr>
          <w:p w14:paraId="0927106E"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Low Agreement</w:t>
            </w:r>
          </w:p>
        </w:tc>
        <w:tc>
          <w:tcPr>
            <w:tcW w:w="0" w:type="auto"/>
            <w:tcBorders>
              <w:top w:val="single" w:sz="4" w:space="0" w:color="auto"/>
            </w:tcBorders>
            <w:vAlign w:val="center"/>
            <w:hideMark/>
          </w:tcPr>
          <w:p w14:paraId="2E2027F0" w14:textId="77777777" w:rsidR="001C32EC" w:rsidRDefault="001C32EC" w:rsidP="001C32EC">
            <w:pPr>
              <w:pStyle w:val="Body"/>
              <w:jc w:val="left"/>
              <w:rPr>
                <w:rFonts w:ascii="Arial" w:hAnsi="Arial" w:cs="Arial"/>
                <w:lang w:val="en-PH"/>
              </w:rPr>
            </w:pPr>
            <w:r w:rsidRPr="001C32EC">
              <w:rPr>
                <w:rFonts w:ascii="Arial" w:hAnsi="Arial" w:cs="Arial"/>
                <w:lang w:val="en-PH"/>
              </w:rPr>
              <w:t xml:space="preserve">χ² = 7.36 </w:t>
            </w:r>
          </w:p>
          <w:p w14:paraId="3AADEEF4" w14:textId="4F4BE86B" w:rsidR="001C32EC" w:rsidRPr="001C32EC" w:rsidRDefault="001C32EC" w:rsidP="001C32EC">
            <w:pPr>
              <w:pStyle w:val="Body"/>
              <w:jc w:val="left"/>
              <w:rPr>
                <w:rFonts w:ascii="Arial" w:hAnsi="Arial" w:cs="Arial"/>
                <w:lang w:val="en-PH"/>
              </w:rPr>
            </w:pPr>
            <w:r w:rsidRPr="001C32EC">
              <w:rPr>
                <w:rFonts w:ascii="Arial" w:hAnsi="Arial" w:cs="Arial"/>
                <w:lang w:val="en-PH"/>
              </w:rPr>
              <w:t>(p = 0.0069)</w:t>
            </w:r>
          </w:p>
        </w:tc>
        <w:tc>
          <w:tcPr>
            <w:tcW w:w="0" w:type="auto"/>
            <w:tcBorders>
              <w:top w:val="single" w:sz="4" w:space="0" w:color="auto"/>
            </w:tcBorders>
            <w:vAlign w:val="center"/>
            <w:hideMark/>
          </w:tcPr>
          <w:p w14:paraId="1E037B4F" w14:textId="77777777" w:rsidR="001C32EC" w:rsidRDefault="001C32EC" w:rsidP="001C32EC">
            <w:pPr>
              <w:pStyle w:val="Body"/>
              <w:jc w:val="left"/>
              <w:rPr>
                <w:rFonts w:ascii="Arial" w:hAnsi="Arial" w:cs="Arial"/>
                <w:lang w:val="en-PH"/>
              </w:rPr>
            </w:pPr>
            <w:r w:rsidRPr="001C32EC">
              <w:rPr>
                <w:rFonts w:ascii="Arial" w:hAnsi="Arial" w:cs="Arial"/>
                <w:lang w:val="en-PH"/>
              </w:rPr>
              <w:t>n = 11; freq. = 1</w:t>
            </w:r>
          </w:p>
          <w:p w14:paraId="3DB4D9D0" w14:textId="3DA5D5AF" w:rsidR="001C32EC" w:rsidRPr="001C32EC" w:rsidRDefault="001C32EC" w:rsidP="001C32EC">
            <w:pPr>
              <w:pStyle w:val="Body"/>
              <w:jc w:val="left"/>
              <w:rPr>
                <w:rFonts w:ascii="Arial" w:hAnsi="Arial" w:cs="Arial"/>
                <w:lang w:val="en-PH"/>
              </w:rPr>
            </w:pPr>
            <w:r w:rsidRPr="001C32EC">
              <w:rPr>
                <w:rFonts w:ascii="Arial" w:hAnsi="Arial" w:cs="Arial"/>
                <w:lang w:val="en-PH"/>
              </w:rPr>
              <w:t xml:space="preserve"> (p ≈ 0.012)</w:t>
            </w:r>
          </w:p>
        </w:tc>
        <w:tc>
          <w:tcPr>
            <w:tcW w:w="0" w:type="auto"/>
            <w:tcBorders>
              <w:top w:val="single" w:sz="4" w:space="0" w:color="auto"/>
            </w:tcBorders>
            <w:vAlign w:val="center"/>
            <w:hideMark/>
          </w:tcPr>
          <w:p w14:paraId="190A6531" w14:textId="77777777" w:rsidR="001C32EC" w:rsidRDefault="001C32EC" w:rsidP="001C32EC">
            <w:pPr>
              <w:pStyle w:val="Body"/>
              <w:jc w:val="left"/>
              <w:rPr>
                <w:rFonts w:ascii="Arial" w:hAnsi="Arial" w:cs="Arial"/>
                <w:lang w:val="en-PH"/>
              </w:rPr>
            </w:pPr>
            <w:r w:rsidRPr="001C32EC">
              <w:rPr>
                <w:rFonts w:ascii="Arial" w:hAnsi="Arial" w:cs="Arial"/>
                <w:lang w:val="en-PH"/>
              </w:rPr>
              <w:t xml:space="preserve">χ² = 7.42 </w:t>
            </w:r>
          </w:p>
          <w:p w14:paraId="5E14CBDD" w14:textId="39FC2453" w:rsidR="001C32EC" w:rsidRPr="001C32EC" w:rsidRDefault="001C32EC" w:rsidP="001C32EC">
            <w:pPr>
              <w:pStyle w:val="Body"/>
              <w:jc w:val="left"/>
              <w:rPr>
                <w:rFonts w:ascii="Arial" w:hAnsi="Arial" w:cs="Arial"/>
                <w:lang w:val="en-PH"/>
              </w:rPr>
            </w:pPr>
            <w:r w:rsidRPr="001C32EC">
              <w:rPr>
                <w:rFonts w:ascii="Arial" w:hAnsi="Arial" w:cs="Arial"/>
                <w:lang w:val="en-PH"/>
              </w:rPr>
              <w:t>(p ≈ 0.024)</w:t>
            </w:r>
          </w:p>
        </w:tc>
        <w:tc>
          <w:tcPr>
            <w:tcW w:w="50" w:type="dxa"/>
            <w:tcBorders>
              <w:top w:val="single" w:sz="4" w:space="0" w:color="auto"/>
            </w:tcBorders>
            <w:vAlign w:val="center"/>
            <w:hideMark/>
          </w:tcPr>
          <w:p w14:paraId="5EDDCC2D"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0.818</w:t>
            </w:r>
          </w:p>
        </w:tc>
      </w:tr>
      <w:tr w:rsidR="001C32EC" w:rsidRPr="001C32EC" w14:paraId="0BA67C06" w14:textId="77777777" w:rsidTr="0029476C">
        <w:trPr>
          <w:tblCellSpacing w:w="15" w:type="dxa"/>
          <w:jc w:val="right"/>
        </w:trPr>
        <w:tc>
          <w:tcPr>
            <w:tcW w:w="0" w:type="auto"/>
            <w:vAlign w:val="center"/>
            <w:hideMark/>
          </w:tcPr>
          <w:p w14:paraId="4E463046"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Moderate Agreement</w:t>
            </w:r>
          </w:p>
        </w:tc>
        <w:tc>
          <w:tcPr>
            <w:tcW w:w="0" w:type="auto"/>
            <w:vAlign w:val="center"/>
            <w:hideMark/>
          </w:tcPr>
          <w:p w14:paraId="3A55CE14" w14:textId="77777777" w:rsidR="001C32EC" w:rsidRDefault="001C32EC" w:rsidP="001C32EC">
            <w:pPr>
              <w:pStyle w:val="Body"/>
              <w:jc w:val="left"/>
              <w:rPr>
                <w:rFonts w:ascii="Arial" w:hAnsi="Arial" w:cs="Arial"/>
                <w:lang w:val="en-PH"/>
              </w:rPr>
            </w:pPr>
            <w:r w:rsidRPr="001C32EC">
              <w:rPr>
                <w:rFonts w:ascii="Arial" w:hAnsi="Arial" w:cs="Arial"/>
                <w:lang w:val="en-PH"/>
              </w:rPr>
              <w:t xml:space="preserve">χ² = 1.00 </w:t>
            </w:r>
          </w:p>
          <w:p w14:paraId="75B6D859" w14:textId="00FB0E07" w:rsidR="001C32EC" w:rsidRPr="001C32EC" w:rsidRDefault="001C32EC" w:rsidP="001C32EC">
            <w:pPr>
              <w:pStyle w:val="Body"/>
              <w:jc w:val="left"/>
              <w:rPr>
                <w:rFonts w:ascii="Arial" w:hAnsi="Arial" w:cs="Arial"/>
                <w:lang w:val="en-PH"/>
              </w:rPr>
            </w:pPr>
            <w:r w:rsidRPr="001C32EC">
              <w:rPr>
                <w:rFonts w:ascii="Arial" w:hAnsi="Arial" w:cs="Arial"/>
                <w:lang w:val="en-PH"/>
              </w:rPr>
              <w:t>(p ≈ 0.317)</w:t>
            </w:r>
          </w:p>
        </w:tc>
        <w:tc>
          <w:tcPr>
            <w:tcW w:w="0" w:type="auto"/>
            <w:vAlign w:val="center"/>
            <w:hideMark/>
          </w:tcPr>
          <w:p w14:paraId="02CEBD28" w14:textId="77777777" w:rsidR="001C32EC" w:rsidRDefault="001C32EC" w:rsidP="001C32EC">
            <w:pPr>
              <w:pStyle w:val="Body"/>
              <w:jc w:val="left"/>
              <w:rPr>
                <w:rFonts w:ascii="Arial" w:hAnsi="Arial" w:cs="Arial"/>
                <w:lang w:val="en-PH"/>
              </w:rPr>
            </w:pPr>
            <w:r w:rsidRPr="001C32EC">
              <w:rPr>
                <w:rFonts w:ascii="Arial" w:hAnsi="Arial" w:cs="Arial"/>
                <w:lang w:val="en-PH"/>
              </w:rPr>
              <w:t xml:space="preserve">n = 7; freq. = 3 </w:t>
            </w:r>
          </w:p>
          <w:p w14:paraId="0296D642" w14:textId="078E8D48" w:rsidR="001C32EC" w:rsidRPr="001C32EC" w:rsidRDefault="001C32EC" w:rsidP="001C32EC">
            <w:pPr>
              <w:pStyle w:val="Body"/>
              <w:jc w:val="left"/>
              <w:rPr>
                <w:rFonts w:ascii="Arial" w:hAnsi="Arial" w:cs="Arial"/>
                <w:lang w:val="en-PH"/>
              </w:rPr>
            </w:pPr>
            <w:r w:rsidRPr="001C32EC">
              <w:rPr>
                <w:rFonts w:ascii="Arial" w:hAnsi="Arial" w:cs="Arial"/>
                <w:lang w:val="en-PH"/>
              </w:rPr>
              <w:t>(p ≈ 0.344)</w:t>
            </w:r>
          </w:p>
        </w:tc>
        <w:tc>
          <w:tcPr>
            <w:tcW w:w="0" w:type="auto"/>
            <w:vAlign w:val="center"/>
            <w:hideMark/>
          </w:tcPr>
          <w:p w14:paraId="3D312EBD" w14:textId="77777777" w:rsidR="001C32EC" w:rsidRDefault="001C32EC" w:rsidP="001C32EC">
            <w:pPr>
              <w:pStyle w:val="Body"/>
              <w:jc w:val="left"/>
              <w:rPr>
                <w:rFonts w:ascii="Arial" w:hAnsi="Arial" w:cs="Arial"/>
                <w:lang w:val="en-PH"/>
              </w:rPr>
            </w:pPr>
            <w:r w:rsidRPr="001C32EC">
              <w:rPr>
                <w:rFonts w:ascii="Arial" w:hAnsi="Arial" w:cs="Arial"/>
                <w:lang w:val="en-PH"/>
              </w:rPr>
              <w:t>χ² = 2.57</w:t>
            </w:r>
          </w:p>
          <w:p w14:paraId="6FA64245" w14:textId="48389176" w:rsidR="001C32EC" w:rsidRPr="001C32EC" w:rsidRDefault="001C32EC" w:rsidP="001C32EC">
            <w:pPr>
              <w:pStyle w:val="Body"/>
              <w:jc w:val="left"/>
              <w:rPr>
                <w:rFonts w:ascii="Arial" w:hAnsi="Arial" w:cs="Arial"/>
                <w:lang w:val="en-PH"/>
              </w:rPr>
            </w:pPr>
            <w:r w:rsidRPr="001C32EC">
              <w:rPr>
                <w:rFonts w:ascii="Arial" w:hAnsi="Arial" w:cs="Arial"/>
                <w:lang w:val="en-PH"/>
              </w:rPr>
              <w:t xml:space="preserve"> (p ≈ 0.276)</w:t>
            </w:r>
          </w:p>
        </w:tc>
        <w:tc>
          <w:tcPr>
            <w:tcW w:w="50" w:type="dxa"/>
            <w:vAlign w:val="center"/>
            <w:hideMark/>
          </w:tcPr>
          <w:p w14:paraId="584935EC"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0.143</w:t>
            </w:r>
          </w:p>
        </w:tc>
      </w:tr>
      <w:tr w:rsidR="001C32EC" w:rsidRPr="001C32EC" w14:paraId="7728A5A6" w14:textId="77777777" w:rsidTr="0029476C">
        <w:trPr>
          <w:tblCellSpacing w:w="15" w:type="dxa"/>
          <w:jc w:val="right"/>
        </w:trPr>
        <w:tc>
          <w:tcPr>
            <w:tcW w:w="0" w:type="auto"/>
            <w:tcBorders>
              <w:bottom w:val="single" w:sz="4" w:space="0" w:color="auto"/>
            </w:tcBorders>
            <w:vAlign w:val="center"/>
            <w:hideMark/>
          </w:tcPr>
          <w:p w14:paraId="0CF0AB21"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High Agreement</w:t>
            </w:r>
          </w:p>
        </w:tc>
        <w:tc>
          <w:tcPr>
            <w:tcW w:w="0" w:type="auto"/>
            <w:tcBorders>
              <w:bottom w:val="single" w:sz="4" w:space="0" w:color="auto"/>
            </w:tcBorders>
            <w:vAlign w:val="center"/>
            <w:hideMark/>
          </w:tcPr>
          <w:p w14:paraId="6F9EB900" w14:textId="77777777" w:rsidR="001C32EC" w:rsidRDefault="001C32EC" w:rsidP="001C32EC">
            <w:pPr>
              <w:pStyle w:val="Body"/>
              <w:jc w:val="left"/>
              <w:rPr>
                <w:rFonts w:ascii="Arial" w:hAnsi="Arial" w:cs="Arial"/>
                <w:lang w:val="en-PH"/>
              </w:rPr>
            </w:pPr>
            <w:r w:rsidRPr="001C32EC">
              <w:rPr>
                <w:rFonts w:ascii="Arial" w:hAnsi="Arial" w:cs="Arial"/>
                <w:lang w:val="en-PH"/>
              </w:rPr>
              <w:t xml:space="preserve">χ² = 0.17 </w:t>
            </w:r>
          </w:p>
          <w:p w14:paraId="07E1C644" w14:textId="4F14E4EA" w:rsidR="001C32EC" w:rsidRPr="001C32EC" w:rsidRDefault="001C32EC" w:rsidP="001C32EC">
            <w:pPr>
              <w:pStyle w:val="Body"/>
              <w:jc w:val="left"/>
              <w:rPr>
                <w:rFonts w:ascii="Arial" w:hAnsi="Arial" w:cs="Arial"/>
                <w:lang w:val="en-PH"/>
              </w:rPr>
            </w:pPr>
            <w:r w:rsidRPr="001C32EC">
              <w:rPr>
                <w:rFonts w:ascii="Arial" w:hAnsi="Arial" w:cs="Arial"/>
                <w:lang w:val="en-PH"/>
              </w:rPr>
              <w:t>(p ≈ 0.678)</w:t>
            </w:r>
          </w:p>
        </w:tc>
        <w:tc>
          <w:tcPr>
            <w:tcW w:w="0" w:type="auto"/>
            <w:tcBorders>
              <w:bottom w:val="single" w:sz="4" w:space="0" w:color="auto"/>
            </w:tcBorders>
            <w:vAlign w:val="center"/>
            <w:hideMark/>
          </w:tcPr>
          <w:p w14:paraId="08C5F659" w14:textId="77777777" w:rsidR="001C32EC" w:rsidRDefault="001C32EC" w:rsidP="001C32EC">
            <w:pPr>
              <w:pStyle w:val="Body"/>
              <w:jc w:val="left"/>
              <w:rPr>
                <w:rFonts w:ascii="Arial" w:hAnsi="Arial" w:cs="Arial"/>
                <w:lang w:val="en-PH"/>
              </w:rPr>
            </w:pPr>
            <w:r w:rsidRPr="001C32EC">
              <w:rPr>
                <w:rFonts w:ascii="Arial" w:hAnsi="Arial" w:cs="Arial"/>
                <w:lang w:val="en-PH"/>
              </w:rPr>
              <w:t xml:space="preserve">n = 2; freq. = 1 </w:t>
            </w:r>
          </w:p>
          <w:p w14:paraId="7B7FD7CC" w14:textId="35BF58FF" w:rsidR="001C32EC" w:rsidRPr="001C32EC" w:rsidRDefault="001C32EC" w:rsidP="001C32EC">
            <w:pPr>
              <w:pStyle w:val="Body"/>
              <w:jc w:val="left"/>
              <w:rPr>
                <w:rFonts w:ascii="Arial" w:hAnsi="Arial" w:cs="Arial"/>
                <w:lang w:val="en-PH"/>
              </w:rPr>
            </w:pPr>
            <w:r w:rsidRPr="001C32EC">
              <w:rPr>
                <w:rFonts w:ascii="Arial" w:hAnsi="Arial" w:cs="Arial"/>
                <w:lang w:val="en-PH"/>
              </w:rPr>
              <w:t>(p ≈ 0.774)</w:t>
            </w:r>
          </w:p>
        </w:tc>
        <w:tc>
          <w:tcPr>
            <w:tcW w:w="0" w:type="auto"/>
            <w:tcBorders>
              <w:bottom w:val="single" w:sz="4" w:space="0" w:color="auto"/>
            </w:tcBorders>
            <w:vAlign w:val="center"/>
            <w:hideMark/>
          </w:tcPr>
          <w:p w14:paraId="2FEE405B" w14:textId="77777777" w:rsidR="001C32EC" w:rsidRDefault="001C32EC" w:rsidP="001C32EC">
            <w:pPr>
              <w:pStyle w:val="Body"/>
              <w:jc w:val="left"/>
              <w:rPr>
                <w:rFonts w:ascii="Arial" w:hAnsi="Arial" w:cs="Arial"/>
                <w:lang w:val="en-PH"/>
              </w:rPr>
            </w:pPr>
            <w:r w:rsidRPr="001C32EC">
              <w:rPr>
                <w:rFonts w:ascii="Arial" w:hAnsi="Arial" w:cs="Arial"/>
                <w:lang w:val="en-PH"/>
              </w:rPr>
              <w:t xml:space="preserve">χ² = 1.26 </w:t>
            </w:r>
          </w:p>
          <w:p w14:paraId="728696AE" w14:textId="215AB569" w:rsidR="001C32EC" w:rsidRPr="001C32EC" w:rsidRDefault="001C32EC" w:rsidP="001C32EC">
            <w:pPr>
              <w:pStyle w:val="Body"/>
              <w:jc w:val="left"/>
              <w:rPr>
                <w:rFonts w:ascii="Arial" w:hAnsi="Arial" w:cs="Arial"/>
                <w:lang w:val="en-PH"/>
              </w:rPr>
            </w:pPr>
            <w:r w:rsidRPr="001C32EC">
              <w:rPr>
                <w:rFonts w:ascii="Arial" w:hAnsi="Arial" w:cs="Arial"/>
                <w:lang w:val="en-PH"/>
              </w:rPr>
              <w:t>(p ≈ 0.533)</w:t>
            </w:r>
          </w:p>
        </w:tc>
        <w:tc>
          <w:tcPr>
            <w:tcW w:w="50" w:type="dxa"/>
            <w:tcBorders>
              <w:bottom w:val="single" w:sz="4" w:space="0" w:color="auto"/>
            </w:tcBorders>
            <w:vAlign w:val="center"/>
            <w:hideMark/>
          </w:tcPr>
          <w:p w14:paraId="304F8EDE"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0.000</w:t>
            </w:r>
          </w:p>
        </w:tc>
      </w:tr>
    </w:tbl>
    <w:p w14:paraId="3D3E639A" w14:textId="77777777" w:rsidR="001C32EC" w:rsidRPr="001C32EC" w:rsidRDefault="001C32EC" w:rsidP="00441B6F">
      <w:pPr>
        <w:pStyle w:val="Body"/>
        <w:spacing w:after="0"/>
        <w:rPr>
          <w:rFonts w:ascii="Arial" w:hAnsi="Arial" w:cs="Arial"/>
          <w:b/>
          <w:bCs/>
        </w:rPr>
      </w:pPr>
    </w:p>
    <w:p w14:paraId="6D8261A3" w14:textId="77777777" w:rsidR="001C32EC" w:rsidRPr="00FB3A86" w:rsidRDefault="001C32EC" w:rsidP="00441B6F">
      <w:pPr>
        <w:pStyle w:val="Body"/>
        <w:spacing w:after="0"/>
        <w:rPr>
          <w:rFonts w:ascii="Arial" w:hAnsi="Arial" w:cs="Arial"/>
        </w:rPr>
      </w:pPr>
    </w:p>
    <w:p w14:paraId="093D3C6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8E85D4B" w14:textId="77777777" w:rsidR="00AB64EB" w:rsidRPr="00AB64EB" w:rsidRDefault="00AB64EB" w:rsidP="00AB64EB">
      <w:pPr>
        <w:pStyle w:val="NormalWeb"/>
        <w:jc w:val="both"/>
        <w:rPr>
          <w:rFonts w:ascii="Arial" w:hAnsi="Arial" w:cs="Arial"/>
          <w:sz w:val="22"/>
          <w:szCs w:val="22"/>
        </w:rPr>
      </w:pPr>
      <w:r w:rsidRPr="00AB64EB">
        <w:rPr>
          <w:rFonts w:ascii="Arial" w:hAnsi="Arial" w:cs="Arial"/>
          <w:sz w:val="22"/>
          <w:szCs w:val="22"/>
        </w:rPr>
        <w:t xml:space="preserve">The results indicate that all four approaches are proficient at detecting bias in conditions of significant disagreement. Among the approaches, the Bias Index is the most effective tool for evaluating rater bias. It consistently offered a definitive assessment of both the direction and size of bias, maintained stability across </w:t>
      </w:r>
      <w:r w:rsidRPr="00AB64EB">
        <w:rPr>
          <w:rFonts w:ascii="Arial" w:hAnsi="Arial" w:cs="Arial"/>
          <w:sz w:val="22"/>
          <w:szCs w:val="22"/>
        </w:rPr>
        <w:lastRenderedPageBreak/>
        <w:t>different levels of agreement, and supplemented the inferential tests with an unambiguous interpretation.</w:t>
      </w:r>
    </w:p>
    <w:p w14:paraId="154FDD2A" w14:textId="77777777" w:rsidR="00AB64EB" w:rsidRPr="00AB64EB" w:rsidRDefault="00AB64EB" w:rsidP="00AB64EB">
      <w:pPr>
        <w:pStyle w:val="NormalWeb"/>
        <w:jc w:val="both"/>
        <w:rPr>
          <w:rFonts w:ascii="Arial" w:hAnsi="Arial" w:cs="Arial"/>
          <w:sz w:val="22"/>
          <w:szCs w:val="22"/>
        </w:rPr>
      </w:pPr>
      <w:r w:rsidRPr="00AB64EB">
        <w:rPr>
          <w:rFonts w:ascii="Arial" w:hAnsi="Arial" w:cs="Arial"/>
          <w:sz w:val="22"/>
          <w:szCs w:val="22"/>
        </w:rPr>
        <w:t>In instances of moderate agreement, statistical significance diminished; nonetheless, the Bias Index and Marginal Homogeneity Test continued to provide valuable insights. With strong consensus, all assessments yielded non-significant outcomes, affirming the lack of rater bias.</w:t>
      </w:r>
    </w:p>
    <w:p w14:paraId="33E462B5" w14:textId="5EC56C36" w:rsidR="00AB64EB" w:rsidRPr="00AB64EB" w:rsidRDefault="00AB64EB" w:rsidP="00AB64EB">
      <w:pPr>
        <w:pStyle w:val="NormalWeb"/>
        <w:jc w:val="both"/>
        <w:rPr>
          <w:rFonts w:ascii="Arial" w:hAnsi="Arial" w:cs="Arial"/>
          <w:b/>
          <w:bCs/>
          <w:sz w:val="22"/>
          <w:szCs w:val="22"/>
        </w:rPr>
      </w:pPr>
      <w:r w:rsidRPr="00AB64EB">
        <w:rPr>
          <w:rFonts w:ascii="Arial" w:hAnsi="Arial" w:cs="Arial"/>
          <w:sz w:val="22"/>
          <w:szCs w:val="22"/>
        </w:rPr>
        <w:t xml:space="preserve">Researchers are advised to employ a combination of these methodologies to attain a thorough investigation of rater dependability. The Bias Index offers a clear and interpretable overview of directional tendencies and should be incorporated with formal statistical tests in research evaluating ordinal rating consistency. </w:t>
      </w:r>
    </w:p>
    <w:p w14:paraId="5BAB9A69" w14:textId="77777777" w:rsidR="00AB64EB" w:rsidRPr="00AB64EB" w:rsidRDefault="00AB64EB" w:rsidP="00AB64EB">
      <w:pPr>
        <w:pStyle w:val="NormalWeb"/>
        <w:jc w:val="both"/>
        <w:rPr>
          <w:rFonts w:ascii="Arial" w:hAnsi="Arial" w:cs="Arial"/>
          <w:sz w:val="22"/>
          <w:szCs w:val="22"/>
        </w:rPr>
      </w:pPr>
      <w:r w:rsidRPr="00AB64EB">
        <w:rPr>
          <w:rFonts w:ascii="Arial" w:hAnsi="Arial" w:cs="Arial"/>
          <w:sz w:val="22"/>
          <w:szCs w:val="22"/>
        </w:rPr>
        <w:t xml:space="preserve">Subsequent investigations may implement these methodologies on real-world datasets or broaden the comparison to additional rater agreement metrics, such as weighted kappa or </w:t>
      </w:r>
      <w:proofErr w:type="spellStart"/>
      <w:r w:rsidRPr="00AB64EB">
        <w:rPr>
          <w:rFonts w:ascii="Arial" w:hAnsi="Arial" w:cs="Arial"/>
          <w:sz w:val="22"/>
          <w:szCs w:val="22"/>
        </w:rPr>
        <w:t>Gwet's</w:t>
      </w:r>
      <w:proofErr w:type="spellEnd"/>
      <w:r w:rsidRPr="00AB64EB">
        <w:rPr>
          <w:rFonts w:ascii="Arial" w:hAnsi="Arial" w:cs="Arial"/>
          <w:sz w:val="22"/>
          <w:szCs w:val="22"/>
        </w:rPr>
        <w:t xml:space="preserve"> AC1, to further substantiate resilience in actual contexts.</w:t>
      </w:r>
    </w:p>
    <w:p w14:paraId="48167485" w14:textId="77777777" w:rsidR="0051579F" w:rsidRDefault="0051579F" w:rsidP="0029476C">
      <w:pPr>
        <w:jc w:val="both"/>
        <w:rPr>
          <w:rFonts w:ascii="Arial" w:hAnsi="Arial" w:cs="Arial"/>
          <w:sz w:val="22"/>
          <w:szCs w:val="22"/>
          <w:lang w:val="en-PH" w:eastAsia="en-PH"/>
        </w:rPr>
      </w:pPr>
    </w:p>
    <w:p w14:paraId="28502CA2" w14:textId="77777777" w:rsidR="0051579F" w:rsidRPr="0051579F" w:rsidRDefault="0051579F" w:rsidP="0051579F">
      <w:pPr>
        <w:spacing w:after="200" w:line="276" w:lineRule="auto"/>
        <w:jc w:val="both"/>
        <w:outlineLvl w:val="0"/>
        <w:rPr>
          <w:rFonts w:ascii="Arial" w:eastAsiaTheme="minorEastAsia" w:hAnsi="Arial" w:cs="Arial"/>
          <w:sz w:val="22"/>
          <w:szCs w:val="22"/>
          <w:lang w:val="en-GB" w:eastAsia="en-GB"/>
        </w:rPr>
      </w:pPr>
      <w:r w:rsidRPr="0051579F">
        <w:rPr>
          <w:rFonts w:ascii="Arial" w:eastAsiaTheme="minorEastAsia" w:hAnsi="Arial" w:cs="Arial"/>
          <w:b/>
          <w:bCs/>
          <w:sz w:val="22"/>
          <w:szCs w:val="22"/>
          <w:lang w:val="en-GB" w:eastAsia="en-GB"/>
        </w:rPr>
        <w:t>COMPETING INTERESTS DISCLAIMER:</w:t>
      </w:r>
    </w:p>
    <w:p w14:paraId="26CD174C" w14:textId="77777777" w:rsidR="0051579F" w:rsidRPr="0051579F" w:rsidRDefault="0051579F" w:rsidP="0051579F">
      <w:pPr>
        <w:spacing w:after="200" w:line="276" w:lineRule="auto"/>
        <w:rPr>
          <w:rFonts w:asciiTheme="minorHAnsi" w:eastAsiaTheme="minorEastAsia" w:hAnsiTheme="minorHAnsi" w:cstheme="minorBidi"/>
          <w:sz w:val="22"/>
          <w:szCs w:val="22"/>
          <w:lang w:val="en-GB" w:eastAsia="en-GB"/>
        </w:rPr>
      </w:pPr>
      <w:r w:rsidRPr="0051579F">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23E639EB" w14:textId="77777777" w:rsidR="0051579F" w:rsidRPr="0029476C" w:rsidRDefault="0051579F" w:rsidP="0029476C">
      <w:pPr>
        <w:jc w:val="both"/>
        <w:rPr>
          <w:rFonts w:ascii="Arial" w:hAnsi="Arial" w:cs="Arial"/>
          <w:sz w:val="22"/>
          <w:szCs w:val="22"/>
          <w:lang w:val="en-PH" w:eastAsia="en-PH"/>
        </w:rPr>
      </w:pPr>
    </w:p>
    <w:p w14:paraId="12D007B9" w14:textId="77777777" w:rsidR="00217972" w:rsidRPr="00394842" w:rsidRDefault="00217972" w:rsidP="00217972">
      <w:pPr>
        <w:rPr>
          <w:highlight w:val="yellow"/>
        </w:rPr>
      </w:pPr>
      <w:r w:rsidRPr="00394842">
        <w:rPr>
          <w:highlight w:val="yellow"/>
        </w:rPr>
        <w:t>Disclaimer (Artificial intelligence)</w:t>
      </w:r>
    </w:p>
    <w:p w14:paraId="51C4F0CA" w14:textId="77777777" w:rsidR="00217972" w:rsidRPr="00394842" w:rsidRDefault="00217972" w:rsidP="00217972">
      <w:pPr>
        <w:rPr>
          <w:highlight w:val="yellow"/>
        </w:rPr>
      </w:pPr>
    </w:p>
    <w:p w14:paraId="0B565226" w14:textId="77777777" w:rsidR="00217972" w:rsidRPr="00394842" w:rsidRDefault="00217972" w:rsidP="00217972">
      <w:pPr>
        <w:rPr>
          <w:highlight w:val="yellow"/>
        </w:rPr>
      </w:pPr>
      <w:r w:rsidRPr="00394842">
        <w:rPr>
          <w:highlight w:val="yellow"/>
        </w:rPr>
        <w:t xml:space="preserve">Option 1: </w:t>
      </w:r>
    </w:p>
    <w:p w14:paraId="099A2A57" w14:textId="77777777" w:rsidR="00217972" w:rsidRPr="00394842" w:rsidRDefault="00217972" w:rsidP="00217972">
      <w:pPr>
        <w:rPr>
          <w:highlight w:val="yellow"/>
        </w:rPr>
      </w:pPr>
    </w:p>
    <w:p w14:paraId="7A56F75C" w14:textId="77777777" w:rsidR="00217972" w:rsidRPr="00394842" w:rsidRDefault="00217972" w:rsidP="00217972">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755C879E" w14:textId="77777777" w:rsidR="00217972" w:rsidRPr="00394842" w:rsidRDefault="00217972" w:rsidP="00217972">
      <w:pPr>
        <w:rPr>
          <w:highlight w:val="yellow"/>
        </w:rPr>
      </w:pPr>
    </w:p>
    <w:p w14:paraId="79CBBAB2" w14:textId="77777777" w:rsidR="00217972" w:rsidRPr="00394842" w:rsidRDefault="00217972" w:rsidP="00217972">
      <w:pPr>
        <w:rPr>
          <w:highlight w:val="yellow"/>
        </w:rPr>
      </w:pPr>
      <w:r w:rsidRPr="00394842">
        <w:rPr>
          <w:highlight w:val="yellow"/>
        </w:rPr>
        <w:t xml:space="preserve">Option 2: </w:t>
      </w:r>
    </w:p>
    <w:p w14:paraId="17C63A13" w14:textId="77777777" w:rsidR="00217972" w:rsidRPr="00394842" w:rsidRDefault="00217972" w:rsidP="00217972">
      <w:pPr>
        <w:rPr>
          <w:highlight w:val="yellow"/>
        </w:rPr>
      </w:pPr>
    </w:p>
    <w:p w14:paraId="2AAEA4AC" w14:textId="77777777" w:rsidR="00217972" w:rsidRPr="00394842" w:rsidRDefault="00217972" w:rsidP="00217972">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8F0360D" w14:textId="77777777" w:rsidR="00217972" w:rsidRPr="00394842" w:rsidRDefault="00217972" w:rsidP="00217972">
      <w:pPr>
        <w:rPr>
          <w:highlight w:val="yellow"/>
        </w:rPr>
      </w:pPr>
    </w:p>
    <w:p w14:paraId="025642DB" w14:textId="77777777" w:rsidR="00217972" w:rsidRPr="00394842" w:rsidRDefault="00217972" w:rsidP="00217972">
      <w:pPr>
        <w:rPr>
          <w:highlight w:val="yellow"/>
        </w:rPr>
      </w:pPr>
      <w:r w:rsidRPr="00394842">
        <w:rPr>
          <w:highlight w:val="yellow"/>
        </w:rPr>
        <w:t>Details of the AI usage are given below:</w:t>
      </w:r>
    </w:p>
    <w:p w14:paraId="424F6C87" w14:textId="77777777" w:rsidR="00217972" w:rsidRPr="00394842" w:rsidRDefault="00217972" w:rsidP="00217972">
      <w:pPr>
        <w:rPr>
          <w:highlight w:val="yellow"/>
        </w:rPr>
      </w:pPr>
      <w:r w:rsidRPr="00394842">
        <w:rPr>
          <w:highlight w:val="yellow"/>
        </w:rPr>
        <w:t>1.</w:t>
      </w:r>
    </w:p>
    <w:p w14:paraId="7C034DE2" w14:textId="77777777" w:rsidR="00217972" w:rsidRPr="00394842" w:rsidRDefault="00217972" w:rsidP="00217972">
      <w:pPr>
        <w:rPr>
          <w:highlight w:val="yellow"/>
        </w:rPr>
      </w:pPr>
      <w:r w:rsidRPr="00394842">
        <w:rPr>
          <w:highlight w:val="yellow"/>
        </w:rPr>
        <w:t>2.</w:t>
      </w:r>
    </w:p>
    <w:p w14:paraId="25CFDBF4" w14:textId="77777777" w:rsidR="00217972" w:rsidRPr="00165217" w:rsidRDefault="00217972" w:rsidP="00217972">
      <w:r w:rsidRPr="00394842">
        <w:rPr>
          <w:highlight w:val="yellow"/>
        </w:rPr>
        <w:t>3.</w:t>
      </w:r>
    </w:p>
    <w:p w14:paraId="4980CA5C" w14:textId="77777777" w:rsidR="00315186" w:rsidRPr="00315186" w:rsidRDefault="00315186" w:rsidP="00441B6F"/>
    <w:p w14:paraId="132AAEB5" w14:textId="77777777" w:rsidR="00860000" w:rsidRDefault="00860000" w:rsidP="00441B6F">
      <w:pPr>
        <w:pStyle w:val="ReferHead"/>
        <w:spacing w:after="0"/>
        <w:jc w:val="both"/>
        <w:rPr>
          <w:rFonts w:ascii="Arial" w:hAnsi="Arial" w:cs="Arial"/>
        </w:rPr>
      </w:pPr>
    </w:p>
    <w:p w14:paraId="677D18F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53392F2" w14:textId="77777777" w:rsidR="00790ADA" w:rsidRPr="00FB3A86" w:rsidRDefault="00790ADA" w:rsidP="00441B6F">
      <w:pPr>
        <w:pStyle w:val="ReferHead"/>
        <w:spacing w:after="0"/>
        <w:jc w:val="both"/>
        <w:rPr>
          <w:rFonts w:ascii="Arial" w:hAnsi="Arial" w:cs="Arial"/>
        </w:rPr>
      </w:pPr>
    </w:p>
    <w:p w14:paraId="235CF102"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Agresti, A. (2010). Analysis of ordinal categorical data (2nd ed.). Wiley.</w:t>
      </w:r>
    </w:p>
    <w:p w14:paraId="3F96967E" w14:textId="77777777" w:rsidR="00AC4C26" w:rsidRPr="00BE32E7" w:rsidRDefault="00AC4C26" w:rsidP="00AC4C26">
      <w:pPr>
        <w:tabs>
          <w:tab w:val="left" w:pos="720"/>
        </w:tabs>
        <w:spacing w:line="276" w:lineRule="auto"/>
        <w:ind w:left="720" w:hanging="720"/>
        <w:jc w:val="both"/>
        <w:rPr>
          <w:rFonts w:cs="Helvetica"/>
          <w:color w:val="000000"/>
        </w:rPr>
      </w:pPr>
    </w:p>
    <w:p w14:paraId="0F184588"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Altman, D. G., &amp; Bland, J. M. (1983). Measurement in medicine: The analysis of method comparison studies. The Statistician, 32(3), 307–317.</w:t>
      </w:r>
    </w:p>
    <w:p w14:paraId="31301925" w14:textId="77777777" w:rsidR="00AC4C26" w:rsidRPr="00BE32E7" w:rsidRDefault="00AC4C26" w:rsidP="00AC4C26">
      <w:pPr>
        <w:tabs>
          <w:tab w:val="left" w:pos="720"/>
        </w:tabs>
        <w:spacing w:line="276" w:lineRule="auto"/>
        <w:ind w:left="720" w:hanging="720"/>
        <w:jc w:val="both"/>
        <w:rPr>
          <w:rFonts w:cs="Helvetica"/>
          <w:color w:val="000000"/>
        </w:rPr>
      </w:pPr>
    </w:p>
    <w:p w14:paraId="1D4176C3" w14:textId="77777777" w:rsidR="00AC4C26" w:rsidRPr="00BE32E7" w:rsidRDefault="00AC4C26" w:rsidP="00AC4C26">
      <w:pPr>
        <w:tabs>
          <w:tab w:val="left" w:pos="720"/>
        </w:tabs>
        <w:spacing w:line="276" w:lineRule="auto"/>
        <w:ind w:left="720" w:hanging="720"/>
        <w:jc w:val="both"/>
        <w:rPr>
          <w:rFonts w:cs="Helvetica"/>
          <w:color w:val="000000"/>
        </w:rPr>
      </w:pPr>
      <w:proofErr w:type="spellStart"/>
      <w:r w:rsidRPr="00BE32E7">
        <w:rPr>
          <w:rFonts w:cs="Helvetica"/>
          <w:color w:val="000000"/>
        </w:rPr>
        <w:t>Bessadok</w:t>
      </w:r>
      <w:proofErr w:type="spellEnd"/>
      <w:r w:rsidRPr="00BE32E7">
        <w:rPr>
          <w:rFonts w:cs="Helvetica"/>
          <w:color w:val="000000"/>
        </w:rPr>
        <w:t>, A., Fekih, S., &amp; Ouali, H. (2023). Statistical evaluation of rater agreement using enhanced categorical tools in health applications. Computational Statistics &amp; Data Analysis, 178, 107653.</w:t>
      </w:r>
    </w:p>
    <w:p w14:paraId="7375D3E7" w14:textId="77777777" w:rsidR="00AC4C26" w:rsidRPr="00BE32E7" w:rsidRDefault="00AC4C26" w:rsidP="00AC4C26">
      <w:pPr>
        <w:tabs>
          <w:tab w:val="left" w:pos="720"/>
        </w:tabs>
        <w:spacing w:line="276" w:lineRule="auto"/>
        <w:ind w:left="720" w:hanging="720"/>
        <w:jc w:val="both"/>
        <w:rPr>
          <w:rFonts w:cs="Helvetica"/>
          <w:color w:val="000000"/>
        </w:rPr>
      </w:pPr>
    </w:p>
    <w:p w14:paraId="0A4F468C" w14:textId="77777777" w:rsidR="00AC4C26" w:rsidRDefault="00AC4C26" w:rsidP="00AC4C26">
      <w:pPr>
        <w:tabs>
          <w:tab w:val="left" w:pos="720"/>
        </w:tabs>
        <w:spacing w:line="276" w:lineRule="auto"/>
        <w:ind w:left="720" w:hanging="720"/>
        <w:jc w:val="both"/>
        <w:rPr>
          <w:rFonts w:cs="Helvetica"/>
          <w:color w:val="000000"/>
        </w:rPr>
      </w:pPr>
      <w:r w:rsidRPr="00BE32E7">
        <w:rPr>
          <w:rFonts w:cs="Helvetica"/>
          <w:color w:val="000000"/>
        </w:rPr>
        <w:t xml:space="preserve">Ben-Shachar, M. S., Makowski, D., &amp; </w:t>
      </w:r>
      <w:proofErr w:type="spellStart"/>
      <w:r w:rsidRPr="00BE32E7">
        <w:rPr>
          <w:rFonts w:cs="Helvetica"/>
          <w:color w:val="000000"/>
        </w:rPr>
        <w:t>Lüdecke</w:t>
      </w:r>
      <w:proofErr w:type="spellEnd"/>
      <w:r w:rsidRPr="00BE32E7">
        <w:rPr>
          <w:rFonts w:cs="Helvetica"/>
          <w:color w:val="000000"/>
        </w:rPr>
        <w:t xml:space="preserve">, D. (2020). </w:t>
      </w:r>
      <w:proofErr w:type="spellStart"/>
      <w:r w:rsidRPr="00BE32E7">
        <w:rPr>
          <w:rFonts w:cs="Helvetica"/>
          <w:color w:val="000000"/>
        </w:rPr>
        <w:t>Effectsize</w:t>
      </w:r>
      <w:proofErr w:type="spellEnd"/>
      <w:r w:rsidRPr="00BE32E7">
        <w:rPr>
          <w:rFonts w:cs="Helvetica"/>
          <w:color w:val="000000"/>
        </w:rPr>
        <w:t xml:space="preserve">: Estimation of effect size indices and standardized parameters. Journal of </w:t>
      </w:r>
      <w:proofErr w:type="gramStart"/>
      <w:r w:rsidRPr="00BE32E7">
        <w:rPr>
          <w:rFonts w:cs="Helvetica"/>
          <w:color w:val="000000"/>
        </w:rPr>
        <w:t>Open Source</w:t>
      </w:r>
      <w:proofErr w:type="gramEnd"/>
      <w:r w:rsidRPr="00BE32E7">
        <w:rPr>
          <w:rFonts w:cs="Helvetica"/>
          <w:color w:val="000000"/>
        </w:rPr>
        <w:t xml:space="preserve"> Software, 5(56), 2815.</w:t>
      </w:r>
    </w:p>
    <w:p w14:paraId="145F8ABB" w14:textId="0D4896A5" w:rsidR="00D257CB" w:rsidRPr="00BE32E7" w:rsidRDefault="00D257CB" w:rsidP="00AC4C26">
      <w:pPr>
        <w:tabs>
          <w:tab w:val="left" w:pos="720"/>
        </w:tabs>
        <w:spacing w:line="276" w:lineRule="auto"/>
        <w:ind w:left="720" w:hanging="720"/>
        <w:jc w:val="both"/>
        <w:rPr>
          <w:rFonts w:cs="Helvetica"/>
          <w:color w:val="000000"/>
        </w:rPr>
      </w:pPr>
      <w:proofErr w:type="spellStart"/>
      <w:r w:rsidRPr="00D257CB">
        <w:rPr>
          <w:rFonts w:cs="Helvetica"/>
          <w:color w:val="000000"/>
          <w:highlight w:val="yellow"/>
        </w:rPr>
        <w:t>Gwet</w:t>
      </w:r>
      <w:proofErr w:type="spellEnd"/>
      <w:r w:rsidRPr="00D257CB">
        <w:rPr>
          <w:rFonts w:cs="Helvetica"/>
          <w:color w:val="000000"/>
          <w:highlight w:val="yellow"/>
        </w:rPr>
        <w:t xml:space="preserve">, K. L. (2014). </w:t>
      </w:r>
      <w:r w:rsidRPr="00D257CB">
        <w:rPr>
          <w:rFonts w:cs="Helvetica"/>
          <w:i/>
          <w:iCs/>
          <w:color w:val="000000"/>
          <w:highlight w:val="yellow"/>
        </w:rPr>
        <w:t>Handbook of inter-rater reliability: The definitive guide to measuring the extent of agreement among raters</w:t>
      </w:r>
      <w:r w:rsidRPr="00D257CB">
        <w:rPr>
          <w:rFonts w:cs="Helvetica"/>
          <w:color w:val="000000"/>
          <w:highlight w:val="yellow"/>
        </w:rPr>
        <w:t xml:space="preserve"> (4th ed.). Advanced Analytics, LLC.</w:t>
      </w:r>
    </w:p>
    <w:p w14:paraId="1E5225A1" w14:textId="77777777" w:rsidR="00AC4C26" w:rsidRPr="00BE32E7" w:rsidRDefault="00AC4C26" w:rsidP="00AC4C26">
      <w:pPr>
        <w:tabs>
          <w:tab w:val="left" w:pos="720"/>
        </w:tabs>
        <w:spacing w:line="276" w:lineRule="auto"/>
        <w:ind w:left="720" w:hanging="720"/>
        <w:jc w:val="both"/>
        <w:rPr>
          <w:rFonts w:cs="Helvetica"/>
          <w:color w:val="000000"/>
        </w:rPr>
      </w:pPr>
    </w:p>
    <w:p w14:paraId="507A50E0"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Kim, H. J., Park, J. H., &amp; Kim, S. M. (2023). Evaluation of human-labeling bias in healthcare data using ordinal statistics. Journal of Biomedical Informatics, 138, 104318.</w:t>
      </w:r>
    </w:p>
    <w:p w14:paraId="7F7D94D6" w14:textId="77777777" w:rsidR="00AC4C26" w:rsidRPr="00BE32E7" w:rsidRDefault="00AC4C26" w:rsidP="00AC4C26">
      <w:pPr>
        <w:tabs>
          <w:tab w:val="left" w:pos="720"/>
        </w:tabs>
        <w:spacing w:line="276" w:lineRule="auto"/>
        <w:ind w:left="720" w:hanging="720"/>
        <w:jc w:val="both"/>
        <w:rPr>
          <w:rFonts w:cs="Helvetica"/>
          <w:color w:val="000000"/>
        </w:rPr>
      </w:pPr>
    </w:p>
    <w:p w14:paraId="0FC3D26D" w14:textId="77777777" w:rsidR="00AC4C26" w:rsidRPr="00BE32E7" w:rsidRDefault="00AC4C26" w:rsidP="00AC4C26">
      <w:pPr>
        <w:tabs>
          <w:tab w:val="left" w:pos="720"/>
        </w:tabs>
        <w:spacing w:line="276" w:lineRule="auto"/>
        <w:ind w:left="720" w:hanging="720"/>
        <w:jc w:val="both"/>
        <w:rPr>
          <w:rFonts w:cs="Helvetica"/>
          <w:color w:val="000000"/>
        </w:rPr>
      </w:pPr>
      <w:proofErr w:type="spellStart"/>
      <w:r w:rsidRPr="00BE32E7">
        <w:rPr>
          <w:rFonts w:cs="Helvetica"/>
          <w:color w:val="000000"/>
        </w:rPr>
        <w:t>Lachenbruch</w:t>
      </w:r>
      <w:proofErr w:type="spellEnd"/>
      <w:r w:rsidRPr="00BE32E7">
        <w:rPr>
          <w:rFonts w:cs="Helvetica"/>
          <w:color w:val="000000"/>
        </w:rPr>
        <w:t>, P. A. (2002). Analysis of data with matched samples. Statistics in Medicine, 21(20), 2975–2991.</w:t>
      </w:r>
    </w:p>
    <w:p w14:paraId="666C5CAA" w14:textId="77777777" w:rsidR="00AC4C26" w:rsidRPr="00BE32E7" w:rsidRDefault="00AC4C26" w:rsidP="00AC4C26">
      <w:pPr>
        <w:tabs>
          <w:tab w:val="left" w:pos="720"/>
        </w:tabs>
        <w:spacing w:line="276" w:lineRule="auto"/>
        <w:ind w:left="720" w:hanging="720"/>
        <w:jc w:val="both"/>
        <w:rPr>
          <w:rFonts w:cs="Helvetica"/>
          <w:color w:val="000000"/>
        </w:rPr>
      </w:pPr>
    </w:p>
    <w:p w14:paraId="662BC105"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Landis, J. R., &amp; Koch, G. G. (2020). The measurement of observer agreement for categorical data. Biometrics, 76(2), 309–317.</w:t>
      </w:r>
    </w:p>
    <w:p w14:paraId="3798BFCC" w14:textId="77777777" w:rsidR="00AC4C26" w:rsidRPr="00BE32E7" w:rsidRDefault="00AC4C26" w:rsidP="00AC4C26">
      <w:pPr>
        <w:tabs>
          <w:tab w:val="left" w:pos="720"/>
        </w:tabs>
        <w:spacing w:line="276" w:lineRule="auto"/>
        <w:ind w:left="720" w:hanging="720"/>
        <w:jc w:val="both"/>
        <w:rPr>
          <w:rFonts w:cs="Helvetica"/>
          <w:color w:val="000000"/>
        </w:rPr>
      </w:pPr>
    </w:p>
    <w:p w14:paraId="7A02CCEC" w14:textId="77777777" w:rsidR="00AC4C26" w:rsidRDefault="00AC4C26" w:rsidP="00AC4C26">
      <w:pPr>
        <w:tabs>
          <w:tab w:val="left" w:pos="720"/>
        </w:tabs>
        <w:spacing w:line="276" w:lineRule="auto"/>
        <w:ind w:left="720" w:hanging="720"/>
        <w:jc w:val="both"/>
        <w:rPr>
          <w:rFonts w:cs="Helvetica"/>
          <w:color w:val="000000"/>
        </w:rPr>
      </w:pPr>
      <w:r w:rsidRPr="00BE32E7">
        <w:rPr>
          <w:rFonts w:cs="Helvetica"/>
          <w:color w:val="000000"/>
        </w:rPr>
        <w:t>Liu, Y., &amp; Yin, G. (2022). Advanced methods for analyzing marginal homogeneity in ordinal contingency tables. Statistical Methods in Medical Research, 31(5), 837–850.</w:t>
      </w:r>
    </w:p>
    <w:p w14:paraId="014A989B" w14:textId="77777777" w:rsidR="006262DB" w:rsidRDefault="006262DB" w:rsidP="00AC4C26">
      <w:pPr>
        <w:tabs>
          <w:tab w:val="left" w:pos="720"/>
        </w:tabs>
        <w:spacing w:line="276" w:lineRule="auto"/>
        <w:ind w:left="720" w:hanging="720"/>
        <w:jc w:val="both"/>
        <w:rPr>
          <w:rFonts w:cs="Helvetica"/>
          <w:color w:val="000000"/>
        </w:rPr>
      </w:pPr>
    </w:p>
    <w:p w14:paraId="4B743314" w14:textId="131C8697" w:rsidR="006262DB" w:rsidRPr="00BE32E7" w:rsidRDefault="006262DB" w:rsidP="00AC4C26">
      <w:pPr>
        <w:tabs>
          <w:tab w:val="left" w:pos="720"/>
        </w:tabs>
        <w:spacing w:line="276" w:lineRule="auto"/>
        <w:ind w:left="720" w:hanging="720"/>
        <w:jc w:val="both"/>
        <w:rPr>
          <w:rFonts w:cs="Helvetica"/>
          <w:color w:val="000000"/>
        </w:rPr>
      </w:pPr>
      <w:r w:rsidRPr="006262DB">
        <w:rPr>
          <w:rFonts w:cs="Helvetica"/>
          <w:color w:val="000000"/>
          <w:highlight w:val="yellow"/>
        </w:rPr>
        <w:t xml:space="preserve">Liu, I., &amp; Agresti, A. (2005). </w:t>
      </w:r>
      <w:r w:rsidRPr="006262DB">
        <w:rPr>
          <w:rFonts w:cs="Helvetica"/>
          <w:i/>
          <w:iCs/>
          <w:color w:val="000000"/>
          <w:highlight w:val="yellow"/>
        </w:rPr>
        <w:t>The analysis of ordered categorical data: An overview and a survey of recent developments.</w:t>
      </w:r>
      <w:r w:rsidRPr="006262DB">
        <w:rPr>
          <w:rFonts w:cs="Helvetica"/>
          <w:color w:val="000000"/>
          <w:highlight w:val="yellow"/>
        </w:rPr>
        <w:t xml:space="preserve"> TEST, 14(1), 1–73. https://doi.org/10.1007/BF02595398</w:t>
      </w:r>
    </w:p>
    <w:p w14:paraId="587C7571" w14:textId="77777777" w:rsidR="00AC4C26" w:rsidRPr="00BE32E7" w:rsidRDefault="00AC4C26" w:rsidP="00AC4C26">
      <w:pPr>
        <w:tabs>
          <w:tab w:val="left" w:pos="720"/>
        </w:tabs>
        <w:spacing w:line="276" w:lineRule="auto"/>
        <w:ind w:left="720" w:hanging="720"/>
        <w:jc w:val="both"/>
        <w:rPr>
          <w:rFonts w:cs="Helvetica"/>
          <w:color w:val="000000"/>
        </w:rPr>
      </w:pPr>
    </w:p>
    <w:p w14:paraId="39B245B2" w14:textId="77777777" w:rsidR="00AC4C26" w:rsidRPr="00BE32E7" w:rsidRDefault="00AC4C26" w:rsidP="00AC4C26">
      <w:pPr>
        <w:tabs>
          <w:tab w:val="left" w:pos="720"/>
        </w:tabs>
        <w:spacing w:line="276" w:lineRule="auto"/>
        <w:ind w:left="720" w:hanging="720"/>
        <w:jc w:val="both"/>
        <w:rPr>
          <w:rFonts w:cs="Helvetica"/>
          <w:color w:val="000000"/>
        </w:rPr>
      </w:pPr>
      <w:proofErr w:type="spellStart"/>
      <w:r w:rsidRPr="00BE32E7">
        <w:rPr>
          <w:rFonts w:cs="Helvetica"/>
          <w:color w:val="000000"/>
        </w:rPr>
        <w:t>Ludbrook</w:t>
      </w:r>
      <w:proofErr w:type="spellEnd"/>
      <w:r w:rsidRPr="00BE32E7">
        <w:rPr>
          <w:rFonts w:cs="Helvetica"/>
          <w:color w:val="000000"/>
        </w:rPr>
        <w:t>, J. (2002). Statistical techniques for comparing measurers and methods of measurement: A critical review. Clinical and Experimental Pharmacology and Physiology, 29(7), 527–536.</w:t>
      </w:r>
    </w:p>
    <w:p w14:paraId="072888BF" w14:textId="77777777" w:rsidR="00AC4C26" w:rsidRPr="00BE32E7" w:rsidRDefault="00AC4C26" w:rsidP="00AC4C26">
      <w:pPr>
        <w:tabs>
          <w:tab w:val="left" w:pos="720"/>
        </w:tabs>
        <w:spacing w:line="276" w:lineRule="auto"/>
        <w:ind w:left="720" w:hanging="720"/>
        <w:jc w:val="both"/>
        <w:rPr>
          <w:rFonts w:cs="Helvetica"/>
          <w:color w:val="000000"/>
        </w:rPr>
      </w:pPr>
    </w:p>
    <w:p w14:paraId="3912BB03"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Makarov, I., Sokolova, M., &amp; Voronina, E. (2023). Measuring rater bias in behavioral research using bias indices. Behavior Research Methods, 55, 1250–1264.</w:t>
      </w:r>
    </w:p>
    <w:p w14:paraId="1E9D41B3" w14:textId="77777777" w:rsidR="00AC4C26" w:rsidRPr="00BE32E7" w:rsidRDefault="00AC4C26" w:rsidP="00AC4C26">
      <w:pPr>
        <w:tabs>
          <w:tab w:val="left" w:pos="720"/>
        </w:tabs>
        <w:spacing w:line="276" w:lineRule="auto"/>
        <w:ind w:left="720" w:hanging="720"/>
        <w:jc w:val="both"/>
        <w:rPr>
          <w:rFonts w:cs="Helvetica"/>
          <w:color w:val="000000"/>
        </w:rPr>
      </w:pPr>
    </w:p>
    <w:p w14:paraId="11EE412E"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Pagano, M., &amp; Gauvreau, K. (2018). Principles of biostatistics (2nd ed.). CRC Press.</w:t>
      </w:r>
    </w:p>
    <w:p w14:paraId="7C472A52" w14:textId="77777777" w:rsidR="00AC4C26" w:rsidRPr="00BE32E7" w:rsidRDefault="00AC4C26" w:rsidP="00AC4C26">
      <w:pPr>
        <w:tabs>
          <w:tab w:val="left" w:pos="720"/>
        </w:tabs>
        <w:spacing w:line="276" w:lineRule="auto"/>
        <w:ind w:left="720" w:hanging="720"/>
        <w:jc w:val="both"/>
        <w:rPr>
          <w:rFonts w:cs="Helvetica"/>
          <w:color w:val="000000"/>
        </w:rPr>
      </w:pPr>
    </w:p>
    <w:p w14:paraId="512F76DC"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Park, Y., Kim, H., &amp; Lee, D. (2021). Limitations of Kappa in ordinal scales and alternatives for agreement analysis. International Journal of Statistics in Medical Research, 10(4), 143–151.</w:t>
      </w:r>
    </w:p>
    <w:p w14:paraId="24EFC57E" w14:textId="77777777" w:rsidR="00AC4C26" w:rsidRPr="00BE32E7" w:rsidRDefault="00AC4C26" w:rsidP="00AC4C26">
      <w:pPr>
        <w:tabs>
          <w:tab w:val="left" w:pos="720"/>
        </w:tabs>
        <w:spacing w:line="276" w:lineRule="auto"/>
        <w:ind w:left="720" w:hanging="720"/>
        <w:jc w:val="both"/>
        <w:rPr>
          <w:rFonts w:cs="Helvetica"/>
          <w:color w:val="000000"/>
        </w:rPr>
      </w:pPr>
    </w:p>
    <w:p w14:paraId="1D783802"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 xml:space="preserve">Stuart, A. (1955). A test for homogeneity of </w:t>
      </w:r>
      <w:proofErr w:type="gramStart"/>
      <w:r w:rsidRPr="00BE32E7">
        <w:rPr>
          <w:rFonts w:cs="Helvetica"/>
          <w:color w:val="000000"/>
        </w:rPr>
        <w:t>the marginal</w:t>
      </w:r>
      <w:proofErr w:type="gramEnd"/>
      <w:r w:rsidRPr="00BE32E7">
        <w:rPr>
          <w:rFonts w:cs="Helvetica"/>
          <w:color w:val="000000"/>
        </w:rPr>
        <w:t xml:space="preserve"> distributions in a two-way classification. </w:t>
      </w:r>
      <w:proofErr w:type="spellStart"/>
      <w:r w:rsidRPr="00BE32E7">
        <w:rPr>
          <w:rFonts w:cs="Helvetica"/>
          <w:color w:val="000000"/>
        </w:rPr>
        <w:t>Biometrika</w:t>
      </w:r>
      <w:proofErr w:type="spellEnd"/>
      <w:r w:rsidRPr="00BE32E7">
        <w:rPr>
          <w:rFonts w:cs="Helvetica"/>
          <w:color w:val="000000"/>
        </w:rPr>
        <w:t>, 42(3/4), 412–416.</w:t>
      </w:r>
    </w:p>
    <w:p w14:paraId="28097846" w14:textId="77777777" w:rsidR="00AC4C26" w:rsidRPr="00BE32E7" w:rsidRDefault="00AC4C26" w:rsidP="00AC4C26">
      <w:pPr>
        <w:tabs>
          <w:tab w:val="left" w:pos="720"/>
        </w:tabs>
        <w:spacing w:line="276" w:lineRule="auto"/>
        <w:ind w:left="720" w:hanging="720"/>
        <w:jc w:val="both"/>
        <w:rPr>
          <w:rFonts w:cs="Helvetica"/>
          <w:color w:val="000000"/>
        </w:rPr>
      </w:pPr>
    </w:p>
    <w:p w14:paraId="0E57DD37"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lastRenderedPageBreak/>
        <w:t>Vickers, A. J., Rees, R. W., &amp; Horowitz, S. (2018). Stuart-Maxwell test for marginal homogeneity in small samples. Statistical Methods in Medical Research, 27(2), 391–403.</w:t>
      </w:r>
    </w:p>
    <w:p w14:paraId="5BCE3AE8" w14:textId="77777777" w:rsidR="00AC4C26" w:rsidRPr="00BE32E7" w:rsidRDefault="00AC4C26" w:rsidP="00AC4C26">
      <w:pPr>
        <w:tabs>
          <w:tab w:val="left" w:pos="720"/>
        </w:tabs>
        <w:spacing w:line="276" w:lineRule="auto"/>
        <w:ind w:left="720" w:hanging="720"/>
        <w:jc w:val="both"/>
        <w:rPr>
          <w:rFonts w:cs="Helvetica"/>
          <w:color w:val="000000"/>
        </w:rPr>
      </w:pPr>
    </w:p>
    <w:p w14:paraId="11B6AB67" w14:textId="77777777" w:rsidR="00AC4C26" w:rsidRPr="00E96EBE" w:rsidRDefault="00AC4C26" w:rsidP="00AC4C26">
      <w:pPr>
        <w:tabs>
          <w:tab w:val="left" w:pos="720"/>
        </w:tabs>
        <w:spacing w:line="276" w:lineRule="auto"/>
        <w:ind w:left="720" w:hanging="720"/>
        <w:jc w:val="both"/>
        <w:rPr>
          <w:rFonts w:cs="Helvetica"/>
          <w:color w:val="000000"/>
        </w:rPr>
      </w:pPr>
      <w:r w:rsidRPr="00BE32E7">
        <w:rPr>
          <w:rFonts w:cs="Helvetica"/>
          <w:color w:val="000000"/>
        </w:rPr>
        <w:t>Zhou, Q., Lin, Z., &amp; Chen, Y. (2022). Visualization methods for detecting rater bias in ordinal data. Data Science Journal, 21(1), 18.</w:t>
      </w:r>
    </w:p>
    <w:p w14:paraId="1F0F4C56" w14:textId="77777777" w:rsidR="00E769F6" w:rsidRPr="002C57D2" w:rsidRDefault="00E769F6" w:rsidP="00441B6F">
      <w:pPr>
        <w:pStyle w:val="Body"/>
        <w:spacing w:after="0"/>
        <w:rPr>
          <w:rFonts w:ascii="Arial" w:hAnsi="Arial" w:cs="Arial"/>
        </w:rPr>
      </w:pPr>
    </w:p>
    <w:p w14:paraId="37882DCA" w14:textId="77777777" w:rsidR="00287E68" w:rsidRPr="003763C1" w:rsidRDefault="00287E68" w:rsidP="003763C1">
      <w:pPr>
        <w:pStyle w:val="Body"/>
        <w:spacing w:after="0"/>
        <w:rPr>
          <w:lang w:val="en-GB"/>
        </w:rPr>
      </w:pPr>
    </w:p>
    <w:p w14:paraId="5AD491A7" w14:textId="77777777" w:rsidR="00790ADA" w:rsidRPr="00FB3A86" w:rsidRDefault="00790ADA" w:rsidP="00441B6F">
      <w:pPr>
        <w:pStyle w:val="Body"/>
        <w:spacing w:after="0"/>
        <w:rPr>
          <w:rFonts w:ascii="Arial" w:hAnsi="Arial" w:cs="Arial"/>
        </w:rPr>
      </w:pPr>
    </w:p>
    <w:p w14:paraId="27E4A02A" w14:textId="216A3593" w:rsidR="004D4277" w:rsidRPr="00FB3A86" w:rsidRDefault="004D4277" w:rsidP="00441B6F">
      <w:pPr>
        <w:pStyle w:val="Appendix"/>
        <w:spacing w:after="0"/>
        <w:jc w:val="both"/>
        <w:rPr>
          <w:rFonts w:ascii="Arial" w:hAnsi="Arial" w:cs="Arial"/>
          <w:b w:val="0"/>
        </w:rPr>
        <w:sectPr w:rsidR="004D4277" w:rsidRPr="00FB3A86" w:rsidSect="00D95657">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8E145B3" w14:textId="77777777" w:rsidR="00B01FCD" w:rsidRPr="00FB3A86" w:rsidRDefault="00B01FCD" w:rsidP="00441B6F">
      <w:pPr>
        <w:pStyle w:val="Appendix"/>
        <w:spacing w:after="0"/>
        <w:jc w:val="both"/>
        <w:rPr>
          <w:rFonts w:ascii="Arial" w:hAnsi="Arial" w:cs="Arial"/>
          <w:b w:val="0"/>
        </w:rPr>
      </w:pPr>
    </w:p>
    <w:sectPr w:rsidR="00B01FCD" w:rsidRPr="00FB3A86" w:rsidSect="00D9565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4E4BF" w14:textId="77777777" w:rsidR="00645DD0" w:rsidRDefault="00645DD0" w:rsidP="00C37E61">
      <w:r>
        <w:separator/>
      </w:r>
    </w:p>
  </w:endnote>
  <w:endnote w:type="continuationSeparator" w:id="0">
    <w:p w14:paraId="0B98AA7E" w14:textId="77777777" w:rsidR="00645DD0" w:rsidRDefault="00645DD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638C0" w14:textId="77777777" w:rsidR="00D95657" w:rsidRDefault="00D95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8596" w14:textId="77777777" w:rsidR="00D95657" w:rsidRDefault="00D95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594B" w14:textId="707A3E3E" w:rsidR="00754C9A" w:rsidRPr="00D95657" w:rsidRDefault="00754C9A" w:rsidP="00D956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884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B93BA" w14:textId="77777777" w:rsidR="00645DD0" w:rsidRDefault="00645DD0" w:rsidP="00C37E61">
      <w:r>
        <w:separator/>
      </w:r>
    </w:p>
  </w:footnote>
  <w:footnote w:type="continuationSeparator" w:id="0">
    <w:p w14:paraId="1B50416C" w14:textId="77777777" w:rsidR="00645DD0" w:rsidRDefault="00645DD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267D5" w14:textId="0A596B39" w:rsidR="00D95657" w:rsidRDefault="00000000">
    <w:pPr>
      <w:pStyle w:val="Header"/>
    </w:pPr>
    <w:r>
      <w:rPr>
        <w:noProof/>
      </w:rPr>
      <w:pict w14:anchorId="7FE4D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74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E9B8F" w14:textId="621B84A8" w:rsidR="00D95657" w:rsidRDefault="00000000">
    <w:pPr>
      <w:pStyle w:val="Header"/>
    </w:pPr>
    <w:r>
      <w:rPr>
        <w:noProof/>
      </w:rPr>
      <w:pict w14:anchorId="3A657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74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54E2" w14:textId="0FDCEC1C" w:rsidR="00296529" w:rsidRPr="00296529" w:rsidRDefault="00000000" w:rsidP="00296529">
    <w:pPr>
      <w:ind w:left="2160"/>
      <w:jc w:val="center"/>
      <w:rPr>
        <w:rFonts w:ascii="Times New Roman" w:eastAsia="Calibri" w:hAnsi="Times New Roman"/>
        <w:i/>
        <w:sz w:val="18"/>
        <w:szCs w:val="22"/>
      </w:rPr>
    </w:pPr>
    <w:r>
      <w:rPr>
        <w:noProof/>
      </w:rPr>
      <w:pict w14:anchorId="0E55E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74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01E2E2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0DD760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056E3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A620A0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26698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2AC585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BF82C" w14:textId="44E34FA6" w:rsidR="00D95657" w:rsidRDefault="00000000">
    <w:pPr>
      <w:pStyle w:val="Header"/>
    </w:pPr>
    <w:r>
      <w:rPr>
        <w:noProof/>
      </w:rPr>
      <w:pict w14:anchorId="27821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742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44A07" w14:textId="1C3676DA" w:rsidR="00D95657" w:rsidRDefault="00000000">
    <w:pPr>
      <w:pStyle w:val="Header"/>
    </w:pPr>
    <w:r>
      <w:rPr>
        <w:noProof/>
      </w:rPr>
      <w:pict w14:anchorId="096C5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742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C94E" w14:textId="367FEE2F" w:rsidR="00D95657" w:rsidRDefault="00000000">
    <w:pPr>
      <w:pStyle w:val="Header"/>
    </w:pPr>
    <w:r>
      <w:rPr>
        <w:noProof/>
      </w:rPr>
      <w:pict w14:anchorId="4A799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742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A43707"/>
    <w:multiLevelType w:val="hybridMultilevel"/>
    <w:tmpl w:val="8BC203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4CC32CF"/>
    <w:multiLevelType w:val="hybridMultilevel"/>
    <w:tmpl w:val="EEA48B5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35C03FC1"/>
    <w:multiLevelType w:val="hybridMultilevel"/>
    <w:tmpl w:val="2D543352"/>
    <w:lvl w:ilvl="0" w:tplc="34090001">
      <w:start w:val="1"/>
      <w:numFmt w:val="bullet"/>
      <w:lvlText w:val=""/>
      <w:lvlJc w:val="left"/>
      <w:pPr>
        <w:ind w:left="780" w:hanging="360"/>
      </w:pPr>
      <w:rPr>
        <w:rFonts w:ascii="Symbol" w:hAnsi="Symbol" w:hint="default"/>
      </w:rPr>
    </w:lvl>
    <w:lvl w:ilvl="1" w:tplc="34090003" w:tentative="1">
      <w:start w:val="1"/>
      <w:numFmt w:val="bullet"/>
      <w:lvlText w:val="o"/>
      <w:lvlJc w:val="left"/>
      <w:pPr>
        <w:ind w:left="1500" w:hanging="360"/>
      </w:pPr>
      <w:rPr>
        <w:rFonts w:ascii="Courier New" w:hAnsi="Courier New" w:cs="Courier New" w:hint="default"/>
      </w:rPr>
    </w:lvl>
    <w:lvl w:ilvl="2" w:tplc="34090005" w:tentative="1">
      <w:start w:val="1"/>
      <w:numFmt w:val="bullet"/>
      <w:lvlText w:val=""/>
      <w:lvlJc w:val="left"/>
      <w:pPr>
        <w:ind w:left="2220" w:hanging="360"/>
      </w:pPr>
      <w:rPr>
        <w:rFonts w:ascii="Wingdings" w:hAnsi="Wingdings" w:hint="default"/>
      </w:rPr>
    </w:lvl>
    <w:lvl w:ilvl="3" w:tplc="34090001" w:tentative="1">
      <w:start w:val="1"/>
      <w:numFmt w:val="bullet"/>
      <w:lvlText w:val=""/>
      <w:lvlJc w:val="left"/>
      <w:pPr>
        <w:ind w:left="2940" w:hanging="360"/>
      </w:pPr>
      <w:rPr>
        <w:rFonts w:ascii="Symbol" w:hAnsi="Symbol" w:hint="default"/>
      </w:rPr>
    </w:lvl>
    <w:lvl w:ilvl="4" w:tplc="34090003" w:tentative="1">
      <w:start w:val="1"/>
      <w:numFmt w:val="bullet"/>
      <w:lvlText w:val="o"/>
      <w:lvlJc w:val="left"/>
      <w:pPr>
        <w:ind w:left="3660" w:hanging="360"/>
      </w:pPr>
      <w:rPr>
        <w:rFonts w:ascii="Courier New" w:hAnsi="Courier New" w:cs="Courier New" w:hint="default"/>
      </w:rPr>
    </w:lvl>
    <w:lvl w:ilvl="5" w:tplc="34090005" w:tentative="1">
      <w:start w:val="1"/>
      <w:numFmt w:val="bullet"/>
      <w:lvlText w:val=""/>
      <w:lvlJc w:val="left"/>
      <w:pPr>
        <w:ind w:left="4380" w:hanging="360"/>
      </w:pPr>
      <w:rPr>
        <w:rFonts w:ascii="Wingdings" w:hAnsi="Wingdings" w:hint="default"/>
      </w:rPr>
    </w:lvl>
    <w:lvl w:ilvl="6" w:tplc="34090001" w:tentative="1">
      <w:start w:val="1"/>
      <w:numFmt w:val="bullet"/>
      <w:lvlText w:val=""/>
      <w:lvlJc w:val="left"/>
      <w:pPr>
        <w:ind w:left="5100" w:hanging="360"/>
      </w:pPr>
      <w:rPr>
        <w:rFonts w:ascii="Symbol" w:hAnsi="Symbol" w:hint="default"/>
      </w:rPr>
    </w:lvl>
    <w:lvl w:ilvl="7" w:tplc="34090003" w:tentative="1">
      <w:start w:val="1"/>
      <w:numFmt w:val="bullet"/>
      <w:lvlText w:val="o"/>
      <w:lvlJc w:val="left"/>
      <w:pPr>
        <w:ind w:left="5820" w:hanging="360"/>
      </w:pPr>
      <w:rPr>
        <w:rFonts w:ascii="Courier New" w:hAnsi="Courier New" w:cs="Courier New" w:hint="default"/>
      </w:rPr>
    </w:lvl>
    <w:lvl w:ilvl="8" w:tplc="34090005" w:tentative="1">
      <w:start w:val="1"/>
      <w:numFmt w:val="bullet"/>
      <w:lvlText w:val=""/>
      <w:lvlJc w:val="left"/>
      <w:pPr>
        <w:ind w:left="654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65F20DD"/>
    <w:multiLevelType w:val="hybridMultilevel"/>
    <w:tmpl w:val="F720420E"/>
    <w:lvl w:ilvl="0" w:tplc="34090001">
      <w:start w:val="1"/>
      <w:numFmt w:val="bullet"/>
      <w:lvlText w:val=""/>
      <w:lvlJc w:val="left"/>
      <w:pPr>
        <w:ind w:left="780" w:hanging="360"/>
      </w:pPr>
      <w:rPr>
        <w:rFonts w:ascii="Symbol" w:hAnsi="Symbol" w:hint="default"/>
      </w:rPr>
    </w:lvl>
    <w:lvl w:ilvl="1" w:tplc="34090003" w:tentative="1">
      <w:start w:val="1"/>
      <w:numFmt w:val="bullet"/>
      <w:lvlText w:val="o"/>
      <w:lvlJc w:val="left"/>
      <w:pPr>
        <w:ind w:left="1500" w:hanging="360"/>
      </w:pPr>
      <w:rPr>
        <w:rFonts w:ascii="Courier New" w:hAnsi="Courier New" w:cs="Courier New" w:hint="default"/>
      </w:rPr>
    </w:lvl>
    <w:lvl w:ilvl="2" w:tplc="34090005" w:tentative="1">
      <w:start w:val="1"/>
      <w:numFmt w:val="bullet"/>
      <w:lvlText w:val=""/>
      <w:lvlJc w:val="left"/>
      <w:pPr>
        <w:ind w:left="2220" w:hanging="360"/>
      </w:pPr>
      <w:rPr>
        <w:rFonts w:ascii="Wingdings" w:hAnsi="Wingdings" w:hint="default"/>
      </w:rPr>
    </w:lvl>
    <w:lvl w:ilvl="3" w:tplc="34090001" w:tentative="1">
      <w:start w:val="1"/>
      <w:numFmt w:val="bullet"/>
      <w:lvlText w:val=""/>
      <w:lvlJc w:val="left"/>
      <w:pPr>
        <w:ind w:left="2940" w:hanging="360"/>
      </w:pPr>
      <w:rPr>
        <w:rFonts w:ascii="Symbol" w:hAnsi="Symbol" w:hint="default"/>
      </w:rPr>
    </w:lvl>
    <w:lvl w:ilvl="4" w:tplc="34090003" w:tentative="1">
      <w:start w:val="1"/>
      <w:numFmt w:val="bullet"/>
      <w:lvlText w:val="o"/>
      <w:lvlJc w:val="left"/>
      <w:pPr>
        <w:ind w:left="3660" w:hanging="360"/>
      </w:pPr>
      <w:rPr>
        <w:rFonts w:ascii="Courier New" w:hAnsi="Courier New" w:cs="Courier New" w:hint="default"/>
      </w:rPr>
    </w:lvl>
    <w:lvl w:ilvl="5" w:tplc="34090005" w:tentative="1">
      <w:start w:val="1"/>
      <w:numFmt w:val="bullet"/>
      <w:lvlText w:val=""/>
      <w:lvlJc w:val="left"/>
      <w:pPr>
        <w:ind w:left="4380" w:hanging="360"/>
      </w:pPr>
      <w:rPr>
        <w:rFonts w:ascii="Wingdings" w:hAnsi="Wingdings" w:hint="default"/>
      </w:rPr>
    </w:lvl>
    <w:lvl w:ilvl="6" w:tplc="34090001" w:tentative="1">
      <w:start w:val="1"/>
      <w:numFmt w:val="bullet"/>
      <w:lvlText w:val=""/>
      <w:lvlJc w:val="left"/>
      <w:pPr>
        <w:ind w:left="5100" w:hanging="360"/>
      </w:pPr>
      <w:rPr>
        <w:rFonts w:ascii="Symbol" w:hAnsi="Symbol" w:hint="default"/>
      </w:rPr>
    </w:lvl>
    <w:lvl w:ilvl="7" w:tplc="34090003" w:tentative="1">
      <w:start w:val="1"/>
      <w:numFmt w:val="bullet"/>
      <w:lvlText w:val="o"/>
      <w:lvlJc w:val="left"/>
      <w:pPr>
        <w:ind w:left="5820" w:hanging="360"/>
      </w:pPr>
      <w:rPr>
        <w:rFonts w:ascii="Courier New" w:hAnsi="Courier New" w:cs="Courier New" w:hint="default"/>
      </w:rPr>
    </w:lvl>
    <w:lvl w:ilvl="8" w:tplc="34090005" w:tentative="1">
      <w:start w:val="1"/>
      <w:numFmt w:val="bullet"/>
      <w:lvlText w:val=""/>
      <w:lvlJc w:val="left"/>
      <w:pPr>
        <w:ind w:left="6540" w:hanging="360"/>
      </w:pPr>
      <w:rPr>
        <w:rFonts w:ascii="Wingdings" w:hAnsi="Wingdings" w:hint="default"/>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C77533E"/>
    <w:multiLevelType w:val="hybridMultilevel"/>
    <w:tmpl w:val="D90073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751167"/>
    <w:multiLevelType w:val="hybridMultilevel"/>
    <w:tmpl w:val="BB265396"/>
    <w:lvl w:ilvl="0" w:tplc="34090001">
      <w:start w:val="1"/>
      <w:numFmt w:val="bullet"/>
      <w:lvlText w:val=""/>
      <w:lvlJc w:val="left"/>
      <w:pPr>
        <w:ind w:left="780" w:hanging="360"/>
      </w:pPr>
      <w:rPr>
        <w:rFonts w:ascii="Symbol" w:hAnsi="Symbol" w:hint="default"/>
      </w:rPr>
    </w:lvl>
    <w:lvl w:ilvl="1" w:tplc="34090003" w:tentative="1">
      <w:start w:val="1"/>
      <w:numFmt w:val="bullet"/>
      <w:lvlText w:val="o"/>
      <w:lvlJc w:val="left"/>
      <w:pPr>
        <w:ind w:left="1500" w:hanging="360"/>
      </w:pPr>
      <w:rPr>
        <w:rFonts w:ascii="Courier New" w:hAnsi="Courier New" w:cs="Courier New" w:hint="default"/>
      </w:rPr>
    </w:lvl>
    <w:lvl w:ilvl="2" w:tplc="34090005" w:tentative="1">
      <w:start w:val="1"/>
      <w:numFmt w:val="bullet"/>
      <w:lvlText w:val=""/>
      <w:lvlJc w:val="left"/>
      <w:pPr>
        <w:ind w:left="2220" w:hanging="360"/>
      </w:pPr>
      <w:rPr>
        <w:rFonts w:ascii="Wingdings" w:hAnsi="Wingdings" w:hint="default"/>
      </w:rPr>
    </w:lvl>
    <w:lvl w:ilvl="3" w:tplc="34090001" w:tentative="1">
      <w:start w:val="1"/>
      <w:numFmt w:val="bullet"/>
      <w:lvlText w:val=""/>
      <w:lvlJc w:val="left"/>
      <w:pPr>
        <w:ind w:left="2940" w:hanging="360"/>
      </w:pPr>
      <w:rPr>
        <w:rFonts w:ascii="Symbol" w:hAnsi="Symbol" w:hint="default"/>
      </w:rPr>
    </w:lvl>
    <w:lvl w:ilvl="4" w:tplc="34090003" w:tentative="1">
      <w:start w:val="1"/>
      <w:numFmt w:val="bullet"/>
      <w:lvlText w:val="o"/>
      <w:lvlJc w:val="left"/>
      <w:pPr>
        <w:ind w:left="3660" w:hanging="360"/>
      </w:pPr>
      <w:rPr>
        <w:rFonts w:ascii="Courier New" w:hAnsi="Courier New" w:cs="Courier New" w:hint="default"/>
      </w:rPr>
    </w:lvl>
    <w:lvl w:ilvl="5" w:tplc="34090005" w:tentative="1">
      <w:start w:val="1"/>
      <w:numFmt w:val="bullet"/>
      <w:lvlText w:val=""/>
      <w:lvlJc w:val="left"/>
      <w:pPr>
        <w:ind w:left="4380" w:hanging="360"/>
      </w:pPr>
      <w:rPr>
        <w:rFonts w:ascii="Wingdings" w:hAnsi="Wingdings" w:hint="default"/>
      </w:rPr>
    </w:lvl>
    <w:lvl w:ilvl="6" w:tplc="34090001" w:tentative="1">
      <w:start w:val="1"/>
      <w:numFmt w:val="bullet"/>
      <w:lvlText w:val=""/>
      <w:lvlJc w:val="left"/>
      <w:pPr>
        <w:ind w:left="5100" w:hanging="360"/>
      </w:pPr>
      <w:rPr>
        <w:rFonts w:ascii="Symbol" w:hAnsi="Symbol" w:hint="default"/>
      </w:rPr>
    </w:lvl>
    <w:lvl w:ilvl="7" w:tplc="34090003" w:tentative="1">
      <w:start w:val="1"/>
      <w:numFmt w:val="bullet"/>
      <w:lvlText w:val="o"/>
      <w:lvlJc w:val="left"/>
      <w:pPr>
        <w:ind w:left="5820" w:hanging="360"/>
      </w:pPr>
      <w:rPr>
        <w:rFonts w:ascii="Courier New" w:hAnsi="Courier New" w:cs="Courier New" w:hint="default"/>
      </w:rPr>
    </w:lvl>
    <w:lvl w:ilvl="8" w:tplc="34090005" w:tentative="1">
      <w:start w:val="1"/>
      <w:numFmt w:val="bullet"/>
      <w:lvlText w:val=""/>
      <w:lvlJc w:val="left"/>
      <w:pPr>
        <w:ind w:left="654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229018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5097002">
    <w:abstractNumId w:val="18"/>
  </w:num>
  <w:num w:numId="3" w16cid:durableId="975601119">
    <w:abstractNumId w:val="29"/>
  </w:num>
  <w:num w:numId="4" w16cid:durableId="120239967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3281467">
    <w:abstractNumId w:val="7"/>
  </w:num>
  <w:num w:numId="6" w16cid:durableId="2016416759">
    <w:abstractNumId w:val="6"/>
  </w:num>
  <w:num w:numId="7" w16cid:durableId="1024941163">
    <w:abstractNumId w:val="1"/>
  </w:num>
  <w:num w:numId="8" w16cid:durableId="2008286394">
    <w:abstractNumId w:val="13"/>
  </w:num>
  <w:num w:numId="9" w16cid:durableId="1300844692">
    <w:abstractNumId w:val="31"/>
  </w:num>
  <w:num w:numId="10" w16cid:durableId="1139222742">
    <w:abstractNumId w:val="2"/>
  </w:num>
  <w:num w:numId="11" w16cid:durableId="1127119418">
    <w:abstractNumId w:val="22"/>
  </w:num>
  <w:num w:numId="12" w16cid:durableId="1119375168">
    <w:abstractNumId w:val="3"/>
  </w:num>
  <w:num w:numId="13" w16cid:durableId="622883508">
    <w:abstractNumId w:val="20"/>
  </w:num>
  <w:num w:numId="14" w16cid:durableId="1210875590">
    <w:abstractNumId w:val="8"/>
  </w:num>
  <w:num w:numId="15" w16cid:durableId="2017800214">
    <w:abstractNumId w:val="27"/>
  </w:num>
  <w:num w:numId="16" w16cid:durableId="510878394">
    <w:abstractNumId w:val="5"/>
  </w:num>
  <w:num w:numId="17" w16cid:durableId="974796496">
    <w:abstractNumId w:val="28"/>
  </w:num>
  <w:num w:numId="18" w16cid:durableId="1634750835">
    <w:abstractNumId w:val="15"/>
  </w:num>
  <w:num w:numId="19" w16cid:durableId="2114862756">
    <w:abstractNumId w:val="34"/>
  </w:num>
  <w:num w:numId="20" w16cid:durableId="1253201750">
    <w:abstractNumId w:val="12"/>
  </w:num>
  <w:num w:numId="21" w16cid:durableId="1215891201">
    <w:abstractNumId w:val="9"/>
  </w:num>
  <w:num w:numId="22" w16cid:durableId="1251700064">
    <w:abstractNumId w:val="14"/>
  </w:num>
  <w:num w:numId="23" w16cid:durableId="21439410">
    <w:abstractNumId w:val="24"/>
  </w:num>
  <w:num w:numId="24" w16cid:durableId="922641269">
    <w:abstractNumId w:val="32"/>
  </w:num>
  <w:num w:numId="25" w16cid:durableId="1698970392">
    <w:abstractNumId w:val="4"/>
  </w:num>
  <w:num w:numId="26" w16cid:durableId="411590957">
    <w:abstractNumId w:val="19"/>
  </w:num>
  <w:num w:numId="27" w16cid:durableId="1492986223">
    <w:abstractNumId w:val="25"/>
  </w:num>
  <w:num w:numId="28" w16cid:durableId="681278573">
    <w:abstractNumId w:val="33"/>
  </w:num>
  <w:num w:numId="29" w16cid:durableId="1903787327">
    <w:abstractNumId w:val="30"/>
  </w:num>
  <w:num w:numId="30" w16cid:durableId="459570314">
    <w:abstractNumId w:val="11"/>
  </w:num>
  <w:num w:numId="31" w16cid:durableId="317921663">
    <w:abstractNumId w:val="16"/>
  </w:num>
  <w:num w:numId="32" w16cid:durableId="1584145241">
    <w:abstractNumId w:val="10"/>
  </w:num>
  <w:num w:numId="33" w16cid:durableId="477066368">
    <w:abstractNumId w:val="17"/>
  </w:num>
  <w:num w:numId="34" w16cid:durableId="2043821441">
    <w:abstractNumId w:val="26"/>
  </w:num>
  <w:num w:numId="35" w16cid:durableId="1059090239">
    <w:abstractNumId w:val="21"/>
  </w:num>
  <w:num w:numId="36" w16cid:durableId="6637010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74C7"/>
    <w:rsid w:val="00030174"/>
    <w:rsid w:val="0004579C"/>
    <w:rsid w:val="00064CC1"/>
    <w:rsid w:val="000A47FA"/>
    <w:rsid w:val="000A65D3"/>
    <w:rsid w:val="000B1E33"/>
    <w:rsid w:val="000B46C2"/>
    <w:rsid w:val="000D689F"/>
    <w:rsid w:val="000E7B7B"/>
    <w:rsid w:val="000E7D62"/>
    <w:rsid w:val="000F2919"/>
    <w:rsid w:val="00103357"/>
    <w:rsid w:val="00123C9F"/>
    <w:rsid w:val="00126190"/>
    <w:rsid w:val="0012733F"/>
    <w:rsid w:val="00130F17"/>
    <w:rsid w:val="001320BF"/>
    <w:rsid w:val="001545D8"/>
    <w:rsid w:val="00163BC4"/>
    <w:rsid w:val="00184CF2"/>
    <w:rsid w:val="00191062"/>
    <w:rsid w:val="00192B72"/>
    <w:rsid w:val="001A29D8"/>
    <w:rsid w:val="001A5CAA"/>
    <w:rsid w:val="001B0427"/>
    <w:rsid w:val="001C32EC"/>
    <w:rsid w:val="001D3A51"/>
    <w:rsid w:val="001E10D2"/>
    <w:rsid w:val="001E11B7"/>
    <w:rsid w:val="001E25B4"/>
    <w:rsid w:val="001E44FE"/>
    <w:rsid w:val="001E57EF"/>
    <w:rsid w:val="00200595"/>
    <w:rsid w:val="00204835"/>
    <w:rsid w:val="00217972"/>
    <w:rsid w:val="00231920"/>
    <w:rsid w:val="0023195C"/>
    <w:rsid w:val="00232CC2"/>
    <w:rsid w:val="0024282C"/>
    <w:rsid w:val="002460DC"/>
    <w:rsid w:val="00250985"/>
    <w:rsid w:val="002556F6"/>
    <w:rsid w:val="00283105"/>
    <w:rsid w:val="00284C4C"/>
    <w:rsid w:val="00287E68"/>
    <w:rsid w:val="0029476C"/>
    <w:rsid w:val="00296529"/>
    <w:rsid w:val="00296F68"/>
    <w:rsid w:val="002B27FB"/>
    <w:rsid w:val="002B685A"/>
    <w:rsid w:val="002C57D2"/>
    <w:rsid w:val="002D736D"/>
    <w:rsid w:val="002E0D56"/>
    <w:rsid w:val="00311B98"/>
    <w:rsid w:val="00315186"/>
    <w:rsid w:val="00330E4F"/>
    <w:rsid w:val="0033343E"/>
    <w:rsid w:val="003512C2"/>
    <w:rsid w:val="00371FB6"/>
    <w:rsid w:val="00372D69"/>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7D26"/>
    <w:rsid w:val="004911E0"/>
    <w:rsid w:val="004C5700"/>
    <w:rsid w:val="004D305E"/>
    <w:rsid w:val="004D4277"/>
    <w:rsid w:val="004F08FD"/>
    <w:rsid w:val="004F448A"/>
    <w:rsid w:val="00502516"/>
    <w:rsid w:val="00505F06"/>
    <w:rsid w:val="00506828"/>
    <w:rsid w:val="0051579F"/>
    <w:rsid w:val="005204A5"/>
    <w:rsid w:val="0053056E"/>
    <w:rsid w:val="00554FDA"/>
    <w:rsid w:val="005C784C"/>
    <w:rsid w:val="005D17F6"/>
    <w:rsid w:val="005E5539"/>
    <w:rsid w:val="005F2AFA"/>
    <w:rsid w:val="00602BF5"/>
    <w:rsid w:val="00613933"/>
    <w:rsid w:val="00617FDD"/>
    <w:rsid w:val="00620619"/>
    <w:rsid w:val="006262DB"/>
    <w:rsid w:val="00633614"/>
    <w:rsid w:val="00633F68"/>
    <w:rsid w:val="00636EB2"/>
    <w:rsid w:val="006375B8"/>
    <w:rsid w:val="00645DD0"/>
    <w:rsid w:val="0065465D"/>
    <w:rsid w:val="0066510A"/>
    <w:rsid w:val="00673F9F"/>
    <w:rsid w:val="00686953"/>
    <w:rsid w:val="00687DEA"/>
    <w:rsid w:val="00687E67"/>
    <w:rsid w:val="0069053F"/>
    <w:rsid w:val="006967F7"/>
    <w:rsid w:val="006A250C"/>
    <w:rsid w:val="006B21D3"/>
    <w:rsid w:val="006B57D0"/>
    <w:rsid w:val="006D30FF"/>
    <w:rsid w:val="006D6940"/>
    <w:rsid w:val="006E6EDF"/>
    <w:rsid w:val="006F11EC"/>
    <w:rsid w:val="0070082C"/>
    <w:rsid w:val="007113BF"/>
    <w:rsid w:val="007369E6"/>
    <w:rsid w:val="00742A99"/>
    <w:rsid w:val="00746E59"/>
    <w:rsid w:val="00754C9A"/>
    <w:rsid w:val="0075599A"/>
    <w:rsid w:val="00761D52"/>
    <w:rsid w:val="0077749E"/>
    <w:rsid w:val="00790ADA"/>
    <w:rsid w:val="007D2288"/>
    <w:rsid w:val="007E088F"/>
    <w:rsid w:val="007F7B32"/>
    <w:rsid w:val="00804BC2"/>
    <w:rsid w:val="0081431A"/>
    <w:rsid w:val="0083216F"/>
    <w:rsid w:val="00840053"/>
    <w:rsid w:val="00850295"/>
    <w:rsid w:val="00860000"/>
    <w:rsid w:val="00863BD3"/>
    <w:rsid w:val="008641ED"/>
    <w:rsid w:val="00866D66"/>
    <w:rsid w:val="008671C6"/>
    <w:rsid w:val="00875803"/>
    <w:rsid w:val="008B459E"/>
    <w:rsid w:val="008C3ABA"/>
    <w:rsid w:val="008E13AE"/>
    <w:rsid w:val="008E1506"/>
    <w:rsid w:val="008E710C"/>
    <w:rsid w:val="008F2263"/>
    <w:rsid w:val="008F69D6"/>
    <w:rsid w:val="00902823"/>
    <w:rsid w:val="00915CA6"/>
    <w:rsid w:val="00927834"/>
    <w:rsid w:val="0094432E"/>
    <w:rsid w:val="009500A6"/>
    <w:rsid w:val="00950DF9"/>
    <w:rsid w:val="00957C18"/>
    <w:rsid w:val="009659BA"/>
    <w:rsid w:val="00977D6F"/>
    <w:rsid w:val="00983040"/>
    <w:rsid w:val="009B3FB9"/>
    <w:rsid w:val="009C2465"/>
    <w:rsid w:val="009D35A0"/>
    <w:rsid w:val="009D5302"/>
    <w:rsid w:val="009D79FE"/>
    <w:rsid w:val="009D7EB7"/>
    <w:rsid w:val="009E048A"/>
    <w:rsid w:val="009E08E9"/>
    <w:rsid w:val="009E2D60"/>
    <w:rsid w:val="009E3DB9"/>
    <w:rsid w:val="009E6E35"/>
    <w:rsid w:val="009F0EDA"/>
    <w:rsid w:val="00A03B96"/>
    <w:rsid w:val="00A05B19"/>
    <w:rsid w:val="00A101F7"/>
    <w:rsid w:val="00A1134E"/>
    <w:rsid w:val="00A234D6"/>
    <w:rsid w:val="00A24E7E"/>
    <w:rsid w:val="00A258C3"/>
    <w:rsid w:val="00A344B3"/>
    <w:rsid w:val="00A347C0"/>
    <w:rsid w:val="00A51431"/>
    <w:rsid w:val="00A539AD"/>
    <w:rsid w:val="00A94063"/>
    <w:rsid w:val="00A9799B"/>
    <w:rsid w:val="00AA6219"/>
    <w:rsid w:val="00AA74E0"/>
    <w:rsid w:val="00AB64EB"/>
    <w:rsid w:val="00AB703F"/>
    <w:rsid w:val="00AC4C26"/>
    <w:rsid w:val="00AC6BB8"/>
    <w:rsid w:val="00AE008F"/>
    <w:rsid w:val="00B01FCD"/>
    <w:rsid w:val="00B1089B"/>
    <w:rsid w:val="00B1776C"/>
    <w:rsid w:val="00B40D37"/>
    <w:rsid w:val="00B43683"/>
    <w:rsid w:val="00B52583"/>
    <w:rsid w:val="00B52896"/>
    <w:rsid w:val="00B764F9"/>
    <w:rsid w:val="00B95236"/>
    <w:rsid w:val="00B96BD9"/>
    <w:rsid w:val="00BA1B01"/>
    <w:rsid w:val="00BA2641"/>
    <w:rsid w:val="00BB37AA"/>
    <w:rsid w:val="00BC53A0"/>
    <w:rsid w:val="00BE2A49"/>
    <w:rsid w:val="00BE62AD"/>
    <w:rsid w:val="00BF121F"/>
    <w:rsid w:val="00BF1F80"/>
    <w:rsid w:val="00C03CCB"/>
    <w:rsid w:val="00C104B6"/>
    <w:rsid w:val="00C14920"/>
    <w:rsid w:val="00C166EF"/>
    <w:rsid w:val="00C17EB0"/>
    <w:rsid w:val="00C27F5F"/>
    <w:rsid w:val="00C30A0F"/>
    <w:rsid w:val="00C37E61"/>
    <w:rsid w:val="00C50DA9"/>
    <w:rsid w:val="00C645FE"/>
    <w:rsid w:val="00C70F1B"/>
    <w:rsid w:val="00C71A47"/>
    <w:rsid w:val="00C7464C"/>
    <w:rsid w:val="00C85588"/>
    <w:rsid w:val="00CD472A"/>
    <w:rsid w:val="00CD6755"/>
    <w:rsid w:val="00CD6856"/>
    <w:rsid w:val="00CE0089"/>
    <w:rsid w:val="00CE793C"/>
    <w:rsid w:val="00CF193C"/>
    <w:rsid w:val="00D173F1"/>
    <w:rsid w:val="00D257CB"/>
    <w:rsid w:val="00D73AB4"/>
    <w:rsid w:val="00D74CB0"/>
    <w:rsid w:val="00D8295D"/>
    <w:rsid w:val="00D95657"/>
    <w:rsid w:val="00DC2A65"/>
    <w:rsid w:val="00DC4297"/>
    <w:rsid w:val="00DD0479"/>
    <w:rsid w:val="00DE15F0"/>
    <w:rsid w:val="00DE5663"/>
    <w:rsid w:val="00DE78AA"/>
    <w:rsid w:val="00DF0F47"/>
    <w:rsid w:val="00DF1098"/>
    <w:rsid w:val="00DF1ABA"/>
    <w:rsid w:val="00E053D0"/>
    <w:rsid w:val="00E15994"/>
    <w:rsid w:val="00E3114E"/>
    <w:rsid w:val="00E31A70"/>
    <w:rsid w:val="00E35B02"/>
    <w:rsid w:val="00E443D5"/>
    <w:rsid w:val="00E66496"/>
    <w:rsid w:val="00E66B35"/>
    <w:rsid w:val="00E66E10"/>
    <w:rsid w:val="00E769F6"/>
    <w:rsid w:val="00E8407C"/>
    <w:rsid w:val="00E84F3C"/>
    <w:rsid w:val="00E925A9"/>
    <w:rsid w:val="00EA012C"/>
    <w:rsid w:val="00EA0176"/>
    <w:rsid w:val="00EB5D04"/>
    <w:rsid w:val="00EC6A55"/>
    <w:rsid w:val="00ED0288"/>
    <w:rsid w:val="00EE52CB"/>
    <w:rsid w:val="00EF581D"/>
    <w:rsid w:val="00EF7FD8"/>
    <w:rsid w:val="00F06F59"/>
    <w:rsid w:val="00F17988"/>
    <w:rsid w:val="00F27F0D"/>
    <w:rsid w:val="00F469F0"/>
    <w:rsid w:val="00F507CE"/>
    <w:rsid w:val="00F53273"/>
    <w:rsid w:val="00F755E4"/>
    <w:rsid w:val="00F77D02"/>
    <w:rsid w:val="00FA11F9"/>
    <w:rsid w:val="00FA4F54"/>
    <w:rsid w:val="00FB3A86"/>
    <w:rsid w:val="00FD36C8"/>
    <w:rsid w:val="00FE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FF77128"/>
  <w15:docId w15:val="{70D4972D-53A1-4179-8A78-557CFC17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742A99"/>
    <w:rPr>
      <w:color w:val="666666"/>
    </w:rPr>
  </w:style>
  <w:style w:type="paragraph" w:styleId="NormalWeb">
    <w:name w:val="Normal (Web)"/>
    <w:basedOn w:val="Normal"/>
    <w:uiPriority w:val="99"/>
    <w:semiHidden/>
    <w:unhideWhenUsed/>
    <w:rsid w:val="00AB64EB"/>
    <w:pPr>
      <w:spacing w:before="100" w:beforeAutospacing="1" w:after="100" w:afterAutospacing="1"/>
    </w:pPr>
    <w:rPr>
      <w:rFonts w:ascii="Times New Roman" w:hAnsi="Times New Roman"/>
      <w:sz w:val="24"/>
      <w:szCs w:val="24"/>
      <w:lang w:val="en-PH" w:eastAsia="en-PH"/>
    </w:rPr>
  </w:style>
  <w:style w:type="character" w:styleId="Strong">
    <w:name w:val="Strong"/>
    <w:basedOn w:val="DefaultParagraphFont"/>
    <w:uiPriority w:val="22"/>
    <w:qFormat/>
    <w:rsid w:val="00AB6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6926502">
      <w:bodyDiv w:val="1"/>
      <w:marLeft w:val="0"/>
      <w:marRight w:val="0"/>
      <w:marTop w:val="0"/>
      <w:marBottom w:val="0"/>
      <w:divBdr>
        <w:top w:val="none" w:sz="0" w:space="0" w:color="auto"/>
        <w:left w:val="none" w:sz="0" w:space="0" w:color="auto"/>
        <w:bottom w:val="none" w:sz="0" w:space="0" w:color="auto"/>
        <w:right w:val="none" w:sz="0" w:space="0" w:color="auto"/>
      </w:divBdr>
    </w:div>
    <w:div w:id="24868635">
      <w:bodyDiv w:val="1"/>
      <w:marLeft w:val="0"/>
      <w:marRight w:val="0"/>
      <w:marTop w:val="0"/>
      <w:marBottom w:val="0"/>
      <w:divBdr>
        <w:top w:val="none" w:sz="0" w:space="0" w:color="auto"/>
        <w:left w:val="none" w:sz="0" w:space="0" w:color="auto"/>
        <w:bottom w:val="none" w:sz="0" w:space="0" w:color="auto"/>
        <w:right w:val="none" w:sz="0" w:space="0" w:color="auto"/>
      </w:divBdr>
    </w:div>
    <w:div w:id="58015112">
      <w:bodyDiv w:val="1"/>
      <w:marLeft w:val="0"/>
      <w:marRight w:val="0"/>
      <w:marTop w:val="0"/>
      <w:marBottom w:val="0"/>
      <w:divBdr>
        <w:top w:val="none" w:sz="0" w:space="0" w:color="auto"/>
        <w:left w:val="none" w:sz="0" w:space="0" w:color="auto"/>
        <w:bottom w:val="none" w:sz="0" w:space="0" w:color="auto"/>
        <w:right w:val="none" w:sz="0" w:space="0" w:color="auto"/>
      </w:divBdr>
    </w:div>
    <w:div w:id="75785964">
      <w:bodyDiv w:val="1"/>
      <w:marLeft w:val="0"/>
      <w:marRight w:val="0"/>
      <w:marTop w:val="0"/>
      <w:marBottom w:val="0"/>
      <w:divBdr>
        <w:top w:val="none" w:sz="0" w:space="0" w:color="auto"/>
        <w:left w:val="none" w:sz="0" w:space="0" w:color="auto"/>
        <w:bottom w:val="none" w:sz="0" w:space="0" w:color="auto"/>
        <w:right w:val="none" w:sz="0" w:space="0" w:color="auto"/>
      </w:divBdr>
    </w:div>
    <w:div w:id="79453967">
      <w:bodyDiv w:val="1"/>
      <w:marLeft w:val="0"/>
      <w:marRight w:val="0"/>
      <w:marTop w:val="0"/>
      <w:marBottom w:val="0"/>
      <w:divBdr>
        <w:top w:val="none" w:sz="0" w:space="0" w:color="auto"/>
        <w:left w:val="none" w:sz="0" w:space="0" w:color="auto"/>
        <w:bottom w:val="none" w:sz="0" w:space="0" w:color="auto"/>
        <w:right w:val="none" w:sz="0" w:space="0" w:color="auto"/>
      </w:divBdr>
    </w:div>
    <w:div w:id="81999434">
      <w:bodyDiv w:val="1"/>
      <w:marLeft w:val="0"/>
      <w:marRight w:val="0"/>
      <w:marTop w:val="0"/>
      <w:marBottom w:val="0"/>
      <w:divBdr>
        <w:top w:val="none" w:sz="0" w:space="0" w:color="auto"/>
        <w:left w:val="none" w:sz="0" w:space="0" w:color="auto"/>
        <w:bottom w:val="none" w:sz="0" w:space="0" w:color="auto"/>
        <w:right w:val="none" w:sz="0" w:space="0" w:color="auto"/>
      </w:divBdr>
    </w:div>
    <w:div w:id="87579255">
      <w:bodyDiv w:val="1"/>
      <w:marLeft w:val="0"/>
      <w:marRight w:val="0"/>
      <w:marTop w:val="0"/>
      <w:marBottom w:val="0"/>
      <w:divBdr>
        <w:top w:val="none" w:sz="0" w:space="0" w:color="auto"/>
        <w:left w:val="none" w:sz="0" w:space="0" w:color="auto"/>
        <w:bottom w:val="none" w:sz="0" w:space="0" w:color="auto"/>
        <w:right w:val="none" w:sz="0" w:space="0" w:color="auto"/>
      </w:divBdr>
    </w:div>
    <w:div w:id="116680411">
      <w:bodyDiv w:val="1"/>
      <w:marLeft w:val="0"/>
      <w:marRight w:val="0"/>
      <w:marTop w:val="0"/>
      <w:marBottom w:val="0"/>
      <w:divBdr>
        <w:top w:val="none" w:sz="0" w:space="0" w:color="auto"/>
        <w:left w:val="none" w:sz="0" w:space="0" w:color="auto"/>
        <w:bottom w:val="none" w:sz="0" w:space="0" w:color="auto"/>
        <w:right w:val="none" w:sz="0" w:space="0" w:color="auto"/>
      </w:divBdr>
    </w:div>
    <w:div w:id="118300541">
      <w:bodyDiv w:val="1"/>
      <w:marLeft w:val="0"/>
      <w:marRight w:val="0"/>
      <w:marTop w:val="0"/>
      <w:marBottom w:val="0"/>
      <w:divBdr>
        <w:top w:val="none" w:sz="0" w:space="0" w:color="auto"/>
        <w:left w:val="none" w:sz="0" w:space="0" w:color="auto"/>
        <w:bottom w:val="none" w:sz="0" w:space="0" w:color="auto"/>
        <w:right w:val="none" w:sz="0" w:space="0" w:color="auto"/>
      </w:divBdr>
    </w:div>
    <w:div w:id="12998446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313571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4966241">
      <w:bodyDiv w:val="1"/>
      <w:marLeft w:val="0"/>
      <w:marRight w:val="0"/>
      <w:marTop w:val="0"/>
      <w:marBottom w:val="0"/>
      <w:divBdr>
        <w:top w:val="none" w:sz="0" w:space="0" w:color="auto"/>
        <w:left w:val="none" w:sz="0" w:space="0" w:color="auto"/>
        <w:bottom w:val="none" w:sz="0" w:space="0" w:color="auto"/>
        <w:right w:val="none" w:sz="0" w:space="0" w:color="auto"/>
      </w:divBdr>
    </w:div>
    <w:div w:id="327221910">
      <w:bodyDiv w:val="1"/>
      <w:marLeft w:val="0"/>
      <w:marRight w:val="0"/>
      <w:marTop w:val="0"/>
      <w:marBottom w:val="0"/>
      <w:divBdr>
        <w:top w:val="none" w:sz="0" w:space="0" w:color="auto"/>
        <w:left w:val="none" w:sz="0" w:space="0" w:color="auto"/>
        <w:bottom w:val="none" w:sz="0" w:space="0" w:color="auto"/>
        <w:right w:val="none" w:sz="0" w:space="0" w:color="auto"/>
      </w:divBdr>
    </w:div>
    <w:div w:id="336426216">
      <w:bodyDiv w:val="1"/>
      <w:marLeft w:val="0"/>
      <w:marRight w:val="0"/>
      <w:marTop w:val="0"/>
      <w:marBottom w:val="0"/>
      <w:divBdr>
        <w:top w:val="none" w:sz="0" w:space="0" w:color="auto"/>
        <w:left w:val="none" w:sz="0" w:space="0" w:color="auto"/>
        <w:bottom w:val="none" w:sz="0" w:space="0" w:color="auto"/>
        <w:right w:val="none" w:sz="0" w:space="0" w:color="auto"/>
      </w:divBdr>
    </w:div>
    <w:div w:id="360403048">
      <w:bodyDiv w:val="1"/>
      <w:marLeft w:val="0"/>
      <w:marRight w:val="0"/>
      <w:marTop w:val="0"/>
      <w:marBottom w:val="0"/>
      <w:divBdr>
        <w:top w:val="none" w:sz="0" w:space="0" w:color="auto"/>
        <w:left w:val="none" w:sz="0" w:space="0" w:color="auto"/>
        <w:bottom w:val="none" w:sz="0" w:space="0" w:color="auto"/>
        <w:right w:val="none" w:sz="0" w:space="0" w:color="auto"/>
      </w:divBdr>
    </w:div>
    <w:div w:id="374551793">
      <w:bodyDiv w:val="1"/>
      <w:marLeft w:val="0"/>
      <w:marRight w:val="0"/>
      <w:marTop w:val="0"/>
      <w:marBottom w:val="0"/>
      <w:divBdr>
        <w:top w:val="none" w:sz="0" w:space="0" w:color="auto"/>
        <w:left w:val="none" w:sz="0" w:space="0" w:color="auto"/>
        <w:bottom w:val="none" w:sz="0" w:space="0" w:color="auto"/>
        <w:right w:val="none" w:sz="0" w:space="0" w:color="auto"/>
      </w:divBdr>
    </w:div>
    <w:div w:id="382363999">
      <w:bodyDiv w:val="1"/>
      <w:marLeft w:val="0"/>
      <w:marRight w:val="0"/>
      <w:marTop w:val="0"/>
      <w:marBottom w:val="0"/>
      <w:divBdr>
        <w:top w:val="none" w:sz="0" w:space="0" w:color="auto"/>
        <w:left w:val="none" w:sz="0" w:space="0" w:color="auto"/>
        <w:bottom w:val="none" w:sz="0" w:space="0" w:color="auto"/>
        <w:right w:val="none" w:sz="0" w:space="0" w:color="auto"/>
      </w:divBdr>
    </w:div>
    <w:div w:id="387144221">
      <w:bodyDiv w:val="1"/>
      <w:marLeft w:val="0"/>
      <w:marRight w:val="0"/>
      <w:marTop w:val="0"/>
      <w:marBottom w:val="0"/>
      <w:divBdr>
        <w:top w:val="none" w:sz="0" w:space="0" w:color="auto"/>
        <w:left w:val="none" w:sz="0" w:space="0" w:color="auto"/>
        <w:bottom w:val="none" w:sz="0" w:space="0" w:color="auto"/>
        <w:right w:val="none" w:sz="0" w:space="0" w:color="auto"/>
      </w:divBdr>
    </w:div>
    <w:div w:id="388920008">
      <w:bodyDiv w:val="1"/>
      <w:marLeft w:val="0"/>
      <w:marRight w:val="0"/>
      <w:marTop w:val="0"/>
      <w:marBottom w:val="0"/>
      <w:divBdr>
        <w:top w:val="none" w:sz="0" w:space="0" w:color="auto"/>
        <w:left w:val="none" w:sz="0" w:space="0" w:color="auto"/>
        <w:bottom w:val="none" w:sz="0" w:space="0" w:color="auto"/>
        <w:right w:val="none" w:sz="0" w:space="0" w:color="auto"/>
      </w:divBdr>
    </w:div>
    <w:div w:id="406734155">
      <w:bodyDiv w:val="1"/>
      <w:marLeft w:val="0"/>
      <w:marRight w:val="0"/>
      <w:marTop w:val="0"/>
      <w:marBottom w:val="0"/>
      <w:divBdr>
        <w:top w:val="none" w:sz="0" w:space="0" w:color="auto"/>
        <w:left w:val="none" w:sz="0" w:space="0" w:color="auto"/>
        <w:bottom w:val="none" w:sz="0" w:space="0" w:color="auto"/>
        <w:right w:val="none" w:sz="0" w:space="0" w:color="auto"/>
      </w:divBdr>
    </w:div>
    <w:div w:id="419832092">
      <w:bodyDiv w:val="1"/>
      <w:marLeft w:val="0"/>
      <w:marRight w:val="0"/>
      <w:marTop w:val="0"/>
      <w:marBottom w:val="0"/>
      <w:divBdr>
        <w:top w:val="none" w:sz="0" w:space="0" w:color="auto"/>
        <w:left w:val="none" w:sz="0" w:space="0" w:color="auto"/>
        <w:bottom w:val="none" w:sz="0" w:space="0" w:color="auto"/>
        <w:right w:val="none" w:sz="0" w:space="0" w:color="auto"/>
      </w:divBdr>
    </w:div>
    <w:div w:id="420225637">
      <w:bodyDiv w:val="1"/>
      <w:marLeft w:val="0"/>
      <w:marRight w:val="0"/>
      <w:marTop w:val="0"/>
      <w:marBottom w:val="0"/>
      <w:divBdr>
        <w:top w:val="none" w:sz="0" w:space="0" w:color="auto"/>
        <w:left w:val="none" w:sz="0" w:space="0" w:color="auto"/>
        <w:bottom w:val="none" w:sz="0" w:space="0" w:color="auto"/>
        <w:right w:val="none" w:sz="0" w:space="0" w:color="auto"/>
      </w:divBdr>
    </w:div>
    <w:div w:id="483010163">
      <w:bodyDiv w:val="1"/>
      <w:marLeft w:val="0"/>
      <w:marRight w:val="0"/>
      <w:marTop w:val="0"/>
      <w:marBottom w:val="0"/>
      <w:divBdr>
        <w:top w:val="none" w:sz="0" w:space="0" w:color="auto"/>
        <w:left w:val="none" w:sz="0" w:space="0" w:color="auto"/>
        <w:bottom w:val="none" w:sz="0" w:space="0" w:color="auto"/>
        <w:right w:val="none" w:sz="0" w:space="0" w:color="auto"/>
      </w:divBdr>
    </w:div>
    <w:div w:id="491987232">
      <w:bodyDiv w:val="1"/>
      <w:marLeft w:val="0"/>
      <w:marRight w:val="0"/>
      <w:marTop w:val="0"/>
      <w:marBottom w:val="0"/>
      <w:divBdr>
        <w:top w:val="none" w:sz="0" w:space="0" w:color="auto"/>
        <w:left w:val="none" w:sz="0" w:space="0" w:color="auto"/>
        <w:bottom w:val="none" w:sz="0" w:space="0" w:color="auto"/>
        <w:right w:val="none" w:sz="0" w:space="0" w:color="auto"/>
      </w:divBdr>
    </w:div>
    <w:div w:id="526068716">
      <w:bodyDiv w:val="1"/>
      <w:marLeft w:val="0"/>
      <w:marRight w:val="0"/>
      <w:marTop w:val="0"/>
      <w:marBottom w:val="0"/>
      <w:divBdr>
        <w:top w:val="none" w:sz="0" w:space="0" w:color="auto"/>
        <w:left w:val="none" w:sz="0" w:space="0" w:color="auto"/>
        <w:bottom w:val="none" w:sz="0" w:space="0" w:color="auto"/>
        <w:right w:val="none" w:sz="0" w:space="0" w:color="auto"/>
      </w:divBdr>
    </w:div>
    <w:div w:id="574322687">
      <w:bodyDiv w:val="1"/>
      <w:marLeft w:val="0"/>
      <w:marRight w:val="0"/>
      <w:marTop w:val="0"/>
      <w:marBottom w:val="0"/>
      <w:divBdr>
        <w:top w:val="none" w:sz="0" w:space="0" w:color="auto"/>
        <w:left w:val="none" w:sz="0" w:space="0" w:color="auto"/>
        <w:bottom w:val="none" w:sz="0" w:space="0" w:color="auto"/>
        <w:right w:val="none" w:sz="0" w:space="0" w:color="auto"/>
      </w:divBdr>
    </w:div>
    <w:div w:id="610169419">
      <w:bodyDiv w:val="1"/>
      <w:marLeft w:val="0"/>
      <w:marRight w:val="0"/>
      <w:marTop w:val="0"/>
      <w:marBottom w:val="0"/>
      <w:divBdr>
        <w:top w:val="none" w:sz="0" w:space="0" w:color="auto"/>
        <w:left w:val="none" w:sz="0" w:space="0" w:color="auto"/>
        <w:bottom w:val="none" w:sz="0" w:space="0" w:color="auto"/>
        <w:right w:val="none" w:sz="0" w:space="0" w:color="auto"/>
      </w:divBdr>
    </w:div>
    <w:div w:id="614141184">
      <w:bodyDiv w:val="1"/>
      <w:marLeft w:val="0"/>
      <w:marRight w:val="0"/>
      <w:marTop w:val="0"/>
      <w:marBottom w:val="0"/>
      <w:divBdr>
        <w:top w:val="none" w:sz="0" w:space="0" w:color="auto"/>
        <w:left w:val="none" w:sz="0" w:space="0" w:color="auto"/>
        <w:bottom w:val="none" w:sz="0" w:space="0" w:color="auto"/>
        <w:right w:val="none" w:sz="0" w:space="0" w:color="auto"/>
      </w:divBdr>
    </w:div>
    <w:div w:id="617176173">
      <w:bodyDiv w:val="1"/>
      <w:marLeft w:val="0"/>
      <w:marRight w:val="0"/>
      <w:marTop w:val="0"/>
      <w:marBottom w:val="0"/>
      <w:divBdr>
        <w:top w:val="none" w:sz="0" w:space="0" w:color="auto"/>
        <w:left w:val="none" w:sz="0" w:space="0" w:color="auto"/>
        <w:bottom w:val="none" w:sz="0" w:space="0" w:color="auto"/>
        <w:right w:val="none" w:sz="0" w:space="0" w:color="auto"/>
      </w:divBdr>
    </w:div>
    <w:div w:id="63079253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2876633">
      <w:bodyDiv w:val="1"/>
      <w:marLeft w:val="0"/>
      <w:marRight w:val="0"/>
      <w:marTop w:val="0"/>
      <w:marBottom w:val="0"/>
      <w:divBdr>
        <w:top w:val="none" w:sz="0" w:space="0" w:color="auto"/>
        <w:left w:val="none" w:sz="0" w:space="0" w:color="auto"/>
        <w:bottom w:val="none" w:sz="0" w:space="0" w:color="auto"/>
        <w:right w:val="none" w:sz="0" w:space="0" w:color="auto"/>
      </w:divBdr>
    </w:div>
    <w:div w:id="672530703">
      <w:bodyDiv w:val="1"/>
      <w:marLeft w:val="0"/>
      <w:marRight w:val="0"/>
      <w:marTop w:val="0"/>
      <w:marBottom w:val="0"/>
      <w:divBdr>
        <w:top w:val="none" w:sz="0" w:space="0" w:color="auto"/>
        <w:left w:val="none" w:sz="0" w:space="0" w:color="auto"/>
        <w:bottom w:val="none" w:sz="0" w:space="0" w:color="auto"/>
        <w:right w:val="none" w:sz="0" w:space="0" w:color="auto"/>
      </w:divBdr>
    </w:div>
    <w:div w:id="676730209">
      <w:bodyDiv w:val="1"/>
      <w:marLeft w:val="0"/>
      <w:marRight w:val="0"/>
      <w:marTop w:val="0"/>
      <w:marBottom w:val="0"/>
      <w:divBdr>
        <w:top w:val="none" w:sz="0" w:space="0" w:color="auto"/>
        <w:left w:val="none" w:sz="0" w:space="0" w:color="auto"/>
        <w:bottom w:val="none" w:sz="0" w:space="0" w:color="auto"/>
        <w:right w:val="none" w:sz="0" w:space="0" w:color="auto"/>
      </w:divBdr>
    </w:div>
    <w:div w:id="679624701">
      <w:bodyDiv w:val="1"/>
      <w:marLeft w:val="0"/>
      <w:marRight w:val="0"/>
      <w:marTop w:val="0"/>
      <w:marBottom w:val="0"/>
      <w:divBdr>
        <w:top w:val="none" w:sz="0" w:space="0" w:color="auto"/>
        <w:left w:val="none" w:sz="0" w:space="0" w:color="auto"/>
        <w:bottom w:val="none" w:sz="0" w:space="0" w:color="auto"/>
        <w:right w:val="none" w:sz="0" w:space="0" w:color="auto"/>
      </w:divBdr>
    </w:div>
    <w:div w:id="699860441">
      <w:bodyDiv w:val="1"/>
      <w:marLeft w:val="0"/>
      <w:marRight w:val="0"/>
      <w:marTop w:val="0"/>
      <w:marBottom w:val="0"/>
      <w:divBdr>
        <w:top w:val="none" w:sz="0" w:space="0" w:color="auto"/>
        <w:left w:val="none" w:sz="0" w:space="0" w:color="auto"/>
        <w:bottom w:val="none" w:sz="0" w:space="0" w:color="auto"/>
        <w:right w:val="none" w:sz="0" w:space="0" w:color="auto"/>
      </w:divBdr>
    </w:div>
    <w:div w:id="713577873">
      <w:bodyDiv w:val="1"/>
      <w:marLeft w:val="0"/>
      <w:marRight w:val="0"/>
      <w:marTop w:val="0"/>
      <w:marBottom w:val="0"/>
      <w:divBdr>
        <w:top w:val="none" w:sz="0" w:space="0" w:color="auto"/>
        <w:left w:val="none" w:sz="0" w:space="0" w:color="auto"/>
        <w:bottom w:val="none" w:sz="0" w:space="0" w:color="auto"/>
        <w:right w:val="none" w:sz="0" w:space="0" w:color="auto"/>
      </w:divBdr>
    </w:div>
    <w:div w:id="716510499">
      <w:bodyDiv w:val="1"/>
      <w:marLeft w:val="0"/>
      <w:marRight w:val="0"/>
      <w:marTop w:val="0"/>
      <w:marBottom w:val="0"/>
      <w:divBdr>
        <w:top w:val="none" w:sz="0" w:space="0" w:color="auto"/>
        <w:left w:val="none" w:sz="0" w:space="0" w:color="auto"/>
        <w:bottom w:val="none" w:sz="0" w:space="0" w:color="auto"/>
        <w:right w:val="none" w:sz="0" w:space="0" w:color="auto"/>
      </w:divBdr>
    </w:div>
    <w:div w:id="743331540">
      <w:bodyDiv w:val="1"/>
      <w:marLeft w:val="0"/>
      <w:marRight w:val="0"/>
      <w:marTop w:val="0"/>
      <w:marBottom w:val="0"/>
      <w:divBdr>
        <w:top w:val="none" w:sz="0" w:space="0" w:color="auto"/>
        <w:left w:val="none" w:sz="0" w:space="0" w:color="auto"/>
        <w:bottom w:val="none" w:sz="0" w:space="0" w:color="auto"/>
        <w:right w:val="none" w:sz="0" w:space="0" w:color="auto"/>
      </w:divBdr>
    </w:div>
    <w:div w:id="804586038">
      <w:bodyDiv w:val="1"/>
      <w:marLeft w:val="0"/>
      <w:marRight w:val="0"/>
      <w:marTop w:val="0"/>
      <w:marBottom w:val="0"/>
      <w:divBdr>
        <w:top w:val="none" w:sz="0" w:space="0" w:color="auto"/>
        <w:left w:val="none" w:sz="0" w:space="0" w:color="auto"/>
        <w:bottom w:val="none" w:sz="0" w:space="0" w:color="auto"/>
        <w:right w:val="none" w:sz="0" w:space="0" w:color="auto"/>
      </w:divBdr>
    </w:div>
    <w:div w:id="819231760">
      <w:bodyDiv w:val="1"/>
      <w:marLeft w:val="0"/>
      <w:marRight w:val="0"/>
      <w:marTop w:val="0"/>
      <w:marBottom w:val="0"/>
      <w:divBdr>
        <w:top w:val="none" w:sz="0" w:space="0" w:color="auto"/>
        <w:left w:val="none" w:sz="0" w:space="0" w:color="auto"/>
        <w:bottom w:val="none" w:sz="0" w:space="0" w:color="auto"/>
        <w:right w:val="none" w:sz="0" w:space="0" w:color="auto"/>
      </w:divBdr>
    </w:div>
    <w:div w:id="837697082">
      <w:bodyDiv w:val="1"/>
      <w:marLeft w:val="0"/>
      <w:marRight w:val="0"/>
      <w:marTop w:val="0"/>
      <w:marBottom w:val="0"/>
      <w:divBdr>
        <w:top w:val="none" w:sz="0" w:space="0" w:color="auto"/>
        <w:left w:val="none" w:sz="0" w:space="0" w:color="auto"/>
        <w:bottom w:val="none" w:sz="0" w:space="0" w:color="auto"/>
        <w:right w:val="none" w:sz="0" w:space="0" w:color="auto"/>
      </w:divBdr>
    </w:div>
    <w:div w:id="900099150">
      <w:bodyDiv w:val="1"/>
      <w:marLeft w:val="0"/>
      <w:marRight w:val="0"/>
      <w:marTop w:val="0"/>
      <w:marBottom w:val="0"/>
      <w:divBdr>
        <w:top w:val="none" w:sz="0" w:space="0" w:color="auto"/>
        <w:left w:val="none" w:sz="0" w:space="0" w:color="auto"/>
        <w:bottom w:val="none" w:sz="0" w:space="0" w:color="auto"/>
        <w:right w:val="none" w:sz="0" w:space="0" w:color="auto"/>
      </w:divBdr>
    </w:div>
    <w:div w:id="900169114">
      <w:bodyDiv w:val="1"/>
      <w:marLeft w:val="0"/>
      <w:marRight w:val="0"/>
      <w:marTop w:val="0"/>
      <w:marBottom w:val="0"/>
      <w:divBdr>
        <w:top w:val="none" w:sz="0" w:space="0" w:color="auto"/>
        <w:left w:val="none" w:sz="0" w:space="0" w:color="auto"/>
        <w:bottom w:val="none" w:sz="0" w:space="0" w:color="auto"/>
        <w:right w:val="none" w:sz="0" w:space="0" w:color="auto"/>
      </w:divBdr>
    </w:div>
    <w:div w:id="939725972">
      <w:bodyDiv w:val="1"/>
      <w:marLeft w:val="0"/>
      <w:marRight w:val="0"/>
      <w:marTop w:val="0"/>
      <w:marBottom w:val="0"/>
      <w:divBdr>
        <w:top w:val="none" w:sz="0" w:space="0" w:color="auto"/>
        <w:left w:val="none" w:sz="0" w:space="0" w:color="auto"/>
        <w:bottom w:val="none" w:sz="0" w:space="0" w:color="auto"/>
        <w:right w:val="none" w:sz="0" w:space="0" w:color="auto"/>
      </w:divBdr>
    </w:div>
    <w:div w:id="9476667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697624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4497240">
      <w:bodyDiv w:val="1"/>
      <w:marLeft w:val="0"/>
      <w:marRight w:val="0"/>
      <w:marTop w:val="0"/>
      <w:marBottom w:val="0"/>
      <w:divBdr>
        <w:top w:val="none" w:sz="0" w:space="0" w:color="auto"/>
        <w:left w:val="none" w:sz="0" w:space="0" w:color="auto"/>
        <w:bottom w:val="none" w:sz="0" w:space="0" w:color="auto"/>
        <w:right w:val="none" w:sz="0" w:space="0" w:color="auto"/>
      </w:divBdr>
    </w:div>
    <w:div w:id="1086269621">
      <w:bodyDiv w:val="1"/>
      <w:marLeft w:val="0"/>
      <w:marRight w:val="0"/>
      <w:marTop w:val="0"/>
      <w:marBottom w:val="0"/>
      <w:divBdr>
        <w:top w:val="none" w:sz="0" w:space="0" w:color="auto"/>
        <w:left w:val="none" w:sz="0" w:space="0" w:color="auto"/>
        <w:bottom w:val="none" w:sz="0" w:space="0" w:color="auto"/>
        <w:right w:val="none" w:sz="0" w:space="0" w:color="auto"/>
      </w:divBdr>
    </w:div>
    <w:div w:id="1100761996">
      <w:bodyDiv w:val="1"/>
      <w:marLeft w:val="0"/>
      <w:marRight w:val="0"/>
      <w:marTop w:val="0"/>
      <w:marBottom w:val="0"/>
      <w:divBdr>
        <w:top w:val="none" w:sz="0" w:space="0" w:color="auto"/>
        <w:left w:val="none" w:sz="0" w:space="0" w:color="auto"/>
        <w:bottom w:val="none" w:sz="0" w:space="0" w:color="auto"/>
        <w:right w:val="none" w:sz="0" w:space="0" w:color="auto"/>
      </w:divBdr>
    </w:div>
    <w:div w:id="110245801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6945496">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957436">
      <w:bodyDiv w:val="1"/>
      <w:marLeft w:val="0"/>
      <w:marRight w:val="0"/>
      <w:marTop w:val="0"/>
      <w:marBottom w:val="0"/>
      <w:divBdr>
        <w:top w:val="none" w:sz="0" w:space="0" w:color="auto"/>
        <w:left w:val="none" w:sz="0" w:space="0" w:color="auto"/>
        <w:bottom w:val="none" w:sz="0" w:space="0" w:color="auto"/>
        <w:right w:val="none" w:sz="0" w:space="0" w:color="auto"/>
      </w:divBdr>
    </w:div>
    <w:div w:id="1131249048">
      <w:bodyDiv w:val="1"/>
      <w:marLeft w:val="0"/>
      <w:marRight w:val="0"/>
      <w:marTop w:val="0"/>
      <w:marBottom w:val="0"/>
      <w:divBdr>
        <w:top w:val="none" w:sz="0" w:space="0" w:color="auto"/>
        <w:left w:val="none" w:sz="0" w:space="0" w:color="auto"/>
        <w:bottom w:val="none" w:sz="0" w:space="0" w:color="auto"/>
        <w:right w:val="none" w:sz="0" w:space="0" w:color="auto"/>
      </w:divBdr>
    </w:div>
    <w:div w:id="1192645213">
      <w:bodyDiv w:val="1"/>
      <w:marLeft w:val="0"/>
      <w:marRight w:val="0"/>
      <w:marTop w:val="0"/>
      <w:marBottom w:val="0"/>
      <w:divBdr>
        <w:top w:val="none" w:sz="0" w:space="0" w:color="auto"/>
        <w:left w:val="none" w:sz="0" w:space="0" w:color="auto"/>
        <w:bottom w:val="none" w:sz="0" w:space="0" w:color="auto"/>
        <w:right w:val="none" w:sz="0" w:space="0" w:color="auto"/>
      </w:divBdr>
    </w:div>
    <w:div w:id="1202671797">
      <w:bodyDiv w:val="1"/>
      <w:marLeft w:val="0"/>
      <w:marRight w:val="0"/>
      <w:marTop w:val="0"/>
      <w:marBottom w:val="0"/>
      <w:divBdr>
        <w:top w:val="none" w:sz="0" w:space="0" w:color="auto"/>
        <w:left w:val="none" w:sz="0" w:space="0" w:color="auto"/>
        <w:bottom w:val="none" w:sz="0" w:space="0" w:color="auto"/>
        <w:right w:val="none" w:sz="0" w:space="0" w:color="auto"/>
      </w:divBdr>
    </w:div>
    <w:div w:id="1241865688">
      <w:bodyDiv w:val="1"/>
      <w:marLeft w:val="0"/>
      <w:marRight w:val="0"/>
      <w:marTop w:val="0"/>
      <w:marBottom w:val="0"/>
      <w:divBdr>
        <w:top w:val="none" w:sz="0" w:space="0" w:color="auto"/>
        <w:left w:val="none" w:sz="0" w:space="0" w:color="auto"/>
        <w:bottom w:val="none" w:sz="0" w:space="0" w:color="auto"/>
        <w:right w:val="none" w:sz="0" w:space="0" w:color="auto"/>
      </w:divBdr>
    </w:div>
    <w:div w:id="1260526095">
      <w:bodyDiv w:val="1"/>
      <w:marLeft w:val="0"/>
      <w:marRight w:val="0"/>
      <w:marTop w:val="0"/>
      <w:marBottom w:val="0"/>
      <w:divBdr>
        <w:top w:val="none" w:sz="0" w:space="0" w:color="auto"/>
        <w:left w:val="none" w:sz="0" w:space="0" w:color="auto"/>
        <w:bottom w:val="none" w:sz="0" w:space="0" w:color="auto"/>
        <w:right w:val="none" w:sz="0" w:space="0" w:color="auto"/>
      </w:divBdr>
    </w:div>
    <w:div w:id="1287812805">
      <w:bodyDiv w:val="1"/>
      <w:marLeft w:val="0"/>
      <w:marRight w:val="0"/>
      <w:marTop w:val="0"/>
      <w:marBottom w:val="0"/>
      <w:divBdr>
        <w:top w:val="none" w:sz="0" w:space="0" w:color="auto"/>
        <w:left w:val="none" w:sz="0" w:space="0" w:color="auto"/>
        <w:bottom w:val="none" w:sz="0" w:space="0" w:color="auto"/>
        <w:right w:val="none" w:sz="0" w:space="0" w:color="auto"/>
      </w:divBdr>
    </w:div>
    <w:div w:id="1332634624">
      <w:bodyDiv w:val="1"/>
      <w:marLeft w:val="0"/>
      <w:marRight w:val="0"/>
      <w:marTop w:val="0"/>
      <w:marBottom w:val="0"/>
      <w:divBdr>
        <w:top w:val="none" w:sz="0" w:space="0" w:color="auto"/>
        <w:left w:val="none" w:sz="0" w:space="0" w:color="auto"/>
        <w:bottom w:val="none" w:sz="0" w:space="0" w:color="auto"/>
        <w:right w:val="none" w:sz="0" w:space="0" w:color="auto"/>
      </w:divBdr>
    </w:div>
    <w:div w:id="1516646852">
      <w:bodyDiv w:val="1"/>
      <w:marLeft w:val="0"/>
      <w:marRight w:val="0"/>
      <w:marTop w:val="0"/>
      <w:marBottom w:val="0"/>
      <w:divBdr>
        <w:top w:val="none" w:sz="0" w:space="0" w:color="auto"/>
        <w:left w:val="none" w:sz="0" w:space="0" w:color="auto"/>
        <w:bottom w:val="none" w:sz="0" w:space="0" w:color="auto"/>
        <w:right w:val="none" w:sz="0" w:space="0" w:color="auto"/>
      </w:divBdr>
    </w:div>
    <w:div w:id="1529681091">
      <w:bodyDiv w:val="1"/>
      <w:marLeft w:val="0"/>
      <w:marRight w:val="0"/>
      <w:marTop w:val="0"/>
      <w:marBottom w:val="0"/>
      <w:divBdr>
        <w:top w:val="none" w:sz="0" w:space="0" w:color="auto"/>
        <w:left w:val="none" w:sz="0" w:space="0" w:color="auto"/>
        <w:bottom w:val="none" w:sz="0" w:space="0" w:color="auto"/>
        <w:right w:val="none" w:sz="0" w:space="0" w:color="auto"/>
      </w:divBdr>
    </w:div>
    <w:div w:id="1541672350">
      <w:bodyDiv w:val="1"/>
      <w:marLeft w:val="0"/>
      <w:marRight w:val="0"/>
      <w:marTop w:val="0"/>
      <w:marBottom w:val="0"/>
      <w:divBdr>
        <w:top w:val="none" w:sz="0" w:space="0" w:color="auto"/>
        <w:left w:val="none" w:sz="0" w:space="0" w:color="auto"/>
        <w:bottom w:val="none" w:sz="0" w:space="0" w:color="auto"/>
        <w:right w:val="none" w:sz="0" w:space="0" w:color="auto"/>
      </w:divBdr>
    </w:div>
    <w:div w:id="1576740885">
      <w:bodyDiv w:val="1"/>
      <w:marLeft w:val="0"/>
      <w:marRight w:val="0"/>
      <w:marTop w:val="0"/>
      <w:marBottom w:val="0"/>
      <w:divBdr>
        <w:top w:val="none" w:sz="0" w:space="0" w:color="auto"/>
        <w:left w:val="none" w:sz="0" w:space="0" w:color="auto"/>
        <w:bottom w:val="none" w:sz="0" w:space="0" w:color="auto"/>
        <w:right w:val="none" w:sz="0" w:space="0" w:color="auto"/>
      </w:divBdr>
    </w:div>
    <w:div w:id="1589539701">
      <w:bodyDiv w:val="1"/>
      <w:marLeft w:val="0"/>
      <w:marRight w:val="0"/>
      <w:marTop w:val="0"/>
      <w:marBottom w:val="0"/>
      <w:divBdr>
        <w:top w:val="none" w:sz="0" w:space="0" w:color="auto"/>
        <w:left w:val="none" w:sz="0" w:space="0" w:color="auto"/>
        <w:bottom w:val="none" w:sz="0" w:space="0" w:color="auto"/>
        <w:right w:val="none" w:sz="0" w:space="0" w:color="auto"/>
      </w:divBdr>
    </w:div>
    <w:div w:id="1606645950">
      <w:bodyDiv w:val="1"/>
      <w:marLeft w:val="0"/>
      <w:marRight w:val="0"/>
      <w:marTop w:val="0"/>
      <w:marBottom w:val="0"/>
      <w:divBdr>
        <w:top w:val="none" w:sz="0" w:space="0" w:color="auto"/>
        <w:left w:val="none" w:sz="0" w:space="0" w:color="auto"/>
        <w:bottom w:val="none" w:sz="0" w:space="0" w:color="auto"/>
        <w:right w:val="none" w:sz="0" w:space="0" w:color="auto"/>
      </w:divBdr>
    </w:div>
    <w:div w:id="1666323088">
      <w:bodyDiv w:val="1"/>
      <w:marLeft w:val="0"/>
      <w:marRight w:val="0"/>
      <w:marTop w:val="0"/>
      <w:marBottom w:val="0"/>
      <w:divBdr>
        <w:top w:val="none" w:sz="0" w:space="0" w:color="auto"/>
        <w:left w:val="none" w:sz="0" w:space="0" w:color="auto"/>
        <w:bottom w:val="none" w:sz="0" w:space="0" w:color="auto"/>
        <w:right w:val="none" w:sz="0" w:space="0" w:color="auto"/>
      </w:divBdr>
    </w:div>
    <w:div w:id="1674798260">
      <w:bodyDiv w:val="1"/>
      <w:marLeft w:val="0"/>
      <w:marRight w:val="0"/>
      <w:marTop w:val="0"/>
      <w:marBottom w:val="0"/>
      <w:divBdr>
        <w:top w:val="none" w:sz="0" w:space="0" w:color="auto"/>
        <w:left w:val="none" w:sz="0" w:space="0" w:color="auto"/>
        <w:bottom w:val="none" w:sz="0" w:space="0" w:color="auto"/>
        <w:right w:val="none" w:sz="0" w:space="0" w:color="auto"/>
      </w:divBdr>
    </w:div>
    <w:div w:id="1702129382">
      <w:bodyDiv w:val="1"/>
      <w:marLeft w:val="0"/>
      <w:marRight w:val="0"/>
      <w:marTop w:val="0"/>
      <w:marBottom w:val="0"/>
      <w:divBdr>
        <w:top w:val="none" w:sz="0" w:space="0" w:color="auto"/>
        <w:left w:val="none" w:sz="0" w:space="0" w:color="auto"/>
        <w:bottom w:val="none" w:sz="0" w:space="0" w:color="auto"/>
        <w:right w:val="none" w:sz="0" w:space="0" w:color="auto"/>
      </w:divBdr>
    </w:div>
    <w:div w:id="1702701171">
      <w:bodyDiv w:val="1"/>
      <w:marLeft w:val="0"/>
      <w:marRight w:val="0"/>
      <w:marTop w:val="0"/>
      <w:marBottom w:val="0"/>
      <w:divBdr>
        <w:top w:val="none" w:sz="0" w:space="0" w:color="auto"/>
        <w:left w:val="none" w:sz="0" w:space="0" w:color="auto"/>
        <w:bottom w:val="none" w:sz="0" w:space="0" w:color="auto"/>
        <w:right w:val="none" w:sz="0" w:space="0" w:color="auto"/>
      </w:divBdr>
    </w:div>
    <w:div w:id="17125370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5169679">
      <w:bodyDiv w:val="1"/>
      <w:marLeft w:val="0"/>
      <w:marRight w:val="0"/>
      <w:marTop w:val="0"/>
      <w:marBottom w:val="0"/>
      <w:divBdr>
        <w:top w:val="none" w:sz="0" w:space="0" w:color="auto"/>
        <w:left w:val="none" w:sz="0" w:space="0" w:color="auto"/>
        <w:bottom w:val="none" w:sz="0" w:space="0" w:color="auto"/>
        <w:right w:val="none" w:sz="0" w:space="0" w:color="auto"/>
      </w:divBdr>
    </w:div>
    <w:div w:id="1810786105">
      <w:bodyDiv w:val="1"/>
      <w:marLeft w:val="0"/>
      <w:marRight w:val="0"/>
      <w:marTop w:val="0"/>
      <w:marBottom w:val="0"/>
      <w:divBdr>
        <w:top w:val="none" w:sz="0" w:space="0" w:color="auto"/>
        <w:left w:val="none" w:sz="0" w:space="0" w:color="auto"/>
        <w:bottom w:val="none" w:sz="0" w:space="0" w:color="auto"/>
        <w:right w:val="none" w:sz="0" w:space="0" w:color="auto"/>
      </w:divBdr>
    </w:div>
    <w:div w:id="1815175107">
      <w:bodyDiv w:val="1"/>
      <w:marLeft w:val="0"/>
      <w:marRight w:val="0"/>
      <w:marTop w:val="0"/>
      <w:marBottom w:val="0"/>
      <w:divBdr>
        <w:top w:val="none" w:sz="0" w:space="0" w:color="auto"/>
        <w:left w:val="none" w:sz="0" w:space="0" w:color="auto"/>
        <w:bottom w:val="none" w:sz="0" w:space="0" w:color="auto"/>
        <w:right w:val="none" w:sz="0" w:space="0" w:color="auto"/>
      </w:divBdr>
    </w:div>
    <w:div w:id="1837064545">
      <w:bodyDiv w:val="1"/>
      <w:marLeft w:val="0"/>
      <w:marRight w:val="0"/>
      <w:marTop w:val="0"/>
      <w:marBottom w:val="0"/>
      <w:divBdr>
        <w:top w:val="none" w:sz="0" w:space="0" w:color="auto"/>
        <w:left w:val="none" w:sz="0" w:space="0" w:color="auto"/>
        <w:bottom w:val="none" w:sz="0" w:space="0" w:color="auto"/>
        <w:right w:val="none" w:sz="0" w:space="0" w:color="auto"/>
      </w:divBdr>
    </w:div>
    <w:div w:id="1837724244">
      <w:bodyDiv w:val="1"/>
      <w:marLeft w:val="0"/>
      <w:marRight w:val="0"/>
      <w:marTop w:val="0"/>
      <w:marBottom w:val="0"/>
      <w:divBdr>
        <w:top w:val="none" w:sz="0" w:space="0" w:color="auto"/>
        <w:left w:val="none" w:sz="0" w:space="0" w:color="auto"/>
        <w:bottom w:val="none" w:sz="0" w:space="0" w:color="auto"/>
        <w:right w:val="none" w:sz="0" w:space="0" w:color="auto"/>
      </w:divBdr>
    </w:div>
    <w:div w:id="1888688022">
      <w:bodyDiv w:val="1"/>
      <w:marLeft w:val="0"/>
      <w:marRight w:val="0"/>
      <w:marTop w:val="0"/>
      <w:marBottom w:val="0"/>
      <w:divBdr>
        <w:top w:val="none" w:sz="0" w:space="0" w:color="auto"/>
        <w:left w:val="none" w:sz="0" w:space="0" w:color="auto"/>
        <w:bottom w:val="none" w:sz="0" w:space="0" w:color="auto"/>
        <w:right w:val="none" w:sz="0" w:space="0" w:color="auto"/>
      </w:divBdr>
    </w:div>
    <w:div w:id="1912695975">
      <w:bodyDiv w:val="1"/>
      <w:marLeft w:val="0"/>
      <w:marRight w:val="0"/>
      <w:marTop w:val="0"/>
      <w:marBottom w:val="0"/>
      <w:divBdr>
        <w:top w:val="none" w:sz="0" w:space="0" w:color="auto"/>
        <w:left w:val="none" w:sz="0" w:space="0" w:color="auto"/>
        <w:bottom w:val="none" w:sz="0" w:space="0" w:color="auto"/>
        <w:right w:val="none" w:sz="0" w:space="0" w:color="auto"/>
      </w:divBdr>
    </w:div>
    <w:div w:id="1918706371">
      <w:bodyDiv w:val="1"/>
      <w:marLeft w:val="0"/>
      <w:marRight w:val="0"/>
      <w:marTop w:val="0"/>
      <w:marBottom w:val="0"/>
      <w:divBdr>
        <w:top w:val="none" w:sz="0" w:space="0" w:color="auto"/>
        <w:left w:val="none" w:sz="0" w:space="0" w:color="auto"/>
        <w:bottom w:val="none" w:sz="0" w:space="0" w:color="auto"/>
        <w:right w:val="none" w:sz="0" w:space="0" w:color="auto"/>
      </w:divBdr>
    </w:div>
    <w:div w:id="1924338453">
      <w:bodyDiv w:val="1"/>
      <w:marLeft w:val="0"/>
      <w:marRight w:val="0"/>
      <w:marTop w:val="0"/>
      <w:marBottom w:val="0"/>
      <w:divBdr>
        <w:top w:val="none" w:sz="0" w:space="0" w:color="auto"/>
        <w:left w:val="none" w:sz="0" w:space="0" w:color="auto"/>
        <w:bottom w:val="none" w:sz="0" w:space="0" w:color="auto"/>
        <w:right w:val="none" w:sz="0" w:space="0" w:color="auto"/>
      </w:divBdr>
    </w:div>
    <w:div w:id="1952083722">
      <w:bodyDiv w:val="1"/>
      <w:marLeft w:val="0"/>
      <w:marRight w:val="0"/>
      <w:marTop w:val="0"/>
      <w:marBottom w:val="0"/>
      <w:divBdr>
        <w:top w:val="none" w:sz="0" w:space="0" w:color="auto"/>
        <w:left w:val="none" w:sz="0" w:space="0" w:color="auto"/>
        <w:bottom w:val="none" w:sz="0" w:space="0" w:color="auto"/>
        <w:right w:val="none" w:sz="0" w:space="0" w:color="auto"/>
      </w:divBdr>
    </w:div>
    <w:div w:id="196217939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4213069">
      <w:bodyDiv w:val="1"/>
      <w:marLeft w:val="0"/>
      <w:marRight w:val="0"/>
      <w:marTop w:val="0"/>
      <w:marBottom w:val="0"/>
      <w:divBdr>
        <w:top w:val="none" w:sz="0" w:space="0" w:color="auto"/>
        <w:left w:val="none" w:sz="0" w:space="0" w:color="auto"/>
        <w:bottom w:val="none" w:sz="0" w:space="0" w:color="auto"/>
        <w:right w:val="none" w:sz="0" w:space="0" w:color="auto"/>
      </w:divBdr>
    </w:div>
    <w:div w:id="1993243523">
      <w:bodyDiv w:val="1"/>
      <w:marLeft w:val="0"/>
      <w:marRight w:val="0"/>
      <w:marTop w:val="0"/>
      <w:marBottom w:val="0"/>
      <w:divBdr>
        <w:top w:val="none" w:sz="0" w:space="0" w:color="auto"/>
        <w:left w:val="none" w:sz="0" w:space="0" w:color="auto"/>
        <w:bottom w:val="none" w:sz="0" w:space="0" w:color="auto"/>
        <w:right w:val="none" w:sz="0" w:space="0" w:color="auto"/>
      </w:divBdr>
    </w:div>
    <w:div w:id="2094160458">
      <w:bodyDiv w:val="1"/>
      <w:marLeft w:val="0"/>
      <w:marRight w:val="0"/>
      <w:marTop w:val="0"/>
      <w:marBottom w:val="0"/>
      <w:divBdr>
        <w:top w:val="none" w:sz="0" w:space="0" w:color="auto"/>
        <w:left w:val="none" w:sz="0" w:space="0" w:color="auto"/>
        <w:bottom w:val="none" w:sz="0" w:space="0" w:color="auto"/>
        <w:right w:val="none" w:sz="0" w:space="0" w:color="auto"/>
      </w:divBdr>
    </w:div>
    <w:div w:id="211860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F572A-9A45-4BB5-8C52-B9E98845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566</TotalTime>
  <Pages>12</Pages>
  <Words>3554</Words>
  <Characters>20259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23766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rachelle padilla</cp:lastModifiedBy>
  <cp:revision>43</cp:revision>
  <cp:lastPrinted>1999-07-06T11:00:00Z</cp:lastPrinted>
  <dcterms:created xsi:type="dcterms:W3CDTF">2025-04-25T02:08:00Z</dcterms:created>
  <dcterms:modified xsi:type="dcterms:W3CDTF">2025-05-28T01:38:00Z</dcterms:modified>
</cp:coreProperties>
</file>