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95B8" w14:textId="77777777" w:rsidR="00F26934" w:rsidRPr="00890FF7" w:rsidRDefault="00F26934" w:rsidP="00890FF7">
      <w:pPr>
        <w:rPr>
          <w:rFonts w:ascii="Arial" w:hAnsi="Arial" w:cs="Arial"/>
          <w:b/>
          <w:bCs/>
          <w:i/>
          <w:iCs/>
          <w:sz w:val="32"/>
          <w:szCs w:val="32"/>
          <w:highlight w:val="yellow"/>
          <w:u w:val="single"/>
          <w:lang w:val="en-GB"/>
        </w:rPr>
      </w:pPr>
      <w:r w:rsidRPr="00890FF7">
        <w:rPr>
          <w:rFonts w:ascii="Arial" w:hAnsi="Arial" w:cs="Arial"/>
          <w:b/>
          <w:i/>
          <w:iCs/>
          <w:sz w:val="32"/>
          <w:szCs w:val="32"/>
          <w:u w:val="single"/>
          <w:lang w:val="en-GB"/>
        </w:rPr>
        <w:t>Original Research Article</w:t>
      </w:r>
    </w:p>
    <w:p w14:paraId="29F0472A" w14:textId="381C6D5C" w:rsidR="00E92007" w:rsidRDefault="00E92007" w:rsidP="008B7BD8">
      <w:pPr>
        <w:spacing w:after="0" w:line="240" w:lineRule="auto"/>
        <w:jc w:val="center"/>
        <w:rPr>
          <w:rFonts w:ascii="Arial" w:hAnsi="Arial" w:cs="Arial"/>
          <w:bCs/>
          <w:sz w:val="32"/>
          <w:szCs w:val="32"/>
        </w:rPr>
      </w:pPr>
    </w:p>
    <w:p w14:paraId="011443FE" w14:textId="77777777" w:rsidR="001341A5" w:rsidRDefault="001341A5" w:rsidP="008B7BD8">
      <w:pPr>
        <w:spacing w:after="0" w:line="240" w:lineRule="auto"/>
        <w:jc w:val="center"/>
        <w:rPr>
          <w:highlight w:val="yellow"/>
        </w:rPr>
      </w:pPr>
    </w:p>
    <w:p w14:paraId="777D7A25" w14:textId="7AAAAF4E" w:rsidR="008B7BD8" w:rsidRPr="009B429E" w:rsidRDefault="008B7BD8" w:rsidP="008B7BD8">
      <w:pPr>
        <w:spacing w:after="0" w:line="240" w:lineRule="auto"/>
        <w:jc w:val="center"/>
        <w:rPr>
          <w:b/>
          <w:bCs/>
          <w:sz w:val="32"/>
          <w:szCs w:val="32"/>
        </w:rPr>
      </w:pPr>
      <w:r w:rsidRPr="009B429E">
        <w:rPr>
          <w:b/>
          <w:bCs/>
          <w:sz w:val="32"/>
          <w:szCs w:val="32"/>
          <w:highlight w:val="yellow"/>
        </w:rPr>
        <w:t>A Simulation-Based Approach to Understanding the Sampling Distribution of the Mean</w:t>
      </w:r>
    </w:p>
    <w:p w14:paraId="2E628620" w14:textId="77777777" w:rsidR="003548A9" w:rsidRDefault="003548A9" w:rsidP="008B7BD8">
      <w:pPr>
        <w:spacing w:after="0" w:line="240" w:lineRule="auto"/>
        <w:jc w:val="center"/>
      </w:pPr>
    </w:p>
    <w:p w14:paraId="4D8E4858" w14:textId="77777777" w:rsidR="008777C6" w:rsidRDefault="008777C6" w:rsidP="001B6034">
      <w:pPr>
        <w:spacing w:after="0" w:line="240" w:lineRule="auto"/>
        <w:jc w:val="right"/>
        <w:rPr>
          <w:rFonts w:ascii="Arial" w:hAnsi="Arial" w:cs="Arial"/>
          <w:bCs/>
          <w:sz w:val="32"/>
          <w:szCs w:val="32"/>
        </w:rPr>
      </w:pPr>
    </w:p>
    <w:p w14:paraId="161B30BB" w14:textId="3C32BC54" w:rsidR="001B1FA1" w:rsidRPr="00D70380" w:rsidRDefault="000837CB" w:rsidP="001B6034">
      <w:pPr>
        <w:tabs>
          <w:tab w:val="num" w:pos="720"/>
        </w:tabs>
        <w:spacing w:line="480" w:lineRule="auto"/>
        <w:jc w:val="right"/>
        <w:rPr>
          <w:rFonts w:ascii="Arial" w:hAnsi="Arial" w:cs="Arial"/>
          <w:bCs/>
          <w:sz w:val="24"/>
          <w:szCs w:val="24"/>
        </w:rPr>
      </w:pPr>
      <w:r>
        <w:rPr>
          <w:rFonts w:ascii="Arial" w:hAnsi="Arial" w:cs="Arial"/>
          <w:bCs/>
          <w:sz w:val="24"/>
          <w:szCs w:val="24"/>
        </w:rPr>
        <w:t xml:space="preserve"> </w:t>
      </w:r>
    </w:p>
    <w:p w14:paraId="1B65B6D5" w14:textId="25E9D19D" w:rsidR="0083490E" w:rsidRPr="001B1FA1" w:rsidRDefault="004200C9" w:rsidP="0012729E">
      <w:pPr>
        <w:tabs>
          <w:tab w:val="num" w:pos="720"/>
        </w:tabs>
        <w:spacing w:line="240" w:lineRule="auto"/>
        <w:jc w:val="both"/>
        <w:rPr>
          <w:rFonts w:ascii="Times New Roman" w:hAnsi="Times New Roman" w:cs="Times New Roman"/>
          <w:b/>
          <w:sz w:val="24"/>
          <w:szCs w:val="24"/>
        </w:rPr>
      </w:pPr>
      <w:r w:rsidRPr="001B1FA1">
        <w:rPr>
          <w:rFonts w:ascii="Arial" w:hAnsi="Arial" w:cs="Arial"/>
          <w:b/>
        </w:rPr>
        <w:t>Abstract</w:t>
      </w:r>
    </w:p>
    <w:p w14:paraId="4CBF25A3" w14:textId="3F2099E3" w:rsidR="009C086B" w:rsidRPr="003048D8" w:rsidRDefault="009C086B" w:rsidP="009C086B">
      <w:pPr>
        <w:jc w:val="both"/>
        <w:rPr>
          <w:rFonts w:ascii="Arial" w:hAnsi="Arial" w:cs="Arial"/>
          <w:sz w:val="20"/>
          <w:szCs w:val="20"/>
        </w:rPr>
      </w:pPr>
      <w:r w:rsidRPr="002C1639">
        <w:rPr>
          <w:rFonts w:ascii="Arial" w:hAnsi="Arial" w:cs="Arial"/>
          <w:sz w:val="20"/>
          <w:szCs w:val="20"/>
          <w:highlight w:val="yellow"/>
        </w:rPr>
        <w:t>A longstanding debate surrounds the use of simulations of the sampling distribution of the mean (SSDM), with some researchers cautioning that such simulations may be misleading, while others argue they can enhance statistical learning. To address these conflicting perspectives, this study highlights the importance of a strategic approach that clearly distinguishes between the exact sampling distribution of the mean (SDM) and its simulated counterpart (SSDM), thereby clarifying the scope and limitations of simulation. Using the statistical software R, an SSDM was developed with targeted learning objectives and evaluated across three applied examples. In all cases, the SSDM closely approximated the mean and standard error of the corresponding SDM—for instance, 130.8 and 10.64 in Example 1; 14.74 and 0.44 in Example 2; and 1.5 and 2/√</w:t>
      </w:r>
      <m:oMath>
        <m:r>
          <w:rPr>
            <w:rFonts w:ascii="Cambria Math" w:hAnsi="Cambria Math" w:cs="Arial"/>
            <w:sz w:val="20"/>
            <w:szCs w:val="20"/>
            <w:highlight w:val="yellow"/>
          </w:rPr>
          <m:t>n</m:t>
        </m:r>
      </m:oMath>
      <w:r w:rsidRPr="002C1639">
        <w:rPr>
          <w:rFonts w:ascii="Arial" w:hAnsi="Arial" w:cs="Arial"/>
          <w:sz w:val="20"/>
          <w:szCs w:val="20"/>
          <w:highlight w:val="yellow"/>
        </w:rPr>
        <w:t xml:space="preserve"> across varying sample sizes </w:t>
      </w:r>
      <m:oMath>
        <m:r>
          <w:rPr>
            <w:rFonts w:ascii="Cambria Math" w:hAnsi="Cambria Math" w:cs="Arial"/>
            <w:sz w:val="20"/>
            <w:szCs w:val="20"/>
            <w:highlight w:val="yellow"/>
          </w:rPr>
          <m:t>n</m:t>
        </m:r>
      </m:oMath>
      <w:r w:rsidR="00D815A4" w:rsidRPr="002C1639">
        <w:rPr>
          <w:rFonts w:ascii="Arial" w:hAnsi="Arial" w:cs="Arial"/>
          <w:sz w:val="20"/>
          <w:szCs w:val="20"/>
          <w:highlight w:val="yellow"/>
        </w:rPr>
        <w:t xml:space="preserve"> </w:t>
      </w:r>
      <w:r w:rsidRPr="002C1639">
        <w:rPr>
          <w:rFonts w:ascii="Arial" w:hAnsi="Arial" w:cs="Arial"/>
          <w:sz w:val="20"/>
          <w:szCs w:val="20"/>
          <w:highlight w:val="yellow"/>
        </w:rPr>
        <w:t>in Example 3—with T- and Z-test p-values indicating no significant difference at the 5% level. Additionally, both SSDM and SDM standard errors decreased with increasing sample size, aligning with theoretical expectations. These results suggest that, when thoughtfully designed, SSDMs can effectively support conceptual understanding while minimizing the risk of misconceptions. Although simulations are inherently approximate, they can provide meaningful insights into otherwise abstract statistical concepts, and instructors are encouraged to anticipate and address potential misunderstandings in their use.</w:t>
      </w:r>
    </w:p>
    <w:p w14:paraId="22DB9595" w14:textId="4B90950B" w:rsidR="005B3DA1" w:rsidRPr="00D16EB7" w:rsidRDefault="00F5368E" w:rsidP="00487CEC">
      <w:pPr>
        <w:spacing w:line="240" w:lineRule="auto"/>
        <w:jc w:val="both"/>
        <w:rPr>
          <w:rFonts w:ascii="Arial" w:hAnsi="Arial" w:cs="Arial"/>
          <w:sz w:val="20"/>
          <w:szCs w:val="20"/>
        </w:rPr>
      </w:pPr>
      <w:r w:rsidRPr="00D16EB7">
        <w:rPr>
          <w:rFonts w:ascii="Arial" w:hAnsi="Arial" w:cs="Arial"/>
          <w:b/>
          <w:i/>
          <w:iCs/>
          <w:sz w:val="20"/>
          <w:szCs w:val="20"/>
        </w:rPr>
        <w:t>Key Words</w:t>
      </w:r>
      <w:r w:rsidRPr="00D16EB7">
        <w:rPr>
          <w:rFonts w:ascii="Arial" w:hAnsi="Arial" w:cs="Arial"/>
          <w:b/>
          <w:sz w:val="20"/>
          <w:szCs w:val="20"/>
        </w:rPr>
        <w:t>:</w:t>
      </w:r>
      <w:r w:rsidRPr="00D16EB7">
        <w:rPr>
          <w:rFonts w:ascii="Arial" w:hAnsi="Arial" w:cs="Arial"/>
          <w:sz w:val="20"/>
          <w:szCs w:val="20"/>
        </w:rPr>
        <w:t xml:space="preserve"> </w:t>
      </w:r>
      <w:r w:rsidR="00B86002" w:rsidRPr="00B86002">
        <w:rPr>
          <w:rFonts w:ascii="Arial" w:hAnsi="Arial" w:cs="Arial"/>
          <w:i/>
          <w:iCs/>
          <w:sz w:val="20"/>
          <w:szCs w:val="20"/>
        </w:rPr>
        <w:t>S</w:t>
      </w:r>
      <w:r w:rsidR="00874422" w:rsidRPr="00B86002">
        <w:rPr>
          <w:rFonts w:ascii="Arial" w:hAnsi="Arial" w:cs="Arial"/>
          <w:i/>
          <w:iCs/>
          <w:sz w:val="20"/>
          <w:szCs w:val="20"/>
        </w:rPr>
        <w:t>imulation</w:t>
      </w:r>
      <w:r w:rsidR="001873D1" w:rsidRPr="00D16EB7">
        <w:rPr>
          <w:rFonts w:ascii="Arial" w:hAnsi="Arial" w:cs="Arial"/>
          <w:sz w:val="20"/>
          <w:szCs w:val="20"/>
        </w:rPr>
        <w:t>;</w:t>
      </w:r>
      <w:r w:rsidR="004C2C59" w:rsidRPr="00D16EB7">
        <w:rPr>
          <w:rFonts w:ascii="Arial" w:hAnsi="Arial" w:cs="Arial"/>
          <w:sz w:val="20"/>
          <w:szCs w:val="20"/>
        </w:rPr>
        <w:t xml:space="preserve"> </w:t>
      </w:r>
      <w:r w:rsidR="00B86002" w:rsidRPr="00B86002">
        <w:rPr>
          <w:rFonts w:ascii="Arial" w:hAnsi="Arial" w:cs="Arial"/>
          <w:i/>
          <w:iCs/>
          <w:sz w:val="20"/>
          <w:szCs w:val="20"/>
        </w:rPr>
        <w:t>sampling distribution of mean</w:t>
      </w:r>
      <w:r w:rsidR="00B86002">
        <w:rPr>
          <w:rFonts w:ascii="Arial" w:hAnsi="Arial" w:cs="Arial"/>
          <w:sz w:val="20"/>
          <w:szCs w:val="20"/>
        </w:rPr>
        <w:t xml:space="preserve">, </w:t>
      </w:r>
      <w:r w:rsidR="00B86002" w:rsidRPr="00B86002">
        <w:rPr>
          <w:rFonts w:ascii="Arial" w:hAnsi="Arial" w:cs="Arial"/>
          <w:i/>
          <w:iCs/>
          <w:sz w:val="20"/>
          <w:szCs w:val="20"/>
        </w:rPr>
        <w:t>simulated sampling distribution of mean</w:t>
      </w:r>
      <w:r w:rsidR="00B86002">
        <w:rPr>
          <w:rFonts w:ascii="Arial" w:hAnsi="Arial" w:cs="Arial"/>
          <w:sz w:val="20"/>
          <w:szCs w:val="20"/>
        </w:rPr>
        <w:t xml:space="preserve">, </w:t>
      </w:r>
      <w:r w:rsidR="00B86002" w:rsidRPr="00B86002">
        <w:rPr>
          <w:rFonts w:ascii="Arial" w:hAnsi="Arial" w:cs="Arial"/>
          <w:i/>
          <w:iCs/>
          <w:sz w:val="20"/>
          <w:szCs w:val="20"/>
        </w:rPr>
        <w:t>test of hypothesis</w:t>
      </w:r>
      <w:r w:rsidR="00285D01">
        <w:rPr>
          <w:rFonts w:ascii="Arial" w:hAnsi="Arial" w:cs="Arial"/>
          <w:i/>
          <w:iCs/>
          <w:sz w:val="20"/>
          <w:szCs w:val="20"/>
        </w:rPr>
        <w:t>`</w:t>
      </w:r>
    </w:p>
    <w:p w14:paraId="5D063CD5" w14:textId="77777777" w:rsidR="00A37D7B" w:rsidRPr="00D16EB7" w:rsidRDefault="000F4053" w:rsidP="00487CEC">
      <w:pPr>
        <w:spacing w:after="0" w:line="240" w:lineRule="auto"/>
        <w:jc w:val="both"/>
        <w:rPr>
          <w:rFonts w:ascii="Arial" w:hAnsi="Arial" w:cs="Arial"/>
          <w:b/>
        </w:rPr>
      </w:pPr>
      <w:r w:rsidRPr="00D16EB7">
        <w:rPr>
          <w:rFonts w:ascii="Arial" w:hAnsi="Arial" w:cs="Arial"/>
          <w:b/>
        </w:rPr>
        <w:t xml:space="preserve">1. </w:t>
      </w:r>
      <w:r w:rsidR="00825B47" w:rsidRPr="00D16EB7">
        <w:rPr>
          <w:rFonts w:ascii="Arial" w:hAnsi="Arial" w:cs="Arial"/>
          <w:b/>
        </w:rPr>
        <w:t>Introduction</w:t>
      </w:r>
    </w:p>
    <w:p w14:paraId="6DDA36D5" w14:textId="77777777" w:rsidR="000B6F90" w:rsidRDefault="000B6F90" w:rsidP="00C70459">
      <w:pPr>
        <w:spacing w:after="0" w:line="240" w:lineRule="auto"/>
        <w:rPr>
          <w:rFonts w:ascii="Arial" w:hAnsi="Arial" w:cs="Arial"/>
          <w:bCs/>
          <w:sz w:val="20"/>
          <w:szCs w:val="20"/>
        </w:rPr>
      </w:pPr>
    </w:p>
    <w:p w14:paraId="247735E4" w14:textId="6F4F83A8" w:rsidR="000B6F90" w:rsidRPr="000B6F90" w:rsidRDefault="00046443" w:rsidP="009F5750">
      <w:pPr>
        <w:spacing w:after="0" w:line="240" w:lineRule="auto"/>
        <w:jc w:val="both"/>
        <w:rPr>
          <w:rFonts w:ascii="Arial" w:hAnsi="Arial" w:cs="Arial"/>
          <w:bCs/>
          <w:sz w:val="20"/>
          <w:szCs w:val="20"/>
        </w:rPr>
      </w:pPr>
      <w:r w:rsidRPr="00046443">
        <w:rPr>
          <w:rFonts w:ascii="Arial" w:hAnsi="Arial" w:cs="Arial"/>
          <w:bCs/>
          <w:sz w:val="20"/>
          <w:szCs w:val="20"/>
          <w:highlight w:val="yellow"/>
        </w:rPr>
        <w:t>In statistical inference, many students have a difficult time learning the sample mean, sampling distribution, and the central limit theorem, even though these are key concepts in statistics</w:t>
      </w:r>
      <w:r>
        <w:rPr>
          <w:rFonts w:ascii="Arial" w:hAnsi="Arial" w:cs="Arial"/>
          <w:bCs/>
          <w:sz w:val="20"/>
          <w:szCs w:val="20"/>
          <w:highlight w:val="yellow"/>
        </w:rPr>
        <w:t xml:space="preserve"> (</w:t>
      </w:r>
      <w:r w:rsidR="0001795E" w:rsidRPr="00C0765D">
        <w:rPr>
          <w:rFonts w:ascii="Times New Roman" w:hAnsi="Times New Roman" w:cs="Times New Roman"/>
          <w:sz w:val="24"/>
          <w:szCs w:val="24"/>
          <w:highlight w:val="yellow"/>
        </w:rPr>
        <w:t>Kim,</w:t>
      </w:r>
      <w:r w:rsidR="0001795E">
        <w:rPr>
          <w:rFonts w:ascii="Times New Roman" w:hAnsi="Times New Roman" w:cs="Times New Roman"/>
          <w:sz w:val="24"/>
          <w:szCs w:val="24"/>
          <w:highlight w:val="yellow"/>
        </w:rPr>
        <w:t xml:space="preserve"> </w:t>
      </w:r>
      <w:r w:rsidR="0001795E" w:rsidRPr="00C0765D">
        <w:rPr>
          <w:rFonts w:ascii="Times New Roman" w:hAnsi="Times New Roman" w:cs="Times New Roman"/>
          <w:sz w:val="24"/>
          <w:szCs w:val="24"/>
          <w:highlight w:val="yellow"/>
        </w:rPr>
        <w:t>2020</w:t>
      </w:r>
      <w:r>
        <w:rPr>
          <w:rFonts w:ascii="Arial" w:hAnsi="Arial" w:cs="Arial"/>
          <w:bCs/>
          <w:sz w:val="20"/>
          <w:szCs w:val="20"/>
          <w:highlight w:val="yellow"/>
        </w:rPr>
        <w:t>)</w:t>
      </w:r>
      <w:r w:rsidRPr="00046443">
        <w:rPr>
          <w:rFonts w:ascii="Arial" w:hAnsi="Arial" w:cs="Arial"/>
          <w:bCs/>
          <w:sz w:val="20"/>
          <w:szCs w:val="20"/>
          <w:highlight w:val="yellow"/>
        </w:rPr>
        <w:t>. </w:t>
      </w:r>
      <w:r w:rsidR="0074051A" w:rsidRPr="009B429E">
        <w:rPr>
          <w:rFonts w:ascii="Arial" w:hAnsi="Arial" w:cs="Arial"/>
          <w:bCs/>
          <w:sz w:val="20"/>
          <w:szCs w:val="20"/>
          <w:highlight w:val="yellow"/>
        </w:rPr>
        <w:t>Sampling distributions are fundamental for statistical inference, yet their abstract nature poses challenges for students</w:t>
      </w:r>
      <w:r w:rsidR="005845DD">
        <w:rPr>
          <w:rFonts w:ascii="Arial" w:hAnsi="Arial" w:cs="Arial"/>
          <w:bCs/>
          <w:sz w:val="20"/>
          <w:szCs w:val="20"/>
          <w:highlight w:val="yellow"/>
        </w:rPr>
        <w:t xml:space="preserve">. </w:t>
      </w:r>
      <w:r w:rsidR="005845DD" w:rsidRPr="005845DD">
        <w:rPr>
          <w:rFonts w:ascii="Arial" w:hAnsi="Arial" w:cs="Arial"/>
          <w:bCs/>
          <w:sz w:val="20"/>
          <w:szCs w:val="20"/>
          <w:highlight w:val="yellow"/>
        </w:rPr>
        <w:t>In traditional courses, sampling distributions are presented as preprepared tables with their instructions for use, but without revealing their origin or construction</w:t>
      </w:r>
      <w:r w:rsidR="0074051A">
        <w:rPr>
          <w:rFonts w:ascii="Arial" w:hAnsi="Arial" w:cs="Arial"/>
          <w:bCs/>
          <w:sz w:val="20"/>
          <w:szCs w:val="20"/>
          <w:highlight w:val="yellow"/>
        </w:rPr>
        <w:t xml:space="preserve"> </w:t>
      </w:r>
      <w:r w:rsidR="0074051A" w:rsidRPr="00BB15DA">
        <w:rPr>
          <w:rFonts w:ascii="Arial" w:hAnsi="Arial" w:cs="Arial"/>
          <w:bCs/>
          <w:sz w:val="20"/>
          <w:szCs w:val="20"/>
          <w:highlight w:val="yellow"/>
        </w:rPr>
        <w:t>(</w:t>
      </w:r>
      <w:r w:rsidR="00BB15DA" w:rsidRPr="009B429E">
        <w:rPr>
          <w:rFonts w:ascii="Times New Roman" w:hAnsi="Times New Roman" w:cs="Times New Roman"/>
          <w:sz w:val="24"/>
          <w:szCs w:val="24"/>
          <w:highlight w:val="yellow"/>
        </w:rPr>
        <w:t>Sánchez et al., 2024</w:t>
      </w:r>
      <w:r w:rsidR="0074051A" w:rsidRPr="00BB15DA">
        <w:rPr>
          <w:rFonts w:ascii="Arial" w:hAnsi="Arial" w:cs="Arial"/>
          <w:bCs/>
          <w:sz w:val="20"/>
          <w:szCs w:val="20"/>
          <w:highlight w:val="yellow"/>
        </w:rPr>
        <w:t>)</w:t>
      </w:r>
      <w:r w:rsidR="0074051A" w:rsidRPr="009B429E">
        <w:rPr>
          <w:rFonts w:ascii="Arial" w:hAnsi="Arial" w:cs="Arial"/>
          <w:bCs/>
          <w:sz w:val="20"/>
          <w:szCs w:val="20"/>
          <w:highlight w:val="yellow"/>
        </w:rPr>
        <w:t>.</w:t>
      </w:r>
      <w:r w:rsidR="0074051A">
        <w:rPr>
          <w:rFonts w:ascii="Arial" w:hAnsi="Arial" w:cs="Arial"/>
          <w:bCs/>
          <w:sz w:val="20"/>
          <w:szCs w:val="20"/>
        </w:rPr>
        <w:t xml:space="preserve"> </w:t>
      </w:r>
      <w:r w:rsidR="000B6F90" w:rsidRPr="000B6F90">
        <w:rPr>
          <w:rFonts w:ascii="Arial" w:hAnsi="Arial" w:cs="Arial"/>
          <w:bCs/>
          <w:sz w:val="20"/>
          <w:szCs w:val="20"/>
        </w:rPr>
        <w:t xml:space="preserve">The simulation of the sampling distribution of the mean (SSDM) has been a topic of ongoing debate in statistical education. While some researchers argue that SSDMs can mislead students (Watkins, </w:t>
      </w:r>
      <w:proofErr w:type="spellStart"/>
      <w:r w:rsidR="000B6F90" w:rsidRPr="000B6F90">
        <w:rPr>
          <w:rFonts w:ascii="Arial" w:hAnsi="Arial" w:cs="Arial"/>
          <w:bCs/>
          <w:sz w:val="20"/>
          <w:szCs w:val="20"/>
        </w:rPr>
        <w:t>Bargagliotti</w:t>
      </w:r>
      <w:proofErr w:type="spellEnd"/>
      <w:r w:rsidR="000B6F90" w:rsidRPr="000B6F90">
        <w:rPr>
          <w:rFonts w:ascii="Arial" w:hAnsi="Arial" w:cs="Arial"/>
          <w:bCs/>
          <w:sz w:val="20"/>
          <w:szCs w:val="20"/>
        </w:rPr>
        <w:t xml:space="preserve">, &amp; Franklin, 2014), others contend that they can effectively facilitate learning (Lane, 2015). Given these contradictory conclusions, it is essential for instructors to implement SSDMs with clearly defined objectives and strategic guidelines to enhance learning while </w:t>
      </w:r>
      <w:r w:rsidR="003F4CED" w:rsidRPr="009B429E">
        <w:rPr>
          <w:rFonts w:ascii="Arial" w:hAnsi="Arial" w:cs="Arial"/>
          <w:bCs/>
          <w:sz w:val="20"/>
          <w:szCs w:val="20"/>
          <w:highlight w:val="yellow"/>
        </w:rPr>
        <w:t>minimizing</w:t>
      </w:r>
      <w:r w:rsidR="005469C4" w:rsidRPr="009B429E">
        <w:rPr>
          <w:rFonts w:ascii="Arial" w:hAnsi="Arial" w:cs="Arial"/>
          <w:bCs/>
          <w:sz w:val="20"/>
          <w:szCs w:val="20"/>
          <w:highlight w:val="yellow"/>
        </w:rPr>
        <w:t xml:space="preserve"> </w:t>
      </w:r>
      <w:r w:rsidR="000B6F90" w:rsidRPr="000B6F90">
        <w:rPr>
          <w:rFonts w:ascii="Arial" w:hAnsi="Arial" w:cs="Arial"/>
          <w:bCs/>
          <w:sz w:val="20"/>
          <w:szCs w:val="20"/>
        </w:rPr>
        <w:t>potential misconceptions.</w:t>
      </w:r>
    </w:p>
    <w:p w14:paraId="0C5B33FD" w14:textId="5EFE1BF6" w:rsidR="000B6F90" w:rsidRPr="000B6F90" w:rsidRDefault="000B6F90" w:rsidP="009F5750">
      <w:pPr>
        <w:spacing w:after="0" w:line="240" w:lineRule="auto"/>
        <w:jc w:val="both"/>
        <w:rPr>
          <w:rFonts w:ascii="Arial" w:hAnsi="Arial" w:cs="Arial"/>
          <w:bCs/>
          <w:sz w:val="20"/>
          <w:szCs w:val="20"/>
        </w:rPr>
      </w:pPr>
      <w:r w:rsidRPr="000B6F90">
        <w:rPr>
          <w:rFonts w:ascii="Arial" w:hAnsi="Arial" w:cs="Arial"/>
          <w:bCs/>
          <w:sz w:val="20"/>
          <w:szCs w:val="20"/>
        </w:rPr>
        <w:t xml:space="preserve">A critical part of this strategy involves making a clear distinction between the exact sampling distribution of the mean (SDM) and its simulated counterpart (SSDM), </w:t>
      </w:r>
      <w:r w:rsidR="00F8172B" w:rsidRPr="000B6F90">
        <w:rPr>
          <w:rFonts w:ascii="Arial" w:hAnsi="Arial" w:cs="Arial"/>
          <w:bCs/>
          <w:sz w:val="20"/>
          <w:szCs w:val="20"/>
        </w:rPr>
        <w:t>to</w:t>
      </w:r>
      <w:r w:rsidRPr="000B6F90">
        <w:rPr>
          <w:rFonts w:ascii="Arial" w:hAnsi="Arial" w:cs="Arial"/>
          <w:bCs/>
          <w:sz w:val="20"/>
          <w:szCs w:val="20"/>
        </w:rPr>
        <w:t xml:space="preserve"> clarify the scope and limitations of simulation. This paper closely examines the components of the SDM and explicitly differentiates it from the SSDM to prevent conceptual confusion. The SSDM is structured around specific learning objectives, with an emphasis on hypothesis testing to verify the theoretical properties of the SDM through simulation.</w:t>
      </w:r>
    </w:p>
    <w:p w14:paraId="21E62CD1" w14:textId="77777777" w:rsidR="000B6F90" w:rsidRPr="000B6F90" w:rsidRDefault="000B6F90" w:rsidP="009F5750">
      <w:pPr>
        <w:spacing w:after="0" w:line="240" w:lineRule="auto"/>
        <w:jc w:val="both"/>
        <w:rPr>
          <w:rFonts w:ascii="Arial" w:hAnsi="Arial" w:cs="Arial"/>
          <w:bCs/>
          <w:sz w:val="20"/>
          <w:szCs w:val="20"/>
        </w:rPr>
      </w:pPr>
      <w:r w:rsidRPr="000B6F90">
        <w:rPr>
          <w:rFonts w:ascii="Arial" w:hAnsi="Arial" w:cs="Arial"/>
          <w:bCs/>
          <w:sz w:val="20"/>
          <w:szCs w:val="20"/>
        </w:rPr>
        <w:lastRenderedPageBreak/>
        <w:t>This study aims to build confidence and conceptual clarity in the use of SSDMs for teaching by aligning simulations with purposeful instructional goals and applied examples. All simulations are conducted using the open-source statistical software R, which not only facilitates SSDM implementation but also helps students develop practical computational skills.</w:t>
      </w:r>
    </w:p>
    <w:p w14:paraId="16521D17" w14:textId="5A664BFF" w:rsidR="000B6F90" w:rsidRPr="000B6F90" w:rsidRDefault="000B6F90" w:rsidP="009F5750">
      <w:pPr>
        <w:spacing w:after="0" w:line="240" w:lineRule="auto"/>
        <w:jc w:val="both"/>
        <w:rPr>
          <w:rFonts w:ascii="Arial" w:hAnsi="Arial" w:cs="Arial"/>
          <w:bCs/>
          <w:sz w:val="20"/>
          <w:szCs w:val="20"/>
        </w:rPr>
      </w:pPr>
      <w:r w:rsidRPr="000B6F90">
        <w:rPr>
          <w:rFonts w:ascii="Arial" w:hAnsi="Arial" w:cs="Arial"/>
          <w:bCs/>
          <w:sz w:val="20"/>
          <w:szCs w:val="20"/>
        </w:rPr>
        <w:t xml:space="preserve">The remainder of this paper is </w:t>
      </w:r>
      <w:r w:rsidR="003733D1" w:rsidRPr="009B429E">
        <w:rPr>
          <w:rFonts w:ascii="Arial" w:hAnsi="Arial" w:cs="Arial"/>
          <w:bCs/>
          <w:sz w:val="20"/>
          <w:szCs w:val="20"/>
          <w:highlight w:val="yellow"/>
        </w:rPr>
        <w:t>organized</w:t>
      </w:r>
      <w:r w:rsidR="005469C4" w:rsidRPr="009B429E">
        <w:rPr>
          <w:rFonts w:ascii="Arial" w:hAnsi="Arial" w:cs="Arial"/>
          <w:bCs/>
          <w:sz w:val="20"/>
          <w:szCs w:val="20"/>
          <w:highlight w:val="yellow"/>
        </w:rPr>
        <w:t xml:space="preserve"> </w:t>
      </w:r>
      <w:r w:rsidRPr="000B6F90">
        <w:rPr>
          <w:rFonts w:ascii="Arial" w:hAnsi="Arial" w:cs="Arial"/>
          <w:bCs/>
          <w:sz w:val="20"/>
          <w:szCs w:val="20"/>
        </w:rPr>
        <w:t xml:space="preserve">as follows: Section 2 provides a brief literature review; Section 3 presents methods for distinguishing between the SDM and SSDM and evaluates the use of SSDMs; Section 4 describes examples and applications; Section 5 </w:t>
      </w:r>
      <w:r w:rsidR="003733D1" w:rsidRPr="009B429E">
        <w:rPr>
          <w:rFonts w:ascii="Arial" w:hAnsi="Arial" w:cs="Arial"/>
          <w:bCs/>
          <w:sz w:val="20"/>
          <w:szCs w:val="20"/>
          <w:highlight w:val="yellow"/>
        </w:rPr>
        <w:t>summarizes</w:t>
      </w:r>
      <w:r w:rsidR="005469C4" w:rsidRPr="009B429E">
        <w:rPr>
          <w:rFonts w:ascii="Arial" w:hAnsi="Arial" w:cs="Arial"/>
          <w:bCs/>
          <w:sz w:val="20"/>
          <w:szCs w:val="20"/>
          <w:highlight w:val="yellow"/>
        </w:rPr>
        <w:t xml:space="preserve"> </w:t>
      </w:r>
      <w:r w:rsidRPr="000B6F90">
        <w:rPr>
          <w:rFonts w:ascii="Arial" w:hAnsi="Arial" w:cs="Arial"/>
          <w:bCs/>
          <w:sz w:val="20"/>
          <w:szCs w:val="20"/>
        </w:rPr>
        <w:t>the simulation results; and Section 6 provides concluding remarks.</w:t>
      </w:r>
    </w:p>
    <w:p w14:paraId="4489C480" w14:textId="77777777" w:rsidR="000B6F90" w:rsidRDefault="000B6F90" w:rsidP="00C70459">
      <w:pPr>
        <w:spacing w:after="0" w:line="240" w:lineRule="auto"/>
        <w:rPr>
          <w:rFonts w:ascii="Arial" w:hAnsi="Arial" w:cs="Arial"/>
          <w:bCs/>
          <w:sz w:val="20"/>
          <w:szCs w:val="20"/>
        </w:rPr>
      </w:pPr>
    </w:p>
    <w:p w14:paraId="1BC01732" w14:textId="6776683C" w:rsidR="00284629" w:rsidRDefault="00AD523F" w:rsidP="00C70459">
      <w:pPr>
        <w:spacing w:after="0" w:line="240" w:lineRule="auto"/>
        <w:rPr>
          <w:rFonts w:ascii="Arial" w:eastAsiaTheme="minorEastAsia" w:hAnsi="Arial" w:cs="Arial"/>
          <w:b/>
        </w:rPr>
      </w:pPr>
      <w:r w:rsidRPr="00D16EB7">
        <w:rPr>
          <w:rFonts w:ascii="Arial" w:eastAsiaTheme="minorEastAsia" w:hAnsi="Arial" w:cs="Arial"/>
          <w:b/>
        </w:rPr>
        <w:t>2</w:t>
      </w:r>
      <w:r w:rsidR="00284629" w:rsidRPr="00D16EB7">
        <w:rPr>
          <w:rFonts w:ascii="Arial" w:eastAsiaTheme="minorEastAsia" w:hAnsi="Arial" w:cs="Arial"/>
          <w:b/>
        </w:rPr>
        <w:t>. Literature Review</w:t>
      </w:r>
    </w:p>
    <w:p w14:paraId="0F20197A" w14:textId="77777777" w:rsidR="000B6F90" w:rsidRDefault="000B6F90" w:rsidP="00C70459">
      <w:pPr>
        <w:spacing w:after="0" w:line="240" w:lineRule="auto"/>
        <w:rPr>
          <w:rFonts w:ascii="Arial" w:eastAsiaTheme="minorEastAsia" w:hAnsi="Arial" w:cs="Arial"/>
          <w:b/>
        </w:rPr>
      </w:pPr>
    </w:p>
    <w:p w14:paraId="78030DA3" w14:textId="31A3B238" w:rsidR="00257891" w:rsidRPr="00257891" w:rsidRDefault="00257891" w:rsidP="00257891">
      <w:pPr>
        <w:spacing w:after="0" w:line="240" w:lineRule="auto"/>
        <w:jc w:val="both"/>
        <w:rPr>
          <w:rFonts w:ascii="Arial" w:eastAsiaTheme="minorEastAsia" w:hAnsi="Arial" w:cs="Arial"/>
          <w:bCs/>
          <w:sz w:val="20"/>
          <w:szCs w:val="20"/>
        </w:rPr>
      </w:pPr>
      <w:r w:rsidRPr="00257891">
        <w:rPr>
          <w:rFonts w:ascii="Arial" w:eastAsiaTheme="minorEastAsia" w:hAnsi="Arial" w:cs="Arial"/>
          <w:bCs/>
          <w:sz w:val="20"/>
          <w:szCs w:val="20"/>
        </w:rPr>
        <w:t xml:space="preserve">Many previous studies have evaluated and recommended the use of simulations of the sampling distribution of the mean (SSDM) in teaching statistics (e.g., Chance et al., 2007; Hancock &amp; </w:t>
      </w:r>
      <w:proofErr w:type="spellStart"/>
      <w:r w:rsidRPr="00257891">
        <w:rPr>
          <w:rFonts w:ascii="Arial" w:eastAsiaTheme="minorEastAsia" w:hAnsi="Arial" w:cs="Arial"/>
          <w:bCs/>
          <w:sz w:val="20"/>
          <w:szCs w:val="20"/>
        </w:rPr>
        <w:t>Rummerfeld</w:t>
      </w:r>
      <w:proofErr w:type="spellEnd"/>
      <w:r w:rsidRPr="00257891">
        <w:rPr>
          <w:rFonts w:ascii="Arial" w:eastAsiaTheme="minorEastAsia" w:hAnsi="Arial" w:cs="Arial"/>
          <w:bCs/>
          <w:sz w:val="20"/>
          <w:szCs w:val="20"/>
        </w:rPr>
        <w:t>, 2020</w:t>
      </w:r>
      <w:r w:rsidRPr="009F5750">
        <w:rPr>
          <w:rFonts w:ascii="Arial" w:eastAsiaTheme="minorEastAsia" w:hAnsi="Arial" w:cs="Arial"/>
          <w:bCs/>
          <w:sz w:val="20"/>
          <w:szCs w:val="20"/>
        </w:rPr>
        <w:t xml:space="preserve">; </w:t>
      </w:r>
      <w:r w:rsidRPr="00257891">
        <w:rPr>
          <w:rFonts w:ascii="Arial" w:eastAsiaTheme="minorEastAsia" w:hAnsi="Arial" w:cs="Arial"/>
          <w:bCs/>
          <w:sz w:val="20"/>
          <w:szCs w:val="20"/>
        </w:rPr>
        <w:t>Lane, 2015; Lane &amp; Tang, 2000</w:t>
      </w:r>
      <w:r w:rsidRPr="009F5750">
        <w:rPr>
          <w:rFonts w:ascii="Arial" w:eastAsiaTheme="minorEastAsia" w:hAnsi="Arial" w:cs="Arial"/>
          <w:bCs/>
          <w:sz w:val="20"/>
          <w:szCs w:val="20"/>
        </w:rPr>
        <w:t xml:space="preserve">; </w:t>
      </w:r>
      <w:r w:rsidRPr="00257891">
        <w:rPr>
          <w:rFonts w:ascii="Arial" w:eastAsiaTheme="minorEastAsia" w:hAnsi="Arial" w:cs="Arial"/>
          <w:bCs/>
          <w:sz w:val="20"/>
          <w:szCs w:val="20"/>
        </w:rPr>
        <w:t xml:space="preserve">Watkins, </w:t>
      </w:r>
      <w:proofErr w:type="spellStart"/>
      <w:r w:rsidRPr="00257891">
        <w:rPr>
          <w:rFonts w:ascii="Arial" w:eastAsiaTheme="minorEastAsia" w:hAnsi="Arial" w:cs="Arial"/>
          <w:bCs/>
          <w:sz w:val="20"/>
          <w:szCs w:val="20"/>
        </w:rPr>
        <w:t>Bargagliotti</w:t>
      </w:r>
      <w:proofErr w:type="spellEnd"/>
      <w:r w:rsidRPr="00257891">
        <w:rPr>
          <w:rFonts w:ascii="Arial" w:eastAsiaTheme="minorEastAsia" w:hAnsi="Arial" w:cs="Arial"/>
          <w:bCs/>
          <w:sz w:val="20"/>
          <w:szCs w:val="20"/>
        </w:rPr>
        <w:t xml:space="preserve">, &amp; Franklin, 2014). These studies highlight the growing role of SSDMs in promoting </w:t>
      </w:r>
      <w:r w:rsidR="005469C4" w:rsidRPr="009B429E">
        <w:rPr>
          <w:rFonts w:ascii="Arial" w:eastAsiaTheme="minorEastAsia" w:hAnsi="Arial" w:cs="Arial"/>
          <w:bCs/>
          <w:sz w:val="20"/>
          <w:szCs w:val="20"/>
          <w:highlight w:val="yellow"/>
        </w:rPr>
        <w:t xml:space="preserve">a </w:t>
      </w:r>
      <w:r w:rsidRPr="00257891">
        <w:rPr>
          <w:rFonts w:ascii="Arial" w:eastAsiaTheme="minorEastAsia" w:hAnsi="Arial" w:cs="Arial"/>
          <w:bCs/>
          <w:sz w:val="20"/>
          <w:szCs w:val="20"/>
        </w:rPr>
        <w:t xml:space="preserve">deeper understanding of statistical concepts. It has been suggested that computer-based simulations can be made more effective when instructors ask students to predict the shape, </w:t>
      </w:r>
      <w:r w:rsidR="00F8172B" w:rsidRPr="009B429E">
        <w:rPr>
          <w:rFonts w:ascii="Arial" w:eastAsiaTheme="minorEastAsia" w:hAnsi="Arial" w:cs="Arial"/>
          <w:bCs/>
          <w:sz w:val="20"/>
          <w:szCs w:val="20"/>
          <w:highlight w:val="yellow"/>
        </w:rPr>
        <w:t>center</w:t>
      </w:r>
      <w:r w:rsidRPr="00257891">
        <w:rPr>
          <w:rFonts w:ascii="Arial" w:eastAsiaTheme="minorEastAsia" w:hAnsi="Arial" w:cs="Arial"/>
          <w:bCs/>
          <w:sz w:val="20"/>
          <w:szCs w:val="20"/>
        </w:rPr>
        <w:t xml:space="preserve">, and spread of a sampling distribution before running the simulation, and then encourage them to reflect on their observations </w:t>
      </w:r>
      <w:r w:rsidR="008915E5" w:rsidRPr="009B429E">
        <w:rPr>
          <w:rFonts w:ascii="Arial" w:eastAsiaTheme="minorEastAsia" w:hAnsi="Arial" w:cs="Arial"/>
          <w:bCs/>
          <w:sz w:val="20"/>
          <w:szCs w:val="20"/>
          <w:highlight w:val="yellow"/>
        </w:rPr>
        <w:t>afterwards</w:t>
      </w:r>
      <w:r w:rsidRPr="00257891">
        <w:rPr>
          <w:rFonts w:ascii="Arial" w:eastAsiaTheme="minorEastAsia" w:hAnsi="Arial" w:cs="Arial"/>
          <w:bCs/>
          <w:sz w:val="20"/>
          <w:szCs w:val="20"/>
        </w:rPr>
        <w:t>.</w:t>
      </w:r>
    </w:p>
    <w:p w14:paraId="282F2645" w14:textId="5E72616E" w:rsidR="00257891" w:rsidRPr="00257891" w:rsidRDefault="00257891" w:rsidP="00257891">
      <w:pPr>
        <w:spacing w:after="0" w:line="240" w:lineRule="auto"/>
        <w:jc w:val="both"/>
        <w:rPr>
          <w:rFonts w:ascii="Arial" w:eastAsiaTheme="minorEastAsia" w:hAnsi="Arial" w:cs="Arial"/>
          <w:bCs/>
          <w:sz w:val="20"/>
          <w:szCs w:val="20"/>
        </w:rPr>
      </w:pPr>
      <w:r w:rsidRPr="00257891">
        <w:rPr>
          <w:rFonts w:ascii="Arial" w:eastAsiaTheme="minorEastAsia" w:hAnsi="Arial" w:cs="Arial"/>
          <w:bCs/>
          <w:sz w:val="20"/>
          <w:szCs w:val="20"/>
        </w:rPr>
        <w:t xml:space="preserve">Despite their potential, various studies have identified misconceptions and challenges associated with using SSDMs (e.g., Hodgson &amp; Burke, 2000; Lunsford, Rowell, &amp; Goodson-Espy, 2006; Pfaff &amp; Weinberg, 2009; Watkins, </w:t>
      </w:r>
      <w:proofErr w:type="spellStart"/>
      <w:r w:rsidRPr="00257891">
        <w:rPr>
          <w:rFonts w:ascii="Arial" w:eastAsiaTheme="minorEastAsia" w:hAnsi="Arial" w:cs="Arial"/>
          <w:bCs/>
          <w:sz w:val="20"/>
          <w:szCs w:val="20"/>
        </w:rPr>
        <w:t>Bargagliotti</w:t>
      </w:r>
      <w:proofErr w:type="spellEnd"/>
      <w:r w:rsidRPr="00257891">
        <w:rPr>
          <w:rFonts w:ascii="Arial" w:eastAsiaTheme="minorEastAsia" w:hAnsi="Arial" w:cs="Arial"/>
          <w:bCs/>
          <w:sz w:val="20"/>
          <w:szCs w:val="20"/>
        </w:rPr>
        <w:t>, &amp; Franklin, 2014). For instance, Pfaff and Weinberg (2009), using a card-based simulation, found no evidence that the activity improved students' understanding. Similarly, Hodgson and Burke (2000) reported that simulation of the SDM led 6 of their 18 students to believe that “one must draw multiple samples in order to make valid statistical inferences.”</w:t>
      </w:r>
    </w:p>
    <w:p w14:paraId="33DBE8E1" w14:textId="69782ADB" w:rsidR="00257891" w:rsidRPr="00257891" w:rsidRDefault="00257891" w:rsidP="00257891">
      <w:pPr>
        <w:spacing w:after="0" w:line="240" w:lineRule="auto"/>
        <w:jc w:val="both"/>
        <w:rPr>
          <w:rFonts w:ascii="Arial" w:eastAsiaTheme="minorEastAsia" w:hAnsi="Arial" w:cs="Arial"/>
          <w:bCs/>
          <w:sz w:val="20"/>
          <w:szCs w:val="20"/>
        </w:rPr>
      </w:pPr>
      <w:r w:rsidRPr="00257891">
        <w:rPr>
          <w:rFonts w:ascii="Arial" w:eastAsiaTheme="minorEastAsia" w:hAnsi="Arial" w:cs="Arial"/>
          <w:bCs/>
          <w:sz w:val="20"/>
          <w:szCs w:val="20"/>
        </w:rPr>
        <w:t>While some researchers raise concerns, others argue that simulation-based approaches help students develop a more intuitive grasp of sampling distributions</w:t>
      </w:r>
      <w:r w:rsidR="004431CC">
        <w:rPr>
          <w:rFonts w:ascii="Arial" w:eastAsiaTheme="minorEastAsia" w:hAnsi="Arial" w:cs="Arial"/>
          <w:bCs/>
          <w:sz w:val="20"/>
          <w:szCs w:val="20"/>
        </w:rPr>
        <w:t xml:space="preserve"> or related abstract ideas</w:t>
      </w:r>
      <w:r w:rsidRPr="00257891">
        <w:rPr>
          <w:rFonts w:ascii="Arial" w:eastAsiaTheme="minorEastAsia" w:hAnsi="Arial" w:cs="Arial"/>
          <w:bCs/>
          <w:sz w:val="20"/>
          <w:szCs w:val="20"/>
        </w:rPr>
        <w:t xml:space="preserve"> (e.g., Beckman, </w:t>
      </w:r>
      <w:proofErr w:type="spellStart"/>
      <w:r w:rsidRPr="00257891">
        <w:rPr>
          <w:rFonts w:ascii="Arial" w:eastAsiaTheme="minorEastAsia" w:hAnsi="Arial" w:cs="Arial"/>
          <w:bCs/>
          <w:sz w:val="20"/>
          <w:szCs w:val="20"/>
        </w:rPr>
        <w:t>DelMas</w:t>
      </w:r>
      <w:proofErr w:type="spellEnd"/>
      <w:r w:rsidRPr="00257891">
        <w:rPr>
          <w:rFonts w:ascii="Arial" w:eastAsiaTheme="minorEastAsia" w:hAnsi="Arial" w:cs="Arial"/>
          <w:bCs/>
          <w:sz w:val="20"/>
          <w:szCs w:val="20"/>
        </w:rPr>
        <w:t>, &amp; Garfield, 2017</w:t>
      </w:r>
      <w:r w:rsidRPr="009F5750">
        <w:rPr>
          <w:rFonts w:ascii="Arial" w:eastAsiaTheme="minorEastAsia" w:hAnsi="Arial" w:cs="Arial"/>
          <w:bCs/>
          <w:sz w:val="20"/>
          <w:szCs w:val="20"/>
        </w:rPr>
        <w:t xml:space="preserve">; </w:t>
      </w:r>
      <w:r w:rsidRPr="00257891">
        <w:rPr>
          <w:rFonts w:ascii="Arial" w:eastAsiaTheme="minorEastAsia" w:hAnsi="Arial" w:cs="Arial"/>
          <w:bCs/>
          <w:sz w:val="20"/>
          <w:szCs w:val="20"/>
        </w:rPr>
        <w:t>Mills, 200</w:t>
      </w:r>
      <w:r w:rsidR="004431CC">
        <w:rPr>
          <w:rFonts w:ascii="Arial" w:eastAsiaTheme="minorEastAsia" w:hAnsi="Arial" w:cs="Arial"/>
          <w:bCs/>
          <w:sz w:val="20"/>
          <w:szCs w:val="20"/>
        </w:rPr>
        <w:t>4</w:t>
      </w:r>
      <w:r w:rsidRPr="00257891">
        <w:rPr>
          <w:rFonts w:ascii="Arial" w:eastAsiaTheme="minorEastAsia" w:hAnsi="Arial" w:cs="Arial"/>
          <w:bCs/>
          <w:sz w:val="20"/>
          <w:szCs w:val="20"/>
        </w:rPr>
        <w:t>; Pfaff &amp; Weinberg, 2009;</w:t>
      </w:r>
      <w:r w:rsidRPr="009F5750">
        <w:rPr>
          <w:rFonts w:ascii="Arial" w:eastAsiaTheme="minorEastAsia" w:hAnsi="Arial" w:cs="Arial"/>
          <w:bCs/>
          <w:sz w:val="20"/>
          <w:szCs w:val="20"/>
        </w:rPr>
        <w:t xml:space="preserve"> </w:t>
      </w:r>
      <w:r w:rsidRPr="00257891">
        <w:rPr>
          <w:rFonts w:ascii="Arial" w:eastAsiaTheme="minorEastAsia" w:hAnsi="Arial" w:cs="Arial"/>
          <w:bCs/>
          <w:sz w:val="20"/>
          <w:szCs w:val="20"/>
        </w:rPr>
        <w:t xml:space="preserve">Wood, 2005). Watkins, </w:t>
      </w:r>
      <w:proofErr w:type="spellStart"/>
      <w:r w:rsidRPr="00257891">
        <w:rPr>
          <w:rFonts w:ascii="Arial" w:eastAsiaTheme="minorEastAsia" w:hAnsi="Arial" w:cs="Arial"/>
          <w:bCs/>
          <w:sz w:val="20"/>
          <w:szCs w:val="20"/>
        </w:rPr>
        <w:t>Bargagliotti</w:t>
      </w:r>
      <w:proofErr w:type="spellEnd"/>
      <w:r w:rsidRPr="00257891">
        <w:rPr>
          <w:rFonts w:ascii="Arial" w:eastAsiaTheme="minorEastAsia" w:hAnsi="Arial" w:cs="Arial"/>
          <w:bCs/>
          <w:sz w:val="20"/>
          <w:szCs w:val="20"/>
        </w:rPr>
        <w:t>, and Franklin (2014)</w:t>
      </w:r>
      <w:r w:rsidR="00A976AA" w:rsidRPr="009F5750">
        <w:rPr>
          <w:rFonts w:ascii="Arial" w:eastAsiaTheme="minorEastAsia" w:hAnsi="Arial" w:cs="Arial"/>
          <w:bCs/>
          <w:sz w:val="20"/>
          <w:szCs w:val="20"/>
        </w:rPr>
        <w:t xml:space="preserve"> discovered that </w:t>
      </w:r>
      <w:r w:rsidRPr="00257891">
        <w:rPr>
          <w:rFonts w:ascii="Arial" w:eastAsiaTheme="minorEastAsia" w:hAnsi="Arial" w:cs="Arial"/>
          <w:bCs/>
          <w:sz w:val="20"/>
          <w:szCs w:val="20"/>
        </w:rPr>
        <w:t>SSDMs can mislead students when plotting estimated means against sample sizes</w:t>
      </w:r>
      <w:r w:rsidR="008915E5">
        <w:rPr>
          <w:rFonts w:ascii="Arial" w:eastAsiaTheme="minorEastAsia" w:hAnsi="Arial" w:cs="Arial"/>
          <w:bCs/>
          <w:sz w:val="20"/>
          <w:szCs w:val="20"/>
        </w:rPr>
        <w:t xml:space="preserve">, </w:t>
      </w:r>
      <w:r w:rsidRPr="00257891">
        <w:rPr>
          <w:rFonts w:ascii="Arial" w:eastAsiaTheme="minorEastAsia" w:hAnsi="Arial" w:cs="Arial"/>
          <w:bCs/>
          <w:sz w:val="20"/>
          <w:szCs w:val="20"/>
        </w:rPr>
        <w:t>potentially reinforcing incorrect interpretations. These misunderstandings are echoed in studies by Mulekar &amp; Siegel (2009) and Lunsford, Rowell, &amp; Goodson-Espy (2006). Nevertheless, Lane (2015) suggested that such issues can be mitigated by increasing the number of samples, which enhances the reliability and clarity of the simulation output.</w:t>
      </w:r>
    </w:p>
    <w:p w14:paraId="1681C1FA" w14:textId="77777777" w:rsidR="00257891" w:rsidRPr="00257891" w:rsidRDefault="00257891" w:rsidP="00257891">
      <w:pPr>
        <w:spacing w:after="0" w:line="240" w:lineRule="auto"/>
        <w:jc w:val="both"/>
        <w:rPr>
          <w:rFonts w:ascii="Arial" w:eastAsiaTheme="minorEastAsia" w:hAnsi="Arial" w:cs="Arial"/>
          <w:bCs/>
          <w:sz w:val="20"/>
          <w:szCs w:val="20"/>
        </w:rPr>
      </w:pPr>
      <w:r w:rsidRPr="00257891">
        <w:rPr>
          <w:rFonts w:ascii="Arial" w:eastAsiaTheme="minorEastAsia" w:hAnsi="Arial" w:cs="Arial"/>
          <w:bCs/>
          <w:sz w:val="20"/>
          <w:szCs w:val="20"/>
        </w:rPr>
        <w:t>This paper builds on these findings by evaluating the SSDM’s role in verifying the theoretical properties of the SDM, using hypothesis testing as a central pedagogical tool.</w:t>
      </w:r>
    </w:p>
    <w:p w14:paraId="3CBF8EEC" w14:textId="77777777" w:rsidR="00257891" w:rsidRPr="00257891" w:rsidRDefault="00257891" w:rsidP="00257891">
      <w:pPr>
        <w:spacing w:after="0" w:line="240" w:lineRule="auto"/>
        <w:jc w:val="both"/>
        <w:rPr>
          <w:rFonts w:ascii="Arial" w:eastAsiaTheme="minorEastAsia" w:hAnsi="Arial" w:cs="Arial"/>
          <w:bCs/>
          <w:sz w:val="20"/>
          <w:szCs w:val="20"/>
        </w:rPr>
      </w:pPr>
    </w:p>
    <w:p w14:paraId="1B1E5DB5" w14:textId="2A05A172" w:rsidR="00C60A81" w:rsidRPr="00D16EB7" w:rsidRDefault="00C60A81" w:rsidP="00C70459">
      <w:pPr>
        <w:spacing w:after="0" w:line="240" w:lineRule="auto"/>
        <w:rPr>
          <w:rFonts w:ascii="Arial" w:hAnsi="Arial" w:cs="Arial"/>
          <w:b/>
        </w:rPr>
      </w:pPr>
      <w:r w:rsidRPr="00D16EB7">
        <w:rPr>
          <w:rFonts w:ascii="Arial" w:hAnsi="Arial" w:cs="Arial"/>
          <w:b/>
        </w:rPr>
        <w:t>3</w:t>
      </w:r>
      <w:r w:rsidR="00D248DC" w:rsidRPr="00D16EB7">
        <w:rPr>
          <w:rFonts w:ascii="Arial" w:hAnsi="Arial" w:cs="Arial"/>
          <w:b/>
        </w:rPr>
        <w:t xml:space="preserve">. </w:t>
      </w:r>
      <w:r w:rsidRPr="00D16EB7">
        <w:rPr>
          <w:rFonts w:ascii="Arial" w:hAnsi="Arial" w:cs="Arial"/>
          <w:b/>
        </w:rPr>
        <w:t>Method</w:t>
      </w:r>
      <w:r w:rsidR="009D7E00">
        <w:rPr>
          <w:rFonts w:ascii="Arial" w:hAnsi="Arial" w:cs="Arial"/>
          <w:b/>
        </w:rPr>
        <w:t>ology</w:t>
      </w:r>
    </w:p>
    <w:p w14:paraId="52530B0E" w14:textId="77777777" w:rsidR="00D248DC" w:rsidRPr="00D16EB7" w:rsidRDefault="00D248DC" w:rsidP="00C70459">
      <w:pPr>
        <w:spacing w:after="0" w:line="240" w:lineRule="auto"/>
        <w:rPr>
          <w:rFonts w:ascii="Arial" w:hAnsi="Arial" w:cs="Arial"/>
          <w:b/>
          <w:sz w:val="20"/>
          <w:szCs w:val="20"/>
        </w:rPr>
      </w:pPr>
      <w:r w:rsidRPr="00D16EB7">
        <w:rPr>
          <w:rFonts w:ascii="Arial" w:hAnsi="Arial" w:cs="Arial"/>
          <w:bCs/>
          <w:sz w:val="20"/>
          <w:szCs w:val="20"/>
        </w:rPr>
        <w:t xml:space="preserve">In this section, we would like to introduce SDM and SSDM and make a clear distinction between them. </w:t>
      </w:r>
      <w:r w:rsidRPr="00D16EB7">
        <w:rPr>
          <w:rFonts w:ascii="Arial" w:hAnsi="Arial" w:cs="Arial"/>
          <w:b/>
          <w:sz w:val="20"/>
          <w:szCs w:val="20"/>
        </w:rPr>
        <w:t xml:space="preserve"> </w:t>
      </w:r>
    </w:p>
    <w:p w14:paraId="6AF76EA0" w14:textId="77777777" w:rsidR="00ED4F0A" w:rsidRDefault="00ED4F0A" w:rsidP="00C70459">
      <w:pPr>
        <w:spacing w:after="0" w:line="240" w:lineRule="auto"/>
        <w:rPr>
          <w:rFonts w:ascii="Arial" w:hAnsi="Arial" w:cs="Arial"/>
          <w:b/>
          <w:bCs/>
        </w:rPr>
      </w:pPr>
    </w:p>
    <w:p w14:paraId="56DBF43F" w14:textId="692C7E55" w:rsidR="00D248DC" w:rsidRPr="00D16EB7" w:rsidRDefault="00C60A81" w:rsidP="00C70459">
      <w:pPr>
        <w:spacing w:after="0" w:line="240" w:lineRule="auto"/>
        <w:rPr>
          <w:rFonts w:ascii="Arial" w:hAnsi="Arial" w:cs="Arial"/>
          <w:b/>
          <w:bCs/>
        </w:rPr>
      </w:pPr>
      <w:r w:rsidRPr="00D16EB7">
        <w:rPr>
          <w:rFonts w:ascii="Arial" w:hAnsi="Arial" w:cs="Arial"/>
          <w:b/>
          <w:bCs/>
        </w:rPr>
        <w:t>3</w:t>
      </w:r>
      <w:r w:rsidR="00D248DC" w:rsidRPr="00D16EB7">
        <w:rPr>
          <w:rFonts w:ascii="Arial" w:hAnsi="Arial" w:cs="Arial"/>
          <w:b/>
          <w:bCs/>
        </w:rPr>
        <w:t>.1. Definition of SDM</w:t>
      </w:r>
    </w:p>
    <w:p w14:paraId="4F35FEC3" w14:textId="76BA9968" w:rsidR="00D248DC" w:rsidRPr="00433378" w:rsidRDefault="00D248DC" w:rsidP="00C70459">
      <w:pPr>
        <w:spacing w:after="0" w:line="240" w:lineRule="auto"/>
        <w:jc w:val="both"/>
        <w:rPr>
          <w:rFonts w:ascii="Arial" w:eastAsiaTheme="minorEastAsia" w:hAnsi="Arial" w:cs="Arial"/>
          <w:sz w:val="20"/>
          <w:szCs w:val="20"/>
        </w:rPr>
      </w:pPr>
      <w:r w:rsidRPr="00433378">
        <w:rPr>
          <w:rFonts w:ascii="Arial" w:hAnsi="Arial" w:cs="Arial"/>
          <w:sz w:val="20"/>
          <w:szCs w:val="20"/>
        </w:rPr>
        <w:t xml:space="preserve">For a population </w:t>
      </w:r>
      <w:r w:rsidR="00523726">
        <w:rPr>
          <w:rFonts w:ascii="Arial" w:hAnsi="Arial" w:cs="Arial"/>
          <w:sz w:val="20"/>
          <w:szCs w:val="20"/>
        </w:rPr>
        <w:t>P</w:t>
      </w:r>
      <w:r w:rsidRPr="00433378">
        <w:rPr>
          <w:rFonts w:ascii="Arial" w:hAnsi="Arial" w:cs="Arial"/>
          <w:sz w:val="20"/>
          <w:szCs w:val="20"/>
        </w:rPr>
        <w:t xml:space="preserve"> with mean </w:t>
      </w:r>
      <m:oMath>
        <m:sSub>
          <m:sSubPr>
            <m:ctrlPr>
              <w:rPr>
                <w:rFonts w:ascii="Cambria Math" w:eastAsiaTheme="minorEastAsia" w:hAnsi="Cambria Math" w:cs="Arial"/>
                <w:i/>
                <w:sz w:val="20"/>
                <w:szCs w:val="20"/>
              </w:rPr>
            </m:ctrlPr>
          </m:sSubPr>
          <m:e>
            <m:r>
              <w:rPr>
                <w:rFonts w:ascii="Cambria Math" w:hAnsi="Cambria Math" w:cs="Arial"/>
                <w:sz w:val="20"/>
                <w:szCs w:val="20"/>
              </w:rPr>
              <m:t>μ</m:t>
            </m:r>
            <m:ctrlPr>
              <w:rPr>
                <w:rFonts w:ascii="Cambria Math" w:hAnsi="Cambria Math" w:cs="Arial"/>
                <w:i/>
                <w:sz w:val="20"/>
                <w:szCs w:val="20"/>
              </w:rPr>
            </m:ctrlPr>
          </m:e>
          <m:sub>
            <m:r>
              <w:rPr>
                <w:rFonts w:ascii="Cambria Math" w:eastAsiaTheme="minorEastAsia" w:hAnsi="Cambria Math" w:cs="Arial"/>
                <w:sz w:val="20"/>
                <w:szCs w:val="20"/>
              </w:rPr>
              <m:t>x</m:t>
            </m:r>
          </m:sub>
        </m:sSub>
      </m:oMath>
      <w:r w:rsidRPr="00433378">
        <w:rPr>
          <w:rFonts w:ascii="Arial" w:hAnsi="Arial" w:cs="Arial"/>
          <w:sz w:val="20"/>
          <w:szCs w:val="20"/>
        </w:rPr>
        <w:t xml:space="preserve"> and standard deviation </w:t>
      </w:r>
      <m:oMath>
        <m:sSub>
          <m:sSubPr>
            <m:ctrlPr>
              <w:rPr>
                <w:rFonts w:ascii="Cambria Math" w:hAnsi="Cambria Math" w:cs="Arial"/>
                <w:i/>
                <w:sz w:val="20"/>
                <w:szCs w:val="20"/>
              </w:rPr>
            </m:ctrlPr>
          </m:sSubPr>
          <m:e>
            <m:r>
              <w:rPr>
                <w:rFonts w:ascii="Cambria Math" w:hAnsi="Cambria Math" w:cs="Arial"/>
                <w:sz w:val="20"/>
                <w:szCs w:val="20"/>
              </w:rPr>
              <m:t>σ</m:t>
            </m:r>
          </m:e>
          <m:sub>
            <m:r>
              <w:rPr>
                <w:rFonts w:ascii="Cambria Math" w:hAnsi="Cambria Math" w:cs="Arial"/>
                <w:sz w:val="20"/>
                <w:szCs w:val="20"/>
              </w:rPr>
              <m:t>x</m:t>
            </m:r>
          </m:sub>
        </m:sSub>
      </m:oMath>
      <w:r w:rsidRPr="00433378">
        <w:rPr>
          <w:rFonts w:ascii="Arial" w:hAnsi="Arial" w:cs="Arial"/>
          <w:sz w:val="20"/>
          <w:szCs w:val="20"/>
        </w:rPr>
        <w:t xml:space="preserve"> the sampling distribution of mean (SDM) is the probability distribution of sample means (</w:t>
      </w:r>
      <m:oMath>
        <m:acc>
          <m:accPr>
            <m:chr m:val="̅"/>
            <m:ctrlPr>
              <w:rPr>
                <w:rFonts w:ascii="Cambria Math" w:eastAsiaTheme="minorEastAsia" w:hAnsi="Cambria Math" w:cs="Arial"/>
                <w:i/>
                <w:sz w:val="20"/>
                <w:szCs w:val="20"/>
              </w:rPr>
            </m:ctrlPr>
          </m:accPr>
          <m:e>
            <m:r>
              <w:rPr>
                <w:rFonts w:ascii="Cambria Math" w:eastAsiaTheme="minorEastAsia" w:hAnsi="Cambria Math" w:cs="Arial"/>
                <w:sz w:val="20"/>
                <w:szCs w:val="20"/>
              </w:rPr>
              <m:t>x</m:t>
            </m:r>
          </m:e>
        </m:acc>
      </m:oMath>
      <w:r w:rsidRPr="00433378">
        <w:rPr>
          <w:rFonts w:ascii="Arial" w:hAnsi="Arial" w:cs="Arial"/>
          <w:sz w:val="20"/>
          <w:szCs w:val="20"/>
        </w:rPr>
        <w:t>) over all possible samples</w:t>
      </w:r>
      <w:r w:rsidRPr="00433378">
        <w:rPr>
          <w:rFonts w:ascii="Arial" w:hAnsi="Arial" w:cs="Arial"/>
          <w:i/>
          <w:sz w:val="20"/>
          <w:szCs w:val="20"/>
        </w:rPr>
        <w:t xml:space="preserve"> </w:t>
      </w:r>
      <w:r w:rsidRPr="00433378">
        <w:rPr>
          <w:rFonts w:ascii="Arial" w:hAnsi="Arial" w:cs="Arial"/>
          <w:sz w:val="20"/>
          <w:szCs w:val="20"/>
        </w:rPr>
        <w:t>of a given size (</w:t>
      </w:r>
      <m:oMath>
        <m:r>
          <w:rPr>
            <w:rFonts w:ascii="Cambria Math" w:hAnsi="Cambria Math" w:cs="Arial"/>
            <w:sz w:val="20"/>
            <w:szCs w:val="20"/>
          </w:rPr>
          <m:t>n</m:t>
        </m:r>
      </m:oMath>
      <w:r w:rsidRPr="00433378">
        <w:rPr>
          <w:rFonts w:ascii="Arial" w:hAnsi="Arial" w:cs="Arial"/>
          <w:sz w:val="20"/>
          <w:szCs w:val="20"/>
        </w:rPr>
        <w:t xml:space="preserve">). </w:t>
      </w:r>
      <w:r w:rsidRPr="00433378">
        <w:rPr>
          <w:rFonts w:ascii="Arial" w:eastAsiaTheme="minorEastAsia" w:hAnsi="Arial" w:cs="Arial"/>
          <w:iCs/>
          <w:sz w:val="20"/>
          <w:szCs w:val="20"/>
        </w:rPr>
        <w:t xml:space="preserve">Let </w:t>
      </w:r>
      <m:oMath>
        <m:sSub>
          <m:sSubPr>
            <m:ctrlPr>
              <w:rPr>
                <w:rFonts w:ascii="Cambria Math" w:hAnsi="Cambria Math" w:cs="Arial"/>
                <w:i/>
                <w:iCs/>
                <w:sz w:val="20"/>
                <w:szCs w:val="20"/>
              </w:rPr>
            </m:ctrlPr>
          </m:sSubPr>
          <m:e>
            <m:r>
              <w:rPr>
                <w:rFonts w:ascii="Cambria Math" w:hAnsi="Cambria Math" w:cs="Arial"/>
                <w:sz w:val="20"/>
                <w:szCs w:val="20"/>
              </w:rPr>
              <m:t>μ</m:t>
            </m:r>
          </m:e>
          <m:sub>
            <m:acc>
              <m:accPr>
                <m:chr m:val="̅"/>
                <m:ctrlPr>
                  <w:rPr>
                    <w:rFonts w:ascii="Cambria Math" w:hAnsi="Cambria Math" w:cs="Arial"/>
                    <w:i/>
                    <w:iCs/>
                    <w:sz w:val="20"/>
                    <w:szCs w:val="20"/>
                  </w:rPr>
                </m:ctrlPr>
              </m:accPr>
              <m:e>
                <m:r>
                  <w:rPr>
                    <w:rFonts w:ascii="Cambria Math" w:hAnsi="Cambria Math" w:cs="Arial"/>
                    <w:sz w:val="20"/>
                    <w:szCs w:val="20"/>
                  </w:rPr>
                  <m:t>x</m:t>
                </m:r>
              </m:e>
            </m:acc>
          </m:sub>
        </m:sSub>
      </m:oMath>
      <w:r w:rsidR="003D2EBC" w:rsidRPr="00433378">
        <w:rPr>
          <w:rFonts w:ascii="Arial" w:eastAsiaTheme="minorEastAsia" w:hAnsi="Arial" w:cs="Arial"/>
          <w:iCs/>
          <w:sz w:val="20"/>
          <w:szCs w:val="20"/>
        </w:rPr>
        <w:t xml:space="preserve"> </w:t>
      </w:r>
      <w:r w:rsidRPr="00433378">
        <w:rPr>
          <w:rFonts w:ascii="Arial" w:eastAsiaTheme="minorEastAsia" w:hAnsi="Arial" w:cs="Arial"/>
          <w:iCs/>
          <w:sz w:val="20"/>
          <w:szCs w:val="20"/>
        </w:rPr>
        <w:t xml:space="preserve">and </w:t>
      </w:r>
      <m:oMath>
        <m:sSub>
          <m:sSubPr>
            <m:ctrlPr>
              <w:rPr>
                <w:rFonts w:ascii="Cambria Math" w:hAnsi="Cambria Math" w:cs="Arial"/>
                <w:i/>
                <w:iCs/>
                <w:sz w:val="20"/>
                <w:szCs w:val="20"/>
              </w:rPr>
            </m:ctrlPr>
          </m:sSubPr>
          <m:e>
            <m:r>
              <w:rPr>
                <w:rFonts w:ascii="Cambria Math" w:hAnsi="Cambria Math" w:cs="Arial"/>
                <w:sz w:val="20"/>
                <w:szCs w:val="20"/>
              </w:rPr>
              <m:t>σ</m:t>
            </m:r>
          </m:e>
          <m:sub>
            <m:acc>
              <m:accPr>
                <m:chr m:val="̅"/>
                <m:ctrlPr>
                  <w:rPr>
                    <w:rFonts w:ascii="Cambria Math" w:hAnsi="Cambria Math" w:cs="Arial"/>
                    <w:i/>
                    <w:iCs/>
                    <w:sz w:val="20"/>
                    <w:szCs w:val="20"/>
                  </w:rPr>
                </m:ctrlPr>
              </m:accPr>
              <m:e>
                <m:r>
                  <w:rPr>
                    <w:rFonts w:ascii="Cambria Math" w:hAnsi="Cambria Math" w:cs="Arial"/>
                    <w:sz w:val="20"/>
                    <w:szCs w:val="20"/>
                  </w:rPr>
                  <m:t>x</m:t>
                </m:r>
              </m:e>
            </m:acc>
          </m:sub>
        </m:sSub>
      </m:oMath>
      <w:r w:rsidR="003D2EBC" w:rsidRPr="00433378">
        <w:rPr>
          <w:rFonts w:ascii="Arial" w:eastAsiaTheme="minorEastAsia" w:hAnsi="Arial" w:cs="Arial"/>
          <w:iCs/>
          <w:sz w:val="20"/>
          <w:szCs w:val="20"/>
        </w:rPr>
        <w:t xml:space="preserve"> </w:t>
      </w:r>
      <w:r w:rsidRPr="00433378">
        <w:rPr>
          <w:rFonts w:ascii="Arial" w:eastAsiaTheme="minorEastAsia" w:hAnsi="Arial" w:cs="Arial"/>
          <w:iCs/>
          <w:sz w:val="20"/>
          <w:szCs w:val="20"/>
        </w:rPr>
        <w:t xml:space="preserve">denote the mean and standard deviation of the SDM over all possible samples of size </w:t>
      </w:r>
      <m:oMath>
        <m:r>
          <w:rPr>
            <w:rFonts w:ascii="Cambria Math" w:eastAsiaTheme="minorEastAsia" w:hAnsi="Cambria Math" w:cs="Arial"/>
            <w:sz w:val="20"/>
            <w:szCs w:val="20"/>
          </w:rPr>
          <m:t>n</m:t>
        </m:r>
      </m:oMath>
      <w:r w:rsidRPr="00433378">
        <w:rPr>
          <w:rFonts w:ascii="Arial" w:eastAsiaTheme="minorEastAsia" w:hAnsi="Arial" w:cs="Arial"/>
          <w:iCs/>
          <w:sz w:val="20"/>
          <w:szCs w:val="20"/>
        </w:rPr>
        <w:t xml:space="preserve">. As a matter of fact, </w:t>
      </w:r>
      <m:oMath>
        <m:sSub>
          <m:sSubPr>
            <m:ctrlPr>
              <w:rPr>
                <w:rFonts w:ascii="Cambria Math" w:hAnsi="Cambria Math" w:cs="Arial"/>
                <w:i/>
                <w:iCs/>
                <w:sz w:val="20"/>
                <w:szCs w:val="20"/>
              </w:rPr>
            </m:ctrlPr>
          </m:sSubPr>
          <m:e>
            <m:r>
              <w:rPr>
                <w:rFonts w:ascii="Cambria Math" w:hAnsi="Cambria Math" w:cs="Arial"/>
                <w:sz w:val="20"/>
                <w:szCs w:val="20"/>
              </w:rPr>
              <m:t>σ</m:t>
            </m:r>
          </m:e>
          <m:sub>
            <m:acc>
              <m:accPr>
                <m:chr m:val="̅"/>
                <m:ctrlPr>
                  <w:rPr>
                    <w:rFonts w:ascii="Cambria Math" w:hAnsi="Cambria Math" w:cs="Arial"/>
                    <w:i/>
                    <w:iCs/>
                    <w:sz w:val="20"/>
                    <w:szCs w:val="20"/>
                  </w:rPr>
                </m:ctrlPr>
              </m:accPr>
              <m:e>
                <m:r>
                  <w:rPr>
                    <w:rFonts w:ascii="Cambria Math" w:hAnsi="Cambria Math" w:cs="Arial"/>
                    <w:sz w:val="20"/>
                    <w:szCs w:val="20"/>
                  </w:rPr>
                  <m:t>x</m:t>
                </m:r>
              </m:e>
            </m:acc>
          </m:sub>
        </m:sSub>
      </m:oMath>
      <w:r w:rsidR="003D2EBC" w:rsidRPr="00433378">
        <w:rPr>
          <w:rFonts w:ascii="Arial" w:eastAsiaTheme="minorEastAsia" w:hAnsi="Arial" w:cs="Arial"/>
          <w:iCs/>
          <w:sz w:val="20"/>
          <w:szCs w:val="20"/>
        </w:rPr>
        <w:t xml:space="preserve"> </w:t>
      </w:r>
      <w:r w:rsidRPr="00433378">
        <w:rPr>
          <w:rFonts w:ascii="Arial" w:eastAsiaTheme="minorEastAsia" w:hAnsi="Arial" w:cs="Arial"/>
          <w:iCs/>
          <w:sz w:val="20"/>
          <w:szCs w:val="20"/>
        </w:rPr>
        <w:t xml:space="preserve">describes the accuracy of </w:t>
      </w:r>
      <m:oMath>
        <m:acc>
          <m:accPr>
            <m:chr m:val="̅"/>
            <m:ctrlPr>
              <w:rPr>
                <w:rFonts w:ascii="Cambria Math" w:hAnsi="Cambria Math" w:cs="Arial"/>
                <w:iCs/>
                <w:sz w:val="20"/>
                <w:szCs w:val="20"/>
              </w:rPr>
            </m:ctrlPr>
          </m:accPr>
          <m:e>
            <m:r>
              <w:rPr>
                <w:rFonts w:ascii="Cambria Math" w:hAnsi="Cambria Math" w:cs="Arial"/>
                <w:sz w:val="20"/>
                <w:szCs w:val="20"/>
              </w:rPr>
              <m:t>x</m:t>
            </m:r>
          </m:e>
        </m:acc>
      </m:oMath>
      <w:r w:rsidRPr="00433378">
        <w:rPr>
          <w:rFonts w:ascii="Arial" w:eastAsiaTheme="minorEastAsia" w:hAnsi="Arial" w:cs="Arial"/>
          <w:iCs/>
          <w:sz w:val="20"/>
          <w:szCs w:val="20"/>
        </w:rPr>
        <w:t xml:space="preserve"> in estimating </w:t>
      </w:r>
      <m:oMath>
        <m:sSub>
          <m:sSubPr>
            <m:ctrlPr>
              <w:rPr>
                <w:rFonts w:ascii="Cambria Math" w:eastAsiaTheme="minorEastAsia" w:hAnsi="Cambria Math" w:cs="Arial"/>
                <w:iCs/>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oMath>
      <w:r w:rsidRPr="00433378">
        <w:rPr>
          <w:rFonts w:ascii="Arial" w:eastAsiaTheme="minorEastAsia" w:hAnsi="Arial" w:cs="Arial"/>
          <w:iCs/>
          <w:sz w:val="20"/>
          <w:szCs w:val="20"/>
        </w:rPr>
        <w:t xml:space="preserve"> and hence</w:t>
      </w:r>
      <w:r w:rsidR="008915E5">
        <w:rPr>
          <w:rFonts w:ascii="Arial" w:eastAsiaTheme="minorEastAsia" w:hAnsi="Arial" w:cs="Arial"/>
          <w:iCs/>
          <w:sz w:val="20"/>
          <w:szCs w:val="20"/>
        </w:rPr>
        <w:t>,</w:t>
      </w:r>
      <w:r w:rsidRPr="00433378">
        <w:rPr>
          <w:rFonts w:ascii="Arial" w:eastAsiaTheme="minorEastAsia" w:hAnsi="Arial" w:cs="Arial"/>
          <w:iCs/>
          <w:sz w:val="20"/>
          <w:szCs w:val="20"/>
        </w:rPr>
        <w:t xml:space="preserve"> the term standard error (SE) is preferable to standard deviation </w:t>
      </w:r>
      <m:oMath>
        <m:sSub>
          <m:sSubPr>
            <m:ctrlPr>
              <w:rPr>
                <w:rFonts w:ascii="Cambria Math" w:hAnsi="Cambria Math" w:cs="Arial"/>
                <w:iCs/>
                <w:sz w:val="20"/>
                <w:szCs w:val="20"/>
              </w:rPr>
            </m:ctrlPr>
          </m:sSubPr>
          <m:e>
            <m:r>
              <w:rPr>
                <w:rFonts w:ascii="Cambria Math" w:hAnsi="Cambria Math" w:cs="Arial"/>
                <w:sz w:val="20"/>
                <w:szCs w:val="20"/>
              </w:rPr>
              <m:t>σ</m:t>
            </m:r>
          </m:e>
          <m:sub>
            <m:acc>
              <m:accPr>
                <m:chr m:val="̅"/>
                <m:ctrlPr>
                  <w:rPr>
                    <w:rFonts w:ascii="Cambria Math" w:hAnsi="Cambria Math" w:cs="Arial"/>
                    <w:iCs/>
                    <w:sz w:val="20"/>
                    <w:szCs w:val="20"/>
                  </w:rPr>
                </m:ctrlPr>
              </m:accPr>
              <m:e>
                <m:r>
                  <w:rPr>
                    <w:rFonts w:ascii="Cambria Math" w:hAnsi="Cambria Math" w:cs="Arial"/>
                    <w:sz w:val="20"/>
                    <w:szCs w:val="20"/>
                  </w:rPr>
                  <m:t>x</m:t>
                </m:r>
              </m:e>
            </m:acc>
          </m:sub>
        </m:sSub>
      </m:oMath>
      <w:r w:rsidRPr="00433378">
        <w:rPr>
          <w:rFonts w:ascii="Arial" w:eastAsiaTheme="minorEastAsia" w:hAnsi="Arial" w:cs="Arial"/>
          <w:iCs/>
          <w:sz w:val="20"/>
          <w:szCs w:val="20"/>
        </w:rPr>
        <w:t xml:space="preserve"> for an SDM.</w:t>
      </w:r>
      <w:r w:rsidRPr="00433378">
        <w:rPr>
          <w:rFonts w:ascii="Arial" w:eastAsiaTheme="minorEastAsia" w:hAnsi="Arial" w:cs="Arial"/>
          <w:i/>
          <w:sz w:val="20"/>
          <w:szCs w:val="20"/>
        </w:rPr>
        <w:t xml:space="preserve"> </w:t>
      </w:r>
      <w:r w:rsidRPr="00433378">
        <w:rPr>
          <w:rFonts w:ascii="Arial" w:eastAsiaTheme="minorEastAsia" w:hAnsi="Arial" w:cs="Arial"/>
          <w:iCs/>
          <w:sz w:val="20"/>
          <w:szCs w:val="20"/>
        </w:rPr>
        <w:t>The SDM has the following three important properties:</w:t>
      </w:r>
    </w:p>
    <w:p w14:paraId="657B4B91" w14:textId="77777777" w:rsidR="00D248DC" w:rsidRPr="00433378" w:rsidRDefault="00000000" w:rsidP="00487CEC">
      <w:pPr>
        <w:pStyle w:val="ListParagraph"/>
        <w:numPr>
          <w:ilvl w:val="0"/>
          <w:numId w:val="11"/>
        </w:numPr>
        <w:spacing w:after="0" w:line="240" w:lineRule="auto"/>
        <w:jc w:val="both"/>
        <w:rPr>
          <w:rFonts w:ascii="Arial" w:hAnsi="Arial" w:cs="Arial"/>
          <w:i/>
          <w:sz w:val="20"/>
          <w:szCs w:val="20"/>
        </w:rPr>
      </w:pP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oMath>
      <w:r w:rsidR="00D248DC" w:rsidRPr="00433378">
        <w:rPr>
          <w:rFonts w:ascii="Arial" w:eastAsiaTheme="minorEastAsia" w:hAnsi="Arial" w:cs="Arial"/>
          <w:i/>
          <w:sz w:val="20"/>
          <w:szCs w:val="20"/>
        </w:rPr>
        <w:t xml:space="preserve">, a relationship between mean of the SDM </w:t>
      </w:r>
      <m:oMath>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oMath>
      <w:r w:rsidR="00D248DC" w:rsidRPr="00433378">
        <w:rPr>
          <w:rFonts w:ascii="Arial" w:eastAsiaTheme="minorEastAsia" w:hAnsi="Arial" w:cs="Arial"/>
          <w:i/>
          <w:sz w:val="20"/>
          <w:szCs w:val="20"/>
        </w:rPr>
        <w:t xml:space="preserve"> and the true population mean </w:t>
      </w:r>
      <m:oMath>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e>
        </m:d>
      </m:oMath>
      <w:r w:rsidR="00D248DC" w:rsidRPr="00433378">
        <w:rPr>
          <w:rFonts w:ascii="Arial" w:eastAsiaTheme="minorEastAsia" w:hAnsi="Arial" w:cs="Arial"/>
          <w:sz w:val="20"/>
          <w:szCs w:val="20"/>
        </w:rPr>
        <w:t xml:space="preserve">. This relationship is </w:t>
      </w:r>
      <w:r w:rsidR="00D248DC" w:rsidRPr="00433378">
        <w:rPr>
          <w:rFonts w:ascii="Arial" w:eastAsiaTheme="minorEastAsia" w:hAnsi="Arial" w:cs="Arial"/>
          <w:i/>
          <w:sz w:val="20"/>
          <w:szCs w:val="20"/>
        </w:rPr>
        <w:t xml:space="preserve">invariant with respect to the sample size </w:t>
      </w:r>
      <m:oMath>
        <m:r>
          <w:rPr>
            <w:rFonts w:ascii="Cambria Math" w:eastAsiaTheme="minorEastAsia" w:hAnsi="Cambria Math" w:cs="Arial"/>
            <w:sz w:val="20"/>
            <w:szCs w:val="20"/>
          </w:rPr>
          <m:t>n</m:t>
        </m:r>
      </m:oMath>
      <w:r w:rsidR="00D248DC" w:rsidRPr="00433378">
        <w:rPr>
          <w:rFonts w:ascii="Arial" w:eastAsiaTheme="minorEastAsia" w:hAnsi="Arial" w:cs="Arial"/>
          <w:i/>
          <w:sz w:val="20"/>
          <w:szCs w:val="20"/>
        </w:rPr>
        <w:t xml:space="preserve"> and the distribution of P.</w:t>
      </w:r>
    </w:p>
    <w:p w14:paraId="1E4C5956" w14:textId="77777777" w:rsidR="006C23FA" w:rsidRPr="00433378" w:rsidRDefault="00000000" w:rsidP="00487CEC">
      <w:pPr>
        <w:pStyle w:val="ListParagraph"/>
        <w:numPr>
          <w:ilvl w:val="0"/>
          <w:numId w:val="11"/>
        </w:numPr>
        <w:spacing w:after="0" w:line="240" w:lineRule="auto"/>
        <w:jc w:val="both"/>
        <w:rPr>
          <w:rFonts w:ascii="Arial" w:hAnsi="Arial" w:cs="Arial"/>
          <w:i/>
          <w:sz w:val="20"/>
          <w:szCs w:val="20"/>
        </w:rPr>
      </w:pP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r>
          <w:rPr>
            <w:rFonts w:ascii="Cambria Math" w:eastAsiaTheme="minorEastAsia" w:hAnsi="Cambria Math" w:cs="Arial"/>
            <w:sz w:val="20"/>
            <w:szCs w:val="20"/>
          </w:rPr>
          <m:t>/</m:t>
        </m:r>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n</m:t>
            </m:r>
          </m:e>
        </m:rad>
      </m:oMath>
      <w:r w:rsidR="00D248DC" w:rsidRPr="00433378">
        <w:rPr>
          <w:rFonts w:ascii="Arial" w:eastAsiaTheme="minorEastAsia" w:hAnsi="Arial" w:cs="Arial"/>
          <w:i/>
          <w:sz w:val="20"/>
          <w:szCs w:val="20"/>
        </w:rPr>
        <w:t xml:space="preserve">, a relationship between the SE of the SDM </w:t>
      </w:r>
      <m:oMath>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oMath>
      <w:r w:rsidR="00D248DC" w:rsidRPr="00433378">
        <w:rPr>
          <w:rFonts w:ascii="Arial" w:eastAsiaTheme="minorEastAsia" w:hAnsi="Arial" w:cs="Arial"/>
          <w:i/>
          <w:sz w:val="20"/>
          <w:szCs w:val="20"/>
        </w:rPr>
        <w:t xml:space="preserve"> and the standard deviation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r>
          <w:rPr>
            <w:rFonts w:ascii="Cambria Math" w:eastAsiaTheme="minorEastAsia" w:hAnsi="Cambria Math" w:cs="Arial"/>
            <w:sz w:val="20"/>
            <w:szCs w:val="20"/>
          </w:rPr>
          <m:t>)</m:t>
        </m:r>
      </m:oMath>
      <w:r w:rsidR="00D248DC" w:rsidRPr="00433378">
        <w:rPr>
          <w:rFonts w:ascii="Arial" w:eastAsiaTheme="minorEastAsia" w:hAnsi="Arial" w:cs="Arial"/>
          <w:i/>
          <w:sz w:val="20"/>
          <w:szCs w:val="20"/>
        </w:rPr>
        <w:t xml:space="preserve"> of the population P. </w:t>
      </w:r>
      <w:r w:rsidR="006C23FA" w:rsidRPr="00433378">
        <w:rPr>
          <w:rFonts w:ascii="Arial" w:eastAsiaTheme="minorEastAsia" w:hAnsi="Arial" w:cs="Arial"/>
          <w:i/>
          <w:sz w:val="20"/>
          <w:szCs w:val="20"/>
        </w:rPr>
        <w:t xml:space="preserve">This relation is also invariant with respect to the sample size </w:t>
      </w:r>
      <m:oMath>
        <m:r>
          <w:rPr>
            <w:rFonts w:ascii="Cambria Math" w:eastAsiaTheme="minorEastAsia" w:hAnsi="Cambria Math" w:cs="Arial"/>
            <w:sz w:val="20"/>
            <w:szCs w:val="20"/>
          </w:rPr>
          <m:t>n</m:t>
        </m:r>
      </m:oMath>
      <w:r w:rsidR="006C23FA" w:rsidRPr="00433378">
        <w:rPr>
          <w:rFonts w:ascii="Arial" w:eastAsiaTheme="minorEastAsia" w:hAnsi="Arial" w:cs="Arial"/>
          <w:i/>
          <w:sz w:val="20"/>
          <w:szCs w:val="20"/>
        </w:rPr>
        <w:t xml:space="preserve"> and the distribution of P.</w:t>
      </w:r>
    </w:p>
    <w:p w14:paraId="41D540A0" w14:textId="77777777" w:rsidR="00D248DC" w:rsidRPr="00433378" w:rsidRDefault="00D248DC" w:rsidP="00487CEC">
      <w:pPr>
        <w:pStyle w:val="ListParagraph"/>
        <w:numPr>
          <w:ilvl w:val="0"/>
          <w:numId w:val="11"/>
        </w:numPr>
        <w:spacing w:after="0" w:line="240" w:lineRule="auto"/>
        <w:jc w:val="both"/>
        <w:rPr>
          <w:rFonts w:ascii="Arial" w:hAnsi="Arial" w:cs="Arial"/>
          <w:i/>
          <w:sz w:val="20"/>
          <w:szCs w:val="20"/>
        </w:rPr>
      </w:pPr>
      <w:r w:rsidRPr="00433378">
        <w:rPr>
          <w:rFonts w:ascii="Arial" w:hAnsi="Arial" w:cs="Arial"/>
          <w:i/>
          <w:sz w:val="20"/>
          <w:szCs w:val="20"/>
        </w:rPr>
        <w:t xml:space="preserve">The SDM is either (a) normal if the population P is normal, irrespective of the sample size </w:t>
      </w:r>
      <m:oMath>
        <m:r>
          <w:rPr>
            <w:rFonts w:ascii="Cambria Math" w:eastAsiaTheme="minorEastAsia" w:hAnsi="Cambria Math" w:cs="Arial"/>
            <w:sz w:val="20"/>
            <w:szCs w:val="20"/>
          </w:rPr>
          <m:t>n</m:t>
        </m:r>
      </m:oMath>
      <w:r w:rsidRPr="00433378">
        <w:rPr>
          <w:rFonts w:ascii="Arial" w:eastAsiaTheme="minorEastAsia" w:hAnsi="Arial" w:cs="Arial"/>
          <w:i/>
          <w:sz w:val="20"/>
          <w:szCs w:val="20"/>
        </w:rPr>
        <w:t xml:space="preserve">, or (b) </w:t>
      </w:r>
      <w:r w:rsidRPr="00433378">
        <w:rPr>
          <w:rFonts w:ascii="Arial" w:hAnsi="Arial" w:cs="Arial"/>
          <w:i/>
          <w:sz w:val="20"/>
          <w:szCs w:val="20"/>
        </w:rPr>
        <w:t xml:space="preserve">approximately normal if the sample size </w:t>
      </w:r>
      <m:oMath>
        <m:r>
          <w:rPr>
            <w:rFonts w:ascii="Cambria Math" w:eastAsiaTheme="minorEastAsia" w:hAnsi="Cambria Math" w:cs="Arial"/>
            <w:sz w:val="20"/>
            <w:szCs w:val="20"/>
          </w:rPr>
          <m:t>n</m:t>
        </m:r>
      </m:oMath>
      <w:r w:rsidRPr="00433378">
        <w:rPr>
          <w:rFonts w:ascii="Arial" w:eastAsiaTheme="minorEastAsia" w:hAnsi="Arial" w:cs="Arial"/>
          <w:i/>
          <w:sz w:val="20"/>
          <w:szCs w:val="20"/>
        </w:rPr>
        <w:t xml:space="preserve"> large, </w:t>
      </w:r>
      <w:r w:rsidRPr="00433378">
        <w:rPr>
          <w:rFonts w:ascii="Arial" w:hAnsi="Arial" w:cs="Arial"/>
          <w:color w:val="000000"/>
          <w:sz w:val="20"/>
          <w:szCs w:val="20"/>
          <w:shd w:val="clear" w:color="auto" w:fill="FFFFFF"/>
        </w:rPr>
        <w:t xml:space="preserve">i.e., </w:t>
      </w:r>
      <m:oMath>
        <m:r>
          <w:rPr>
            <w:rFonts w:ascii="Cambria Math" w:hAnsi="Cambria Math" w:cs="Arial"/>
            <w:color w:val="000000"/>
            <w:sz w:val="20"/>
            <w:szCs w:val="20"/>
            <w:shd w:val="clear" w:color="auto" w:fill="FFFFFF"/>
          </w:rPr>
          <m:t>n≥30</m:t>
        </m:r>
      </m:oMath>
      <w:r w:rsidRPr="00433378">
        <w:rPr>
          <w:rFonts w:ascii="Arial" w:hAnsi="Arial" w:cs="Arial"/>
          <w:color w:val="000000"/>
          <w:sz w:val="20"/>
          <w:szCs w:val="20"/>
          <w:shd w:val="clear" w:color="auto" w:fill="FFFFFF"/>
        </w:rPr>
        <w:t xml:space="preserve">, </w:t>
      </w:r>
      <w:r w:rsidRPr="00433378">
        <w:rPr>
          <w:rFonts w:ascii="Arial" w:eastAsiaTheme="minorEastAsia" w:hAnsi="Arial" w:cs="Arial"/>
          <w:i/>
          <w:sz w:val="20"/>
          <w:szCs w:val="20"/>
        </w:rPr>
        <w:t xml:space="preserve">given that </w:t>
      </w:r>
      <w:r w:rsidRPr="00433378">
        <w:rPr>
          <w:rFonts w:ascii="Arial" w:hAnsi="Arial" w:cs="Arial"/>
          <w:i/>
          <w:sz w:val="20"/>
          <w:szCs w:val="20"/>
        </w:rPr>
        <w:t>the population P is not normal. This property is called the Central Limit Theorem (CLT).</w:t>
      </w:r>
    </w:p>
    <w:p w14:paraId="1F460B30" w14:textId="77777777" w:rsidR="00E0799D" w:rsidRDefault="00E0799D" w:rsidP="00C70459">
      <w:pPr>
        <w:spacing w:after="0" w:line="240" w:lineRule="auto"/>
        <w:jc w:val="both"/>
        <w:rPr>
          <w:rFonts w:ascii="Arial" w:hAnsi="Arial" w:cs="Arial"/>
          <w:b/>
        </w:rPr>
      </w:pPr>
    </w:p>
    <w:p w14:paraId="2D42B560" w14:textId="38729835" w:rsidR="00BD3C78" w:rsidRPr="00D16EB7" w:rsidRDefault="00C60A81" w:rsidP="00C70459">
      <w:pPr>
        <w:spacing w:after="0" w:line="240" w:lineRule="auto"/>
        <w:jc w:val="both"/>
        <w:rPr>
          <w:rFonts w:ascii="Arial" w:hAnsi="Arial" w:cs="Arial"/>
          <w:b/>
        </w:rPr>
      </w:pPr>
      <w:r w:rsidRPr="00D16EB7">
        <w:rPr>
          <w:rFonts w:ascii="Arial" w:hAnsi="Arial" w:cs="Arial"/>
          <w:b/>
        </w:rPr>
        <w:t>3</w:t>
      </w:r>
      <w:r w:rsidR="00BD3C78" w:rsidRPr="00D16EB7">
        <w:rPr>
          <w:rFonts w:ascii="Arial" w:hAnsi="Arial" w:cs="Arial"/>
          <w:b/>
        </w:rPr>
        <w:t>.</w:t>
      </w:r>
      <w:r w:rsidR="000B217B" w:rsidRPr="00D16EB7">
        <w:rPr>
          <w:rFonts w:ascii="Arial" w:hAnsi="Arial" w:cs="Arial"/>
          <w:b/>
        </w:rPr>
        <w:t>2 The simulation of SDM (SSDM)</w:t>
      </w:r>
    </w:p>
    <w:p w14:paraId="2D06EB33" w14:textId="215E71FA" w:rsidR="00487CEC" w:rsidRPr="00ED4F0A" w:rsidRDefault="00ED4F0A" w:rsidP="00ED4F0A">
      <w:pPr>
        <w:spacing w:after="0" w:line="240" w:lineRule="auto"/>
        <w:jc w:val="both"/>
        <w:rPr>
          <w:rFonts w:ascii="Arial" w:hAnsi="Arial" w:cs="Arial"/>
          <w:bCs/>
          <w:sz w:val="20"/>
          <w:szCs w:val="20"/>
        </w:rPr>
      </w:pPr>
      <w:r w:rsidRPr="00ED4F0A">
        <w:rPr>
          <w:rFonts w:ascii="Arial" w:hAnsi="Arial" w:cs="Arial"/>
          <w:bCs/>
          <w:sz w:val="20"/>
          <w:szCs w:val="20"/>
        </w:rPr>
        <w:lastRenderedPageBreak/>
        <w:t>The sampling distribution of the mean (SDM) is defined as the distribution of all possible sample means for a given sample size, drawn from a population. As such, the SDM represents an exact theoretical distribution based on every possible sample. In practice, however, it is rarely feasible to take all possible samples. Instead, we rely on a large number of randomly generated samples</w:t>
      </w:r>
      <w:r w:rsidR="008915E5">
        <w:rPr>
          <w:rFonts w:ascii="Arial" w:hAnsi="Arial" w:cs="Arial"/>
          <w:bCs/>
          <w:sz w:val="20"/>
          <w:szCs w:val="20"/>
        </w:rPr>
        <w:t xml:space="preserve">, </w:t>
      </w:r>
      <w:r w:rsidRPr="00ED4F0A">
        <w:rPr>
          <w:rFonts w:ascii="Arial" w:hAnsi="Arial" w:cs="Arial"/>
          <w:bCs/>
          <w:sz w:val="20"/>
          <w:szCs w:val="20"/>
        </w:rPr>
        <w:t xml:space="preserve">limited by computational capacity and </w:t>
      </w:r>
      <w:r w:rsidR="00460EA3">
        <w:rPr>
          <w:rFonts w:ascii="Arial" w:hAnsi="Arial" w:cs="Arial"/>
          <w:bCs/>
          <w:sz w:val="20"/>
          <w:szCs w:val="20"/>
        </w:rPr>
        <w:t xml:space="preserve">available </w:t>
      </w:r>
      <w:r w:rsidRPr="00ED4F0A">
        <w:rPr>
          <w:rFonts w:ascii="Arial" w:hAnsi="Arial" w:cs="Arial"/>
          <w:bCs/>
          <w:sz w:val="20"/>
          <w:szCs w:val="20"/>
        </w:rPr>
        <w:t>resource</w:t>
      </w:r>
      <w:r w:rsidR="00460EA3">
        <w:rPr>
          <w:rFonts w:ascii="Arial" w:hAnsi="Arial" w:cs="Arial"/>
          <w:bCs/>
          <w:sz w:val="20"/>
          <w:szCs w:val="20"/>
        </w:rPr>
        <w:t>s</w:t>
      </w:r>
      <w:r w:rsidR="008915E5">
        <w:rPr>
          <w:rFonts w:ascii="Arial" w:hAnsi="Arial" w:cs="Arial"/>
          <w:bCs/>
          <w:sz w:val="20"/>
          <w:szCs w:val="20"/>
        </w:rPr>
        <w:t xml:space="preserve">, </w:t>
      </w:r>
      <w:r w:rsidRPr="00ED4F0A">
        <w:rPr>
          <w:rFonts w:ascii="Arial" w:hAnsi="Arial" w:cs="Arial"/>
          <w:bCs/>
          <w:sz w:val="20"/>
          <w:szCs w:val="20"/>
        </w:rPr>
        <w:t>to approximate the SDM through simulation. This approximation is known as the simulated sampling distribution of the mean (SSDM). The SSDM is inherently dependent on the choices made by the simulator, including the number of samples, sampling methods, and the specific learning or analytical objectives the simulation is intended to serve.</w:t>
      </w:r>
    </w:p>
    <w:p w14:paraId="1A75EF5D" w14:textId="77777777" w:rsidR="00ED4F0A" w:rsidRDefault="00ED4F0A" w:rsidP="00487CEC">
      <w:pPr>
        <w:spacing w:after="0" w:line="240" w:lineRule="auto"/>
        <w:rPr>
          <w:rFonts w:ascii="Times New Roman" w:hAnsi="Times New Roman" w:cs="Times New Roman"/>
          <w:bCs/>
          <w:sz w:val="24"/>
          <w:szCs w:val="24"/>
        </w:rPr>
      </w:pPr>
    </w:p>
    <w:p w14:paraId="0670AC09" w14:textId="3E06344A" w:rsidR="008D42C7" w:rsidRPr="00D16EB7" w:rsidRDefault="00C60A81" w:rsidP="002B1FDF">
      <w:pPr>
        <w:spacing w:after="0" w:line="240" w:lineRule="auto"/>
        <w:jc w:val="both"/>
        <w:rPr>
          <w:rFonts w:ascii="Arial" w:hAnsi="Arial" w:cs="Arial"/>
          <w:b/>
        </w:rPr>
      </w:pPr>
      <w:r w:rsidRPr="00D16EB7">
        <w:rPr>
          <w:rFonts w:ascii="Arial" w:hAnsi="Arial" w:cs="Arial"/>
          <w:b/>
        </w:rPr>
        <w:t>3</w:t>
      </w:r>
      <w:r w:rsidR="008D42C7" w:rsidRPr="00D16EB7">
        <w:rPr>
          <w:rFonts w:ascii="Arial" w:hAnsi="Arial" w:cs="Arial"/>
          <w:b/>
        </w:rPr>
        <w:t xml:space="preserve">.3. </w:t>
      </w:r>
      <w:r w:rsidR="00F434BB" w:rsidRPr="00D16EB7">
        <w:rPr>
          <w:rFonts w:ascii="Arial" w:hAnsi="Arial" w:cs="Arial"/>
          <w:b/>
        </w:rPr>
        <w:t xml:space="preserve">Evaluation of </w:t>
      </w:r>
      <w:r w:rsidR="003A0744">
        <w:rPr>
          <w:rFonts w:ascii="Arial" w:hAnsi="Arial" w:cs="Arial"/>
          <w:b/>
        </w:rPr>
        <w:t xml:space="preserve">SSDM with </w:t>
      </w:r>
      <w:r w:rsidR="00312C0C" w:rsidRPr="00D16EB7">
        <w:rPr>
          <w:rFonts w:ascii="Arial" w:hAnsi="Arial" w:cs="Arial"/>
          <w:b/>
        </w:rPr>
        <w:t>targeted ob</w:t>
      </w:r>
      <w:r w:rsidR="008D42C7" w:rsidRPr="00D16EB7">
        <w:rPr>
          <w:rFonts w:ascii="Arial" w:hAnsi="Arial" w:cs="Arial"/>
          <w:b/>
        </w:rPr>
        <w:t>jectives</w:t>
      </w:r>
    </w:p>
    <w:p w14:paraId="646453EA" w14:textId="77777777" w:rsidR="00354D63" w:rsidRPr="00354D63" w:rsidRDefault="00354D63" w:rsidP="00354D63">
      <w:pPr>
        <w:spacing w:after="0" w:line="240" w:lineRule="auto"/>
        <w:jc w:val="both"/>
        <w:rPr>
          <w:rFonts w:ascii="Arial" w:hAnsi="Arial" w:cs="Arial"/>
          <w:bCs/>
          <w:sz w:val="20"/>
          <w:szCs w:val="20"/>
        </w:rPr>
      </w:pPr>
      <w:r w:rsidRPr="00354D63">
        <w:rPr>
          <w:rFonts w:ascii="Arial" w:hAnsi="Arial" w:cs="Arial"/>
          <w:bCs/>
          <w:sz w:val="20"/>
          <w:szCs w:val="20"/>
        </w:rPr>
        <w:t>In general, we do not expect the simulated sampling distribution of the mean (SSDM) to be identical to the theoretical sampling distribution of the mean (SDM), nor should we assume that the parameters of the SSDM are equal to those of the SDM. When conducting an SSDM, it is important to align the simulation with clearly defined learning objectives. For instance, one might investigate how the sample size (n) influences the shape and variability of the SSDM (Mulekar &amp; Siegel, 2009), or how the number of simulation replications (M) impacts conclusions about key properties of the SDM.</w:t>
      </w:r>
    </w:p>
    <w:p w14:paraId="621BA998" w14:textId="3F47356C" w:rsidR="00460EA3" w:rsidRDefault="00354D63" w:rsidP="00354D63">
      <w:pPr>
        <w:spacing w:after="0" w:line="240" w:lineRule="auto"/>
        <w:jc w:val="both"/>
        <w:rPr>
          <w:rFonts w:ascii="Arial" w:hAnsi="Arial" w:cs="Arial"/>
          <w:bCs/>
          <w:sz w:val="20"/>
          <w:szCs w:val="20"/>
        </w:rPr>
      </w:pPr>
      <w:r w:rsidRPr="00354D63">
        <w:rPr>
          <w:rFonts w:ascii="Arial" w:hAnsi="Arial" w:cs="Arial"/>
          <w:bCs/>
          <w:sz w:val="20"/>
          <w:szCs w:val="20"/>
        </w:rPr>
        <w:t>In this study, the SSDM is evaluated in the context of three core properties of the SDM, using a hypothesis testing framework</w:t>
      </w:r>
      <w:r w:rsidR="00460EA3">
        <w:rPr>
          <w:rFonts w:ascii="Arial" w:hAnsi="Arial" w:cs="Arial"/>
          <w:bCs/>
          <w:sz w:val="20"/>
          <w:szCs w:val="20"/>
        </w:rPr>
        <w:t xml:space="preserve"> and </w:t>
      </w:r>
      <w:r w:rsidR="008915E5" w:rsidRPr="009B429E">
        <w:rPr>
          <w:rFonts w:ascii="Arial" w:hAnsi="Arial" w:cs="Arial"/>
          <w:bCs/>
          <w:sz w:val="20"/>
          <w:szCs w:val="20"/>
          <w:highlight w:val="yellow"/>
        </w:rPr>
        <w:t>is</w:t>
      </w:r>
      <w:r w:rsidR="008915E5">
        <w:rPr>
          <w:rFonts w:ascii="Arial" w:hAnsi="Arial" w:cs="Arial"/>
          <w:bCs/>
          <w:sz w:val="20"/>
          <w:szCs w:val="20"/>
        </w:rPr>
        <w:t xml:space="preserve"> </w:t>
      </w:r>
      <w:r w:rsidR="00460EA3">
        <w:rPr>
          <w:rFonts w:ascii="Arial" w:hAnsi="Arial" w:cs="Arial"/>
          <w:bCs/>
          <w:sz w:val="20"/>
          <w:szCs w:val="20"/>
        </w:rPr>
        <w:t>specified as follows:</w:t>
      </w:r>
    </w:p>
    <w:p w14:paraId="503A2762" w14:textId="77777777" w:rsidR="00460EA3" w:rsidRDefault="00460EA3" w:rsidP="00354D63">
      <w:pPr>
        <w:spacing w:after="0" w:line="240" w:lineRule="auto"/>
        <w:jc w:val="both"/>
        <w:rPr>
          <w:rFonts w:ascii="Arial" w:hAnsi="Arial" w:cs="Arial"/>
          <w:bCs/>
          <w:sz w:val="20"/>
          <w:szCs w:val="20"/>
        </w:rPr>
      </w:pPr>
    </w:p>
    <w:p w14:paraId="2C76DDA3" w14:textId="29D2C067" w:rsidR="00460EA3" w:rsidRPr="008B7BD8" w:rsidRDefault="00000000" w:rsidP="00460EA3">
      <w:pPr>
        <w:pStyle w:val="ListParagraph"/>
        <w:numPr>
          <w:ilvl w:val="0"/>
          <w:numId w:val="19"/>
        </w:numPr>
        <w:spacing w:line="240" w:lineRule="auto"/>
        <w:rPr>
          <w:rFonts w:ascii="Arial" w:eastAsiaTheme="minorEastAsia" w:hAnsi="Arial" w:cs="Arial"/>
          <w:sz w:val="20"/>
          <w:szCs w:val="20"/>
          <w:lang w:val="es-US"/>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lang w:val="es-US"/>
              </w:rPr>
              <m:t>01</m:t>
            </m:r>
          </m:sub>
        </m:sSub>
      </m:oMath>
      <w:r w:rsidR="00460EA3" w:rsidRPr="008B7BD8">
        <w:rPr>
          <w:rFonts w:ascii="Arial" w:eastAsiaTheme="minorEastAsia" w:hAnsi="Arial" w:cs="Arial"/>
          <w:sz w:val="20"/>
          <w:szCs w:val="20"/>
          <w:lang w:val="es-US"/>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lang w:val="es-US"/>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D03499" w:rsidRPr="008B7BD8">
        <w:rPr>
          <w:rFonts w:ascii="Arial" w:eastAsiaTheme="minorEastAsia" w:hAnsi="Arial" w:cs="Arial"/>
          <w:sz w:val="20"/>
          <w:szCs w:val="20"/>
          <w:lang w:val="es-US"/>
        </w:rPr>
        <w:t xml:space="preserve"> vs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a</m:t>
            </m:r>
            <m:r>
              <w:rPr>
                <w:rFonts w:ascii="Cambria Math" w:eastAsiaTheme="minorEastAsia" w:hAnsi="Cambria Math" w:cs="Arial"/>
                <w:sz w:val="20"/>
                <w:szCs w:val="20"/>
                <w:lang w:val="es-US"/>
              </w:rPr>
              <m:t>1</m:t>
            </m:r>
          </m:sub>
        </m:sSub>
      </m:oMath>
      <w:r w:rsidR="00D03499" w:rsidRPr="008B7BD8">
        <w:rPr>
          <w:rFonts w:ascii="Arial" w:eastAsiaTheme="minorEastAsia" w:hAnsi="Arial" w:cs="Arial"/>
          <w:sz w:val="20"/>
          <w:szCs w:val="20"/>
          <w:lang w:val="es-US"/>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lang w:val="es-US"/>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p>
    <w:p w14:paraId="67218842" w14:textId="152C0B95" w:rsidR="00460EA3" w:rsidRPr="008B7BD8" w:rsidRDefault="00000000" w:rsidP="00460EA3">
      <w:pPr>
        <w:pStyle w:val="ListParagraph"/>
        <w:numPr>
          <w:ilvl w:val="0"/>
          <w:numId w:val="19"/>
        </w:numPr>
        <w:spacing w:after="0" w:line="240" w:lineRule="auto"/>
        <w:rPr>
          <w:rFonts w:ascii="Arial" w:eastAsiaTheme="minorEastAsia" w:hAnsi="Arial" w:cs="Arial"/>
          <w:sz w:val="20"/>
          <w:szCs w:val="20"/>
          <w:lang w:val="es-US"/>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lang w:val="es-US"/>
              </w:rPr>
              <m:t>02</m:t>
            </m:r>
          </m:sub>
        </m:sSub>
      </m:oMath>
      <w:r w:rsidR="00460EA3" w:rsidRPr="008B7BD8">
        <w:rPr>
          <w:rFonts w:ascii="Arial" w:eastAsiaTheme="minorEastAsia" w:hAnsi="Arial" w:cs="Arial"/>
          <w:sz w:val="20"/>
          <w:szCs w:val="20"/>
          <w:lang w:val="es-US"/>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lang w:val="es-US"/>
          </w:rPr>
          <m:t>=</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8B7BD8">
        <w:rPr>
          <w:rFonts w:ascii="Arial" w:eastAsiaTheme="minorEastAsia" w:hAnsi="Arial" w:cs="Arial"/>
          <w:sz w:val="20"/>
          <w:szCs w:val="20"/>
          <w:lang w:val="es-US"/>
        </w:rPr>
        <w:t xml:space="preserve"> </w:t>
      </w:r>
      <w:r w:rsidR="00D03499" w:rsidRPr="008B7BD8">
        <w:rPr>
          <w:rFonts w:ascii="Arial" w:eastAsiaTheme="minorEastAsia" w:hAnsi="Arial" w:cs="Arial"/>
          <w:sz w:val="20"/>
          <w:szCs w:val="20"/>
          <w:lang w:val="es-US"/>
        </w:rPr>
        <w:t xml:space="preserve"> vs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a</m:t>
            </m:r>
            <m:r>
              <w:rPr>
                <w:rFonts w:ascii="Cambria Math" w:eastAsiaTheme="minorEastAsia" w:hAnsi="Cambria Math" w:cs="Arial"/>
                <w:sz w:val="20"/>
                <w:szCs w:val="20"/>
                <w:lang w:val="es-US"/>
              </w:rPr>
              <m:t>2</m:t>
            </m:r>
          </m:sub>
        </m:sSub>
      </m:oMath>
      <w:r w:rsidR="00D03499" w:rsidRPr="008B7BD8">
        <w:rPr>
          <w:rFonts w:ascii="Arial" w:eastAsiaTheme="minorEastAsia" w:hAnsi="Arial" w:cs="Arial"/>
          <w:sz w:val="20"/>
          <w:szCs w:val="20"/>
          <w:lang w:val="es-US"/>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lang w:val="es-US"/>
          </w:rPr>
          <m:t>≠</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p>
    <w:p w14:paraId="0C754836" w14:textId="46E8B02D" w:rsidR="00460EA3" w:rsidRPr="005E2DB9" w:rsidRDefault="00000000" w:rsidP="00460EA3">
      <w:pPr>
        <w:pStyle w:val="ListParagraph"/>
        <w:numPr>
          <w:ilvl w:val="0"/>
          <w:numId w:val="19"/>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03</m:t>
            </m:r>
          </m:sub>
        </m:sSub>
        <m:r>
          <w:rPr>
            <w:rFonts w:ascii="Cambria Math" w:eastAsiaTheme="minorEastAsia" w:hAnsi="Cambria Math" w:cs="Arial"/>
            <w:sz w:val="20"/>
            <w:szCs w:val="20"/>
          </w:rPr>
          <m:t xml:space="preserve">: </m:t>
        </m:r>
      </m:oMath>
      <w:r w:rsidR="00460EA3" w:rsidRPr="005E2DB9">
        <w:rPr>
          <w:rFonts w:ascii="Arial" w:eastAsiaTheme="minorEastAsia" w:hAnsi="Arial" w:cs="Arial"/>
          <w:sz w:val="20"/>
          <w:szCs w:val="20"/>
        </w:rPr>
        <w:t xml:space="preserve">SSDM is </w:t>
      </w:r>
      <w:proofErr w:type="gramStart"/>
      <w:r w:rsidR="00460EA3" w:rsidRPr="005E2DB9">
        <w:rPr>
          <w:rFonts w:ascii="Arial" w:eastAsiaTheme="minorEastAsia" w:hAnsi="Arial" w:cs="Arial"/>
          <w:sz w:val="20"/>
          <w:szCs w:val="20"/>
        </w:rPr>
        <w:t>N(</w:t>
      </w:r>
      <w:proofErr w:type="gramEnd"/>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w:t>
      </w:r>
      <w:r w:rsidR="00D03499">
        <w:rPr>
          <w:rFonts w:ascii="Arial" w:eastAsiaTheme="minorEastAsia" w:hAnsi="Arial" w:cs="Arial"/>
          <w:sz w:val="20"/>
          <w:szCs w:val="20"/>
        </w:rPr>
        <w:t xml:space="preserve"> vs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a3</m:t>
            </m:r>
          </m:sub>
        </m:sSub>
        <m:r>
          <w:rPr>
            <w:rFonts w:ascii="Cambria Math" w:eastAsiaTheme="minorEastAsia" w:hAnsi="Cambria Math" w:cs="Arial"/>
            <w:sz w:val="20"/>
            <w:szCs w:val="20"/>
          </w:rPr>
          <m:t xml:space="preserve">: </m:t>
        </m:r>
      </m:oMath>
      <w:r w:rsidR="00D03499" w:rsidRPr="005E2DB9">
        <w:rPr>
          <w:rFonts w:ascii="Arial" w:eastAsiaTheme="minorEastAsia" w:hAnsi="Arial" w:cs="Arial"/>
          <w:sz w:val="20"/>
          <w:szCs w:val="20"/>
        </w:rPr>
        <w:t>SSDM is</w:t>
      </w:r>
      <w:r w:rsidR="00D03499">
        <w:rPr>
          <w:rFonts w:ascii="Arial" w:eastAsiaTheme="minorEastAsia" w:hAnsi="Arial" w:cs="Arial"/>
          <w:sz w:val="20"/>
          <w:szCs w:val="20"/>
        </w:rPr>
        <w:t xml:space="preserve"> not</w:t>
      </w:r>
      <w:r w:rsidR="00D03499" w:rsidRPr="005E2DB9">
        <w:rPr>
          <w:rFonts w:ascii="Arial" w:eastAsiaTheme="minorEastAsia" w:hAnsi="Arial" w:cs="Arial"/>
          <w:sz w:val="20"/>
          <w:szCs w:val="20"/>
        </w:rPr>
        <w:t xml:space="preserve"> </w:t>
      </w:r>
      <w:proofErr w:type="gramStart"/>
      <w:r w:rsidR="00D03499" w:rsidRPr="005E2DB9">
        <w:rPr>
          <w:rFonts w:ascii="Arial" w:eastAsiaTheme="minorEastAsia" w:hAnsi="Arial" w:cs="Arial"/>
          <w:sz w:val="20"/>
          <w:szCs w:val="20"/>
        </w:rPr>
        <w:t>N(</w:t>
      </w:r>
      <w:proofErr w:type="gramEnd"/>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D03499" w:rsidRPr="005E2DB9">
        <w:rPr>
          <w:rFonts w:ascii="Arial" w:eastAsiaTheme="minorEastAsia" w:hAnsi="Arial" w:cs="Arial"/>
          <w:sz w:val="20"/>
          <w:szCs w:val="20"/>
        </w:rPr>
        <w:t>)</w:t>
      </w:r>
    </w:p>
    <w:p w14:paraId="72C9E3D5" w14:textId="5CAAD8D0" w:rsidR="00D03499" w:rsidRDefault="00D03499" w:rsidP="00354D63">
      <w:pPr>
        <w:spacing w:after="0" w:line="240" w:lineRule="auto"/>
        <w:jc w:val="both"/>
        <w:rPr>
          <w:rFonts w:ascii="Arial" w:eastAsiaTheme="minorEastAsia" w:hAnsi="Arial" w:cs="Arial"/>
          <w:sz w:val="20"/>
          <w:szCs w:val="20"/>
        </w:rPr>
      </w:pPr>
      <w:r>
        <w:rPr>
          <w:rFonts w:ascii="Arial" w:eastAsiaTheme="minorEastAsia" w:hAnsi="Arial" w:cs="Arial"/>
          <w:sz w:val="20"/>
          <w:szCs w:val="20"/>
        </w:rPr>
        <w:t>w</w:t>
      </w:r>
      <w:r w:rsidR="00460EA3" w:rsidRPr="005E2DB9">
        <w:rPr>
          <w:rFonts w:ascii="Arial" w:eastAsiaTheme="minorEastAsia" w:hAnsi="Arial" w:cs="Arial"/>
          <w:sz w:val="20"/>
          <w:szCs w:val="20"/>
        </w:rPr>
        <w:t>here</w:t>
      </w:r>
      <w:r w:rsidR="00345A1B">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 xml:space="preserve"> </w:t>
      </w:r>
      <w:r w:rsidR="00460EA3">
        <w:rPr>
          <w:rFonts w:ascii="Arial" w:eastAsiaTheme="minorEastAsia" w:hAnsi="Arial" w:cs="Arial"/>
          <w:sz w:val="20"/>
          <w:szCs w:val="20"/>
        </w:rPr>
        <w:t xml:space="preserve">and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 xml:space="preserve"> </w:t>
      </w:r>
      <w:r>
        <w:rPr>
          <w:rFonts w:ascii="Arial" w:eastAsiaTheme="minorEastAsia" w:hAnsi="Arial" w:cs="Arial"/>
          <w:sz w:val="20"/>
          <w:szCs w:val="20"/>
        </w:rPr>
        <w:t xml:space="preserve">are </w:t>
      </w:r>
      <w:r w:rsidR="00460EA3">
        <w:rPr>
          <w:rFonts w:ascii="Arial" w:eastAsiaTheme="minorEastAsia" w:hAnsi="Arial" w:cs="Arial"/>
          <w:sz w:val="20"/>
          <w:szCs w:val="20"/>
        </w:rPr>
        <w:t xml:space="preserve">mean and SE of the </w:t>
      </w:r>
      <w:r w:rsidR="00460EA3" w:rsidRPr="005E2DB9">
        <w:rPr>
          <w:rFonts w:ascii="Arial" w:eastAsiaTheme="minorEastAsia" w:hAnsi="Arial" w:cs="Arial"/>
          <w:sz w:val="20"/>
          <w:szCs w:val="20"/>
        </w:rPr>
        <w:t>SSDM</w:t>
      </w:r>
      <w:r w:rsidR="00345A1B">
        <w:rPr>
          <w:rFonts w:ascii="Arial" w:eastAsiaTheme="minorEastAsia"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 xml:space="preserve"> </w:t>
      </w:r>
      <w:r>
        <w:rPr>
          <w:rFonts w:ascii="Arial" w:eastAsiaTheme="minorEastAsia" w:hAnsi="Arial" w:cs="Arial"/>
          <w:sz w:val="20"/>
          <w:szCs w:val="20"/>
        </w:rPr>
        <w:t xml:space="preserve">are mean and </w:t>
      </w:r>
      <w:r w:rsidR="00460EA3" w:rsidRPr="005E2DB9">
        <w:rPr>
          <w:rFonts w:ascii="Arial" w:eastAsiaTheme="minorEastAsia" w:hAnsi="Arial" w:cs="Arial"/>
          <w:sz w:val="20"/>
          <w:szCs w:val="20"/>
        </w:rPr>
        <w:t>SE of SDM</w:t>
      </w:r>
      <w:r w:rsidR="00345A1B">
        <w:rPr>
          <w:rFonts w:ascii="Arial" w:eastAsiaTheme="minorEastAsia" w:hAnsi="Arial" w:cs="Arial"/>
          <w:sz w:val="20"/>
          <w:szCs w:val="20"/>
        </w:rPr>
        <w:t>.</w:t>
      </w:r>
    </w:p>
    <w:p w14:paraId="767CF8DC" w14:textId="77777777" w:rsidR="00146FCF" w:rsidRDefault="00345A1B" w:rsidP="00345A1B">
      <w:pPr>
        <w:spacing w:after="0" w:line="240" w:lineRule="auto"/>
        <w:rPr>
          <w:rFonts w:ascii="Arial" w:eastAsiaTheme="minorEastAsia" w:hAnsi="Arial" w:cs="Arial"/>
          <w:sz w:val="20"/>
          <w:szCs w:val="20"/>
        </w:rPr>
      </w:pPr>
      <w:r w:rsidRPr="005E2DB9">
        <w:rPr>
          <w:rFonts w:ascii="Arial" w:eastAsiaTheme="minorEastAsia" w:hAnsi="Arial" w:cs="Arial"/>
          <w:sz w:val="20"/>
          <w:szCs w:val="20"/>
        </w:rPr>
        <w:t xml:space="preserve">For the test of (1),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Pr="005E2DB9">
        <w:rPr>
          <w:rFonts w:ascii="Arial" w:eastAsiaTheme="minorEastAsia" w:hAnsi="Arial" w:cs="Arial"/>
          <w:sz w:val="20"/>
          <w:szCs w:val="20"/>
        </w:rPr>
        <w:t xml:space="preserve">, we </w:t>
      </w:r>
      <w:r>
        <w:rPr>
          <w:rFonts w:ascii="Arial" w:eastAsiaTheme="minorEastAsia" w:hAnsi="Arial" w:cs="Arial"/>
          <w:sz w:val="20"/>
          <w:szCs w:val="20"/>
        </w:rPr>
        <w:t xml:space="preserve">opt to apply a </w:t>
      </w:r>
      <w:r w:rsidRPr="005E2DB9">
        <w:rPr>
          <w:rFonts w:ascii="Arial" w:eastAsiaTheme="minorEastAsia" w:hAnsi="Arial" w:cs="Arial"/>
          <w:sz w:val="20"/>
          <w:szCs w:val="20"/>
        </w:rPr>
        <w:t>T</w:t>
      </w:r>
      <w:r>
        <w:rPr>
          <w:rFonts w:ascii="Arial" w:eastAsiaTheme="minorEastAsia" w:hAnsi="Arial" w:cs="Arial"/>
          <w:sz w:val="20"/>
          <w:szCs w:val="20"/>
        </w:rPr>
        <w:t xml:space="preserve">-test </w:t>
      </w:r>
      <w:r w:rsidR="00146FCF">
        <w:rPr>
          <w:rFonts w:ascii="Arial" w:eastAsiaTheme="minorEastAsia" w:hAnsi="Arial" w:cs="Arial"/>
          <w:sz w:val="20"/>
          <w:szCs w:val="20"/>
        </w:rPr>
        <w:t>and Z-test.</w:t>
      </w:r>
    </w:p>
    <w:p w14:paraId="7056BDEA" w14:textId="4546BA87" w:rsidR="00345A1B" w:rsidRPr="005E2DB9" w:rsidRDefault="00146FCF" w:rsidP="00345A1B">
      <w:pPr>
        <w:spacing w:after="0" w:line="240" w:lineRule="auto"/>
        <w:rPr>
          <w:rFonts w:ascii="Arial" w:eastAsiaTheme="minorEastAsia" w:hAnsi="Arial" w:cs="Arial"/>
          <w:sz w:val="20"/>
          <w:szCs w:val="20"/>
        </w:rPr>
      </w:pPr>
      <w:r>
        <w:rPr>
          <w:rFonts w:ascii="Arial" w:eastAsiaTheme="minorEastAsia" w:hAnsi="Arial" w:cs="Arial"/>
          <w:sz w:val="20"/>
          <w:szCs w:val="20"/>
        </w:rPr>
        <w:t xml:space="preserve">The T-test is </w:t>
      </w:r>
      <w:r w:rsidR="00345A1B">
        <w:rPr>
          <w:rFonts w:ascii="Arial" w:eastAsiaTheme="minorEastAsia" w:hAnsi="Arial" w:cs="Arial"/>
          <w:sz w:val="20"/>
          <w:szCs w:val="20"/>
        </w:rPr>
        <w:t xml:space="preserve">defined by </w:t>
      </w:r>
    </w:p>
    <w:p w14:paraId="4AC0A681" w14:textId="265DD440" w:rsidR="00345A1B" w:rsidRPr="005E2DB9" w:rsidRDefault="00345A1B" w:rsidP="00345A1B">
      <w:pPr>
        <w:pStyle w:val="ListParagraph"/>
        <w:spacing w:after="0" w:line="240" w:lineRule="auto"/>
        <w:ind w:left="1080"/>
        <w:rPr>
          <w:rFonts w:ascii="Arial" w:eastAsiaTheme="minorEastAsia" w:hAnsi="Arial" w:cs="Arial"/>
          <w:sz w:val="20"/>
          <w:szCs w:val="20"/>
        </w:rPr>
      </w:pPr>
      <m:oMathPara>
        <m:oMath>
          <m:r>
            <w:rPr>
              <w:rFonts w:ascii="Cambria Math" w:hAnsi="Cambria Math" w:cs="Arial"/>
              <w:sz w:val="20"/>
              <w:szCs w:val="20"/>
            </w:rPr>
            <m:t>T=</m:t>
          </m:r>
          <m:f>
            <m:fPr>
              <m:ctrlPr>
                <w:rPr>
                  <w:rFonts w:ascii="Cambria Math" w:hAnsi="Cambria Math" w:cs="Arial"/>
                  <w:i/>
                  <w:sz w:val="20"/>
                  <w:szCs w:val="20"/>
                </w:rPr>
              </m:ctrlPr>
            </m:fPr>
            <m:num>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num>
            <m:den>
              <m:acc>
                <m:accPr>
                  <m:chr m:val="̃"/>
                  <m:ctrlPr>
                    <w:rPr>
                      <w:rFonts w:ascii="Cambria Math" w:hAnsi="Cambria Math" w:cs="Arial"/>
                      <w:i/>
                      <w:sz w:val="20"/>
                      <w:szCs w:val="20"/>
                    </w:rPr>
                  </m:ctrlPr>
                </m:accPr>
                <m:e>
                  <m:r>
                    <w:rPr>
                      <w:rFonts w:ascii="Cambria Math" w:hAnsi="Cambria Math" w:cs="Arial"/>
                      <w:sz w:val="20"/>
                      <w:szCs w:val="20"/>
                    </w:rPr>
                    <m:t>s</m:t>
                  </m:r>
                </m:e>
              </m:acc>
              <m:r>
                <w:rPr>
                  <w:rFonts w:ascii="Cambria Math" w:hAnsi="Cambria Math" w:cs="Arial"/>
                  <w:sz w:val="20"/>
                  <w:szCs w:val="20"/>
                </w:rPr>
                <m:t>/</m:t>
              </m:r>
              <m:rad>
                <m:radPr>
                  <m:degHide m:val="1"/>
                  <m:ctrlPr>
                    <w:rPr>
                      <w:rFonts w:ascii="Cambria Math" w:hAnsi="Cambria Math" w:cs="Arial"/>
                      <w:i/>
                      <w:sz w:val="20"/>
                      <w:szCs w:val="20"/>
                    </w:rPr>
                  </m:ctrlPr>
                </m:radPr>
                <m:deg/>
                <m:e>
                  <m:r>
                    <w:rPr>
                      <w:rFonts w:ascii="Cambria Math" w:hAnsi="Cambria Math" w:cs="Arial"/>
                      <w:sz w:val="20"/>
                      <w:szCs w:val="20"/>
                    </w:rPr>
                    <m:t>n</m:t>
                  </m:r>
                </m:e>
              </m:rad>
            </m:den>
          </m:f>
        </m:oMath>
      </m:oMathPara>
    </w:p>
    <w:p w14:paraId="5E600C6F" w14:textId="77777777" w:rsidR="00AA5977" w:rsidRDefault="00AA5977" w:rsidP="00345A1B">
      <w:pPr>
        <w:spacing w:after="0" w:line="240" w:lineRule="auto"/>
        <w:rPr>
          <w:rFonts w:ascii="Arial" w:eastAsiaTheme="minorEastAsia" w:hAnsi="Arial" w:cs="Arial"/>
          <w:sz w:val="20"/>
          <w:szCs w:val="20"/>
        </w:rPr>
      </w:pPr>
      <w:proofErr w:type="gramStart"/>
      <w:r>
        <w:rPr>
          <w:rFonts w:ascii="Arial" w:eastAsiaTheme="minorEastAsia" w:hAnsi="Arial" w:cs="Arial"/>
          <w:sz w:val="20"/>
          <w:szCs w:val="20"/>
        </w:rPr>
        <w:t>w</w:t>
      </w:r>
      <w:r w:rsidR="00345A1B" w:rsidRPr="005E2DB9">
        <w:rPr>
          <w:rFonts w:ascii="Arial" w:eastAsiaTheme="minorEastAsia" w:hAnsi="Arial" w:cs="Arial"/>
          <w:sz w:val="20"/>
          <w:szCs w:val="20"/>
        </w:rPr>
        <w:t>here</w:t>
      </w:r>
      <w:proofErr w:type="gramEnd"/>
    </w:p>
    <w:p w14:paraId="7C86A953" w14:textId="170E0BA6" w:rsidR="00345A1B" w:rsidRDefault="00000000" w:rsidP="00345A1B">
      <w:pPr>
        <w:spacing w:after="0" w:line="240" w:lineRule="auto"/>
        <w:rPr>
          <w:rFonts w:ascii="Arial" w:eastAsiaTheme="minorEastAsia" w:hAnsi="Arial" w:cs="Arial"/>
          <w:sz w:val="20"/>
          <w:szCs w:val="20"/>
        </w:rPr>
      </w:pP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M</m:t>
            </m:r>
          </m:den>
        </m:f>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n,j</m:t>
                </m:r>
              </m:sub>
            </m:sSub>
          </m:e>
        </m:nary>
      </m:oMath>
      <w:r w:rsidR="00AA5977">
        <w:rPr>
          <w:rFonts w:ascii="Arial" w:eastAsiaTheme="minorEastAsia" w:hAnsi="Arial" w:cs="Arial"/>
          <w:sz w:val="20"/>
          <w:szCs w:val="20"/>
        </w:rPr>
        <w:t xml:space="preserve"> </w:t>
      </w:r>
      <w:r w:rsidR="00E0799D">
        <w:rPr>
          <w:rFonts w:ascii="Arial" w:eastAsiaTheme="minorEastAsia" w:hAnsi="Arial" w:cs="Arial"/>
          <w:sz w:val="20"/>
          <w:szCs w:val="20"/>
        </w:rPr>
        <w:t xml:space="preserve">and </w:t>
      </w:r>
      <m:oMath>
        <m:acc>
          <m:accPr>
            <m:chr m:val="̃"/>
            <m:ctrlPr>
              <w:rPr>
                <w:rFonts w:ascii="Cambria Math" w:hAnsi="Cambria Math" w:cs="Arial"/>
                <w:i/>
                <w:sz w:val="20"/>
                <w:szCs w:val="20"/>
              </w:rPr>
            </m:ctrlPr>
          </m:accPr>
          <m:e>
            <m:r>
              <w:rPr>
                <w:rFonts w:ascii="Cambria Math" w:hAnsi="Cambria Math" w:cs="Arial"/>
                <w:sz w:val="20"/>
                <w:szCs w:val="20"/>
              </w:rPr>
              <m:t>s</m:t>
            </m:r>
          </m:e>
        </m:acc>
        <m:r>
          <w:rPr>
            <w:rFonts w:ascii="Cambria Math" w:hAnsi="Cambria Math" w:cs="Arial"/>
            <w:sz w:val="20"/>
            <w:szCs w:val="20"/>
          </w:rPr>
          <m:t>=</m:t>
        </m:r>
        <m:rad>
          <m:radPr>
            <m:degHide m:val="1"/>
            <m:ctrlPr>
              <w:rPr>
                <w:rFonts w:ascii="Cambria Math" w:hAnsi="Cambria Math" w:cs="Arial"/>
                <w:i/>
                <w:sz w:val="20"/>
                <w:szCs w:val="20"/>
              </w:rPr>
            </m:ctrlPr>
          </m:radPr>
          <m:deg/>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M-1</m:t>
                </m:r>
              </m:den>
            </m:f>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n,j</m:t>
                            </m:r>
                          </m:sub>
                        </m:sSub>
                        <m:r>
                          <w:rPr>
                            <w:rFonts w:ascii="Cambria Math" w:hAnsi="Cambria Math" w:cs="Arial"/>
                            <w:sz w:val="20"/>
                            <w:szCs w:val="20"/>
                          </w:rPr>
                          <m:t>-</m:t>
                        </m:r>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e>
                    </m:d>
                  </m:e>
                  <m:sup>
                    <m:r>
                      <w:rPr>
                        <w:rFonts w:ascii="Cambria Math" w:hAnsi="Cambria Math" w:cs="Arial"/>
                        <w:sz w:val="20"/>
                        <w:szCs w:val="20"/>
                      </w:rPr>
                      <m:t>2</m:t>
                    </m:r>
                  </m:sup>
                </m:sSup>
              </m:e>
            </m:nary>
          </m:e>
        </m:rad>
      </m:oMath>
      <w:r w:rsidR="00AA5977">
        <w:rPr>
          <w:rFonts w:ascii="Arial" w:eastAsiaTheme="minorEastAsia" w:hAnsi="Arial" w:cs="Arial"/>
          <w:sz w:val="20"/>
          <w:szCs w:val="20"/>
        </w:rPr>
        <w:t xml:space="preserve"> </w:t>
      </w:r>
    </w:p>
    <w:p w14:paraId="581CEFD3" w14:textId="77777777" w:rsidR="00146FCF" w:rsidRDefault="00146FCF" w:rsidP="00345A1B">
      <w:pPr>
        <w:spacing w:after="0" w:line="240" w:lineRule="auto"/>
        <w:rPr>
          <w:rFonts w:ascii="Arial" w:eastAsiaTheme="minorEastAsia" w:hAnsi="Arial" w:cs="Arial"/>
          <w:sz w:val="20"/>
          <w:szCs w:val="20"/>
        </w:rPr>
      </w:pPr>
    </w:p>
    <w:p w14:paraId="551ACCBD" w14:textId="3C0B6E44" w:rsidR="00345A1B" w:rsidRDefault="00AA5977" w:rsidP="0027698B">
      <w:pPr>
        <w:spacing w:after="0" w:line="240" w:lineRule="auto"/>
        <w:jc w:val="both"/>
        <w:rPr>
          <w:rFonts w:ascii="Arial" w:hAnsi="Arial" w:cs="Arial"/>
          <w:sz w:val="20"/>
          <w:szCs w:val="20"/>
        </w:rPr>
      </w:pPr>
      <w:r>
        <w:rPr>
          <w:rFonts w:ascii="Arial" w:eastAsiaTheme="minorEastAsia" w:hAnsi="Arial" w:cs="Arial"/>
          <w:sz w:val="20"/>
          <w:szCs w:val="20"/>
        </w:rPr>
        <w:t xml:space="preserve">The values of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oMath>
      <w:r>
        <w:rPr>
          <w:rFonts w:ascii="Arial" w:eastAsiaTheme="minorEastAsia" w:hAnsi="Arial" w:cs="Arial"/>
          <w:sz w:val="20"/>
          <w:szCs w:val="20"/>
        </w:rPr>
        <w:t xml:space="preserve"> and </w:t>
      </w:r>
      <m:oMath>
        <m:acc>
          <m:accPr>
            <m:chr m:val="̃"/>
            <m:ctrlPr>
              <w:rPr>
                <w:rFonts w:ascii="Cambria Math" w:hAnsi="Cambria Math" w:cs="Arial"/>
                <w:i/>
                <w:sz w:val="20"/>
                <w:szCs w:val="20"/>
              </w:rPr>
            </m:ctrlPr>
          </m:accPr>
          <m:e>
            <m:r>
              <w:rPr>
                <w:rFonts w:ascii="Cambria Math" w:hAnsi="Cambria Math" w:cs="Arial"/>
                <w:sz w:val="20"/>
                <w:szCs w:val="20"/>
              </w:rPr>
              <m:t>s</m:t>
            </m:r>
          </m:e>
        </m:acc>
      </m:oMath>
      <w:r>
        <w:rPr>
          <w:rFonts w:ascii="Arial" w:eastAsiaTheme="minorEastAsia" w:hAnsi="Arial" w:cs="Arial"/>
          <w:sz w:val="20"/>
          <w:szCs w:val="20"/>
        </w:rPr>
        <w:t xml:space="preserve"> vary by the choice of </w:t>
      </w:r>
      <m:oMath>
        <m:r>
          <w:rPr>
            <w:rFonts w:ascii="Cambria Math" w:eastAsiaTheme="minorEastAsia" w:hAnsi="Cambria Math" w:cs="Arial"/>
            <w:sz w:val="20"/>
            <w:szCs w:val="20"/>
          </w:rPr>
          <m:t>M</m:t>
        </m:r>
      </m:oMath>
      <w:r>
        <w:rPr>
          <w:rFonts w:ascii="Arial" w:eastAsiaTheme="minorEastAsia" w:hAnsi="Arial" w:cs="Arial"/>
          <w:sz w:val="20"/>
          <w:szCs w:val="20"/>
        </w:rPr>
        <w:t xml:space="preserve">, the simulation replications used in the </w:t>
      </w:r>
      <w:r w:rsidRPr="005E2DB9">
        <w:rPr>
          <w:rFonts w:ascii="Arial" w:eastAsiaTheme="minorEastAsia" w:hAnsi="Arial" w:cs="Arial"/>
          <w:sz w:val="20"/>
          <w:szCs w:val="20"/>
        </w:rPr>
        <w:t>SSDM</w:t>
      </w:r>
      <w:r w:rsidR="007141B7">
        <w:rPr>
          <w:rFonts w:ascii="Arial" w:eastAsiaTheme="minorEastAsia" w:hAnsi="Arial" w:cs="Arial"/>
          <w:sz w:val="20"/>
          <w:szCs w:val="20"/>
        </w:rPr>
        <w:t xml:space="preserve"> and are estimates of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7141B7">
        <w:rPr>
          <w:rFonts w:ascii="Arial" w:eastAsiaTheme="minorEastAsia" w:hAnsi="Arial" w:cs="Arial"/>
          <w:sz w:val="20"/>
          <w:szCs w:val="20"/>
        </w:rPr>
        <w:t xml:space="preserve"> and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7141B7">
        <w:rPr>
          <w:rFonts w:ascii="Arial" w:eastAsiaTheme="minorEastAsia" w:hAnsi="Arial" w:cs="Arial"/>
          <w:sz w:val="20"/>
          <w:szCs w:val="20"/>
        </w:rPr>
        <w:t xml:space="preserve">. The values of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7141B7">
        <w:rPr>
          <w:rFonts w:ascii="Arial" w:eastAsiaTheme="minorEastAsia"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7141B7">
        <w:rPr>
          <w:rFonts w:ascii="Arial" w:eastAsiaTheme="minorEastAsia" w:hAnsi="Arial" w:cs="Arial"/>
          <w:sz w:val="20"/>
          <w:szCs w:val="20"/>
        </w:rPr>
        <w:t xml:space="preserve"> are specified by the properties of the SDM.</w:t>
      </w:r>
      <w:r w:rsidR="00146FCF">
        <w:rPr>
          <w:rFonts w:ascii="Arial" w:eastAsiaTheme="minorEastAsia" w:hAnsi="Arial" w:cs="Arial"/>
          <w:sz w:val="20"/>
          <w:szCs w:val="20"/>
        </w:rPr>
        <w:t xml:space="preserve"> </w:t>
      </w:r>
      <w:r w:rsidR="00345A1B" w:rsidRPr="005E2DB9">
        <w:rPr>
          <w:rFonts w:ascii="Arial" w:hAnsi="Arial" w:cs="Arial"/>
          <w:sz w:val="20"/>
          <w:szCs w:val="20"/>
        </w:rPr>
        <w:t xml:space="preserve">The test statistic T is assumed to follow a </w:t>
      </w:r>
      <m:oMath>
        <m:r>
          <m:rPr>
            <m:sty m:val="bi"/>
          </m:rPr>
          <w:rPr>
            <w:rFonts w:ascii="Cambria Math" w:hAnsi="Cambria Math" w:cs="Arial"/>
            <w:sz w:val="20"/>
            <w:szCs w:val="20"/>
          </w:rPr>
          <m:t>t</m:t>
        </m:r>
      </m:oMath>
      <w:r w:rsidR="00345A1B" w:rsidRPr="005E2DB9">
        <w:rPr>
          <w:rFonts w:ascii="Arial" w:hAnsi="Arial" w:cs="Arial"/>
          <w:sz w:val="20"/>
          <w:szCs w:val="20"/>
        </w:rPr>
        <w:t xml:space="preserve"> distribution with </w:t>
      </w:r>
      <m:oMath>
        <m:r>
          <w:rPr>
            <w:rFonts w:ascii="Cambria Math" w:hAnsi="Cambria Math" w:cs="Arial"/>
            <w:sz w:val="20"/>
            <w:szCs w:val="20"/>
          </w:rPr>
          <m:t>(M-1)</m:t>
        </m:r>
      </m:oMath>
      <w:r w:rsidR="00345A1B" w:rsidRPr="005E2DB9">
        <w:rPr>
          <w:rFonts w:ascii="Arial" w:hAnsi="Arial" w:cs="Arial"/>
          <w:sz w:val="20"/>
          <w:szCs w:val="20"/>
        </w:rPr>
        <w:t xml:space="preserve"> degrees of freedom. </w:t>
      </w:r>
    </w:p>
    <w:p w14:paraId="04489063" w14:textId="6C887693" w:rsidR="00146FCF" w:rsidRDefault="00146FCF" w:rsidP="0027698B">
      <w:pPr>
        <w:spacing w:after="0" w:line="240" w:lineRule="auto"/>
        <w:jc w:val="both"/>
        <w:rPr>
          <w:rFonts w:ascii="Arial" w:hAnsi="Arial" w:cs="Arial"/>
          <w:sz w:val="20"/>
          <w:szCs w:val="20"/>
        </w:rPr>
      </w:pPr>
      <w:r>
        <w:rPr>
          <w:rFonts w:ascii="Arial" w:hAnsi="Arial" w:cs="Arial"/>
          <w:sz w:val="20"/>
          <w:szCs w:val="20"/>
        </w:rPr>
        <w:t>The Z-test is defined by</w:t>
      </w:r>
    </w:p>
    <w:p w14:paraId="2667484E" w14:textId="403CDA7C" w:rsidR="00146FCF" w:rsidRPr="00146FCF" w:rsidRDefault="00146FCF" w:rsidP="0027698B">
      <w:pPr>
        <w:spacing w:after="0" w:line="240" w:lineRule="auto"/>
        <w:jc w:val="both"/>
        <w:rPr>
          <w:rFonts w:ascii="Arial" w:eastAsiaTheme="minorEastAsia" w:hAnsi="Arial" w:cs="Arial"/>
          <w:sz w:val="20"/>
          <w:szCs w:val="20"/>
        </w:rPr>
      </w:pPr>
      <m:oMathPara>
        <m:oMath>
          <m:r>
            <w:rPr>
              <w:rFonts w:ascii="Cambria Math" w:hAnsi="Cambria Math" w:cs="Arial"/>
              <w:sz w:val="20"/>
              <w:szCs w:val="20"/>
            </w:rPr>
            <m:t>Z=</m:t>
          </m:r>
          <m:f>
            <m:fPr>
              <m:ctrlPr>
                <w:rPr>
                  <w:rFonts w:ascii="Cambria Math" w:hAnsi="Cambria Math" w:cs="Arial"/>
                  <w:i/>
                  <w:sz w:val="20"/>
                  <w:szCs w:val="20"/>
                </w:rPr>
              </m:ctrlPr>
            </m:fPr>
            <m:num>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num>
            <m:den>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den>
          </m:f>
        </m:oMath>
      </m:oMathPara>
    </w:p>
    <w:p w14:paraId="22FA5263" w14:textId="3CABCA6E" w:rsidR="00146FCF" w:rsidRDefault="00146FCF" w:rsidP="0027698B">
      <w:pPr>
        <w:spacing w:after="0" w:line="240" w:lineRule="auto"/>
        <w:jc w:val="both"/>
        <w:rPr>
          <w:rFonts w:ascii="Arial" w:hAnsi="Arial" w:cs="Arial"/>
          <w:sz w:val="20"/>
          <w:szCs w:val="20"/>
        </w:rPr>
      </w:pPr>
      <w:r w:rsidRPr="00146FCF">
        <w:rPr>
          <w:rFonts w:ascii="Arial" w:hAnsi="Arial" w:cs="Arial"/>
          <w:sz w:val="20"/>
          <w:szCs w:val="20"/>
        </w:rPr>
        <w:t>which is assumed to follow a standard normal distribution.</w:t>
      </w:r>
    </w:p>
    <w:p w14:paraId="716A4724" w14:textId="77777777" w:rsidR="00146FCF" w:rsidRDefault="00146FCF" w:rsidP="0027698B">
      <w:pPr>
        <w:spacing w:after="0" w:line="240" w:lineRule="auto"/>
        <w:jc w:val="both"/>
        <w:rPr>
          <w:rFonts w:ascii="Arial" w:hAnsi="Arial" w:cs="Arial"/>
          <w:sz w:val="20"/>
          <w:szCs w:val="20"/>
        </w:rPr>
      </w:pPr>
    </w:p>
    <w:p w14:paraId="67230710" w14:textId="77777777" w:rsidR="00345A1B" w:rsidRPr="005E2DB9" w:rsidRDefault="00345A1B" w:rsidP="0027698B">
      <w:pPr>
        <w:spacing w:after="0" w:line="240" w:lineRule="auto"/>
        <w:jc w:val="both"/>
        <w:rPr>
          <w:rFonts w:ascii="Arial" w:hAnsi="Arial" w:cs="Arial"/>
          <w:sz w:val="20"/>
          <w:szCs w:val="20"/>
        </w:rPr>
      </w:pPr>
      <w:r w:rsidRPr="005E2DB9">
        <w:rPr>
          <w:rFonts w:ascii="Arial" w:eastAsiaTheme="minorEastAsia" w:hAnsi="Arial" w:cs="Arial"/>
          <w:sz w:val="20"/>
          <w:szCs w:val="20"/>
        </w:rPr>
        <w:t xml:space="preserve">For the test of (2),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Pr="005E2DB9">
        <w:rPr>
          <w:rFonts w:ascii="Arial" w:eastAsiaTheme="minorEastAsia" w:hAnsi="Arial" w:cs="Arial"/>
          <w:sz w:val="20"/>
          <w:szCs w:val="20"/>
        </w:rPr>
        <w:t xml:space="preserve">, we conduct a Chi-square test for a specified variance given by </w:t>
      </w:r>
    </w:p>
    <w:p w14:paraId="45D2DD63" w14:textId="77777777" w:rsidR="00345A1B" w:rsidRPr="005E2DB9" w:rsidRDefault="00000000" w:rsidP="0027698B">
      <w:pPr>
        <w:spacing w:after="0" w:line="240" w:lineRule="auto"/>
        <w:jc w:val="both"/>
        <w:rPr>
          <w:rFonts w:ascii="Arial" w:eastAsiaTheme="minorEastAsia" w:hAnsi="Arial" w:cs="Arial"/>
          <w:sz w:val="20"/>
          <w:szCs w:val="20"/>
        </w:rPr>
      </w:pPr>
      <m:oMathPara>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(M-1)</m:t>
              </m:r>
              <m:sSubSup>
                <m:sSubSupPr>
                  <m:ctrlPr>
                    <w:rPr>
                      <w:rFonts w:ascii="Cambria Math" w:hAnsi="Cambria Math" w:cs="Arial"/>
                      <w:i/>
                      <w:sz w:val="20"/>
                      <w:szCs w:val="20"/>
                    </w:rPr>
                  </m:ctrlPr>
                </m:sSubSupPr>
                <m:e>
                  <m:acc>
                    <m:accPr>
                      <m:chr m:val="̃"/>
                      <m:ctrlPr>
                        <w:rPr>
                          <w:rFonts w:ascii="Cambria Math" w:hAnsi="Cambria Math" w:cs="Arial"/>
                          <w:i/>
                          <w:sz w:val="20"/>
                          <w:szCs w:val="20"/>
                        </w:rPr>
                      </m:ctrlPr>
                    </m:accPr>
                    <m:e>
                      <m:r>
                        <w:rPr>
                          <w:rFonts w:ascii="Cambria Math" w:hAnsi="Cambria Math" w:cs="Arial"/>
                          <w:sz w:val="20"/>
                          <w:szCs w:val="20"/>
                        </w:rPr>
                        <m:t>s</m:t>
                      </m:r>
                    </m:e>
                  </m:acc>
                </m:e>
                <m:sub>
                  <m:acc>
                    <m:accPr>
                      <m:chr m:val="̅"/>
                      <m:ctrlPr>
                        <w:rPr>
                          <w:rFonts w:ascii="Cambria Math" w:hAnsi="Cambria Math" w:cs="Arial"/>
                          <w:i/>
                          <w:sz w:val="20"/>
                          <w:szCs w:val="20"/>
                        </w:rPr>
                      </m:ctrlPr>
                    </m:accPr>
                    <m:e>
                      <m:r>
                        <w:rPr>
                          <w:rFonts w:ascii="Cambria Math" w:hAnsi="Cambria Math" w:cs="Arial"/>
                          <w:sz w:val="20"/>
                          <w:szCs w:val="20"/>
                        </w:rPr>
                        <m:t>x</m:t>
                      </m:r>
                    </m:e>
                  </m:acc>
                </m:sub>
                <m:sup>
                  <m:r>
                    <w:rPr>
                      <w:rFonts w:ascii="Cambria Math" w:hAnsi="Cambria Math" w:cs="Arial"/>
                      <w:sz w:val="20"/>
                      <w:szCs w:val="20"/>
                    </w:rPr>
                    <m:t>2</m:t>
                  </m:r>
                </m:sup>
              </m:sSubSup>
            </m:num>
            <m:den>
              <m:sSubSup>
                <m:sSubSupPr>
                  <m:ctrlPr>
                    <w:rPr>
                      <w:rFonts w:ascii="Cambria Math" w:hAnsi="Cambria Math" w:cs="Arial"/>
                      <w:i/>
                      <w:sz w:val="20"/>
                      <w:szCs w:val="20"/>
                    </w:rPr>
                  </m:ctrlPr>
                </m:sSubSup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up>
                  <m:r>
                    <w:rPr>
                      <w:rFonts w:ascii="Cambria Math" w:hAnsi="Cambria Math" w:cs="Arial"/>
                      <w:sz w:val="20"/>
                      <w:szCs w:val="20"/>
                    </w:rPr>
                    <m:t>2</m:t>
                  </m:r>
                </m:sup>
              </m:sSubSup>
            </m:den>
          </m:f>
        </m:oMath>
      </m:oMathPara>
    </w:p>
    <w:p w14:paraId="4583E865" w14:textId="07EEBE25" w:rsidR="00345A1B" w:rsidRPr="005E2DB9" w:rsidRDefault="00345A1B" w:rsidP="0027698B">
      <w:pPr>
        <w:spacing w:after="0" w:line="240" w:lineRule="auto"/>
        <w:jc w:val="both"/>
        <w:rPr>
          <w:rFonts w:ascii="Arial" w:eastAsiaTheme="minorEastAsia" w:hAnsi="Arial" w:cs="Arial"/>
          <w:color w:val="000000" w:themeColor="text1"/>
          <w:sz w:val="20"/>
          <w:szCs w:val="20"/>
        </w:rPr>
      </w:pPr>
      <w:r w:rsidRPr="005E2DB9">
        <w:rPr>
          <w:rFonts w:ascii="Arial" w:hAnsi="Arial" w:cs="Arial"/>
          <w:sz w:val="20"/>
          <w:szCs w:val="20"/>
        </w:rPr>
        <w:t xml:space="preserve">where </w:t>
      </w:r>
      <m:oMath>
        <m:sSubSup>
          <m:sSubSupPr>
            <m:ctrlPr>
              <w:rPr>
                <w:rFonts w:ascii="Cambria Math" w:hAnsi="Cambria Math" w:cs="Arial"/>
                <w:i/>
                <w:sz w:val="20"/>
                <w:szCs w:val="20"/>
              </w:rPr>
            </m:ctrlPr>
          </m:sSubSupPr>
          <m:e>
            <m:acc>
              <m:accPr>
                <m:chr m:val="̃"/>
                <m:ctrlPr>
                  <w:rPr>
                    <w:rFonts w:ascii="Cambria Math" w:hAnsi="Cambria Math" w:cs="Arial"/>
                    <w:i/>
                    <w:sz w:val="20"/>
                    <w:szCs w:val="20"/>
                  </w:rPr>
                </m:ctrlPr>
              </m:accPr>
              <m:e>
                <m:r>
                  <w:rPr>
                    <w:rFonts w:ascii="Cambria Math" w:hAnsi="Cambria Math" w:cs="Arial"/>
                    <w:sz w:val="20"/>
                    <w:szCs w:val="20"/>
                  </w:rPr>
                  <m:t>s</m:t>
                </m:r>
              </m:e>
            </m:acc>
          </m:e>
          <m:sub>
            <m:acc>
              <m:accPr>
                <m:chr m:val="̅"/>
                <m:ctrlPr>
                  <w:rPr>
                    <w:rFonts w:ascii="Cambria Math" w:hAnsi="Cambria Math" w:cs="Arial"/>
                    <w:i/>
                    <w:sz w:val="20"/>
                    <w:szCs w:val="20"/>
                  </w:rPr>
                </m:ctrlPr>
              </m:accPr>
              <m:e>
                <m:r>
                  <w:rPr>
                    <w:rFonts w:ascii="Cambria Math" w:hAnsi="Cambria Math" w:cs="Arial"/>
                    <w:sz w:val="20"/>
                    <w:szCs w:val="20"/>
                  </w:rPr>
                  <m:t>x</m:t>
                </m:r>
              </m:e>
            </m:acc>
          </m:sub>
          <m:sup>
            <m:r>
              <w:rPr>
                <w:rFonts w:ascii="Cambria Math" w:hAnsi="Cambria Math" w:cs="Arial"/>
                <w:sz w:val="20"/>
                <w:szCs w:val="20"/>
              </w:rPr>
              <m:t>2</m:t>
            </m:r>
          </m:sup>
        </m:sSubSup>
        <m:r>
          <w:rPr>
            <w:rFonts w:ascii="Cambria Math" w:hAnsi="Cambria Math" w:cs="Arial"/>
            <w:sz w:val="20"/>
            <w:szCs w:val="20"/>
          </w:rPr>
          <m:t>=</m:t>
        </m:r>
        <m:f>
          <m:fPr>
            <m:ctrlPr>
              <w:rPr>
                <w:rFonts w:ascii="Cambria Math" w:hAnsi="Cambria Math" w:cs="Arial"/>
                <w:i/>
                <w:sz w:val="20"/>
                <w:szCs w:val="20"/>
              </w:rPr>
            </m:ctrlPr>
          </m:fPr>
          <m:num>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sSup>
                  <m:sSupPr>
                    <m:ctrlPr>
                      <w:rPr>
                        <w:rFonts w:ascii="Cambria Math" w:hAnsi="Cambria Math" w:cs="Arial"/>
                        <w:i/>
                        <w:sz w:val="20"/>
                        <w:szCs w:val="20"/>
                      </w:rPr>
                    </m:ctrlPr>
                  </m:sSupPr>
                  <m:e>
                    <m:r>
                      <w:rPr>
                        <w:rFonts w:ascii="Cambria Math" w:hAnsi="Cambria Math" w:cs="Arial"/>
                        <w:sz w:val="20"/>
                        <w:szCs w:val="20"/>
                      </w:rPr>
                      <m:t>(</m:t>
                    </m:r>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n,j</m:t>
                        </m:r>
                      </m:sub>
                    </m:sSub>
                    <m:r>
                      <w:rPr>
                        <w:rFonts w:ascii="Cambria Math" w:hAnsi="Cambria Math" w:cs="Arial"/>
                        <w:sz w:val="20"/>
                        <w:szCs w:val="20"/>
                      </w:rPr>
                      <m:t>-</m:t>
                    </m:r>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r>
                      <w:rPr>
                        <w:rFonts w:ascii="Cambria Math" w:hAnsi="Cambria Math" w:cs="Arial"/>
                        <w:sz w:val="20"/>
                        <w:szCs w:val="20"/>
                      </w:rPr>
                      <m:t>)</m:t>
                    </m:r>
                  </m:e>
                  <m:sup>
                    <m:r>
                      <w:rPr>
                        <w:rFonts w:ascii="Cambria Math" w:hAnsi="Cambria Math" w:cs="Arial"/>
                        <w:sz w:val="20"/>
                        <w:szCs w:val="20"/>
                      </w:rPr>
                      <m:t>2</m:t>
                    </m:r>
                  </m:sup>
                </m:sSup>
              </m:e>
            </m:nary>
          </m:num>
          <m:den>
            <m:r>
              <w:rPr>
                <w:rFonts w:ascii="Cambria Math" w:hAnsi="Cambria Math" w:cs="Arial"/>
                <w:sz w:val="20"/>
                <w:szCs w:val="20"/>
              </w:rPr>
              <m:t>M-1</m:t>
            </m:r>
          </m:den>
        </m:f>
      </m:oMath>
      <w:r w:rsidRPr="005E2DB9">
        <w:rPr>
          <w:rFonts w:ascii="Arial" w:eastAsiaTheme="minorEastAsia" w:hAnsi="Arial" w:cs="Arial"/>
          <w:sz w:val="20"/>
          <w:szCs w:val="20"/>
        </w:rPr>
        <w:t xml:space="preserve">. </w:t>
      </w:r>
      <w:r w:rsidRPr="005E2DB9">
        <w:rPr>
          <w:rFonts w:ascii="Arial" w:hAnsi="Arial" w:cs="Arial"/>
          <w:sz w:val="20"/>
          <w:szCs w:val="20"/>
        </w:rPr>
        <w:t xml:space="preserve">The test statistic </w:t>
      </w:r>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oMath>
      <w:r w:rsidRPr="005E2DB9">
        <w:rPr>
          <w:rFonts w:ascii="Arial" w:eastAsiaTheme="minorEastAsia" w:hAnsi="Arial" w:cs="Arial"/>
          <w:sz w:val="20"/>
          <w:szCs w:val="20"/>
        </w:rPr>
        <w:t xml:space="preserve"> is assumed to follow </w:t>
      </w:r>
      <w:r w:rsidRPr="005E2DB9">
        <w:rPr>
          <w:rFonts w:ascii="Arial" w:hAnsi="Arial" w:cs="Arial"/>
          <w:sz w:val="20"/>
          <w:szCs w:val="20"/>
        </w:rPr>
        <w:t xml:space="preserve">a chi-square distribution with </w:t>
      </w:r>
      <m:oMath>
        <m:d>
          <m:dPr>
            <m:ctrlPr>
              <w:rPr>
                <w:rFonts w:ascii="Cambria Math" w:hAnsi="Cambria Math" w:cs="Arial"/>
                <w:i/>
                <w:sz w:val="20"/>
                <w:szCs w:val="20"/>
              </w:rPr>
            </m:ctrlPr>
          </m:dPr>
          <m:e>
            <m:r>
              <w:rPr>
                <w:rFonts w:ascii="Cambria Math" w:hAnsi="Cambria Math" w:cs="Arial"/>
                <w:sz w:val="20"/>
                <w:szCs w:val="20"/>
              </w:rPr>
              <m:t>M-1</m:t>
            </m:r>
          </m:e>
        </m:d>
      </m:oMath>
      <w:r w:rsidRPr="005E2DB9">
        <w:rPr>
          <w:rFonts w:ascii="Arial" w:hAnsi="Arial" w:cs="Arial"/>
          <w:sz w:val="20"/>
          <w:szCs w:val="20"/>
        </w:rPr>
        <w:t xml:space="preserve"> degrees of freedom.</w:t>
      </w:r>
    </w:p>
    <w:p w14:paraId="1B34549E" w14:textId="7DE9114A" w:rsidR="00790DBB" w:rsidRDefault="00345A1B" w:rsidP="0027698B">
      <w:pPr>
        <w:spacing w:line="240" w:lineRule="auto"/>
        <w:jc w:val="both"/>
        <w:rPr>
          <w:rFonts w:ascii="Arial" w:hAnsi="Arial" w:cs="Arial"/>
          <w:color w:val="000000"/>
          <w:sz w:val="20"/>
          <w:szCs w:val="20"/>
        </w:rPr>
      </w:pPr>
      <w:r w:rsidRPr="005E2DB9">
        <w:rPr>
          <w:rFonts w:ascii="Arial" w:eastAsiaTheme="minorEastAsia" w:hAnsi="Arial" w:cs="Arial"/>
          <w:color w:val="000000" w:themeColor="text1"/>
          <w:sz w:val="20"/>
          <w:szCs w:val="20"/>
        </w:rPr>
        <w:t xml:space="preserve">For the test of (3),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Pr="005E2DB9">
        <w:rPr>
          <w:rFonts w:ascii="Arial" w:eastAsiaTheme="minorEastAsia" w:hAnsi="Arial" w:cs="Arial"/>
          <w:sz w:val="20"/>
          <w:szCs w:val="20"/>
        </w:rPr>
        <w:t xml:space="preserve">: SSDM is normal, we employ </w:t>
      </w:r>
      <w:r w:rsidRPr="005E2DB9">
        <w:rPr>
          <w:rFonts w:ascii="Arial" w:hAnsi="Arial" w:cs="Arial"/>
          <w:color w:val="000000"/>
          <w:sz w:val="20"/>
          <w:szCs w:val="20"/>
        </w:rPr>
        <w:t>Anderson-Darling tests of normality by using R</w:t>
      </w:r>
      <w:r w:rsidR="0027698B">
        <w:rPr>
          <w:rFonts w:ascii="Arial" w:hAnsi="Arial" w:cs="Arial"/>
          <w:color w:val="000000"/>
          <w:sz w:val="20"/>
          <w:szCs w:val="20"/>
        </w:rPr>
        <w:t xml:space="preserve"> function </w:t>
      </w:r>
      <w:proofErr w:type="spellStart"/>
      <w:r w:rsidR="00790DBB">
        <w:rPr>
          <w:rFonts w:ascii="Arial" w:hAnsi="Arial" w:cs="Arial"/>
          <w:color w:val="000000"/>
          <w:sz w:val="20"/>
          <w:szCs w:val="20"/>
        </w:rPr>
        <w:t>ad.</w:t>
      </w:r>
      <w:proofErr w:type="gramStart"/>
      <w:r w:rsidR="00790DBB">
        <w:rPr>
          <w:rFonts w:ascii="Arial" w:hAnsi="Arial" w:cs="Arial"/>
          <w:color w:val="000000"/>
          <w:sz w:val="20"/>
          <w:szCs w:val="20"/>
        </w:rPr>
        <w:t>test</w:t>
      </w:r>
      <w:proofErr w:type="spellEnd"/>
      <w:r w:rsidR="00790DBB">
        <w:rPr>
          <w:rFonts w:ascii="Arial" w:hAnsi="Arial" w:cs="Arial"/>
          <w:color w:val="000000"/>
          <w:sz w:val="20"/>
          <w:szCs w:val="20"/>
        </w:rPr>
        <w:t>(</w:t>
      </w:r>
      <w:proofErr w:type="gramEnd"/>
      <w:r w:rsidR="00790DBB">
        <w:rPr>
          <w:rFonts w:ascii="Arial" w:hAnsi="Arial" w:cs="Arial"/>
          <w:color w:val="000000"/>
          <w:sz w:val="20"/>
          <w:szCs w:val="20"/>
        </w:rPr>
        <w:t xml:space="preserve">) </w:t>
      </w:r>
      <w:r w:rsidR="0027698B">
        <w:rPr>
          <w:rFonts w:ascii="Arial" w:hAnsi="Arial" w:cs="Arial"/>
          <w:color w:val="000000"/>
          <w:sz w:val="20"/>
          <w:szCs w:val="20"/>
        </w:rPr>
        <w:t xml:space="preserve">from </w:t>
      </w:r>
      <w:proofErr w:type="spellStart"/>
      <w:r w:rsidR="00790DBB" w:rsidRPr="00790DBB">
        <w:rPr>
          <w:rFonts w:ascii="Arial" w:hAnsi="Arial" w:cs="Arial"/>
          <w:b/>
          <w:bCs/>
          <w:color w:val="000000"/>
          <w:sz w:val="20"/>
          <w:szCs w:val="20"/>
        </w:rPr>
        <w:t>nortest</w:t>
      </w:r>
      <w:proofErr w:type="spellEnd"/>
      <w:r w:rsidR="00790DBB">
        <w:rPr>
          <w:rFonts w:ascii="Arial" w:hAnsi="Arial" w:cs="Arial"/>
          <w:color w:val="000000"/>
          <w:sz w:val="20"/>
          <w:szCs w:val="20"/>
        </w:rPr>
        <w:t xml:space="preserve"> package.</w:t>
      </w:r>
      <w:r w:rsidR="00EE67AE">
        <w:rPr>
          <w:rFonts w:ascii="Arial" w:hAnsi="Arial" w:cs="Arial"/>
          <w:color w:val="000000"/>
          <w:sz w:val="20"/>
          <w:szCs w:val="20"/>
        </w:rPr>
        <w:t xml:space="preserve"> </w:t>
      </w:r>
      <w:r w:rsidR="00EE67AE" w:rsidRPr="00EE67AE">
        <w:rPr>
          <w:rFonts w:ascii="Arial" w:hAnsi="Arial" w:cs="Arial"/>
          <w:color w:val="000000"/>
          <w:sz w:val="20"/>
          <w:szCs w:val="20"/>
        </w:rPr>
        <w:t>As a computational tool, the statistical software R (R Core Team, 2024) has been used for all computations and simulations in this article.</w:t>
      </w:r>
    </w:p>
    <w:p w14:paraId="04E1BBC1" w14:textId="06A92073" w:rsidR="00B77677" w:rsidRPr="00D16EB7" w:rsidRDefault="0026510D" w:rsidP="002B1FDF">
      <w:pPr>
        <w:spacing w:after="0" w:line="240" w:lineRule="auto"/>
        <w:rPr>
          <w:rFonts w:ascii="Arial" w:eastAsiaTheme="minorEastAsia" w:hAnsi="Arial" w:cs="Arial"/>
          <w:b/>
        </w:rPr>
      </w:pPr>
      <w:r w:rsidRPr="00D16EB7">
        <w:rPr>
          <w:rFonts w:ascii="Arial" w:eastAsiaTheme="minorEastAsia" w:hAnsi="Arial" w:cs="Arial"/>
          <w:b/>
        </w:rPr>
        <w:t>4. Examples and applications</w:t>
      </w:r>
    </w:p>
    <w:p w14:paraId="090000B9" w14:textId="29D95384" w:rsidR="002F6B03" w:rsidRDefault="00F73CA5" w:rsidP="002F6B03">
      <w:pPr>
        <w:spacing w:after="0" w:line="240" w:lineRule="auto"/>
        <w:jc w:val="both"/>
        <w:rPr>
          <w:rFonts w:ascii="Arial" w:hAnsi="Arial" w:cs="Arial"/>
          <w:bCs/>
          <w:sz w:val="20"/>
          <w:szCs w:val="20"/>
        </w:rPr>
      </w:pPr>
      <w:r w:rsidRPr="005E2DB9">
        <w:rPr>
          <w:rFonts w:ascii="Arial" w:hAnsi="Arial" w:cs="Arial"/>
          <w:bCs/>
          <w:sz w:val="20"/>
          <w:szCs w:val="20"/>
        </w:rPr>
        <w:t xml:space="preserve">In this section, </w:t>
      </w:r>
      <w:r w:rsidR="006A62A4">
        <w:rPr>
          <w:rFonts w:ascii="Arial" w:hAnsi="Arial" w:cs="Arial"/>
          <w:color w:val="000000"/>
          <w:sz w:val="20"/>
          <w:szCs w:val="20"/>
        </w:rPr>
        <w:t>three example scenarios are investigated to evaluate the performance of SSDM in assessing three properties of SDM.</w:t>
      </w:r>
      <w:r w:rsidR="002F6B03">
        <w:rPr>
          <w:rFonts w:ascii="Arial" w:hAnsi="Arial" w:cs="Arial"/>
          <w:color w:val="000000"/>
          <w:sz w:val="20"/>
          <w:szCs w:val="20"/>
        </w:rPr>
        <w:t xml:space="preserve"> </w:t>
      </w:r>
      <w:r w:rsidR="002F6B03">
        <w:rPr>
          <w:rFonts w:ascii="Arial" w:hAnsi="Arial" w:cs="Arial"/>
          <w:bCs/>
          <w:sz w:val="20"/>
          <w:szCs w:val="20"/>
        </w:rPr>
        <w:t>Examples and s</w:t>
      </w:r>
      <w:r w:rsidR="002F6B03" w:rsidRPr="00354D63">
        <w:rPr>
          <w:rFonts w:ascii="Arial" w:hAnsi="Arial" w:cs="Arial"/>
          <w:bCs/>
          <w:sz w:val="20"/>
          <w:szCs w:val="20"/>
        </w:rPr>
        <w:t>imulation</w:t>
      </w:r>
      <w:r w:rsidR="002F6B03">
        <w:rPr>
          <w:rFonts w:ascii="Arial" w:hAnsi="Arial" w:cs="Arial"/>
          <w:bCs/>
          <w:sz w:val="20"/>
          <w:szCs w:val="20"/>
        </w:rPr>
        <w:t xml:space="preserve"> application</w:t>
      </w:r>
      <w:r w:rsidR="002F6B03" w:rsidRPr="00354D63">
        <w:rPr>
          <w:rFonts w:ascii="Arial" w:hAnsi="Arial" w:cs="Arial"/>
          <w:bCs/>
          <w:sz w:val="20"/>
          <w:szCs w:val="20"/>
        </w:rPr>
        <w:t xml:space="preserve">s are conducted for both finite </w:t>
      </w:r>
      <w:r w:rsidR="008915E5" w:rsidRPr="009B429E">
        <w:rPr>
          <w:rFonts w:ascii="Arial" w:hAnsi="Arial" w:cs="Arial"/>
          <w:bCs/>
          <w:sz w:val="20"/>
          <w:szCs w:val="20"/>
          <w:highlight w:val="yellow"/>
        </w:rPr>
        <w:t>populations</w:t>
      </w:r>
      <w:r w:rsidR="008915E5" w:rsidRPr="00354D63">
        <w:rPr>
          <w:rFonts w:ascii="Arial" w:hAnsi="Arial" w:cs="Arial"/>
          <w:bCs/>
          <w:sz w:val="20"/>
          <w:szCs w:val="20"/>
        </w:rPr>
        <w:t xml:space="preserve"> </w:t>
      </w:r>
      <w:r w:rsidR="002F6B03" w:rsidRPr="00354D63">
        <w:rPr>
          <w:rFonts w:ascii="Arial" w:hAnsi="Arial" w:cs="Arial"/>
          <w:bCs/>
          <w:sz w:val="20"/>
          <w:szCs w:val="20"/>
        </w:rPr>
        <w:t xml:space="preserve">and </w:t>
      </w:r>
      <w:r w:rsidR="002F6B03">
        <w:rPr>
          <w:rFonts w:ascii="Arial" w:hAnsi="Arial" w:cs="Arial"/>
          <w:bCs/>
          <w:sz w:val="20"/>
          <w:szCs w:val="20"/>
        </w:rPr>
        <w:t xml:space="preserve">infinite </w:t>
      </w:r>
      <w:r w:rsidR="002F6B03" w:rsidRPr="00354D63">
        <w:rPr>
          <w:rFonts w:ascii="Arial" w:hAnsi="Arial" w:cs="Arial"/>
          <w:bCs/>
          <w:sz w:val="20"/>
          <w:szCs w:val="20"/>
        </w:rPr>
        <w:t>population</w:t>
      </w:r>
      <w:r w:rsidR="002F6B03">
        <w:rPr>
          <w:rFonts w:ascii="Arial" w:hAnsi="Arial" w:cs="Arial"/>
          <w:bCs/>
          <w:sz w:val="20"/>
          <w:szCs w:val="20"/>
        </w:rPr>
        <w:t>s</w:t>
      </w:r>
      <w:r w:rsidR="002F6B03" w:rsidRPr="00354D63">
        <w:rPr>
          <w:rFonts w:ascii="Arial" w:hAnsi="Arial" w:cs="Arial"/>
          <w:bCs/>
          <w:sz w:val="20"/>
          <w:szCs w:val="20"/>
        </w:rPr>
        <w:t>.</w:t>
      </w:r>
    </w:p>
    <w:p w14:paraId="40C68B8A" w14:textId="60285C46" w:rsidR="006A62A4" w:rsidRDefault="006A62A4" w:rsidP="006A62A4">
      <w:pPr>
        <w:spacing w:line="240" w:lineRule="auto"/>
        <w:rPr>
          <w:rFonts w:ascii="Arial" w:hAnsi="Arial" w:cs="Arial"/>
          <w:color w:val="000000"/>
          <w:sz w:val="20"/>
          <w:szCs w:val="20"/>
        </w:rPr>
      </w:pPr>
    </w:p>
    <w:p w14:paraId="51D4A65D" w14:textId="666CCB68" w:rsidR="006A62A4" w:rsidRPr="006A62A4" w:rsidRDefault="006A62A4" w:rsidP="006A62A4">
      <w:pPr>
        <w:spacing w:line="240" w:lineRule="auto"/>
        <w:jc w:val="both"/>
        <w:rPr>
          <w:rFonts w:ascii="Arial" w:hAnsi="Arial" w:cs="Arial"/>
          <w:b/>
          <w:bCs/>
          <w:color w:val="000000"/>
        </w:rPr>
      </w:pPr>
      <w:r w:rsidRPr="006A62A4">
        <w:rPr>
          <w:rFonts w:ascii="Arial" w:hAnsi="Arial" w:cs="Arial"/>
          <w:b/>
          <w:bCs/>
          <w:color w:val="000000"/>
        </w:rPr>
        <w:lastRenderedPageBreak/>
        <w:t xml:space="preserve">Example </w:t>
      </w:r>
      <w:r>
        <w:rPr>
          <w:rFonts w:ascii="Arial" w:hAnsi="Arial" w:cs="Arial"/>
          <w:b/>
          <w:bCs/>
          <w:color w:val="000000"/>
        </w:rPr>
        <w:t>1</w:t>
      </w:r>
    </w:p>
    <w:p w14:paraId="027AD2E8" w14:textId="4B8B6819" w:rsidR="00912A28" w:rsidRDefault="008F7976" w:rsidP="00912A28">
      <w:pPr>
        <w:jc w:val="both"/>
        <w:rPr>
          <w:rFonts w:ascii="Arial" w:eastAsiaTheme="minorEastAsia" w:hAnsi="Arial" w:cs="Arial"/>
        </w:rPr>
      </w:pPr>
      <w:r w:rsidRPr="008F7976">
        <w:rPr>
          <w:rFonts w:ascii="Arial" w:eastAsiaTheme="minorEastAsia" w:hAnsi="Arial" w:cs="Arial"/>
          <w:sz w:val="20"/>
          <w:szCs w:val="20"/>
        </w:rPr>
        <w:t>For this example, we consider a finite population</w:t>
      </w:r>
      <w:r>
        <w:rPr>
          <w:rFonts w:ascii="Arial" w:eastAsiaTheme="minorEastAsia" w:hAnsi="Arial" w:cs="Arial"/>
          <w:sz w:val="20"/>
          <w:szCs w:val="20"/>
        </w:rPr>
        <w:t xml:space="preserve"> </w:t>
      </w:r>
      <w:r w:rsidRPr="00272DEC">
        <w:rPr>
          <w:rFonts w:ascii="Arial" w:eastAsiaTheme="minorEastAsia" w:hAnsi="Arial" w:cs="Arial"/>
          <w:sz w:val="20"/>
          <w:szCs w:val="20"/>
        </w:rPr>
        <w:t>P1</w:t>
      </w:r>
      <w:proofErr w:type="gramStart"/>
      <w:r w:rsidRPr="00272DEC">
        <w:rPr>
          <w:rFonts w:ascii="Arial" w:eastAsiaTheme="minorEastAsia" w:hAnsi="Arial" w:cs="Arial"/>
          <w:sz w:val="20"/>
          <w:szCs w:val="20"/>
        </w:rPr>
        <w:t>={</w:t>
      </w:r>
      <w:proofErr w:type="gramEnd"/>
      <w:r w:rsidRPr="00272DEC">
        <w:rPr>
          <w:rFonts w:ascii="Arial" w:eastAsiaTheme="minorEastAsia" w:hAnsi="Arial" w:cs="Arial"/>
          <w:sz w:val="20"/>
          <w:szCs w:val="20"/>
        </w:rPr>
        <w:t>167, 150, 125, 120, 150, 150, 40, 136, 120, 150}</w:t>
      </w:r>
      <w:r w:rsidRPr="008F7976">
        <w:rPr>
          <w:rFonts w:ascii="Arial" w:eastAsiaTheme="minorEastAsia" w:hAnsi="Arial" w:cs="Arial"/>
          <w:sz w:val="20"/>
          <w:szCs w:val="20"/>
        </w:rPr>
        <w:t>, consisting of heart rates (measured in beats per minute) of ten asthmatic patients in a state of respiratory arrest, as reported by Pagano and Gauvreau (</w:t>
      </w:r>
      <w:r w:rsidRPr="00A03219">
        <w:rPr>
          <w:rFonts w:ascii="Arial" w:eastAsiaTheme="minorEastAsia" w:hAnsi="Arial" w:cs="Arial"/>
          <w:sz w:val="20"/>
          <w:szCs w:val="20"/>
          <w:highlight w:val="yellow"/>
        </w:rPr>
        <w:t>20</w:t>
      </w:r>
      <w:r w:rsidR="00A03219" w:rsidRPr="00A03219">
        <w:rPr>
          <w:rFonts w:ascii="Arial" w:eastAsiaTheme="minorEastAsia" w:hAnsi="Arial" w:cs="Arial"/>
          <w:sz w:val="20"/>
          <w:szCs w:val="20"/>
          <w:highlight w:val="yellow"/>
        </w:rPr>
        <w:t>18</w:t>
      </w:r>
      <w:r w:rsidRPr="008F7976">
        <w:rPr>
          <w:rFonts w:ascii="Arial" w:eastAsiaTheme="minorEastAsia" w:hAnsi="Arial" w:cs="Arial"/>
          <w:sz w:val="20"/>
          <w:szCs w:val="20"/>
        </w:rPr>
        <w:t>). Note that the population mean is</w:t>
      </w:r>
      <w:r>
        <w:rPr>
          <w:rFonts w:ascii="Arial" w:eastAsiaTheme="minorEastAsia"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r>
          <w:rPr>
            <w:rFonts w:ascii="Cambria Math" w:eastAsiaTheme="minorEastAsia" w:hAnsi="Cambria Math" w:cs="Arial"/>
            <w:sz w:val="20"/>
            <w:szCs w:val="20"/>
          </w:rPr>
          <m:t>=130.8</m:t>
        </m:r>
      </m:oMath>
      <w:r w:rsidRPr="008F7976">
        <w:rPr>
          <w:rFonts w:ascii="Arial" w:eastAsiaTheme="minorEastAsia" w:hAnsi="Arial" w:cs="Arial"/>
          <w:sz w:val="20"/>
          <w:szCs w:val="20"/>
        </w:rPr>
        <w:t xml:space="preserve"> and the population standard deviation is</w:t>
      </w:r>
      <w:r>
        <w:rPr>
          <w:rFonts w:ascii="Arial" w:eastAsiaTheme="minorEastAsia"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r>
          <w:rPr>
            <w:rFonts w:ascii="Cambria Math" w:eastAsiaTheme="minorEastAsia" w:hAnsi="Cambria Math" w:cs="Arial"/>
            <w:sz w:val="20"/>
            <w:szCs w:val="20"/>
          </w:rPr>
          <m:t>=33.65</m:t>
        </m:r>
      </m:oMath>
      <w:r w:rsidRPr="008F7976">
        <w:rPr>
          <w:rFonts w:ascii="Arial" w:eastAsiaTheme="minorEastAsia" w:hAnsi="Arial" w:cs="Arial"/>
          <w:sz w:val="20"/>
          <w:szCs w:val="20"/>
        </w:rPr>
        <w:t>. As shown in Figures 1.1(a)–1.1(c), the population P1​ is clearly not normally distributed, exhibiting left skewness and a potential outlier.</w:t>
      </w:r>
      <w:r w:rsidR="00912A28">
        <w:rPr>
          <w:rFonts w:ascii="Arial" w:eastAsiaTheme="minorEastAsia" w:hAnsi="Arial" w:cs="Arial"/>
          <w:sz w:val="20"/>
          <w:szCs w:val="20"/>
        </w:rPr>
        <w:t xml:space="preserve"> The Anderson-Darling normality test also supports the non-normality of P1 </w:t>
      </w:r>
      <w:r w:rsidR="008C756A">
        <w:rPr>
          <w:rFonts w:ascii="Arial" w:eastAsiaTheme="minorEastAsia" w:hAnsi="Arial" w:cs="Arial"/>
          <w:sz w:val="20"/>
          <w:szCs w:val="20"/>
        </w:rPr>
        <w:t xml:space="preserve">with a </w:t>
      </w:r>
      <w:r w:rsidR="00912A28" w:rsidRPr="00912A28">
        <w:rPr>
          <w:rFonts w:ascii="Arial" w:eastAsiaTheme="minorEastAsia" w:hAnsi="Arial" w:cs="Arial"/>
        </w:rPr>
        <w:t xml:space="preserve">p-value </w:t>
      </w:r>
      <w:r w:rsidR="008C756A">
        <w:rPr>
          <w:rFonts w:ascii="Arial" w:eastAsiaTheme="minorEastAsia" w:hAnsi="Arial" w:cs="Arial"/>
        </w:rPr>
        <w:t xml:space="preserve">of </w:t>
      </w:r>
      <w:r w:rsidR="00912A28" w:rsidRPr="00912A28">
        <w:rPr>
          <w:rFonts w:ascii="Arial" w:eastAsiaTheme="minorEastAsia" w:hAnsi="Arial" w:cs="Arial"/>
        </w:rPr>
        <w:t>0.008004</w:t>
      </w:r>
      <w:r w:rsidR="00912A28">
        <w:rPr>
          <w:rFonts w:ascii="Arial" w:eastAsiaTheme="minorEastAsia" w:hAnsi="Arial" w:cs="Arial"/>
        </w:rPr>
        <w:t>.</w:t>
      </w:r>
    </w:p>
    <w:p w14:paraId="6D477E2E" w14:textId="690AF7C2" w:rsidR="00171AF9" w:rsidRPr="00912A28" w:rsidRDefault="00171AF9" w:rsidP="00912A28">
      <w:pPr>
        <w:jc w:val="both"/>
        <w:rPr>
          <w:rFonts w:ascii="Arial" w:eastAsiaTheme="minorEastAsia" w:hAnsi="Arial" w:cs="Arial"/>
        </w:rPr>
      </w:pPr>
      <w:r>
        <w:rPr>
          <w:noProof/>
        </w:rPr>
        <w:drawing>
          <wp:inline distT="0" distB="0" distL="0" distR="0" wp14:anchorId="21899CE7" wp14:editId="65E77B54">
            <wp:extent cx="5943600" cy="4245610"/>
            <wp:effectExtent l="0" t="0" r="0" b="2540"/>
            <wp:docPr id="1419152488" name="Picture 1" descr="A collage of graphs and diagra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52488" name="Picture 1" descr="A collage of graphs and diagram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45610"/>
                    </a:xfrm>
                    <a:prstGeom prst="rect">
                      <a:avLst/>
                    </a:prstGeom>
                    <a:noFill/>
                    <a:ln>
                      <a:noFill/>
                    </a:ln>
                  </pic:spPr>
                </pic:pic>
              </a:graphicData>
            </a:graphic>
          </wp:inline>
        </w:drawing>
      </w:r>
    </w:p>
    <w:p w14:paraId="621F9108" w14:textId="435D49C6" w:rsidR="008F7976" w:rsidRPr="008F7976" w:rsidRDefault="008F7976" w:rsidP="008F7976">
      <w:pPr>
        <w:spacing w:line="240" w:lineRule="auto"/>
        <w:jc w:val="both"/>
        <w:rPr>
          <w:rFonts w:ascii="Arial" w:eastAsiaTheme="minorEastAsia" w:hAnsi="Arial" w:cs="Arial"/>
          <w:sz w:val="20"/>
          <w:szCs w:val="20"/>
        </w:rPr>
      </w:pPr>
      <w:r w:rsidRPr="008F7976">
        <w:rPr>
          <w:rFonts w:ascii="Arial" w:eastAsiaTheme="minorEastAsia" w:hAnsi="Arial" w:cs="Arial"/>
          <w:sz w:val="20"/>
          <w:szCs w:val="20"/>
        </w:rPr>
        <w:t xml:space="preserve">Now, let us consider the sampling distribution of the mean (SDM) for samples of size 10. According to the properties of the SDM outlined in Section 3.1, the mean of the SDM is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r>
          <w:rPr>
            <w:rFonts w:ascii="Cambria Math" w:hAnsi="Cambria Math" w:cs="Arial"/>
            <w:sz w:val="20"/>
            <w:szCs w:val="20"/>
          </w:rPr>
          <m:t>=130.8</m:t>
        </m:r>
      </m:oMath>
      <w:r w:rsidR="00EE10A9" w:rsidRPr="00272DEC">
        <w:rPr>
          <w:rFonts w:ascii="Arial" w:eastAsiaTheme="minorEastAsia" w:hAnsi="Arial" w:cs="Arial"/>
          <w:sz w:val="20"/>
          <w:szCs w:val="20"/>
        </w:rPr>
        <w:t xml:space="preserve"> and </w:t>
      </w:r>
      <w:r w:rsidRPr="008F7976">
        <w:rPr>
          <w:rFonts w:ascii="Arial" w:eastAsiaTheme="minorEastAsia" w:hAnsi="Arial" w:cs="Arial"/>
          <w:sz w:val="20"/>
          <w:szCs w:val="20"/>
        </w:rPr>
        <w:t xml:space="preserve">the standard deviation is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num>
          <m:den>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n</m:t>
                </m:r>
              </m:e>
            </m:rad>
          </m:den>
        </m:f>
        <m:r>
          <w:rPr>
            <w:rFonts w:ascii="Cambria Math" w:hAnsi="Cambria Math" w:cs="Arial"/>
            <w:sz w:val="20"/>
            <w:szCs w:val="20"/>
          </w:rPr>
          <m:t>=</m:t>
        </m:r>
        <m:f>
          <m:fPr>
            <m:ctrlPr>
              <w:rPr>
                <w:rFonts w:ascii="Cambria Math" w:eastAsiaTheme="minorEastAsia" w:hAnsi="Cambria Math" w:cs="Arial"/>
                <w:i/>
                <w:sz w:val="20"/>
                <w:szCs w:val="20"/>
              </w:rPr>
            </m:ctrlPr>
          </m:fPr>
          <m:num>
            <m:r>
              <w:rPr>
                <w:rFonts w:ascii="Cambria Math" w:hAnsi="Cambria Math" w:cs="Arial"/>
                <w:sz w:val="20"/>
                <w:szCs w:val="20"/>
              </w:rPr>
              <m:t>33.65</m:t>
            </m:r>
            <m:ctrlPr>
              <w:rPr>
                <w:rFonts w:ascii="Cambria Math" w:hAnsi="Cambria Math" w:cs="Arial"/>
                <w:i/>
                <w:sz w:val="20"/>
                <w:szCs w:val="20"/>
              </w:rPr>
            </m:ctrlPr>
          </m:num>
          <m:den>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10</m:t>
                </m:r>
              </m:e>
            </m:rad>
          </m:den>
        </m:f>
        <m:r>
          <w:rPr>
            <w:rFonts w:ascii="Cambria Math" w:eastAsiaTheme="minorEastAsia" w:hAnsi="Cambria Math" w:cs="Arial"/>
            <w:sz w:val="20"/>
            <w:szCs w:val="20"/>
          </w:rPr>
          <m:t>=10.64</m:t>
        </m:r>
      </m:oMath>
      <w:r w:rsidRPr="008F7976">
        <w:rPr>
          <w:rFonts w:ascii="Arial" w:eastAsiaTheme="minorEastAsia" w:hAnsi="Arial" w:cs="Arial"/>
          <w:sz w:val="20"/>
          <w:szCs w:val="20"/>
        </w:rPr>
        <w:t xml:space="preserve">. To construct the exact SDM, one would need to consider all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10</m:t>
            </m:r>
          </m:e>
          <m:sup>
            <m:r>
              <w:rPr>
                <w:rFonts w:ascii="Cambria Math" w:eastAsiaTheme="minorEastAsia" w:hAnsi="Cambria Math" w:cs="Arial"/>
                <w:sz w:val="20"/>
                <w:szCs w:val="20"/>
              </w:rPr>
              <m:t>10</m:t>
            </m:r>
          </m:sup>
        </m:sSup>
      </m:oMath>
      <w:r w:rsidR="00EE10A9">
        <w:rPr>
          <w:rFonts w:ascii="Arial" w:eastAsiaTheme="minorEastAsia" w:hAnsi="Arial" w:cs="Arial"/>
          <w:sz w:val="20"/>
          <w:szCs w:val="20"/>
        </w:rPr>
        <w:t xml:space="preserve"> </w:t>
      </w:r>
      <w:r w:rsidRPr="008F7976">
        <w:rPr>
          <w:rFonts w:ascii="Arial" w:eastAsiaTheme="minorEastAsia" w:hAnsi="Arial" w:cs="Arial"/>
          <w:sz w:val="20"/>
          <w:szCs w:val="20"/>
        </w:rPr>
        <w:t>possible samples (with replacement) of size 10 from P1</w:t>
      </w:r>
      <w:r w:rsidR="00EE10A9">
        <w:rPr>
          <w:rFonts w:ascii="Arial" w:eastAsiaTheme="minorEastAsia" w:hAnsi="Arial" w:cs="Arial"/>
          <w:sz w:val="20"/>
          <w:szCs w:val="20"/>
        </w:rPr>
        <w:t>.</w:t>
      </w:r>
      <w:r w:rsidRPr="008F7976">
        <w:rPr>
          <w:rFonts w:ascii="Arial" w:eastAsiaTheme="minorEastAsia" w:hAnsi="Arial" w:cs="Arial"/>
          <w:sz w:val="20"/>
          <w:szCs w:val="20"/>
        </w:rPr>
        <w:t xml:space="preserve"> Clearly, investigating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10</m:t>
            </m:r>
          </m:e>
          <m:sup>
            <m:r>
              <w:rPr>
                <w:rFonts w:ascii="Cambria Math" w:eastAsiaTheme="minorEastAsia" w:hAnsi="Cambria Math" w:cs="Arial"/>
                <w:sz w:val="20"/>
                <w:szCs w:val="20"/>
              </w:rPr>
              <m:t>10</m:t>
            </m:r>
          </m:sup>
        </m:sSup>
      </m:oMath>
      <w:r w:rsidRPr="008F7976">
        <w:rPr>
          <w:rFonts w:ascii="Arial" w:eastAsiaTheme="minorEastAsia" w:hAnsi="Arial" w:cs="Arial"/>
          <w:sz w:val="20"/>
          <w:szCs w:val="20"/>
        </w:rPr>
        <w:t xml:space="preserve"> samples is computationally infeasible.</w:t>
      </w:r>
    </w:p>
    <w:p w14:paraId="79A2BB80" w14:textId="5ECB943B" w:rsidR="0094198A" w:rsidRPr="0094198A" w:rsidRDefault="008F7976" w:rsidP="0094198A">
      <w:pPr>
        <w:spacing w:line="240" w:lineRule="auto"/>
        <w:jc w:val="both"/>
        <w:rPr>
          <w:rFonts w:ascii="Arial" w:eastAsiaTheme="minorEastAsia" w:hAnsi="Arial" w:cs="Arial"/>
          <w:sz w:val="20"/>
          <w:szCs w:val="20"/>
        </w:rPr>
      </w:pPr>
      <w:r w:rsidRPr="008F7976">
        <w:rPr>
          <w:rFonts w:ascii="Arial" w:eastAsiaTheme="minorEastAsia" w:hAnsi="Arial" w:cs="Arial"/>
          <w:sz w:val="20"/>
          <w:szCs w:val="20"/>
        </w:rPr>
        <w:t>This is where a simulated sampling distribution of the mean (SSDM) becomes useful. Instead of generating the full SDM, we approximate it by generating a large number of sample means. In this study, M=</w:t>
      </w:r>
      <w:r w:rsidR="0094198A">
        <w:rPr>
          <w:rFonts w:ascii="Arial" w:eastAsiaTheme="minorEastAsia" w:hAnsi="Arial" w:cs="Arial"/>
          <w:sz w:val="20"/>
          <w:szCs w:val="20"/>
        </w:rPr>
        <w:t>5</w:t>
      </w:r>
      <w:r w:rsidRPr="008F7976">
        <w:rPr>
          <w:rFonts w:ascii="Arial" w:eastAsiaTheme="minorEastAsia" w:hAnsi="Arial" w:cs="Arial"/>
          <w:sz w:val="20"/>
          <w:szCs w:val="20"/>
        </w:rPr>
        <w:t>000 sample replications, each of size 10 (with replacement), are used to construct the SSDM. This SSDM is then used to evaluate the three hypothesis tests discussed in Section 3.3</w:t>
      </w:r>
      <w:r w:rsidR="0094198A">
        <w:rPr>
          <w:rFonts w:ascii="Arial" w:eastAsiaTheme="minorEastAsia" w:hAnsi="Arial" w:cs="Arial"/>
          <w:sz w:val="20"/>
          <w:szCs w:val="20"/>
        </w:rPr>
        <w:t xml:space="preserve">, </w:t>
      </w:r>
      <w:r w:rsidR="0094198A">
        <w:rPr>
          <w:rFonts w:ascii="Arial" w:hAnsi="Arial" w:cs="Arial"/>
          <w:bCs/>
          <w:sz w:val="20"/>
          <w:szCs w:val="20"/>
        </w:rPr>
        <w:t xml:space="preserve">defined particularly </w:t>
      </w:r>
      <w:r w:rsidR="008C756A">
        <w:rPr>
          <w:rFonts w:ascii="Arial" w:hAnsi="Arial" w:cs="Arial"/>
          <w:bCs/>
          <w:sz w:val="20"/>
          <w:szCs w:val="20"/>
        </w:rPr>
        <w:t>for</w:t>
      </w:r>
      <w:r w:rsidR="0094198A">
        <w:rPr>
          <w:rFonts w:ascii="Arial" w:hAnsi="Arial" w:cs="Arial"/>
          <w:bCs/>
          <w:sz w:val="20"/>
          <w:szCs w:val="20"/>
        </w:rPr>
        <w:t xml:space="preserve"> this problem scenario as follows:</w:t>
      </w:r>
    </w:p>
    <w:p w14:paraId="65835F84" w14:textId="6CC1D475" w:rsidR="0094198A" w:rsidRPr="00406042" w:rsidRDefault="00000000" w:rsidP="008C756A">
      <w:pPr>
        <w:pStyle w:val="ListParagraph"/>
        <w:numPr>
          <w:ilvl w:val="0"/>
          <w:numId w:val="23"/>
        </w:numPr>
        <w:spacing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94198A"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r>
          <w:rPr>
            <w:rFonts w:ascii="Cambria Math" w:hAnsi="Cambria Math" w:cs="Arial"/>
            <w:sz w:val="20"/>
            <w:szCs w:val="20"/>
          </w:rPr>
          <m:t>130.8</m:t>
        </m:r>
      </m:oMath>
    </w:p>
    <w:p w14:paraId="7BF43CC4" w14:textId="5D9FFD6C" w:rsidR="0094198A" w:rsidRPr="00406042" w:rsidRDefault="00000000" w:rsidP="008C756A">
      <w:pPr>
        <w:pStyle w:val="ListParagraph"/>
        <w:numPr>
          <w:ilvl w:val="0"/>
          <w:numId w:val="23"/>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94198A"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=10.64</m:t>
        </m:r>
      </m:oMath>
    </w:p>
    <w:p w14:paraId="63CC2808" w14:textId="7647A675" w:rsidR="0094198A" w:rsidRPr="00406042" w:rsidRDefault="00000000" w:rsidP="008C756A">
      <w:pPr>
        <w:pStyle w:val="ListParagraph"/>
        <w:numPr>
          <w:ilvl w:val="0"/>
          <w:numId w:val="23"/>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r>
          <w:rPr>
            <w:rFonts w:ascii="Cambria Math" w:eastAsiaTheme="minorEastAsia" w:hAnsi="Cambria Math" w:cs="Arial"/>
            <w:sz w:val="20"/>
            <w:szCs w:val="20"/>
          </w:rPr>
          <m:t xml:space="preserve">: </m:t>
        </m:r>
      </m:oMath>
      <w:r w:rsidR="0094198A" w:rsidRPr="00406042">
        <w:rPr>
          <w:rFonts w:ascii="Arial" w:eastAsiaTheme="minorEastAsia" w:hAnsi="Arial" w:cs="Arial"/>
          <w:sz w:val="20"/>
          <w:szCs w:val="20"/>
        </w:rPr>
        <w:t>SSDM is</w:t>
      </w:r>
      <w:r w:rsidR="0094198A">
        <w:rPr>
          <w:rFonts w:ascii="Arial" w:eastAsiaTheme="minorEastAsia" w:hAnsi="Arial" w:cs="Arial"/>
          <w:sz w:val="20"/>
          <w:szCs w:val="20"/>
        </w:rPr>
        <w:t xml:space="preserve"> </w:t>
      </w:r>
      <m:oMath>
        <m:r>
          <w:rPr>
            <w:rFonts w:ascii="Cambria Math" w:eastAsiaTheme="minorEastAsia" w:hAnsi="Cambria Math" w:cs="Arial"/>
            <w:sz w:val="20"/>
            <w:szCs w:val="20"/>
          </w:rPr>
          <m:t>N</m:t>
        </m:r>
        <m:d>
          <m:dPr>
            <m:ctrlPr>
              <w:rPr>
                <w:rFonts w:ascii="Cambria Math" w:eastAsiaTheme="minorEastAsia" w:hAnsi="Cambria Math" w:cs="Arial"/>
                <w:i/>
                <w:sz w:val="20"/>
                <w:szCs w:val="20"/>
              </w:rPr>
            </m:ctrlPr>
          </m:dPr>
          <m:e>
            <m:r>
              <w:rPr>
                <w:rFonts w:ascii="Cambria Math" w:hAnsi="Cambria Math" w:cs="Arial"/>
                <w:sz w:val="20"/>
                <w:szCs w:val="20"/>
              </w:rPr>
              <m:t>130.8, 10.64</m:t>
            </m:r>
          </m:e>
        </m:d>
      </m:oMath>
    </w:p>
    <w:p w14:paraId="2A28AC6D" w14:textId="77777777" w:rsidR="0094198A" w:rsidRDefault="0094198A" w:rsidP="0094198A">
      <w:pPr>
        <w:spacing w:after="0" w:line="240" w:lineRule="auto"/>
        <w:jc w:val="both"/>
        <w:rPr>
          <w:rFonts w:ascii="Arial" w:hAnsi="Arial" w:cs="Arial"/>
          <w:bCs/>
          <w:sz w:val="20"/>
          <w:szCs w:val="20"/>
        </w:rPr>
      </w:pPr>
    </w:p>
    <w:p w14:paraId="18D2BDA4" w14:textId="72C20C85" w:rsidR="00585044" w:rsidRDefault="00F73CA5" w:rsidP="002B1FDF">
      <w:pPr>
        <w:spacing w:after="0" w:line="240" w:lineRule="auto"/>
        <w:jc w:val="both"/>
        <w:rPr>
          <w:rFonts w:ascii="Arial" w:hAnsi="Arial" w:cs="Arial"/>
          <w:b/>
          <w:sz w:val="20"/>
          <w:szCs w:val="20"/>
        </w:rPr>
      </w:pPr>
      <w:r w:rsidRPr="005E2DB9">
        <w:rPr>
          <w:rFonts w:ascii="Arial" w:hAnsi="Arial" w:cs="Arial"/>
          <w:b/>
          <w:sz w:val="20"/>
          <w:szCs w:val="20"/>
        </w:rPr>
        <w:t xml:space="preserve">Example </w:t>
      </w:r>
      <w:r w:rsidR="006A62A4">
        <w:rPr>
          <w:rFonts w:ascii="Arial" w:hAnsi="Arial" w:cs="Arial"/>
          <w:b/>
          <w:sz w:val="20"/>
          <w:szCs w:val="20"/>
        </w:rPr>
        <w:t>2</w:t>
      </w:r>
    </w:p>
    <w:p w14:paraId="1839C2B5" w14:textId="77777777" w:rsidR="00585044" w:rsidRDefault="00585044" w:rsidP="002B1FDF">
      <w:pPr>
        <w:spacing w:after="0" w:line="240" w:lineRule="auto"/>
        <w:jc w:val="both"/>
        <w:rPr>
          <w:rFonts w:ascii="Arial" w:hAnsi="Arial" w:cs="Arial"/>
          <w:b/>
          <w:sz w:val="20"/>
          <w:szCs w:val="20"/>
        </w:rPr>
      </w:pPr>
    </w:p>
    <w:p w14:paraId="6B15A604" w14:textId="77777777"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In this example, we assume a finite population, P2, generated from the American Time Use Survey (ATUS) Wellbeing Respondent data. The assumed population consists of the amount of time (in hours) that 45 adult Americans spent engaging in three randomly selected activities. The time data is represented by the following observations, each reported to one decimal place:</w:t>
      </w:r>
    </w:p>
    <w:p w14:paraId="388ECC4F" w14:textId="77777777"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P2 = {15.6, 13.0, 13.7, 14.2, 13.9, 16.1, 13.0, 16.1, 16.0, 14.9, 16.9, 17.9, 14.9, 16.2, 13.5,</w:t>
      </w:r>
      <w:r w:rsidRPr="00585044">
        <w:rPr>
          <w:rFonts w:ascii="Arial" w:hAnsi="Arial" w:cs="Arial"/>
          <w:bCs/>
          <w:sz w:val="20"/>
          <w:szCs w:val="20"/>
        </w:rPr>
        <w:br/>
        <w:t>17.0, 16.3, 13.4, 15.5, 20.0, 10.9, 17.6, 12.2, 13.9, 15.2, 14.8, 16.7, 12.0, 17.2, 11.1, 14.9,</w:t>
      </w:r>
      <w:r w:rsidRPr="00585044">
        <w:rPr>
          <w:rFonts w:ascii="Arial" w:hAnsi="Arial" w:cs="Arial"/>
          <w:bCs/>
          <w:sz w:val="20"/>
          <w:szCs w:val="20"/>
        </w:rPr>
        <w:br/>
        <w:t>14.8, 8.5, 12.0, 12.8, 14.4, 15.4, 14.6, 18.2, 15.8, 10.7, 16.8, 13.5, 15.5, 15.8}</w:t>
      </w:r>
    </w:p>
    <w:p w14:paraId="7FCC2B37" w14:textId="77777777" w:rsidR="00585044" w:rsidRDefault="00585044" w:rsidP="00585044">
      <w:pPr>
        <w:spacing w:after="0" w:line="240" w:lineRule="auto"/>
        <w:jc w:val="both"/>
        <w:rPr>
          <w:rFonts w:ascii="Arial" w:hAnsi="Arial" w:cs="Arial"/>
          <w:bCs/>
          <w:sz w:val="20"/>
          <w:szCs w:val="20"/>
        </w:rPr>
      </w:pPr>
    </w:p>
    <w:p w14:paraId="5940B90E" w14:textId="56A2DDC8"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For population P2, it is straightforward to verify that the population mean is</w:t>
      </w:r>
      <w:r>
        <w:rPr>
          <w:rFonts w:ascii="Arial" w:hAnsi="Arial" w:cs="Arial"/>
          <w:bCs/>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r>
          <w:rPr>
            <w:rFonts w:ascii="Cambria Math" w:eastAsiaTheme="minorEastAsia" w:hAnsi="Cambria Math" w:cs="Arial"/>
            <w:sz w:val="20"/>
            <w:szCs w:val="20"/>
          </w:rPr>
          <m:t>=14.74</m:t>
        </m:r>
      </m:oMath>
      <w:r w:rsidRPr="00912A28">
        <w:rPr>
          <w:rFonts w:ascii="Arial" w:eastAsiaTheme="minorEastAsia" w:hAnsi="Arial" w:cs="Arial"/>
          <w:sz w:val="20"/>
          <w:szCs w:val="20"/>
        </w:rPr>
        <w:t xml:space="preserve"> and</w:t>
      </w:r>
      <w:r>
        <w:rPr>
          <w:rFonts w:ascii="Arial" w:eastAsiaTheme="minorEastAsia" w:hAnsi="Arial" w:cs="Arial"/>
          <w:sz w:val="20"/>
          <w:szCs w:val="20"/>
        </w:rPr>
        <w:t xml:space="preserve"> the standard deviation is</w:t>
      </w:r>
      <w:r w:rsidRPr="00912A28">
        <w:rPr>
          <w:rFonts w:ascii="Arial" w:eastAsiaTheme="minorEastAsia"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r>
          <w:rPr>
            <w:rFonts w:ascii="Cambria Math" w:eastAsiaTheme="minorEastAsia" w:hAnsi="Cambria Math" w:cs="Arial"/>
            <w:sz w:val="20"/>
            <w:szCs w:val="20"/>
          </w:rPr>
          <m:t>=2.20</m:t>
        </m:r>
      </m:oMath>
      <w:r w:rsidRPr="00912A28">
        <w:rPr>
          <w:rFonts w:ascii="Arial" w:eastAsiaTheme="minorEastAsia" w:hAnsi="Arial" w:cs="Arial"/>
          <w:sz w:val="20"/>
          <w:szCs w:val="20"/>
        </w:rPr>
        <w:t>.</w:t>
      </w:r>
      <w:r>
        <w:rPr>
          <w:rFonts w:ascii="Arial" w:eastAsiaTheme="minorEastAsia" w:hAnsi="Arial" w:cs="Arial"/>
          <w:sz w:val="20"/>
          <w:szCs w:val="20"/>
        </w:rPr>
        <w:t xml:space="preserve"> </w:t>
      </w:r>
      <w:r w:rsidRPr="00585044">
        <w:rPr>
          <w:rFonts w:ascii="Arial" w:hAnsi="Arial" w:cs="Arial"/>
          <w:bCs/>
          <w:sz w:val="20"/>
          <w:szCs w:val="20"/>
        </w:rPr>
        <w:t>As shown in Figures 2.1(a)–2.1(c), population P2 is approximately normally distributed. The Anderson-Darling normality test further supports this conclusion, with a p-value of 0.6688.</w:t>
      </w:r>
    </w:p>
    <w:p w14:paraId="23083D6E" w14:textId="07F27C6B"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 xml:space="preserve">Now, let us consider the sampling distribution of the mean (SDM) for samples of size n = 25. By the properties outlined in Section 3.1, the mean of the SDM is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=14.74</m:t>
        </m:r>
      </m:oMath>
      <w:r w:rsidRPr="005E2DB9">
        <w:rPr>
          <w:rFonts w:ascii="Arial" w:eastAsiaTheme="minorEastAsia" w:hAnsi="Arial" w:cs="Arial"/>
          <w:sz w:val="20"/>
          <w:szCs w:val="20"/>
        </w:rPr>
        <w:t xml:space="preserve"> </w:t>
      </w:r>
      <w:r w:rsidRPr="00585044">
        <w:rPr>
          <w:rFonts w:ascii="Arial" w:hAnsi="Arial" w:cs="Arial"/>
          <w:bCs/>
          <w:sz w:val="20"/>
          <w:szCs w:val="20"/>
        </w:rPr>
        <w:t>and the standard error is</w:t>
      </w:r>
      <w:r>
        <w:rPr>
          <w:rFonts w:ascii="Arial" w:hAnsi="Arial" w:cs="Arial"/>
          <w:bCs/>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f>
          <m:fPr>
            <m:ctrlPr>
              <w:rPr>
                <w:rFonts w:ascii="Cambria Math" w:eastAsiaTheme="minorEastAsia" w:hAnsi="Cambria Math" w:cs="Arial"/>
                <w:i/>
                <w:sz w:val="20"/>
                <w:szCs w:val="20"/>
              </w:rPr>
            </m:ctrlPr>
          </m:fPr>
          <m:num>
            <m:r>
              <w:rPr>
                <w:rFonts w:ascii="Cambria Math" w:hAnsi="Cambria Math" w:cs="Arial"/>
                <w:sz w:val="20"/>
                <w:szCs w:val="20"/>
              </w:rPr>
              <m:t>2.2</m:t>
            </m:r>
            <m:ctrlPr>
              <w:rPr>
                <w:rFonts w:ascii="Cambria Math" w:hAnsi="Cambria Math" w:cs="Arial"/>
                <w:i/>
                <w:sz w:val="20"/>
                <w:szCs w:val="20"/>
              </w:rPr>
            </m:ctrlPr>
          </m:num>
          <m:den>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25</m:t>
                </m:r>
              </m:e>
            </m:rad>
          </m:den>
        </m:f>
        <m:r>
          <w:rPr>
            <w:rFonts w:ascii="Cambria Math" w:hAnsi="Cambria Math" w:cs="Arial"/>
            <w:sz w:val="20"/>
            <w:szCs w:val="20"/>
          </w:rPr>
          <m:t>=0.44</m:t>
        </m:r>
      </m:oMath>
      <w:r w:rsidRPr="00585044">
        <w:rPr>
          <w:rFonts w:ascii="Arial" w:hAnsi="Arial" w:cs="Arial"/>
          <w:bCs/>
          <w:sz w:val="20"/>
          <w:szCs w:val="20"/>
        </w:rPr>
        <w:t>.</w:t>
      </w:r>
    </w:p>
    <w:p w14:paraId="4E8E3108" w14:textId="77777777" w:rsidR="00585044" w:rsidRDefault="00585044" w:rsidP="00585044">
      <w:pPr>
        <w:spacing w:after="0" w:line="240" w:lineRule="auto"/>
        <w:jc w:val="both"/>
        <w:rPr>
          <w:rFonts w:ascii="Arial" w:hAnsi="Arial" w:cs="Arial"/>
          <w:bCs/>
          <w:sz w:val="20"/>
          <w:szCs w:val="20"/>
        </w:rPr>
      </w:pPr>
    </w:p>
    <w:p w14:paraId="0E297BA8" w14:textId="7C4718C5"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To construct the exact SDM, one would need to consider all possible samples of size 25 (with replacement) from P2, amounting to 45²⁵ combinations. Clearly, enumerating all these samples is computationally infeasible. Therefore, we approximate the SDM by generating the means of M = 5000 sample replications, each of size 25 (with replacement), to construct the simulated sampling distribution of the mean (SSDM).</w:t>
      </w:r>
    </w:p>
    <w:p w14:paraId="22A3B30D" w14:textId="0E409D76" w:rsidR="00192C45"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This SSDM is then used to evaluate the three hypothesis tests discussed in Section 3.3</w:t>
      </w:r>
      <w:r w:rsidR="00192C45">
        <w:rPr>
          <w:rFonts w:ascii="Arial" w:hAnsi="Arial" w:cs="Arial"/>
          <w:bCs/>
          <w:sz w:val="20"/>
          <w:szCs w:val="20"/>
        </w:rPr>
        <w:t xml:space="preserve">, defined </w:t>
      </w:r>
      <w:r w:rsidR="00B70922">
        <w:rPr>
          <w:rFonts w:ascii="Arial" w:hAnsi="Arial" w:cs="Arial"/>
          <w:bCs/>
          <w:sz w:val="20"/>
          <w:szCs w:val="20"/>
        </w:rPr>
        <w:t>for</w:t>
      </w:r>
      <w:r w:rsidR="00192C45">
        <w:rPr>
          <w:rFonts w:ascii="Arial" w:hAnsi="Arial" w:cs="Arial"/>
          <w:bCs/>
          <w:sz w:val="20"/>
          <w:szCs w:val="20"/>
        </w:rPr>
        <w:t xml:space="preserve"> this problem scenario as follows:</w:t>
      </w:r>
    </w:p>
    <w:p w14:paraId="4E02136F" w14:textId="77777777" w:rsidR="00192C45" w:rsidRDefault="00192C45" w:rsidP="00585044">
      <w:pPr>
        <w:spacing w:after="0" w:line="240" w:lineRule="auto"/>
        <w:jc w:val="both"/>
        <w:rPr>
          <w:rFonts w:ascii="Arial" w:hAnsi="Arial" w:cs="Arial"/>
          <w:bCs/>
          <w:sz w:val="20"/>
          <w:szCs w:val="20"/>
        </w:rPr>
      </w:pPr>
    </w:p>
    <w:p w14:paraId="07611974" w14:textId="2B249842" w:rsidR="00192C45" w:rsidRPr="00406042" w:rsidRDefault="00000000" w:rsidP="00B70922">
      <w:pPr>
        <w:pStyle w:val="ListParagraph"/>
        <w:numPr>
          <w:ilvl w:val="0"/>
          <w:numId w:val="24"/>
        </w:numPr>
        <w:spacing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192C45"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r>
          <w:rPr>
            <w:rFonts w:ascii="Cambria Math" w:hAnsi="Cambria Math" w:cs="Arial"/>
            <w:sz w:val="20"/>
            <w:szCs w:val="20"/>
          </w:rPr>
          <m:t>14.74</m:t>
        </m:r>
      </m:oMath>
    </w:p>
    <w:p w14:paraId="331A22D3" w14:textId="1C09E415" w:rsidR="00192C45" w:rsidRPr="00406042" w:rsidRDefault="00000000" w:rsidP="00B70922">
      <w:pPr>
        <w:pStyle w:val="ListParagraph"/>
        <w:numPr>
          <w:ilvl w:val="0"/>
          <w:numId w:val="24"/>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192C45"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r>
          <w:rPr>
            <w:rFonts w:ascii="Cambria Math" w:hAnsi="Cambria Math" w:cs="Arial"/>
            <w:sz w:val="20"/>
            <w:szCs w:val="20"/>
          </w:rPr>
          <m:t>0.44</m:t>
        </m:r>
      </m:oMath>
    </w:p>
    <w:p w14:paraId="0CB6CE86" w14:textId="30D223E4" w:rsidR="00192C45" w:rsidRPr="00406042" w:rsidRDefault="00000000" w:rsidP="00B70922">
      <w:pPr>
        <w:pStyle w:val="ListParagraph"/>
        <w:numPr>
          <w:ilvl w:val="0"/>
          <w:numId w:val="24"/>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r>
          <w:rPr>
            <w:rFonts w:ascii="Cambria Math" w:eastAsiaTheme="minorEastAsia" w:hAnsi="Cambria Math" w:cs="Arial"/>
            <w:sz w:val="20"/>
            <w:szCs w:val="20"/>
          </w:rPr>
          <m:t xml:space="preserve">: </m:t>
        </m:r>
      </m:oMath>
      <w:r w:rsidR="00192C45" w:rsidRPr="00406042">
        <w:rPr>
          <w:rFonts w:ascii="Arial" w:eastAsiaTheme="minorEastAsia" w:hAnsi="Arial" w:cs="Arial"/>
          <w:sz w:val="20"/>
          <w:szCs w:val="20"/>
        </w:rPr>
        <w:t>SSDM is</w:t>
      </w:r>
      <w:r w:rsidR="00192C45">
        <w:rPr>
          <w:rFonts w:ascii="Arial" w:eastAsiaTheme="minorEastAsia" w:hAnsi="Arial" w:cs="Arial"/>
          <w:sz w:val="20"/>
          <w:szCs w:val="20"/>
        </w:rPr>
        <w:t xml:space="preserve"> </w:t>
      </w:r>
      <m:oMath>
        <m:r>
          <w:rPr>
            <w:rFonts w:ascii="Cambria Math" w:eastAsiaTheme="minorEastAsia" w:hAnsi="Cambria Math" w:cs="Arial"/>
            <w:sz w:val="20"/>
            <w:szCs w:val="20"/>
          </w:rPr>
          <m:t>N</m:t>
        </m:r>
        <m:d>
          <m:dPr>
            <m:ctrlPr>
              <w:rPr>
                <w:rFonts w:ascii="Cambria Math" w:eastAsiaTheme="minorEastAsia" w:hAnsi="Cambria Math" w:cs="Arial"/>
                <w:i/>
                <w:sz w:val="20"/>
                <w:szCs w:val="20"/>
              </w:rPr>
            </m:ctrlPr>
          </m:dPr>
          <m:e>
            <m:r>
              <w:rPr>
                <w:rFonts w:ascii="Cambria Math" w:hAnsi="Cambria Math" w:cs="Arial"/>
                <w:sz w:val="20"/>
                <w:szCs w:val="20"/>
              </w:rPr>
              <m:t>14.74,  0.44</m:t>
            </m:r>
          </m:e>
        </m:d>
      </m:oMath>
    </w:p>
    <w:p w14:paraId="4C659692" w14:textId="77777777" w:rsidR="00192C45" w:rsidRDefault="00192C45" w:rsidP="00585044">
      <w:pPr>
        <w:spacing w:after="0" w:line="240" w:lineRule="auto"/>
        <w:jc w:val="both"/>
        <w:rPr>
          <w:rFonts w:ascii="Arial" w:hAnsi="Arial" w:cs="Arial"/>
          <w:bCs/>
          <w:sz w:val="20"/>
          <w:szCs w:val="20"/>
        </w:rPr>
      </w:pPr>
    </w:p>
    <w:p w14:paraId="36E74D22" w14:textId="77777777" w:rsidR="00192C45" w:rsidRDefault="00192C45" w:rsidP="00585044">
      <w:pPr>
        <w:spacing w:after="0" w:line="240" w:lineRule="auto"/>
        <w:jc w:val="both"/>
        <w:rPr>
          <w:rFonts w:ascii="Arial" w:hAnsi="Arial" w:cs="Arial"/>
          <w:bCs/>
          <w:sz w:val="20"/>
          <w:szCs w:val="20"/>
        </w:rPr>
      </w:pPr>
    </w:p>
    <w:p w14:paraId="70B42125" w14:textId="44DE59CD" w:rsidR="003A3018" w:rsidRDefault="00AD5617" w:rsidP="00B70922">
      <w:pPr>
        <w:spacing w:after="0" w:line="240" w:lineRule="auto"/>
        <w:jc w:val="both"/>
        <w:rPr>
          <w:rFonts w:ascii="Arial" w:eastAsiaTheme="minorEastAsia" w:hAnsi="Arial" w:cs="Arial"/>
          <w:b/>
          <w:color w:val="FF0000"/>
          <w:sz w:val="20"/>
          <w:szCs w:val="20"/>
        </w:rPr>
      </w:pPr>
      <w:r w:rsidRPr="005E2DB9">
        <w:rPr>
          <w:rFonts w:ascii="Arial" w:eastAsiaTheme="minorEastAsia" w:hAnsi="Arial" w:cs="Arial"/>
          <w:b/>
          <w:sz w:val="20"/>
          <w:szCs w:val="20"/>
        </w:rPr>
        <w:t>E</w:t>
      </w:r>
      <w:r w:rsidR="00CF5F71" w:rsidRPr="005E2DB9">
        <w:rPr>
          <w:rFonts w:ascii="Arial" w:eastAsiaTheme="minorEastAsia" w:hAnsi="Arial" w:cs="Arial"/>
          <w:b/>
          <w:sz w:val="20"/>
          <w:szCs w:val="20"/>
        </w:rPr>
        <w:t xml:space="preserve">xample </w:t>
      </w:r>
      <w:r w:rsidR="0027698B">
        <w:rPr>
          <w:rFonts w:ascii="Arial" w:eastAsiaTheme="minorEastAsia" w:hAnsi="Arial" w:cs="Arial"/>
          <w:b/>
          <w:sz w:val="20"/>
          <w:szCs w:val="20"/>
        </w:rPr>
        <w:t>3</w:t>
      </w:r>
      <w:r w:rsidR="00CF5F71" w:rsidRPr="005E2DB9">
        <w:rPr>
          <w:rFonts w:ascii="Arial" w:eastAsiaTheme="minorEastAsia" w:hAnsi="Arial" w:cs="Arial"/>
          <w:b/>
          <w:sz w:val="20"/>
          <w:szCs w:val="20"/>
        </w:rPr>
        <w:t>.</w:t>
      </w:r>
      <w:r w:rsidR="00B77677" w:rsidRPr="005E2DB9">
        <w:rPr>
          <w:rFonts w:ascii="Arial" w:eastAsiaTheme="minorEastAsia" w:hAnsi="Arial" w:cs="Arial"/>
          <w:b/>
          <w:color w:val="FF0000"/>
          <w:sz w:val="20"/>
          <w:szCs w:val="20"/>
        </w:rPr>
        <w:t xml:space="preserve"> </w:t>
      </w:r>
    </w:p>
    <w:p w14:paraId="278FBD8B" w14:textId="58046260" w:rsidR="003A3018" w:rsidRPr="003A3018" w:rsidRDefault="003A3018" w:rsidP="003A3018">
      <w:pPr>
        <w:spacing w:after="0" w:line="240" w:lineRule="auto"/>
        <w:jc w:val="both"/>
        <w:rPr>
          <w:rFonts w:ascii="Arial" w:eastAsiaTheme="minorEastAsia" w:hAnsi="Arial" w:cs="Arial"/>
          <w:bCs/>
          <w:sz w:val="20"/>
          <w:szCs w:val="20"/>
        </w:rPr>
      </w:pPr>
      <w:r w:rsidRPr="003A3018">
        <w:rPr>
          <w:rFonts w:ascii="Arial" w:eastAsiaTheme="minorEastAsia" w:hAnsi="Arial" w:cs="Arial"/>
          <w:bCs/>
          <w:sz w:val="20"/>
          <w:szCs w:val="20"/>
        </w:rPr>
        <w:t xml:space="preserve">In this example, an infinite normal P3 ~ </w:t>
      </w:r>
      <w:proofErr w:type="gramStart"/>
      <w:r w:rsidRPr="003A3018">
        <w:rPr>
          <w:rFonts w:ascii="Arial" w:eastAsiaTheme="minorEastAsia" w:hAnsi="Arial" w:cs="Arial"/>
          <w:bCs/>
          <w:sz w:val="20"/>
          <w:szCs w:val="20"/>
        </w:rPr>
        <w:t>N(</w:t>
      </w:r>
      <w:proofErr w:type="gramEnd"/>
      <w:r w:rsidRPr="003A3018">
        <w:rPr>
          <w:rFonts w:ascii="Arial" w:eastAsiaTheme="minorEastAsia" w:hAnsi="Arial" w:cs="Arial"/>
          <w:bCs/>
          <w:sz w:val="20"/>
          <w:szCs w:val="20"/>
        </w:rPr>
        <w:t xml:space="preserve">μ = 1.5, σ = 2) is considered, along with the corresponding simulated sampling distributions of the mean (SSDM) for sample sizes </w:t>
      </w:r>
      <m:oMath>
        <m:r>
          <w:rPr>
            <w:rFonts w:ascii="Cambria Math" w:eastAsiaTheme="minorEastAsia" w:hAnsi="Cambria Math" w:cs="Arial"/>
            <w:sz w:val="20"/>
            <w:szCs w:val="20"/>
          </w:rPr>
          <m:t>n</m:t>
        </m:r>
      </m:oMath>
      <w:r w:rsidRPr="003A3018">
        <w:rPr>
          <w:rFonts w:ascii="Arial" w:eastAsiaTheme="minorEastAsia" w:hAnsi="Arial" w:cs="Arial"/>
          <w:bCs/>
          <w:sz w:val="20"/>
          <w:szCs w:val="20"/>
        </w:rPr>
        <w:t xml:space="preserve"> ranging from 10 to 1000, in increments of 10, as defined by the sequence </w:t>
      </w:r>
      <w:proofErr w:type="gramStart"/>
      <w:r w:rsidRPr="003A3018">
        <w:rPr>
          <w:rFonts w:ascii="Arial" w:eastAsiaTheme="minorEastAsia" w:hAnsi="Arial" w:cs="Arial"/>
          <w:bCs/>
          <w:sz w:val="20"/>
          <w:szCs w:val="20"/>
        </w:rPr>
        <w:t>seq(</w:t>
      </w:r>
      <w:proofErr w:type="gramEnd"/>
      <w:r w:rsidRPr="003A3018">
        <w:rPr>
          <w:rFonts w:ascii="Arial" w:eastAsiaTheme="minorEastAsia" w:hAnsi="Arial" w:cs="Arial"/>
          <w:bCs/>
          <w:sz w:val="20"/>
          <w:szCs w:val="20"/>
        </w:rPr>
        <w:t xml:space="preserve">10,1000,10). According to properties (1) and (2) described in Section 3.1, the mean of the sampling distribution of the mean (SDM) from Population P3 is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=1.5</m:t>
        </m:r>
      </m:oMath>
      <w:r w:rsidRPr="003A3018">
        <w:rPr>
          <w:rFonts w:ascii="Arial" w:eastAsiaTheme="minorEastAsia" w:hAnsi="Arial" w:cs="Arial"/>
          <w:bCs/>
          <w:sz w:val="20"/>
          <w:szCs w:val="20"/>
        </w:rPr>
        <w:t xml:space="preserve">, and the standard error of the SDM is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f>
          <m:fPr>
            <m:ctrlPr>
              <w:rPr>
                <w:rFonts w:ascii="Cambria Math" w:eastAsiaTheme="minorEastAsia" w:hAnsi="Cambria Math" w:cs="Arial"/>
                <w:i/>
                <w:sz w:val="20"/>
                <w:szCs w:val="20"/>
              </w:rPr>
            </m:ctrlPr>
          </m:fPr>
          <m:num>
            <m:r>
              <w:rPr>
                <w:rFonts w:ascii="Cambria Math" w:hAnsi="Cambria Math" w:cs="Arial"/>
                <w:sz w:val="20"/>
                <w:szCs w:val="20"/>
              </w:rPr>
              <m:t>2</m:t>
            </m:r>
            <m:ctrlPr>
              <w:rPr>
                <w:rFonts w:ascii="Cambria Math" w:hAnsi="Cambria Math" w:cs="Arial"/>
                <w:i/>
                <w:sz w:val="20"/>
                <w:szCs w:val="20"/>
              </w:rPr>
            </m:ctrlPr>
          </m:num>
          <m:den>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n</m:t>
                </m:r>
              </m:e>
            </m:rad>
          </m:den>
        </m:f>
      </m:oMath>
      <w:r w:rsidRPr="003A3018">
        <w:rPr>
          <w:rFonts w:ascii="Arial" w:eastAsiaTheme="minorEastAsia" w:hAnsi="Arial" w:cs="Arial"/>
          <w:bCs/>
          <w:sz w:val="20"/>
          <w:szCs w:val="20"/>
        </w:rPr>
        <w:t xml:space="preserve">​, where </w:t>
      </w:r>
      <m:oMath>
        <m:r>
          <w:rPr>
            <w:rFonts w:ascii="Cambria Math" w:eastAsiaTheme="minorEastAsia" w:hAnsi="Cambria Math" w:cs="Arial"/>
            <w:sz w:val="20"/>
            <w:szCs w:val="20"/>
          </w:rPr>
          <m:t>n</m:t>
        </m:r>
      </m:oMath>
      <w:r w:rsidRPr="003A3018">
        <w:rPr>
          <w:rFonts w:ascii="Arial" w:eastAsiaTheme="minorEastAsia" w:hAnsi="Arial" w:cs="Arial"/>
          <w:bCs/>
          <w:sz w:val="20"/>
          <w:szCs w:val="20"/>
        </w:rPr>
        <w:t xml:space="preserve"> is the sample size.</w:t>
      </w:r>
    </w:p>
    <w:p w14:paraId="5067499F" w14:textId="5B54899D" w:rsidR="003A3018" w:rsidRPr="003A3018" w:rsidRDefault="003A3018" w:rsidP="003A3018">
      <w:pPr>
        <w:spacing w:after="0" w:line="240" w:lineRule="auto"/>
        <w:jc w:val="both"/>
        <w:rPr>
          <w:rFonts w:ascii="Arial" w:eastAsiaTheme="minorEastAsia" w:hAnsi="Arial" w:cs="Arial"/>
          <w:bCs/>
          <w:sz w:val="20"/>
          <w:szCs w:val="20"/>
        </w:rPr>
      </w:pPr>
      <w:r w:rsidRPr="003A3018">
        <w:rPr>
          <w:rFonts w:ascii="Arial" w:eastAsiaTheme="minorEastAsia" w:hAnsi="Arial" w:cs="Arial"/>
          <w:bCs/>
          <w:sz w:val="20"/>
          <w:szCs w:val="20"/>
        </w:rPr>
        <w:t>To approximate this SDM using an SSDM, M=5000 sample replications, each of size 25 (with replacement), have been generated to evaluate the three hypothesis tests discussed in Section 3.3, which are defined for this problem scenario as follows:</w:t>
      </w:r>
    </w:p>
    <w:p w14:paraId="0C192009" w14:textId="77777777" w:rsidR="003A3018" w:rsidRDefault="003A3018" w:rsidP="00B70922">
      <w:pPr>
        <w:spacing w:after="0" w:line="240" w:lineRule="auto"/>
        <w:jc w:val="both"/>
        <w:rPr>
          <w:rFonts w:ascii="Arial" w:eastAsiaTheme="minorEastAsia" w:hAnsi="Arial" w:cs="Arial"/>
          <w:bCs/>
          <w:sz w:val="20"/>
          <w:szCs w:val="20"/>
        </w:rPr>
      </w:pPr>
    </w:p>
    <w:p w14:paraId="0F63B711" w14:textId="77777777" w:rsidR="00406042" w:rsidRPr="00406042" w:rsidRDefault="00000000" w:rsidP="00B70922">
      <w:pPr>
        <w:pStyle w:val="ListParagraph"/>
        <w:numPr>
          <w:ilvl w:val="0"/>
          <w:numId w:val="25"/>
        </w:numPr>
        <w:spacing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406042"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r>
          <w:rPr>
            <w:rFonts w:ascii="Cambria Math" w:hAnsi="Cambria Math" w:cs="Arial"/>
            <w:sz w:val="20"/>
            <w:szCs w:val="20"/>
          </w:rPr>
          <m:t>1.5</m:t>
        </m:r>
      </m:oMath>
    </w:p>
    <w:p w14:paraId="7F72BB2C" w14:textId="4A47647E" w:rsidR="00406042" w:rsidRPr="00406042" w:rsidRDefault="00000000" w:rsidP="00B70922">
      <w:pPr>
        <w:pStyle w:val="ListParagraph"/>
        <w:numPr>
          <w:ilvl w:val="0"/>
          <w:numId w:val="25"/>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406042"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2</m:t>
            </m:r>
          </m:num>
          <m:den>
            <m:r>
              <w:rPr>
                <w:rFonts w:ascii="Cambria Math" w:hAnsi="Cambria Math" w:cs="Arial"/>
                <w:sz w:val="20"/>
                <w:szCs w:val="20"/>
              </w:rPr>
              <m:t>√n</m:t>
            </m:r>
          </m:den>
        </m:f>
      </m:oMath>
    </w:p>
    <w:p w14:paraId="6F83896F" w14:textId="10B74C65" w:rsidR="00406042" w:rsidRPr="00406042" w:rsidRDefault="00000000" w:rsidP="00B70922">
      <w:pPr>
        <w:pStyle w:val="ListParagraph"/>
        <w:numPr>
          <w:ilvl w:val="0"/>
          <w:numId w:val="25"/>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r>
          <w:rPr>
            <w:rFonts w:ascii="Cambria Math" w:eastAsiaTheme="minorEastAsia" w:hAnsi="Cambria Math" w:cs="Arial"/>
            <w:sz w:val="20"/>
            <w:szCs w:val="20"/>
          </w:rPr>
          <m:t xml:space="preserve">: </m:t>
        </m:r>
      </m:oMath>
      <w:r w:rsidR="00406042" w:rsidRPr="00406042">
        <w:rPr>
          <w:rFonts w:ascii="Arial" w:eastAsiaTheme="minorEastAsia" w:hAnsi="Arial" w:cs="Arial"/>
          <w:sz w:val="20"/>
          <w:szCs w:val="20"/>
        </w:rPr>
        <w:t>SSDM is</w:t>
      </w:r>
      <w:r w:rsidR="00406042">
        <w:rPr>
          <w:rFonts w:ascii="Arial" w:eastAsiaTheme="minorEastAsia" w:hAnsi="Arial" w:cs="Arial"/>
          <w:sz w:val="20"/>
          <w:szCs w:val="20"/>
        </w:rPr>
        <w:t xml:space="preserve"> </w:t>
      </w:r>
      <m:oMath>
        <m:r>
          <w:rPr>
            <w:rFonts w:ascii="Cambria Math" w:eastAsiaTheme="minorEastAsia" w:hAnsi="Cambria Math" w:cs="Arial"/>
            <w:sz w:val="20"/>
            <w:szCs w:val="20"/>
          </w:rPr>
          <m:t>N</m:t>
        </m:r>
        <m:d>
          <m:dPr>
            <m:ctrlPr>
              <w:rPr>
                <w:rFonts w:ascii="Cambria Math" w:eastAsiaTheme="minorEastAsia"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 xml:space="preserve">=1.5, </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2</m:t>
                </m:r>
              </m:num>
              <m:den>
                <m:r>
                  <w:rPr>
                    <w:rFonts w:ascii="Cambria Math" w:hAnsi="Cambria Math" w:cs="Arial"/>
                    <w:sz w:val="20"/>
                    <w:szCs w:val="20"/>
                  </w:rPr>
                  <m:t>√n</m:t>
                </m:r>
              </m:den>
            </m:f>
          </m:e>
        </m:d>
      </m:oMath>
    </w:p>
    <w:p w14:paraId="472EC106" w14:textId="62FA72FD" w:rsidR="00700745" w:rsidRPr="00700745" w:rsidRDefault="00700745" w:rsidP="00700745">
      <w:pPr>
        <w:spacing w:after="0" w:line="240" w:lineRule="auto"/>
        <w:rPr>
          <w:rFonts w:ascii="Arial" w:eastAsiaTheme="minorEastAsia" w:hAnsi="Arial" w:cs="Arial"/>
          <w:sz w:val="20"/>
          <w:szCs w:val="20"/>
        </w:rPr>
      </w:pPr>
      <w:r w:rsidRPr="00700745">
        <w:rPr>
          <w:rFonts w:ascii="Arial" w:eastAsiaTheme="minorEastAsia" w:hAnsi="Arial" w:cs="Arial"/>
          <w:bCs/>
          <w:sz w:val="20"/>
          <w:szCs w:val="20"/>
        </w:rPr>
        <w:t>where</w:t>
      </w:r>
      <w:r w:rsidRPr="00700745">
        <w:rPr>
          <w:rFonts w:ascii="Arial" w:eastAsiaTheme="minorEastAsia" w:hAnsi="Arial" w:cs="Arial"/>
          <w:b/>
          <w:sz w:val="20"/>
          <w:szCs w:val="20"/>
        </w:rPr>
        <w:t xml:space="preserve"> </w:t>
      </w:r>
      <m:oMath>
        <m:r>
          <w:rPr>
            <w:rFonts w:ascii="Cambria Math" w:eastAsiaTheme="minorEastAsia" w:hAnsi="Cambria Math" w:cs="Arial"/>
            <w:sz w:val="20"/>
            <w:szCs w:val="20"/>
          </w:rPr>
          <m:t>n</m:t>
        </m:r>
      </m:oMath>
      <w:r w:rsidRPr="00700745">
        <w:rPr>
          <w:rFonts w:ascii="Arial" w:eastAsiaTheme="minorEastAsia" w:hAnsi="Arial" w:cs="Arial"/>
          <w:sz w:val="20"/>
          <w:szCs w:val="20"/>
        </w:rPr>
        <w:t xml:space="preserve"> tak</w:t>
      </w:r>
      <w:r>
        <w:rPr>
          <w:rFonts w:ascii="Arial" w:eastAsiaTheme="minorEastAsia" w:hAnsi="Arial" w:cs="Arial"/>
          <w:sz w:val="20"/>
          <w:szCs w:val="20"/>
        </w:rPr>
        <w:t xml:space="preserve">e </w:t>
      </w:r>
      <w:r w:rsidRPr="00700745">
        <w:rPr>
          <w:rFonts w:ascii="Arial" w:eastAsiaTheme="minorEastAsia" w:hAnsi="Arial" w:cs="Arial"/>
          <w:sz w:val="20"/>
          <w:szCs w:val="20"/>
        </w:rPr>
        <w:t xml:space="preserve">values in the </w:t>
      </w:r>
      <w:proofErr w:type="gramStart"/>
      <w:r w:rsidRPr="00700745">
        <w:rPr>
          <w:rFonts w:ascii="Arial" w:eastAsiaTheme="minorEastAsia" w:hAnsi="Arial" w:cs="Arial"/>
          <w:sz w:val="20"/>
          <w:szCs w:val="20"/>
        </w:rPr>
        <w:t>seq(</w:t>
      </w:r>
      <w:proofErr w:type="gramEnd"/>
      <w:r w:rsidRPr="00700745">
        <w:rPr>
          <w:rFonts w:ascii="Arial" w:eastAsiaTheme="minorEastAsia" w:hAnsi="Arial" w:cs="Arial"/>
          <w:sz w:val="20"/>
          <w:szCs w:val="20"/>
        </w:rPr>
        <w:t>10,500,10)</w:t>
      </w:r>
      <w:r>
        <w:rPr>
          <w:rFonts w:ascii="Arial" w:eastAsiaTheme="minorEastAsia" w:hAnsi="Arial" w:cs="Arial"/>
          <w:sz w:val="20"/>
          <w:szCs w:val="20"/>
        </w:rPr>
        <w:t>.</w:t>
      </w:r>
    </w:p>
    <w:p w14:paraId="408065C7" w14:textId="67AFD78C" w:rsidR="008F5595" w:rsidRDefault="008F5595" w:rsidP="00487CEC">
      <w:pPr>
        <w:spacing w:after="0" w:line="240" w:lineRule="auto"/>
        <w:rPr>
          <w:rFonts w:ascii="Arial" w:eastAsiaTheme="minorEastAsia" w:hAnsi="Arial" w:cs="Arial"/>
          <w:b/>
          <w:color w:val="FF0000"/>
          <w:sz w:val="20"/>
          <w:szCs w:val="20"/>
        </w:rPr>
      </w:pPr>
    </w:p>
    <w:p w14:paraId="1A410A1A" w14:textId="77777777" w:rsidR="008F5595" w:rsidRDefault="008F5595" w:rsidP="00487CEC">
      <w:pPr>
        <w:spacing w:after="0" w:line="240" w:lineRule="auto"/>
        <w:rPr>
          <w:rFonts w:ascii="Arial" w:eastAsiaTheme="minorEastAsia" w:hAnsi="Arial" w:cs="Arial"/>
          <w:b/>
          <w:color w:val="FF0000"/>
          <w:sz w:val="20"/>
          <w:szCs w:val="20"/>
        </w:rPr>
      </w:pPr>
    </w:p>
    <w:p w14:paraId="46E00485" w14:textId="3FEEB483" w:rsidR="00CF5F71" w:rsidRDefault="00506BB2" w:rsidP="002B1FDF">
      <w:pPr>
        <w:spacing w:after="0" w:line="240" w:lineRule="auto"/>
        <w:rPr>
          <w:rFonts w:ascii="Arial" w:eastAsiaTheme="minorEastAsia" w:hAnsi="Arial" w:cs="Arial"/>
          <w:b/>
          <w:bCs/>
          <w:sz w:val="20"/>
          <w:szCs w:val="20"/>
        </w:rPr>
      </w:pPr>
      <w:r w:rsidRPr="005E2DB9">
        <w:rPr>
          <w:rFonts w:ascii="Arial" w:eastAsiaTheme="minorEastAsia" w:hAnsi="Arial" w:cs="Arial"/>
          <w:b/>
          <w:color w:val="FF0000"/>
          <w:sz w:val="20"/>
          <w:szCs w:val="20"/>
        </w:rPr>
        <w:t xml:space="preserve"> </w:t>
      </w:r>
      <w:r w:rsidR="00CF5F71" w:rsidRPr="005E2DB9">
        <w:rPr>
          <w:rFonts w:ascii="Arial" w:eastAsiaTheme="minorEastAsia" w:hAnsi="Arial" w:cs="Arial"/>
          <w:b/>
          <w:bCs/>
          <w:sz w:val="20"/>
          <w:szCs w:val="20"/>
        </w:rPr>
        <w:t>5. Results</w:t>
      </w:r>
      <w:r w:rsidR="003A3018">
        <w:rPr>
          <w:rFonts w:ascii="Arial" w:eastAsiaTheme="minorEastAsia" w:hAnsi="Arial" w:cs="Arial"/>
          <w:b/>
          <w:bCs/>
          <w:sz w:val="20"/>
          <w:szCs w:val="20"/>
        </w:rPr>
        <w:t xml:space="preserve"> </w:t>
      </w:r>
      <w:r w:rsidR="0021747C">
        <w:rPr>
          <w:rFonts w:ascii="Arial" w:eastAsiaTheme="minorEastAsia" w:hAnsi="Arial" w:cs="Arial"/>
          <w:b/>
          <w:bCs/>
          <w:sz w:val="20"/>
          <w:szCs w:val="20"/>
        </w:rPr>
        <w:t xml:space="preserve">and discussion </w:t>
      </w:r>
      <w:r w:rsidR="003A3018">
        <w:rPr>
          <w:rFonts w:ascii="Arial" w:eastAsiaTheme="minorEastAsia" w:hAnsi="Arial" w:cs="Arial"/>
          <w:b/>
          <w:bCs/>
          <w:sz w:val="20"/>
          <w:szCs w:val="20"/>
        </w:rPr>
        <w:t xml:space="preserve">of </w:t>
      </w:r>
      <w:r w:rsidR="0021747C">
        <w:rPr>
          <w:rFonts w:ascii="Arial" w:eastAsiaTheme="minorEastAsia" w:hAnsi="Arial" w:cs="Arial"/>
          <w:b/>
          <w:bCs/>
          <w:sz w:val="20"/>
          <w:szCs w:val="20"/>
        </w:rPr>
        <w:t xml:space="preserve">tests using </w:t>
      </w:r>
      <w:r w:rsidR="003A3018">
        <w:rPr>
          <w:rFonts w:ascii="Arial" w:eastAsiaTheme="minorEastAsia" w:hAnsi="Arial" w:cs="Arial"/>
          <w:b/>
          <w:bCs/>
          <w:sz w:val="20"/>
          <w:szCs w:val="20"/>
        </w:rPr>
        <w:t>SSDM</w:t>
      </w:r>
    </w:p>
    <w:p w14:paraId="0D72D584" w14:textId="77777777" w:rsidR="00F211B6" w:rsidRDefault="00F211B6" w:rsidP="002B1FDF">
      <w:pPr>
        <w:spacing w:after="0" w:line="240" w:lineRule="auto"/>
        <w:rPr>
          <w:rFonts w:ascii="Arial" w:eastAsiaTheme="minorEastAsia" w:hAnsi="Arial" w:cs="Arial"/>
          <w:b/>
          <w:bCs/>
          <w:sz w:val="20"/>
          <w:szCs w:val="20"/>
        </w:rPr>
      </w:pPr>
    </w:p>
    <w:p w14:paraId="30E5F766" w14:textId="3F8BC65F" w:rsidR="00CA3E67" w:rsidRDefault="00CA3E67" w:rsidP="00CA3E67">
      <w:pPr>
        <w:spacing w:line="240" w:lineRule="auto"/>
        <w:jc w:val="both"/>
        <w:rPr>
          <w:rFonts w:ascii="Arial" w:eastAsiaTheme="minorEastAsia" w:hAnsi="Arial" w:cs="Arial"/>
          <w:sz w:val="20"/>
          <w:szCs w:val="20"/>
        </w:rPr>
      </w:pPr>
      <w:r w:rsidRPr="00CA3E67">
        <w:rPr>
          <w:rFonts w:ascii="Arial" w:eastAsiaTheme="minorEastAsia" w:hAnsi="Arial" w:cs="Arial"/>
          <w:sz w:val="20"/>
          <w:szCs w:val="20"/>
        </w:rPr>
        <w:t>Given the characteristics of Population P1​ from Example 1, we expect the mean and standard error of the SSDM to align with those of the SDM, thereby satisfying tests (a) and (b). However, we do not expect either the SDM or the SSDM to be normally distributed, which corresponds to test (c) as specified in Example 1. To evaluate these expectations, refer to the results from 10 runs of the SSDM used to assess tests (a)–(c) of Example 1, as reported in Table 1.</w:t>
      </w:r>
    </w:p>
    <w:p w14:paraId="22FC662F" w14:textId="7686EF12" w:rsidR="00A35E9A" w:rsidRDefault="00F211B6" w:rsidP="00CA3E67">
      <w:pPr>
        <w:spacing w:line="240" w:lineRule="auto"/>
        <w:jc w:val="both"/>
        <w:rPr>
          <w:rFonts w:ascii="Arial" w:eastAsiaTheme="minorEastAsia" w:hAnsi="Arial" w:cs="Arial"/>
          <w:sz w:val="20"/>
          <w:szCs w:val="20"/>
        </w:rPr>
      </w:pPr>
      <w:r>
        <w:rPr>
          <w:rFonts w:ascii="Arial" w:eastAsiaTheme="minorEastAsia" w:hAnsi="Arial" w:cs="Arial"/>
          <w:sz w:val="20"/>
          <w:szCs w:val="20"/>
        </w:rPr>
        <w:lastRenderedPageBreak/>
        <w:t xml:space="preserve">Table 1. Results of ten </w:t>
      </w:r>
      <w:r w:rsidR="00CA3E67">
        <w:rPr>
          <w:rFonts w:ascii="Arial" w:eastAsiaTheme="minorEastAsia" w:hAnsi="Arial" w:cs="Arial"/>
          <w:sz w:val="20"/>
          <w:szCs w:val="20"/>
        </w:rPr>
        <w:t>separate</w:t>
      </w:r>
      <w:r w:rsidR="00DD622D">
        <w:rPr>
          <w:rFonts w:ascii="Arial" w:eastAsiaTheme="minorEastAsia" w:hAnsi="Arial" w:cs="Arial"/>
          <w:sz w:val="20"/>
          <w:szCs w:val="20"/>
        </w:rPr>
        <w:t xml:space="preserve"> runs of SSDM for </w:t>
      </w:r>
      <w:r w:rsidR="00CA3E67">
        <w:rPr>
          <w:rFonts w:ascii="Arial" w:eastAsiaTheme="minorEastAsia" w:hAnsi="Arial" w:cs="Arial"/>
          <w:sz w:val="20"/>
          <w:szCs w:val="20"/>
        </w:rPr>
        <w:t>tests (a)-(c) for population P1 of Example 1</w:t>
      </w:r>
      <w:r w:rsidR="00046FB8" w:rsidRPr="005E2DB9">
        <w:rPr>
          <w:rFonts w:ascii="Arial" w:eastAsiaTheme="minorEastAsia" w:hAnsi="Arial" w:cs="Arial"/>
          <w:sz w:val="20"/>
          <w:szCs w:val="20"/>
        </w:rPr>
        <w:t>.</w:t>
      </w:r>
    </w:p>
    <w:tbl>
      <w:tblPr>
        <w:tblW w:w="7220" w:type="dxa"/>
        <w:jc w:val="center"/>
        <w:tblLook w:val="04A0" w:firstRow="1" w:lastRow="0" w:firstColumn="1" w:lastColumn="0" w:noHBand="0" w:noVBand="1"/>
      </w:tblPr>
      <w:tblGrid>
        <w:gridCol w:w="1020"/>
        <w:gridCol w:w="1020"/>
        <w:gridCol w:w="1020"/>
        <w:gridCol w:w="1020"/>
        <w:gridCol w:w="1020"/>
        <w:gridCol w:w="1020"/>
        <w:gridCol w:w="1100"/>
      </w:tblGrid>
      <w:tr w:rsidR="00700745" w:rsidRPr="00A22812" w14:paraId="20660142" w14:textId="77777777" w:rsidTr="00700745">
        <w:trPr>
          <w:trHeight w:val="302"/>
          <w:jc w:val="center"/>
        </w:trPr>
        <w:tc>
          <w:tcPr>
            <w:tcW w:w="1020" w:type="dxa"/>
            <w:tcBorders>
              <w:top w:val="single" w:sz="4" w:space="0" w:color="auto"/>
              <w:bottom w:val="single" w:sz="4" w:space="0" w:color="auto"/>
            </w:tcBorders>
            <w:shd w:val="clear" w:color="auto" w:fill="auto"/>
            <w:noWrap/>
            <w:vAlign w:val="center"/>
            <w:hideMark/>
          </w:tcPr>
          <w:p w14:paraId="741C7B98"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Runs</w:t>
            </w:r>
          </w:p>
        </w:tc>
        <w:tc>
          <w:tcPr>
            <w:tcW w:w="1020" w:type="dxa"/>
            <w:tcBorders>
              <w:top w:val="single" w:sz="4" w:space="0" w:color="auto"/>
              <w:bottom w:val="single" w:sz="4" w:space="0" w:color="auto"/>
            </w:tcBorders>
            <w:shd w:val="clear" w:color="auto" w:fill="auto"/>
            <w:noWrap/>
            <w:vAlign w:val="center"/>
            <w:hideMark/>
          </w:tcPr>
          <w:p w14:paraId="03BE6BB6" w14:textId="0292899F" w:rsidR="00700745" w:rsidRPr="00A22812" w:rsidRDefault="00000000" w:rsidP="002454B6">
            <w:pPr>
              <w:spacing w:after="0" w:line="240" w:lineRule="auto"/>
              <w:jc w:val="center"/>
              <w:rPr>
                <w:rFonts w:ascii="Arial" w:eastAsia="Times New Roman" w:hAnsi="Arial" w:cs="Arial"/>
                <w:color w:val="333333"/>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oMath>
            </m:oMathPara>
          </w:p>
        </w:tc>
        <w:tc>
          <w:tcPr>
            <w:tcW w:w="1020" w:type="dxa"/>
            <w:tcBorders>
              <w:top w:val="single" w:sz="4" w:space="0" w:color="auto"/>
              <w:bottom w:val="single" w:sz="4" w:space="0" w:color="auto"/>
            </w:tcBorders>
            <w:shd w:val="clear" w:color="auto" w:fill="auto"/>
            <w:noWrap/>
            <w:vAlign w:val="bottom"/>
            <w:hideMark/>
          </w:tcPr>
          <w:p w14:paraId="3B36D167" w14:textId="55243719" w:rsidR="00700745" w:rsidRPr="00A22812" w:rsidRDefault="00000000" w:rsidP="002454B6">
            <w:pPr>
              <w:spacing w:after="0" w:line="240" w:lineRule="auto"/>
              <w:jc w:val="center"/>
              <w:rPr>
                <w:rFonts w:ascii="Arial" w:eastAsia="Times New Roman" w:hAnsi="Arial" w:cs="Arial"/>
                <w:color w:val="000000"/>
                <w:sz w:val="20"/>
                <w:szCs w:val="20"/>
              </w:rPr>
            </w:pPr>
            <m:oMathPara>
              <m:oMath>
                <m:acc>
                  <m:accPr>
                    <m:chr m:val="̃"/>
                    <m:ctrlPr>
                      <w:rPr>
                        <w:rFonts w:ascii="Cambria Math" w:hAnsi="Cambria Math" w:cs="Arial"/>
                        <w:i/>
                        <w:sz w:val="20"/>
                        <w:szCs w:val="20"/>
                      </w:rPr>
                    </m:ctrlPr>
                  </m:accPr>
                  <m:e>
                    <m:r>
                      <w:rPr>
                        <w:rFonts w:ascii="Cambria Math" w:hAnsi="Cambria Math" w:cs="Arial"/>
                        <w:sz w:val="20"/>
                        <w:szCs w:val="20"/>
                      </w:rPr>
                      <m:t>s</m:t>
                    </m:r>
                  </m:e>
                </m:acc>
              </m:oMath>
            </m:oMathPara>
          </w:p>
        </w:tc>
        <w:tc>
          <w:tcPr>
            <w:tcW w:w="1020" w:type="dxa"/>
            <w:tcBorders>
              <w:top w:val="single" w:sz="4" w:space="0" w:color="auto"/>
              <w:bottom w:val="single" w:sz="4" w:space="0" w:color="auto"/>
            </w:tcBorders>
            <w:shd w:val="clear" w:color="auto" w:fill="auto"/>
            <w:noWrap/>
            <w:vAlign w:val="bottom"/>
            <w:hideMark/>
          </w:tcPr>
          <w:p w14:paraId="4020231B" w14:textId="77777777"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t.pval</w:t>
            </w:r>
            <w:proofErr w:type="spellEnd"/>
            <w:proofErr w:type="gramEnd"/>
          </w:p>
        </w:tc>
        <w:tc>
          <w:tcPr>
            <w:tcW w:w="1020" w:type="dxa"/>
            <w:tcBorders>
              <w:top w:val="single" w:sz="4" w:space="0" w:color="auto"/>
              <w:bottom w:val="single" w:sz="4" w:space="0" w:color="auto"/>
            </w:tcBorders>
            <w:shd w:val="clear" w:color="auto" w:fill="auto"/>
            <w:noWrap/>
            <w:vAlign w:val="bottom"/>
            <w:hideMark/>
          </w:tcPr>
          <w:p w14:paraId="2BEF875F" w14:textId="77777777"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z.pval</w:t>
            </w:r>
            <w:proofErr w:type="spellEnd"/>
            <w:proofErr w:type="gramEnd"/>
          </w:p>
        </w:tc>
        <w:tc>
          <w:tcPr>
            <w:tcW w:w="1020" w:type="dxa"/>
            <w:tcBorders>
              <w:top w:val="single" w:sz="4" w:space="0" w:color="auto"/>
              <w:bottom w:val="single" w:sz="4" w:space="0" w:color="auto"/>
            </w:tcBorders>
            <w:shd w:val="clear" w:color="auto" w:fill="auto"/>
            <w:noWrap/>
            <w:vAlign w:val="bottom"/>
            <w:hideMark/>
          </w:tcPr>
          <w:p w14:paraId="1F2902B5" w14:textId="6FF0B77C" w:rsidR="00700745" w:rsidRPr="00A22812" w:rsidRDefault="00000000" w:rsidP="002454B6">
            <w:pPr>
              <w:spacing w:after="0" w:line="240" w:lineRule="auto"/>
              <w:jc w:val="center"/>
              <w:rPr>
                <w:rFonts w:ascii="Arial" w:eastAsia="Times New Roman" w:hAnsi="Arial" w:cs="Arial"/>
                <w:color w:val="000000"/>
                <w:sz w:val="20"/>
                <w:szCs w:val="20"/>
              </w:rPr>
            </w:pPr>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oMath>
            <w:proofErr w:type="gramStart"/>
            <w:r w:rsidR="00700745" w:rsidRPr="00A22812">
              <w:rPr>
                <w:rFonts w:ascii="Arial" w:eastAsia="Times New Roman" w:hAnsi="Arial" w:cs="Arial"/>
                <w:color w:val="000000"/>
                <w:sz w:val="20"/>
                <w:szCs w:val="20"/>
              </w:rPr>
              <w:t>.pval</w:t>
            </w:r>
            <w:proofErr w:type="gramEnd"/>
          </w:p>
        </w:tc>
        <w:tc>
          <w:tcPr>
            <w:tcW w:w="1100" w:type="dxa"/>
            <w:tcBorders>
              <w:top w:val="single" w:sz="4" w:space="0" w:color="auto"/>
              <w:bottom w:val="single" w:sz="4" w:space="0" w:color="auto"/>
            </w:tcBorders>
            <w:shd w:val="clear" w:color="auto" w:fill="auto"/>
            <w:noWrap/>
            <w:vAlign w:val="bottom"/>
            <w:hideMark/>
          </w:tcPr>
          <w:p w14:paraId="0359A044" w14:textId="77777777"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ad.pval</w:t>
            </w:r>
            <w:proofErr w:type="spellEnd"/>
            <w:proofErr w:type="gramEnd"/>
          </w:p>
        </w:tc>
      </w:tr>
      <w:tr w:rsidR="00700745" w:rsidRPr="00A22812" w14:paraId="60F03377" w14:textId="77777777" w:rsidTr="00700745">
        <w:trPr>
          <w:trHeight w:val="302"/>
          <w:jc w:val="center"/>
        </w:trPr>
        <w:tc>
          <w:tcPr>
            <w:tcW w:w="1020" w:type="dxa"/>
            <w:tcBorders>
              <w:top w:val="single" w:sz="4" w:space="0" w:color="auto"/>
            </w:tcBorders>
            <w:shd w:val="clear" w:color="auto" w:fill="auto"/>
            <w:noWrap/>
            <w:vAlign w:val="center"/>
            <w:hideMark/>
          </w:tcPr>
          <w:p w14:paraId="044B0F6E"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1</w:t>
            </w:r>
          </w:p>
        </w:tc>
        <w:tc>
          <w:tcPr>
            <w:tcW w:w="1020" w:type="dxa"/>
            <w:tcBorders>
              <w:top w:val="single" w:sz="4" w:space="0" w:color="auto"/>
            </w:tcBorders>
            <w:shd w:val="clear" w:color="auto" w:fill="auto"/>
            <w:noWrap/>
            <w:vAlign w:val="bottom"/>
            <w:hideMark/>
          </w:tcPr>
          <w:p w14:paraId="4E9BA941"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130.72</w:t>
            </w:r>
          </w:p>
        </w:tc>
        <w:tc>
          <w:tcPr>
            <w:tcW w:w="1020" w:type="dxa"/>
            <w:tcBorders>
              <w:top w:val="single" w:sz="4" w:space="0" w:color="auto"/>
            </w:tcBorders>
            <w:shd w:val="clear" w:color="auto" w:fill="auto"/>
            <w:noWrap/>
            <w:vAlign w:val="bottom"/>
            <w:hideMark/>
          </w:tcPr>
          <w:p w14:paraId="44B9089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10.75</w:t>
            </w:r>
          </w:p>
        </w:tc>
        <w:tc>
          <w:tcPr>
            <w:tcW w:w="1020" w:type="dxa"/>
            <w:tcBorders>
              <w:top w:val="single" w:sz="4" w:space="0" w:color="auto"/>
            </w:tcBorders>
            <w:shd w:val="clear" w:color="auto" w:fill="auto"/>
            <w:noWrap/>
            <w:vAlign w:val="bottom"/>
            <w:hideMark/>
          </w:tcPr>
          <w:p w14:paraId="4CEB8AB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0.600</w:t>
            </w:r>
          </w:p>
        </w:tc>
        <w:tc>
          <w:tcPr>
            <w:tcW w:w="1020" w:type="dxa"/>
            <w:tcBorders>
              <w:top w:val="single" w:sz="4" w:space="0" w:color="auto"/>
            </w:tcBorders>
            <w:shd w:val="clear" w:color="auto" w:fill="auto"/>
            <w:noWrap/>
            <w:vAlign w:val="bottom"/>
            <w:hideMark/>
          </w:tcPr>
          <w:p w14:paraId="03355F2F"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0.596</w:t>
            </w:r>
          </w:p>
        </w:tc>
        <w:tc>
          <w:tcPr>
            <w:tcW w:w="1020" w:type="dxa"/>
            <w:tcBorders>
              <w:top w:val="single" w:sz="4" w:space="0" w:color="auto"/>
            </w:tcBorders>
            <w:shd w:val="clear" w:color="auto" w:fill="auto"/>
            <w:noWrap/>
            <w:vAlign w:val="bottom"/>
            <w:hideMark/>
          </w:tcPr>
          <w:p w14:paraId="3191333D"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0.308</w:t>
            </w:r>
          </w:p>
        </w:tc>
        <w:tc>
          <w:tcPr>
            <w:tcW w:w="1100" w:type="dxa"/>
            <w:tcBorders>
              <w:top w:val="single" w:sz="4" w:space="0" w:color="auto"/>
            </w:tcBorders>
            <w:shd w:val="clear" w:color="auto" w:fill="auto"/>
            <w:noWrap/>
            <w:vAlign w:val="bottom"/>
            <w:hideMark/>
          </w:tcPr>
          <w:p w14:paraId="2A67889A"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76751F47" w14:textId="77777777" w:rsidTr="00700745">
        <w:trPr>
          <w:trHeight w:val="302"/>
          <w:jc w:val="center"/>
        </w:trPr>
        <w:tc>
          <w:tcPr>
            <w:tcW w:w="1020" w:type="dxa"/>
            <w:shd w:val="clear" w:color="auto" w:fill="auto"/>
            <w:noWrap/>
            <w:vAlign w:val="center"/>
            <w:hideMark/>
          </w:tcPr>
          <w:p w14:paraId="79F34CEB"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2</w:t>
            </w:r>
          </w:p>
        </w:tc>
        <w:tc>
          <w:tcPr>
            <w:tcW w:w="1020" w:type="dxa"/>
            <w:shd w:val="clear" w:color="auto" w:fill="auto"/>
            <w:noWrap/>
            <w:vAlign w:val="bottom"/>
            <w:hideMark/>
          </w:tcPr>
          <w:p w14:paraId="05DADAC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130.84</w:t>
            </w:r>
          </w:p>
        </w:tc>
        <w:tc>
          <w:tcPr>
            <w:tcW w:w="1020" w:type="dxa"/>
            <w:shd w:val="clear" w:color="auto" w:fill="auto"/>
            <w:noWrap/>
            <w:vAlign w:val="bottom"/>
            <w:hideMark/>
          </w:tcPr>
          <w:p w14:paraId="380773BC"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10.70</w:t>
            </w:r>
          </w:p>
        </w:tc>
        <w:tc>
          <w:tcPr>
            <w:tcW w:w="1020" w:type="dxa"/>
            <w:shd w:val="clear" w:color="auto" w:fill="auto"/>
            <w:noWrap/>
            <w:vAlign w:val="bottom"/>
            <w:hideMark/>
          </w:tcPr>
          <w:p w14:paraId="7698425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0.781</w:t>
            </w:r>
          </w:p>
        </w:tc>
        <w:tc>
          <w:tcPr>
            <w:tcW w:w="1020" w:type="dxa"/>
            <w:shd w:val="clear" w:color="auto" w:fill="auto"/>
            <w:noWrap/>
            <w:vAlign w:val="bottom"/>
            <w:hideMark/>
          </w:tcPr>
          <w:p w14:paraId="4A35B67B"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0.780</w:t>
            </w:r>
          </w:p>
        </w:tc>
        <w:tc>
          <w:tcPr>
            <w:tcW w:w="1020" w:type="dxa"/>
            <w:shd w:val="clear" w:color="auto" w:fill="auto"/>
            <w:noWrap/>
            <w:vAlign w:val="bottom"/>
            <w:hideMark/>
          </w:tcPr>
          <w:p w14:paraId="09A6736A"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0.588</w:t>
            </w:r>
          </w:p>
        </w:tc>
        <w:tc>
          <w:tcPr>
            <w:tcW w:w="1100" w:type="dxa"/>
            <w:shd w:val="clear" w:color="auto" w:fill="auto"/>
            <w:noWrap/>
            <w:vAlign w:val="bottom"/>
            <w:hideMark/>
          </w:tcPr>
          <w:p w14:paraId="51A65E1B"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3FD39B67" w14:textId="77777777" w:rsidTr="00700745">
        <w:trPr>
          <w:trHeight w:val="302"/>
          <w:jc w:val="center"/>
        </w:trPr>
        <w:tc>
          <w:tcPr>
            <w:tcW w:w="1020" w:type="dxa"/>
            <w:shd w:val="clear" w:color="auto" w:fill="auto"/>
            <w:noWrap/>
            <w:vAlign w:val="center"/>
            <w:hideMark/>
          </w:tcPr>
          <w:p w14:paraId="063DCF19"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3</w:t>
            </w:r>
          </w:p>
        </w:tc>
        <w:tc>
          <w:tcPr>
            <w:tcW w:w="1020" w:type="dxa"/>
            <w:shd w:val="clear" w:color="auto" w:fill="auto"/>
            <w:noWrap/>
            <w:vAlign w:val="bottom"/>
            <w:hideMark/>
          </w:tcPr>
          <w:p w14:paraId="0C3E9F91"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130.65</w:t>
            </w:r>
          </w:p>
        </w:tc>
        <w:tc>
          <w:tcPr>
            <w:tcW w:w="1020" w:type="dxa"/>
            <w:shd w:val="clear" w:color="auto" w:fill="auto"/>
            <w:noWrap/>
            <w:vAlign w:val="bottom"/>
            <w:hideMark/>
          </w:tcPr>
          <w:p w14:paraId="597C3AF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10.86</w:t>
            </w:r>
          </w:p>
        </w:tc>
        <w:tc>
          <w:tcPr>
            <w:tcW w:w="1020" w:type="dxa"/>
            <w:shd w:val="clear" w:color="auto" w:fill="auto"/>
            <w:noWrap/>
            <w:vAlign w:val="bottom"/>
            <w:hideMark/>
          </w:tcPr>
          <w:p w14:paraId="2332B3ED"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0.342</w:t>
            </w:r>
          </w:p>
        </w:tc>
        <w:tc>
          <w:tcPr>
            <w:tcW w:w="1020" w:type="dxa"/>
            <w:shd w:val="clear" w:color="auto" w:fill="auto"/>
            <w:noWrap/>
            <w:vAlign w:val="bottom"/>
            <w:hideMark/>
          </w:tcPr>
          <w:p w14:paraId="6B2D55E0"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0.332</w:t>
            </w:r>
          </w:p>
        </w:tc>
        <w:tc>
          <w:tcPr>
            <w:tcW w:w="1020" w:type="dxa"/>
            <w:shd w:val="clear" w:color="auto" w:fill="auto"/>
            <w:noWrap/>
            <w:vAlign w:val="bottom"/>
            <w:hideMark/>
          </w:tcPr>
          <w:p w14:paraId="454456DB" w14:textId="77777777" w:rsidR="00700745" w:rsidRPr="00A22812" w:rsidRDefault="00700745" w:rsidP="002454B6">
            <w:pPr>
              <w:spacing w:after="0" w:line="240" w:lineRule="auto"/>
              <w:jc w:val="center"/>
              <w:rPr>
                <w:rFonts w:ascii="Arial" w:eastAsia="Times New Roman" w:hAnsi="Arial" w:cs="Arial"/>
                <w:color w:val="FF0000"/>
                <w:sz w:val="20"/>
                <w:szCs w:val="20"/>
              </w:rPr>
            </w:pPr>
            <w:r w:rsidRPr="00A22812">
              <w:rPr>
                <w:rFonts w:ascii="Arial" w:eastAsia="Times New Roman" w:hAnsi="Arial" w:cs="Arial"/>
                <w:sz w:val="20"/>
                <w:szCs w:val="20"/>
              </w:rPr>
              <w:t>0.040</w:t>
            </w:r>
          </w:p>
        </w:tc>
        <w:tc>
          <w:tcPr>
            <w:tcW w:w="1100" w:type="dxa"/>
            <w:shd w:val="clear" w:color="auto" w:fill="auto"/>
            <w:noWrap/>
            <w:vAlign w:val="bottom"/>
            <w:hideMark/>
          </w:tcPr>
          <w:p w14:paraId="69C4D95C"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63614732" w14:textId="77777777" w:rsidTr="00700745">
        <w:trPr>
          <w:trHeight w:val="302"/>
          <w:jc w:val="center"/>
        </w:trPr>
        <w:tc>
          <w:tcPr>
            <w:tcW w:w="1020" w:type="dxa"/>
            <w:shd w:val="clear" w:color="auto" w:fill="auto"/>
            <w:noWrap/>
            <w:vAlign w:val="center"/>
            <w:hideMark/>
          </w:tcPr>
          <w:p w14:paraId="33FD975C"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4</w:t>
            </w:r>
          </w:p>
        </w:tc>
        <w:tc>
          <w:tcPr>
            <w:tcW w:w="1020" w:type="dxa"/>
            <w:shd w:val="clear" w:color="auto" w:fill="auto"/>
            <w:noWrap/>
            <w:vAlign w:val="bottom"/>
            <w:hideMark/>
          </w:tcPr>
          <w:p w14:paraId="22A46F34"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130.53</w:t>
            </w:r>
          </w:p>
        </w:tc>
        <w:tc>
          <w:tcPr>
            <w:tcW w:w="1020" w:type="dxa"/>
            <w:shd w:val="clear" w:color="auto" w:fill="auto"/>
            <w:noWrap/>
            <w:vAlign w:val="bottom"/>
            <w:hideMark/>
          </w:tcPr>
          <w:p w14:paraId="194ADC02"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10.76</w:t>
            </w:r>
          </w:p>
        </w:tc>
        <w:tc>
          <w:tcPr>
            <w:tcW w:w="1020" w:type="dxa"/>
            <w:shd w:val="clear" w:color="auto" w:fill="auto"/>
            <w:noWrap/>
            <w:vAlign w:val="bottom"/>
            <w:hideMark/>
          </w:tcPr>
          <w:p w14:paraId="15033F3B"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0.074</w:t>
            </w:r>
          </w:p>
        </w:tc>
        <w:tc>
          <w:tcPr>
            <w:tcW w:w="1020" w:type="dxa"/>
            <w:shd w:val="clear" w:color="auto" w:fill="auto"/>
            <w:noWrap/>
            <w:vAlign w:val="bottom"/>
            <w:hideMark/>
          </w:tcPr>
          <w:p w14:paraId="389D84D7"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0.071</w:t>
            </w:r>
          </w:p>
        </w:tc>
        <w:tc>
          <w:tcPr>
            <w:tcW w:w="1020" w:type="dxa"/>
            <w:shd w:val="clear" w:color="auto" w:fill="auto"/>
            <w:noWrap/>
            <w:vAlign w:val="bottom"/>
            <w:hideMark/>
          </w:tcPr>
          <w:p w14:paraId="0DFDEDBF"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0.266</w:t>
            </w:r>
          </w:p>
        </w:tc>
        <w:tc>
          <w:tcPr>
            <w:tcW w:w="1100" w:type="dxa"/>
            <w:shd w:val="clear" w:color="auto" w:fill="auto"/>
            <w:noWrap/>
            <w:vAlign w:val="bottom"/>
            <w:hideMark/>
          </w:tcPr>
          <w:p w14:paraId="6196705B"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3.70E-24</w:t>
            </w:r>
          </w:p>
        </w:tc>
      </w:tr>
      <w:tr w:rsidR="00700745" w:rsidRPr="00A22812" w14:paraId="66DF0B5E" w14:textId="77777777" w:rsidTr="00700745">
        <w:trPr>
          <w:trHeight w:val="302"/>
          <w:jc w:val="center"/>
        </w:trPr>
        <w:tc>
          <w:tcPr>
            <w:tcW w:w="1020" w:type="dxa"/>
            <w:shd w:val="clear" w:color="auto" w:fill="auto"/>
            <w:noWrap/>
            <w:vAlign w:val="center"/>
            <w:hideMark/>
          </w:tcPr>
          <w:p w14:paraId="25F537D6"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5</w:t>
            </w:r>
          </w:p>
        </w:tc>
        <w:tc>
          <w:tcPr>
            <w:tcW w:w="1020" w:type="dxa"/>
            <w:shd w:val="clear" w:color="auto" w:fill="auto"/>
            <w:noWrap/>
            <w:vAlign w:val="bottom"/>
            <w:hideMark/>
          </w:tcPr>
          <w:p w14:paraId="4B6BCB1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130.99</w:t>
            </w:r>
          </w:p>
        </w:tc>
        <w:tc>
          <w:tcPr>
            <w:tcW w:w="1020" w:type="dxa"/>
            <w:shd w:val="clear" w:color="auto" w:fill="auto"/>
            <w:noWrap/>
            <w:vAlign w:val="bottom"/>
            <w:hideMark/>
          </w:tcPr>
          <w:p w14:paraId="015AC34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10.79</w:t>
            </w:r>
          </w:p>
        </w:tc>
        <w:tc>
          <w:tcPr>
            <w:tcW w:w="1020" w:type="dxa"/>
            <w:shd w:val="clear" w:color="auto" w:fill="auto"/>
            <w:noWrap/>
            <w:vAlign w:val="bottom"/>
            <w:hideMark/>
          </w:tcPr>
          <w:p w14:paraId="31BCCC6C"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0.205</w:t>
            </w:r>
          </w:p>
        </w:tc>
        <w:tc>
          <w:tcPr>
            <w:tcW w:w="1020" w:type="dxa"/>
            <w:shd w:val="clear" w:color="auto" w:fill="auto"/>
            <w:noWrap/>
            <w:vAlign w:val="bottom"/>
            <w:hideMark/>
          </w:tcPr>
          <w:p w14:paraId="32FB2A6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0.198</w:t>
            </w:r>
          </w:p>
        </w:tc>
        <w:tc>
          <w:tcPr>
            <w:tcW w:w="1020" w:type="dxa"/>
            <w:shd w:val="clear" w:color="auto" w:fill="auto"/>
            <w:noWrap/>
            <w:vAlign w:val="bottom"/>
            <w:hideMark/>
          </w:tcPr>
          <w:p w14:paraId="6896326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0.148</w:t>
            </w:r>
          </w:p>
        </w:tc>
        <w:tc>
          <w:tcPr>
            <w:tcW w:w="1100" w:type="dxa"/>
            <w:shd w:val="clear" w:color="auto" w:fill="auto"/>
            <w:noWrap/>
            <w:vAlign w:val="bottom"/>
            <w:hideMark/>
          </w:tcPr>
          <w:p w14:paraId="65180E0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4D390CFF" w14:textId="77777777" w:rsidTr="00700745">
        <w:trPr>
          <w:trHeight w:val="302"/>
          <w:jc w:val="center"/>
        </w:trPr>
        <w:tc>
          <w:tcPr>
            <w:tcW w:w="1020" w:type="dxa"/>
            <w:shd w:val="clear" w:color="auto" w:fill="auto"/>
            <w:noWrap/>
            <w:vAlign w:val="center"/>
            <w:hideMark/>
          </w:tcPr>
          <w:p w14:paraId="15C3F369"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6</w:t>
            </w:r>
          </w:p>
        </w:tc>
        <w:tc>
          <w:tcPr>
            <w:tcW w:w="1020" w:type="dxa"/>
            <w:shd w:val="clear" w:color="auto" w:fill="auto"/>
            <w:noWrap/>
            <w:vAlign w:val="bottom"/>
            <w:hideMark/>
          </w:tcPr>
          <w:p w14:paraId="195DC9F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130.98</w:t>
            </w:r>
          </w:p>
        </w:tc>
        <w:tc>
          <w:tcPr>
            <w:tcW w:w="1020" w:type="dxa"/>
            <w:shd w:val="clear" w:color="auto" w:fill="auto"/>
            <w:noWrap/>
            <w:vAlign w:val="bottom"/>
            <w:hideMark/>
          </w:tcPr>
          <w:p w14:paraId="3E196211"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10.48</w:t>
            </w:r>
          </w:p>
        </w:tc>
        <w:tc>
          <w:tcPr>
            <w:tcW w:w="1020" w:type="dxa"/>
            <w:shd w:val="clear" w:color="auto" w:fill="auto"/>
            <w:noWrap/>
            <w:vAlign w:val="bottom"/>
            <w:hideMark/>
          </w:tcPr>
          <w:p w14:paraId="43C96CDB"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0.220</w:t>
            </w:r>
          </w:p>
        </w:tc>
        <w:tc>
          <w:tcPr>
            <w:tcW w:w="1020" w:type="dxa"/>
            <w:shd w:val="clear" w:color="auto" w:fill="auto"/>
            <w:noWrap/>
            <w:vAlign w:val="bottom"/>
            <w:hideMark/>
          </w:tcPr>
          <w:p w14:paraId="2161F7CF"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0.227</w:t>
            </w:r>
          </w:p>
        </w:tc>
        <w:tc>
          <w:tcPr>
            <w:tcW w:w="1020" w:type="dxa"/>
            <w:shd w:val="clear" w:color="auto" w:fill="auto"/>
            <w:noWrap/>
            <w:vAlign w:val="bottom"/>
            <w:hideMark/>
          </w:tcPr>
          <w:p w14:paraId="466C896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0.133</w:t>
            </w:r>
          </w:p>
        </w:tc>
        <w:tc>
          <w:tcPr>
            <w:tcW w:w="1100" w:type="dxa"/>
            <w:shd w:val="clear" w:color="auto" w:fill="auto"/>
            <w:noWrap/>
            <w:vAlign w:val="bottom"/>
            <w:hideMark/>
          </w:tcPr>
          <w:p w14:paraId="4CE0200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6B0B313B" w14:textId="77777777" w:rsidTr="00700745">
        <w:trPr>
          <w:trHeight w:val="302"/>
          <w:jc w:val="center"/>
        </w:trPr>
        <w:tc>
          <w:tcPr>
            <w:tcW w:w="1020" w:type="dxa"/>
            <w:shd w:val="clear" w:color="auto" w:fill="auto"/>
            <w:noWrap/>
            <w:vAlign w:val="center"/>
            <w:hideMark/>
          </w:tcPr>
          <w:p w14:paraId="20B480C9"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7</w:t>
            </w:r>
          </w:p>
        </w:tc>
        <w:tc>
          <w:tcPr>
            <w:tcW w:w="1020" w:type="dxa"/>
            <w:shd w:val="clear" w:color="auto" w:fill="auto"/>
            <w:noWrap/>
            <w:vAlign w:val="bottom"/>
            <w:hideMark/>
          </w:tcPr>
          <w:p w14:paraId="47BD52F2"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130.91</w:t>
            </w:r>
          </w:p>
        </w:tc>
        <w:tc>
          <w:tcPr>
            <w:tcW w:w="1020" w:type="dxa"/>
            <w:shd w:val="clear" w:color="auto" w:fill="auto"/>
            <w:noWrap/>
            <w:vAlign w:val="bottom"/>
            <w:hideMark/>
          </w:tcPr>
          <w:p w14:paraId="4523E308"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10.68</w:t>
            </w:r>
          </w:p>
        </w:tc>
        <w:tc>
          <w:tcPr>
            <w:tcW w:w="1020" w:type="dxa"/>
            <w:shd w:val="clear" w:color="auto" w:fill="auto"/>
            <w:noWrap/>
            <w:vAlign w:val="bottom"/>
            <w:hideMark/>
          </w:tcPr>
          <w:p w14:paraId="7D3ACD98"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0.469</w:t>
            </w:r>
          </w:p>
        </w:tc>
        <w:tc>
          <w:tcPr>
            <w:tcW w:w="1020" w:type="dxa"/>
            <w:shd w:val="clear" w:color="auto" w:fill="auto"/>
            <w:noWrap/>
            <w:vAlign w:val="bottom"/>
            <w:hideMark/>
          </w:tcPr>
          <w:p w14:paraId="53EE2A0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0.467</w:t>
            </w:r>
          </w:p>
        </w:tc>
        <w:tc>
          <w:tcPr>
            <w:tcW w:w="1020" w:type="dxa"/>
            <w:shd w:val="clear" w:color="auto" w:fill="auto"/>
            <w:noWrap/>
            <w:vAlign w:val="bottom"/>
            <w:hideMark/>
          </w:tcPr>
          <w:p w14:paraId="72CEC792"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0.735</w:t>
            </w:r>
          </w:p>
        </w:tc>
        <w:tc>
          <w:tcPr>
            <w:tcW w:w="1100" w:type="dxa"/>
            <w:shd w:val="clear" w:color="auto" w:fill="auto"/>
            <w:noWrap/>
            <w:vAlign w:val="bottom"/>
            <w:hideMark/>
          </w:tcPr>
          <w:p w14:paraId="01CB305E"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2C3E5682" w14:textId="77777777" w:rsidTr="00700745">
        <w:trPr>
          <w:trHeight w:val="302"/>
          <w:jc w:val="center"/>
        </w:trPr>
        <w:tc>
          <w:tcPr>
            <w:tcW w:w="1020" w:type="dxa"/>
            <w:shd w:val="clear" w:color="auto" w:fill="auto"/>
            <w:noWrap/>
            <w:vAlign w:val="center"/>
            <w:hideMark/>
          </w:tcPr>
          <w:p w14:paraId="276C8F49"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8</w:t>
            </w:r>
          </w:p>
        </w:tc>
        <w:tc>
          <w:tcPr>
            <w:tcW w:w="1020" w:type="dxa"/>
            <w:shd w:val="clear" w:color="auto" w:fill="auto"/>
            <w:noWrap/>
            <w:vAlign w:val="bottom"/>
            <w:hideMark/>
          </w:tcPr>
          <w:p w14:paraId="0AC1AED3"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130.61</w:t>
            </w:r>
          </w:p>
        </w:tc>
        <w:tc>
          <w:tcPr>
            <w:tcW w:w="1020" w:type="dxa"/>
            <w:shd w:val="clear" w:color="auto" w:fill="auto"/>
            <w:noWrap/>
            <w:vAlign w:val="bottom"/>
            <w:hideMark/>
          </w:tcPr>
          <w:p w14:paraId="435C9D2F"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10.62</w:t>
            </w:r>
          </w:p>
        </w:tc>
        <w:tc>
          <w:tcPr>
            <w:tcW w:w="1020" w:type="dxa"/>
            <w:shd w:val="clear" w:color="auto" w:fill="auto"/>
            <w:noWrap/>
            <w:vAlign w:val="bottom"/>
            <w:hideMark/>
          </w:tcPr>
          <w:p w14:paraId="4F4CB539"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0.199</w:t>
            </w:r>
          </w:p>
        </w:tc>
        <w:tc>
          <w:tcPr>
            <w:tcW w:w="1020" w:type="dxa"/>
            <w:shd w:val="clear" w:color="auto" w:fill="auto"/>
            <w:noWrap/>
            <w:vAlign w:val="bottom"/>
            <w:hideMark/>
          </w:tcPr>
          <w:p w14:paraId="4CD11F5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0.199</w:t>
            </w:r>
          </w:p>
        </w:tc>
        <w:tc>
          <w:tcPr>
            <w:tcW w:w="1020" w:type="dxa"/>
            <w:shd w:val="clear" w:color="auto" w:fill="auto"/>
            <w:noWrap/>
            <w:vAlign w:val="bottom"/>
            <w:hideMark/>
          </w:tcPr>
          <w:p w14:paraId="0DABA84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0.888</w:t>
            </w:r>
          </w:p>
        </w:tc>
        <w:tc>
          <w:tcPr>
            <w:tcW w:w="1100" w:type="dxa"/>
            <w:shd w:val="clear" w:color="auto" w:fill="auto"/>
            <w:noWrap/>
            <w:vAlign w:val="bottom"/>
            <w:hideMark/>
          </w:tcPr>
          <w:p w14:paraId="0D630EE0"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6350FED1" w14:textId="77777777" w:rsidTr="00700745">
        <w:trPr>
          <w:trHeight w:val="302"/>
          <w:jc w:val="center"/>
        </w:trPr>
        <w:tc>
          <w:tcPr>
            <w:tcW w:w="1020" w:type="dxa"/>
            <w:shd w:val="clear" w:color="auto" w:fill="auto"/>
            <w:noWrap/>
            <w:vAlign w:val="center"/>
            <w:hideMark/>
          </w:tcPr>
          <w:p w14:paraId="6E89765E"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9</w:t>
            </w:r>
          </w:p>
        </w:tc>
        <w:tc>
          <w:tcPr>
            <w:tcW w:w="1020" w:type="dxa"/>
            <w:shd w:val="clear" w:color="auto" w:fill="auto"/>
            <w:noWrap/>
            <w:vAlign w:val="bottom"/>
            <w:hideMark/>
          </w:tcPr>
          <w:p w14:paraId="2A8ED662"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130.82</w:t>
            </w:r>
          </w:p>
        </w:tc>
        <w:tc>
          <w:tcPr>
            <w:tcW w:w="1020" w:type="dxa"/>
            <w:shd w:val="clear" w:color="auto" w:fill="auto"/>
            <w:noWrap/>
            <w:vAlign w:val="bottom"/>
            <w:hideMark/>
          </w:tcPr>
          <w:p w14:paraId="44C3262C"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10.62</w:t>
            </w:r>
          </w:p>
        </w:tc>
        <w:tc>
          <w:tcPr>
            <w:tcW w:w="1020" w:type="dxa"/>
            <w:shd w:val="clear" w:color="auto" w:fill="auto"/>
            <w:noWrap/>
            <w:vAlign w:val="bottom"/>
            <w:hideMark/>
          </w:tcPr>
          <w:p w14:paraId="3395CEC8"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0.906</w:t>
            </w:r>
          </w:p>
        </w:tc>
        <w:tc>
          <w:tcPr>
            <w:tcW w:w="1020" w:type="dxa"/>
            <w:shd w:val="clear" w:color="auto" w:fill="auto"/>
            <w:noWrap/>
            <w:vAlign w:val="bottom"/>
            <w:hideMark/>
          </w:tcPr>
          <w:p w14:paraId="152A911F"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0.906</w:t>
            </w:r>
          </w:p>
        </w:tc>
        <w:tc>
          <w:tcPr>
            <w:tcW w:w="1020" w:type="dxa"/>
            <w:shd w:val="clear" w:color="auto" w:fill="auto"/>
            <w:noWrap/>
            <w:vAlign w:val="bottom"/>
            <w:hideMark/>
          </w:tcPr>
          <w:p w14:paraId="1D0E0A29"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0.824</w:t>
            </w:r>
          </w:p>
        </w:tc>
        <w:tc>
          <w:tcPr>
            <w:tcW w:w="1100" w:type="dxa"/>
            <w:shd w:val="clear" w:color="auto" w:fill="auto"/>
            <w:noWrap/>
            <w:vAlign w:val="bottom"/>
            <w:hideMark/>
          </w:tcPr>
          <w:p w14:paraId="3EA88DB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1536B458" w14:textId="77777777" w:rsidTr="00700745">
        <w:trPr>
          <w:trHeight w:val="302"/>
          <w:jc w:val="center"/>
        </w:trPr>
        <w:tc>
          <w:tcPr>
            <w:tcW w:w="1020" w:type="dxa"/>
            <w:tcBorders>
              <w:bottom w:val="single" w:sz="4" w:space="0" w:color="auto"/>
            </w:tcBorders>
            <w:shd w:val="clear" w:color="000000" w:fill="FFFFFF"/>
            <w:noWrap/>
            <w:vAlign w:val="center"/>
            <w:hideMark/>
          </w:tcPr>
          <w:p w14:paraId="354C7C41"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10</w:t>
            </w:r>
          </w:p>
        </w:tc>
        <w:tc>
          <w:tcPr>
            <w:tcW w:w="1020" w:type="dxa"/>
            <w:tcBorders>
              <w:bottom w:val="single" w:sz="4" w:space="0" w:color="auto"/>
            </w:tcBorders>
            <w:shd w:val="clear" w:color="auto" w:fill="auto"/>
            <w:noWrap/>
            <w:vAlign w:val="bottom"/>
            <w:hideMark/>
          </w:tcPr>
          <w:p w14:paraId="5247ABC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130.69</w:t>
            </w:r>
          </w:p>
        </w:tc>
        <w:tc>
          <w:tcPr>
            <w:tcW w:w="1020" w:type="dxa"/>
            <w:tcBorders>
              <w:bottom w:val="single" w:sz="4" w:space="0" w:color="auto"/>
            </w:tcBorders>
            <w:shd w:val="clear" w:color="auto" w:fill="auto"/>
            <w:noWrap/>
            <w:vAlign w:val="bottom"/>
            <w:hideMark/>
          </w:tcPr>
          <w:p w14:paraId="22957C76"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10.82</w:t>
            </w:r>
          </w:p>
        </w:tc>
        <w:tc>
          <w:tcPr>
            <w:tcW w:w="1020" w:type="dxa"/>
            <w:tcBorders>
              <w:bottom w:val="single" w:sz="4" w:space="0" w:color="auto"/>
            </w:tcBorders>
            <w:shd w:val="clear" w:color="auto" w:fill="auto"/>
            <w:noWrap/>
            <w:vAlign w:val="bottom"/>
            <w:hideMark/>
          </w:tcPr>
          <w:p w14:paraId="07D1CE5D"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0.457</w:t>
            </w:r>
          </w:p>
        </w:tc>
        <w:tc>
          <w:tcPr>
            <w:tcW w:w="1020" w:type="dxa"/>
            <w:tcBorders>
              <w:bottom w:val="single" w:sz="4" w:space="0" w:color="auto"/>
            </w:tcBorders>
            <w:shd w:val="clear" w:color="auto" w:fill="auto"/>
            <w:noWrap/>
            <w:vAlign w:val="bottom"/>
            <w:hideMark/>
          </w:tcPr>
          <w:p w14:paraId="16E67A2A"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0.449</w:t>
            </w:r>
          </w:p>
        </w:tc>
        <w:tc>
          <w:tcPr>
            <w:tcW w:w="1020" w:type="dxa"/>
            <w:tcBorders>
              <w:bottom w:val="single" w:sz="4" w:space="0" w:color="auto"/>
            </w:tcBorders>
            <w:shd w:val="clear" w:color="auto" w:fill="auto"/>
            <w:noWrap/>
            <w:vAlign w:val="bottom"/>
            <w:hideMark/>
          </w:tcPr>
          <w:p w14:paraId="22E94F76"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0.086</w:t>
            </w:r>
          </w:p>
        </w:tc>
        <w:tc>
          <w:tcPr>
            <w:tcW w:w="1100" w:type="dxa"/>
            <w:tcBorders>
              <w:bottom w:val="single" w:sz="4" w:space="0" w:color="auto"/>
            </w:tcBorders>
            <w:shd w:val="clear" w:color="auto" w:fill="auto"/>
            <w:noWrap/>
            <w:vAlign w:val="bottom"/>
            <w:hideMark/>
          </w:tcPr>
          <w:p w14:paraId="6B9A302A"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bl>
    <w:p w14:paraId="43E9F85A" w14:textId="77777777" w:rsidR="00A22812" w:rsidRDefault="00A22812" w:rsidP="002B1FDF">
      <w:pPr>
        <w:spacing w:line="240" w:lineRule="auto"/>
        <w:rPr>
          <w:rFonts w:ascii="Arial" w:eastAsiaTheme="minorEastAsia" w:hAnsi="Arial" w:cs="Arial"/>
          <w:sz w:val="20"/>
          <w:szCs w:val="20"/>
        </w:rPr>
      </w:pPr>
    </w:p>
    <w:p w14:paraId="6A2BD24D" w14:textId="1165BC48" w:rsidR="00244002" w:rsidRDefault="003E0787" w:rsidP="00AF7131">
      <w:pPr>
        <w:spacing w:line="240" w:lineRule="auto"/>
        <w:jc w:val="both"/>
        <w:rPr>
          <w:rFonts w:ascii="Arial" w:eastAsiaTheme="minorEastAsia" w:hAnsi="Arial" w:cs="Arial"/>
          <w:sz w:val="20"/>
          <w:szCs w:val="20"/>
        </w:rPr>
      </w:pPr>
      <w:r w:rsidRPr="003E0787">
        <w:rPr>
          <w:rFonts w:ascii="Arial" w:eastAsiaTheme="minorEastAsia" w:hAnsi="Arial" w:cs="Arial"/>
          <w:sz w:val="20"/>
          <w:szCs w:val="20"/>
        </w:rPr>
        <w:t>The results in Table 1 clearly indicate that the mean of the SSDM for each of the ten runs (column 2, Table 1) closely approximates the mean of the SDM (130.8). The standard error of the SSDM (column 3, Table 1) is equal to or very close to the standard error of the SDM (10.64). The p-values from the T and Z tests (columns 6 and 7) provide no evidence to reject the null hypothesis that the mean of the SSDM equals the mean of the SDM at the 5% significance level. The p-value from the χ² test suggests that the standard error of the SSDM aligns with that of the SDM in most cases, except for run 3, where the p-value is 0.040</w:t>
      </w:r>
      <w:r w:rsidR="00460CB7">
        <w:rPr>
          <w:rFonts w:ascii="Arial" w:eastAsiaTheme="minorEastAsia" w:hAnsi="Arial" w:cs="Arial"/>
          <w:sz w:val="20"/>
          <w:szCs w:val="20"/>
        </w:rPr>
        <w:t xml:space="preserve">, </w:t>
      </w:r>
      <w:r w:rsidRPr="003E0787">
        <w:rPr>
          <w:rFonts w:ascii="Arial" w:eastAsiaTheme="minorEastAsia" w:hAnsi="Arial" w:cs="Arial"/>
          <w:sz w:val="20"/>
          <w:szCs w:val="20"/>
        </w:rPr>
        <w:t>slightly below the 0.05 threshold. This deviation may be attributed to the randomness inherent in the sampling procedure. The p-values from the Anderson-Darling tests indicate that the SSDM is not normally distributed, consistent with the non-normality of the SDM. Overall, the expectations regarding the SSDM’s conformity to the SDM appear to be well met.</w:t>
      </w:r>
    </w:p>
    <w:p w14:paraId="42552C67" w14:textId="1DA9AC63" w:rsidR="00AF7131" w:rsidRDefault="00AF7131" w:rsidP="00AF7131">
      <w:pPr>
        <w:spacing w:line="240" w:lineRule="auto"/>
        <w:jc w:val="both"/>
        <w:rPr>
          <w:rFonts w:ascii="Arial" w:eastAsiaTheme="minorEastAsia" w:hAnsi="Arial" w:cs="Arial"/>
          <w:sz w:val="20"/>
          <w:szCs w:val="20"/>
        </w:rPr>
      </w:pPr>
      <w:r>
        <w:rPr>
          <w:rFonts w:ascii="Arial" w:eastAsiaTheme="minorEastAsia" w:hAnsi="Arial" w:cs="Arial"/>
          <w:sz w:val="20"/>
          <w:szCs w:val="20"/>
        </w:rPr>
        <w:t>Noting</w:t>
      </w:r>
      <w:r w:rsidRPr="00CA3E67">
        <w:rPr>
          <w:rFonts w:ascii="Arial" w:eastAsiaTheme="minorEastAsia" w:hAnsi="Arial" w:cs="Arial"/>
          <w:sz w:val="20"/>
          <w:szCs w:val="20"/>
        </w:rPr>
        <w:t xml:space="preserve"> the characteristics of Population P</w:t>
      </w:r>
      <w:r>
        <w:rPr>
          <w:rFonts w:ascii="Arial" w:eastAsiaTheme="minorEastAsia" w:hAnsi="Arial" w:cs="Arial"/>
          <w:sz w:val="20"/>
          <w:szCs w:val="20"/>
        </w:rPr>
        <w:t>2</w:t>
      </w:r>
      <w:r w:rsidRPr="00CA3E67">
        <w:rPr>
          <w:rFonts w:ascii="Arial" w:eastAsiaTheme="minorEastAsia" w:hAnsi="Arial" w:cs="Arial"/>
          <w:sz w:val="20"/>
          <w:szCs w:val="20"/>
        </w:rPr>
        <w:t xml:space="preserve">​ from Example </w:t>
      </w:r>
      <w:r>
        <w:rPr>
          <w:rFonts w:ascii="Arial" w:eastAsiaTheme="minorEastAsia" w:hAnsi="Arial" w:cs="Arial"/>
          <w:sz w:val="20"/>
          <w:szCs w:val="20"/>
        </w:rPr>
        <w:t>2</w:t>
      </w:r>
      <w:r w:rsidRPr="00CA3E67">
        <w:rPr>
          <w:rFonts w:ascii="Arial" w:eastAsiaTheme="minorEastAsia" w:hAnsi="Arial" w:cs="Arial"/>
          <w:sz w:val="20"/>
          <w:szCs w:val="20"/>
        </w:rPr>
        <w:t xml:space="preserve">, we expect the mean and standard error of the SSDM to align with those of the SDM, </w:t>
      </w:r>
      <w:r>
        <w:rPr>
          <w:rFonts w:ascii="Arial" w:eastAsiaTheme="minorEastAsia" w:hAnsi="Arial" w:cs="Arial"/>
          <w:sz w:val="20"/>
          <w:szCs w:val="20"/>
        </w:rPr>
        <w:t>and</w:t>
      </w:r>
      <w:r w:rsidRPr="00CA3E67">
        <w:rPr>
          <w:rFonts w:ascii="Arial" w:eastAsiaTheme="minorEastAsia" w:hAnsi="Arial" w:cs="Arial"/>
          <w:sz w:val="20"/>
          <w:szCs w:val="20"/>
        </w:rPr>
        <w:t xml:space="preserve"> </w:t>
      </w:r>
      <w:r w:rsidR="00460CB7" w:rsidRPr="009B429E">
        <w:rPr>
          <w:rFonts w:ascii="Arial" w:eastAsiaTheme="minorEastAsia" w:hAnsi="Arial" w:cs="Arial"/>
          <w:sz w:val="20"/>
          <w:szCs w:val="20"/>
          <w:highlight w:val="yellow"/>
        </w:rPr>
        <w:t>the</w:t>
      </w:r>
      <w:r w:rsidR="00460CB7">
        <w:rPr>
          <w:rFonts w:ascii="Arial" w:eastAsiaTheme="minorEastAsia" w:hAnsi="Arial" w:cs="Arial"/>
          <w:sz w:val="20"/>
          <w:szCs w:val="20"/>
        </w:rPr>
        <w:t xml:space="preserve"> </w:t>
      </w:r>
      <w:r w:rsidRPr="00CA3E67">
        <w:rPr>
          <w:rFonts w:ascii="Arial" w:eastAsiaTheme="minorEastAsia" w:hAnsi="Arial" w:cs="Arial"/>
          <w:sz w:val="20"/>
          <w:szCs w:val="20"/>
        </w:rPr>
        <w:t>SDM or the SSDM to be normally distributed, which corresponds to test</w:t>
      </w:r>
      <w:r>
        <w:rPr>
          <w:rFonts w:ascii="Arial" w:eastAsiaTheme="minorEastAsia" w:hAnsi="Arial" w:cs="Arial"/>
          <w:sz w:val="20"/>
          <w:szCs w:val="20"/>
        </w:rPr>
        <w:t>s</w:t>
      </w:r>
      <w:r w:rsidRPr="00CA3E67">
        <w:rPr>
          <w:rFonts w:ascii="Arial" w:eastAsiaTheme="minorEastAsia" w:hAnsi="Arial" w:cs="Arial"/>
          <w:sz w:val="20"/>
          <w:szCs w:val="20"/>
        </w:rPr>
        <w:t xml:space="preserve"> </w:t>
      </w:r>
      <w:r>
        <w:rPr>
          <w:rFonts w:ascii="Arial" w:eastAsiaTheme="minorEastAsia" w:hAnsi="Arial" w:cs="Arial"/>
          <w:sz w:val="20"/>
          <w:szCs w:val="20"/>
        </w:rPr>
        <w:t>(a)-</w:t>
      </w:r>
      <w:r w:rsidRPr="00CA3E67">
        <w:rPr>
          <w:rFonts w:ascii="Arial" w:eastAsiaTheme="minorEastAsia" w:hAnsi="Arial" w:cs="Arial"/>
          <w:sz w:val="20"/>
          <w:szCs w:val="20"/>
        </w:rPr>
        <w:t xml:space="preserve">(c) as specified in Example </w:t>
      </w:r>
      <w:r>
        <w:rPr>
          <w:rFonts w:ascii="Arial" w:eastAsiaTheme="minorEastAsia" w:hAnsi="Arial" w:cs="Arial"/>
          <w:sz w:val="20"/>
          <w:szCs w:val="20"/>
        </w:rPr>
        <w:t>2</w:t>
      </w:r>
      <w:r w:rsidRPr="00CA3E67">
        <w:rPr>
          <w:rFonts w:ascii="Arial" w:eastAsiaTheme="minorEastAsia" w:hAnsi="Arial" w:cs="Arial"/>
          <w:sz w:val="20"/>
          <w:szCs w:val="20"/>
        </w:rPr>
        <w:t xml:space="preserve">. To evaluate these expectations, refer to the results from 10 runs of the SSDM reported in Table </w:t>
      </w:r>
      <w:r>
        <w:rPr>
          <w:rFonts w:ascii="Arial" w:eastAsiaTheme="minorEastAsia" w:hAnsi="Arial" w:cs="Arial"/>
          <w:sz w:val="20"/>
          <w:szCs w:val="20"/>
        </w:rPr>
        <w:t>2</w:t>
      </w:r>
      <w:r w:rsidRPr="00CA3E67">
        <w:rPr>
          <w:rFonts w:ascii="Arial" w:eastAsiaTheme="minorEastAsia" w:hAnsi="Arial" w:cs="Arial"/>
          <w:sz w:val="20"/>
          <w:szCs w:val="20"/>
        </w:rPr>
        <w:t>.</w:t>
      </w:r>
    </w:p>
    <w:p w14:paraId="589536B8" w14:textId="1B0B8720" w:rsidR="00AF7131" w:rsidRDefault="00AF7131" w:rsidP="00AF7131">
      <w:pPr>
        <w:spacing w:line="240" w:lineRule="auto"/>
        <w:jc w:val="both"/>
        <w:rPr>
          <w:rFonts w:ascii="Arial" w:eastAsiaTheme="minorEastAsia" w:hAnsi="Arial" w:cs="Arial"/>
          <w:sz w:val="20"/>
          <w:szCs w:val="20"/>
        </w:rPr>
      </w:pPr>
      <w:r>
        <w:rPr>
          <w:rFonts w:ascii="Arial" w:eastAsiaTheme="minorEastAsia" w:hAnsi="Arial" w:cs="Arial"/>
          <w:sz w:val="20"/>
          <w:szCs w:val="20"/>
        </w:rPr>
        <w:t>Table 2. Results of ten separate runs of SSDM for tests (a)-(c) for population P2 of Example 2</w:t>
      </w:r>
      <w:r w:rsidRPr="005E2DB9">
        <w:rPr>
          <w:rFonts w:ascii="Arial" w:eastAsiaTheme="minorEastAsia" w:hAnsi="Arial" w:cs="Arial"/>
          <w:sz w:val="20"/>
          <w:szCs w:val="20"/>
        </w:rPr>
        <w:t>.</w:t>
      </w:r>
    </w:p>
    <w:tbl>
      <w:tblPr>
        <w:tblW w:w="7220" w:type="dxa"/>
        <w:jc w:val="center"/>
        <w:tblLook w:val="04A0" w:firstRow="1" w:lastRow="0" w:firstColumn="1" w:lastColumn="0" w:noHBand="0" w:noVBand="1"/>
      </w:tblPr>
      <w:tblGrid>
        <w:gridCol w:w="1020"/>
        <w:gridCol w:w="1020"/>
        <w:gridCol w:w="1020"/>
        <w:gridCol w:w="1020"/>
        <w:gridCol w:w="1020"/>
        <w:gridCol w:w="1020"/>
        <w:gridCol w:w="1100"/>
      </w:tblGrid>
      <w:tr w:rsidR="00700745" w:rsidRPr="00A22812" w14:paraId="59C4CAA8" w14:textId="77777777" w:rsidTr="00700745">
        <w:trPr>
          <w:trHeight w:val="302"/>
          <w:jc w:val="center"/>
        </w:trPr>
        <w:tc>
          <w:tcPr>
            <w:tcW w:w="1020" w:type="dxa"/>
            <w:tcBorders>
              <w:top w:val="single" w:sz="4" w:space="0" w:color="auto"/>
              <w:bottom w:val="single" w:sz="4" w:space="0" w:color="auto"/>
            </w:tcBorders>
            <w:shd w:val="clear" w:color="auto" w:fill="auto"/>
            <w:noWrap/>
            <w:vAlign w:val="center"/>
            <w:hideMark/>
          </w:tcPr>
          <w:p w14:paraId="7BB1FC52"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Runs</w:t>
            </w:r>
          </w:p>
        </w:tc>
        <w:tc>
          <w:tcPr>
            <w:tcW w:w="1020" w:type="dxa"/>
            <w:tcBorders>
              <w:top w:val="single" w:sz="4" w:space="0" w:color="auto"/>
              <w:bottom w:val="single" w:sz="4" w:space="0" w:color="auto"/>
            </w:tcBorders>
            <w:shd w:val="clear" w:color="auto" w:fill="auto"/>
            <w:noWrap/>
            <w:vAlign w:val="center"/>
            <w:hideMark/>
          </w:tcPr>
          <w:p w14:paraId="7629C521" w14:textId="6B5D19E5" w:rsidR="00700745" w:rsidRPr="00A22812" w:rsidRDefault="00000000" w:rsidP="002454B6">
            <w:pPr>
              <w:spacing w:after="0" w:line="240" w:lineRule="auto"/>
              <w:jc w:val="center"/>
              <w:rPr>
                <w:rFonts w:ascii="Arial" w:eastAsia="Times New Roman" w:hAnsi="Arial" w:cs="Arial"/>
                <w:color w:val="333333"/>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oMath>
            </m:oMathPara>
          </w:p>
        </w:tc>
        <w:tc>
          <w:tcPr>
            <w:tcW w:w="1020" w:type="dxa"/>
            <w:tcBorders>
              <w:top w:val="single" w:sz="4" w:space="0" w:color="auto"/>
              <w:bottom w:val="single" w:sz="4" w:space="0" w:color="auto"/>
            </w:tcBorders>
            <w:shd w:val="clear" w:color="auto" w:fill="auto"/>
            <w:noWrap/>
            <w:vAlign w:val="bottom"/>
            <w:hideMark/>
          </w:tcPr>
          <w:p w14:paraId="3B7C8032" w14:textId="2F9265DB" w:rsidR="00700745" w:rsidRPr="00A22812" w:rsidRDefault="00000000" w:rsidP="002454B6">
            <w:pPr>
              <w:spacing w:after="0" w:line="240" w:lineRule="auto"/>
              <w:jc w:val="center"/>
              <w:rPr>
                <w:rFonts w:ascii="Arial" w:eastAsia="Times New Roman" w:hAnsi="Arial" w:cs="Arial"/>
                <w:color w:val="000000"/>
                <w:sz w:val="20"/>
                <w:szCs w:val="20"/>
              </w:rPr>
            </w:pPr>
            <m:oMathPara>
              <m:oMath>
                <m:acc>
                  <m:accPr>
                    <m:chr m:val="̃"/>
                    <m:ctrlPr>
                      <w:rPr>
                        <w:rFonts w:ascii="Cambria Math" w:hAnsi="Cambria Math" w:cs="Arial"/>
                        <w:i/>
                        <w:sz w:val="20"/>
                        <w:szCs w:val="20"/>
                      </w:rPr>
                    </m:ctrlPr>
                  </m:accPr>
                  <m:e>
                    <m:r>
                      <w:rPr>
                        <w:rFonts w:ascii="Cambria Math" w:hAnsi="Cambria Math" w:cs="Arial"/>
                        <w:sz w:val="20"/>
                        <w:szCs w:val="20"/>
                      </w:rPr>
                      <m:t>s</m:t>
                    </m:r>
                  </m:e>
                </m:acc>
              </m:oMath>
            </m:oMathPara>
          </w:p>
        </w:tc>
        <w:tc>
          <w:tcPr>
            <w:tcW w:w="1020" w:type="dxa"/>
            <w:tcBorders>
              <w:top w:val="single" w:sz="4" w:space="0" w:color="auto"/>
              <w:bottom w:val="single" w:sz="4" w:space="0" w:color="auto"/>
            </w:tcBorders>
            <w:shd w:val="clear" w:color="auto" w:fill="auto"/>
            <w:noWrap/>
            <w:vAlign w:val="bottom"/>
            <w:hideMark/>
          </w:tcPr>
          <w:p w14:paraId="1DD6F557" w14:textId="2FD3C4AD"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t.pval</w:t>
            </w:r>
            <w:proofErr w:type="spellEnd"/>
            <w:proofErr w:type="gramEnd"/>
          </w:p>
        </w:tc>
        <w:tc>
          <w:tcPr>
            <w:tcW w:w="1020" w:type="dxa"/>
            <w:tcBorders>
              <w:top w:val="single" w:sz="4" w:space="0" w:color="auto"/>
              <w:bottom w:val="single" w:sz="4" w:space="0" w:color="auto"/>
            </w:tcBorders>
            <w:shd w:val="clear" w:color="auto" w:fill="auto"/>
            <w:noWrap/>
            <w:vAlign w:val="bottom"/>
            <w:hideMark/>
          </w:tcPr>
          <w:p w14:paraId="5A8ECA25" w14:textId="576F6814"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z.pval</w:t>
            </w:r>
            <w:proofErr w:type="spellEnd"/>
            <w:proofErr w:type="gramEnd"/>
          </w:p>
        </w:tc>
        <w:tc>
          <w:tcPr>
            <w:tcW w:w="1020" w:type="dxa"/>
            <w:tcBorders>
              <w:top w:val="single" w:sz="4" w:space="0" w:color="auto"/>
              <w:bottom w:val="single" w:sz="4" w:space="0" w:color="auto"/>
            </w:tcBorders>
            <w:shd w:val="clear" w:color="auto" w:fill="auto"/>
            <w:noWrap/>
            <w:vAlign w:val="bottom"/>
            <w:hideMark/>
          </w:tcPr>
          <w:p w14:paraId="32EDC87B" w14:textId="49E747DB" w:rsidR="00700745" w:rsidRPr="00A22812" w:rsidRDefault="00000000" w:rsidP="002454B6">
            <w:pPr>
              <w:spacing w:after="0" w:line="240" w:lineRule="auto"/>
              <w:jc w:val="center"/>
              <w:rPr>
                <w:rFonts w:ascii="Arial" w:eastAsia="Times New Roman" w:hAnsi="Arial" w:cs="Arial"/>
                <w:color w:val="000000"/>
                <w:sz w:val="20"/>
                <w:szCs w:val="20"/>
              </w:rPr>
            </w:pPr>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oMath>
            <w:proofErr w:type="gramStart"/>
            <w:r w:rsidR="00700745" w:rsidRPr="00A22812">
              <w:rPr>
                <w:rFonts w:ascii="Arial" w:eastAsia="Times New Roman" w:hAnsi="Arial" w:cs="Arial"/>
                <w:color w:val="000000"/>
                <w:sz w:val="20"/>
                <w:szCs w:val="20"/>
              </w:rPr>
              <w:t>.pval</w:t>
            </w:r>
            <w:proofErr w:type="gramEnd"/>
          </w:p>
        </w:tc>
        <w:tc>
          <w:tcPr>
            <w:tcW w:w="1100" w:type="dxa"/>
            <w:tcBorders>
              <w:top w:val="single" w:sz="4" w:space="0" w:color="auto"/>
              <w:bottom w:val="single" w:sz="4" w:space="0" w:color="auto"/>
            </w:tcBorders>
            <w:shd w:val="clear" w:color="auto" w:fill="auto"/>
            <w:noWrap/>
            <w:vAlign w:val="bottom"/>
            <w:hideMark/>
          </w:tcPr>
          <w:p w14:paraId="6730E4C2" w14:textId="0FA229C0"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Pr>
                <w:rFonts w:ascii="Arial" w:eastAsia="Times New Roman" w:hAnsi="Arial" w:cs="Arial"/>
                <w:color w:val="000000"/>
                <w:sz w:val="20"/>
                <w:szCs w:val="20"/>
              </w:rPr>
              <w:t>norm</w:t>
            </w:r>
            <w:r w:rsidRPr="00A22812">
              <w:rPr>
                <w:rFonts w:ascii="Arial" w:eastAsia="Times New Roman" w:hAnsi="Arial" w:cs="Arial"/>
                <w:color w:val="000000"/>
                <w:sz w:val="20"/>
                <w:szCs w:val="20"/>
              </w:rPr>
              <w:t>.pval</w:t>
            </w:r>
            <w:proofErr w:type="spellEnd"/>
            <w:proofErr w:type="gramEnd"/>
          </w:p>
        </w:tc>
      </w:tr>
      <w:tr w:rsidR="00700745" w:rsidRPr="00A22812" w14:paraId="7B598E32" w14:textId="77777777" w:rsidTr="00700745">
        <w:trPr>
          <w:trHeight w:val="302"/>
          <w:jc w:val="center"/>
        </w:trPr>
        <w:tc>
          <w:tcPr>
            <w:tcW w:w="1020" w:type="dxa"/>
            <w:tcBorders>
              <w:top w:val="single" w:sz="4" w:space="0" w:color="auto"/>
            </w:tcBorders>
            <w:shd w:val="clear" w:color="auto" w:fill="auto"/>
            <w:noWrap/>
            <w:vAlign w:val="center"/>
            <w:hideMark/>
          </w:tcPr>
          <w:p w14:paraId="6D9F6340"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1</w:t>
            </w:r>
          </w:p>
        </w:tc>
        <w:tc>
          <w:tcPr>
            <w:tcW w:w="1020" w:type="dxa"/>
            <w:tcBorders>
              <w:top w:val="single" w:sz="4" w:space="0" w:color="auto"/>
            </w:tcBorders>
            <w:shd w:val="clear" w:color="auto" w:fill="auto"/>
            <w:noWrap/>
            <w:vAlign w:val="bottom"/>
            <w:hideMark/>
          </w:tcPr>
          <w:p w14:paraId="16AF6E63" w14:textId="5D346F54"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14.73</w:t>
            </w:r>
          </w:p>
        </w:tc>
        <w:tc>
          <w:tcPr>
            <w:tcW w:w="1020" w:type="dxa"/>
            <w:tcBorders>
              <w:top w:val="single" w:sz="4" w:space="0" w:color="auto"/>
            </w:tcBorders>
            <w:shd w:val="clear" w:color="auto" w:fill="auto"/>
            <w:noWrap/>
            <w:vAlign w:val="bottom"/>
            <w:hideMark/>
          </w:tcPr>
          <w:p w14:paraId="632A813D" w14:textId="73FB9357"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0.45</w:t>
            </w:r>
          </w:p>
        </w:tc>
        <w:tc>
          <w:tcPr>
            <w:tcW w:w="1020" w:type="dxa"/>
            <w:tcBorders>
              <w:top w:val="single" w:sz="4" w:space="0" w:color="auto"/>
            </w:tcBorders>
            <w:shd w:val="clear" w:color="auto" w:fill="auto"/>
            <w:noWrap/>
            <w:vAlign w:val="bottom"/>
            <w:hideMark/>
          </w:tcPr>
          <w:p w14:paraId="1EDC85C0" w14:textId="7D27A2B6"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0.206</w:t>
            </w:r>
          </w:p>
        </w:tc>
        <w:tc>
          <w:tcPr>
            <w:tcW w:w="1020" w:type="dxa"/>
            <w:tcBorders>
              <w:top w:val="single" w:sz="4" w:space="0" w:color="auto"/>
            </w:tcBorders>
            <w:shd w:val="clear" w:color="auto" w:fill="auto"/>
            <w:noWrap/>
            <w:vAlign w:val="bottom"/>
            <w:hideMark/>
          </w:tcPr>
          <w:p w14:paraId="0D03E1AF" w14:textId="54B4BF8B"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0.202</w:t>
            </w:r>
          </w:p>
        </w:tc>
        <w:tc>
          <w:tcPr>
            <w:tcW w:w="1020" w:type="dxa"/>
            <w:tcBorders>
              <w:top w:val="single" w:sz="4" w:space="0" w:color="auto"/>
            </w:tcBorders>
            <w:shd w:val="clear" w:color="auto" w:fill="auto"/>
            <w:noWrap/>
            <w:vAlign w:val="bottom"/>
            <w:hideMark/>
          </w:tcPr>
          <w:p w14:paraId="68F59C43" w14:textId="69DD648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0.380</w:t>
            </w:r>
          </w:p>
        </w:tc>
        <w:tc>
          <w:tcPr>
            <w:tcW w:w="1100" w:type="dxa"/>
            <w:tcBorders>
              <w:top w:val="single" w:sz="4" w:space="0" w:color="auto"/>
            </w:tcBorders>
            <w:shd w:val="clear" w:color="auto" w:fill="auto"/>
            <w:noWrap/>
            <w:vAlign w:val="bottom"/>
            <w:hideMark/>
          </w:tcPr>
          <w:p w14:paraId="31789E31" w14:textId="655D7E39"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0.340</w:t>
            </w:r>
          </w:p>
        </w:tc>
      </w:tr>
      <w:tr w:rsidR="00700745" w:rsidRPr="00A22812" w14:paraId="7CB9AA87" w14:textId="77777777" w:rsidTr="00700745">
        <w:trPr>
          <w:trHeight w:val="302"/>
          <w:jc w:val="center"/>
        </w:trPr>
        <w:tc>
          <w:tcPr>
            <w:tcW w:w="1020" w:type="dxa"/>
            <w:shd w:val="clear" w:color="auto" w:fill="auto"/>
            <w:noWrap/>
            <w:vAlign w:val="center"/>
            <w:hideMark/>
          </w:tcPr>
          <w:p w14:paraId="35B1108C"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2</w:t>
            </w:r>
          </w:p>
        </w:tc>
        <w:tc>
          <w:tcPr>
            <w:tcW w:w="1020" w:type="dxa"/>
            <w:shd w:val="clear" w:color="auto" w:fill="auto"/>
            <w:noWrap/>
            <w:vAlign w:val="bottom"/>
            <w:hideMark/>
          </w:tcPr>
          <w:p w14:paraId="64D4926A" w14:textId="3FDEEF7E"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4A01D841" w14:textId="3A1AA10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0.45</w:t>
            </w:r>
          </w:p>
        </w:tc>
        <w:tc>
          <w:tcPr>
            <w:tcW w:w="1020" w:type="dxa"/>
            <w:shd w:val="clear" w:color="auto" w:fill="auto"/>
            <w:noWrap/>
            <w:vAlign w:val="bottom"/>
            <w:hideMark/>
          </w:tcPr>
          <w:p w14:paraId="66C583CC" w14:textId="4249ED22"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0.783</w:t>
            </w:r>
          </w:p>
        </w:tc>
        <w:tc>
          <w:tcPr>
            <w:tcW w:w="1020" w:type="dxa"/>
            <w:shd w:val="clear" w:color="auto" w:fill="auto"/>
            <w:noWrap/>
            <w:vAlign w:val="bottom"/>
            <w:hideMark/>
          </w:tcPr>
          <w:p w14:paraId="425E1DA0" w14:textId="0ED0D9B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0.779</w:t>
            </w:r>
          </w:p>
        </w:tc>
        <w:tc>
          <w:tcPr>
            <w:tcW w:w="1020" w:type="dxa"/>
            <w:shd w:val="clear" w:color="auto" w:fill="auto"/>
            <w:noWrap/>
            <w:vAlign w:val="bottom"/>
            <w:hideMark/>
          </w:tcPr>
          <w:p w14:paraId="2FA347E9" w14:textId="41D172A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0.058</w:t>
            </w:r>
          </w:p>
        </w:tc>
        <w:tc>
          <w:tcPr>
            <w:tcW w:w="1100" w:type="dxa"/>
            <w:shd w:val="clear" w:color="auto" w:fill="auto"/>
            <w:noWrap/>
            <w:vAlign w:val="bottom"/>
            <w:hideMark/>
          </w:tcPr>
          <w:p w14:paraId="260A85BF" w14:textId="117AD872"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0.507</w:t>
            </w:r>
          </w:p>
        </w:tc>
      </w:tr>
      <w:tr w:rsidR="00700745" w:rsidRPr="00A22812" w14:paraId="7A54F9FF" w14:textId="77777777" w:rsidTr="00700745">
        <w:trPr>
          <w:trHeight w:val="302"/>
          <w:jc w:val="center"/>
        </w:trPr>
        <w:tc>
          <w:tcPr>
            <w:tcW w:w="1020" w:type="dxa"/>
            <w:shd w:val="clear" w:color="auto" w:fill="auto"/>
            <w:noWrap/>
            <w:vAlign w:val="center"/>
            <w:hideMark/>
          </w:tcPr>
          <w:p w14:paraId="79CFFB72"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3</w:t>
            </w:r>
          </w:p>
        </w:tc>
        <w:tc>
          <w:tcPr>
            <w:tcW w:w="1020" w:type="dxa"/>
            <w:shd w:val="clear" w:color="auto" w:fill="auto"/>
            <w:noWrap/>
            <w:vAlign w:val="bottom"/>
            <w:hideMark/>
          </w:tcPr>
          <w:p w14:paraId="3AEE2EBD" w14:textId="76AFD91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14.73</w:t>
            </w:r>
          </w:p>
        </w:tc>
        <w:tc>
          <w:tcPr>
            <w:tcW w:w="1020" w:type="dxa"/>
            <w:shd w:val="clear" w:color="auto" w:fill="auto"/>
            <w:noWrap/>
            <w:vAlign w:val="bottom"/>
            <w:hideMark/>
          </w:tcPr>
          <w:p w14:paraId="5E83D8E8" w14:textId="208077B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410C8E26" w14:textId="000FB88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0.057</w:t>
            </w:r>
          </w:p>
        </w:tc>
        <w:tc>
          <w:tcPr>
            <w:tcW w:w="1020" w:type="dxa"/>
            <w:shd w:val="clear" w:color="auto" w:fill="auto"/>
            <w:noWrap/>
            <w:vAlign w:val="bottom"/>
            <w:hideMark/>
          </w:tcPr>
          <w:p w14:paraId="19B620F9" w14:textId="3B1E695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0.057</w:t>
            </w:r>
          </w:p>
        </w:tc>
        <w:tc>
          <w:tcPr>
            <w:tcW w:w="1020" w:type="dxa"/>
            <w:shd w:val="clear" w:color="auto" w:fill="auto"/>
            <w:noWrap/>
            <w:vAlign w:val="bottom"/>
            <w:hideMark/>
          </w:tcPr>
          <w:p w14:paraId="7B1BA9C6" w14:textId="54AFC902" w:rsidR="00700745" w:rsidRPr="00A22812" w:rsidRDefault="00700745" w:rsidP="002454B6">
            <w:pPr>
              <w:spacing w:after="0" w:line="240" w:lineRule="auto"/>
              <w:jc w:val="center"/>
              <w:rPr>
                <w:rFonts w:ascii="Arial" w:eastAsia="Times New Roman" w:hAnsi="Arial" w:cs="Arial"/>
                <w:color w:val="FF0000"/>
                <w:sz w:val="20"/>
                <w:szCs w:val="20"/>
              </w:rPr>
            </w:pPr>
            <w:r>
              <w:rPr>
                <w:rFonts w:ascii="Aptos Narrow" w:hAnsi="Aptos Narrow"/>
                <w:color w:val="000000"/>
              </w:rPr>
              <w:t>0.994</w:t>
            </w:r>
          </w:p>
        </w:tc>
        <w:tc>
          <w:tcPr>
            <w:tcW w:w="1100" w:type="dxa"/>
            <w:shd w:val="clear" w:color="auto" w:fill="auto"/>
            <w:noWrap/>
            <w:vAlign w:val="bottom"/>
            <w:hideMark/>
          </w:tcPr>
          <w:p w14:paraId="6F4D0F68" w14:textId="203EDC9B"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0.458</w:t>
            </w:r>
          </w:p>
        </w:tc>
      </w:tr>
      <w:tr w:rsidR="00700745" w:rsidRPr="00A22812" w14:paraId="56C6573D" w14:textId="77777777" w:rsidTr="00700745">
        <w:trPr>
          <w:trHeight w:val="302"/>
          <w:jc w:val="center"/>
        </w:trPr>
        <w:tc>
          <w:tcPr>
            <w:tcW w:w="1020" w:type="dxa"/>
            <w:shd w:val="clear" w:color="auto" w:fill="auto"/>
            <w:noWrap/>
            <w:vAlign w:val="center"/>
            <w:hideMark/>
          </w:tcPr>
          <w:p w14:paraId="29079729"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4</w:t>
            </w:r>
          </w:p>
        </w:tc>
        <w:tc>
          <w:tcPr>
            <w:tcW w:w="1020" w:type="dxa"/>
            <w:shd w:val="clear" w:color="auto" w:fill="auto"/>
            <w:noWrap/>
            <w:vAlign w:val="bottom"/>
            <w:hideMark/>
          </w:tcPr>
          <w:p w14:paraId="233ECC8C" w14:textId="2E71148D"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14.74</w:t>
            </w:r>
          </w:p>
        </w:tc>
        <w:tc>
          <w:tcPr>
            <w:tcW w:w="1020" w:type="dxa"/>
            <w:shd w:val="clear" w:color="auto" w:fill="auto"/>
            <w:noWrap/>
            <w:vAlign w:val="bottom"/>
            <w:hideMark/>
          </w:tcPr>
          <w:p w14:paraId="3B39E9BB" w14:textId="5B6D9193"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0.44</w:t>
            </w:r>
          </w:p>
        </w:tc>
        <w:tc>
          <w:tcPr>
            <w:tcW w:w="1020" w:type="dxa"/>
            <w:shd w:val="clear" w:color="auto" w:fill="auto"/>
            <w:noWrap/>
            <w:vAlign w:val="bottom"/>
            <w:hideMark/>
          </w:tcPr>
          <w:p w14:paraId="572AA43D" w14:textId="521B888D"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0.599</w:t>
            </w:r>
          </w:p>
        </w:tc>
        <w:tc>
          <w:tcPr>
            <w:tcW w:w="1020" w:type="dxa"/>
            <w:shd w:val="clear" w:color="auto" w:fill="auto"/>
            <w:noWrap/>
            <w:vAlign w:val="bottom"/>
            <w:hideMark/>
          </w:tcPr>
          <w:p w14:paraId="19EB9885" w14:textId="4558D251"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0.602</w:t>
            </w:r>
          </w:p>
        </w:tc>
        <w:tc>
          <w:tcPr>
            <w:tcW w:w="1020" w:type="dxa"/>
            <w:shd w:val="clear" w:color="auto" w:fill="auto"/>
            <w:noWrap/>
            <w:vAlign w:val="bottom"/>
            <w:hideMark/>
          </w:tcPr>
          <w:p w14:paraId="7E46F06B" w14:textId="5F097025"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0.426</w:t>
            </w:r>
          </w:p>
        </w:tc>
        <w:tc>
          <w:tcPr>
            <w:tcW w:w="1100" w:type="dxa"/>
            <w:shd w:val="clear" w:color="auto" w:fill="auto"/>
            <w:noWrap/>
            <w:vAlign w:val="bottom"/>
            <w:hideMark/>
          </w:tcPr>
          <w:p w14:paraId="02822B5E" w14:textId="55F38DC1" w:rsidR="00700745" w:rsidRPr="00A22812" w:rsidRDefault="00700745" w:rsidP="002454B6">
            <w:pPr>
              <w:spacing w:after="0" w:line="240" w:lineRule="auto"/>
              <w:jc w:val="center"/>
              <w:rPr>
                <w:rFonts w:ascii="Arial" w:eastAsia="Times New Roman" w:hAnsi="Arial" w:cs="Arial"/>
                <w:sz w:val="20"/>
                <w:szCs w:val="20"/>
              </w:rPr>
            </w:pPr>
            <w:r w:rsidRPr="003E3647">
              <w:rPr>
                <w:rFonts w:ascii="Aptos Narrow" w:hAnsi="Aptos Narrow"/>
              </w:rPr>
              <w:t>0.045</w:t>
            </w:r>
          </w:p>
        </w:tc>
      </w:tr>
      <w:tr w:rsidR="00700745" w:rsidRPr="00A22812" w14:paraId="0320268C" w14:textId="77777777" w:rsidTr="00700745">
        <w:trPr>
          <w:trHeight w:val="302"/>
          <w:jc w:val="center"/>
        </w:trPr>
        <w:tc>
          <w:tcPr>
            <w:tcW w:w="1020" w:type="dxa"/>
            <w:shd w:val="clear" w:color="auto" w:fill="auto"/>
            <w:noWrap/>
            <w:vAlign w:val="center"/>
            <w:hideMark/>
          </w:tcPr>
          <w:p w14:paraId="120DB1CE"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5</w:t>
            </w:r>
          </w:p>
        </w:tc>
        <w:tc>
          <w:tcPr>
            <w:tcW w:w="1020" w:type="dxa"/>
            <w:shd w:val="clear" w:color="auto" w:fill="auto"/>
            <w:noWrap/>
            <w:vAlign w:val="bottom"/>
            <w:hideMark/>
          </w:tcPr>
          <w:p w14:paraId="326AF2DE" w14:textId="2A47EFD1"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14.75</w:t>
            </w:r>
          </w:p>
        </w:tc>
        <w:tc>
          <w:tcPr>
            <w:tcW w:w="1020" w:type="dxa"/>
            <w:shd w:val="clear" w:color="auto" w:fill="auto"/>
            <w:noWrap/>
            <w:vAlign w:val="bottom"/>
            <w:hideMark/>
          </w:tcPr>
          <w:p w14:paraId="4BF40FFB" w14:textId="2307AA9B"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1D696265" w14:textId="13785E3F"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0.555</w:t>
            </w:r>
          </w:p>
        </w:tc>
        <w:tc>
          <w:tcPr>
            <w:tcW w:w="1020" w:type="dxa"/>
            <w:shd w:val="clear" w:color="auto" w:fill="auto"/>
            <w:noWrap/>
            <w:vAlign w:val="bottom"/>
            <w:hideMark/>
          </w:tcPr>
          <w:p w14:paraId="6EF08897" w14:textId="05069C38"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0.556</w:t>
            </w:r>
          </w:p>
        </w:tc>
        <w:tc>
          <w:tcPr>
            <w:tcW w:w="1020" w:type="dxa"/>
            <w:shd w:val="clear" w:color="auto" w:fill="auto"/>
            <w:noWrap/>
            <w:vAlign w:val="bottom"/>
            <w:hideMark/>
          </w:tcPr>
          <w:p w14:paraId="1CB50923" w14:textId="4A73E2C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0.889</w:t>
            </w:r>
          </w:p>
        </w:tc>
        <w:tc>
          <w:tcPr>
            <w:tcW w:w="1100" w:type="dxa"/>
            <w:shd w:val="clear" w:color="auto" w:fill="auto"/>
            <w:noWrap/>
            <w:vAlign w:val="bottom"/>
            <w:hideMark/>
          </w:tcPr>
          <w:p w14:paraId="682C35FD" w14:textId="6745BBD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0.282</w:t>
            </w:r>
          </w:p>
        </w:tc>
      </w:tr>
      <w:tr w:rsidR="00700745" w:rsidRPr="00A22812" w14:paraId="4075C90D" w14:textId="77777777" w:rsidTr="00700745">
        <w:trPr>
          <w:trHeight w:val="302"/>
          <w:jc w:val="center"/>
        </w:trPr>
        <w:tc>
          <w:tcPr>
            <w:tcW w:w="1020" w:type="dxa"/>
            <w:shd w:val="clear" w:color="auto" w:fill="auto"/>
            <w:noWrap/>
            <w:vAlign w:val="center"/>
            <w:hideMark/>
          </w:tcPr>
          <w:p w14:paraId="0373711A"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6</w:t>
            </w:r>
          </w:p>
        </w:tc>
        <w:tc>
          <w:tcPr>
            <w:tcW w:w="1020" w:type="dxa"/>
            <w:shd w:val="clear" w:color="auto" w:fill="auto"/>
            <w:noWrap/>
            <w:vAlign w:val="bottom"/>
            <w:hideMark/>
          </w:tcPr>
          <w:p w14:paraId="7EC69450" w14:textId="62EACDBA"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2334B5CB" w14:textId="7DF196B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226B14F4" w14:textId="58EF7AB4"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0.959</w:t>
            </w:r>
          </w:p>
        </w:tc>
        <w:tc>
          <w:tcPr>
            <w:tcW w:w="1020" w:type="dxa"/>
            <w:shd w:val="clear" w:color="auto" w:fill="auto"/>
            <w:noWrap/>
            <w:vAlign w:val="bottom"/>
            <w:hideMark/>
          </w:tcPr>
          <w:p w14:paraId="010FA33F" w14:textId="082083CF"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0.959</w:t>
            </w:r>
          </w:p>
        </w:tc>
        <w:tc>
          <w:tcPr>
            <w:tcW w:w="1020" w:type="dxa"/>
            <w:shd w:val="clear" w:color="auto" w:fill="auto"/>
            <w:noWrap/>
            <w:vAlign w:val="bottom"/>
            <w:hideMark/>
          </w:tcPr>
          <w:p w14:paraId="4FF649C1" w14:textId="16DB6E6B"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0.870</w:t>
            </w:r>
          </w:p>
        </w:tc>
        <w:tc>
          <w:tcPr>
            <w:tcW w:w="1100" w:type="dxa"/>
            <w:shd w:val="clear" w:color="auto" w:fill="auto"/>
            <w:noWrap/>
            <w:vAlign w:val="bottom"/>
            <w:hideMark/>
          </w:tcPr>
          <w:p w14:paraId="36784EDA" w14:textId="3F4D76D9"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0.374</w:t>
            </w:r>
          </w:p>
        </w:tc>
      </w:tr>
      <w:tr w:rsidR="00700745" w:rsidRPr="00A22812" w14:paraId="01FAAA7A" w14:textId="77777777" w:rsidTr="00700745">
        <w:trPr>
          <w:trHeight w:val="302"/>
          <w:jc w:val="center"/>
        </w:trPr>
        <w:tc>
          <w:tcPr>
            <w:tcW w:w="1020" w:type="dxa"/>
            <w:shd w:val="clear" w:color="auto" w:fill="auto"/>
            <w:noWrap/>
            <w:vAlign w:val="center"/>
            <w:hideMark/>
          </w:tcPr>
          <w:p w14:paraId="01AED8FC"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7</w:t>
            </w:r>
          </w:p>
        </w:tc>
        <w:tc>
          <w:tcPr>
            <w:tcW w:w="1020" w:type="dxa"/>
            <w:shd w:val="clear" w:color="auto" w:fill="auto"/>
            <w:noWrap/>
            <w:vAlign w:val="bottom"/>
            <w:hideMark/>
          </w:tcPr>
          <w:p w14:paraId="2BC6E62F" w14:textId="213E09E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08795A1E" w14:textId="3D764FC1"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0BF6937E" w14:textId="6F8A7A3E"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0.817</w:t>
            </w:r>
          </w:p>
        </w:tc>
        <w:tc>
          <w:tcPr>
            <w:tcW w:w="1020" w:type="dxa"/>
            <w:shd w:val="clear" w:color="auto" w:fill="auto"/>
            <w:noWrap/>
            <w:vAlign w:val="bottom"/>
            <w:hideMark/>
          </w:tcPr>
          <w:p w14:paraId="0D84FCDA" w14:textId="16AD617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0.816</w:t>
            </w:r>
          </w:p>
        </w:tc>
        <w:tc>
          <w:tcPr>
            <w:tcW w:w="1020" w:type="dxa"/>
            <w:shd w:val="clear" w:color="auto" w:fill="auto"/>
            <w:noWrap/>
            <w:vAlign w:val="bottom"/>
            <w:hideMark/>
          </w:tcPr>
          <w:p w14:paraId="41E4F3E3" w14:textId="232BFEA3"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0.764</w:t>
            </w:r>
          </w:p>
        </w:tc>
        <w:tc>
          <w:tcPr>
            <w:tcW w:w="1100" w:type="dxa"/>
            <w:shd w:val="clear" w:color="auto" w:fill="auto"/>
            <w:noWrap/>
            <w:vAlign w:val="bottom"/>
            <w:hideMark/>
          </w:tcPr>
          <w:p w14:paraId="076D2A41" w14:textId="17CA1F91"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0.062</w:t>
            </w:r>
          </w:p>
        </w:tc>
      </w:tr>
      <w:tr w:rsidR="00700745" w:rsidRPr="00A22812" w14:paraId="10080A4D" w14:textId="77777777" w:rsidTr="00700745">
        <w:trPr>
          <w:trHeight w:val="302"/>
          <w:jc w:val="center"/>
        </w:trPr>
        <w:tc>
          <w:tcPr>
            <w:tcW w:w="1020" w:type="dxa"/>
            <w:shd w:val="clear" w:color="auto" w:fill="auto"/>
            <w:noWrap/>
            <w:vAlign w:val="center"/>
            <w:hideMark/>
          </w:tcPr>
          <w:p w14:paraId="086AB9E7"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8</w:t>
            </w:r>
          </w:p>
        </w:tc>
        <w:tc>
          <w:tcPr>
            <w:tcW w:w="1020" w:type="dxa"/>
            <w:shd w:val="clear" w:color="auto" w:fill="auto"/>
            <w:noWrap/>
            <w:vAlign w:val="bottom"/>
            <w:hideMark/>
          </w:tcPr>
          <w:p w14:paraId="016A9383" w14:textId="1AF99148"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70A9C2B9" w14:textId="0E5AA216"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0.45</w:t>
            </w:r>
          </w:p>
        </w:tc>
        <w:tc>
          <w:tcPr>
            <w:tcW w:w="1020" w:type="dxa"/>
            <w:shd w:val="clear" w:color="auto" w:fill="auto"/>
            <w:noWrap/>
            <w:vAlign w:val="bottom"/>
            <w:hideMark/>
          </w:tcPr>
          <w:p w14:paraId="49479005" w14:textId="3AE7982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0.544</w:t>
            </w:r>
          </w:p>
        </w:tc>
        <w:tc>
          <w:tcPr>
            <w:tcW w:w="1020" w:type="dxa"/>
            <w:shd w:val="clear" w:color="auto" w:fill="auto"/>
            <w:noWrap/>
            <w:vAlign w:val="bottom"/>
            <w:hideMark/>
          </w:tcPr>
          <w:p w14:paraId="596CF4E5" w14:textId="4C406271"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0.541</w:t>
            </w:r>
          </w:p>
        </w:tc>
        <w:tc>
          <w:tcPr>
            <w:tcW w:w="1020" w:type="dxa"/>
            <w:shd w:val="clear" w:color="auto" w:fill="auto"/>
            <w:noWrap/>
            <w:vAlign w:val="bottom"/>
            <w:hideMark/>
          </w:tcPr>
          <w:p w14:paraId="43FBD04E" w14:textId="68F8CF92"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0.347</w:t>
            </w:r>
          </w:p>
        </w:tc>
        <w:tc>
          <w:tcPr>
            <w:tcW w:w="1100" w:type="dxa"/>
            <w:shd w:val="clear" w:color="auto" w:fill="auto"/>
            <w:noWrap/>
            <w:vAlign w:val="bottom"/>
            <w:hideMark/>
          </w:tcPr>
          <w:p w14:paraId="2E731562" w14:textId="2F589716"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0.173</w:t>
            </w:r>
          </w:p>
        </w:tc>
      </w:tr>
      <w:tr w:rsidR="00700745" w:rsidRPr="00A22812" w14:paraId="6DD5FCCC" w14:textId="77777777" w:rsidTr="00700745">
        <w:trPr>
          <w:trHeight w:val="302"/>
          <w:jc w:val="center"/>
        </w:trPr>
        <w:tc>
          <w:tcPr>
            <w:tcW w:w="1020" w:type="dxa"/>
            <w:shd w:val="clear" w:color="auto" w:fill="auto"/>
            <w:noWrap/>
            <w:vAlign w:val="center"/>
            <w:hideMark/>
          </w:tcPr>
          <w:p w14:paraId="1F7FDA35"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9</w:t>
            </w:r>
          </w:p>
        </w:tc>
        <w:tc>
          <w:tcPr>
            <w:tcW w:w="1020" w:type="dxa"/>
            <w:shd w:val="clear" w:color="auto" w:fill="auto"/>
            <w:noWrap/>
            <w:vAlign w:val="bottom"/>
            <w:hideMark/>
          </w:tcPr>
          <w:p w14:paraId="06E2D981" w14:textId="12949CED"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47BEF0D2" w14:textId="54FED7D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3609FB06" w14:textId="703B17F7"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0.726</w:t>
            </w:r>
          </w:p>
        </w:tc>
        <w:tc>
          <w:tcPr>
            <w:tcW w:w="1020" w:type="dxa"/>
            <w:shd w:val="clear" w:color="auto" w:fill="auto"/>
            <w:noWrap/>
            <w:vAlign w:val="bottom"/>
            <w:hideMark/>
          </w:tcPr>
          <w:p w14:paraId="37EFD6AB" w14:textId="505EA64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0.725</w:t>
            </w:r>
          </w:p>
        </w:tc>
        <w:tc>
          <w:tcPr>
            <w:tcW w:w="1020" w:type="dxa"/>
            <w:shd w:val="clear" w:color="auto" w:fill="auto"/>
            <w:noWrap/>
            <w:vAlign w:val="bottom"/>
            <w:hideMark/>
          </w:tcPr>
          <w:p w14:paraId="070B2E86" w14:textId="61C721B7"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0.590</w:t>
            </w:r>
          </w:p>
        </w:tc>
        <w:tc>
          <w:tcPr>
            <w:tcW w:w="1100" w:type="dxa"/>
            <w:shd w:val="clear" w:color="auto" w:fill="auto"/>
            <w:noWrap/>
            <w:vAlign w:val="bottom"/>
            <w:hideMark/>
          </w:tcPr>
          <w:p w14:paraId="53047A55" w14:textId="5B3ECDAD"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0.062</w:t>
            </w:r>
          </w:p>
        </w:tc>
      </w:tr>
      <w:tr w:rsidR="00700745" w:rsidRPr="00A22812" w14:paraId="2D67A274" w14:textId="77777777" w:rsidTr="00700745">
        <w:trPr>
          <w:trHeight w:val="302"/>
          <w:jc w:val="center"/>
        </w:trPr>
        <w:tc>
          <w:tcPr>
            <w:tcW w:w="1020" w:type="dxa"/>
            <w:tcBorders>
              <w:bottom w:val="single" w:sz="4" w:space="0" w:color="auto"/>
            </w:tcBorders>
            <w:shd w:val="clear" w:color="000000" w:fill="FFFFFF"/>
            <w:noWrap/>
            <w:vAlign w:val="center"/>
            <w:hideMark/>
          </w:tcPr>
          <w:p w14:paraId="455009DB"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10</w:t>
            </w:r>
          </w:p>
        </w:tc>
        <w:tc>
          <w:tcPr>
            <w:tcW w:w="1020" w:type="dxa"/>
            <w:tcBorders>
              <w:bottom w:val="single" w:sz="4" w:space="0" w:color="auto"/>
            </w:tcBorders>
            <w:shd w:val="clear" w:color="auto" w:fill="auto"/>
            <w:noWrap/>
            <w:vAlign w:val="bottom"/>
            <w:hideMark/>
          </w:tcPr>
          <w:p w14:paraId="2A96F831" w14:textId="2E5D33B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tcBorders>
              <w:bottom w:val="single" w:sz="4" w:space="0" w:color="auto"/>
            </w:tcBorders>
            <w:shd w:val="clear" w:color="auto" w:fill="auto"/>
            <w:noWrap/>
            <w:vAlign w:val="bottom"/>
            <w:hideMark/>
          </w:tcPr>
          <w:p w14:paraId="7CBC3D46" w14:textId="260F2B7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tcBorders>
              <w:bottom w:val="single" w:sz="4" w:space="0" w:color="auto"/>
            </w:tcBorders>
            <w:shd w:val="clear" w:color="auto" w:fill="auto"/>
            <w:noWrap/>
            <w:vAlign w:val="bottom"/>
            <w:hideMark/>
          </w:tcPr>
          <w:p w14:paraId="2161FA38" w14:textId="6FF184F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0.831</w:t>
            </w:r>
          </w:p>
        </w:tc>
        <w:tc>
          <w:tcPr>
            <w:tcW w:w="1020" w:type="dxa"/>
            <w:tcBorders>
              <w:bottom w:val="single" w:sz="4" w:space="0" w:color="auto"/>
            </w:tcBorders>
            <w:shd w:val="clear" w:color="auto" w:fill="auto"/>
            <w:noWrap/>
            <w:vAlign w:val="bottom"/>
            <w:hideMark/>
          </w:tcPr>
          <w:p w14:paraId="46C90398" w14:textId="6F4B1102"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0.831</w:t>
            </w:r>
          </w:p>
        </w:tc>
        <w:tc>
          <w:tcPr>
            <w:tcW w:w="1020" w:type="dxa"/>
            <w:tcBorders>
              <w:bottom w:val="single" w:sz="4" w:space="0" w:color="auto"/>
            </w:tcBorders>
            <w:shd w:val="clear" w:color="auto" w:fill="auto"/>
            <w:noWrap/>
            <w:vAlign w:val="bottom"/>
            <w:hideMark/>
          </w:tcPr>
          <w:p w14:paraId="289BC279" w14:textId="60DF3E6A"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0.945</w:t>
            </w:r>
          </w:p>
        </w:tc>
        <w:tc>
          <w:tcPr>
            <w:tcW w:w="1100" w:type="dxa"/>
            <w:tcBorders>
              <w:bottom w:val="single" w:sz="4" w:space="0" w:color="auto"/>
            </w:tcBorders>
            <w:shd w:val="clear" w:color="auto" w:fill="auto"/>
            <w:noWrap/>
            <w:vAlign w:val="bottom"/>
            <w:hideMark/>
          </w:tcPr>
          <w:p w14:paraId="7A807724" w14:textId="5F570A43"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0.262</w:t>
            </w:r>
          </w:p>
        </w:tc>
      </w:tr>
    </w:tbl>
    <w:p w14:paraId="20C9E063" w14:textId="77777777" w:rsidR="00A22812" w:rsidRPr="005E2DB9" w:rsidRDefault="00A22812" w:rsidP="002B1FDF">
      <w:pPr>
        <w:spacing w:line="240" w:lineRule="auto"/>
        <w:rPr>
          <w:rFonts w:ascii="Arial" w:eastAsiaTheme="minorEastAsia" w:hAnsi="Arial" w:cs="Arial"/>
          <w:sz w:val="20"/>
          <w:szCs w:val="20"/>
        </w:rPr>
      </w:pPr>
    </w:p>
    <w:p w14:paraId="46253B37" w14:textId="3E2572AE" w:rsidR="00E9385D" w:rsidRDefault="003E0787" w:rsidP="003E0787">
      <w:pPr>
        <w:spacing w:after="0" w:line="240" w:lineRule="auto"/>
        <w:jc w:val="both"/>
        <w:rPr>
          <w:rFonts w:ascii="Arial" w:eastAsiaTheme="minorEastAsia" w:hAnsi="Arial" w:cs="Arial"/>
          <w:sz w:val="20"/>
          <w:szCs w:val="20"/>
        </w:rPr>
      </w:pPr>
      <w:r w:rsidRPr="003E0787">
        <w:rPr>
          <w:rFonts w:ascii="Arial" w:eastAsiaTheme="minorEastAsia" w:hAnsi="Arial" w:cs="Arial"/>
          <w:sz w:val="20"/>
          <w:szCs w:val="20"/>
        </w:rPr>
        <w:t xml:space="preserve">The results in Table 2 show that the empirical mean of the SSDM for each of the ten runs (column 2, Table 2) closely approximates the mean of the SDM (14.74). The standard error of the SSDM (column 3, Table 2) is equal to or very close to the standard error of the SDM (0.44). The p-values from the T and Z tests </w:t>
      </w:r>
      <w:r w:rsidRPr="003E0787">
        <w:rPr>
          <w:rFonts w:ascii="Arial" w:eastAsiaTheme="minorEastAsia" w:hAnsi="Arial" w:cs="Arial"/>
          <w:sz w:val="20"/>
          <w:szCs w:val="20"/>
        </w:rPr>
        <w:lastRenderedPageBreak/>
        <w:t xml:space="preserve">(columns 6 and 7) indicate no reason to reject the null hypothesis that the mean of the SSDM equals the mean of the SDM at the 5% significance level. The p-value from the </w:t>
      </w:r>
      <m:oMath>
        <m:r>
          <w:rPr>
            <w:rFonts w:ascii="Cambria Math" w:eastAsiaTheme="minorEastAsia" w:hAnsi="Cambria Math" w:cs="Arial"/>
            <w:sz w:val="20"/>
            <w:szCs w:val="20"/>
          </w:rPr>
          <m:t>χ²</m:t>
        </m:r>
      </m:oMath>
      <w:r w:rsidRPr="003E0787">
        <w:rPr>
          <w:rFonts w:ascii="Arial" w:eastAsiaTheme="minorEastAsia" w:hAnsi="Arial" w:cs="Arial"/>
          <w:sz w:val="20"/>
          <w:szCs w:val="20"/>
        </w:rPr>
        <w:t xml:space="preserve"> test </w:t>
      </w:r>
      <w:r w:rsidR="006954AB" w:rsidRPr="009B429E">
        <w:rPr>
          <w:rFonts w:ascii="Arial" w:eastAsiaTheme="minorEastAsia" w:hAnsi="Arial" w:cs="Arial"/>
          <w:sz w:val="20"/>
          <w:szCs w:val="20"/>
          <w:highlight w:val="yellow"/>
        </w:rPr>
        <w:t>suggests</w:t>
      </w:r>
      <w:r w:rsidR="006954AB" w:rsidRPr="003E0787">
        <w:rPr>
          <w:rFonts w:ascii="Arial" w:eastAsiaTheme="minorEastAsia" w:hAnsi="Arial" w:cs="Arial"/>
          <w:sz w:val="20"/>
          <w:szCs w:val="20"/>
        </w:rPr>
        <w:t xml:space="preserve"> </w:t>
      </w:r>
      <w:r w:rsidRPr="003E0787">
        <w:rPr>
          <w:rFonts w:ascii="Arial" w:eastAsiaTheme="minorEastAsia" w:hAnsi="Arial" w:cs="Arial"/>
          <w:sz w:val="20"/>
          <w:szCs w:val="20"/>
        </w:rPr>
        <w:t>that the standard error of the SSDM is consistent with that of the SDM across all ten runs. The p-values from the Anderson-Darling tests suggest that the SSDM is normally distributed with characteristics matching those of the SDM, except for run 4, where the p-value is 0.045</w:t>
      </w:r>
      <w:r w:rsidR="006954AB">
        <w:rPr>
          <w:rFonts w:ascii="Arial" w:eastAsiaTheme="minorEastAsia" w:hAnsi="Arial" w:cs="Arial"/>
          <w:sz w:val="20"/>
          <w:szCs w:val="20"/>
        </w:rPr>
        <w:t xml:space="preserve">, </w:t>
      </w:r>
      <w:r w:rsidRPr="003E0787">
        <w:rPr>
          <w:rFonts w:ascii="Arial" w:eastAsiaTheme="minorEastAsia" w:hAnsi="Arial" w:cs="Arial"/>
          <w:sz w:val="20"/>
          <w:szCs w:val="20"/>
        </w:rPr>
        <w:t>slightly below the 0.05 threshold. Overall, the expectations regarding the SSDM’s conformity to the SDM appear to be met.</w:t>
      </w:r>
    </w:p>
    <w:p w14:paraId="228D1465" w14:textId="77777777" w:rsidR="003E0787" w:rsidRPr="005E2DB9" w:rsidRDefault="003E0787" w:rsidP="00487CEC">
      <w:pPr>
        <w:spacing w:after="0" w:line="240" w:lineRule="auto"/>
        <w:rPr>
          <w:rFonts w:ascii="Arial" w:eastAsiaTheme="minorEastAsia" w:hAnsi="Arial" w:cs="Arial"/>
          <w:sz w:val="20"/>
          <w:szCs w:val="20"/>
        </w:rPr>
      </w:pPr>
    </w:p>
    <w:p w14:paraId="504BD3C2" w14:textId="77777777" w:rsidR="003E3647" w:rsidRDefault="003E3647" w:rsidP="00394AC6">
      <w:pPr>
        <w:spacing w:line="240" w:lineRule="auto"/>
        <w:rPr>
          <w:rFonts w:ascii="Arial" w:hAnsi="Arial" w:cs="Arial"/>
          <w:b/>
          <w:color w:val="000000"/>
          <w:sz w:val="20"/>
          <w:szCs w:val="20"/>
        </w:rPr>
      </w:pPr>
    </w:p>
    <w:p w14:paraId="6AD16870" w14:textId="7F8945E8" w:rsidR="00AD5617" w:rsidRDefault="00AD5617" w:rsidP="00394AC6">
      <w:pPr>
        <w:spacing w:line="240" w:lineRule="auto"/>
        <w:rPr>
          <w:rFonts w:ascii="Arial" w:eastAsiaTheme="minorEastAsia" w:hAnsi="Arial" w:cs="Arial"/>
          <w:color w:val="000000"/>
          <w:sz w:val="20"/>
          <w:szCs w:val="20"/>
        </w:rPr>
      </w:pPr>
      <w:r w:rsidRPr="005E2DB9">
        <w:rPr>
          <w:rFonts w:ascii="Arial" w:hAnsi="Arial" w:cs="Arial"/>
          <w:b/>
          <w:color w:val="000000"/>
          <w:sz w:val="20"/>
          <w:szCs w:val="20"/>
        </w:rPr>
        <w:t xml:space="preserve">Table </w:t>
      </w:r>
      <w:r w:rsidR="009F0B40">
        <w:rPr>
          <w:rFonts w:ascii="Arial" w:hAnsi="Arial" w:cs="Arial"/>
          <w:b/>
          <w:color w:val="000000"/>
          <w:sz w:val="20"/>
          <w:szCs w:val="20"/>
        </w:rPr>
        <w:t>3</w:t>
      </w:r>
      <w:r w:rsidRPr="005E2DB9">
        <w:rPr>
          <w:rFonts w:ascii="Arial" w:hAnsi="Arial" w:cs="Arial"/>
          <w:color w:val="000000"/>
          <w:sz w:val="20"/>
          <w:szCs w:val="20"/>
        </w:rPr>
        <w:t xml:space="preserve">. </w:t>
      </w:r>
      <w:r w:rsidR="00831C6C" w:rsidRPr="00831C6C">
        <w:rPr>
          <w:rFonts w:ascii="Arial" w:hAnsi="Arial" w:cs="Arial"/>
          <w:color w:val="000000"/>
          <w:sz w:val="20"/>
          <w:szCs w:val="20"/>
        </w:rPr>
        <w:t>Results of tests involving the SSDM for varying sample sizes, based on M=5000 sample replications from Population P3​ in Example 3</w:t>
      </w:r>
    </w:p>
    <w:tbl>
      <w:tblPr>
        <w:tblW w:w="9164" w:type="dxa"/>
        <w:tblLook w:val="04A0" w:firstRow="1" w:lastRow="0" w:firstColumn="1" w:lastColumn="0" w:noHBand="0" w:noVBand="1"/>
      </w:tblPr>
      <w:tblGrid>
        <w:gridCol w:w="960"/>
        <w:gridCol w:w="960"/>
        <w:gridCol w:w="1102"/>
        <w:gridCol w:w="988"/>
        <w:gridCol w:w="1132"/>
        <w:gridCol w:w="960"/>
        <w:gridCol w:w="960"/>
        <w:gridCol w:w="1000"/>
        <w:gridCol w:w="1102"/>
      </w:tblGrid>
      <w:tr w:rsidR="00A03A9D" w:rsidRPr="00A03A9D" w14:paraId="1FFD7413" w14:textId="77777777" w:rsidTr="003E3647">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0A35DCF9" w14:textId="476247E2" w:rsidR="00A03A9D" w:rsidRPr="00A03A9D" w:rsidRDefault="009F0B40" w:rsidP="009F0B40">
            <w:pPr>
              <w:spacing w:after="0" w:line="240" w:lineRule="auto"/>
              <w:jc w:val="center"/>
              <w:rPr>
                <w:rFonts w:ascii="Aptos Narrow" w:eastAsia="Times New Roman" w:hAnsi="Aptos Narrow" w:cs="Times New Roman"/>
                <w:color w:val="000000"/>
              </w:rPr>
            </w:pPr>
            <m:oMathPara>
              <m:oMath>
                <m:r>
                  <w:rPr>
                    <w:rFonts w:ascii="Cambria Math" w:eastAsia="Times New Roman" w:hAnsi="Cambria Math" w:cs="Times New Roman"/>
                    <w:color w:val="000000"/>
                  </w:rPr>
                  <m:t>n</m:t>
                </m:r>
              </m:oMath>
            </m:oMathPara>
          </w:p>
        </w:tc>
        <w:tc>
          <w:tcPr>
            <w:tcW w:w="960" w:type="dxa"/>
            <w:tcBorders>
              <w:top w:val="single" w:sz="4" w:space="0" w:color="auto"/>
              <w:left w:val="nil"/>
              <w:bottom w:val="single" w:sz="4" w:space="0" w:color="auto"/>
              <w:right w:val="nil"/>
            </w:tcBorders>
            <w:shd w:val="clear" w:color="auto" w:fill="auto"/>
            <w:noWrap/>
            <w:vAlign w:val="bottom"/>
            <w:hideMark/>
          </w:tcPr>
          <w:p w14:paraId="4F6AF208" w14:textId="2EF441A3" w:rsidR="00A03A9D" w:rsidRPr="00A03A9D" w:rsidRDefault="00000000" w:rsidP="009F0B40">
            <w:pPr>
              <w:spacing w:after="0" w:line="240" w:lineRule="auto"/>
              <w:jc w:val="center"/>
              <w:rPr>
                <w:rFonts w:ascii="Aptos Narrow" w:eastAsia="Times New Roman" w:hAnsi="Aptos Narrow" w:cs="Times New Roman"/>
                <w:color w:val="00000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oMath>
            </m:oMathPara>
          </w:p>
        </w:tc>
        <w:tc>
          <w:tcPr>
            <w:tcW w:w="1102" w:type="dxa"/>
            <w:tcBorders>
              <w:top w:val="single" w:sz="4" w:space="0" w:color="auto"/>
              <w:left w:val="nil"/>
              <w:bottom w:val="single" w:sz="4" w:space="0" w:color="auto"/>
              <w:right w:val="nil"/>
            </w:tcBorders>
            <w:shd w:val="clear" w:color="auto" w:fill="auto"/>
            <w:noWrap/>
            <w:vAlign w:val="bottom"/>
            <w:hideMark/>
          </w:tcPr>
          <w:p w14:paraId="54D3F1E0" w14:textId="2AD206BB" w:rsidR="00A03A9D" w:rsidRPr="00A03A9D" w:rsidRDefault="009F0B40" w:rsidP="009F0B40">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SE(SSDM)</w:t>
            </w:r>
          </w:p>
        </w:tc>
        <w:tc>
          <w:tcPr>
            <w:tcW w:w="988" w:type="dxa"/>
            <w:tcBorders>
              <w:top w:val="single" w:sz="4" w:space="0" w:color="auto"/>
              <w:left w:val="nil"/>
              <w:bottom w:val="single" w:sz="4" w:space="0" w:color="auto"/>
              <w:right w:val="nil"/>
            </w:tcBorders>
            <w:shd w:val="clear" w:color="auto" w:fill="auto"/>
            <w:noWrap/>
            <w:vAlign w:val="bottom"/>
            <w:hideMark/>
          </w:tcPr>
          <w:p w14:paraId="61F2F777" w14:textId="662C7490"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SE</w:t>
            </w:r>
            <w:r w:rsidR="009F0B40">
              <w:rPr>
                <w:rFonts w:ascii="Aptos Narrow" w:eastAsia="Times New Roman" w:hAnsi="Aptos Narrow" w:cs="Times New Roman"/>
                <w:color w:val="000000"/>
              </w:rPr>
              <w:t>(SDM)</w:t>
            </w:r>
          </w:p>
        </w:tc>
        <w:tc>
          <w:tcPr>
            <w:tcW w:w="1132" w:type="dxa"/>
            <w:tcBorders>
              <w:top w:val="single" w:sz="4" w:space="0" w:color="auto"/>
              <w:left w:val="nil"/>
              <w:bottom w:val="single" w:sz="4" w:space="0" w:color="auto"/>
              <w:right w:val="nil"/>
            </w:tcBorders>
            <w:shd w:val="clear" w:color="auto" w:fill="auto"/>
            <w:noWrap/>
            <w:vAlign w:val="bottom"/>
            <w:hideMark/>
          </w:tcPr>
          <w:p w14:paraId="410C68F2" w14:textId="19264B00" w:rsidR="00A03A9D" w:rsidRPr="00A03A9D" w:rsidRDefault="009F0B40" w:rsidP="009F0B40">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D</w:t>
            </w:r>
            <w:r w:rsidR="00A03A9D" w:rsidRPr="00A03A9D">
              <w:rPr>
                <w:rFonts w:ascii="Aptos Narrow" w:eastAsia="Times New Roman" w:hAnsi="Aptos Narrow" w:cs="Times New Roman"/>
                <w:color w:val="000000"/>
              </w:rPr>
              <w:t>iff</w:t>
            </w:r>
            <w:r>
              <w:rPr>
                <w:rFonts w:ascii="Aptos Narrow" w:eastAsia="Times New Roman" w:hAnsi="Aptos Narrow" w:cs="Times New Roman"/>
                <w:color w:val="000000"/>
              </w:rPr>
              <w:t>erence</w:t>
            </w:r>
          </w:p>
        </w:tc>
        <w:tc>
          <w:tcPr>
            <w:tcW w:w="960" w:type="dxa"/>
            <w:tcBorders>
              <w:top w:val="single" w:sz="4" w:space="0" w:color="auto"/>
              <w:left w:val="nil"/>
              <w:bottom w:val="single" w:sz="4" w:space="0" w:color="auto"/>
              <w:right w:val="nil"/>
            </w:tcBorders>
            <w:shd w:val="clear" w:color="auto" w:fill="auto"/>
            <w:noWrap/>
            <w:vAlign w:val="bottom"/>
            <w:hideMark/>
          </w:tcPr>
          <w:p w14:paraId="1422E827" w14:textId="77777777" w:rsidR="00A03A9D" w:rsidRPr="00A03A9D" w:rsidRDefault="00A03A9D" w:rsidP="009F0B40">
            <w:pPr>
              <w:spacing w:after="0" w:line="240" w:lineRule="auto"/>
              <w:jc w:val="center"/>
              <w:rPr>
                <w:rFonts w:ascii="Aptos Narrow" w:eastAsia="Times New Roman" w:hAnsi="Aptos Narrow" w:cs="Times New Roman"/>
                <w:color w:val="000000"/>
              </w:rPr>
            </w:pPr>
            <w:proofErr w:type="spellStart"/>
            <w:proofErr w:type="gramStart"/>
            <w:r w:rsidRPr="00A03A9D">
              <w:rPr>
                <w:rFonts w:ascii="Aptos Narrow" w:eastAsia="Times New Roman" w:hAnsi="Aptos Narrow" w:cs="Times New Roman"/>
                <w:color w:val="000000"/>
              </w:rPr>
              <w:t>z.pval</w:t>
            </w:r>
            <w:proofErr w:type="spellEnd"/>
            <w:proofErr w:type="gramEnd"/>
          </w:p>
        </w:tc>
        <w:tc>
          <w:tcPr>
            <w:tcW w:w="960" w:type="dxa"/>
            <w:tcBorders>
              <w:top w:val="single" w:sz="4" w:space="0" w:color="auto"/>
              <w:left w:val="nil"/>
              <w:bottom w:val="single" w:sz="4" w:space="0" w:color="auto"/>
              <w:right w:val="nil"/>
            </w:tcBorders>
            <w:shd w:val="clear" w:color="auto" w:fill="auto"/>
            <w:noWrap/>
            <w:vAlign w:val="bottom"/>
            <w:hideMark/>
          </w:tcPr>
          <w:p w14:paraId="1A30EAA6" w14:textId="77777777" w:rsidR="00A03A9D" w:rsidRPr="00A03A9D" w:rsidRDefault="00A03A9D" w:rsidP="009F0B40">
            <w:pPr>
              <w:spacing w:after="0" w:line="240" w:lineRule="auto"/>
              <w:jc w:val="center"/>
              <w:rPr>
                <w:rFonts w:ascii="Aptos Narrow" w:eastAsia="Times New Roman" w:hAnsi="Aptos Narrow" w:cs="Times New Roman"/>
                <w:color w:val="000000"/>
              </w:rPr>
            </w:pPr>
            <w:proofErr w:type="spellStart"/>
            <w:proofErr w:type="gramStart"/>
            <w:r w:rsidRPr="00A03A9D">
              <w:rPr>
                <w:rFonts w:ascii="Aptos Narrow" w:eastAsia="Times New Roman" w:hAnsi="Aptos Narrow" w:cs="Times New Roman"/>
                <w:color w:val="000000"/>
              </w:rPr>
              <w:t>t.pval</w:t>
            </w:r>
            <w:proofErr w:type="spellEnd"/>
            <w:proofErr w:type="gramEnd"/>
          </w:p>
        </w:tc>
        <w:tc>
          <w:tcPr>
            <w:tcW w:w="1000" w:type="dxa"/>
            <w:tcBorders>
              <w:top w:val="single" w:sz="4" w:space="0" w:color="auto"/>
              <w:left w:val="nil"/>
              <w:bottom w:val="single" w:sz="4" w:space="0" w:color="auto"/>
              <w:right w:val="nil"/>
            </w:tcBorders>
            <w:shd w:val="clear" w:color="auto" w:fill="auto"/>
            <w:noWrap/>
            <w:vAlign w:val="bottom"/>
            <w:hideMark/>
          </w:tcPr>
          <w:p w14:paraId="61A6AAE9" w14:textId="2A143E16" w:rsidR="00A03A9D" w:rsidRPr="00A03A9D" w:rsidRDefault="00000000" w:rsidP="009F0B40">
            <w:pPr>
              <w:spacing w:after="0" w:line="240" w:lineRule="auto"/>
              <w:jc w:val="center"/>
              <w:rPr>
                <w:rFonts w:ascii="Aptos Narrow" w:eastAsia="Times New Roman" w:hAnsi="Aptos Narrow" w:cs="Times New Roman"/>
                <w:color w:val="000000"/>
              </w:rPr>
            </w:pPr>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oMath>
            <w:proofErr w:type="gramStart"/>
            <w:r w:rsidR="00A03A9D" w:rsidRPr="00A03A9D">
              <w:rPr>
                <w:rFonts w:ascii="Aptos Narrow" w:eastAsia="Times New Roman" w:hAnsi="Aptos Narrow" w:cs="Times New Roman"/>
                <w:color w:val="000000"/>
              </w:rPr>
              <w:t>.pval</w:t>
            </w:r>
            <w:proofErr w:type="gramEnd"/>
          </w:p>
        </w:tc>
        <w:tc>
          <w:tcPr>
            <w:tcW w:w="1102" w:type="dxa"/>
            <w:tcBorders>
              <w:top w:val="single" w:sz="4" w:space="0" w:color="auto"/>
              <w:left w:val="nil"/>
              <w:bottom w:val="single" w:sz="4" w:space="0" w:color="auto"/>
              <w:right w:val="nil"/>
            </w:tcBorders>
            <w:shd w:val="clear" w:color="auto" w:fill="auto"/>
            <w:noWrap/>
            <w:vAlign w:val="bottom"/>
            <w:hideMark/>
          </w:tcPr>
          <w:p w14:paraId="51F786DC" w14:textId="5B28754D" w:rsidR="00A03A9D" w:rsidRPr="00A03A9D" w:rsidRDefault="00A03A9D" w:rsidP="009F0B40">
            <w:pPr>
              <w:spacing w:after="0" w:line="240" w:lineRule="auto"/>
              <w:jc w:val="center"/>
              <w:rPr>
                <w:rFonts w:ascii="Aptos Narrow" w:eastAsia="Times New Roman" w:hAnsi="Aptos Narrow" w:cs="Times New Roman"/>
                <w:color w:val="000000"/>
              </w:rPr>
            </w:pPr>
            <w:proofErr w:type="spellStart"/>
            <w:proofErr w:type="gramStart"/>
            <w:r w:rsidRPr="00A03A9D">
              <w:rPr>
                <w:rFonts w:ascii="Aptos Narrow" w:eastAsia="Times New Roman" w:hAnsi="Aptos Narrow" w:cs="Times New Roman"/>
                <w:color w:val="000000"/>
              </w:rPr>
              <w:t>nor</w:t>
            </w:r>
            <w:r w:rsidR="009F0B40">
              <w:rPr>
                <w:rFonts w:ascii="Aptos Narrow" w:eastAsia="Times New Roman" w:hAnsi="Aptos Narrow" w:cs="Times New Roman"/>
                <w:color w:val="000000"/>
              </w:rPr>
              <w:t>m</w:t>
            </w:r>
            <w:r w:rsidRPr="00A03A9D">
              <w:rPr>
                <w:rFonts w:ascii="Aptos Narrow" w:eastAsia="Times New Roman" w:hAnsi="Aptos Narrow" w:cs="Times New Roman"/>
                <w:color w:val="000000"/>
              </w:rPr>
              <w:t>.pval</w:t>
            </w:r>
            <w:proofErr w:type="spellEnd"/>
            <w:proofErr w:type="gramEnd"/>
          </w:p>
        </w:tc>
      </w:tr>
      <w:tr w:rsidR="00A03A9D" w:rsidRPr="00A03A9D" w14:paraId="41C6DC44" w14:textId="77777777" w:rsidTr="003E3647">
        <w:trPr>
          <w:trHeight w:val="300"/>
        </w:trPr>
        <w:tc>
          <w:tcPr>
            <w:tcW w:w="960" w:type="dxa"/>
            <w:tcBorders>
              <w:top w:val="single" w:sz="4" w:space="0" w:color="auto"/>
              <w:left w:val="nil"/>
              <w:bottom w:val="nil"/>
              <w:right w:val="nil"/>
            </w:tcBorders>
            <w:shd w:val="clear" w:color="auto" w:fill="auto"/>
            <w:noWrap/>
            <w:vAlign w:val="bottom"/>
            <w:hideMark/>
          </w:tcPr>
          <w:p w14:paraId="595AC1AF"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10</w:t>
            </w:r>
          </w:p>
        </w:tc>
        <w:tc>
          <w:tcPr>
            <w:tcW w:w="960" w:type="dxa"/>
            <w:tcBorders>
              <w:top w:val="single" w:sz="4" w:space="0" w:color="auto"/>
              <w:left w:val="nil"/>
              <w:bottom w:val="nil"/>
              <w:right w:val="nil"/>
            </w:tcBorders>
            <w:shd w:val="clear" w:color="auto" w:fill="auto"/>
            <w:noWrap/>
            <w:vAlign w:val="bottom"/>
            <w:hideMark/>
          </w:tcPr>
          <w:p w14:paraId="09C54D0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1.497</w:t>
            </w:r>
          </w:p>
        </w:tc>
        <w:tc>
          <w:tcPr>
            <w:tcW w:w="1102" w:type="dxa"/>
            <w:tcBorders>
              <w:top w:val="single" w:sz="4" w:space="0" w:color="auto"/>
              <w:left w:val="nil"/>
              <w:bottom w:val="nil"/>
              <w:right w:val="nil"/>
            </w:tcBorders>
            <w:shd w:val="clear" w:color="auto" w:fill="auto"/>
            <w:noWrap/>
            <w:vAlign w:val="bottom"/>
            <w:hideMark/>
          </w:tcPr>
          <w:p w14:paraId="712932C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0.628</w:t>
            </w:r>
          </w:p>
        </w:tc>
        <w:tc>
          <w:tcPr>
            <w:tcW w:w="988" w:type="dxa"/>
            <w:tcBorders>
              <w:top w:val="single" w:sz="4" w:space="0" w:color="auto"/>
              <w:left w:val="nil"/>
              <w:bottom w:val="nil"/>
              <w:right w:val="nil"/>
            </w:tcBorders>
            <w:shd w:val="clear" w:color="auto" w:fill="auto"/>
            <w:noWrap/>
            <w:vAlign w:val="bottom"/>
            <w:hideMark/>
          </w:tcPr>
          <w:p w14:paraId="548DD45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0.633</w:t>
            </w:r>
          </w:p>
        </w:tc>
        <w:tc>
          <w:tcPr>
            <w:tcW w:w="1132" w:type="dxa"/>
            <w:tcBorders>
              <w:top w:val="single" w:sz="4" w:space="0" w:color="auto"/>
              <w:left w:val="nil"/>
              <w:bottom w:val="nil"/>
              <w:right w:val="nil"/>
            </w:tcBorders>
            <w:shd w:val="clear" w:color="auto" w:fill="auto"/>
            <w:noWrap/>
            <w:vAlign w:val="bottom"/>
            <w:hideMark/>
          </w:tcPr>
          <w:p w14:paraId="6017AB3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0.005</w:t>
            </w:r>
          </w:p>
        </w:tc>
        <w:tc>
          <w:tcPr>
            <w:tcW w:w="960" w:type="dxa"/>
            <w:tcBorders>
              <w:top w:val="single" w:sz="4" w:space="0" w:color="auto"/>
              <w:left w:val="nil"/>
              <w:bottom w:val="nil"/>
              <w:right w:val="nil"/>
            </w:tcBorders>
            <w:shd w:val="clear" w:color="auto" w:fill="auto"/>
            <w:noWrap/>
            <w:vAlign w:val="bottom"/>
            <w:hideMark/>
          </w:tcPr>
          <w:p w14:paraId="070FBA1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0.697</w:t>
            </w:r>
          </w:p>
        </w:tc>
        <w:tc>
          <w:tcPr>
            <w:tcW w:w="960" w:type="dxa"/>
            <w:tcBorders>
              <w:top w:val="single" w:sz="4" w:space="0" w:color="auto"/>
              <w:left w:val="nil"/>
              <w:bottom w:val="nil"/>
              <w:right w:val="nil"/>
            </w:tcBorders>
            <w:shd w:val="clear" w:color="auto" w:fill="auto"/>
            <w:noWrap/>
            <w:vAlign w:val="bottom"/>
            <w:hideMark/>
          </w:tcPr>
          <w:p w14:paraId="0161DF4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0.695</w:t>
            </w:r>
          </w:p>
        </w:tc>
        <w:tc>
          <w:tcPr>
            <w:tcW w:w="1000" w:type="dxa"/>
            <w:tcBorders>
              <w:top w:val="single" w:sz="4" w:space="0" w:color="auto"/>
              <w:left w:val="nil"/>
              <w:bottom w:val="nil"/>
              <w:right w:val="nil"/>
            </w:tcBorders>
            <w:shd w:val="clear" w:color="auto" w:fill="auto"/>
            <w:noWrap/>
            <w:vAlign w:val="bottom"/>
            <w:hideMark/>
          </w:tcPr>
          <w:p w14:paraId="22BFEDC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0.456</w:t>
            </w:r>
          </w:p>
        </w:tc>
        <w:tc>
          <w:tcPr>
            <w:tcW w:w="1102" w:type="dxa"/>
            <w:tcBorders>
              <w:top w:val="single" w:sz="4" w:space="0" w:color="auto"/>
              <w:left w:val="nil"/>
              <w:bottom w:val="nil"/>
              <w:right w:val="nil"/>
            </w:tcBorders>
            <w:shd w:val="clear" w:color="auto" w:fill="auto"/>
            <w:noWrap/>
            <w:vAlign w:val="bottom"/>
            <w:hideMark/>
          </w:tcPr>
          <w:p w14:paraId="3812BC1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0.347</w:t>
            </w:r>
          </w:p>
        </w:tc>
      </w:tr>
      <w:tr w:rsidR="00A03A9D" w:rsidRPr="00A03A9D" w14:paraId="373425A5" w14:textId="77777777" w:rsidTr="003E3647">
        <w:trPr>
          <w:trHeight w:val="300"/>
        </w:trPr>
        <w:tc>
          <w:tcPr>
            <w:tcW w:w="960" w:type="dxa"/>
            <w:tcBorders>
              <w:top w:val="nil"/>
              <w:left w:val="nil"/>
              <w:bottom w:val="nil"/>
              <w:right w:val="nil"/>
            </w:tcBorders>
            <w:shd w:val="clear" w:color="auto" w:fill="auto"/>
            <w:noWrap/>
            <w:vAlign w:val="bottom"/>
            <w:hideMark/>
          </w:tcPr>
          <w:p w14:paraId="04FD024F"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50</w:t>
            </w:r>
          </w:p>
        </w:tc>
        <w:tc>
          <w:tcPr>
            <w:tcW w:w="960" w:type="dxa"/>
            <w:tcBorders>
              <w:top w:val="nil"/>
              <w:left w:val="nil"/>
              <w:bottom w:val="nil"/>
              <w:right w:val="nil"/>
            </w:tcBorders>
            <w:shd w:val="clear" w:color="auto" w:fill="auto"/>
            <w:noWrap/>
            <w:vAlign w:val="bottom"/>
            <w:hideMark/>
          </w:tcPr>
          <w:p w14:paraId="794E4FD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4C5AAFD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0.285</w:t>
            </w:r>
          </w:p>
        </w:tc>
        <w:tc>
          <w:tcPr>
            <w:tcW w:w="988" w:type="dxa"/>
            <w:tcBorders>
              <w:top w:val="nil"/>
              <w:left w:val="nil"/>
              <w:bottom w:val="nil"/>
              <w:right w:val="nil"/>
            </w:tcBorders>
            <w:shd w:val="clear" w:color="auto" w:fill="auto"/>
            <w:noWrap/>
            <w:vAlign w:val="bottom"/>
            <w:hideMark/>
          </w:tcPr>
          <w:p w14:paraId="4E18D44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0.283</w:t>
            </w:r>
          </w:p>
        </w:tc>
        <w:tc>
          <w:tcPr>
            <w:tcW w:w="1132" w:type="dxa"/>
            <w:tcBorders>
              <w:top w:val="nil"/>
              <w:left w:val="nil"/>
              <w:bottom w:val="nil"/>
              <w:right w:val="nil"/>
            </w:tcBorders>
            <w:shd w:val="clear" w:color="auto" w:fill="auto"/>
            <w:noWrap/>
            <w:vAlign w:val="bottom"/>
            <w:hideMark/>
          </w:tcPr>
          <w:p w14:paraId="299557D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0.002</w:t>
            </w:r>
          </w:p>
        </w:tc>
        <w:tc>
          <w:tcPr>
            <w:tcW w:w="960" w:type="dxa"/>
            <w:tcBorders>
              <w:top w:val="nil"/>
              <w:left w:val="nil"/>
              <w:bottom w:val="nil"/>
              <w:right w:val="nil"/>
            </w:tcBorders>
            <w:shd w:val="clear" w:color="auto" w:fill="auto"/>
            <w:noWrap/>
            <w:vAlign w:val="bottom"/>
            <w:hideMark/>
          </w:tcPr>
          <w:p w14:paraId="615823C7"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0.919</w:t>
            </w:r>
          </w:p>
        </w:tc>
        <w:tc>
          <w:tcPr>
            <w:tcW w:w="960" w:type="dxa"/>
            <w:tcBorders>
              <w:top w:val="nil"/>
              <w:left w:val="nil"/>
              <w:bottom w:val="nil"/>
              <w:right w:val="nil"/>
            </w:tcBorders>
            <w:shd w:val="clear" w:color="auto" w:fill="auto"/>
            <w:noWrap/>
            <w:vAlign w:val="bottom"/>
            <w:hideMark/>
          </w:tcPr>
          <w:p w14:paraId="0D61847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0.920</w:t>
            </w:r>
          </w:p>
        </w:tc>
        <w:tc>
          <w:tcPr>
            <w:tcW w:w="1000" w:type="dxa"/>
            <w:tcBorders>
              <w:top w:val="nil"/>
              <w:left w:val="nil"/>
              <w:bottom w:val="nil"/>
              <w:right w:val="nil"/>
            </w:tcBorders>
            <w:shd w:val="clear" w:color="auto" w:fill="auto"/>
            <w:noWrap/>
            <w:vAlign w:val="bottom"/>
            <w:hideMark/>
          </w:tcPr>
          <w:p w14:paraId="7124077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0.433</w:t>
            </w:r>
          </w:p>
        </w:tc>
        <w:tc>
          <w:tcPr>
            <w:tcW w:w="1102" w:type="dxa"/>
            <w:tcBorders>
              <w:top w:val="nil"/>
              <w:left w:val="nil"/>
              <w:bottom w:val="nil"/>
              <w:right w:val="nil"/>
            </w:tcBorders>
            <w:shd w:val="clear" w:color="auto" w:fill="auto"/>
            <w:noWrap/>
            <w:vAlign w:val="bottom"/>
            <w:hideMark/>
          </w:tcPr>
          <w:p w14:paraId="0E3F8DE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0.828</w:t>
            </w:r>
          </w:p>
        </w:tc>
      </w:tr>
      <w:tr w:rsidR="00A03A9D" w:rsidRPr="00A03A9D" w14:paraId="4B415DD4" w14:textId="77777777" w:rsidTr="003E3647">
        <w:trPr>
          <w:trHeight w:val="300"/>
        </w:trPr>
        <w:tc>
          <w:tcPr>
            <w:tcW w:w="960" w:type="dxa"/>
            <w:tcBorders>
              <w:top w:val="nil"/>
              <w:left w:val="nil"/>
              <w:bottom w:val="nil"/>
              <w:right w:val="nil"/>
            </w:tcBorders>
            <w:shd w:val="clear" w:color="auto" w:fill="auto"/>
            <w:noWrap/>
            <w:vAlign w:val="bottom"/>
            <w:hideMark/>
          </w:tcPr>
          <w:p w14:paraId="66950A6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100</w:t>
            </w:r>
          </w:p>
        </w:tc>
        <w:tc>
          <w:tcPr>
            <w:tcW w:w="960" w:type="dxa"/>
            <w:tcBorders>
              <w:top w:val="nil"/>
              <w:left w:val="nil"/>
              <w:bottom w:val="nil"/>
              <w:right w:val="nil"/>
            </w:tcBorders>
            <w:shd w:val="clear" w:color="auto" w:fill="auto"/>
            <w:noWrap/>
            <w:vAlign w:val="bottom"/>
            <w:hideMark/>
          </w:tcPr>
          <w:p w14:paraId="7EBCD4A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1.499</w:t>
            </w:r>
          </w:p>
        </w:tc>
        <w:tc>
          <w:tcPr>
            <w:tcW w:w="1102" w:type="dxa"/>
            <w:tcBorders>
              <w:top w:val="nil"/>
              <w:left w:val="nil"/>
              <w:bottom w:val="nil"/>
              <w:right w:val="nil"/>
            </w:tcBorders>
            <w:shd w:val="clear" w:color="auto" w:fill="auto"/>
            <w:noWrap/>
            <w:vAlign w:val="bottom"/>
            <w:hideMark/>
          </w:tcPr>
          <w:p w14:paraId="2D35FBB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0.201</w:t>
            </w:r>
          </w:p>
        </w:tc>
        <w:tc>
          <w:tcPr>
            <w:tcW w:w="988" w:type="dxa"/>
            <w:tcBorders>
              <w:top w:val="nil"/>
              <w:left w:val="nil"/>
              <w:bottom w:val="nil"/>
              <w:right w:val="nil"/>
            </w:tcBorders>
            <w:shd w:val="clear" w:color="auto" w:fill="auto"/>
            <w:noWrap/>
            <w:vAlign w:val="bottom"/>
            <w:hideMark/>
          </w:tcPr>
          <w:p w14:paraId="0B0612B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0.200</w:t>
            </w:r>
          </w:p>
        </w:tc>
        <w:tc>
          <w:tcPr>
            <w:tcW w:w="1132" w:type="dxa"/>
            <w:tcBorders>
              <w:top w:val="nil"/>
              <w:left w:val="nil"/>
              <w:bottom w:val="nil"/>
              <w:right w:val="nil"/>
            </w:tcBorders>
            <w:shd w:val="clear" w:color="auto" w:fill="auto"/>
            <w:noWrap/>
            <w:vAlign w:val="bottom"/>
            <w:hideMark/>
          </w:tcPr>
          <w:p w14:paraId="0308C6A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02B9DC2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0.596</w:t>
            </w:r>
          </w:p>
        </w:tc>
        <w:tc>
          <w:tcPr>
            <w:tcW w:w="960" w:type="dxa"/>
            <w:tcBorders>
              <w:top w:val="nil"/>
              <w:left w:val="nil"/>
              <w:bottom w:val="nil"/>
              <w:right w:val="nil"/>
            </w:tcBorders>
            <w:shd w:val="clear" w:color="auto" w:fill="auto"/>
            <w:noWrap/>
            <w:vAlign w:val="bottom"/>
            <w:hideMark/>
          </w:tcPr>
          <w:p w14:paraId="2F3F4B5D"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0.598</w:t>
            </w:r>
          </w:p>
        </w:tc>
        <w:tc>
          <w:tcPr>
            <w:tcW w:w="1000" w:type="dxa"/>
            <w:tcBorders>
              <w:top w:val="nil"/>
              <w:left w:val="nil"/>
              <w:bottom w:val="nil"/>
              <w:right w:val="nil"/>
            </w:tcBorders>
            <w:shd w:val="clear" w:color="auto" w:fill="auto"/>
            <w:noWrap/>
            <w:vAlign w:val="bottom"/>
            <w:hideMark/>
          </w:tcPr>
          <w:p w14:paraId="2A3B0A0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0.565</w:t>
            </w:r>
          </w:p>
        </w:tc>
        <w:tc>
          <w:tcPr>
            <w:tcW w:w="1102" w:type="dxa"/>
            <w:tcBorders>
              <w:top w:val="nil"/>
              <w:left w:val="nil"/>
              <w:bottom w:val="nil"/>
              <w:right w:val="nil"/>
            </w:tcBorders>
            <w:shd w:val="clear" w:color="auto" w:fill="auto"/>
            <w:noWrap/>
            <w:vAlign w:val="bottom"/>
            <w:hideMark/>
          </w:tcPr>
          <w:p w14:paraId="35FD235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0.919</w:t>
            </w:r>
          </w:p>
        </w:tc>
      </w:tr>
      <w:tr w:rsidR="00A03A9D" w:rsidRPr="00A03A9D" w14:paraId="3ED7FD84" w14:textId="77777777" w:rsidTr="003E3647">
        <w:trPr>
          <w:trHeight w:val="300"/>
        </w:trPr>
        <w:tc>
          <w:tcPr>
            <w:tcW w:w="960" w:type="dxa"/>
            <w:tcBorders>
              <w:top w:val="nil"/>
              <w:left w:val="nil"/>
              <w:bottom w:val="nil"/>
              <w:right w:val="nil"/>
            </w:tcBorders>
            <w:shd w:val="clear" w:color="auto" w:fill="auto"/>
            <w:noWrap/>
            <w:vAlign w:val="bottom"/>
            <w:hideMark/>
          </w:tcPr>
          <w:p w14:paraId="25B961B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w:t>
            </w:r>
          </w:p>
        </w:tc>
        <w:tc>
          <w:tcPr>
            <w:tcW w:w="960" w:type="dxa"/>
            <w:tcBorders>
              <w:top w:val="nil"/>
              <w:left w:val="nil"/>
              <w:bottom w:val="nil"/>
              <w:right w:val="nil"/>
            </w:tcBorders>
            <w:shd w:val="clear" w:color="auto" w:fill="auto"/>
            <w:noWrap/>
            <w:vAlign w:val="bottom"/>
            <w:hideMark/>
          </w:tcPr>
          <w:p w14:paraId="53E658D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1.497</w:t>
            </w:r>
          </w:p>
        </w:tc>
        <w:tc>
          <w:tcPr>
            <w:tcW w:w="1102" w:type="dxa"/>
            <w:tcBorders>
              <w:top w:val="nil"/>
              <w:left w:val="nil"/>
              <w:bottom w:val="nil"/>
              <w:right w:val="nil"/>
            </w:tcBorders>
            <w:shd w:val="clear" w:color="auto" w:fill="auto"/>
            <w:noWrap/>
            <w:vAlign w:val="bottom"/>
            <w:hideMark/>
          </w:tcPr>
          <w:p w14:paraId="46EADBC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0.164</w:t>
            </w:r>
          </w:p>
        </w:tc>
        <w:tc>
          <w:tcPr>
            <w:tcW w:w="988" w:type="dxa"/>
            <w:tcBorders>
              <w:top w:val="nil"/>
              <w:left w:val="nil"/>
              <w:bottom w:val="nil"/>
              <w:right w:val="nil"/>
            </w:tcBorders>
            <w:shd w:val="clear" w:color="auto" w:fill="auto"/>
            <w:noWrap/>
            <w:vAlign w:val="bottom"/>
            <w:hideMark/>
          </w:tcPr>
          <w:p w14:paraId="3AFEAA4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0.163</w:t>
            </w:r>
          </w:p>
        </w:tc>
        <w:tc>
          <w:tcPr>
            <w:tcW w:w="1132" w:type="dxa"/>
            <w:tcBorders>
              <w:top w:val="nil"/>
              <w:left w:val="nil"/>
              <w:bottom w:val="nil"/>
              <w:right w:val="nil"/>
            </w:tcBorders>
            <w:shd w:val="clear" w:color="auto" w:fill="auto"/>
            <w:noWrap/>
            <w:vAlign w:val="bottom"/>
            <w:hideMark/>
          </w:tcPr>
          <w:p w14:paraId="56D6393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735E806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0.167</w:t>
            </w:r>
          </w:p>
        </w:tc>
        <w:tc>
          <w:tcPr>
            <w:tcW w:w="960" w:type="dxa"/>
            <w:tcBorders>
              <w:top w:val="nil"/>
              <w:left w:val="nil"/>
              <w:bottom w:val="nil"/>
              <w:right w:val="nil"/>
            </w:tcBorders>
            <w:shd w:val="clear" w:color="auto" w:fill="auto"/>
            <w:noWrap/>
            <w:vAlign w:val="bottom"/>
            <w:hideMark/>
          </w:tcPr>
          <w:p w14:paraId="0B718FF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0.169</w:t>
            </w:r>
          </w:p>
        </w:tc>
        <w:tc>
          <w:tcPr>
            <w:tcW w:w="1000" w:type="dxa"/>
            <w:tcBorders>
              <w:top w:val="nil"/>
              <w:left w:val="nil"/>
              <w:bottom w:val="nil"/>
              <w:right w:val="nil"/>
            </w:tcBorders>
            <w:shd w:val="clear" w:color="auto" w:fill="auto"/>
            <w:noWrap/>
            <w:vAlign w:val="bottom"/>
            <w:hideMark/>
          </w:tcPr>
          <w:p w14:paraId="1EACE3C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0.678</w:t>
            </w:r>
          </w:p>
        </w:tc>
        <w:tc>
          <w:tcPr>
            <w:tcW w:w="1102" w:type="dxa"/>
            <w:tcBorders>
              <w:top w:val="nil"/>
              <w:left w:val="nil"/>
              <w:bottom w:val="nil"/>
              <w:right w:val="nil"/>
            </w:tcBorders>
            <w:shd w:val="clear" w:color="auto" w:fill="auto"/>
            <w:noWrap/>
            <w:vAlign w:val="bottom"/>
            <w:hideMark/>
          </w:tcPr>
          <w:p w14:paraId="69AA219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0.821</w:t>
            </w:r>
          </w:p>
        </w:tc>
      </w:tr>
      <w:tr w:rsidR="00A03A9D" w:rsidRPr="00A03A9D" w14:paraId="409BFABD" w14:textId="77777777" w:rsidTr="003E3647">
        <w:trPr>
          <w:trHeight w:val="300"/>
        </w:trPr>
        <w:tc>
          <w:tcPr>
            <w:tcW w:w="960" w:type="dxa"/>
            <w:tcBorders>
              <w:top w:val="nil"/>
              <w:left w:val="nil"/>
              <w:bottom w:val="nil"/>
              <w:right w:val="nil"/>
            </w:tcBorders>
            <w:shd w:val="clear" w:color="auto" w:fill="auto"/>
            <w:noWrap/>
            <w:vAlign w:val="bottom"/>
            <w:hideMark/>
          </w:tcPr>
          <w:p w14:paraId="7F25925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200</w:t>
            </w:r>
          </w:p>
        </w:tc>
        <w:tc>
          <w:tcPr>
            <w:tcW w:w="960" w:type="dxa"/>
            <w:tcBorders>
              <w:top w:val="nil"/>
              <w:left w:val="nil"/>
              <w:bottom w:val="nil"/>
              <w:right w:val="nil"/>
            </w:tcBorders>
            <w:shd w:val="clear" w:color="auto" w:fill="auto"/>
            <w:noWrap/>
            <w:vAlign w:val="bottom"/>
            <w:hideMark/>
          </w:tcPr>
          <w:p w14:paraId="5F6CB25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1.501</w:t>
            </w:r>
          </w:p>
        </w:tc>
        <w:tc>
          <w:tcPr>
            <w:tcW w:w="1102" w:type="dxa"/>
            <w:tcBorders>
              <w:top w:val="nil"/>
              <w:left w:val="nil"/>
              <w:bottom w:val="nil"/>
              <w:right w:val="nil"/>
            </w:tcBorders>
            <w:shd w:val="clear" w:color="auto" w:fill="auto"/>
            <w:noWrap/>
            <w:vAlign w:val="bottom"/>
            <w:hideMark/>
          </w:tcPr>
          <w:p w14:paraId="68032C4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0.140</w:t>
            </w:r>
          </w:p>
        </w:tc>
        <w:tc>
          <w:tcPr>
            <w:tcW w:w="988" w:type="dxa"/>
            <w:tcBorders>
              <w:top w:val="nil"/>
              <w:left w:val="nil"/>
              <w:bottom w:val="nil"/>
              <w:right w:val="nil"/>
            </w:tcBorders>
            <w:shd w:val="clear" w:color="auto" w:fill="auto"/>
            <w:noWrap/>
            <w:vAlign w:val="bottom"/>
            <w:hideMark/>
          </w:tcPr>
          <w:p w14:paraId="5CC70DE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0.141</w:t>
            </w:r>
          </w:p>
        </w:tc>
        <w:tc>
          <w:tcPr>
            <w:tcW w:w="1132" w:type="dxa"/>
            <w:tcBorders>
              <w:top w:val="nil"/>
              <w:left w:val="nil"/>
              <w:bottom w:val="nil"/>
              <w:right w:val="nil"/>
            </w:tcBorders>
            <w:shd w:val="clear" w:color="auto" w:fill="auto"/>
            <w:noWrap/>
            <w:vAlign w:val="bottom"/>
            <w:hideMark/>
          </w:tcPr>
          <w:p w14:paraId="5B6DAD9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19A93CB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0.734</w:t>
            </w:r>
          </w:p>
        </w:tc>
        <w:tc>
          <w:tcPr>
            <w:tcW w:w="960" w:type="dxa"/>
            <w:tcBorders>
              <w:top w:val="nil"/>
              <w:left w:val="nil"/>
              <w:bottom w:val="nil"/>
              <w:right w:val="nil"/>
            </w:tcBorders>
            <w:shd w:val="clear" w:color="auto" w:fill="auto"/>
            <w:noWrap/>
            <w:vAlign w:val="bottom"/>
            <w:hideMark/>
          </w:tcPr>
          <w:p w14:paraId="0C8A2D0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0.731</w:t>
            </w:r>
          </w:p>
        </w:tc>
        <w:tc>
          <w:tcPr>
            <w:tcW w:w="1000" w:type="dxa"/>
            <w:tcBorders>
              <w:top w:val="nil"/>
              <w:left w:val="nil"/>
              <w:bottom w:val="nil"/>
              <w:right w:val="nil"/>
            </w:tcBorders>
            <w:shd w:val="clear" w:color="auto" w:fill="auto"/>
            <w:noWrap/>
            <w:vAlign w:val="bottom"/>
            <w:hideMark/>
          </w:tcPr>
          <w:p w14:paraId="2BEEB13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0.325</w:t>
            </w:r>
          </w:p>
        </w:tc>
        <w:tc>
          <w:tcPr>
            <w:tcW w:w="1102" w:type="dxa"/>
            <w:tcBorders>
              <w:top w:val="nil"/>
              <w:left w:val="nil"/>
              <w:bottom w:val="nil"/>
              <w:right w:val="nil"/>
            </w:tcBorders>
            <w:shd w:val="clear" w:color="auto" w:fill="auto"/>
            <w:noWrap/>
            <w:vAlign w:val="bottom"/>
            <w:hideMark/>
          </w:tcPr>
          <w:p w14:paraId="7F10BFD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0.750</w:t>
            </w:r>
          </w:p>
        </w:tc>
      </w:tr>
      <w:tr w:rsidR="00A03A9D" w:rsidRPr="00A03A9D" w14:paraId="65015AE2" w14:textId="77777777" w:rsidTr="003E3647">
        <w:trPr>
          <w:trHeight w:val="300"/>
        </w:trPr>
        <w:tc>
          <w:tcPr>
            <w:tcW w:w="960" w:type="dxa"/>
            <w:tcBorders>
              <w:top w:val="nil"/>
              <w:left w:val="nil"/>
              <w:bottom w:val="nil"/>
              <w:right w:val="nil"/>
            </w:tcBorders>
            <w:shd w:val="clear" w:color="auto" w:fill="auto"/>
            <w:noWrap/>
            <w:vAlign w:val="bottom"/>
            <w:hideMark/>
          </w:tcPr>
          <w:p w14:paraId="3AEEEC84"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300</w:t>
            </w:r>
          </w:p>
        </w:tc>
        <w:tc>
          <w:tcPr>
            <w:tcW w:w="960" w:type="dxa"/>
            <w:tcBorders>
              <w:top w:val="nil"/>
              <w:left w:val="nil"/>
              <w:bottom w:val="nil"/>
              <w:right w:val="nil"/>
            </w:tcBorders>
            <w:shd w:val="clear" w:color="auto" w:fill="auto"/>
            <w:noWrap/>
            <w:vAlign w:val="bottom"/>
            <w:hideMark/>
          </w:tcPr>
          <w:p w14:paraId="7AF4653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1.499</w:t>
            </w:r>
          </w:p>
        </w:tc>
        <w:tc>
          <w:tcPr>
            <w:tcW w:w="1102" w:type="dxa"/>
            <w:tcBorders>
              <w:top w:val="nil"/>
              <w:left w:val="nil"/>
              <w:bottom w:val="nil"/>
              <w:right w:val="nil"/>
            </w:tcBorders>
            <w:shd w:val="clear" w:color="auto" w:fill="auto"/>
            <w:noWrap/>
            <w:vAlign w:val="bottom"/>
            <w:hideMark/>
          </w:tcPr>
          <w:p w14:paraId="0CDB999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0.117</w:t>
            </w:r>
          </w:p>
        </w:tc>
        <w:tc>
          <w:tcPr>
            <w:tcW w:w="988" w:type="dxa"/>
            <w:tcBorders>
              <w:top w:val="nil"/>
              <w:left w:val="nil"/>
              <w:bottom w:val="nil"/>
              <w:right w:val="nil"/>
            </w:tcBorders>
            <w:shd w:val="clear" w:color="auto" w:fill="auto"/>
            <w:noWrap/>
            <w:vAlign w:val="bottom"/>
            <w:hideMark/>
          </w:tcPr>
          <w:p w14:paraId="5FA1038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0.116</w:t>
            </w:r>
          </w:p>
        </w:tc>
        <w:tc>
          <w:tcPr>
            <w:tcW w:w="1132" w:type="dxa"/>
            <w:tcBorders>
              <w:top w:val="nil"/>
              <w:left w:val="nil"/>
              <w:bottom w:val="nil"/>
              <w:right w:val="nil"/>
            </w:tcBorders>
            <w:shd w:val="clear" w:color="auto" w:fill="auto"/>
            <w:noWrap/>
            <w:vAlign w:val="bottom"/>
            <w:hideMark/>
          </w:tcPr>
          <w:p w14:paraId="3F108C8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78EB41D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0.474</w:t>
            </w:r>
          </w:p>
        </w:tc>
        <w:tc>
          <w:tcPr>
            <w:tcW w:w="960" w:type="dxa"/>
            <w:tcBorders>
              <w:top w:val="nil"/>
              <w:left w:val="nil"/>
              <w:bottom w:val="nil"/>
              <w:right w:val="nil"/>
            </w:tcBorders>
            <w:shd w:val="clear" w:color="auto" w:fill="auto"/>
            <w:noWrap/>
            <w:vAlign w:val="bottom"/>
            <w:hideMark/>
          </w:tcPr>
          <w:p w14:paraId="744A0DE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0.479</w:t>
            </w:r>
          </w:p>
        </w:tc>
        <w:tc>
          <w:tcPr>
            <w:tcW w:w="1000" w:type="dxa"/>
            <w:tcBorders>
              <w:top w:val="nil"/>
              <w:left w:val="nil"/>
              <w:bottom w:val="nil"/>
              <w:right w:val="nil"/>
            </w:tcBorders>
            <w:shd w:val="clear" w:color="auto" w:fill="auto"/>
            <w:noWrap/>
            <w:vAlign w:val="bottom"/>
            <w:hideMark/>
          </w:tcPr>
          <w:p w14:paraId="580347E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0.300</w:t>
            </w:r>
          </w:p>
        </w:tc>
        <w:tc>
          <w:tcPr>
            <w:tcW w:w="1102" w:type="dxa"/>
            <w:tcBorders>
              <w:top w:val="nil"/>
              <w:left w:val="nil"/>
              <w:bottom w:val="nil"/>
              <w:right w:val="nil"/>
            </w:tcBorders>
            <w:shd w:val="clear" w:color="auto" w:fill="auto"/>
            <w:noWrap/>
            <w:vAlign w:val="bottom"/>
            <w:hideMark/>
          </w:tcPr>
          <w:p w14:paraId="10E9662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0.111</w:t>
            </w:r>
          </w:p>
        </w:tc>
      </w:tr>
      <w:tr w:rsidR="00A03A9D" w:rsidRPr="00A03A9D" w14:paraId="322D31E6" w14:textId="77777777" w:rsidTr="003E3647">
        <w:trPr>
          <w:trHeight w:val="300"/>
        </w:trPr>
        <w:tc>
          <w:tcPr>
            <w:tcW w:w="960" w:type="dxa"/>
            <w:tcBorders>
              <w:top w:val="nil"/>
              <w:left w:val="nil"/>
              <w:bottom w:val="nil"/>
              <w:right w:val="nil"/>
            </w:tcBorders>
            <w:shd w:val="clear" w:color="auto" w:fill="auto"/>
            <w:noWrap/>
            <w:vAlign w:val="bottom"/>
            <w:hideMark/>
          </w:tcPr>
          <w:p w14:paraId="0008731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400</w:t>
            </w:r>
          </w:p>
        </w:tc>
        <w:tc>
          <w:tcPr>
            <w:tcW w:w="960" w:type="dxa"/>
            <w:tcBorders>
              <w:top w:val="nil"/>
              <w:left w:val="nil"/>
              <w:bottom w:val="nil"/>
              <w:right w:val="nil"/>
            </w:tcBorders>
            <w:shd w:val="clear" w:color="auto" w:fill="auto"/>
            <w:noWrap/>
            <w:vAlign w:val="bottom"/>
            <w:hideMark/>
          </w:tcPr>
          <w:p w14:paraId="5F33C47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60041EC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0.102</w:t>
            </w:r>
          </w:p>
        </w:tc>
        <w:tc>
          <w:tcPr>
            <w:tcW w:w="988" w:type="dxa"/>
            <w:tcBorders>
              <w:top w:val="nil"/>
              <w:left w:val="nil"/>
              <w:bottom w:val="nil"/>
              <w:right w:val="nil"/>
            </w:tcBorders>
            <w:shd w:val="clear" w:color="auto" w:fill="auto"/>
            <w:noWrap/>
            <w:vAlign w:val="bottom"/>
            <w:hideMark/>
          </w:tcPr>
          <w:p w14:paraId="191CDBAF"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0.100</w:t>
            </w:r>
          </w:p>
        </w:tc>
        <w:tc>
          <w:tcPr>
            <w:tcW w:w="1132" w:type="dxa"/>
            <w:tcBorders>
              <w:top w:val="nil"/>
              <w:left w:val="nil"/>
              <w:bottom w:val="nil"/>
              <w:right w:val="nil"/>
            </w:tcBorders>
            <w:shd w:val="clear" w:color="auto" w:fill="auto"/>
            <w:noWrap/>
            <w:vAlign w:val="bottom"/>
            <w:hideMark/>
          </w:tcPr>
          <w:p w14:paraId="03248EF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0.002</w:t>
            </w:r>
          </w:p>
        </w:tc>
        <w:tc>
          <w:tcPr>
            <w:tcW w:w="960" w:type="dxa"/>
            <w:tcBorders>
              <w:top w:val="nil"/>
              <w:left w:val="nil"/>
              <w:bottom w:val="nil"/>
              <w:right w:val="nil"/>
            </w:tcBorders>
            <w:shd w:val="clear" w:color="auto" w:fill="auto"/>
            <w:noWrap/>
            <w:vAlign w:val="bottom"/>
            <w:hideMark/>
          </w:tcPr>
          <w:p w14:paraId="2C8C2FC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0.984</w:t>
            </w:r>
          </w:p>
        </w:tc>
        <w:tc>
          <w:tcPr>
            <w:tcW w:w="960" w:type="dxa"/>
            <w:tcBorders>
              <w:top w:val="nil"/>
              <w:left w:val="nil"/>
              <w:bottom w:val="nil"/>
              <w:right w:val="nil"/>
            </w:tcBorders>
            <w:shd w:val="clear" w:color="auto" w:fill="auto"/>
            <w:noWrap/>
            <w:vAlign w:val="bottom"/>
            <w:hideMark/>
          </w:tcPr>
          <w:p w14:paraId="1912C88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0.985</w:t>
            </w:r>
          </w:p>
        </w:tc>
        <w:tc>
          <w:tcPr>
            <w:tcW w:w="1000" w:type="dxa"/>
            <w:tcBorders>
              <w:top w:val="nil"/>
              <w:left w:val="nil"/>
              <w:bottom w:val="nil"/>
              <w:right w:val="nil"/>
            </w:tcBorders>
            <w:shd w:val="clear" w:color="auto" w:fill="auto"/>
            <w:noWrap/>
            <w:vAlign w:val="bottom"/>
            <w:hideMark/>
          </w:tcPr>
          <w:p w14:paraId="00A3D9F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0.051</w:t>
            </w:r>
          </w:p>
        </w:tc>
        <w:tc>
          <w:tcPr>
            <w:tcW w:w="1102" w:type="dxa"/>
            <w:tcBorders>
              <w:top w:val="nil"/>
              <w:left w:val="nil"/>
              <w:bottom w:val="nil"/>
              <w:right w:val="nil"/>
            </w:tcBorders>
            <w:shd w:val="clear" w:color="auto" w:fill="auto"/>
            <w:noWrap/>
            <w:vAlign w:val="bottom"/>
            <w:hideMark/>
          </w:tcPr>
          <w:p w14:paraId="28ED499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0.429</w:t>
            </w:r>
          </w:p>
        </w:tc>
      </w:tr>
      <w:tr w:rsidR="00A03A9D" w:rsidRPr="00A03A9D" w14:paraId="52A1CDDB" w14:textId="77777777" w:rsidTr="003E3647">
        <w:trPr>
          <w:trHeight w:val="300"/>
        </w:trPr>
        <w:tc>
          <w:tcPr>
            <w:tcW w:w="960" w:type="dxa"/>
            <w:tcBorders>
              <w:top w:val="nil"/>
              <w:left w:val="nil"/>
              <w:bottom w:val="nil"/>
              <w:right w:val="nil"/>
            </w:tcBorders>
            <w:shd w:val="clear" w:color="auto" w:fill="auto"/>
            <w:noWrap/>
            <w:vAlign w:val="bottom"/>
            <w:hideMark/>
          </w:tcPr>
          <w:p w14:paraId="0AE0163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500</w:t>
            </w:r>
          </w:p>
        </w:tc>
        <w:tc>
          <w:tcPr>
            <w:tcW w:w="960" w:type="dxa"/>
            <w:tcBorders>
              <w:top w:val="nil"/>
              <w:left w:val="nil"/>
              <w:bottom w:val="nil"/>
              <w:right w:val="nil"/>
            </w:tcBorders>
            <w:shd w:val="clear" w:color="auto" w:fill="auto"/>
            <w:noWrap/>
            <w:vAlign w:val="bottom"/>
            <w:hideMark/>
          </w:tcPr>
          <w:p w14:paraId="51C0188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5179B02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0.091</w:t>
            </w:r>
          </w:p>
        </w:tc>
        <w:tc>
          <w:tcPr>
            <w:tcW w:w="988" w:type="dxa"/>
            <w:tcBorders>
              <w:top w:val="nil"/>
              <w:left w:val="nil"/>
              <w:bottom w:val="nil"/>
              <w:right w:val="nil"/>
            </w:tcBorders>
            <w:shd w:val="clear" w:color="auto" w:fill="auto"/>
            <w:noWrap/>
            <w:vAlign w:val="bottom"/>
            <w:hideMark/>
          </w:tcPr>
          <w:p w14:paraId="44676D5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0.089</w:t>
            </w:r>
          </w:p>
        </w:tc>
        <w:tc>
          <w:tcPr>
            <w:tcW w:w="1132" w:type="dxa"/>
            <w:tcBorders>
              <w:top w:val="nil"/>
              <w:left w:val="nil"/>
              <w:bottom w:val="nil"/>
              <w:right w:val="nil"/>
            </w:tcBorders>
            <w:shd w:val="clear" w:color="auto" w:fill="auto"/>
            <w:noWrap/>
            <w:vAlign w:val="bottom"/>
            <w:hideMark/>
          </w:tcPr>
          <w:p w14:paraId="4EDA335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23EF714F"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0.978</w:t>
            </w:r>
          </w:p>
        </w:tc>
        <w:tc>
          <w:tcPr>
            <w:tcW w:w="960" w:type="dxa"/>
            <w:tcBorders>
              <w:top w:val="nil"/>
              <w:left w:val="nil"/>
              <w:bottom w:val="nil"/>
              <w:right w:val="nil"/>
            </w:tcBorders>
            <w:shd w:val="clear" w:color="auto" w:fill="auto"/>
            <w:noWrap/>
            <w:vAlign w:val="bottom"/>
            <w:hideMark/>
          </w:tcPr>
          <w:p w14:paraId="33DAB71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0.979</w:t>
            </w:r>
          </w:p>
        </w:tc>
        <w:tc>
          <w:tcPr>
            <w:tcW w:w="1000" w:type="dxa"/>
            <w:tcBorders>
              <w:top w:val="nil"/>
              <w:left w:val="nil"/>
              <w:bottom w:val="nil"/>
              <w:right w:val="nil"/>
            </w:tcBorders>
            <w:shd w:val="clear" w:color="auto" w:fill="auto"/>
            <w:noWrap/>
            <w:vAlign w:val="bottom"/>
            <w:hideMark/>
          </w:tcPr>
          <w:p w14:paraId="68AEF3ED"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0.116</w:t>
            </w:r>
          </w:p>
        </w:tc>
        <w:tc>
          <w:tcPr>
            <w:tcW w:w="1102" w:type="dxa"/>
            <w:tcBorders>
              <w:top w:val="nil"/>
              <w:left w:val="nil"/>
              <w:bottom w:val="nil"/>
              <w:right w:val="nil"/>
            </w:tcBorders>
            <w:shd w:val="clear" w:color="auto" w:fill="auto"/>
            <w:noWrap/>
            <w:vAlign w:val="bottom"/>
            <w:hideMark/>
          </w:tcPr>
          <w:p w14:paraId="1AD0ADA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0.818</w:t>
            </w:r>
          </w:p>
        </w:tc>
      </w:tr>
      <w:tr w:rsidR="00A03A9D" w:rsidRPr="00A03A9D" w14:paraId="34D752D8" w14:textId="77777777" w:rsidTr="003E3647">
        <w:trPr>
          <w:trHeight w:val="300"/>
        </w:trPr>
        <w:tc>
          <w:tcPr>
            <w:tcW w:w="960" w:type="dxa"/>
            <w:tcBorders>
              <w:top w:val="nil"/>
              <w:left w:val="nil"/>
              <w:bottom w:val="nil"/>
              <w:right w:val="nil"/>
            </w:tcBorders>
            <w:shd w:val="clear" w:color="auto" w:fill="auto"/>
            <w:noWrap/>
            <w:vAlign w:val="bottom"/>
            <w:hideMark/>
          </w:tcPr>
          <w:p w14:paraId="246338A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600</w:t>
            </w:r>
          </w:p>
        </w:tc>
        <w:tc>
          <w:tcPr>
            <w:tcW w:w="960" w:type="dxa"/>
            <w:tcBorders>
              <w:top w:val="nil"/>
              <w:left w:val="nil"/>
              <w:bottom w:val="nil"/>
              <w:right w:val="nil"/>
            </w:tcBorders>
            <w:shd w:val="clear" w:color="auto" w:fill="auto"/>
            <w:noWrap/>
            <w:vAlign w:val="bottom"/>
            <w:hideMark/>
          </w:tcPr>
          <w:p w14:paraId="0D804BD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1.501</w:t>
            </w:r>
          </w:p>
        </w:tc>
        <w:tc>
          <w:tcPr>
            <w:tcW w:w="1102" w:type="dxa"/>
            <w:tcBorders>
              <w:top w:val="nil"/>
              <w:left w:val="nil"/>
              <w:bottom w:val="nil"/>
              <w:right w:val="nil"/>
            </w:tcBorders>
            <w:shd w:val="clear" w:color="auto" w:fill="auto"/>
            <w:noWrap/>
            <w:vAlign w:val="bottom"/>
            <w:hideMark/>
          </w:tcPr>
          <w:p w14:paraId="0DE91D7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0.081</w:t>
            </w:r>
          </w:p>
        </w:tc>
        <w:tc>
          <w:tcPr>
            <w:tcW w:w="988" w:type="dxa"/>
            <w:tcBorders>
              <w:top w:val="nil"/>
              <w:left w:val="nil"/>
              <w:bottom w:val="nil"/>
              <w:right w:val="nil"/>
            </w:tcBorders>
            <w:shd w:val="clear" w:color="auto" w:fill="auto"/>
            <w:noWrap/>
            <w:vAlign w:val="bottom"/>
            <w:hideMark/>
          </w:tcPr>
          <w:p w14:paraId="431B3857"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0.082</w:t>
            </w:r>
          </w:p>
        </w:tc>
        <w:tc>
          <w:tcPr>
            <w:tcW w:w="1132" w:type="dxa"/>
            <w:tcBorders>
              <w:top w:val="nil"/>
              <w:left w:val="nil"/>
              <w:bottom w:val="nil"/>
              <w:right w:val="nil"/>
            </w:tcBorders>
            <w:shd w:val="clear" w:color="auto" w:fill="auto"/>
            <w:noWrap/>
            <w:vAlign w:val="bottom"/>
            <w:hideMark/>
          </w:tcPr>
          <w:p w14:paraId="064D359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5B0E202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0.532</w:t>
            </w:r>
          </w:p>
        </w:tc>
        <w:tc>
          <w:tcPr>
            <w:tcW w:w="960" w:type="dxa"/>
            <w:tcBorders>
              <w:top w:val="nil"/>
              <w:left w:val="nil"/>
              <w:bottom w:val="nil"/>
              <w:right w:val="nil"/>
            </w:tcBorders>
            <w:shd w:val="clear" w:color="auto" w:fill="auto"/>
            <w:noWrap/>
            <w:vAlign w:val="bottom"/>
            <w:hideMark/>
          </w:tcPr>
          <w:p w14:paraId="47F51FE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0.528</w:t>
            </w:r>
          </w:p>
        </w:tc>
        <w:tc>
          <w:tcPr>
            <w:tcW w:w="1000" w:type="dxa"/>
            <w:tcBorders>
              <w:top w:val="nil"/>
              <w:left w:val="nil"/>
              <w:bottom w:val="nil"/>
              <w:right w:val="nil"/>
            </w:tcBorders>
            <w:shd w:val="clear" w:color="auto" w:fill="auto"/>
            <w:noWrap/>
            <w:vAlign w:val="bottom"/>
            <w:hideMark/>
          </w:tcPr>
          <w:p w14:paraId="21D6050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0.339</w:t>
            </w:r>
          </w:p>
        </w:tc>
        <w:tc>
          <w:tcPr>
            <w:tcW w:w="1102" w:type="dxa"/>
            <w:tcBorders>
              <w:top w:val="nil"/>
              <w:left w:val="nil"/>
              <w:bottom w:val="nil"/>
              <w:right w:val="nil"/>
            </w:tcBorders>
            <w:shd w:val="clear" w:color="auto" w:fill="auto"/>
            <w:noWrap/>
            <w:vAlign w:val="bottom"/>
            <w:hideMark/>
          </w:tcPr>
          <w:p w14:paraId="2A8B15FD"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0.909</w:t>
            </w:r>
          </w:p>
        </w:tc>
      </w:tr>
      <w:tr w:rsidR="00A03A9D" w:rsidRPr="00A03A9D" w14:paraId="76ADC531" w14:textId="77777777" w:rsidTr="003E3647">
        <w:trPr>
          <w:trHeight w:val="300"/>
        </w:trPr>
        <w:tc>
          <w:tcPr>
            <w:tcW w:w="960" w:type="dxa"/>
            <w:tcBorders>
              <w:top w:val="nil"/>
              <w:left w:val="nil"/>
              <w:bottom w:val="nil"/>
              <w:right w:val="nil"/>
            </w:tcBorders>
            <w:shd w:val="clear" w:color="auto" w:fill="auto"/>
            <w:noWrap/>
            <w:vAlign w:val="bottom"/>
            <w:hideMark/>
          </w:tcPr>
          <w:p w14:paraId="4391EA5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700</w:t>
            </w:r>
          </w:p>
        </w:tc>
        <w:tc>
          <w:tcPr>
            <w:tcW w:w="960" w:type="dxa"/>
            <w:tcBorders>
              <w:top w:val="nil"/>
              <w:left w:val="nil"/>
              <w:bottom w:val="nil"/>
              <w:right w:val="nil"/>
            </w:tcBorders>
            <w:shd w:val="clear" w:color="auto" w:fill="auto"/>
            <w:noWrap/>
            <w:vAlign w:val="bottom"/>
            <w:hideMark/>
          </w:tcPr>
          <w:p w14:paraId="4FD78BC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1B1952E4"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0.075</w:t>
            </w:r>
          </w:p>
        </w:tc>
        <w:tc>
          <w:tcPr>
            <w:tcW w:w="988" w:type="dxa"/>
            <w:tcBorders>
              <w:top w:val="nil"/>
              <w:left w:val="nil"/>
              <w:bottom w:val="nil"/>
              <w:right w:val="nil"/>
            </w:tcBorders>
            <w:shd w:val="clear" w:color="auto" w:fill="auto"/>
            <w:noWrap/>
            <w:vAlign w:val="bottom"/>
            <w:hideMark/>
          </w:tcPr>
          <w:p w14:paraId="358DBE4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0.076</w:t>
            </w:r>
          </w:p>
        </w:tc>
        <w:tc>
          <w:tcPr>
            <w:tcW w:w="1132" w:type="dxa"/>
            <w:tcBorders>
              <w:top w:val="nil"/>
              <w:left w:val="nil"/>
              <w:bottom w:val="nil"/>
              <w:right w:val="nil"/>
            </w:tcBorders>
            <w:shd w:val="clear" w:color="auto" w:fill="auto"/>
            <w:noWrap/>
            <w:vAlign w:val="bottom"/>
            <w:hideMark/>
          </w:tcPr>
          <w:p w14:paraId="19C8C41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46187A1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0.827</w:t>
            </w:r>
          </w:p>
        </w:tc>
        <w:tc>
          <w:tcPr>
            <w:tcW w:w="960" w:type="dxa"/>
            <w:tcBorders>
              <w:top w:val="nil"/>
              <w:left w:val="nil"/>
              <w:bottom w:val="nil"/>
              <w:right w:val="nil"/>
            </w:tcBorders>
            <w:shd w:val="clear" w:color="auto" w:fill="auto"/>
            <w:noWrap/>
            <w:vAlign w:val="bottom"/>
            <w:hideMark/>
          </w:tcPr>
          <w:p w14:paraId="3410408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0.825</w:t>
            </w:r>
          </w:p>
        </w:tc>
        <w:tc>
          <w:tcPr>
            <w:tcW w:w="1000" w:type="dxa"/>
            <w:tcBorders>
              <w:top w:val="nil"/>
              <w:left w:val="nil"/>
              <w:bottom w:val="nil"/>
              <w:right w:val="nil"/>
            </w:tcBorders>
            <w:shd w:val="clear" w:color="auto" w:fill="auto"/>
            <w:noWrap/>
            <w:vAlign w:val="bottom"/>
            <w:hideMark/>
          </w:tcPr>
          <w:p w14:paraId="6E88977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0.336</w:t>
            </w:r>
          </w:p>
        </w:tc>
        <w:tc>
          <w:tcPr>
            <w:tcW w:w="1102" w:type="dxa"/>
            <w:tcBorders>
              <w:top w:val="nil"/>
              <w:left w:val="nil"/>
              <w:bottom w:val="nil"/>
              <w:right w:val="nil"/>
            </w:tcBorders>
            <w:shd w:val="clear" w:color="auto" w:fill="auto"/>
            <w:noWrap/>
            <w:vAlign w:val="bottom"/>
            <w:hideMark/>
          </w:tcPr>
          <w:p w14:paraId="0928A0C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0.060</w:t>
            </w:r>
          </w:p>
        </w:tc>
      </w:tr>
      <w:tr w:rsidR="00A03A9D" w:rsidRPr="00A03A9D" w14:paraId="1D759A93" w14:textId="77777777" w:rsidTr="003E3647">
        <w:trPr>
          <w:trHeight w:val="300"/>
        </w:trPr>
        <w:tc>
          <w:tcPr>
            <w:tcW w:w="960" w:type="dxa"/>
            <w:tcBorders>
              <w:top w:val="nil"/>
              <w:left w:val="nil"/>
              <w:bottom w:val="nil"/>
              <w:right w:val="nil"/>
            </w:tcBorders>
            <w:shd w:val="clear" w:color="auto" w:fill="auto"/>
            <w:noWrap/>
            <w:vAlign w:val="bottom"/>
            <w:hideMark/>
          </w:tcPr>
          <w:p w14:paraId="0372D82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800</w:t>
            </w:r>
          </w:p>
        </w:tc>
        <w:tc>
          <w:tcPr>
            <w:tcW w:w="960" w:type="dxa"/>
            <w:tcBorders>
              <w:top w:val="nil"/>
              <w:left w:val="nil"/>
              <w:bottom w:val="nil"/>
              <w:right w:val="nil"/>
            </w:tcBorders>
            <w:shd w:val="clear" w:color="auto" w:fill="auto"/>
            <w:noWrap/>
            <w:vAlign w:val="bottom"/>
            <w:hideMark/>
          </w:tcPr>
          <w:p w14:paraId="67DADA4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51F4EA0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0.070</w:t>
            </w:r>
          </w:p>
        </w:tc>
        <w:tc>
          <w:tcPr>
            <w:tcW w:w="988" w:type="dxa"/>
            <w:tcBorders>
              <w:top w:val="nil"/>
              <w:left w:val="nil"/>
              <w:bottom w:val="nil"/>
              <w:right w:val="nil"/>
            </w:tcBorders>
            <w:shd w:val="clear" w:color="auto" w:fill="auto"/>
            <w:noWrap/>
            <w:vAlign w:val="bottom"/>
            <w:hideMark/>
          </w:tcPr>
          <w:p w14:paraId="3BC1E6C7"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0.071</w:t>
            </w:r>
          </w:p>
        </w:tc>
        <w:tc>
          <w:tcPr>
            <w:tcW w:w="1132" w:type="dxa"/>
            <w:tcBorders>
              <w:top w:val="nil"/>
              <w:left w:val="nil"/>
              <w:bottom w:val="nil"/>
              <w:right w:val="nil"/>
            </w:tcBorders>
            <w:shd w:val="clear" w:color="auto" w:fill="auto"/>
            <w:noWrap/>
            <w:vAlign w:val="bottom"/>
            <w:hideMark/>
          </w:tcPr>
          <w:p w14:paraId="18BF45E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0.000</w:t>
            </w:r>
          </w:p>
        </w:tc>
        <w:tc>
          <w:tcPr>
            <w:tcW w:w="960" w:type="dxa"/>
            <w:tcBorders>
              <w:top w:val="nil"/>
              <w:left w:val="nil"/>
              <w:bottom w:val="nil"/>
              <w:right w:val="nil"/>
            </w:tcBorders>
            <w:shd w:val="clear" w:color="auto" w:fill="auto"/>
            <w:noWrap/>
            <w:vAlign w:val="bottom"/>
            <w:hideMark/>
          </w:tcPr>
          <w:p w14:paraId="7CE947B7"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0.680</w:t>
            </w:r>
          </w:p>
        </w:tc>
        <w:tc>
          <w:tcPr>
            <w:tcW w:w="960" w:type="dxa"/>
            <w:tcBorders>
              <w:top w:val="nil"/>
              <w:left w:val="nil"/>
              <w:bottom w:val="nil"/>
              <w:right w:val="nil"/>
            </w:tcBorders>
            <w:shd w:val="clear" w:color="auto" w:fill="auto"/>
            <w:noWrap/>
            <w:vAlign w:val="bottom"/>
            <w:hideMark/>
          </w:tcPr>
          <w:p w14:paraId="1C713C6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0.678</w:t>
            </w:r>
          </w:p>
        </w:tc>
        <w:tc>
          <w:tcPr>
            <w:tcW w:w="1000" w:type="dxa"/>
            <w:tcBorders>
              <w:top w:val="nil"/>
              <w:left w:val="nil"/>
              <w:bottom w:val="nil"/>
              <w:right w:val="nil"/>
            </w:tcBorders>
            <w:shd w:val="clear" w:color="auto" w:fill="auto"/>
            <w:noWrap/>
            <w:vAlign w:val="bottom"/>
            <w:hideMark/>
          </w:tcPr>
          <w:p w14:paraId="3F271E4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0.611</w:t>
            </w:r>
          </w:p>
        </w:tc>
        <w:tc>
          <w:tcPr>
            <w:tcW w:w="1102" w:type="dxa"/>
            <w:tcBorders>
              <w:top w:val="nil"/>
              <w:left w:val="nil"/>
              <w:bottom w:val="nil"/>
              <w:right w:val="nil"/>
            </w:tcBorders>
            <w:shd w:val="clear" w:color="auto" w:fill="auto"/>
            <w:noWrap/>
            <w:vAlign w:val="bottom"/>
            <w:hideMark/>
          </w:tcPr>
          <w:p w14:paraId="5AC0472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0.758</w:t>
            </w:r>
          </w:p>
        </w:tc>
      </w:tr>
      <w:tr w:rsidR="00A03A9D" w:rsidRPr="00A03A9D" w14:paraId="58A8456C" w14:textId="77777777" w:rsidTr="003E3647">
        <w:trPr>
          <w:trHeight w:val="300"/>
        </w:trPr>
        <w:tc>
          <w:tcPr>
            <w:tcW w:w="960" w:type="dxa"/>
            <w:tcBorders>
              <w:top w:val="nil"/>
              <w:left w:val="nil"/>
              <w:right w:val="nil"/>
            </w:tcBorders>
            <w:shd w:val="clear" w:color="auto" w:fill="auto"/>
            <w:noWrap/>
            <w:vAlign w:val="bottom"/>
            <w:hideMark/>
          </w:tcPr>
          <w:p w14:paraId="43B7CE3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900</w:t>
            </w:r>
          </w:p>
        </w:tc>
        <w:tc>
          <w:tcPr>
            <w:tcW w:w="960" w:type="dxa"/>
            <w:tcBorders>
              <w:top w:val="nil"/>
              <w:left w:val="nil"/>
              <w:right w:val="nil"/>
            </w:tcBorders>
            <w:shd w:val="clear" w:color="auto" w:fill="auto"/>
            <w:noWrap/>
            <w:vAlign w:val="bottom"/>
            <w:hideMark/>
          </w:tcPr>
          <w:p w14:paraId="7D6F2BD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right w:val="nil"/>
            </w:tcBorders>
            <w:shd w:val="clear" w:color="auto" w:fill="auto"/>
            <w:noWrap/>
            <w:vAlign w:val="bottom"/>
            <w:hideMark/>
          </w:tcPr>
          <w:p w14:paraId="2CF277E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0.067</w:t>
            </w:r>
          </w:p>
        </w:tc>
        <w:tc>
          <w:tcPr>
            <w:tcW w:w="988" w:type="dxa"/>
            <w:tcBorders>
              <w:top w:val="nil"/>
              <w:left w:val="nil"/>
              <w:right w:val="nil"/>
            </w:tcBorders>
            <w:shd w:val="clear" w:color="auto" w:fill="auto"/>
            <w:noWrap/>
            <w:vAlign w:val="bottom"/>
            <w:hideMark/>
          </w:tcPr>
          <w:p w14:paraId="6CEDCE6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0.067</w:t>
            </w:r>
          </w:p>
        </w:tc>
        <w:tc>
          <w:tcPr>
            <w:tcW w:w="1132" w:type="dxa"/>
            <w:tcBorders>
              <w:top w:val="nil"/>
              <w:left w:val="nil"/>
              <w:right w:val="nil"/>
            </w:tcBorders>
            <w:shd w:val="clear" w:color="auto" w:fill="auto"/>
            <w:noWrap/>
            <w:vAlign w:val="bottom"/>
            <w:hideMark/>
          </w:tcPr>
          <w:p w14:paraId="7A13185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0.000</w:t>
            </w:r>
          </w:p>
        </w:tc>
        <w:tc>
          <w:tcPr>
            <w:tcW w:w="960" w:type="dxa"/>
            <w:tcBorders>
              <w:top w:val="nil"/>
              <w:left w:val="nil"/>
              <w:right w:val="nil"/>
            </w:tcBorders>
            <w:shd w:val="clear" w:color="auto" w:fill="auto"/>
            <w:noWrap/>
            <w:vAlign w:val="bottom"/>
            <w:hideMark/>
          </w:tcPr>
          <w:p w14:paraId="49995E9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0.634</w:t>
            </w:r>
          </w:p>
        </w:tc>
        <w:tc>
          <w:tcPr>
            <w:tcW w:w="960" w:type="dxa"/>
            <w:tcBorders>
              <w:top w:val="nil"/>
              <w:left w:val="nil"/>
              <w:right w:val="nil"/>
            </w:tcBorders>
            <w:shd w:val="clear" w:color="auto" w:fill="auto"/>
            <w:noWrap/>
            <w:vAlign w:val="bottom"/>
            <w:hideMark/>
          </w:tcPr>
          <w:p w14:paraId="1BCF1F2D"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0.634</w:t>
            </w:r>
          </w:p>
        </w:tc>
        <w:tc>
          <w:tcPr>
            <w:tcW w:w="1000" w:type="dxa"/>
            <w:tcBorders>
              <w:top w:val="nil"/>
              <w:left w:val="nil"/>
              <w:right w:val="nil"/>
            </w:tcBorders>
            <w:shd w:val="clear" w:color="auto" w:fill="auto"/>
            <w:noWrap/>
            <w:vAlign w:val="bottom"/>
            <w:hideMark/>
          </w:tcPr>
          <w:p w14:paraId="73EBC40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0.980</w:t>
            </w:r>
          </w:p>
        </w:tc>
        <w:tc>
          <w:tcPr>
            <w:tcW w:w="1102" w:type="dxa"/>
            <w:tcBorders>
              <w:top w:val="nil"/>
              <w:left w:val="nil"/>
              <w:right w:val="nil"/>
            </w:tcBorders>
            <w:shd w:val="clear" w:color="auto" w:fill="auto"/>
            <w:noWrap/>
            <w:vAlign w:val="bottom"/>
            <w:hideMark/>
          </w:tcPr>
          <w:p w14:paraId="36CC5A1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0.007</w:t>
            </w:r>
          </w:p>
        </w:tc>
      </w:tr>
      <w:tr w:rsidR="00A03A9D" w:rsidRPr="00A03A9D" w14:paraId="0EDA75FC" w14:textId="77777777" w:rsidTr="003E3647">
        <w:trPr>
          <w:trHeight w:val="300"/>
        </w:trPr>
        <w:tc>
          <w:tcPr>
            <w:tcW w:w="960" w:type="dxa"/>
            <w:tcBorders>
              <w:top w:val="nil"/>
              <w:left w:val="nil"/>
              <w:bottom w:val="single" w:sz="4" w:space="0" w:color="auto"/>
              <w:right w:val="nil"/>
            </w:tcBorders>
            <w:shd w:val="clear" w:color="auto" w:fill="auto"/>
            <w:noWrap/>
            <w:vAlign w:val="bottom"/>
            <w:hideMark/>
          </w:tcPr>
          <w:p w14:paraId="4A7C14C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1000</w:t>
            </w:r>
          </w:p>
        </w:tc>
        <w:tc>
          <w:tcPr>
            <w:tcW w:w="960" w:type="dxa"/>
            <w:tcBorders>
              <w:top w:val="nil"/>
              <w:left w:val="nil"/>
              <w:bottom w:val="single" w:sz="4" w:space="0" w:color="auto"/>
              <w:right w:val="nil"/>
            </w:tcBorders>
            <w:shd w:val="clear" w:color="auto" w:fill="auto"/>
            <w:noWrap/>
            <w:vAlign w:val="bottom"/>
            <w:hideMark/>
          </w:tcPr>
          <w:p w14:paraId="153505C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1.498</w:t>
            </w:r>
          </w:p>
        </w:tc>
        <w:tc>
          <w:tcPr>
            <w:tcW w:w="1102" w:type="dxa"/>
            <w:tcBorders>
              <w:top w:val="nil"/>
              <w:left w:val="nil"/>
              <w:bottom w:val="single" w:sz="4" w:space="0" w:color="auto"/>
              <w:right w:val="nil"/>
            </w:tcBorders>
            <w:shd w:val="clear" w:color="auto" w:fill="auto"/>
            <w:noWrap/>
            <w:vAlign w:val="bottom"/>
            <w:hideMark/>
          </w:tcPr>
          <w:p w14:paraId="2E2AAE8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0.063</w:t>
            </w:r>
          </w:p>
        </w:tc>
        <w:tc>
          <w:tcPr>
            <w:tcW w:w="988" w:type="dxa"/>
            <w:tcBorders>
              <w:top w:val="nil"/>
              <w:left w:val="nil"/>
              <w:bottom w:val="single" w:sz="4" w:space="0" w:color="auto"/>
              <w:right w:val="nil"/>
            </w:tcBorders>
            <w:shd w:val="clear" w:color="auto" w:fill="auto"/>
            <w:noWrap/>
            <w:vAlign w:val="bottom"/>
            <w:hideMark/>
          </w:tcPr>
          <w:p w14:paraId="3677579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0.063</w:t>
            </w:r>
          </w:p>
        </w:tc>
        <w:tc>
          <w:tcPr>
            <w:tcW w:w="1132" w:type="dxa"/>
            <w:tcBorders>
              <w:top w:val="nil"/>
              <w:left w:val="nil"/>
              <w:bottom w:val="single" w:sz="4" w:space="0" w:color="auto"/>
              <w:right w:val="nil"/>
            </w:tcBorders>
            <w:shd w:val="clear" w:color="auto" w:fill="auto"/>
            <w:noWrap/>
            <w:vAlign w:val="bottom"/>
            <w:hideMark/>
          </w:tcPr>
          <w:p w14:paraId="1B67820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0.000</w:t>
            </w:r>
          </w:p>
        </w:tc>
        <w:tc>
          <w:tcPr>
            <w:tcW w:w="960" w:type="dxa"/>
            <w:tcBorders>
              <w:top w:val="nil"/>
              <w:left w:val="nil"/>
              <w:bottom w:val="single" w:sz="4" w:space="0" w:color="auto"/>
              <w:right w:val="nil"/>
            </w:tcBorders>
            <w:shd w:val="clear" w:color="auto" w:fill="auto"/>
            <w:noWrap/>
            <w:vAlign w:val="bottom"/>
            <w:hideMark/>
          </w:tcPr>
          <w:p w14:paraId="6CF37E3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0.009</w:t>
            </w:r>
          </w:p>
        </w:tc>
        <w:tc>
          <w:tcPr>
            <w:tcW w:w="960" w:type="dxa"/>
            <w:tcBorders>
              <w:top w:val="nil"/>
              <w:left w:val="nil"/>
              <w:bottom w:val="single" w:sz="4" w:space="0" w:color="auto"/>
              <w:right w:val="nil"/>
            </w:tcBorders>
            <w:shd w:val="clear" w:color="auto" w:fill="auto"/>
            <w:noWrap/>
            <w:vAlign w:val="bottom"/>
            <w:hideMark/>
          </w:tcPr>
          <w:p w14:paraId="543EB92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0.008</w:t>
            </w:r>
          </w:p>
        </w:tc>
        <w:tc>
          <w:tcPr>
            <w:tcW w:w="1000" w:type="dxa"/>
            <w:tcBorders>
              <w:top w:val="nil"/>
              <w:left w:val="nil"/>
              <w:bottom w:val="single" w:sz="4" w:space="0" w:color="auto"/>
              <w:right w:val="nil"/>
            </w:tcBorders>
            <w:shd w:val="clear" w:color="auto" w:fill="auto"/>
            <w:noWrap/>
            <w:vAlign w:val="bottom"/>
            <w:hideMark/>
          </w:tcPr>
          <w:p w14:paraId="05513894"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0.523</w:t>
            </w:r>
          </w:p>
        </w:tc>
        <w:tc>
          <w:tcPr>
            <w:tcW w:w="1102" w:type="dxa"/>
            <w:tcBorders>
              <w:top w:val="nil"/>
              <w:left w:val="nil"/>
              <w:bottom w:val="single" w:sz="4" w:space="0" w:color="auto"/>
              <w:right w:val="nil"/>
            </w:tcBorders>
            <w:shd w:val="clear" w:color="auto" w:fill="auto"/>
            <w:noWrap/>
            <w:vAlign w:val="bottom"/>
            <w:hideMark/>
          </w:tcPr>
          <w:p w14:paraId="17F4367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0.071</w:t>
            </w:r>
          </w:p>
        </w:tc>
      </w:tr>
    </w:tbl>
    <w:p w14:paraId="172BAD51" w14:textId="77777777" w:rsidR="00A03A9D" w:rsidRDefault="00A03A9D" w:rsidP="00394AC6">
      <w:pPr>
        <w:spacing w:line="240" w:lineRule="auto"/>
        <w:rPr>
          <w:rFonts w:ascii="Arial" w:hAnsi="Arial" w:cs="Arial"/>
          <w:color w:val="000000"/>
          <w:sz w:val="20"/>
          <w:szCs w:val="20"/>
        </w:rPr>
      </w:pPr>
    </w:p>
    <w:p w14:paraId="0B22C740" w14:textId="281A53DA" w:rsidR="0096113D" w:rsidRDefault="0096113D" w:rsidP="0096113D">
      <w:pPr>
        <w:spacing w:after="0" w:line="240" w:lineRule="auto"/>
        <w:jc w:val="both"/>
        <w:rPr>
          <w:rFonts w:ascii="Arial" w:hAnsi="Arial" w:cs="Arial"/>
          <w:sz w:val="20"/>
          <w:szCs w:val="20"/>
        </w:rPr>
      </w:pPr>
      <w:r w:rsidRPr="0096113D">
        <w:rPr>
          <w:rFonts w:ascii="Arial" w:hAnsi="Arial" w:cs="Arial"/>
          <w:sz w:val="20"/>
          <w:szCs w:val="20"/>
        </w:rPr>
        <w:t xml:space="preserve">From the results in Table 3, it appears that the means are close to 1.5 (column 2), regardless of the sample size </w:t>
      </w:r>
      <m:oMath>
        <m:r>
          <w:rPr>
            <w:rFonts w:ascii="Cambria Math" w:hAnsi="Cambria Math" w:cs="Arial"/>
            <w:sz w:val="20"/>
            <w:szCs w:val="20"/>
          </w:rPr>
          <m:t>n</m:t>
        </m:r>
      </m:oMath>
      <w:r w:rsidRPr="0096113D">
        <w:rPr>
          <w:rFonts w:ascii="Arial" w:hAnsi="Arial" w:cs="Arial"/>
          <w:sz w:val="20"/>
          <w:szCs w:val="20"/>
        </w:rPr>
        <w:t xml:space="preserve">. The standard errors of the SSDM (column 3) and the exact SDM (column 4) both decrease as </w:t>
      </w:r>
      <m:oMath>
        <m:r>
          <w:rPr>
            <w:rFonts w:ascii="Cambria Math" w:hAnsi="Cambria Math" w:cs="Arial"/>
            <w:sz w:val="20"/>
            <w:szCs w:val="20"/>
          </w:rPr>
          <m:t>n</m:t>
        </m:r>
      </m:oMath>
      <w:r w:rsidRPr="0096113D">
        <w:rPr>
          <w:rFonts w:ascii="Arial" w:hAnsi="Arial" w:cs="Arial"/>
          <w:sz w:val="20"/>
          <w:szCs w:val="20"/>
        </w:rPr>
        <w:t xml:space="preserve"> increases, which aligns with our expectations based on the properties described in Section 3. Additionally, the absolute difference between SE(SSDM) and SE(SDM) also decreases with increasing </w:t>
      </w:r>
      <m:oMath>
        <m:r>
          <w:rPr>
            <w:rFonts w:ascii="Cambria Math" w:hAnsi="Cambria Math" w:cs="Arial"/>
            <w:sz w:val="20"/>
            <w:szCs w:val="20"/>
          </w:rPr>
          <m:t>n</m:t>
        </m:r>
      </m:oMath>
      <w:r w:rsidRPr="0096113D">
        <w:rPr>
          <w:rFonts w:ascii="Arial" w:hAnsi="Arial" w:cs="Arial"/>
          <w:sz w:val="20"/>
          <w:szCs w:val="20"/>
        </w:rPr>
        <w:t>, indicating improved accuracy of the SSDM for larger sample sizes.</w:t>
      </w:r>
    </w:p>
    <w:p w14:paraId="5B902251" w14:textId="77777777" w:rsidR="003E053C" w:rsidRDefault="003E053C" w:rsidP="0096113D">
      <w:pPr>
        <w:spacing w:after="0" w:line="240" w:lineRule="auto"/>
        <w:jc w:val="both"/>
        <w:rPr>
          <w:rFonts w:ascii="Arial" w:hAnsi="Arial" w:cs="Arial"/>
          <w:sz w:val="20"/>
          <w:szCs w:val="20"/>
        </w:rPr>
      </w:pPr>
    </w:p>
    <w:p w14:paraId="08B902C6" w14:textId="09DF5E0D" w:rsidR="003E053C" w:rsidRDefault="003E053C" w:rsidP="0096113D">
      <w:pPr>
        <w:spacing w:after="0" w:line="240" w:lineRule="auto"/>
        <w:jc w:val="both"/>
        <w:rPr>
          <w:rFonts w:ascii="Arial" w:hAnsi="Arial" w:cs="Arial"/>
          <w:sz w:val="20"/>
          <w:szCs w:val="20"/>
        </w:rPr>
      </w:pPr>
      <w:r w:rsidRPr="003E053C">
        <w:rPr>
          <w:rFonts w:ascii="Arial" w:hAnsi="Arial" w:cs="Arial"/>
          <w:sz w:val="20"/>
          <w:szCs w:val="20"/>
        </w:rPr>
        <w:t xml:space="preserve">While the test results for Example 3 are reported for selected values of </w:t>
      </w:r>
      <m:oMath>
        <m:r>
          <w:rPr>
            <w:rFonts w:ascii="Cambria Math" w:hAnsi="Cambria Math" w:cs="Arial"/>
            <w:sz w:val="20"/>
            <w:szCs w:val="20"/>
          </w:rPr>
          <m:t>n</m:t>
        </m:r>
      </m:oMath>
      <w:r w:rsidRPr="003E053C">
        <w:rPr>
          <w:rFonts w:ascii="Arial" w:hAnsi="Arial" w:cs="Arial"/>
          <w:sz w:val="20"/>
          <w:szCs w:val="20"/>
        </w:rPr>
        <w:t xml:space="preserve"> in Table 3, the complete results for </w:t>
      </w:r>
      <m:oMath>
        <m:r>
          <w:rPr>
            <w:rFonts w:ascii="Cambria Math" w:hAnsi="Cambria Math" w:cs="Arial"/>
            <w:sz w:val="20"/>
            <w:szCs w:val="20"/>
          </w:rPr>
          <m:t>n</m:t>
        </m:r>
      </m:oMath>
      <w:r w:rsidRPr="003E053C">
        <w:rPr>
          <w:rFonts w:ascii="Arial" w:hAnsi="Arial" w:cs="Arial"/>
          <w:sz w:val="20"/>
          <w:szCs w:val="20"/>
        </w:rPr>
        <w:t xml:space="preserve"> ranging from 10 to 1000 in increments of 10 (i.e., </w:t>
      </w:r>
      <w:proofErr w:type="gramStart"/>
      <w:r w:rsidRPr="003E053C">
        <w:rPr>
          <w:rFonts w:ascii="Arial" w:hAnsi="Arial" w:cs="Arial"/>
          <w:sz w:val="20"/>
          <w:szCs w:val="20"/>
        </w:rPr>
        <w:t>seq(</w:t>
      </w:r>
      <w:proofErr w:type="gramEnd"/>
      <w:r w:rsidRPr="003E053C">
        <w:rPr>
          <w:rFonts w:ascii="Arial" w:hAnsi="Arial" w:cs="Arial"/>
          <w:sz w:val="20"/>
          <w:szCs w:val="20"/>
        </w:rPr>
        <w:t>10,1000,10</w:t>
      </w:r>
      <w:r>
        <w:rPr>
          <w:rFonts w:ascii="Arial" w:hAnsi="Arial" w:cs="Arial"/>
          <w:sz w:val="20"/>
          <w:szCs w:val="20"/>
        </w:rPr>
        <w:t xml:space="preserve">)) </w:t>
      </w:r>
      <w:r w:rsidRPr="003E053C">
        <w:rPr>
          <w:rFonts w:ascii="Arial" w:hAnsi="Arial" w:cs="Arial"/>
          <w:sz w:val="20"/>
          <w:szCs w:val="20"/>
        </w:rPr>
        <w:t xml:space="preserve">are plotted against the sample size </w:t>
      </w:r>
      <m:oMath>
        <m:r>
          <w:rPr>
            <w:rFonts w:ascii="Cambria Math" w:hAnsi="Cambria Math" w:cs="Arial"/>
            <w:sz w:val="20"/>
            <w:szCs w:val="20"/>
          </w:rPr>
          <m:t>n</m:t>
        </m:r>
      </m:oMath>
      <w:r w:rsidRPr="003E053C">
        <w:rPr>
          <w:rFonts w:ascii="Arial" w:hAnsi="Arial" w:cs="Arial"/>
          <w:sz w:val="20"/>
          <w:szCs w:val="20"/>
        </w:rPr>
        <w:t xml:space="preserve"> in Figures 3.1–3.6. These plots consistently support the expectations of the SSDM in reference to the SDM.</w:t>
      </w:r>
    </w:p>
    <w:p w14:paraId="6695F2D5" w14:textId="53B2BDA8" w:rsidR="006F6CAE" w:rsidRPr="005E2DB9" w:rsidRDefault="001C0AB9" w:rsidP="0096113D">
      <w:pPr>
        <w:spacing w:after="0" w:line="240" w:lineRule="auto"/>
        <w:jc w:val="both"/>
        <w:rPr>
          <w:rFonts w:ascii="Arial" w:hAnsi="Arial" w:cs="Arial"/>
          <w:sz w:val="20"/>
          <w:szCs w:val="20"/>
        </w:rPr>
      </w:pPr>
      <w:r>
        <w:rPr>
          <w:noProof/>
        </w:rPr>
        <w:lastRenderedPageBreak/>
        <w:drawing>
          <wp:inline distT="0" distB="0" distL="0" distR="0" wp14:anchorId="0F3FCCD0" wp14:editId="3DA94797">
            <wp:extent cx="5943600" cy="4245610"/>
            <wp:effectExtent l="0" t="0" r="0" b="2540"/>
            <wp:docPr id="1656365715" name="Picture 3" descr="A group of graphs showing different sizes of samp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65715" name="Picture 3" descr="A group of graphs showing different sizes of sampl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245610"/>
                    </a:xfrm>
                    <a:prstGeom prst="rect">
                      <a:avLst/>
                    </a:prstGeom>
                    <a:noFill/>
                    <a:ln>
                      <a:noFill/>
                    </a:ln>
                  </pic:spPr>
                </pic:pic>
              </a:graphicData>
            </a:graphic>
          </wp:inline>
        </w:drawing>
      </w:r>
    </w:p>
    <w:p w14:paraId="152345A8" w14:textId="77777777" w:rsidR="00C82A0B" w:rsidRDefault="00C82A0B" w:rsidP="00394AC6">
      <w:pPr>
        <w:spacing w:after="0" w:line="240" w:lineRule="auto"/>
        <w:rPr>
          <w:rFonts w:ascii="Arial" w:hAnsi="Arial" w:cs="Arial"/>
          <w:b/>
          <w:sz w:val="20"/>
          <w:szCs w:val="20"/>
        </w:rPr>
      </w:pPr>
    </w:p>
    <w:p w14:paraId="76EC2C56" w14:textId="3D3EC5D2" w:rsidR="00566FAD" w:rsidRDefault="00566FAD" w:rsidP="00566FAD">
      <w:pPr>
        <w:spacing w:after="0" w:line="240" w:lineRule="auto"/>
        <w:jc w:val="both"/>
        <w:rPr>
          <w:rFonts w:ascii="Arial" w:hAnsi="Arial" w:cs="Arial"/>
          <w:bCs/>
          <w:sz w:val="20"/>
          <w:szCs w:val="20"/>
        </w:rPr>
      </w:pPr>
      <w:r w:rsidRPr="00566FAD">
        <w:rPr>
          <w:rFonts w:ascii="Arial" w:hAnsi="Arial" w:cs="Arial"/>
          <w:bCs/>
          <w:sz w:val="20"/>
          <w:szCs w:val="20"/>
        </w:rPr>
        <w:t xml:space="preserve">In Figures 3.3–3.6, the blue lines represent the 5% significance level. Figure 3.1 demonstrates that the mean of the SSDM converges toward the mean of the SDM (1.5). Figure 3.2 shows that the standard error of the SSDM decreases as the sample size </w:t>
      </w:r>
      <m:oMath>
        <m:r>
          <w:rPr>
            <w:rFonts w:ascii="Cambria Math" w:hAnsi="Cambria Math" w:cs="Arial"/>
            <w:sz w:val="20"/>
            <w:szCs w:val="20"/>
          </w:rPr>
          <m:t>n</m:t>
        </m:r>
      </m:oMath>
      <w:r w:rsidRPr="00566FAD">
        <w:rPr>
          <w:rFonts w:ascii="Arial" w:hAnsi="Arial" w:cs="Arial"/>
          <w:bCs/>
          <w:sz w:val="20"/>
          <w:szCs w:val="20"/>
        </w:rPr>
        <w:t xml:space="preserve"> increases, closely mirroring the </w:t>
      </w:r>
      <w:r w:rsidR="00A03219" w:rsidRPr="009B429E">
        <w:rPr>
          <w:rFonts w:ascii="Arial" w:hAnsi="Arial" w:cs="Arial"/>
          <w:bCs/>
          <w:sz w:val="20"/>
          <w:szCs w:val="20"/>
          <w:highlight w:val="yellow"/>
        </w:rPr>
        <w:t>behavior</w:t>
      </w:r>
      <w:r w:rsidR="006608C9" w:rsidRPr="009B429E">
        <w:rPr>
          <w:rFonts w:ascii="Arial" w:hAnsi="Arial" w:cs="Arial"/>
          <w:bCs/>
          <w:sz w:val="20"/>
          <w:szCs w:val="20"/>
          <w:highlight w:val="yellow"/>
        </w:rPr>
        <w:t xml:space="preserve"> </w:t>
      </w:r>
      <w:r w:rsidRPr="00566FAD">
        <w:rPr>
          <w:rFonts w:ascii="Arial" w:hAnsi="Arial" w:cs="Arial"/>
          <w:bCs/>
          <w:sz w:val="20"/>
          <w:szCs w:val="20"/>
        </w:rPr>
        <w:t xml:space="preserve">of the SDM. The p-values from the Z and T tests for equality of means between the SSDM and SDM (Figures 3.3 and 3.4) indicate that expectations are satisfactorily met. Similarly, the results of the </w:t>
      </w:r>
      <m:oMath>
        <m:r>
          <w:rPr>
            <w:rFonts w:ascii="Cambria Math" w:hAnsi="Cambria Math" w:cs="Arial"/>
            <w:sz w:val="20"/>
            <w:szCs w:val="20"/>
          </w:rPr>
          <m:t>χ²</m:t>
        </m:r>
      </m:oMath>
      <w:r w:rsidRPr="00566FAD">
        <w:rPr>
          <w:rFonts w:ascii="Arial" w:hAnsi="Arial" w:cs="Arial"/>
          <w:bCs/>
          <w:sz w:val="20"/>
          <w:szCs w:val="20"/>
        </w:rPr>
        <w:t xml:space="preserve"> test for equality of standard errors (Figure 3.5) </w:t>
      </w:r>
      <w:r w:rsidR="00F927B4" w:rsidRPr="009B429E">
        <w:rPr>
          <w:rFonts w:ascii="Arial" w:hAnsi="Arial" w:cs="Arial"/>
          <w:bCs/>
          <w:sz w:val="20"/>
          <w:szCs w:val="20"/>
          <w:highlight w:val="yellow"/>
        </w:rPr>
        <w:t>support</w:t>
      </w:r>
      <w:r w:rsidR="006608C9" w:rsidRPr="009B429E">
        <w:rPr>
          <w:rFonts w:ascii="Arial" w:hAnsi="Arial" w:cs="Arial"/>
          <w:bCs/>
          <w:sz w:val="20"/>
          <w:szCs w:val="20"/>
          <w:highlight w:val="yellow"/>
        </w:rPr>
        <w:t xml:space="preserve"> </w:t>
      </w:r>
      <w:r w:rsidRPr="00566FAD">
        <w:rPr>
          <w:rFonts w:ascii="Arial" w:hAnsi="Arial" w:cs="Arial"/>
          <w:bCs/>
          <w:sz w:val="20"/>
          <w:szCs w:val="20"/>
        </w:rPr>
        <w:t xml:space="preserve">this conclusion. The normality of the SSDM, </w:t>
      </w:r>
      <w:r w:rsidR="00A03219" w:rsidRPr="009B429E">
        <w:rPr>
          <w:rFonts w:ascii="Arial" w:hAnsi="Arial" w:cs="Arial"/>
          <w:bCs/>
          <w:sz w:val="20"/>
          <w:szCs w:val="20"/>
          <w:highlight w:val="yellow"/>
        </w:rPr>
        <w:t>characterized</w:t>
      </w:r>
      <w:r w:rsidR="006608C9" w:rsidRPr="009B429E">
        <w:rPr>
          <w:rFonts w:ascii="Arial" w:hAnsi="Arial" w:cs="Arial"/>
          <w:bCs/>
          <w:sz w:val="20"/>
          <w:szCs w:val="20"/>
          <w:highlight w:val="yellow"/>
        </w:rPr>
        <w:t xml:space="preserve"> </w:t>
      </w:r>
      <w:r w:rsidRPr="00566FAD">
        <w:rPr>
          <w:rFonts w:ascii="Arial" w:hAnsi="Arial" w:cs="Arial"/>
          <w:bCs/>
          <w:sz w:val="20"/>
          <w:szCs w:val="20"/>
        </w:rPr>
        <w:t>by the parameters of the SDM, is also confirmed (Figure 3.6). Based on the test results presented in Figures 3.3–3.6, the estimated probabilities of successfully achieving the targeted objectives are 0.97 (Z-test), 0.96 (T-test), 0.95 (</w:t>
      </w:r>
      <m:oMath>
        <m:r>
          <w:rPr>
            <w:rFonts w:ascii="Cambria Math" w:hAnsi="Cambria Math" w:cs="Arial"/>
            <w:sz w:val="20"/>
            <w:szCs w:val="20"/>
          </w:rPr>
          <m:t>χ²</m:t>
        </m:r>
      </m:oMath>
      <w:r w:rsidRPr="00566FAD">
        <w:rPr>
          <w:rFonts w:ascii="Arial" w:hAnsi="Arial" w:cs="Arial"/>
          <w:bCs/>
          <w:sz w:val="20"/>
          <w:szCs w:val="20"/>
        </w:rPr>
        <w:t xml:space="preserve"> test), and 0.95 (normality test).</w:t>
      </w:r>
    </w:p>
    <w:p w14:paraId="59D761EA" w14:textId="77777777" w:rsidR="00B36161" w:rsidRDefault="00B36161" w:rsidP="00394AC6">
      <w:pPr>
        <w:spacing w:after="0" w:line="240" w:lineRule="auto"/>
        <w:rPr>
          <w:rFonts w:ascii="Arial" w:hAnsi="Arial" w:cs="Arial"/>
          <w:bCs/>
          <w:sz w:val="20"/>
          <w:szCs w:val="20"/>
        </w:rPr>
      </w:pPr>
    </w:p>
    <w:p w14:paraId="79FE5455" w14:textId="27EA0AA1" w:rsidR="00C907BC" w:rsidRPr="005E2DB9" w:rsidRDefault="001A521E" w:rsidP="00FC783E">
      <w:pPr>
        <w:spacing w:line="240" w:lineRule="auto"/>
        <w:rPr>
          <w:rFonts w:ascii="Arial" w:eastAsiaTheme="minorEastAsia" w:hAnsi="Arial" w:cs="Arial"/>
          <w:b/>
          <w:color w:val="000000"/>
          <w:sz w:val="20"/>
          <w:szCs w:val="20"/>
        </w:rPr>
      </w:pPr>
      <w:r w:rsidRPr="005E2DB9">
        <w:rPr>
          <w:rFonts w:ascii="Arial" w:eastAsiaTheme="minorEastAsia" w:hAnsi="Arial" w:cs="Arial"/>
          <w:b/>
          <w:color w:val="000000"/>
          <w:sz w:val="20"/>
          <w:szCs w:val="20"/>
        </w:rPr>
        <w:t xml:space="preserve">6. </w:t>
      </w:r>
      <w:r w:rsidR="009D7E00">
        <w:rPr>
          <w:rFonts w:ascii="Arial" w:eastAsiaTheme="minorEastAsia" w:hAnsi="Arial" w:cs="Arial"/>
          <w:b/>
          <w:color w:val="000000"/>
          <w:sz w:val="20"/>
          <w:szCs w:val="20"/>
        </w:rPr>
        <w:t>Conclusion</w:t>
      </w:r>
    </w:p>
    <w:p w14:paraId="1267B01E" w14:textId="76C682F8" w:rsidR="003E3647" w:rsidRPr="003E3647" w:rsidRDefault="003E3647" w:rsidP="003E3647">
      <w:pPr>
        <w:autoSpaceDE w:val="0"/>
        <w:autoSpaceDN w:val="0"/>
        <w:adjustRightInd w:val="0"/>
        <w:spacing w:after="0" w:line="240" w:lineRule="auto"/>
        <w:jc w:val="both"/>
        <w:rPr>
          <w:rFonts w:ascii="Arial" w:hAnsi="Arial" w:cs="Arial"/>
          <w:bCs/>
          <w:sz w:val="20"/>
          <w:szCs w:val="20"/>
        </w:rPr>
      </w:pPr>
      <w:r w:rsidRPr="003E3647">
        <w:rPr>
          <w:rFonts w:ascii="Arial" w:hAnsi="Arial" w:cs="Arial"/>
          <w:bCs/>
          <w:sz w:val="20"/>
          <w:szCs w:val="20"/>
        </w:rPr>
        <w:t>Guided by targeted learning objectives, this study finds that the Simulated Sampling Distribution of the Mean (SSDM) is a valuable tool for illustrating the properties of the Sampling Distribution of the Mean (SDM), which can otherwise be difficult to grasp in introductory statistics courses. Key distinctions between the SDM and SSDM are clearly established. Specifically, the mean and standard error (SE) of an SDM are fixed parameters, whereas the mean and SE of an SSDM are estimates of those parameters and, therefore, vary across simulation replications (M). Consequently, an SSDM should not be expected to match the SDM exactly, as it is practically impossible to replicate the precise set of samples that define the SDM.</w:t>
      </w:r>
    </w:p>
    <w:p w14:paraId="0769B1AC" w14:textId="7100DA63" w:rsidR="00425C5B" w:rsidRPr="00425C5B" w:rsidRDefault="003E3647" w:rsidP="00425C5B">
      <w:pPr>
        <w:autoSpaceDE w:val="0"/>
        <w:autoSpaceDN w:val="0"/>
        <w:adjustRightInd w:val="0"/>
        <w:spacing w:after="0" w:line="240" w:lineRule="auto"/>
        <w:jc w:val="both"/>
        <w:rPr>
          <w:rFonts w:ascii="Arial" w:hAnsi="Arial" w:cs="Arial"/>
          <w:bCs/>
          <w:sz w:val="20"/>
          <w:szCs w:val="20"/>
        </w:rPr>
      </w:pPr>
      <w:r w:rsidRPr="003E3647">
        <w:rPr>
          <w:rFonts w:ascii="Arial" w:hAnsi="Arial" w:cs="Arial"/>
          <w:bCs/>
          <w:sz w:val="20"/>
          <w:szCs w:val="20"/>
        </w:rPr>
        <w:t xml:space="preserve">Expectations surrounding the SSDM should be clearly communicated to students—ideally through examples, interactive activities, or simulated outputs accompanied by thoughtful explanations and interpretations—before they engage with the SSDM. Simulations can offer valuable, though approximate, </w:t>
      </w:r>
      <w:r w:rsidR="004D7CFB" w:rsidRPr="003E3647">
        <w:rPr>
          <w:rFonts w:ascii="Arial" w:hAnsi="Arial" w:cs="Arial"/>
          <w:bCs/>
          <w:sz w:val="20"/>
          <w:szCs w:val="20"/>
        </w:rPr>
        <w:t>insight</w:t>
      </w:r>
      <w:r w:rsidRPr="003E3647">
        <w:rPr>
          <w:rFonts w:ascii="Arial" w:hAnsi="Arial" w:cs="Arial"/>
          <w:bCs/>
          <w:sz w:val="20"/>
          <w:szCs w:val="20"/>
        </w:rPr>
        <w:t xml:space="preserve"> into theoretical concepts that might otherwise remain abstract or inaccessible. </w:t>
      </w:r>
      <w:r w:rsidR="00425C5B" w:rsidRPr="00425C5B">
        <w:rPr>
          <w:rFonts w:ascii="Arial" w:hAnsi="Arial" w:cs="Arial"/>
          <w:bCs/>
          <w:sz w:val="20"/>
          <w:szCs w:val="20"/>
        </w:rPr>
        <w:t>Instructors should be mindful of potential misconceptions, such as those highlighted in Watkins et al.</w:t>
      </w:r>
      <w:r w:rsidR="00425C5B">
        <w:rPr>
          <w:rFonts w:ascii="Arial" w:hAnsi="Arial" w:cs="Arial"/>
          <w:bCs/>
          <w:sz w:val="20"/>
          <w:szCs w:val="20"/>
        </w:rPr>
        <w:t xml:space="preserve"> (2014)</w:t>
      </w:r>
      <w:r w:rsidR="00425C5B" w:rsidRPr="00425C5B">
        <w:rPr>
          <w:rFonts w:ascii="Arial" w:hAnsi="Arial" w:cs="Arial"/>
          <w:bCs/>
          <w:sz w:val="20"/>
          <w:szCs w:val="20"/>
        </w:rPr>
        <w:t>, and take steps to address them proactively.</w:t>
      </w:r>
    </w:p>
    <w:p w14:paraId="7CD1BE31" w14:textId="49C85F49" w:rsidR="00425C5B" w:rsidRDefault="00425C5B" w:rsidP="00425C5B">
      <w:pPr>
        <w:autoSpaceDE w:val="0"/>
        <w:autoSpaceDN w:val="0"/>
        <w:adjustRightInd w:val="0"/>
        <w:spacing w:after="0" w:line="240" w:lineRule="auto"/>
        <w:jc w:val="both"/>
        <w:rPr>
          <w:rFonts w:ascii="Arial" w:hAnsi="Arial" w:cs="Arial"/>
          <w:bCs/>
          <w:sz w:val="20"/>
          <w:szCs w:val="20"/>
        </w:rPr>
      </w:pPr>
      <w:r w:rsidRPr="00425C5B">
        <w:rPr>
          <w:rFonts w:ascii="Arial" w:hAnsi="Arial" w:cs="Arial"/>
          <w:bCs/>
          <w:sz w:val="20"/>
          <w:szCs w:val="20"/>
        </w:rPr>
        <w:lastRenderedPageBreak/>
        <w:t>Indeed, engaging with SSDMs can be both enjoyable and educational when integrated with clear, guided objectives. When implemented thoughtfully, SSDMs enhance students’ conceptual understanding and help them develop the ability to critically evaluate simulation results without falling prey to common misconceptions.</w:t>
      </w:r>
    </w:p>
    <w:p w14:paraId="26FC6004" w14:textId="3AFC53E4" w:rsidR="0014230E" w:rsidRDefault="0014230E" w:rsidP="00425C5B">
      <w:pPr>
        <w:autoSpaceDE w:val="0"/>
        <w:autoSpaceDN w:val="0"/>
        <w:adjustRightInd w:val="0"/>
        <w:spacing w:after="0" w:line="240" w:lineRule="auto"/>
        <w:jc w:val="both"/>
        <w:rPr>
          <w:rFonts w:ascii="Arial" w:hAnsi="Arial" w:cs="Arial"/>
          <w:bCs/>
          <w:sz w:val="20"/>
          <w:szCs w:val="20"/>
        </w:rPr>
      </w:pPr>
    </w:p>
    <w:p w14:paraId="7E4C3EBF" w14:textId="77777777" w:rsidR="002E7A07" w:rsidRPr="007602EF" w:rsidRDefault="002E7A07" w:rsidP="002E7A07">
      <w:pPr>
        <w:pStyle w:val="Heading2"/>
        <w:spacing w:after="240"/>
        <w:rPr>
          <w:rFonts w:ascii="Arial" w:hAnsi="Arial" w:cs="Arial"/>
          <w:b/>
          <w:color w:val="auto"/>
          <w:sz w:val="20"/>
          <w:szCs w:val="20"/>
          <w:shd w:val="clear" w:color="auto" w:fill="FFFFFF"/>
        </w:rPr>
      </w:pPr>
      <w:r w:rsidRPr="007602EF">
        <w:rPr>
          <w:rFonts w:ascii="Arial" w:hAnsi="Arial" w:cs="Arial"/>
          <w:b/>
          <w:color w:val="auto"/>
          <w:sz w:val="20"/>
          <w:szCs w:val="20"/>
          <w:shd w:val="clear" w:color="auto" w:fill="FFFFFF"/>
        </w:rPr>
        <w:t>Disclaimer (Artificial intelligence)</w:t>
      </w:r>
    </w:p>
    <w:p w14:paraId="5D22BC27" w14:textId="77777777" w:rsidR="002E7A07" w:rsidRPr="000838D9" w:rsidRDefault="002E7A07" w:rsidP="002E7A07">
      <w:pPr>
        <w:tabs>
          <w:tab w:val="left" w:pos="1766"/>
        </w:tabs>
        <w:jc w:val="both"/>
        <w:rPr>
          <w:rFonts w:ascii="Arial" w:hAnsi="Arial" w:cs="Arial"/>
          <w:sz w:val="20"/>
          <w:szCs w:val="20"/>
          <w:shd w:val="clear" w:color="auto" w:fill="FFFFFF"/>
        </w:rPr>
      </w:pPr>
      <w:r w:rsidRPr="000838D9">
        <w:rPr>
          <w:rFonts w:ascii="Arial" w:hAnsi="Arial" w:cs="Arial"/>
          <w:sz w:val="20"/>
          <w:szCs w:val="20"/>
          <w:shd w:val="clear" w:color="auto" w:fill="FFFFFF"/>
        </w:rPr>
        <w:t>Authors hereby declare that NO generative AI technologies such as Large Language Models (ChatGPT, COPILOT, etc.) and text-to-image generators have been used during the writing or editing of this manuscript.</w:t>
      </w:r>
    </w:p>
    <w:p w14:paraId="454ECB1B" w14:textId="77777777" w:rsidR="002E7A07" w:rsidRPr="007602EF" w:rsidRDefault="002E7A07" w:rsidP="002E7A07">
      <w:pPr>
        <w:pStyle w:val="Heading2"/>
        <w:spacing w:after="240"/>
        <w:rPr>
          <w:rFonts w:ascii="Arial" w:hAnsi="Arial" w:cs="Arial"/>
          <w:b/>
          <w:color w:val="auto"/>
          <w:sz w:val="20"/>
          <w:szCs w:val="20"/>
        </w:rPr>
      </w:pPr>
      <w:r w:rsidRPr="007602EF">
        <w:rPr>
          <w:rFonts w:ascii="Arial" w:hAnsi="Arial" w:cs="Arial"/>
          <w:b/>
          <w:color w:val="auto"/>
          <w:sz w:val="20"/>
          <w:szCs w:val="20"/>
        </w:rPr>
        <w:t>Acknowledgement</w:t>
      </w:r>
    </w:p>
    <w:p w14:paraId="00508B78" w14:textId="77777777" w:rsidR="002E7A07" w:rsidRPr="000838D9" w:rsidRDefault="002E7A07" w:rsidP="002E7A07">
      <w:pPr>
        <w:jc w:val="both"/>
        <w:rPr>
          <w:rFonts w:ascii="Arial" w:hAnsi="Arial" w:cs="Arial"/>
          <w:sz w:val="20"/>
          <w:szCs w:val="20"/>
        </w:rPr>
      </w:pPr>
      <w:r w:rsidRPr="000838D9">
        <w:rPr>
          <w:rFonts w:ascii="Arial" w:hAnsi="Arial" w:cs="Arial"/>
          <w:sz w:val="20"/>
          <w:szCs w:val="20"/>
        </w:rPr>
        <w:t>The authors are thankful to the reviewers and the editor for providing useful comments and suggestions which has improved the presentation of the article to a great extent.</w:t>
      </w:r>
    </w:p>
    <w:p w14:paraId="6DDD3C47" w14:textId="77777777" w:rsidR="002E7A07" w:rsidRPr="007602EF" w:rsidRDefault="002E7A07" w:rsidP="002E7A07">
      <w:pPr>
        <w:pStyle w:val="Heading2"/>
        <w:rPr>
          <w:rFonts w:ascii="Arial" w:hAnsi="Arial" w:cs="Arial"/>
          <w:b/>
          <w:color w:val="auto"/>
          <w:sz w:val="20"/>
          <w:szCs w:val="20"/>
        </w:rPr>
      </w:pPr>
      <w:r w:rsidRPr="007602EF">
        <w:rPr>
          <w:rFonts w:ascii="Arial" w:hAnsi="Arial" w:cs="Arial"/>
          <w:b/>
          <w:color w:val="auto"/>
          <w:sz w:val="20"/>
          <w:szCs w:val="20"/>
        </w:rPr>
        <w:t>Competing Interests</w:t>
      </w:r>
    </w:p>
    <w:p w14:paraId="5B5E7324" w14:textId="77777777" w:rsidR="002E7A07" w:rsidRPr="00E637B0" w:rsidRDefault="002E7A07" w:rsidP="002E7A07">
      <w:pPr>
        <w:pStyle w:val="ReferHead"/>
        <w:spacing w:after="0"/>
        <w:rPr>
          <w:rFonts w:ascii="Times New Roman" w:hAnsi="Times New Roman"/>
        </w:rPr>
      </w:pPr>
    </w:p>
    <w:p w14:paraId="517415F3" w14:textId="77777777" w:rsidR="002E7A07" w:rsidRPr="000838D9" w:rsidRDefault="002E7A07" w:rsidP="002E7A07">
      <w:pPr>
        <w:pStyle w:val="ReferHead"/>
        <w:spacing w:after="0"/>
        <w:jc w:val="both"/>
        <w:rPr>
          <w:rFonts w:ascii="Arial" w:hAnsi="Arial" w:cs="Arial"/>
          <w:b w:val="0"/>
          <w:caps w:val="0"/>
          <w:sz w:val="20"/>
        </w:rPr>
      </w:pPr>
      <w:r w:rsidRPr="000838D9">
        <w:rPr>
          <w:rFonts w:ascii="Arial" w:hAnsi="Arial" w:cs="Arial"/>
          <w:b w:val="0"/>
          <w:caps w:val="0"/>
          <w:sz w:val="20"/>
        </w:rPr>
        <w:t>Authors have declared that no competing interests exist.</w:t>
      </w:r>
    </w:p>
    <w:p w14:paraId="7D2B34E1" w14:textId="77777777" w:rsidR="0014230E" w:rsidRDefault="0014230E" w:rsidP="00425C5B">
      <w:pPr>
        <w:autoSpaceDE w:val="0"/>
        <w:autoSpaceDN w:val="0"/>
        <w:adjustRightInd w:val="0"/>
        <w:spacing w:after="0" w:line="240" w:lineRule="auto"/>
        <w:jc w:val="both"/>
        <w:rPr>
          <w:rFonts w:ascii="Arial" w:hAnsi="Arial" w:cs="Arial"/>
          <w:bCs/>
          <w:sz w:val="20"/>
          <w:szCs w:val="20"/>
        </w:rPr>
      </w:pPr>
    </w:p>
    <w:p w14:paraId="57C30187" w14:textId="157A4C2C" w:rsidR="00D17F82" w:rsidRPr="00D17F82" w:rsidRDefault="00D17F82" w:rsidP="00425C5B">
      <w:pPr>
        <w:autoSpaceDE w:val="0"/>
        <w:autoSpaceDN w:val="0"/>
        <w:adjustRightInd w:val="0"/>
        <w:spacing w:after="0" w:line="240" w:lineRule="auto"/>
        <w:jc w:val="both"/>
        <w:rPr>
          <w:rFonts w:ascii="Arial" w:hAnsi="Arial" w:cs="Arial"/>
          <w:bCs/>
          <w:sz w:val="20"/>
          <w:szCs w:val="20"/>
        </w:rPr>
      </w:pPr>
    </w:p>
    <w:p w14:paraId="3F3E2918" w14:textId="7A84227A" w:rsidR="007005A2" w:rsidRDefault="007005A2" w:rsidP="007005A2">
      <w:pPr>
        <w:autoSpaceDE w:val="0"/>
        <w:autoSpaceDN w:val="0"/>
        <w:adjustRightInd w:val="0"/>
        <w:spacing w:after="0" w:line="480" w:lineRule="auto"/>
        <w:rPr>
          <w:rFonts w:ascii="Arial" w:hAnsi="Arial" w:cs="Arial"/>
          <w:b/>
          <w:sz w:val="20"/>
          <w:szCs w:val="20"/>
        </w:rPr>
      </w:pPr>
      <w:r w:rsidRPr="005E2DB9">
        <w:rPr>
          <w:rFonts w:ascii="Arial" w:hAnsi="Arial" w:cs="Arial"/>
          <w:b/>
          <w:sz w:val="20"/>
          <w:szCs w:val="20"/>
        </w:rPr>
        <w:t>References</w:t>
      </w:r>
    </w:p>
    <w:p w14:paraId="5D27A775" w14:textId="77777777" w:rsidR="000B0950" w:rsidRPr="00E1438E" w:rsidRDefault="000B0950" w:rsidP="000B0950">
      <w:pPr>
        <w:spacing w:after="0" w:line="240" w:lineRule="auto"/>
        <w:rPr>
          <w:rStyle w:val="fontstyle21"/>
          <w:rFonts w:ascii="Arial" w:hAnsi="Arial" w:cs="Arial"/>
          <w:color w:val="auto"/>
          <w:sz w:val="20"/>
          <w:szCs w:val="20"/>
        </w:rPr>
      </w:pPr>
      <w:r>
        <w:rPr>
          <w:rStyle w:val="fontstyle01"/>
          <w:rFonts w:ascii="Arial" w:hAnsi="Arial" w:cs="Arial"/>
          <w:color w:val="auto"/>
          <w:sz w:val="20"/>
          <w:szCs w:val="20"/>
        </w:rPr>
        <w:t>ATUS</w:t>
      </w:r>
      <w:r w:rsidRPr="00E1438E">
        <w:rPr>
          <w:rStyle w:val="fontstyle01"/>
          <w:rFonts w:ascii="Arial" w:hAnsi="Arial" w:cs="Arial"/>
          <w:color w:val="auto"/>
          <w:sz w:val="20"/>
          <w:szCs w:val="20"/>
        </w:rPr>
        <w:t xml:space="preserve"> (20</w:t>
      </w:r>
      <w:r>
        <w:rPr>
          <w:rStyle w:val="fontstyle01"/>
          <w:rFonts w:ascii="Arial" w:hAnsi="Arial" w:cs="Arial"/>
          <w:color w:val="auto"/>
          <w:sz w:val="20"/>
          <w:szCs w:val="20"/>
        </w:rPr>
        <w:t>21</w:t>
      </w:r>
      <w:r w:rsidRPr="00E1438E">
        <w:rPr>
          <w:rStyle w:val="fontstyle01"/>
          <w:rFonts w:ascii="Arial" w:hAnsi="Arial" w:cs="Arial"/>
          <w:color w:val="auto"/>
          <w:sz w:val="20"/>
          <w:szCs w:val="20"/>
        </w:rPr>
        <w:t>)</w:t>
      </w:r>
      <w:r>
        <w:rPr>
          <w:rStyle w:val="fontstyle01"/>
          <w:rFonts w:ascii="Arial" w:hAnsi="Arial" w:cs="Arial"/>
          <w:color w:val="auto"/>
          <w:sz w:val="20"/>
          <w:szCs w:val="20"/>
        </w:rPr>
        <w:t xml:space="preserve">. </w:t>
      </w:r>
      <w:r w:rsidRPr="00E1438E">
        <w:rPr>
          <w:rStyle w:val="fontstyle01"/>
          <w:rFonts w:ascii="Arial" w:hAnsi="Arial" w:cs="Arial"/>
          <w:color w:val="auto"/>
          <w:sz w:val="20"/>
          <w:szCs w:val="20"/>
        </w:rPr>
        <w:t xml:space="preserve">The </w:t>
      </w:r>
      <w:r>
        <w:rPr>
          <w:rStyle w:val="fontstyle01"/>
          <w:rFonts w:ascii="Arial" w:hAnsi="Arial" w:cs="Arial"/>
          <w:color w:val="auto"/>
          <w:sz w:val="20"/>
          <w:szCs w:val="20"/>
        </w:rPr>
        <w:t>American Time Use Survey (ATUS) Data Dictionary: 2021 Well-being Module Data</w:t>
      </w:r>
      <w:r w:rsidRPr="00E1438E">
        <w:rPr>
          <w:rStyle w:val="fontstyle21"/>
          <w:rFonts w:ascii="Arial" w:hAnsi="Arial" w:cs="Arial"/>
          <w:color w:val="auto"/>
          <w:sz w:val="20"/>
          <w:szCs w:val="20"/>
        </w:rPr>
        <w:t xml:space="preserve"> </w:t>
      </w:r>
    </w:p>
    <w:p w14:paraId="725A7A41" w14:textId="3D633CF3" w:rsidR="000B0950" w:rsidRDefault="000B0950" w:rsidP="000B0950">
      <w:pPr>
        <w:spacing w:after="0" w:line="240" w:lineRule="auto"/>
        <w:jc w:val="both"/>
        <w:rPr>
          <w:rStyle w:val="fontstyle01"/>
          <w:rFonts w:ascii="Times New Roman" w:hAnsi="Times New Roman" w:cs="Times New Roman"/>
        </w:rPr>
      </w:pPr>
      <w:r>
        <w:rPr>
          <w:rStyle w:val="fontstyle01"/>
          <w:rFonts w:ascii="Times New Roman" w:hAnsi="Times New Roman" w:cs="Times New Roman"/>
        </w:rPr>
        <w:t xml:space="preserve">      </w:t>
      </w:r>
      <w:hyperlink r:id="rId10" w:history="1">
        <w:r w:rsidRPr="005A76A8">
          <w:rPr>
            <w:rStyle w:val="Hyperlink"/>
            <w:rFonts w:ascii="Times New Roman" w:hAnsi="Times New Roman" w:cs="Times New Roman"/>
            <w:sz w:val="24"/>
            <w:szCs w:val="24"/>
          </w:rPr>
          <w:t>https://www.bls.gov/tus/dictionaries/wbmintcodebk21.pdf</w:t>
        </w:r>
      </w:hyperlink>
    </w:p>
    <w:p w14:paraId="6D0E9CE1" w14:textId="77777777" w:rsidR="000B0950" w:rsidRDefault="000B0950" w:rsidP="000B0950">
      <w:pPr>
        <w:spacing w:after="0" w:line="240" w:lineRule="auto"/>
        <w:jc w:val="both"/>
        <w:rPr>
          <w:rStyle w:val="fontstyle01"/>
          <w:rFonts w:ascii="Times New Roman" w:hAnsi="Times New Roman" w:cs="Times New Roman"/>
        </w:rPr>
      </w:pPr>
    </w:p>
    <w:p w14:paraId="6B6222D5" w14:textId="14110C39" w:rsidR="007005A2" w:rsidRPr="00E1438E" w:rsidRDefault="007005A2" w:rsidP="000B0950">
      <w:pPr>
        <w:spacing w:after="0" w:line="240" w:lineRule="auto"/>
        <w:jc w:val="both"/>
        <w:rPr>
          <w:rStyle w:val="fontstyle01"/>
          <w:rFonts w:ascii="Arial" w:hAnsi="Arial" w:cs="Arial"/>
          <w:color w:val="auto"/>
          <w:sz w:val="20"/>
          <w:szCs w:val="20"/>
        </w:rPr>
      </w:pPr>
      <w:r w:rsidRPr="00E1438E">
        <w:rPr>
          <w:rStyle w:val="fontstyle01"/>
          <w:rFonts w:ascii="Arial" w:hAnsi="Arial" w:cs="Arial"/>
          <w:color w:val="auto"/>
          <w:sz w:val="20"/>
          <w:szCs w:val="20"/>
        </w:rPr>
        <w:t xml:space="preserve">Chance, B., Ben-Zvi, D., </w:t>
      </w:r>
      <w:proofErr w:type="spellStart"/>
      <w:r w:rsidRPr="00E1438E">
        <w:rPr>
          <w:rStyle w:val="fontstyle01"/>
          <w:rFonts w:ascii="Arial" w:hAnsi="Arial" w:cs="Arial"/>
          <w:color w:val="auto"/>
          <w:sz w:val="20"/>
          <w:szCs w:val="20"/>
        </w:rPr>
        <w:t>Garfeld</w:t>
      </w:r>
      <w:proofErr w:type="spellEnd"/>
      <w:r w:rsidRPr="00E1438E">
        <w:rPr>
          <w:rStyle w:val="fontstyle01"/>
          <w:rFonts w:ascii="Arial" w:hAnsi="Arial" w:cs="Arial"/>
          <w:color w:val="auto"/>
          <w:sz w:val="20"/>
          <w:szCs w:val="20"/>
        </w:rPr>
        <w:t xml:space="preserve">, J.,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Medina, E. (2007)</w:t>
      </w:r>
      <w:r w:rsidR="0094378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 xml:space="preserve">The Role of Technology in </w:t>
      </w:r>
    </w:p>
    <w:p w14:paraId="2EDF39BE" w14:textId="0DD3370F" w:rsidR="007005A2" w:rsidRDefault="007005A2" w:rsidP="00872B05">
      <w:pPr>
        <w:spacing w:after="0" w:line="240" w:lineRule="auto"/>
        <w:ind w:left="288"/>
        <w:jc w:val="both"/>
        <w:rPr>
          <w:rStyle w:val="fontstyle21"/>
          <w:rFonts w:ascii="Arial" w:hAnsi="Arial" w:cs="Arial"/>
          <w:color w:val="auto"/>
          <w:sz w:val="20"/>
          <w:szCs w:val="20"/>
        </w:rPr>
      </w:pPr>
      <w:r w:rsidRPr="00E1438E">
        <w:rPr>
          <w:rStyle w:val="fontstyle01"/>
          <w:rFonts w:ascii="Arial" w:hAnsi="Arial" w:cs="Arial"/>
          <w:color w:val="auto"/>
          <w:sz w:val="20"/>
          <w:szCs w:val="20"/>
        </w:rPr>
        <w:t>Improving Student Learning of Statistics</w:t>
      </w:r>
      <w:r w:rsidR="0094378F">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Technology Innovations in Statistics Education</w:t>
      </w:r>
      <w:r w:rsidRPr="00E1438E">
        <w:rPr>
          <w:rStyle w:val="fontstyle01"/>
          <w:rFonts w:ascii="Arial" w:hAnsi="Arial" w:cs="Arial"/>
          <w:color w:val="auto"/>
          <w:sz w:val="20"/>
          <w:szCs w:val="20"/>
        </w:rPr>
        <w:t xml:space="preserve">, </w:t>
      </w:r>
      <w:r w:rsidR="00E259B0">
        <w:rPr>
          <w:rStyle w:val="fontstyle01"/>
          <w:rFonts w:ascii="Arial" w:hAnsi="Arial" w:cs="Arial"/>
          <w:color w:val="auto"/>
          <w:sz w:val="20"/>
          <w:szCs w:val="20"/>
        </w:rPr>
        <w:t>1(</w:t>
      </w:r>
      <w:r w:rsidRPr="00E1438E">
        <w:rPr>
          <w:rStyle w:val="fontstyle01"/>
          <w:rFonts w:ascii="Arial" w:hAnsi="Arial" w:cs="Arial"/>
          <w:color w:val="auto"/>
          <w:sz w:val="20"/>
          <w:szCs w:val="20"/>
        </w:rPr>
        <w:t>1</w:t>
      </w:r>
      <w:r w:rsidR="00E259B0">
        <w:rPr>
          <w:rStyle w:val="fontstyle01"/>
          <w:rFonts w:ascii="Arial" w:hAnsi="Arial" w:cs="Arial"/>
          <w:color w:val="auto"/>
          <w:sz w:val="20"/>
          <w:szCs w:val="20"/>
        </w:rPr>
        <w:t>)</w:t>
      </w:r>
      <w:r w:rsidR="0094378F">
        <w:rPr>
          <w:rStyle w:val="fontstyle01"/>
          <w:rFonts w:ascii="Arial" w:hAnsi="Arial" w:cs="Arial"/>
          <w:color w:val="auto"/>
          <w:sz w:val="20"/>
          <w:szCs w:val="20"/>
        </w:rPr>
        <w:t>.</w:t>
      </w:r>
      <w:r w:rsidR="008E5FB5">
        <w:rPr>
          <w:rStyle w:val="fontstyle21"/>
          <w:rFonts w:ascii="Arial" w:hAnsi="Arial" w:cs="Arial"/>
          <w:color w:val="auto"/>
          <w:sz w:val="20"/>
          <w:szCs w:val="20"/>
        </w:rPr>
        <w:t xml:space="preserve"> </w:t>
      </w:r>
      <w:hyperlink r:id="rId11" w:history="1">
        <w:r w:rsidR="008E5FB5" w:rsidRPr="005A76A8">
          <w:rPr>
            <w:rStyle w:val="Hyperlink"/>
            <w:rFonts w:ascii="Arial" w:hAnsi="Arial" w:cs="Arial"/>
            <w:sz w:val="20"/>
            <w:szCs w:val="20"/>
          </w:rPr>
          <w:t>https://doi.org/10.5070/T511000026</w:t>
        </w:r>
      </w:hyperlink>
    </w:p>
    <w:p w14:paraId="14119D89" w14:textId="77777777" w:rsidR="008E5FB5" w:rsidRPr="00E1438E" w:rsidRDefault="008E5FB5" w:rsidP="00872B05">
      <w:pPr>
        <w:spacing w:after="0" w:line="240" w:lineRule="auto"/>
        <w:ind w:left="288"/>
        <w:jc w:val="both"/>
        <w:rPr>
          <w:rStyle w:val="fontstyle21"/>
          <w:rFonts w:ascii="Arial" w:hAnsi="Arial" w:cs="Arial"/>
          <w:i w:val="0"/>
          <w:iCs w:val="0"/>
          <w:color w:val="auto"/>
          <w:sz w:val="20"/>
          <w:szCs w:val="20"/>
        </w:rPr>
      </w:pPr>
    </w:p>
    <w:p w14:paraId="734F791C" w14:textId="4052D8C4" w:rsidR="007005A2" w:rsidRPr="00E1438E" w:rsidRDefault="007005A2" w:rsidP="00872B05">
      <w:pPr>
        <w:spacing w:after="0" w:line="240" w:lineRule="auto"/>
        <w:jc w:val="both"/>
        <w:rPr>
          <w:rStyle w:val="fontstyle01"/>
          <w:rFonts w:ascii="Arial" w:hAnsi="Arial" w:cs="Arial"/>
          <w:color w:val="auto"/>
          <w:sz w:val="20"/>
          <w:szCs w:val="20"/>
        </w:rPr>
      </w:pPr>
      <w:r w:rsidRPr="00E1438E">
        <w:rPr>
          <w:rStyle w:val="fontstyle21"/>
          <w:rFonts w:ascii="Arial" w:hAnsi="Arial" w:cs="Arial"/>
          <w:i w:val="0"/>
          <w:color w:val="auto"/>
          <w:sz w:val="20"/>
          <w:szCs w:val="20"/>
        </w:rPr>
        <w:t xml:space="preserve">Hancock, S.A. </w:t>
      </w:r>
      <w:r w:rsidR="000D1EEE" w:rsidRPr="00E1438E">
        <w:rPr>
          <w:rStyle w:val="fontstyle21"/>
          <w:rFonts w:ascii="Arial" w:hAnsi="Arial" w:cs="Arial"/>
          <w:i w:val="0"/>
          <w:color w:val="auto"/>
          <w:sz w:val="20"/>
          <w:szCs w:val="20"/>
        </w:rPr>
        <w:t>&amp;</w:t>
      </w:r>
      <w:r w:rsidRPr="00E1438E">
        <w:rPr>
          <w:rStyle w:val="fontstyle21"/>
          <w:rFonts w:ascii="Arial" w:hAnsi="Arial" w:cs="Arial"/>
          <w:i w:val="0"/>
          <w:color w:val="auto"/>
          <w:sz w:val="20"/>
          <w:szCs w:val="20"/>
        </w:rPr>
        <w:t xml:space="preserve"> </w:t>
      </w:r>
      <w:proofErr w:type="spellStart"/>
      <w:r w:rsidRPr="00E1438E">
        <w:rPr>
          <w:rStyle w:val="fontstyle21"/>
          <w:rFonts w:ascii="Arial" w:hAnsi="Arial" w:cs="Arial"/>
          <w:i w:val="0"/>
          <w:color w:val="auto"/>
          <w:sz w:val="20"/>
          <w:szCs w:val="20"/>
        </w:rPr>
        <w:t>Rummerfeld</w:t>
      </w:r>
      <w:proofErr w:type="spellEnd"/>
      <w:r w:rsidRPr="00E1438E">
        <w:rPr>
          <w:rStyle w:val="fontstyle21"/>
          <w:rFonts w:ascii="Arial" w:hAnsi="Arial" w:cs="Arial"/>
          <w:i w:val="0"/>
          <w:color w:val="auto"/>
          <w:sz w:val="20"/>
          <w:szCs w:val="20"/>
        </w:rPr>
        <w:t>, W. (2020)</w:t>
      </w:r>
      <w:r w:rsidR="0094378F">
        <w:rPr>
          <w:rStyle w:val="fontstyle21"/>
          <w:rFonts w:ascii="Arial" w:hAnsi="Arial" w:cs="Arial"/>
          <w:i w:val="0"/>
          <w:color w:val="auto"/>
          <w:sz w:val="20"/>
          <w:szCs w:val="20"/>
        </w:rPr>
        <w:t xml:space="preserve">. </w:t>
      </w:r>
      <w:r w:rsidRPr="00E1438E">
        <w:rPr>
          <w:rStyle w:val="fontstyle01"/>
          <w:rFonts w:ascii="Arial" w:hAnsi="Arial" w:cs="Arial"/>
          <w:color w:val="auto"/>
          <w:sz w:val="20"/>
          <w:szCs w:val="20"/>
        </w:rPr>
        <w:t xml:space="preserve">Simulation Methods for Teaching Sampling   </w:t>
      </w:r>
    </w:p>
    <w:p w14:paraId="799E49C3" w14:textId="5F0432D7" w:rsidR="007005A2" w:rsidRPr="00E1438E" w:rsidRDefault="007005A2" w:rsidP="00872B05">
      <w:pPr>
        <w:spacing w:after="0" w:line="240" w:lineRule="auto"/>
        <w:ind w:left="288"/>
        <w:jc w:val="both"/>
        <w:rPr>
          <w:rFonts w:ascii="Arial" w:hAnsi="Arial" w:cs="Arial"/>
          <w:sz w:val="20"/>
          <w:szCs w:val="20"/>
        </w:rPr>
      </w:pPr>
      <w:r w:rsidRPr="00E1438E">
        <w:rPr>
          <w:rStyle w:val="fontstyle01"/>
          <w:rFonts w:ascii="Arial" w:hAnsi="Arial" w:cs="Arial"/>
          <w:color w:val="auto"/>
          <w:sz w:val="20"/>
          <w:szCs w:val="20"/>
        </w:rPr>
        <w:t xml:space="preserve">Distributions: Should Hands-on Activities Precede the Computer? </w:t>
      </w:r>
      <w:r w:rsidRPr="00E1438E">
        <w:rPr>
          <w:rStyle w:val="fontstyle21"/>
          <w:rFonts w:ascii="Arial" w:hAnsi="Arial" w:cs="Arial"/>
          <w:color w:val="auto"/>
          <w:sz w:val="20"/>
          <w:szCs w:val="20"/>
        </w:rPr>
        <w:t xml:space="preserve">Journal of Statistics Education, </w:t>
      </w:r>
      <w:r w:rsidRPr="00E1438E">
        <w:rPr>
          <w:rStyle w:val="fontstyle01"/>
          <w:rFonts w:ascii="Arial" w:hAnsi="Arial" w:cs="Arial"/>
          <w:color w:val="auto"/>
          <w:sz w:val="20"/>
          <w:szCs w:val="20"/>
        </w:rPr>
        <w:t>28</w:t>
      </w:r>
      <w:r w:rsidR="00E259B0">
        <w:rPr>
          <w:rStyle w:val="fontstyle01"/>
          <w:rFonts w:ascii="Arial" w:hAnsi="Arial" w:cs="Arial"/>
          <w:color w:val="auto"/>
          <w:sz w:val="20"/>
          <w:szCs w:val="20"/>
        </w:rPr>
        <w:t>(</w:t>
      </w:r>
      <w:r w:rsidRPr="00E1438E">
        <w:rPr>
          <w:rStyle w:val="fontstyle01"/>
          <w:rFonts w:ascii="Arial" w:hAnsi="Arial" w:cs="Arial"/>
          <w:color w:val="auto"/>
          <w:sz w:val="20"/>
          <w:szCs w:val="20"/>
        </w:rPr>
        <w:t>1</w:t>
      </w:r>
      <w:r w:rsidR="00E259B0">
        <w:rPr>
          <w:rStyle w:val="fontstyle01"/>
          <w:rFonts w:ascii="Arial" w:hAnsi="Arial" w:cs="Arial"/>
          <w:color w:val="auto"/>
          <w:sz w:val="20"/>
          <w:szCs w:val="20"/>
        </w:rPr>
        <w:t>)</w:t>
      </w:r>
      <w:r w:rsidRPr="00E1438E">
        <w:rPr>
          <w:rStyle w:val="fontstyle01"/>
          <w:rFonts w:ascii="Arial" w:hAnsi="Arial" w:cs="Arial"/>
          <w:color w:val="auto"/>
          <w:sz w:val="20"/>
          <w:szCs w:val="20"/>
        </w:rPr>
        <w:t xml:space="preserve">, 9-17. </w:t>
      </w:r>
      <w:hyperlink r:id="rId12" w:history="1">
        <w:r w:rsidRPr="00E1438E">
          <w:rPr>
            <w:rStyle w:val="Hyperlink"/>
            <w:rFonts w:ascii="Arial" w:hAnsi="Arial" w:cs="Arial"/>
            <w:color w:val="auto"/>
            <w:sz w:val="20"/>
            <w:szCs w:val="20"/>
          </w:rPr>
          <w:t>https://www.tandfonline.com/doi/full/10.1080/10691898.2020.1720551</w:t>
        </w:r>
      </w:hyperlink>
    </w:p>
    <w:p w14:paraId="6352073B" w14:textId="77777777" w:rsidR="000D1EEE" w:rsidRPr="00E1438E" w:rsidRDefault="000D1EEE" w:rsidP="00872B05">
      <w:pPr>
        <w:spacing w:after="0" w:line="240" w:lineRule="auto"/>
        <w:jc w:val="both"/>
        <w:rPr>
          <w:rStyle w:val="fontstyle01"/>
          <w:rFonts w:ascii="Arial" w:hAnsi="Arial" w:cs="Arial"/>
          <w:color w:val="auto"/>
          <w:sz w:val="20"/>
          <w:szCs w:val="20"/>
        </w:rPr>
      </w:pPr>
    </w:p>
    <w:p w14:paraId="70755DA9" w14:textId="4D2F2017" w:rsidR="007005A2" w:rsidRPr="00E1438E" w:rsidRDefault="007005A2" w:rsidP="00872B05">
      <w:pPr>
        <w:spacing w:after="0" w:line="240" w:lineRule="auto"/>
        <w:jc w:val="both"/>
        <w:rPr>
          <w:rStyle w:val="fontstyle21"/>
          <w:rFonts w:ascii="Arial" w:hAnsi="Arial" w:cs="Arial"/>
          <w:color w:val="auto"/>
          <w:sz w:val="20"/>
          <w:szCs w:val="20"/>
        </w:rPr>
      </w:pPr>
      <w:r w:rsidRPr="00E1438E">
        <w:rPr>
          <w:rStyle w:val="fontstyle01"/>
          <w:rFonts w:ascii="Arial" w:hAnsi="Arial" w:cs="Arial"/>
          <w:color w:val="auto"/>
          <w:sz w:val="20"/>
          <w:szCs w:val="20"/>
        </w:rPr>
        <w:t xml:space="preserve">Hodgson, T.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Burke, M. (2000)</w:t>
      </w:r>
      <w:r w:rsidR="0094378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On Simulation and the Teaching of Statistics</w:t>
      </w:r>
      <w:r w:rsidR="0094378F">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 xml:space="preserve">Teaching     </w:t>
      </w:r>
    </w:p>
    <w:p w14:paraId="6197170D" w14:textId="704453D5" w:rsidR="007005A2" w:rsidRDefault="007005A2" w:rsidP="00872B05">
      <w:pPr>
        <w:spacing w:after="0" w:line="240" w:lineRule="auto"/>
        <w:ind w:left="288"/>
        <w:jc w:val="both"/>
        <w:rPr>
          <w:rStyle w:val="fontstyle01"/>
          <w:rFonts w:ascii="Arial" w:hAnsi="Arial" w:cs="Arial"/>
          <w:color w:val="auto"/>
          <w:sz w:val="20"/>
          <w:szCs w:val="20"/>
        </w:rPr>
      </w:pPr>
      <w:r w:rsidRPr="00E1438E">
        <w:rPr>
          <w:rStyle w:val="fontstyle21"/>
          <w:rFonts w:ascii="Arial" w:hAnsi="Arial" w:cs="Arial"/>
          <w:color w:val="auto"/>
          <w:sz w:val="20"/>
          <w:szCs w:val="20"/>
        </w:rPr>
        <w:t xml:space="preserve">Statistics, </w:t>
      </w:r>
      <w:r w:rsidRPr="00E1438E">
        <w:rPr>
          <w:rStyle w:val="fontstyle01"/>
          <w:rFonts w:ascii="Arial" w:hAnsi="Arial" w:cs="Arial"/>
          <w:color w:val="auto"/>
          <w:sz w:val="20"/>
          <w:szCs w:val="20"/>
        </w:rPr>
        <w:t>22(3), 91-96.</w:t>
      </w:r>
      <w:r w:rsidR="00E259B0">
        <w:rPr>
          <w:rStyle w:val="fontstyle01"/>
          <w:rFonts w:ascii="Arial" w:hAnsi="Arial" w:cs="Arial"/>
          <w:color w:val="auto"/>
          <w:sz w:val="20"/>
          <w:szCs w:val="20"/>
        </w:rPr>
        <w:t xml:space="preserve"> </w:t>
      </w:r>
      <w:hyperlink r:id="rId13" w:history="1">
        <w:r w:rsidR="000B0442" w:rsidRPr="002069C9">
          <w:rPr>
            <w:rStyle w:val="Hyperlink"/>
            <w:rFonts w:ascii="Arial" w:hAnsi="Arial" w:cs="Arial"/>
            <w:sz w:val="20"/>
            <w:szCs w:val="20"/>
          </w:rPr>
          <w:t>https://doi.org/10.1111/1467-9639.00033</w:t>
        </w:r>
      </w:hyperlink>
    </w:p>
    <w:p w14:paraId="219F7024" w14:textId="77777777" w:rsidR="001952B9" w:rsidRDefault="001952B9" w:rsidP="001952B9">
      <w:pPr>
        <w:spacing w:after="0" w:line="240" w:lineRule="auto"/>
        <w:jc w:val="both"/>
        <w:rPr>
          <w:rStyle w:val="fontstyle01"/>
          <w:rFonts w:ascii="Arial" w:hAnsi="Arial" w:cs="Arial"/>
          <w:color w:val="auto"/>
          <w:sz w:val="20"/>
          <w:szCs w:val="20"/>
        </w:rPr>
      </w:pPr>
    </w:p>
    <w:p w14:paraId="68991919" w14:textId="2CA143A6" w:rsidR="001952B9" w:rsidRPr="001952B9" w:rsidRDefault="001952B9" w:rsidP="001952B9">
      <w:pPr>
        <w:spacing w:after="0" w:line="240" w:lineRule="auto"/>
        <w:jc w:val="both"/>
        <w:rPr>
          <w:rStyle w:val="fontstyle21"/>
          <w:rFonts w:ascii="Arial" w:hAnsi="Arial" w:cs="Arial"/>
          <w:i w:val="0"/>
          <w:iCs w:val="0"/>
          <w:color w:val="auto"/>
          <w:sz w:val="20"/>
          <w:szCs w:val="20"/>
          <w:highlight w:val="yellow"/>
        </w:rPr>
      </w:pPr>
      <w:r w:rsidRPr="001952B9">
        <w:rPr>
          <w:rStyle w:val="fontstyle01"/>
          <w:rFonts w:ascii="Arial" w:hAnsi="Arial" w:cs="Arial"/>
          <w:color w:val="auto"/>
          <w:sz w:val="20"/>
          <w:szCs w:val="20"/>
          <w:highlight w:val="yellow"/>
        </w:rPr>
        <w:t>Kim, S. (2020). A Case Study of a Lesson on the Sample Mean for Prospective Mathematics Teachers.</w:t>
      </w:r>
      <w:r w:rsidRPr="001952B9">
        <w:rPr>
          <w:rStyle w:val="fontstyle21"/>
          <w:rFonts w:ascii="Arial" w:hAnsi="Arial" w:cs="Arial"/>
          <w:color w:val="auto"/>
          <w:sz w:val="20"/>
          <w:szCs w:val="20"/>
          <w:highlight w:val="yellow"/>
        </w:rPr>
        <w:t xml:space="preserve">   </w:t>
      </w:r>
    </w:p>
    <w:p w14:paraId="5464CA51" w14:textId="38FB5C77" w:rsidR="001952B9" w:rsidRDefault="001952B9" w:rsidP="001952B9">
      <w:pPr>
        <w:spacing w:after="0" w:line="240" w:lineRule="auto"/>
        <w:ind w:left="288"/>
        <w:jc w:val="both"/>
        <w:rPr>
          <w:rStyle w:val="fontstyle01"/>
          <w:rFonts w:ascii="Arial" w:hAnsi="Arial" w:cs="Arial"/>
          <w:color w:val="auto"/>
          <w:sz w:val="20"/>
          <w:szCs w:val="20"/>
        </w:rPr>
      </w:pPr>
      <w:r w:rsidRPr="001952B9">
        <w:rPr>
          <w:rStyle w:val="fontstyle21"/>
          <w:rFonts w:ascii="Arial" w:hAnsi="Arial" w:cs="Arial"/>
          <w:color w:val="auto"/>
          <w:sz w:val="20"/>
          <w:szCs w:val="20"/>
          <w:highlight w:val="yellow"/>
        </w:rPr>
        <w:t xml:space="preserve">Mathematics, </w:t>
      </w:r>
      <w:r w:rsidRPr="001952B9">
        <w:rPr>
          <w:rStyle w:val="fontstyle01"/>
          <w:rFonts w:ascii="Arial" w:hAnsi="Arial" w:cs="Arial"/>
          <w:color w:val="auto"/>
          <w:sz w:val="20"/>
          <w:szCs w:val="20"/>
          <w:highlight w:val="yellow"/>
        </w:rPr>
        <w:t xml:space="preserve">8(10), 1706. </w:t>
      </w:r>
      <w:hyperlink r:id="rId14" w:history="1">
        <w:r w:rsidRPr="001952B9">
          <w:rPr>
            <w:rStyle w:val="Hyperlink"/>
            <w:rFonts w:ascii="Arial" w:hAnsi="Arial" w:cs="Arial"/>
            <w:b/>
            <w:bCs/>
            <w:sz w:val="20"/>
            <w:szCs w:val="20"/>
            <w:highlight w:val="yellow"/>
          </w:rPr>
          <w:t>https://doi.org/10.3390/math8101706</w:t>
        </w:r>
      </w:hyperlink>
    </w:p>
    <w:p w14:paraId="50C9CBB7" w14:textId="77777777" w:rsidR="001952B9" w:rsidRDefault="001952B9" w:rsidP="001952B9">
      <w:pPr>
        <w:spacing w:after="0" w:line="240" w:lineRule="auto"/>
        <w:jc w:val="both"/>
        <w:rPr>
          <w:rStyle w:val="fontstyle01"/>
          <w:rFonts w:ascii="Arial" w:hAnsi="Arial" w:cs="Arial"/>
          <w:color w:val="auto"/>
          <w:sz w:val="20"/>
          <w:szCs w:val="20"/>
        </w:rPr>
      </w:pPr>
    </w:p>
    <w:p w14:paraId="04CA8D7A" w14:textId="108051B9" w:rsidR="007005A2" w:rsidRPr="00E1438E" w:rsidRDefault="007005A2" w:rsidP="00872B05">
      <w:pPr>
        <w:spacing w:after="0" w:line="240" w:lineRule="auto"/>
        <w:jc w:val="both"/>
        <w:rPr>
          <w:rStyle w:val="fontstyle01"/>
          <w:rFonts w:ascii="Arial" w:hAnsi="Arial" w:cs="Arial"/>
          <w:color w:val="auto"/>
          <w:sz w:val="20"/>
          <w:szCs w:val="20"/>
        </w:rPr>
      </w:pPr>
      <w:r w:rsidRPr="00E1438E">
        <w:rPr>
          <w:rStyle w:val="fontstyle01"/>
          <w:rFonts w:ascii="Arial" w:hAnsi="Arial" w:cs="Arial"/>
          <w:color w:val="auto"/>
          <w:sz w:val="20"/>
          <w:szCs w:val="20"/>
        </w:rPr>
        <w:t>Lane, D. M. (2015)</w:t>
      </w:r>
      <w:r w:rsidR="0094378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Simulations of the Sampling Distribution of the Mean</w:t>
      </w:r>
      <w:r w:rsidRPr="00E1438E">
        <w:rPr>
          <w:rFonts w:ascii="Arial" w:hAnsi="Arial" w:cs="Arial"/>
          <w:sz w:val="20"/>
          <w:szCs w:val="20"/>
        </w:rPr>
        <w:t xml:space="preserve"> </w:t>
      </w:r>
      <w:r w:rsidRPr="00E1438E">
        <w:rPr>
          <w:rStyle w:val="fontstyle01"/>
          <w:rFonts w:ascii="Arial" w:hAnsi="Arial" w:cs="Arial"/>
          <w:color w:val="auto"/>
          <w:sz w:val="20"/>
          <w:szCs w:val="20"/>
        </w:rPr>
        <w:t xml:space="preserve">Do Not Necessarily  </w:t>
      </w:r>
    </w:p>
    <w:p w14:paraId="69A24594" w14:textId="1E171048" w:rsidR="007005A2" w:rsidRPr="00E1438E" w:rsidRDefault="007005A2" w:rsidP="00872B05">
      <w:pPr>
        <w:spacing w:after="0" w:line="240" w:lineRule="auto"/>
        <w:ind w:left="288"/>
        <w:jc w:val="both"/>
        <w:rPr>
          <w:rStyle w:val="fontstyle01"/>
          <w:rFonts w:ascii="Arial" w:hAnsi="Arial" w:cs="Arial"/>
          <w:color w:val="auto"/>
          <w:sz w:val="20"/>
          <w:szCs w:val="20"/>
        </w:rPr>
      </w:pPr>
      <w:r w:rsidRPr="00E1438E">
        <w:rPr>
          <w:rStyle w:val="fontstyle01"/>
          <w:rFonts w:ascii="Arial" w:hAnsi="Arial" w:cs="Arial"/>
          <w:color w:val="auto"/>
          <w:sz w:val="20"/>
          <w:szCs w:val="20"/>
        </w:rPr>
        <w:t>Mislead and Can Facilitate Learning</w:t>
      </w:r>
      <w:r w:rsidR="000B0950">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Journal of Statistics Education</w:t>
      </w:r>
      <w:r w:rsidRPr="00E1438E">
        <w:rPr>
          <w:rStyle w:val="fontstyle01"/>
          <w:rFonts w:ascii="Arial" w:hAnsi="Arial" w:cs="Arial"/>
          <w:color w:val="auto"/>
          <w:sz w:val="20"/>
          <w:szCs w:val="20"/>
        </w:rPr>
        <w:t>, 23</w:t>
      </w:r>
      <w:r w:rsidR="0094378F">
        <w:rPr>
          <w:rStyle w:val="fontstyle01"/>
          <w:rFonts w:ascii="Arial" w:hAnsi="Arial" w:cs="Arial"/>
          <w:color w:val="auto"/>
          <w:sz w:val="20"/>
          <w:szCs w:val="20"/>
        </w:rPr>
        <w:t xml:space="preserve">(2). </w:t>
      </w:r>
      <w:r w:rsidRPr="00E1438E">
        <w:rPr>
          <w:rStyle w:val="fontstyle01"/>
          <w:rFonts w:ascii="Arial" w:hAnsi="Arial" w:cs="Arial"/>
          <w:color w:val="auto"/>
          <w:sz w:val="20"/>
          <w:szCs w:val="20"/>
        </w:rPr>
        <w:t xml:space="preserve"> </w:t>
      </w:r>
      <w:hyperlink r:id="rId15" w:history="1">
        <w:r w:rsidRPr="00E1438E">
          <w:rPr>
            <w:rStyle w:val="Hyperlink"/>
            <w:rFonts w:ascii="Arial" w:hAnsi="Arial" w:cs="Arial"/>
            <w:color w:val="auto"/>
            <w:sz w:val="20"/>
            <w:szCs w:val="20"/>
          </w:rPr>
          <w:t>https://doi.org/10.1080/10691898.2015.11889738</w:t>
        </w:r>
      </w:hyperlink>
    </w:p>
    <w:p w14:paraId="00DCFBDF" w14:textId="77777777" w:rsidR="000D1EEE" w:rsidRPr="00E1438E" w:rsidRDefault="000D1EEE" w:rsidP="00872B05">
      <w:pPr>
        <w:spacing w:after="0" w:line="240" w:lineRule="auto"/>
        <w:jc w:val="both"/>
        <w:rPr>
          <w:rStyle w:val="fontstyle01"/>
          <w:rFonts w:ascii="Arial" w:hAnsi="Arial" w:cs="Arial"/>
          <w:color w:val="auto"/>
          <w:sz w:val="20"/>
          <w:szCs w:val="20"/>
        </w:rPr>
      </w:pPr>
    </w:p>
    <w:p w14:paraId="11542AD1" w14:textId="1CD29DF4" w:rsidR="007005A2" w:rsidRPr="00E1438E" w:rsidRDefault="007005A2" w:rsidP="00872B05">
      <w:pPr>
        <w:spacing w:after="0" w:line="240" w:lineRule="auto"/>
        <w:jc w:val="both"/>
        <w:rPr>
          <w:rFonts w:ascii="Arial" w:hAnsi="Arial" w:cs="Arial"/>
          <w:sz w:val="20"/>
          <w:szCs w:val="20"/>
        </w:rPr>
      </w:pPr>
      <w:r w:rsidRPr="00E1438E">
        <w:rPr>
          <w:rStyle w:val="fontstyle01"/>
          <w:rFonts w:ascii="Arial" w:hAnsi="Arial" w:cs="Arial"/>
          <w:color w:val="auto"/>
          <w:sz w:val="20"/>
          <w:szCs w:val="20"/>
        </w:rPr>
        <w:t xml:space="preserve">Lane, D. M.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Tang, Z. (2000)</w:t>
      </w:r>
      <w:r w:rsidR="003443AD">
        <w:rPr>
          <w:rStyle w:val="fontstyle01"/>
          <w:rFonts w:ascii="Arial" w:hAnsi="Arial" w:cs="Arial"/>
          <w:color w:val="auto"/>
          <w:sz w:val="20"/>
          <w:szCs w:val="20"/>
        </w:rPr>
        <w:t xml:space="preserve">. </w:t>
      </w:r>
      <w:r w:rsidRPr="00E1438E">
        <w:rPr>
          <w:rStyle w:val="fontstyle01"/>
          <w:rFonts w:ascii="Arial" w:hAnsi="Arial" w:cs="Arial"/>
          <w:color w:val="auto"/>
          <w:sz w:val="20"/>
          <w:szCs w:val="20"/>
        </w:rPr>
        <w:t>Effectiveness of Simulation Training on Transfer of statistical</w:t>
      </w:r>
      <w:r w:rsidRPr="00E1438E">
        <w:rPr>
          <w:rFonts w:ascii="Arial" w:hAnsi="Arial" w:cs="Arial"/>
          <w:sz w:val="20"/>
          <w:szCs w:val="20"/>
        </w:rPr>
        <w:t xml:space="preserve"> </w:t>
      </w:r>
    </w:p>
    <w:p w14:paraId="6F809018" w14:textId="77777777" w:rsidR="003443AD" w:rsidRDefault="003443AD" w:rsidP="00872B05">
      <w:pPr>
        <w:spacing w:after="0" w:line="240" w:lineRule="auto"/>
        <w:ind w:left="288"/>
        <w:jc w:val="both"/>
        <w:rPr>
          <w:rStyle w:val="fontstyle01"/>
          <w:rFonts w:ascii="Arial" w:hAnsi="Arial" w:cs="Arial"/>
          <w:color w:val="auto"/>
          <w:sz w:val="20"/>
          <w:szCs w:val="20"/>
        </w:rPr>
      </w:pPr>
      <w:r w:rsidRPr="00E1438E">
        <w:rPr>
          <w:rStyle w:val="fontstyle01"/>
          <w:rFonts w:ascii="Arial" w:hAnsi="Arial" w:cs="Arial"/>
          <w:color w:val="auto"/>
          <w:sz w:val="20"/>
          <w:szCs w:val="20"/>
        </w:rPr>
        <w:t>C</w:t>
      </w:r>
      <w:r w:rsidR="007005A2" w:rsidRPr="00E1438E">
        <w:rPr>
          <w:rStyle w:val="fontstyle01"/>
          <w:rFonts w:ascii="Arial" w:hAnsi="Arial" w:cs="Arial"/>
          <w:color w:val="auto"/>
          <w:sz w:val="20"/>
          <w:szCs w:val="20"/>
        </w:rPr>
        <w:t>oncepts</w:t>
      </w:r>
      <w:r>
        <w:rPr>
          <w:rStyle w:val="fontstyle01"/>
          <w:rFonts w:ascii="Arial" w:hAnsi="Arial" w:cs="Arial"/>
          <w:color w:val="auto"/>
          <w:sz w:val="20"/>
          <w:szCs w:val="20"/>
        </w:rPr>
        <w:t xml:space="preserve">. </w:t>
      </w:r>
      <w:r w:rsidR="007005A2" w:rsidRPr="00E1438E">
        <w:rPr>
          <w:rStyle w:val="fontstyle21"/>
          <w:rFonts w:ascii="Arial" w:hAnsi="Arial" w:cs="Arial"/>
          <w:color w:val="auto"/>
          <w:sz w:val="20"/>
          <w:szCs w:val="20"/>
        </w:rPr>
        <w:t>Journal of Educational Computing Research</w:t>
      </w:r>
      <w:r w:rsidR="007005A2" w:rsidRPr="00E1438E">
        <w:rPr>
          <w:rStyle w:val="fontstyle01"/>
          <w:rFonts w:ascii="Arial" w:hAnsi="Arial" w:cs="Arial"/>
          <w:color w:val="auto"/>
          <w:sz w:val="20"/>
          <w:szCs w:val="20"/>
        </w:rPr>
        <w:t>, 22</w:t>
      </w:r>
      <w:r w:rsidR="0043551E">
        <w:rPr>
          <w:rStyle w:val="fontstyle01"/>
          <w:rFonts w:ascii="Arial" w:hAnsi="Arial" w:cs="Arial"/>
          <w:color w:val="auto"/>
          <w:sz w:val="20"/>
          <w:szCs w:val="20"/>
        </w:rPr>
        <w:t xml:space="preserve"> (4)</w:t>
      </w:r>
      <w:r w:rsidR="007005A2" w:rsidRPr="00E1438E">
        <w:rPr>
          <w:rStyle w:val="fontstyle01"/>
          <w:rFonts w:ascii="Arial" w:hAnsi="Arial" w:cs="Arial"/>
          <w:color w:val="auto"/>
          <w:sz w:val="20"/>
          <w:szCs w:val="20"/>
        </w:rPr>
        <w:t>, 383-396.</w:t>
      </w:r>
      <w:r w:rsidR="0043551E">
        <w:rPr>
          <w:rStyle w:val="fontstyle01"/>
          <w:rFonts w:ascii="Arial" w:hAnsi="Arial" w:cs="Arial"/>
          <w:color w:val="auto"/>
          <w:sz w:val="20"/>
          <w:szCs w:val="20"/>
        </w:rPr>
        <w:t xml:space="preserve"> </w:t>
      </w:r>
    </w:p>
    <w:p w14:paraId="64FB448D" w14:textId="6C00A32B" w:rsidR="007005A2" w:rsidRDefault="0043551E" w:rsidP="00872B05">
      <w:pPr>
        <w:spacing w:after="0" w:line="240" w:lineRule="auto"/>
        <w:ind w:left="288"/>
        <w:jc w:val="both"/>
        <w:rPr>
          <w:rStyle w:val="fontstyle01"/>
          <w:rFonts w:ascii="Arial" w:hAnsi="Arial" w:cs="Arial"/>
          <w:color w:val="auto"/>
          <w:sz w:val="20"/>
          <w:szCs w:val="20"/>
        </w:rPr>
      </w:pPr>
      <w:r w:rsidRPr="0043551E">
        <w:rPr>
          <w:rStyle w:val="fontstyle01"/>
          <w:rFonts w:ascii="Arial" w:hAnsi="Arial" w:cs="Arial"/>
          <w:color w:val="auto"/>
          <w:sz w:val="20"/>
          <w:szCs w:val="20"/>
        </w:rPr>
        <w:t>https://doi.org/10.2190/W9GW-5M9C-UQVT-1E0R</w:t>
      </w:r>
    </w:p>
    <w:p w14:paraId="7F9046C6" w14:textId="77777777" w:rsidR="0043551E" w:rsidRDefault="0043551E" w:rsidP="00872B05">
      <w:pPr>
        <w:spacing w:after="0" w:line="240" w:lineRule="auto"/>
        <w:ind w:left="288"/>
        <w:jc w:val="both"/>
        <w:rPr>
          <w:rStyle w:val="fontstyle01"/>
          <w:rFonts w:ascii="Arial" w:hAnsi="Arial" w:cs="Arial"/>
          <w:color w:val="auto"/>
          <w:sz w:val="20"/>
          <w:szCs w:val="20"/>
        </w:rPr>
      </w:pPr>
    </w:p>
    <w:p w14:paraId="1681D102" w14:textId="3DB9A392" w:rsidR="007005A2" w:rsidRPr="00E1438E" w:rsidRDefault="007005A2" w:rsidP="00872B05">
      <w:pPr>
        <w:spacing w:after="0" w:line="240" w:lineRule="auto"/>
        <w:jc w:val="both"/>
        <w:rPr>
          <w:rStyle w:val="fontstyle01"/>
          <w:rFonts w:ascii="Arial" w:hAnsi="Arial" w:cs="Arial"/>
          <w:color w:val="auto"/>
          <w:sz w:val="20"/>
          <w:szCs w:val="20"/>
        </w:rPr>
      </w:pPr>
      <w:r w:rsidRPr="00E1438E">
        <w:rPr>
          <w:rStyle w:val="fontstyle01"/>
          <w:rFonts w:ascii="Arial" w:hAnsi="Arial" w:cs="Arial"/>
          <w:color w:val="auto"/>
          <w:sz w:val="20"/>
          <w:szCs w:val="20"/>
        </w:rPr>
        <w:t xml:space="preserve">Lunsford, M. L., Rowell, G. H.,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Goodson-Espy, T. (2006)</w:t>
      </w:r>
      <w:r w:rsidR="0043551E">
        <w:rPr>
          <w:rStyle w:val="fontstyle01"/>
          <w:rFonts w:ascii="Arial" w:hAnsi="Arial" w:cs="Arial"/>
          <w:color w:val="auto"/>
          <w:sz w:val="20"/>
          <w:szCs w:val="20"/>
        </w:rPr>
        <w:t xml:space="preserve">. </w:t>
      </w:r>
      <w:r w:rsidRPr="00E1438E">
        <w:rPr>
          <w:rStyle w:val="fontstyle01"/>
          <w:rFonts w:ascii="Arial" w:hAnsi="Arial" w:cs="Arial"/>
          <w:color w:val="auto"/>
          <w:sz w:val="20"/>
          <w:szCs w:val="20"/>
        </w:rPr>
        <w:t xml:space="preserve">Classroom Research: </w:t>
      </w:r>
    </w:p>
    <w:p w14:paraId="0D3BEFE7" w14:textId="3F1F5319" w:rsidR="007005A2" w:rsidRPr="00E1438E" w:rsidRDefault="007005A2" w:rsidP="00872B05">
      <w:pPr>
        <w:spacing w:after="0" w:line="240" w:lineRule="auto"/>
        <w:ind w:left="288"/>
        <w:jc w:val="both"/>
        <w:rPr>
          <w:rStyle w:val="fontstyle01"/>
          <w:rFonts w:ascii="Arial" w:hAnsi="Arial" w:cs="Arial"/>
          <w:color w:val="auto"/>
          <w:sz w:val="20"/>
          <w:szCs w:val="20"/>
        </w:rPr>
      </w:pPr>
      <w:r w:rsidRPr="00E1438E">
        <w:rPr>
          <w:rStyle w:val="fontstyle01"/>
          <w:rFonts w:ascii="Arial" w:hAnsi="Arial" w:cs="Arial"/>
          <w:color w:val="auto"/>
          <w:sz w:val="20"/>
          <w:szCs w:val="20"/>
        </w:rPr>
        <w:t>Assessment of Student Understanding of Sampling Distributions of Means and the Central Limit Theorem in Post-Calculus Probability and Statistics Classes</w:t>
      </w:r>
      <w:r w:rsidR="0043551E">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Journal of Statistics Education</w:t>
      </w:r>
      <w:r w:rsidRPr="00E1438E">
        <w:rPr>
          <w:rFonts w:ascii="Arial" w:hAnsi="Arial" w:cs="Arial"/>
          <w:i/>
          <w:iCs/>
          <w:sz w:val="20"/>
          <w:szCs w:val="20"/>
        </w:rPr>
        <w:t xml:space="preserve"> </w:t>
      </w:r>
      <w:r w:rsidRPr="00E1438E">
        <w:rPr>
          <w:rStyle w:val="fontstyle01"/>
          <w:rFonts w:ascii="Arial" w:hAnsi="Arial" w:cs="Arial"/>
          <w:color w:val="auto"/>
          <w:sz w:val="20"/>
          <w:szCs w:val="20"/>
        </w:rPr>
        <w:t>[online], 14(3</w:t>
      </w:r>
      <w:r w:rsidR="0043551E">
        <w:rPr>
          <w:rStyle w:val="fontstyle01"/>
          <w:rFonts w:ascii="Arial" w:hAnsi="Arial" w:cs="Arial"/>
          <w:color w:val="auto"/>
          <w:sz w:val="20"/>
          <w:szCs w:val="20"/>
        </w:rPr>
        <w:t>)</w:t>
      </w:r>
      <w:r w:rsidRPr="00E1438E">
        <w:rPr>
          <w:rStyle w:val="fontstyle01"/>
          <w:rFonts w:ascii="Arial" w:hAnsi="Arial" w:cs="Arial"/>
          <w:color w:val="auto"/>
          <w:sz w:val="20"/>
          <w:szCs w:val="20"/>
        </w:rPr>
        <w:t>.</w:t>
      </w:r>
      <w:r w:rsidR="0043551E">
        <w:rPr>
          <w:rStyle w:val="fontstyle01"/>
          <w:rFonts w:ascii="Arial" w:hAnsi="Arial" w:cs="Arial"/>
          <w:color w:val="auto"/>
          <w:sz w:val="20"/>
          <w:szCs w:val="20"/>
        </w:rPr>
        <w:t xml:space="preserve"> </w:t>
      </w:r>
      <w:r w:rsidR="0043551E" w:rsidRPr="0043551E">
        <w:rPr>
          <w:rStyle w:val="fontstyle01"/>
          <w:rFonts w:ascii="Arial" w:hAnsi="Arial" w:cs="Arial"/>
          <w:color w:val="auto"/>
          <w:sz w:val="20"/>
          <w:szCs w:val="20"/>
        </w:rPr>
        <w:t>https://doi.org/10.1080/10691898.2006.11910587</w:t>
      </w:r>
    </w:p>
    <w:p w14:paraId="493CB556" w14:textId="77777777" w:rsidR="000D1EEE" w:rsidRPr="00E1438E" w:rsidRDefault="000D1EEE" w:rsidP="00872B05">
      <w:pPr>
        <w:spacing w:after="0" w:line="240" w:lineRule="auto"/>
        <w:jc w:val="both"/>
        <w:rPr>
          <w:rStyle w:val="fontstyle01"/>
          <w:rFonts w:ascii="Arial" w:hAnsi="Arial" w:cs="Arial"/>
          <w:color w:val="auto"/>
          <w:sz w:val="20"/>
          <w:szCs w:val="20"/>
        </w:rPr>
      </w:pPr>
    </w:p>
    <w:p w14:paraId="3BC226C7" w14:textId="2126DC40" w:rsidR="007005A2" w:rsidRPr="00E1438E" w:rsidRDefault="007005A2" w:rsidP="00872B05">
      <w:pPr>
        <w:spacing w:after="0" w:line="240" w:lineRule="auto"/>
        <w:jc w:val="both"/>
        <w:rPr>
          <w:rFonts w:ascii="Arial" w:hAnsi="Arial" w:cs="Arial"/>
          <w:sz w:val="20"/>
          <w:szCs w:val="20"/>
        </w:rPr>
      </w:pPr>
      <w:r w:rsidRPr="00E1438E">
        <w:rPr>
          <w:rStyle w:val="fontstyle01"/>
          <w:rFonts w:ascii="Arial" w:hAnsi="Arial" w:cs="Arial"/>
          <w:color w:val="auto"/>
          <w:sz w:val="20"/>
          <w:szCs w:val="20"/>
        </w:rPr>
        <w:lastRenderedPageBreak/>
        <w:t>Mills, J. D. (2004)</w:t>
      </w:r>
      <w:r w:rsidR="004F1EE7">
        <w:rPr>
          <w:rStyle w:val="fontstyle01"/>
          <w:rFonts w:ascii="Arial" w:hAnsi="Arial" w:cs="Arial"/>
          <w:color w:val="auto"/>
          <w:sz w:val="20"/>
          <w:szCs w:val="20"/>
        </w:rPr>
        <w:t xml:space="preserve">. </w:t>
      </w:r>
      <w:r w:rsidRPr="00E1438E">
        <w:rPr>
          <w:rStyle w:val="fontstyle01"/>
          <w:rFonts w:ascii="Arial" w:hAnsi="Arial" w:cs="Arial"/>
          <w:color w:val="auto"/>
          <w:sz w:val="20"/>
          <w:szCs w:val="20"/>
        </w:rPr>
        <w:t>Learning abstract statistics concepts using simulation</w:t>
      </w:r>
      <w:r w:rsidR="003443AD">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Educational</w:t>
      </w:r>
      <w:r w:rsidRPr="00E1438E">
        <w:rPr>
          <w:rFonts w:ascii="Arial" w:hAnsi="Arial" w:cs="Arial"/>
          <w:sz w:val="20"/>
          <w:szCs w:val="20"/>
        </w:rPr>
        <w:t xml:space="preserve">  </w:t>
      </w:r>
    </w:p>
    <w:p w14:paraId="225677E3" w14:textId="51C724B3" w:rsidR="007005A2" w:rsidRDefault="007005A2" w:rsidP="00872B05">
      <w:pPr>
        <w:spacing w:after="0" w:line="240" w:lineRule="auto"/>
        <w:ind w:left="288"/>
        <w:jc w:val="both"/>
        <w:rPr>
          <w:rStyle w:val="fontstyle01"/>
          <w:rFonts w:ascii="Arial" w:hAnsi="Arial" w:cs="Arial"/>
          <w:color w:val="auto"/>
          <w:sz w:val="20"/>
          <w:szCs w:val="20"/>
        </w:rPr>
      </w:pPr>
      <w:r w:rsidRPr="00E1438E">
        <w:rPr>
          <w:rStyle w:val="fontstyle21"/>
          <w:rFonts w:ascii="Arial" w:hAnsi="Arial" w:cs="Arial"/>
          <w:color w:val="auto"/>
          <w:sz w:val="20"/>
          <w:szCs w:val="20"/>
        </w:rPr>
        <w:t>Research Quarterly</w:t>
      </w:r>
      <w:r w:rsidRPr="00E1438E">
        <w:rPr>
          <w:rStyle w:val="fontstyle01"/>
          <w:rFonts w:ascii="Arial" w:hAnsi="Arial" w:cs="Arial"/>
          <w:color w:val="auto"/>
          <w:sz w:val="20"/>
          <w:szCs w:val="20"/>
        </w:rPr>
        <w:t>, 28</w:t>
      </w:r>
      <w:r w:rsidR="004F1EE7">
        <w:rPr>
          <w:rStyle w:val="fontstyle01"/>
          <w:rFonts w:ascii="Arial" w:hAnsi="Arial" w:cs="Arial"/>
          <w:color w:val="auto"/>
          <w:sz w:val="20"/>
          <w:szCs w:val="20"/>
        </w:rPr>
        <w:t>(4)</w:t>
      </w:r>
      <w:r w:rsidRPr="00E1438E">
        <w:rPr>
          <w:rStyle w:val="fontstyle01"/>
          <w:rFonts w:ascii="Arial" w:hAnsi="Arial" w:cs="Arial"/>
          <w:color w:val="auto"/>
          <w:sz w:val="20"/>
          <w:szCs w:val="20"/>
        </w:rPr>
        <w:t>, 18-33.</w:t>
      </w:r>
      <w:r w:rsidR="001F6B33">
        <w:rPr>
          <w:rStyle w:val="fontstyle01"/>
          <w:rFonts w:ascii="Arial" w:hAnsi="Arial" w:cs="Arial"/>
          <w:color w:val="auto"/>
          <w:sz w:val="20"/>
          <w:szCs w:val="20"/>
        </w:rPr>
        <w:t xml:space="preserve"> </w:t>
      </w:r>
      <w:hyperlink r:id="rId16" w:history="1">
        <w:r w:rsidR="001F6B33" w:rsidRPr="005A76A8">
          <w:rPr>
            <w:rStyle w:val="Hyperlink"/>
            <w:rFonts w:ascii="Arial" w:hAnsi="Arial" w:cs="Arial"/>
            <w:sz w:val="20"/>
            <w:szCs w:val="20"/>
          </w:rPr>
          <w:t>https://eric.ed.gov/?id=EJ718121</w:t>
        </w:r>
      </w:hyperlink>
    </w:p>
    <w:p w14:paraId="1664F6A6" w14:textId="77777777" w:rsidR="008E5FB5" w:rsidRDefault="008E5FB5" w:rsidP="00872B05">
      <w:pPr>
        <w:spacing w:after="0" w:line="240" w:lineRule="auto"/>
        <w:jc w:val="both"/>
        <w:rPr>
          <w:rStyle w:val="fontstyle01"/>
          <w:rFonts w:ascii="Arial" w:hAnsi="Arial" w:cs="Arial"/>
          <w:color w:val="auto"/>
          <w:sz w:val="20"/>
          <w:szCs w:val="20"/>
        </w:rPr>
      </w:pPr>
    </w:p>
    <w:p w14:paraId="6A41FFE7" w14:textId="54CBE1E4" w:rsidR="007005A2" w:rsidRPr="00E1438E" w:rsidRDefault="007005A2" w:rsidP="00872B05">
      <w:pPr>
        <w:spacing w:after="0" w:line="240" w:lineRule="auto"/>
        <w:jc w:val="both"/>
        <w:rPr>
          <w:rFonts w:ascii="Arial" w:hAnsi="Arial" w:cs="Arial"/>
          <w:sz w:val="20"/>
          <w:szCs w:val="20"/>
        </w:rPr>
      </w:pPr>
      <w:r w:rsidRPr="00E1438E">
        <w:rPr>
          <w:rStyle w:val="fontstyle01"/>
          <w:rFonts w:ascii="Arial" w:hAnsi="Arial" w:cs="Arial"/>
          <w:color w:val="auto"/>
          <w:sz w:val="20"/>
          <w:szCs w:val="20"/>
        </w:rPr>
        <w:t xml:space="preserve">Mulekar, M. S.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Siegel, M. H. (2009)</w:t>
      </w:r>
      <w:r w:rsidR="001F6B33">
        <w:rPr>
          <w:rStyle w:val="fontstyle01"/>
          <w:rFonts w:ascii="Arial" w:hAnsi="Arial" w:cs="Arial"/>
          <w:color w:val="auto"/>
          <w:sz w:val="20"/>
          <w:szCs w:val="20"/>
        </w:rPr>
        <w:t xml:space="preserve">. </w:t>
      </w:r>
      <w:r w:rsidRPr="00E1438E">
        <w:rPr>
          <w:rStyle w:val="fontstyle01"/>
          <w:rFonts w:ascii="Arial" w:hAnsi="Arial" w:cs="Arial"/>
          <w:color w:val="auto"/>
          <w:sz w:val="20"/>
          <w:szCs w:val="20"/>
        </w:rPr>
        <w:t>How Sample Size Affects a Sampling Distribution</w:t>
      </w:r>
      <w:r w:rsidR="001F6B33">
        <w:rPr>
          <w:rStyle w:val="fontstyle01"/>
          <w:rFonts w:ascii="Arial" w:hAnsi="Arial" w:cs="Arial"/>
          <w:color w:val="auto"/>
          <w:sz w:val="20"/>
          <w:szCs w:val="20"/>
        </w:rPr>
        <w:t>.</w:t>
      </w:r>
      <w:r w:rsidRPr="00E1438E">
        <w:rPr>
          <w:rFonts w:ascii="Arial" w:hAnsi="Arial" w:cs="Arial"/>
          <w:sz w:val="20"/>
          <w:szCs w:val="20"/>
        </w:rPr>
        <w:t xml:space="preserve"> </w:t>
      </w:r>
    </w:p>
    <w:p w14:paraId="010322DA" w14:textId="550B8C0C" w:rsidR="007005A2" w:rsidRDefault="007005A2" w:rsidP="00872B05">
      <w:pPr>
        <w:spacing w:after="0" w:line="240" w:lineRule="auto"/>
        <w:ind w:left="288"/>
        <w:jc w:val="both"/>
      </w:pPr>
      <w:r w:rsidRPr="00E1438E">
        <w:rPr>
          <w:rStyle w:val="fontstyle21"/>
          <w:rFonts w:ascii="Arial" w:hAnsi="Arial" w:cs="Arial"/>
          <w:color w:val="auto"/>
          <w:sz w:val="20"/>
          <w:szCs w:val="20"/>
        </w:rPr>
        <w:t>The Mathematics Teacher</w:t>
      </w:r>
      <w:r w:rsidRPr="00E1438E">
        <w:rPr>
          <w:rStyle w:val="fontstyle01"/>
          <w:rFonts w:ascii="Arial" w:hAnsi="Arial" w:cs="Arial"/>
          <w:color w:val="auto"/>
          <w:sz w:val="20"/>
          <w:szCs w:val="20"/>
        </w:rPr>
        <w:t>, 103</w:t>
      </w:r>
      <w:r w:rsidR="00CF6F9F">
        <w:rPr>
          <w:rStyle w:val="fontstyle01"/>
          <w:rFonts w:ascii="Arial" w:hAnsi="Arial" w:cs="Arial"/>
          <w:color w:val="auto"/>
          <w:sz w:val="20"/>
          <w:szCs w:val="20"/>
        </w:rPr>
        <w:t>(1)</w:t>
      </w:r>
      <w:r w:rsidRPr="00E1438E">
        <w:rPr>
          <w:rStyle w:val="fontstyle01"/>
          <w:rFonts w:ascii="Arial" w:hAnsi="Arial" w:cs="Arial"/>
          <w:color w:val="auto"/>
          <w:sz w:val="20"/>
          <w:szCs w:val="20"/>
        </w:rPr>
        <w:t>, 35-42.</w:t>
      </w:r>
      <w:r w:rsidR="00CF6F9F">
        <w:rPr>
          <w:rStyle w:val="fontstyle01"/>
          <w:rFonts w:ascii="Arial" w:hAnsi="Arial" w:cs="Arial"/>
          <w:color w:val="auto"/>
          <w:sz w:val="20"/>
          <w:szCs w:val="20"/>
        </w:rPr>
        <w:t xml:space="preserve"> </w:t>
      </w:r>
      <w:hyperlink r:id="rId17" w:history="1">
        <w:r w:rsidR="00CF6F9F" w:rsidRPr="005A76A8">
          <w:rPr>
            <w:rStyle w:val="Hyperlink"/>
            <w:rFonts w:ascii="Arial" w:hAnsi="Arial" w:cs="Arial"/>
            <w:sz w:val="20"/>
            <w:szCs w:val="20"/>
          </w:rPr>
          <w:t>https://doi.org/10.5951/MT.103.1.0034</w:t>
        </w:r>
      </w:hyperlink>
    </w:p>
    <w:p w14:paraId="443152A5" w14:textId="77777777" w:rsidR="003B0C3D" w:rsidRDefault="003B0C3D" w:rsidP="00872B05">
      <w:pPr>
        <w:spacing w:after="0" w:line="240" w:lineRule="auto"/>
        <w:ind w:left="288"/>
        <w:jc w:val="both"/>
        <w:rPr>
          <w:rStyle w:val="fontstyle01"/>
          <w:rFonts w:ascii="Arial" w:hAnsi="Arial" w:cs="Arial"/>
          <w:color w:val="auto"/>
          <w:sz w:val="20"/>
          <w:szCs w:val="20"/>
        </w:rPr>
      </w:pPr>
    </w:p>
    <w:p w14:paraId="1280775E" w14:textId="7316137C" w:rsidR="003B0C3D" w:rsidRPr="003B0C3D" w:rsidRDefault="003B0C3D" w:rsidP="00325674">
      <w:pPr>
        <w:spacing w:after="0" w:line="240" w:lineRule="auto"/>
        <w:jc w:val="both"/>
        <w:rPr>
          <w:rFonts w:ascii="Arial" w:hAnsi="Arial" w:cs="Arial"/>
          <w:sz w:val="20"/>
          <w:szCs w:val="20"/>
        </w:rPr>
      </w:pPr>
      <w:r w:rsidRPr="003B0C3D">
        <w:rPr>
          <w:rFonts w:ascii="Arial" w:hAnsi="Arial" w:cs="Arial"/>
          <w:sz w:val="20"/>
          <w:szCs w:val="20"/>
          <w:highlight w:val="yellow"/>
        </w:rPr>
        <w:t xml:space="preserve">Pagano, M. </w:t>
      </w:r>
      <w:r>
        <w:rPr>
          <w:rFonts w:ascii="Arial" w:hAnsi="Arial" w:cs="Arial"/>
          <w:sz w:val="20"/>
          <w:szCs w:val="20"/>
          <w:highlight w:val="yellow"/>
        </w:rPr>
        <w:t>&amp;</w:t>
      </w:r>
      <w:r w:rsidRPr="003B0C3D">
        <w:rPr>
          <w:rFonts w:ascii="Arial" w:hAnsi="Arial" w:cs="Arial"/>
          <w:sz w:val="20"/>
          <w:szCs w:val="20"/>
          <w:highlight w:val="yellow"/>
        </w:rPr>
        <w:t xml:space="preserve"> Gauvreau, K. (20</w:t>
      </w:r>
      <w:r w:rsidR="00325674">
        <w:rPr>
          <w:rFonts w:ascii="Arial" w:hAnsi="Arial" w:cs="Arial"/>
          <w:sz w:val="20"/>
          <w:szCs w:val="20"/>
          <w:highlight w:val="yellow"/>
        </w:rPr>
        <w:t>18</w:t>
      </w:r>
      <w:r w:rsidRPr="003B0C3D">
        <w:rPr>
          <w:rFonts w:ascii="Arial" w:hAnsi="Arial" w:cs="Arial"/>
          <w:sz w:val="20"/>
          <w:szCs w:val="20"/>
          <w:highlight w:val="yellow"/>
        </w:rPr>
        <w:t>)</w:t>
      </w:r>
      <w:r>
        <w:rPr>
          <w:rFonts w:ascii="Arial" w:hAnsi="Arial" w:cs="Arial"/>
          <w:sz w:val="20"/>
          <w:szCs w:val="20"/>
          <w:highlight w:val="yellow"/>
        </w:rPr>
        <w:t>.</w:t>
      </w:r>
      <w:r w:rsidRPr="003B0C3D">
        <w:rPr>
          <w:rFonts w:ascii="Arial" w:hAnsi="Arial" w:cs="Arial"/>
          <w:sz w:val="20"/>
          <w:szCs w:val="20"/>
          <w:highlight w:val="yellow"/>
        </w:rPr>
        <w:t xml:space="preserve"> </w:t>
      </w:r>
      <w:r w:rsidRPr="003B0C3D">
        <w:rPr>
          <w:rFonts w:ascii="Arial" w:hAnsi="Arial" w:cs="Arial"/>
          <w:i/>
          <w:iCs/>
          <w:sz w:val="20"/>
          <w:szCs w:val="20"/>
          <w:highlight w:val="yellow"/>
        </w:rPr>
        <w:t>Principles of Biostatistics</w:t>
      </w:r>
      <w:r w:rsidR="00325674" w:rsidRPr="00325674">
        <w:rPr>
          <w:rFonts w:ascii="Arial" w:hAnsi="Arial" w:cs="Arial"/>
          <w:i/>
          <w:iCs/>
          <w:sz w:val="20"/>
          <w:szCs w:val="20"/>
          <w:highlight w:val="yellow"/>
        </w:rPr>
        <w:t>.</w:t>
      </w:r>
      <w:r w:rsidR="00325674" w:rsidRPr="00325674">
        <w:rPr>
          <w:rFonts w:ascii="Arial" w:hAnsi="Arial" w:cs="Arial"/>
          <w:sz w:val="20"/>
          <w:szCs w:val="20"/>
          <w:highlight w:val="yellow"/>
        </w:rPr>
        <w:t xml:space="preserve"> Chapman and Hall/CRC; 2nd edition.</w:t>
      </w:r>
    </w:p>
    <w:p w14:paraId="44585E21" w14:textId="77777777" w:rsidR="00CF6F9F" w:rsidRPr="00E1438E" w:rsidRDefault="00CF6F9F" w:rsidP="003B0C3D">
      <w:pPr>
        <w:spacing w:after="0" w:line="240" w:lineRule="auto"/>
        <w:jc w:val="both"/>
        <w:rPr>
          <w:rStyle w:val="fontstyle01"/>
          <w:rFonts w:ascii="Arial" w:hAnsi="Arial" w:cs="Arial"/>
          <w:color w:val="auto"/>
          <w:sz w:val="20"/>
          <w:szCs w:val="20"/>
        </w:rPr>
      </w:pPr>
    </w:p>
    <w:p w14:paraId="523C32E7" w14:textId="484EE986" w:rsidR="007005A2" w:rsidRPr="003C5BEF" w:rsidRDefault="007005A2" w:rsidP="00872B05">
      <w:pPr>
        <w:spacing w:after="0" w:line="240" w:lineRule="auto"/>
        <w:jc w:val="both"/>
        <w:rPr>
          <w:rFonts w:ascii="Arial" w:hAnsi="Arial" w:cs="Arial"/>
          <w:sz w:val="20"/>
          <w:szCs w:val="20"/>
        </w:rPr>
      </w:pPr>
      <w:r w:rsidRPr="003C5BEF">
        <w:rPr>
          <w:rStyle w:val="fontstyle01"/>
          <w:rFonts w:ascii="Arial" w:hAnsi="Arial" w:cs="Arial"/>
          <w:color w:val="auto"/>
          <w:sz w:val="20"/>
          <w:szCs w:val="20"/>
        </w:rPr>
        <w:t xml:space="preserve">Pfaff, T. J. </w:t>
      </w:r>
      <w:r w:rsidR="000D1EEE" w:rsidRPr="003C5BEF">
        <w:rPr>
          <w:rStyle w:val="fontstyle01"/>
          <w:rFonts w:ascii="Arial" w:hAnsi="Arial" w:cs="Arial"/>
          <w:color w:val="auto"/>
          <w:sz w:val="20"/>
          <w:szCs w:val="20"/>
        </w:rPr>
        <w:t>&amp;</w:t>
      </w:r>
      <w:r w:rsidRPr="003C5BEF">
        <w:rPr>
          <w:rStyle w:val="fontstyle01"/>
          <w:rFonts w:ascii="Arial" w:hAnsi="Arial" w:cs="Arial"/>
          <w:color w:val="auto"/>
          <w:sz w:val="20"/>
          <w:szCs w:val="20"/>
        </w:rPr>
        <w:t xml:space="preserve"> Weinberg, A. (2009)</w:t>
      </w:r>
      <w:r w:rsidR="00CF6F9F" w:rsidRPr="003C5BEF">
        <w:rPr>
          <w:rStyle w:val="fontstyle01"/>
          <w:rFonts w:ascii="Arial" w:hAnsi="Arial" w:cs="Arial"/>
          <w:color w:val="auto"/>
          <w:sz w:val="20"/>
          <w:szCs w:val="20"/>
        </w:rPr>
        <w:t xml:space="preserve">. </w:t>
      </w:r>
      <w:r w:rsidRPr="003C5BEF">
        <w:rPr>
          <w:rStyle w:val="fontstyle01"/>
          <w:rFonts w:ascii="Arial" w:hAnsi="Arial" w:cs="Arial"/>
          <w:color w:val="auto"/>
          <w:sz w:val="20"/>
          <w:szCs w:val="20"/>
        </w:rPr>
        <w:t xml:space="preserve">Do hands-on activities increase student </w:t>
      </w:r>
      <w:proofErr w:type="gramStart"/>
      <w:r w:rsidRPr="003C5BEF">
        <w:rPr>
          <w:rStyle w:val="fontstyle01"/>
          <w:rFonts w:ascii="Arial" w:hAnsi="Arial" w:cs="Arial"/>
          <w:color w:val="auto"/>
          <w:sz w:val="20"/>
          <w:szCs w:val="20"/>
        </w:rPr>
        <w:t>understanding?:</w:t>
      </w:r>
      <w:proofErr w:type="gramEnd"/>
      <w:r w:rsidRPr="003C5BEF">
        <w:rPr>
          <w:rStyle w:val="fontstyle01"/>
          <w:rFonts w:ascii="Arial" w:hAnsi="Arial" w:cs="Arial"/>
          <w:color w:val="auto"/>
          <w:sz w:val="20"/>
          <w:szCs w:val="20"/>
        </w:rPr>
        <w:t xml:space="preserve"> A</w:t>
      </w:r>
      <w:r w:rsidRPr="003C5BEF">
        <w:rPr>
          <w:rFonts w:ascii="Arial" w:hAnsi="Arial" w:cs="Arial"/>
          <w:sz w:val="20"/>
          <w:szCs w:val="20"/>
        </w:rPr>
        <w:t xml:space="preserve"> </w:t>
      </w:r>
    </w:p>
    <w:p w14:paraId="359DE54D" w14:textId="4E556982" w:rsidR="007005A2" w:rsidRDefault="007005A2" w:rsidP="00872B05">
      <w:pPr>
        <w:spacing w:after="0" w:line="240" w:lineRule="auto"/>
        <w:ind w:left="288"/>
        <w:jc w:val="both"/>
        <w:rPr>
          <w:rFonts w:ascii="Arial" w:hAnsi="Arial" w:cs="Arial"/>
          <w:sz w:val="20"/>
          <w:szCs w:val="20"/>
        </w:rPr>
      </w:pPr>
      <w:r w:rsidRPr="003C5BEF">
        <w:rPr>
          <w:rStyle w:val="fontstyle01"/>
          <w:rFonts w:ascii="Arial" w:hAnsi="Arial" w:cs="Arial"/>
          <w:color w:val="auto"/>
          <w:sz w:val="20"/>
          <w:szCs w:val="20"/>
        </w:rPr>
        <w:t>case study</w:t>
      </w:r>
      <w:r w:rsidR="00CF6F9F" w:rsidRPr="003C5BEF">
        <w:rPr>
          <w:rStyle w:val="fontstyle01"/>
          <w:rFonts w:ascii="Arial" w:hAnsi="Arial" w:cs="Arial"/>
          <w:color w:val="auto"/>
          <w:sz w:val="20"/>
          <w:szCs w:val="20"/>
        </w:rPr>
        <w:t xml:space="preserve">. </w:t>
      </w:r>
      <w:r w:rsidRPr="003C5BEF">
        <w:rPr>
          <w:rStyle w:val="fontstyle21"/>
          <w:rFonts w:ascii="Arial" w:hAnsi="Arial" w:cs="Arial"/>
          <w:color w:val="auto"/>
          <w:sz w:val="20"/>
          <w:szCs w:val="20"/>
        </w:rPr>
        <w:t xml:space="preserve">Journal of Statistics Education </w:t>
      </w:r>
      <w:r w:rsidRPr="003C5BEF">
        <w:rPr>
          <w:rStyle w:val="fontstyle01"/>
          <w:rFonts w:ascii="Arial" w:hAnsi="Arial" w:cs="Arial"/>
          <w:color w:val="auto"/>
          <w:sz w:val="20"/>
          <w:szCs w:val="20"/>
        </w:rPr>
        <w:t>17</w:t>
      </w:r>
      <w:r w:rsidR="00CF6F9F" w:rsidRPr="003C5BEF">
        <w:rPr>
          <w:rStyle w:val="fontstyle01"/>
          <w:rFonts w:ascii="Arial" w:hAnsi="Arial" w:cs="Arial"/>
          <w:color w:val="auto"/>
          <w:sz w:val="20"/>
          <w:szCs w:val="20"/>
        </w:rPr>
        <w:t>(3)</w:t>
      </w:r>
      <w:r w:rsidRPr="003C5BEF">
        <w:rPr>
          <w:rStyle w:val="fontstyle01"/>
          <w:rFonts w:ascii="Arial" w:hAnsi="Arial" w:cs="Arial"/>
          <w:color w:val="auto"/>
          <w:sz w:val="20"/>
          <w:szCs w:val="20"/>
        </w:rPr>
        <w:t>,</w:t>
      </w:r>
      <w:r w:rsidRPr="003C5BEF">
        <w:rPr>
          <w:rFonts w:ascii="Arial" w:hAnsi="Arial" w:cs="Arial"/>
          <w:sz w:val="20"/>
          <w:szCs w:val="20"/>
        </w:rPr>
        <w:t xml:space="preserve"> </w:t>
      </w:r>
      <w:hyperlink r:id="rId18" w:history="1">
        <w:r w:rsidR="00CF6F9F" w:rsidRPr="003C5BEF">
          <w:rPr>
            <w:rStyle w:val="Hyperlink"/>
            <w:rFonts w:ascii="Arial" w:hAnsi="Arial" w:cs="Arial"/>
            <w:sz w:val="20"/>
            <w:szCs w:val="20"/>
          </w:rPr>
          <w:t>https://eric.ed.gov/?id=EJ868321</w:t>
        </w:r>
      </w:hyperlink>
    </w:p>
    <w:p w14:paraId="34DF758C" w14:textId="77777777" w:rsidR="008E5FB5" w:rsidRDefault="008E5FB5" w:rsidP="008E5FB5">
      <w:pPr>
        <w:spacing w:after="0" w:line="240" w:lineRule="auto"/>
        <w:jc w:val="both"/>
        <w:rPr>
          <w:rFonts w:ascii="Arial" w:hAnsi="Arial" w:cs="Arial"/>
          <w:sz w:val="20"/>
          <w:szCs w:val="20"/>
        </w:rPr>
      </w:pPr>
    </w:p>
    <w:p w14:paraId="34E55F50" w14:textId="77777777" w:rsidR="006A0AA4" w:rsidRDefault="008E5FB5" w:rsidP="008E5FB5">
      <w:pPr>
        <w:spacing w:after="0" w:line="240" w:lineRule="auto"/>
        <w:jc w:val="both"/>
        <w:rPr>
          <w:rStyle w:val="fontstyle01"/>
          <w:rFonts w:ascii="Arial" w:hAnsi="Arial" w:cs="Arial"/>
          <w:color w:val="auto"/>
          <w:sz w:val="20"/>
          <w:szCs w:val="20"/>
        </w:rPr>
      </w:pPr>
      <w:r>
        <w:rPr>
          <w:rStyle w:val="fontstyle01"/>
          <w:rFonts w:ascii="Arial" w:hAnsi="Arial" w:cs="Arial"/>
          <w:color w:val="auto"/>
          <w:sz w:val="20"/>
          <w:szCs w:val="20"/>
        </w:rPr>
        <w:t xml:space="preserve">R Core Team (2024). R: A Language and Environment of Statistical Computing. R Foundation for Statistical </w:t>
      </w:r>
    </w:p>
    <w:p w14:paraId="089F10AE" w14:textId="0112787D" w:rsidR="008E5FB5" w:rsidRDefault="006A0AA4" w:rsidP="006A0AA4">
      <w:pPr>
        <w:spacing w:after="0" w:line="240" w:lineRule="auto"/>
        <w:jc w:val="both"/>
        <w:rPr>
          <w:rFonts w:ascii="Arial" w:hAnsi="Arial" w:cs="Arial"/>
          <w:sz w:val="20"/>
          <w:szCs w:val="20"/>
        </w:rPr>
      </w:pPr>
      <w:r>
        <w:rPr>
          <w:rStyle w:val="fontstyle01"/>
          <w:rFonts w:ascii="Arial" w:hAnsi="Arial" w:cs="Arial"/>
          <w:color w:val="auto"/>
          <w:sz w:val="20"/>
          <w:szCs w:val="20"/>
        </w:rPr>
        <w:t xml:space="preserve">      </w:t>
      </w:r>
      <w:r w:rsidR="008E5FB5">
        <w:rPr>
          <w:rStyle w:val="fontstyle01"/>
          <w:rFonts w:ascii="Arial" w:hAnsi="Arial" w:cs="Arial"/>
          <w:color w:val="auto"/>
          <w:sz w:val="20"/>
          <w:szCs w:val="20"/>
        </w:rPr>
        <w:t xml:space="preserve">Computing, Vienna, Austria, </w:t>
      </w:r>
      <w:hyperlink r:id="rId19" w:history="1">
        <w:r w:rsidR="008E5FB5" w:rsidRPr="00EE67AE">
          <w:rPr>
            <w:rStyle w:val="Hyperlink"/>
            <w:rFonts w:ascii="Arial" w:hAnsi="Arial" w:cs="Arial"/>
            <w:sz w:val="20"/>
            <w:szCs w:val="20"/>
          </w:rPr>
          <w:t>https://www.R-project.org/</w:t>
        </w:r>
      </w:hyperlink>
    </w:p>
    <w:p w14:paraId="44477F7E" w14:textId="77777777" w:rsidR="008E5FB5" w:rsidRDefault="008E5FB5" w:rsidP="008E5FB5">
      <w:pPr>
        <w:spacing w:after="0" w:line="240" w:lineRule="auto"/>
        <w:jc w:val="both"/>
        <w:rPr>
          <w:rFonts w:ascii="Arial" w:hAnsi="Arial" w:cs="Arial"/>
          <w:sz w:val="20"/>
          <w:szCs w:val="20"/>
        </w:rPr>
      </w:pPr>
    </w:p>
    <w:p w14:paraId="14A630B1" w14:textId="2AB0FE12" w:rsidR="007005A2" w:rsidRPr="00E1438E" w:rsidRDefault="007005A2" w:rsidP="00872B05">
      <w:pPr>
        <w:spacing w:after="0" w:line="240" w:lineRule="auto"/>
        <w:rPr>
          <w:rStyle w:val="fontstyle01"/>
          <w:rFonts w:ascii="Arial" w:hAnsi="Arial" w:cs="Arial"/>
          <w:color w:val="auto"/>
          <w:sz w:val="20"/>
          <w:szCs w:val="20"/>
        </w:rPr>
      </w:pPr>
      <w:r w:rsidRPr="00E1438E">
        <w:rPr>
          <w:rStyle w:val="fontstyle01"/>
          <w:rFonts w:ascii="Arial" w:hAnsi="Arial" w:cs="Arial"/>
          <w:color w:val="auto"/>
          <w:sz w:val="20"/>
          <w:szCs w:val="20"/>
        </w:rPr>
        <w:t xml:space="preserve">Watkins, A. E., </w:t>
      </w:r>
      <w:proofErr w:type="spellStart"/>
      <w:r w:rsidRPr="00E1438E">
        <w:rPr>
          <w:rStyle w:val="fontstyle01"/>
          <w:rFonts w:ascii="Arial" w:hAnsi="Arial" w:cs="Arial"/>
          <w:color w:val="auto"/>
          <w:sz w:val="20"/>
          <w:szCs w:val="20"/>
        </w:rPr>
        <w:t>Bargagliotti</w:t>
      </w:r>
      <w:proofErr w:type="spellEnd"/>
      <w:r w:rsidRPr="00E1438E">
        <w:rPr>
          <w:rStyle w:val="fontstyle01"/>
          <w:rFonts w:ascii="Arial" w:hAnsi="Arial" w:cs="Arial"/>
          <w:color w:val="auto"/>
          <w:sz w:val="20"/>
          <w:szCs w:val="20"/>
        </w:rPr>
        <w:t xml:space="preserve">, A.,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Franklin, C. (2014)</w:t>
      </w:r>
      <w:r w:rsidR="00CF6F9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 xml:space="preserve">Simulation of the Sampling  </w:t>
      </w:r>
    </w:p>
    <w:p w14:paraId="46A6AA27" w14:textId="58006FBC" w:rsidR="007005A2" w:rsidRDefault="007005A2" w:rsidP="00872B05">
      <w:pPr>
        <w:spacing w:after="0" w:line="240" w:lineRule="auto"/>
        <w:ind w:left="288"/>
      </w:pPr>
      <w:r w:rsidRPr="00E1438E">
        <w:rPr>
          <w:rStyle w:val="fontstyle01"/>
          <w:rFonts w:ascii="Arial" w:hAnsi="Arial" w:cs="Arial"/>
          <w:color w:val="auto"/>
          <w:sz w:val="20"/>
          <w:szCs w:val="20"/>
        </w:rPr>
        <w:t>Distribution of the Mean Can Mislead</w:t>
      </w:r>
      <w:r w:rsidR="00CF6F9F">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Journal of Statistics Education</w:t>
      </w:r>
      <w:r w:rsidRPr="00E1438E">
        <w:rPr>
          <w:rStyle w:val="fontstyle01"/>
          <w:rFonts w:ascii="Arial" w:hAnsi="Arial" w:cs="Arial"/>
          <w:color w:val="auto"/>
          <w:sz w:val="20"/>
          <w:szCs w:val="20"/>
        </w:rPr>
        <w:t>, 22</w:t>
      </w:r>
      <w:r w:rsidR="00CF6F9F">
        <w:rPr>
          <w:rStyle w:val="fontstyle01"/>
          <w:rFonts w:ascii="Arial" w:hAnsi="Arial" w:cs="Arial"/>
          <w:color w:val="auto"/>
          <w:sz w:val="20"/>
          <w:szCs w:val="20"/>
        </w:rPr>
        <w:t>(3)</w:t>
      </w:r>
      <w:r w:rsidRPr="00E1438E">
        <w:rPr>
          <w:rStyle w:val="fontstyle01"/>
          <w:rFonts w:ascii="Arial" w:hAnsi="Arial" w:cs="Arial"/>
          <w:color w:val="auto"/>
          <w:sz w:val="20"/>
          <w:szCs w:val="20"/>
        </w:rPr>
        <w:t xml:space="preserve">.  </w:t>
      </w:r>
      <w:hyperlink r:id="rId20" w:history="1">
        <w:r w:rsidRPr="00E1438E">
          <w:rPr>
            <w:rStyle w:val="Hyperlink"/>
            <w:rFonts w:ascii="Arial" w:hAnsi="Arial" w:cs="Arial"/>
            <w:color w:val="auto"/>
            <w:sz w:val="20"/>
            <w:szCs w:val="20"/>
          </w:rPr>
          <w:t>https://doi.org/10.1080/10691898.2014.11889716</w:t>
        </w:r>
      </w:hyperlink>
    </w:p>
    <w:p w14:paraId="5455A697" w14:textId="77777777" w:rsidR="000D1EEE" w:rsidRPr="00E1438E" w:rsidRDefault="000D1EEE" w:rsidP="00872B05">
      <w:pPr>
        <w:spacing w:after="0" w:line="240" w:lineRule="auto"/>
        <w:rPr>
          <w:rStyle w:val="fontstyle01"/>
          <w:rFonts w:ascii="Arial" w:hAnsi="Arial" w:cs="Arial"/>
          <w:color w:val="auto"/>
          <w:sz w:val="20"/>
          <w:szCs w:val="20"/>
        </w:rPr>
      </w:pPr>
    </w:p>
    <w:p w14:paraId="3F949581" w14:textId="124C9F34" w:rsidR="007005A2" w:rsidRPr="00E1438E" w:rsidRDefault="007005A2" w:rsidP="00872B05">
      <w:pPr>
        <w:spacing w:after="0" w:line="240" w:lineRule="auto"/>
        <w:rPr>
          <w:rStyle w:val="fontstyle21"/>
          <w:rFonts w:ascii="Arial" w:hAnsi="Arial" w:cs="Arial"/>
          <w:color w:val="auto"/>
          <w:sz w:val="20"/>
          <w:szCs w:val="20"/>
        </w:rPr>
      </w:pPr>
      <w:r w:rsidRPr="00E1438E">
        <w:rPr>
          <w:rStyle w:val="fontstyle01"/>
          <w:rFonts w:ascii="Arial" w:hAnsi="Arial" w:cs="Arial"/>
          <w:color w:val="auto"/>
          <w:sz w:val="20"/>
          <w:szCs w:val="20"/>
        </w:rPr>
        <w:t>Wood, M. (2005)</w:t>
      </w:r>
      <w:r w:rsidR="00CF6F9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The Role of Simulation Approaches in Statistics</w:t>
      </w:r>
      <w:r w:rsidR="00CF6F9F">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 xml:space="preserve">Journal of Statistics </w:t>
      </w:r>
    </w:p>
    <w:p w14:paraId="2485D9D4" w14:textId="1821193A" w:rsidR="008D3060" w:rsidRDefault="007005A2" w:rsidP="008D3060">
      <w:pPr>
        <w:spacing w:after="0" w:line="240" w:lineRule="auto"/>
        <w:ind w:left="288"/>
      </w:pPr>
      <w:r w:rsidRPr="00E1438E">
        <w:rPr>
          <w:rStyle w:val="fontstyle21"/>
          <w:rFonts w:ascii="Arial" w:hAnsi="Arial" w:cs="Arial"/>
          <w:color w:val="auto"/>
          <w:sz w:val="20"/>
          <w:szCs w:val="20"/>
        </w:rPr>
        <w:t>Education</w:t>
      </w:r>
      <w:r w:rsidRPr="00E1438E">
        <w:rPr>
          <w:rStyle w:val="fontstyle01"/>
          <w:rFonts w:ascii="Arial" w:hAnsi="Arial" w:cs="Arial"/>
          <w:color w:val="auto"/>
          <w:sz w:val="20"/>
          <w:szCs w:val="20"/>
        </w:rPr>
        <w:t>, 13</w:t>
      </w:r>
      <w:r w:rsidR="005E1C80">
        <w:rPr>
          <w:rStyle w:val="fontstyle01"/>
          <w:rFonts w:ascii="Arial" w:hAnsi="Arial" w:cs="Arial"/>
          <w:color w:val="auto"/>
          <w:sz w:val="20"/>
          <w:szCs w:val="20"/>
        </w:rPr>
        <w:t>(3)</w:t>
      </w:r>
      <w:r w:rsidRPr="00E1438E">
        <w:rPr>
          <w:rStyle w:val="fontstyle01"/>
          <w:rFonts w:ascii="Arial" w:hAnsi="Arial" w:cs="Arial"/>
          <w:color w:val="auto"/>
          <w:sz w:val="20"/>
          <w:szCs w:val="20"/>
        </w:rPr>
        <w:t xml:space="preserve">. </w:t>
      </w:r>
      <w:hyperlink r:id="rId21" w:history="1">
        <w:r w:rsidR="005E1C80" w:rsidRPr="005A76A8">
          <w:rPr>
            <w:rStyle w:val="Hyperlink"/>
            <w:rFonts w:ascii="Arial" w:hAnsi="Arial" w:cs="Arial"/>
            <w:sz w:val="20"/>
            <w:szCs w:val="20"/>
          </w:rPr>
          <w:t>https://doi.org/10.1080/10691898.2005.11910562</w:t>
        </w:r>
      </w:hyperlink>
    </w:p>
    <w:p w14:paraId="74FC8E10" w14:textId="77777777" w:rsidR="003C5BEF" w:rsidRDefault="003C5BEF" w:rsidP="008D3060">
      <w:pPr>
        <w:spacing w:after="0" w:line="240" w:lineRule="auto"/>
        <w:ind w:left="288"/>
        <w:rPr>
          <w:rStyle w:val="fontstyle21"/>
          <w:rFonts w:ascii="Arial" w:hAnsi="Arial" w:cs="Arial"/>
          <w:color w:val="auto"/>
          <w:sz w:val="20"/>
          <w:szCs w:val="20"/>
        </w:rPr>
      </w:pPr>
    </w:p>
    <w:p w14:paraId="2A3F1764" w14:textId="77777777" w:rsidR="006A0AA4" w:rsidRPr="003C5BEF" w:rsidRDefault="00BB15DA" w:rsidP="006A0AA4">
      <w:pPr>
        <w:spacing w:after="0" w:line="240" w:lineRule="auto"/>
        <w:rPr>
          <w:rFonts w:ascii="Arial" w:hAnsi="Arial" w:cs="Arial"/>
          <w:sz w:val="20"/>
          <w:szCs w:val="20"/>
          <w:highlight w:val="yellow"/>
        </w:rPr>
      </w:pPr>
      <w:r w:rsidRPr="003C5BEF">
        <w:rPr>
          <w:rFonts w:ascii="Arial" w:hAnsi="Arial" w:cs="Arial"/>
          <w:sz w:val="20"/>
          <w:szCs w:val="20"/>
          <w:highlight w:val="yellow"/>
        </w:rPr>
        <w:t xml:space="preserve">Sánchez, E., García-Ríos, V. N., &amp; Sepúlveda, F. (2024). Development of high school students’ </w:t>
      </w:r>
      <w:r w:rsidR="006A0AA4" w:rsidRPr="003C5BEF">
        <w:rPr>
          <w:rFonts w:ascii="Arial" w:hAnsi="Arial" w:cs="Arial"/>
          <w:sz w:val="20"/>
          <w:szCs w:val="20"/>
          <w:highlight w:val="yellow"/>
        </w:rPr>
        <w:t xml:space="preserve">   </w:t>
      </w:r>
    </w:p>
    <w:p w14:paraId="3C5FCCF6" w14:textId="77777777" w:rsidR="006A0AA4" w:rsidRPr="003C5BEF" w:rsidRDefault="006A0AA4" w:rsidP="006A0AA4">
      <w:pPr>
        <w:spacing w:after="0" w:line="240" w:lineRule="auto"/>
        <w:rPr>
          <w:rFonts w:ascii="Arial" w:hAnsi="Arial" w:cs="Arial"/>
          <w:sz w:val="20"/>
          <w:szCs w:val="20"/>
          <w:highlight w:val="yellow"/>
        </w:rPr>
      </w:pPr>
      <w:r w:rsidRPr="003C5BEF">
        <w:rPr>
          <w:rFonts w:ascii="Arial" w:hAnsi="Arial" w:cs="Arial"/>
          <w:sz w:val="20"/>
          <w:szCs w:val="20"/>
          <w:highlight w:val="yellow"/>
        </w:rPr>
        <w:t xml:space="preserve">    </w:t>
      </w:r>
      <w:r w:rsidR="00BB15DA" w:rsidRPr="003C5BEF">
        <w:rPr>
          <w:rFonts w:ascii="Arial" w:hAnsi="Arial" w:cs="Arial"/>
          <w:sz w:val="20"/>
          <w:szCs w:val="20"/>
          <w:highlight w:val="yellow"/>
        </w:rPr>
        <w:t xml:space="preserve">conceptions of sampling distribution in the context of learning significance tests with technology. </w:t>
      </w:r>
      <w:r w:rsidRPr="003C5BEF">
        <w:rPr>
          <w:rFonts w:ascii="Arial" w:hAnsi="Arial" w:cs="Arial"/>
          <w:sz w:val="20"/>
          <w:szCs w:val="20"/>
          <w:highlight w:val="yellow"/>
        </w:rPr>
        <w:t xml:space="preserve">   </w:t>
      </w:r>
    </w:p>
    <w:p w14:paraId="18079D80" w14:textId="75333060" w:rsidR="002B250D" w:rsidRDefault="006A0AA4" w:rsidP="006A0AA4">
      <w:pPr>
        <w:spacing w:after="0" w:line="240" w:lineRule="auto"/>
        <w:rPr>
          <w:rFonts w:ascii="Arial" w:hAnsi="Arial" w:cs="Arial"/>
          <w:sz w:val="20"/>
          <w:szCs w:val="20"/>
        </w:rPr>
      </w:pPr>
      <w:r w:rsidRPr="003C5BEF">
        <w:rPr>
          <w:rFonts w:ascii="Arial" w:hAnsi="Arial" w:cs="Arial"/>
          <w:i/>
          <w:iCs/>
          <w:sz w:val="20"/>
          <w:szCs w:val="20"/>
          <w:highlight w:val="yellow"/>
        </w:rPr>
        <w:t xml:space="preserve">    </w:t>
      </w:r>
      <w:r w:rsidR="00BB15DA" w:rsidRPr="003C5BEF">
        <w:rPr>
          <w:rFonts w:ascii="Arial" w:hAnsi="Arial" w:cs="Arial"/>
          <w:i/>
          <w:iCs/>
          <w:sz w:val="20"/>
          <w:szCs w:val="20"/>
          <w:highlight w:val="yellow"/>
        </w:rPr>
        <w:t>Educational Studies in Mathematics</w:t>
      </w:r>
      <w:r w:rsidR="00BB15DA" w:rsidRPr="003C5BEF">
        <w:rPr>
          <w:rFonts w:ascii="Arial" w:hAnsi="Arial" w:cs="Arial"/>
          <w:sz w:val="20"/>
          <w:szCs w:val="20"/>
          <w:highlight w:val="yellow"/>
        </w:rPr>
        <w:t>, 117(2), 215-238.</w:t>
      </w:r>
      <w:r w:rsidR="003C5BEF">
        <w:rPr>
          <w:rFonts w:ascii="Arial" w:hAnsi="Arial" w:cs="Arial"/>
          <w:sz w:val="20"/>
          <w:szCs w:val="20"/>
        </w:rPr>
        <w:t xml:space="preserve"> </w:t>
      </w:r>
      <w:hyperlink r:id="rId22" w:history="1">
        <w:r w:rsidR="003C5BEF" w:rsidRPr="002069C9">
          <w:rPr>
            <w:rStyle w:val="Hyperlink"/>
            <w:rFonts w:ascii="Arial" w:hAnsi="Arial" w:cs="Arial"/>
            <w:sz w:val="20"/>
            <w:szCs w:val="20"/>
          </w:rPr>
          <w:t>https://doi.org/10.1007/s10649-024-10330-8</w:t>
        </w:r>
      </w:hyperlink>
    </w:p>
    <w:p w14:paraId="6D77FD04" w14:textId="77777777" w:rsidR="003C5BEF" w:rsidRPr="006A0AA4" w:rsidRDefault="003C5BEF" w:rsidP="006A0AA4">
      <w:pPr>
        <w:spacing w:after="0" w:line="240" w:lineRule="auto"/>
        <w:rPr>
          <w:rFonts w:ascii="Arial" w:hAnsi="Arial" w:cs="Arial"/>
          <w:sz w:val="20"/>
          <w:szCs w:val="20"/>
        </w:rPr>
      </w:pPr>
    </w:p>
    <w:sectPr w:rsidR="003C5BEF" w:rsidRPr="006A0AA4" w:rsidSect="002B78B8">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060B4" w14:textId="77777777" w:rsidR="00C47E16" w:rsidRDefault="00C47E16" w:rsidP="003F55AB">
      <w:pPr>
        <w:spacing w:after="0" w:line="240" w:lineRule="auto"/>
      </w:pPr>
      <w:r>
        <w:separator/>
      </w:r>
    </w:p>
  </w:endnote>
  <w:endnote w:type="continuationSeparator" w:id="0">
    <w:p w14:paraId="11E138D9" w14:textId="77777777" w:rsidR="00C47E16" w:rsidRDefault="00C47E16" w:rsidP="003F5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87F5" w14:textId="77777777" w:rsidR="00F81B47" w:rsidRDefault="00F81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541331"/>
      <w:docPartObj>
        <w:docPartGallery w:val="Page Numbers (Bottom of Page)"/>
        <w:docPartUnique/>
      </w:docPartObj>
    </w:sdtPr>
    <w:sdtEndPr>
      <w:rPr>
        <w:noProof/>
      </w:rPr>
    </w:sdtEndPr>
    <w:sdtContent>
      <w:p w14:paraId="16F9F88B" w14:textId="77777777" w:rsidR="0018416F" w:rsidRDefault="0018416F">
        <w:pPr>
          <w:pStyle w:val="Footer"/>
          <w:jc w:val="right"/>
        </w:pPr>
        <w:r>
          <w:fldChar w:fldCharType="begin"/>
        </w:r>
        <w:r>
          <w:instrText xml:space="preserve"> PAGE   \* MERGEFORMAT </w:instrText>
        </w:r>
        <w:r>
          <w:fldChar w:fldCharType="separate"/>
        </w:r>
        <w:r w:rsidR="002637C9">
          <w:rPr>
            <w:noProof/>
          </w:rPr>
          <w:t>1</w:t>
        </w:r>
        <w:r>
          <w:rPr>
            <w:noProof/>
          </w:rPr>
          <w:fldChar w:fldCharType="end"/>
        </w:r>
      </w:p>
    </w:sdtContent>
  </w:sdt>
  <w:p w14:paraId="0EC0A465" w14:textId="77777777" w:rsidR="0018416F" w:rsidRDefault="00184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EEC8" w14:textId="77777777" w:rsidR="00F81B47" w:rsidRDefault="00F81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FAA4" w14:textId="77777777" w:rsidR="00C47E16" w:rsidRDefault="00C47E16" w:rsidP="003F55AB">
      <w:pPr>
        <w:spacing w:after="0" w:line="240" w:lineRule="auto"/>
      </w:pPr>
      <w:r>
        <w:separator/>
      </w:r>
    </w:p>
  </w:footnote>
  <w:footnote w:type="continuationSeparator" w:id="0">
    <w:p w14:paraId="65AE254D" w14:textId="77777777" w:rsidR="00C47E16" w:rsidRDefault="00C47E16" w:rsidP="003F5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F39F" w14:textId="2A8B33AE" w:rsidR="00F81B47" w:rsidRDefault="00000000">
    <w:pPr>
      <w:pStyle w:val="Header"/>
    </w:pPr>
    <w:r>
      <w:rPr>
        <w:noProof/>
      </w:rPr>
      <w:pict w14:anchorId="725B1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23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8DA5" w14:textId="02FF587B" w:rsidR="00F81B47" w:rsidRDefault="00000000">
    <w:pPr>
      <w:pStyle w:val="Header"/>
    </w:pPr>
    <w:r>
      <w:rPr>
        <w:noProof/>
      </w:rPr>
      <w:pict w14:anchorId="16382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23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06CA" w14:textId="04A68D59" w:rsidR="00F81B47" w:rsidRDefault="00000000">
    <w:pPr>
      <w:pStyle w:val="Header"/>
    </w:pPr>
    <w:r>
      <w:rPr>
        <w:noProof/>
      </w:rPr>
      <w:pict w14:anchorId="1AB09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23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87D"/>
    <w:multiLevelType w:val="multilevel"/>
    <w:tmpl w:val="55C042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E193B"/>
    <w:multiLevelType w:val="hybridMultilevel"/>
    <w:tmpl w:val="27D0A5AC"/>
    <w:lvl w:ilvl="0" w:tplc="48405504">
      <w:start w:val="1"/>
      <w:numFmt w:val="decimal"/>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EB13FE"/>
    <w:multiLevelType w:val="hybridMultilevel"/>
    <w:tmpl w:val="7E04E1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BF2A20"/>
    <w:multiLevelType w:val="hybridMultilevel"/>
    <w:tmpl w:val="8924B352"/>
    <w:lvl w:ilvl="0" w:tplc="D0EA4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A7265"/>
    <w:multiLevelType w:val="hybridMultilevel"/>
    <w:tmpl w:val="A6DA8D3C"/>
    <w:lvl w:ilvl="0" w:tplc="AAA050B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BA6A3A"/>
    <w:multiLevelType w:val="hybridMultilevel"/>
    <w:tmpl w:val="1DD4B3A8"/>
    <w:lvl w:ilvl="0" w:tplc="4FD07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B5EBF"/>
    <w:multiLevelType w:val="hybridMultilevel"/>
    <w:tmpl w:val="2DD6E8A4"/>
    <w:lvl w:ilvl="0" w:tplc="4840550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323FD"/>
    <w:multiLevelType w:val="hybridMultilevel"/>
    <w:tmpl w:val="CB10B61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176394"/>
    <w:multiLevelType w:val="multilevel"/>
    <w:tmpl w:val="BBC0521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236FBA"/>
    <w:multiLevelType w:val="hybridMultilevel"/>
    <w:tmpl w:val="7A2C5A4C"/>
    <w:lvl w:ilvl="0" w:tplc="9CACEDA8">
      <w:start w:val="1"/>
      <w:numFmt w:val="lowerRoman"/>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B0432"/>
    <w:multiLevelType w:val="multilevel"/>
    <w:tmpl w:val="236A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7489A"/>
    <w:multiLevelType w:val="hybridMultilevel"/>
    <w:tmpl w:val="27D0A5AC"/>
    <w:lvl w:ilvl="0" w:tplc="FFFFFFFF">
      <w:start w:val="1"/>
      <w:numFmt w:val="decimal"/>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E7AF0"/>
    <w:multiLevelType w:val="hybridMultilevel"/>
    <w:tmpl w:val="6296866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2E6FE8"/>
    <w:multiLevelType w:val="multilevel"/>
    <w:tmpl w:val="D098186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3E259D"/>
    <w:multiLevelType w:val="multilevel"/>
    <w:tmpl w:val="4B8CB1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0A3D3A"/>
    <w:multiLevelType w:val="hybridMultilevel"/>
    <w:tmpl w:val="1EA28BA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205B23"/>
    <w:multiLevelType w:val="hybridMultilevel"/>
    <w:tmpl w:val="43CA2E5C"/>
    <w:lvl w:ilvl="0" w:tplc="48405504">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66611E"/>
    <w:multiLevelType w:val="hybridMultilevel"/>
    <w:tmpl w:val="B15A4DB8"/>
    <w:lvl w:ilvl="0" w:tplc="0AEC5DA4">
      <w:start w:val="1"/>
      <w:numFmt w:val="lowerRoman"/>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453EF"/>
    <w:multiLevelType w:val="hybridMultilevel"/>
    <w:tmpl w:val="E312D378"/>
    <w:lvl w:ilvl="0" w:tplc="4840550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B1CC7"/>
    <w:multiLevelType w:val="hybridMultilevel"/>
    <w:tmpl w:val="862CC2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47D5E"/>
    <w:multiLevelType w:val="hybridMultilevel"/>
    <w:tmpl w:val="B15A4DB8"/>
    <w:lvl w:ilvl="0" w:tplc="0AEC5DA4">
      <w:start w:val="1"/>
      <w:numFmt w:val="lowerRoman"/>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3144FF"/>
    <w:multiLevelType w:val="hybridMultilevel"/>
    <w:tmpl w:val="8B9A19C8"/>
    <w:lvl w:ilvl="0" w:tplc="E20C8C8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954965"/>
    <w:multiLevelType w:val="hybridMultilevel"/>
    <w:tmpl w:val="74CA0586"/>
    <w:lvl w:ilvl="0" w:tplc="BDBC784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882EE1"/>
    <w:multiLevelType w:val="hybridMultilevel"/>
    <w:tmpl w:val="DA4ACBF0"/>
    <w:lvl w:ilvl="0" w:tplc="D0EA4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6B003B"/>
    <w:multiLevelType w:val="hybridMultilevel"/>
    <w:tmpl w:val="27EE3D1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61016A5"/>
    <w:multiLevelType w:val="hybridMultilevel"/>
    <w:tmpl w:val="BEB4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8664">
    <w:abstractNumId w:val="9"/>
  </w:num>
  <w:num w:numId="2" w16cid:durableId="1163162112">
    <w:abstractNumId w:val="17"/>
  </w:num>
  <w:num w:numId="3" w16cid:durableId="659887284">
    <w:abstractNumId w:val="23"/>
  </w:num>
  <w:num w:numId="4" w16cid:durableId="511145868">
    <w:abstractNumId w:val="3"/>
  </w:num>
  <w:num w:numId="5" w16cid:durableId="1892686373">
    <w:abstractNumId w:val="18"/>
  </w:num>
  <w:num w:numId="6" w16cid:durableId="1410729957">
    <w:abstractNumId w:val="20"/>
  </w:num>
  <w:num w:numId="7" w16cid:durableId="999118109">
    <w:abstractNumId w:val="25"/>
  </w:num>
  <w:num w:numId="8" w16cid:durableId="140999603">
    <w:abstractNumId w:val="5"/>
  </w:num>
  <w:num w:numId="9" w16cid:durableId="887644982">
    <w:abstractNumId w:val="6"/>
  </w:num>
  <w:num w:numId="10" w16cid:durableId="1920091990">
    <w:abstractNumId w:val="19"/>
  </w:num>
  <w:num w:numId="11" w16cid:durableId="1852865381">
    <w:abstractNumId w:val="1"/>
  </w:num>
  <w:num w:numId="12" w16cid:durableId="1796866429">
    <w:abstractNumId w:val="22"/>
  </w:num>
  <w:num w:numId="13" w16cid:durableId="2083210955">
    <w:abstractNumId w:val="11"/>
  </w:num>
  <w:num w:numId="14" w16cid:durableId="596062919">
    <w:abstractNumId w:val="21"/>
  </w:num>
  <w:num w:numId="15" w16cid:durableId="1934780685">
    <w:abstractNumId w:val="13"/>
  </w:num>
  <w:num w:numId="16" w16cid:durableId="613561647">
    <w:abstractNumId w:val="14"/>
  </w:num>
  <w:num w:numId="17" w16cid:durableId="1989094778">
    <w:abstractNumId w:val="0"/>
  </w:num>
  <w:num w:numId="18" w16cid:durableId="472143685">
    <w:abstractNumId w:val="8"/>
  </w:num>
  <w:num w:numId="19" w16cid:durableId="2090232024">
    <w:abstractNumId w:val="16"/>
  </w:num>
  <w:num w:numId="20" w16cid:durableId="1788158825">
    <w:abstractNumId w:val="10"/>
  </w:num>
  <w:num w:numId="21" w16cid:durableId="1715881471">
    <w:abstractNumId w:val="2"/>
  </w:num>
  <w:num w:numId="22" w16cid:durableId="616760364">
    <w:abstractNumId w:val="12"/>
  </w:num>
  <w:num w:numId="23" w16cid:durableId="905989754">
    <w:abstractNumId w:val="15"/>
  </w:num>
  <w:num w:numId="24" w16cid:durableId="1757822581">
    <w:abstractNumId w:val="7"/>
  </w:num>
  <w:num w:numId="25" w16cid:durableId="357004924">
    <w:abstractNumId w:val="24"/>
  </w:num>
  <w:num w:numId="26" w16cid:durableId="187619447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2MjMwMDMzMTAyMrZU0lEKTi0uzszPAykwqgUAP3QqeiwAAAA="/>
  </w:docVars>
  <w:rsids>
    <w:rsidRoot w:val="00A37D7B"/>
    <w:rsid w:val="00003531"/>
    <w:rsid w:val="00004893"/>
    <w:rsid w:val="00005748"/>
    <w:rsid w:val="000107B9"/>
    <w:rsid w:val="0001094B"/>
    <w:rsid w:val="00010DB6"/>
    <w:rsid w:val="00013403"/>
    <w:rsid w:val="000147FE"/>
    <w:rsid w:val="0001795E"/>
    <w:rsid w:val="00017FE3"/>
    <w:rsid w:val="0002146E"/>
    <w:rsid w:val="00022AA4"/>
    <w:rsid w:val="0002370C"/>
    <w:rsid w:val="00024020"/>
    <w:rsid w:val="0002447F"/>
    <w:rsid w:val="0002453E"/>
    <w:rsid w:val="00024B89"/>
    <w:rsid w:val="00026FF7"/>
    <w:rsid w:val="00031084"/>
    <w:rsid w:val="00033234"/>
    <w:rsid w:val="00034E33"/>
    <w:rsid w:val="00037892"/>
    <w:rsid w:val="00040951"/>
    <w:rsid w:val="00040FEE"/>
    <w:rsid w:val="00042310"/>
    <w:rsid w:val="00044745"/>
    <w:rsid w:val="00044C2D"/>
    <w:rsid w:val="00046443"/>
    <w:rsid w:val="00046FB8"/>
    <w:rsid w:val="00047ECD"/>
    <w:rsid w:val="000503AD"/>
    <w:rsid w:val="00050503"/>
    <w:rsid w:val="0005081D"/>
    <w:rsid w:val="00052705"/>
    <w:rsid w:val="00052AA8"/>
    <w:rsid w:val="00053FE7"/>
    <w:rsid w:val="000640BE"/>
    <w:rsid w:val="00066644"/>
    <w:rsid w:val="000703CE"/>
    <w:rsid w:val="00070FFD"/>
    <w:rsid w:val="00074725"/>
    <w:rsid w:val="00074934"/>
    <w:rsid w:val="00075F96"/>
    <w:rsid w:val="0007695A"/>
    <w:rsid w:val="00076A1D"/>
    <w:rsid w:val="00077BD6"/>
    <w:rsid w:val="00080565"/>
    <w:rsid w:val="00082FC0"/>
    <w:rsid w:val="00083275"/>
    <w:rsid w:val="000837CB"/>
    <w:rsid w:val="000854F9"/>
    <w:rsid w:val="00087789"/>
    <w:rsid w:val="0008783D"/>
    <w:rsid w:val="00092627"/>
    <w:rsid w:val="00093CAA"/>
    <w:rsid w:val="00093E82"/>
    <w:rsid w:val="00096411"/>
    <w:rsid w:val="00096637"/>
    <w:rsid w:val="000971C7"/>
    <w:rsid w:val="00097D78"/>
    <w:rsid w:val="00097EFE"/>
    <w:rsid w:val="000A1F54"/>
    <w:rsid w:val="000A299D"/>
    <w:rsid w:val="000A2BD4"/>
    <w:rsid w:val="000A424A"/>
    <w:rsid w:val="000A5631"/>
    <w:rsid w:val="000A59EE"/>
    <w:rsid w:val="000A6014"/>
    <w:rsid w:val="000A6D67"/>
    <w:rsid w:val="000B02CF"/>
    <w:rsid w:val="000B0442"/>
    <w:rsid w:val="000B0950"/>
    <w:rsid w:val="000B101C"/>
    <w:rsid w:val="000B10C7"/>
    <w:rsid w:val="000B16FF"/>
    <w:rsid w:val="000B217B"/>
    <w:rsid w:val="000B5E7B"/>
    <w:rsid w:val="000B6F90"/>
    <w:rsid w:val="000C0081"/>
    <w:rsid w:val="000C0B4D"/>
    <w:rsid w:val="000C307D"/>
    <w:rsid w:val="000C3FEE"/>
    <w:rsid w:val="000C5A2E"/>
    <w:rsid w:val="000C6634"/>
    <w:rsid w:val="000D1EEE"/>
    <w:rsid w:val="000D1FB9"/>
    <w:rsid w:val="000D2036"/>
    <w:rsid w:val="000D5D7C"/>
    <w:rsid w:val="000E1463"/>
    <w:rsid w:val="000E1888"/>
    <w:rsid w:val="000E292D"/>
    <w:rsid w:val="000E2C8F"/>
    <w:rsid w:val="000E2D25"/>
    <w:rsid w:val="000E31C3"/>
    <w:rsid w:val="000E70EF"/>
    <w:rsid w:val="000E7F5C"/>
    <w:rsid w:val="000F02EB"/>
    <w:rsid w:val="000F1FAA"/>
    <w:rsid w:val="000F2F45"/>
    <w:rsid w:val="000F369E"/>
    <w:rsid w:val="000F4053"/>
    <w:rsid w:val="000F5AE1"/>
    <w:rsid w:val="000F7A7C"/>
    <w:rsid w:val="001010F7"/>
    <w:rsid w:val="001020C1"/>
    <w:rsid w:val="00102EC3"/>
    <w:rsid w:val="00104277"/>
    <w:rsid w:val="0010557D"/>
    <w:rsid w:val="00105DB3"/>
    <w:rsid w:val="00106900"/>
    <w:rsid w:val="00107571"/>
    <w:rsid w:val="00112B3B"/>
    <w:rsid w:val="00112B5B"/>
    <w:rsid w:val="001140BF"/>
    <w:rsid w:val="00114EF4"/>
    <w:rsid w:val="0011577A"/>
    <w:rsid w:val="001161A8"/>
    <w:rsid w:val="00120791"/>
    <w:rsid w:val="00121166"/>
    <w:rsid w:val="00121935"/>
    <w:rsid w:val="00121BF3"/>
    <w:rsid w:val="0012210B"/>
    <w:rsid w:val="001244B5"/>
    <w:rsid w:val="001248A1"/>
    <w:rsid w:val="001248B2"/>
    <w:rsid w:val="0012729E"/>
    <w:rsid w:val="00130D00"/>
    <w:rsid w:val="00130FAA"/>
    <w:rsid w:val="00131665"/>
    <w:rsid w:val="001318DD"/>
    <w:rsid w:val="00131A3C"/>
    <w:rsid w:val="00131B39"/>
    <w:rsid w:val="00132CD6"/>
    <w:rsid w:val="00133F0F"/>
    <w:rsid w:val="001341A5"/>
    <w:rsid w:val="00134B29"/>
    <w:rsid w:val="00135ED4"/>
    <w:rsid w:val="00136B88"/>
    <w:rsid w:val="00141AA3"/>
    <w:rsid w:val="00141BF9"/>
    <w:rsid w:val="0014230E"/>
    <w:rsid w:val="001436BB"/>
    <w:rsid w:val="0014370C"/>
    <w:rsid w:val="00144AC6"/>
    <w:rsid w:val="00146FCF"/>
    <w:rsid w:val="001521EF"/>
    <w:rsid w:val="00152322"/>
    <w:rsid w:val="00152D48"/>
    <w:rsid w:val="00153227"/>
    <w:rsid w:val="00153356"/>
    <w:rsid w:val="00153C3A"/>
    <w:rsid w:val="001540E6"/>
    <w:rsid w:val="001556F9"/>
    <w:rsid w:val="00157ACA"/>
    <w:rsid w:val="00160069"/>
    <w:rsid w:val="00161272"/>
    <w:rsid w:val="00164A8D"/>
    <w:rsid w:val="001652B3"/>
    <w:rsid w:val="001655AE"/>
    <w:rsid w:val="001666FC"/>
    <w:rsid w:val="00171AF9"/>
    <w:rsid w:val="00172537"/>
    <w:rsid w:val="001773B0"/>
    <w:rsid w:val="00180ED3"/>
    <w:rsid w:val="001836DF"/>
    <w:rsid w:val="00183AB7"/>
    <w:rsid w:val="0018416F"/>
    <w:rsid w:val="00185193"/>
    <w:rsid w:val="00186BE0"/>
    <w:rsid w:val="001873D1"/>
    <w:rsid w:val="00187DA2"/>
    <w:rsid w:val="00187F34"/>
    <w:rsid w:val="00190C31"/>
    <w:rsid w:val="00191D42"/>
    <w:rsid w:val="00191D9E"/>
    <w:rsid w:val="00192051"/>
    <w:rsid w:val="00192C45"/>
    <w:rsid w:val="00194479"/>
    <w:rsid w:val="001952B9"/>
    <w:rsid w:val="001961F3"/>
    <w:rsid w:val="001968C5"/>
    <w:rsid w:val="001968F0"/>
    <w:rsid w:val="00197158"/>
    <w:rsid w:val="0019738F"/>
    <w:rsid w:val="0019780F"/>
    <w:rsid w:val="001A0A22"/>
    <w:rsid w:val="001A4E0E"/>
    <w:rsid w:val="001A521E"/>
    <w:rsid w:val="001A538F"/>
    <w:rsid w:val="001A5648"/>
    <w:rsid w:val="001A5F59"/>
    <w:rsid w:val="001A7194"/>
    <w:rsid w:val="001B0A54"/>
    <w:rsid w:val="001B1FA1"/>
    <w:rsid w:val="001B2EA7"/>
    <w:rsid w:val="001B3529"/>
    <w:rsid w:val="001B5A12"/>
    <w:rsid w:val="001B6034"/>
    <w:rsid w:val="001C0180"/>
    <w:rsid w:val="001C0AB9"/>
    <w:rsid w:val="001C1440"/>
    <w:rsid w:val="001C39B8"/>
    <w:rsid w:val="001C3DB1"/>
    <w:rsid w:val="001C42A5"/>
    <w:rsid w:val="001C47F8"/>
    <w:rsid w:val="001C4EAB"/>
    <w:rsid w:val="001D00BC"/>
    <w:rsid w:val="001D1D48"/>
    <w:rsid w:val="001D240B"/>
    <w:rsid w:val="001D2B3B"/>
    <w:rsid w:val="001D69B9"/>
    <w:rsid w:val="001E0E1C"/>
    <w:rsid w:val="001E2031"/>
    <w:rsid w:val="001E2D15"/>
    <w:rsid w:val="001E6B90"/>
    <w:rsid w:val="001E783A"/>
    <w:rsid w:val="001F3150"/>
    <w:rsid w:val="001F4399"/>
    <w:rsid w:val="001F45C6"/>
    <w:rsid w:val="001F5848"/>
    <w:rsid w:val="001F5F6B"/>
    <w:rsid w:val="001F638E"/>
    <w:rsid w:val="001F6B33"/>
    <w:rsid w:val="00202EFA"/>
    <w:rsid w:val="00202FE7"/>
    <w:rsid w:val="00206A68"/>
    <w:rsid w:val="0020727C"/>
    <w:rsid w:val="00210E30"/>
    <w:rsid w:val="00211A4E"/>
    <w:rsid w:val="00211ECE"/>
    <w:rsid w:val="002133CA"/>
    <w:rsid w:val="00213AFB"/>
    <w:rsid w:val="002165E5"/>
    <w:rsid w:val="0021747C"/>
    <w:rsid w:val="0021782F"/>
    <w:rsid w:val="00221CDC"/>
    <w:rsid w:val="0022367D"/>
    <w:rsid w:val="002251F9"/>
    <w:rsid w:val="00227258"/>
    <w:rsid w:val="00227265"/>
    <w:rsid w:val="00227467"/>
    <w:rsid w:val="00227592"/>
    <w:rsid w:val="002319F5"/>
    <w:rsid w:val="002326EB"/>
    <w:rsid w:val="00232C26"/>
    <w:rsid w:val="00236718"/>
    <w:rsid w:val="00237806"/>
    <w:rsid w:val="002406BE"/>
    <w:rsid w:val="00241918"/>
    <w:rsid w:val="00241B56"/>
    <w:rsid w:val="00242173"/>
    <w:rsid w:val="002423B4"/>
    <w:rsid w:val="00244002"/>
    <w:rsid w:val="0024402F"/>
    <w:rsid w:val="00244FDB"/>
    <w:rsid w:val="002454B6"/>
    <w:rsid w:val="0024630B"/>
    <w:rsid w:val="002463BB"/>
    <w:rsid w:val="00246A4D"/>
    <w:rsid w:val="00252696"/>
    <w:rsid w:val="002526C7"/>
    <w:rsid w:val="002554FD"/>
    <w:rsid w:val="002556DB"/>
    <w:rsid w:val="00256747"/>
    <w:rsid w:val="0025741B"/>
    <w:rsid w:val="00257425"/>
    <w:rsid w:val="00257891"/>
    <w:rsid w:val="00260B80"/>
    <w:rsid w:val="0026103B"/>
    <w:rsid w:val="00263403"/>
    <w:rsid w:val="002637C9"/>
    <w:rsid w:val="00263B2E"/>
    <w:rsid w:val="00263D35"/>
    <w:rsid w:val="00264314"/>
    <w:rsid w:val="0026510D"/>
    <w:rsid w:val="0026571D"/>
    <w:rsid w:val="002663EF"/>
    <w:rsid w:val="00266A7D"/>
    <w:rsid w:val="00267523"/>
    <w:rsid w:val="00270E42"/>
    <w:rsid w:val="00272773"/>
    <w:rsid w:val="00272DEC"/>
    <w:rsid w:val="0027339A"/>
    <w:rsid w:val="002733A2"/>
    <w:rsid w:val="002746A9"/>
    <w:rsid w:val="00275749"/>
    <w:rsid w:val="00275C4A"/>
    <w:rsid w:val="0027698B"/>
    <w:rsid w:val="002769BE"/>
    <w:rsid w:val="00277DBD"/>
    <w:rsid w:val="0028147B"/>
    <w:rsid w:val="00284629"/>
    <w:rsid w:val="00284D98"/>
    <w:rsid w:val="00285D01"/>
    <w:rsid w:val="00287E9A"/>
    <w:rsid w:val="00290EB8"/>
    <w:rsid w:val="00294927"/>
    <w:rsid w:val="00295164"/>
    <w:rsid w:val="00295702"/>
    <w:rsid w:val="0029628C"/>
    <w:rsid w:val="00297E46"/>
    <w:rsid w:val="002A0775"/>
    <w:rsid w:val="002A081F"/>
    <w:rsid w:val="002A139F"/>
    <w:rsid w:val="002A273F"/>
    <w:rsid w:val="002A45D8"/>
    <w:rsid w:val="002A4F10"/>
    <w:rsid w:val="002A52DC"/>
    <w:rsid w:val="002A6F28"/>
    <w:rsid w:val="002B07B5"/>
    <w:rsid w:val="002B1FDF"/>
    <w:rsid w:val="002B250D"/>
    <w:rsid w:val="002B28E8"/>
    <w:rsid w:val="002B3308"/>
    <w:rsid w:val="002B6B72"/>
    <w:rsid w:val="002B78B8"/>
    <w:rsid w:val="002B7A8F"/>
    <w:rsid w:val="002B7FAA"/>
    <w:rsid w:val="002C1639"/>
    <w:rsid w:val="002C2BE5"/>
    <w:rsid w:val="002C307F"/>
    <w:rsid w:val="002C3F0C"/>
    <w:rsid w:val="002C4D58"/>
    <w:rsid w:val="002C5523"/>
    <w:rsid w:val="002C56D8"/>
    <w:rsid w:val="002C63FD"/>
    <w:rsid w:val="002C6DFB"/>
    <w:rsid w:val="002C766E"/>
    <w:rsid w:val="002D1B1E"/>
    <w:rsid w:val="002D3DE6"/>
    <w:rsid w:val="002D40AE"/>
    <w:rsid w:val="002D617A"/>
    <w:rsid w:val="002E5FFD"/>
    <w:rsid w:val="002E7A07"/>
    <w:rsid w:val="002F0180"/>
    <w:rsid w:val="002F0ECC"/>
    <w:rsid w:val="002F6B03"/>
    <w:rsid w:val="002F7D3D"/>
    <w:rsid w:val="00302724"/>
    <w:rsid w:val="00302B8A"/>
    <w:rsid w:val="00303283"/>
    <w:rsid w:val="0030375E"/>
    <w:rsid w:val="00305F66"/>
    <w:rsid w:val="00306239"/>
    <w:rsid w:val="00306C0E"/>
    <w:rsid w:val="00307786"/>
    <w:rsid w:val="00310E98"/>
    <w:rsid w:val="00312C0C"/>
    <w:rsid w:val="0031324E"/>
    <w:rsid w:val="0031482A"/>
    <w:rsid w:val="0031631E"/>
    <w:rsid w:val="00317D81"/>
    <w:rsid w:val="00320662"/>
    <w:rsid w:val="00320C90"/>
    <w:rsid w:val="00321CC4"/>
    <w:rsid w:val="00321CF7"/>
    <w:rsid w:val="00323738"/>
    <w:rsid w:val="0032492E"/>
    <w:rsid w:val="00325674"/>
    <w:rsid w:val="0032752C"/>
    <w:rsid w:val="0032767C"/>
    <w:rsid w:val="00327EFD"/>
    <w:rsid w:val="0033354D"/>
    <w:rsid w:val="00333B4B"/>
    <w:rsid w:val="0033600C"/>
    <w:rsid w:val="00336079"/>
    <w:rsid w:val="00337E37"/>
    <w:rsid w:val="003423C4"/>
    <w:rsid w:val="0034311C"/>
    <w:rsid w:val="00343C8A"/>
    <w:rsid w:val="003443AD"/>
    <w:rsid w:val="00345A1B"/>
    <w:rsid w:val="003474BD"/>
    <w:rsid w:val="003475FF"/>
    <w:rsid w:val="00351C23"/>
    <w:rsid w:val="00351E80"/>
    <w:rsid w:val="00354072"/>
    <w:rsid w:val="003548A9"/>
    <w:rsid w:val="00354CDB"/>
    <w:rsid w:val="00354D63"/>
    <w:rsid w:val="0035734A"/>
    <w:rsid w:val="00357380"/>
    <w:rsid w:val="00360D98"/>
    <w:rsid w:val="00361FF9"/>
    <w:rsid w:val="00363002"/>
    <w:rsid w:val="00364D40"/>
    <w:rsid w:val="0036542F"/>
    <w:rsid w:val="00366EE7"/>
    <w:rsid w:val="00370D33"/>
    <w:rsid w:val="00372490"/>
    <w:rsid w:val="00373341"/>
    <w:rsid w:val="003733D1"/>
    <w:rsid w:val="0037354D"/>
    <w:rsid w:val="00375EA6"/>
    <w:rsid w:val="00382510"/>
    <w:rsid w:val="003839A7"/>
    <w:rsid w:val="003839EF"/>
    <w:rsid w:val="00385857"/>
    <w:rsid w:val="00386EAB"/>
    <w:rsid w:val="00387A97"/>
    <w:rsid w:val="00390797"/>
    <w:rsid w:val="00390BBC"/>
    <w:rsid w:val="003918FE"/>
    <w:rsid w:val="00391FC2"/>
    <w:rsid w:val="0039372F"/>
    <w:rsid w:val="00394AC6"/>
    <w:rsid w:val="0039507E"/>
    <w:rsid w:val="00395FC1"/>
    <w:rsid w:val="0039641E"/>
    <w:rsid w:val="00396A91"/>
    <w:rsid w:val="003A0744"/>
    <w:rsid w:val="003A288B"/>
    <w:rsid w:val="003A3018"/>
    <w:rsid w:val="003A3A61"/>
    <w:rsid w:val="003A48D5"/>
    <w:rsid w:val="003A5E3A"/>
    <w:rsid w:val="003A6586"/>
    <w:rsid w:val="003A7580"/>
    <w:rsid w:val="003A775C"/>
    <w:rsid w:val="003B0C3D"/>
    <w:rsid w:val="003B193A"/>
    <w:rsid w:val="003B1E01"/>
    <w:rsid w:val="003B307E"/>
    <w:rsid w:val="003B3600"/>
    <w:rsid w:val="003B540F"/>
    <w:rsid w:val="003B55C6"/>
    <w:rsid w:val="003B6E53"/>
    <w:rsid w:val="003B6ECE"/>
    <w:rsid w:val="003B71CC"/>
    <w:rsid w:val="003C147F"/>
    <w:rsid w:val="003C3204"/>
    <w:rsid w:val="003C5BEF"/>
    <w:rsid w:val="003C79D2"/>
    <w:rsid w:val="003D15E5"/>
    <w:rsid w:val="003D1B04"/>
    <w:rsid w:val="003D2EBC"/>
    <w:rsid w:val="003D37C8"/>
    <w:rsid w:val="003E024B"/>
    <w:rsid w:val="003E053C"/>
    <w:rsid w:val="003E0787"/>
    <w:rsid w:val="003E2063"/>
    <w:rsid w:val="003E3647"/>
    <w:rsid w:val="003E4C71"/>
    <w:rsid w:val="003F0212"/>
    <w:rsid w:val="003F20FA"/>
    <w:rsid w:val="003F3BE8"/>
    <w:rsid w:val="003F456C"/>
    <w:rsid w:val="003F4CED"/>
    <w:rsid w:val="003F55AB"/>
    <w:rsid w:val="003F5B1F"/>
    <w:rsid w:val="003F7B84"/>
    <w:rsid w:val="003F7DF0"/>
    <w:rsid w:val="0040086C"/>
    <w:rsid w:val="00400A08"/>
    <w:rsid w:val="00400AAF"/>
    <w:rsid w:val="00400F41"/>
    <w:rsid w:val="00401F76"/>
    <w:rsid w:val="00402AAB"/>
    <w:rsid w:val="00405572"/>
    <w:rsid w:val="00406042"/>
    <w:rsid w:val="00406906"/>
    <w:rsid w:val="00407C09"/>
    <w:rsid w:val="00407C42"/>
    <w:rsid w:val="00410523"/>
    <w:rsid w:val="0041134B"/>
    <w:rsid w:val="00411EFE"/>
    <w:rsid w:val="00412F95"/>
    <w:rsid w:val="0041438B"/>
    <w:rsid w:val="00415487"/>
    <w:rsid w:val="00416B4B"/>
    <w:rsid w:val="004200C9"/>
    <w:rsid w:val="00420DB5"/>
    <w:rsid w:val="00422B35"/>
    <w:rsid w:val="00423241"/>
    <w:rsid w:val="00424367"/>
    <w:rsid w:val="00425C5B"/>
    <w:rsid w:val="00426EAF"/>
    <w:rsid w:val="00427136"/>
    <w:rsid w:val="00427DD7"/>
    <w:rsid w:val="004309D6"/>
    <w:rsid w:val="00431709"/>
    <w:rsid w:val="00432DE0"/>
    <w:rsid w:val="004330BA"/>
    <w:rsid w:val="00433378"/>
    <w:rsid w:val="0043551E"/>
    <w:rsid w:val="004371FA"/>
    <w:rsid w:val="004401E1"/>
    <w:rsid w:val="00441D70"/>
    <w:rsid w:val="004422C9"/>
    <w:rsid w:val="00442F84"/>
    <w:rsid w:val="004431CC"/>
    <w:rsid w:val="004436DB"/>
    <w:rsid w:val="00445A14"/>
    <w:rsid w:val="0044733F"/>
    <w:rsid w:val="00450AF7"/>
    <w:rsid w:val="004510F9"/>
    <w:rsid w:val="00451DF4"/>
    <w:rsid w:val="004534DE"/>
    <w:rsid w:val="00454D12"/>
    <w:rsid w:val="00454F0C"/>
    <w:rsid w:val="0045512B"/>
    <w:rsid w:val="00456327"/>
    <w:rsid w:val="00457378"/>
    <w:rsid w:val="00457433"/>
    <w:rsid w:val="00457A0D"/>
    <w:rsid w:val="00460CB7"/>
    <w:rsid w:val="00460EA3"/>
    <w:rsid w:val="00461844"/>
    <w:rsid w:val="00461D4B"/>
    <w:rsid w:val="00461E72"/>
    <w:rsid w:val="00463851"/>
    <w:rsid w:val="00463DC1"/>
    <w:rsid w:val="0046458F"/>
    <w:rsid w:val="00465ECD"/>
    <w:rsid w:val="0047327F"/>
    <w:rsid w:val="0047355A"/>
    <w:rsid w:val="00475AFC"/>
    <w:rsid w:val="00477630"/>
    <w:rsid w:val="00477AE3"/>
    <w:rsid w:val="00480563"/>
    <w:rsid w:val="004805AD"/>
    <w:rsid w:val="00481477"/>
    <w:rsid w:val="00482C59"/>
    <w:rsid w:val="00482ED8"/>
    <w:rsid w:val="00487107"/>
    <w:rsid w:val="00487537"/>
    <w:rsid w:val="00487A50"/>
    <w:rsid w:val="00487CEC"/>
    <w:rsid w:val="00490619"/>
    <w:rsid w:val="00490745"/>
    <w:rsid w:val="004909FA"/>
    <w:rsid w:val="00492FB6"/>
    <w:rsid w:val="00493BE5"/>
    <w:rsid w:val="00494D1A"/>
    <w:rsid w:val="00495449"/>
    <w:rsid w:val="004954E5"/>
    <w:rsid w:val="00495B78"/>
    <w:rsid w:val="00496881"/>
    <w:rsid w:val="00497854"/>
    <w:rsid w:val="004A1941"/>
    <w:rsid w:val="004A2935"/>
    <w:rsid w:val="004A6031"/>
    <w:rsid w:val="004B2EB3"/>
    <w:rsid w:val="004B3928"/>
    <w:rsid w:val="004B3BC6"/>
    <w:rsid w:val="004C2BB6"/>
    <w:rsid w:val="004C2C59"/>
    <w:rsid w:val="004C3770"/>
    <w:rsid w:val="004C387B"/>
    <w:rsid w:val="004C4DD4"/>
    <w:rsid w:val="004D0448"/>
    <w:rsid w:val="004D0E63"/>
    <w:rsid w:val="004D16E7"/>
    <w:rsid w:val="004D1732"/>
    <w:rsid w:val="004D315E"/>
    <w:rsid w:val="004D4CCC"/>
    <w:rsid w:val="004D7CFB"/>
    <w:rsid w:val="004E102E"/>
    <w:rsid w:val="004E1FCB"/>
    <w:rsid w:val="004E2076"/>
    <w:rsid w:val="004E2CC7"/>
    <w:rsid w:val="004E3A87"/>
    <w:rsid w:val="004E4788"/>
    <w:rsid w:val="004E5CAB"/>
    <w:rsid w:val="004E609A"/>
    <w:rsid w:val="004E61B9"/>
    <w:rsid w:val="004E6A21"/>
    <w:rsid w:val="004F1EE7"/>
    <w:rsid w:val="004F2CD2"/>
    <w:rsid w:val="004F3D97"/>
    <w:rsid w:val="004F7658"/>
    <w:rsid w:val="005003B3"/>
    <w:rsid w:val="00500E2F"/>
    <w:rsid w:val="00501051"/>
    <w:rsid w:val="005025D4"/>
    <w:rsid w:val="00503E2F"/>
    <w:rsid w:val="00506BB2"/>
    <w:rsid w:val="00511A8B"/>
    <w:rsid w:val="00511C70"/>
    <w:rsid w:val="005145EF"/>
    <w:rsid w:val="005153BC"/>
    <w:rsid w:val="00515D7D"/>
    <w:rsid w:val="00516CD6"/>
    <w:rsid w:val="005177AC"/>
    <w:rsid w:val="00517AA9"/>
    <w:rsid w:val="00521766"/>
    <w:rsid w:val="00521B72"/>
    <w:rsid w:val="00523726"/>
    <w:rsid w:val="00524559"/>
    <w:rsid w:val="00524EB4"/>
    <w:rsid w:val="00525EF2"/>
    <w:rsid w:val="0052715D"/>
    <w:rsid w:val="00531151"/>
    <w:rsid w:val="005355B1"/>
    <w:rsid w:val="00535AA6"/>
    <w:rsid w:val="00535ACC"/>
    <w:rsid w:val="0054156C"/>
    <w:rsid w:val="00542E6D"/>
    <w:rsid w:val="00543FF1"/>
    <w:rsid w:val="00544EFE"/>
    <w:rsid w:val="005469C4"/>
    <w:rsid w:val="00546BCE"/>
    <w:rsid w:val="00547473"/>
    <w:rsid w:val="005532C8"/>
    <w:rsid w:val="005535C1"/>
    <w:rsid w:val="00553A95"/>
    <w:rsid w:val="005567C7"/>
    <w:rsid w:val="005568C8"/>
    <w:rsid w:val="00560AE4"/>
    <w:rsid w:val="0056253E"/>
    <w:rsid w:val="00562B99"/>
    <w:rsid w:val="00562D39"/>
    <w:rsid w:val="00564A63"/>
    <w:rsid w:val="00564EF9"/>
    <w:rsid w:val="0056558D"/>
    <w:rsid w:val="00565E70"/>
    <w:rsid w:val="0056608E"/>
    <w:rsid w:val="0056681C"/>
    <w:rsid w:val="00566FAD"/>
    <w:rsid w:val="005700BB"/>
    <w:rsid w:val="00570F35"/>
    <w:rsid w:val="00571A4B"/>
    <w:rsid w:val="00573E51"/>
    <w:rsid w:val="005741DA"/>
    <w:rsid w:val="00574222"/>
    <w:rsid w:val="00575146"/>
    <w:rsid w:val="0057701E"/>
    <w:rsid w:val="00581039"/>
    <w:rsid w:val="00581916"/>
    <w:rsid w:val="005845DD"/>
    <w:rsid w:val="00584C8C"/>
    <w:rsid w:val="00585044"/>
    <w:rsid w:val="00586A41"/>
    <w:rsid w:val="0058760F"/>
    <w:rsid w:val="005877CE"/>
    <w:rsid w:val="0059330C"/>
    <w:rsid w:val="005945B3"/>
    <w:rsid w:val="005946C2"/>
    <w:rsid w:val="00594D0A"/>
    <w:rsid w:val="0059551D"/>
    <w:rsid w:val="00595B74"/>
    <w:rsid w:val="0059773D"/>
    <w:rsid w:val="005A006B"/>
    <w:rsid w:val="005A0832"/>
    <w:rsid w:val="005A138D"/>
    <w:rsid w:val="005A2124"/>
    <w:rsid w:val="005A275F"/>
    <w:rsid w:val="005A2C95"/>
    <w:rsid w:val="005A2E3B"/>
    <w:rsid w:val="005A4F1F"/>
    <w:rsid w:val="005A502A"/>
    <w:rsid w:val="005A7C93"/>
    <w:rsid w:val="005B10F1"/>
    <w:rsid w:val="005B2596"/>
    <w:rsid w:val="005B2BA9"/>
    <w:rsid w:val="005B2E92"/>
    <w:rsid w:val="005B3DA1"/>
    <w:rsid w:val="005B4B83"/>
    <w:rsid w:val="005B4D96"/>
    <w:rsid w:val="005B54CA"/>
    <w:rsid w:val="005B72CD"/>
    <w:rsid w:val="005B7B19"/>
    <w:rsid w:val="005C0A74"/>
    <w:rsid w:val="005C0D55"/>
    <w:rsid w:val="005C2699"/>
    <w:rsid w:val="005C2F40"/>
    <w:rsid w:val="005C3645"/>
    <w:rsid w:val="005C54A3"/>
    <w:rsid w:val="005C6ECD"/>
    <w:rsid w:val="005D12E2"/>
    <w:rsid w:val="005D1EDE"/>
    <w:rsid w:val="005D2896"/>
    <w:rsid w:val="005D3D57"/>
    <w:rsid w:val="005D4176"/>
    <w:rsid w:val="005D5300"/>
    <w:rsid w:val="005D6D0B"/>
    <w:rsid w:val="005E176E"/>
    <w:rsid w:val="005E1C80"/>
    <w:rsid w:val="005E2DB9"/>
    <w:rsid w:val="005E3EC5"/>
    <w:rsid w:val="005E42A1"/>
    <w:rsid w:val="005E4F9F"/>
    <w:rsid w:val="005E5067"/>
    <w:rsid w:val="005F0087"/>
    <w:rsid w:val="005F275B"/>
    <w:rsid w:val="005F2FF0"/>
    <w:rsid w:val="005F3AAC"/>
    <w:rsid w:val="00601942"/>
    <w:rsid w:val="0060632C"/>
    <w:rsid w:val="00612137"/>
    <w:rsid w:val="00613882"/>
    <w:rsid w:val="00613C32"/>
    <w:rsid w:val="00613E19"/>
    <w:rsid w:val="006230D2"/>
    <w:rsid w:val="00626BC5"/>
    <w:rsid w:val="00630F44"/>
    <w:rsid w:val="00631312"/>
    <w:rsid w:val="00631EC5"/>
    <w:rsid w:val="0063433C"/>
    <w:rsid w:val="0063491A"/>
    <w:rsid w:val="00634D12"/>
    <w:rsid w:val="00640ACF"/>
    <w:rsid w:val="00641455"/>
    <w:rsid w:val="00643C90"/>
    <w:rsid w:val="00645A05"/>
    <w:rsid w:val="006463FB"/>
    <w:rsid w:val="00646C55"/>
    <w:rsid w:val="00646C8C"/>
    <w:rsid w:val="006502E1"/>
    <w:rsid w:val="00650474"/>
    <w:rsid w:val="006504D6"/>
    <w:rsid w:val="006517A4"/>
    <w:rsid w:val="006530EF"/>
    <w:rsid w:val="006537B9"/>
    <w:rsid w:val="00655A4F"/>
    <w:rsid w:val="00655EFE"/>
    <w:rsid w:val="00657FC4"/>
    <w:rsid w:val="006608C9"/>
    <w:rsid w:val="0066180C"/>
    <w:rsid w:val="00662C2A"/>
    <w:rsid w:val="00663313"/>
    <w:rsid w:val="00665039"/>
    <w:rsid w:val="00666A7C"/>
    <w:rsid w:val="006704DE"/>
    <w:rsid w:val="00670ADD"/>
    <w:rsid w:val="00673507"/>
    <w:rsid w:val="0067485F"/>
    <w:rsid w:val="00674D29"/>
    <w:rsid w:val="0067646C"/>
    <w:rsid w:val="00676558"/>
    <w:rsid w:val="00677BEE"/>
    <w:rsid w:val="00683960"/>
    <w:rsid w:val="006845F5"/>
    <w:rsid w:val="0068613E"/>
    <w:rsid w:val="00686B1F"/>
    <w:rsid w:val="00686CF7"/>
    <w:rsid w:val="0068750A"/>
    <w:rsid w:val="00691E09"/>
    <w:rsid w:val="00692630"/>
    <w:rsid w:val="00693A86"/>
    <w:rsid w:val="006954AB"/>
    <w:rsid w:val="00696F75"/>
    <w:rsid w:val="006A0AA4"/>
    <w:rsid w:val="006A0DE0"/>
    <w:rsid w:val="006A3D56"/>
    <w:rsid w:val="006A3EB4"/>
    <w:rsid w:val="006A62A4"/>
    <w:rsid w:val="006A670D"/>
    <w:rsid w:val="006B0C4D"/>
    <w:rsid w:val="006B3B5D"/>
    <w:rsid w:val="006B3EFD"/>
    <w:rsid w:val="006B4001"/>
    <w:rsid w:val="006B4B0C"/>
    <w:rsid w:val="006B5426"/>
    <w:rsid w:val="006B796B"/>
    <w:rsid w:val="006C0210"/>
    <w:rsid w:val="006C23FA"/>
    <w:rsid w:val="006C4F1A"/>
    <w:rsid w:val="006C6698"/>
    <w:rsid w:val="006D2E04"/>
    <w:rsid w:val="006D34E5"/>
    <w:rsid w:val="006D5D33"/>
    <w:rsid w:val="006E0387"/>
    <w:rsid w:val="006E1337"/>
    <w:rsid w:val="006E3D31"/>
    <w:rsid w:val="006E462C"/>
    <w:rsid w:val="006E4894"/>
    <w:rsid w:val="006E5890"/>
    <w:rsid w:val="006E6158"/>
    <w:rsid w:val="006E6609"/>
    <w:rsid w:val="006E6A34"/>
    <w:rsid w:val="006E79C0"/>
    <w:rsid w:val="006E7F1C"/>
    <w:rsid w:val="006F0D31"/>
    <w:rsid w:val="006F3183"/>
    <w:rsid w:val="006F3502"/>
    <w:rsid w:val="006F3551"/>
    <w:rsid w:val="006F4D15"/>
    <w:rsid w:val="006F5700"/>
    <w:rsid w:val="006F6253"/>
    <w:rsid w:val="006F6CAE"/>
    <w:rsid w:val="006F72FD"/>
    <w:rsid w:val="006F7BED"/>
    <w:rsid w:val="007005A2"/>
    <w:rsid w:val="00700745"/>
    <w:rsid w:val="00702665"/>
    <w:rsid w:val="0070310B"/>
    <w:rsid w:val="00703431"/>
    <w:rsid w:val="00704500"/>
    <w:rsid w:val="00704641"/>
    <w:rsid w:val="00704E70"/>
    <w:rsid w:val="00711947"/>
    <w:rsid w:val="00712EEF"/>
    <w:rsid w:val="00713D5F"/>
    <w:rsid w:val="007141B7"/>
    <w:rsid w:val="007152DB"/>
    <w:rsid w:val="007155D2"/>
    <w:rsid w:val="00716202"/>
    <w:rsid w:val="007167F5"/>
    <w:rsid w:val="00720057"/>
    <w:rsid w:val="00720D75"/>
    <w:rsid w:val="007215C6"/>
    <w:rsid w:val="00722699"/>
    <w:rsid w:val="007249CA"/>
    <w:rsid w:val="007251ED"/>
    <w:rsid w:val="0072604C"/>
    <w:rsid w:val="007322E9"/>
    <w:rsid w:val="00733517"/>
    <w:rsid w:val="00733E27"/>
    <w:rsid w:val="00734218"/>
    <w:rsid w:val="0073438D"/>
    <w:rsid w:val="00735083"/>
    <w:rsid w:val="00736599"/>
    <w:rsid w:val="00737848"/>
    <w:rsid w:val="00737FEC"/>
    <w:rsid w:val="007402C9"/>
    <w:rsid w:val="0074051A"/>
    <w:rsid w:val="00740B08"/>
    <w:rsid w:val="007435B8"/>
    <w:rsid w:val="007437A1"/>
    <w:rsid w:val="007440BA"/>
    <w:rsid w:val="00745A64"/>
    <w:rsid w:val="00746D20"/>
    <w:rsid w:val="0075054D"/>
    <w:rsid w:val="0075160D"/>
    <w:rsid w:val="00751883"/>
    <w:rsid w:val="00751B87"/>
    <w:rsid w:val="00751BE8"/>
    <w:rsid w:val="00754376"/>
    <w:rsid w:val="00755325"/>
    <w:rsid w:val="00757D65"/>
    <w:rsid w:val="007602EF"/>
    <w:rsid w:val="00761E55"/>
    <w:rsid w:val="0076368C"/>
    <w:rsid w:val="00764BEF"/>
    <w:rsid w:val="00767D95"/>
    <w:rsid w:val="00770748"/>
    <w:rsid w:val="00774DE8"/>
    <w:rsid w:val="00775CE5"/>
    <w:rsid w:val="007802F7"/>
    <w:rsid w:val="007802F9"/>
    <w:rsid w:val="00782394"/>
    <w:rsid w:val="0078296F"/>
    <w:rsid w:val="007860AD"/>
    <w:rsid w:val="00786851"/>
    <w:rsid w:val="007907E5"/>
    <w:rsid w:val="00790DBB"/>
    <w:rsid w:val="00793F6B"/>
    <w:rsid w:val="00796C61"/>
    <w:rsid w:val="00797835"/>
    <w:rsid w:val="007A012D"/>
    <w:rsid w:val="007A01B7"/>
    <w:rsid w:val="007A0A1A"/>
    <w:rsid w:val="007A2044"/>
    <w:rsid w:val="007A3CAB"/>
    <w:rsid w:val="007A3CF9"/>
    <w:rsid w:val="007A43A8"/>
    <w:rsid w:val="007A45DA"/>
    <w:rsid w:val="007A46EA"/>
    <w:rsid w:val="007A7C73"/>
    <w:rsid w:val="007B04D2"/>
    <w:rsid w:val="007B39CE"/>
    <w:rsid w:val="007B4EE8"/>
    <w:rsid w:val="007B5071"/>
    <w:rsid w:val="007B5D88"/>
    <w:rsid w:val="007B5DE9"/>
    <w:rsid w:val="007B62B5"/>
    <w:rsid w:val="007B74BE"/>
    <w:rsid w:val="007B7CFA"/>
    <w:rsid w:val="007C178D"/>
    <w:rsid w:val="007C2BDD"/>
    <w:rsid w:val="007D1697"/>
    <w:rsid w:val="007D16C1"/>
    <w:rsid w:val="007D19EB"/>
    <w:rsid w:val="007D3561"/>
    <w:rsid w:val="007D3FBF"/>
    <w:rsid w:val="007D4159"/>
    <w:rsid w:val="007D459F"/>
    <w:rsid w:val="007D5DF3"/>
    <w:rsid w:val="007D6790"/>
    <w:rsid w:val="007E02D8"/>
    <w:rsid w:val="007E4C9E"/>
    <w:rsid w:val="007E671F"/>
    <w:rsid w:val="007E76D2"/>
    <w:rsid w:val="007F0BAF"/>
    <w:rsid w:val="007F0D5E"/>
    <w:rsid w:val="007F3E6A"/>
    <w:rsid w:val="007F4031"/>
    <w:rsid w:val="007F43CE"/>
    <w:rsid w:val="007F52EB"/>
    <w:rsid w:val="007F60C8"/>
    <w:rsid w:val="007F6C36"/>
    <w:rsid w:val="007F78C6"/>
    <w:rsid w:val="007F7D42"/>
    <w:rsid w:val="008018ED"/>
    <w:rsid w:val="00801AA8"/>
    <w:rsid w:val="00802843"/>
    <w:rsid w:val="00803759"/>
    <w:rsid w:val="00803997"/>
    <w:rsid w:val="00803CC6"/>
    <w:rsid w:val="00804EF5"/>
    <w:rsid w:val="00812059"/>
    <w:rsid w:val="0081731A"/>
    <w:rsid w:val="00824003"/>
    <w:rsid w:val="0082462D"/>
    <w:rsid w:val="008251C3"/>
    <w:rsid w:val="0082551B"/>
    <w:rsid w:val="00825B47"/>
    <w:rsid w:val="00827EA4"/>
    <w:rsid w:val="008302D4"/>
    <w:rsid w:val="00831C6C"/>
    <w:rsid w:val="008330C3"/>
    <w:rsid w:val="0083490E"/>
    <w:rsid w:val="0083502C"/>
    <w:rsid w:val="00835A34"/>
    <w:rsid w:val="00835BB0"/>
    <w:rsid w:val="0083780F"/>
    <w:rsid w:val="0084103A"/>
    <w:rsid w:val="008421E4"/>
    <w:rsid w:val="00842679"/>
    <w:rsid w:val="00844367"/>
    <w:rsid w:val="0084557F"/>
    <w:rsid w:val="008455FA"/>
    <w:rsid w:val="00847332"/>
    <w:rsid w:val="00853A42"/>
    <w:rsid w:val="00854A5C"/>
    <w:rsid w:val="00857D12"/>
    <w:rsid w:val="008644DD"/>
    <w:rsid w:val="00864B1F"/>
    <w:rsid w:val="00865555"/>
    <w:rsid w:val="008658DF"/>
    <w:rsid w:val="00872B05"/>
    <w:rsid w:val="00873494"/>
    <w:rsid w:val="00873C48"/>
    <w:rsid w:val="00874422"/>
    <w:rsid w:val="0087465C"/>
    <w:rsid w:val="00875E10"/>
    <w:rsid w:val="008777C6"/>
    <w:rsid w:val="00881066"/>
    <w:rsid w:val="00882350"/>
    <w:rsid w:val="0088319C"/>
    <w:rsid w:val="0088639D"/>
    <w:rsid w:val="00886507"/>
    <w:rsid w:val="0088789A"/>
    <w:rsid w:val="008878FA"/>
    <w:rsid w:val="00890EAF"/>
    <w:rsid w:val="00890FF7"/>
    <w:rsid w:val="008915E5"/>
    <w:rsid w:val="00892CA7"/>
    <w:rsid w:val="008963F9"/>
    <w:rsid w:val="008A0128"/>
    <w:rsid w:val="008A07F9"/>
    <w:rsid w:val="008A0EA2"/>
    <w:rsid w:val="008A36C5"/>
    <w:rsid w:val="008A3E21"/>
    <w:rsid w:val="008A3E54"/>
    <w:rsid w:val="008A5686"/>
    <w:rsid w:val="008A6BDD"/>
    <w:rsid w:val="008B1A09"/>
    <w:rsid w:val="008B1A96"/>
    <w:rsid w:val="008B278C"/>
    <w:rsid w:val="008B2EA8"/>
    <w:rsid w:val="008B335B"/>
    <w:rsid w:val="008B6D94"/>
    <w:rsid w:val="008B7BD8"/>
    <w:rsid w:val="008C200E"/>
    <w:rsid w:val="008C482F"/>
    <w:rsid w:val="008C4EB4"/>
    <w:rsid w:val="008C53B8"/>
    <w:rsid w:val="008C756A"/>
    <w:rsid w:val="008D00AE"/>
    <w:rsid w:val="008D0248"/>
    <w:rsid w:val="008D08F6"/>
    <w:rsid w:val="008D1A97"/>
    <w:rsid w:val="008D2195"/>
    <w:rsid w:val="008D255B"/>
    <w:rsid w:val="008D26D3"/>
    <w:rsid w:val="008D3060"/>
    <w:rsid w:val="008D316B"/>
    <w:rsid w:val="008D317E"/>
    <w:rsid w:val="008D394A"/>
    <w:rsid w:val="008D42C7"/>
    <w:rsid w:val="008D4775"/>
    <w:rsid w:val="008D495F"/>
    <w:rsid w:val="008D4DF4"/>
    <w:rsid w:val="008D5268"/>
    <w:rsid w:val="008D6581"/>
    <w:rsid w:val="008D67B5"/>
    <w:rsid w:val="008D697E"/>
    <w:rsid w:val="008D7598"/>
    <w:rsid w:val="008E01D2"/>
    <w:rsid w:val="008E0C13"/>
    <w:rsid w:val="008E22CD"/>
    <w:rsid w:val="008E5FB5"/>
    <w:rsid w:val="008E76F2"/>
    <w:rsid w:val="008F0B38"/>
    <w:rsid w:val="008F1B6F"/>
    <w:rsid w:val="008F4957"/>
    <w:rsid w:val="008F5595"/>
    <w:rsid w:val="008F6209"/>
    <w:rsid w:val="008F6461"/>
    <w:rsid w:val="008F69FC"/>
    <w:rsid w:val="008F7976"/>
    <w:rsid w:val="00900AF3"/>
    <w:rsid w:val="009011A2"/>
    <w:rsid w:val="0090152D"/>
    <w:rsid w:val="00901B82"/>
    <w:rsid w:val="00902C8C"/>
    <w:rsid w:val="0090307C"/>
    <w:rsid w:val="00906609"/>
    <w:rsid w:val="009076EA"/>
    <w:rsid w:val="00911C43"/>
    <w:rsid w:val="00912A28"/>
    <w:rsid w:val="009143E8"/>
    <w:rsid w:val="009155A9"/>
    <w:rsid w:val="00920568"/>
    <w:rsid w:val="00921CE7"/>
    <w:rsid w:val="00923037"/>
    <w:rsid w:val="009239BB"/>
    <w:rsid w:val="009256E7"/>
    <w:rsid w:val="00925CC6"/>
    <w:rsid w:val="00926D6C"/>
    <w:rsid w:val="00932CA0"/>
    <w:rsid w:val="009338EC"/>
    <w:rsid w:val="00933D3D"/>
    <w:rsid w:val="00934AB7"/>
    <w:rsid w:val="00934B02"/>
    <w:rsid w:val="0093713F"/>
    <w:rsid w:val="00941581"/>
    <w:rsid w:val="0094198A"/>
    <w:rsid w:val="0094272C"/>
    <w:rsid w:val="0094378F"/>
    <w:rsid w:val="00943D92"/>
    <w:rsid w:val="009467C1"/>
    <w:rsid w:val="00946B78"/>
    <w:rsid w:val="00950CD3"/>
    <w:rsid w:val="00950DBB"/>
    <w:rsid w:val="009517CE"/>
    <w:rsid w:val="00951944"/>
    <w:rsid w:val="00953CC2"/>
    <w:rsid w:val="00953DA8"/>
    <w:rsid w:val="009540DA"/>
    <w:rsid w:val="00954502"/>
    <w:rsid w:val="00954B35"/>
    <w:rsid w:val="00955A0A"/>
    <w:rsid w:val="0096113D"/>
    <w:rsid w:val="00961A94"/>
    <w:rsid w:val="00962E89"/>
    <w:rsid w:val="0096631A"/>
    <w:rsid w:val="0096781A"/>
    <w:rsid w:val="00972384"/>
    <w:rsid w:val="00972AE9"/>
    <w:rsid w:val="009737D4"/>
    <w:rsid w:val="009740B6"/>
    <w:rsid w:val="009760F0"/>
    <w:rsid w:val="00976524"/>
    <w:rsid w:val="00976A00"/>
    <w:rsid w:val="00977674"/>
    <w:rsid w:val="00983843"/>
    <w:rsid w:val="00984287"/>
    <w:rsid w:val="00990D62"/>
    <w:rsid w:val="00991A8C"/>
    <w:rsid w:val="00991C66"/>
    <w:rsid w:val="00994861"/>
    <w:rsid w:val="00994CF9"/>
    <w:rsid w:val="00997446"/>
    <w:rsid w:val="00997D6A"/>
    <w:rsid w:val="009A158C"/>
    <w:rsid w:val="009A1EA2"/>
    <w:rsid w:val="009A3194"/>
    <w:rsid w:val="009A33EF"/>
    <w:rsid w:val="009A764B"/>
    <w:rsid w:val="009A7A4D"/>
    <w:rsid w:val="009B00F3"/>
    <w:rsid w:val="009B0465"/>
    <w:rsid w:val="009B1FB2"/>
    <w:rsid w:val="009B3421"/>
    <w:rsid w:val="009B429E"/>
    <w:rsid w:val="009B5245"/>
    <w:rsid w:val="009B5F1F"/>
    <w:rsid w:val="009B6C00"/>
    <w:rsid w:val="009B7B79"/>
    <w:rsid w:val="009C086B"/>
    <w:rsid w:val="009C3084"/>
    <w:rsid w:val="009C32E6"/>
    <w:rsid w:val="009C3EBF"/>
    <w:rsid w:val="009C4727"/>
    <w:rsid w:val="009C585C"/>
    <w:rsid w:val="009C61FD"/>
    <w:rsid w:val="009C6BFD"/>
    <w:rsid w:val="009D07BC"/>
    <w:rsid w:val="009D3763"/>
    <w:rsid w:val="009D3DC8"/>
    <w:rsid w:val="009D414C"/>
    <w:rsid w:val="009D4195"/>
    <w:rsid w:val="009D4D95"/>
    <w:rsid w:val="009D52A8"/>
    <w:rsid w:val="009D563C"/>
    <w:rsid w:val="009D7E00"/>
    <w:rsid w:val="009E340C"/>
    <w:rsid w:val="009E3F50"/>
    <w:rsid w:val="009E55E5"/>
    <w:rsid w:val="009E6BB5"/>
    <w:rsid w:val="009E7050"/>
    <w:rsid w:val="009E7D49"/>
    <w:rsid w:val="009E7F38"/>
    <w:rsid w:val="009F0B40"/>
    <w:rsid w:val="009F1F77"/>
    <w:rsid w:val="009F4F98"/>
    <w:rsid w:val="009F55D1"/>
    <w:rsid w:val="009F5750"/>
    <w:rsid w:val="009F5A79"/>
    <w:rsid w:val="009F5E4F"/>
    <w:rsid w:val="009F6535"/>
    <w:rsid w:val="009F6E02"/>
    <w:rsid w:val="009F7CF5"/>
    <w:rsid w:val="00A03219"/>
    <w:rsid w:val="00A03A9D"/>
    <w:rsid w:val="00A03C04"/>
    <w:rsid w:val="00A03E15"/>
    <w:rsid w:val="00A040D4"/>
    <w:rsid w:val="00A04468"/>
    <w:rsid w:val="00A0658F"/>
    <w:rsid w:val="00A0697C"/>
    <w:rsid w:val="00A06A10"/>
    <w:rsid w:val="00A0736C"/>
    <w:rsid w:val="00A10775"/>
    <w:rsid w:val="00A11D2B"/>
    <w:rsid w:val="00A12F93"/>
    <w:rsid w:val="00A13C8D"/>
    <w:rsid w:val="00A145C0"/>
    <w:rsid w:val="00A14A11"/>
    <w:rsid w:val="00A15A8E"/>
    <w:rsid w:val="00A15AED"/>
    <w:rsid w:val="00A16488"/>
    <w:rsid w:val="00A173FA"/>
    <w:rsid w:val="00A20083"/>
    <w:rsid w:val="00A2102B"/>
    <w:rsid w:val="00A21EBB"/>
    <w:rsid w:val="00A2209B"/>
    <w:rsid w:val="00A22812"/>
    <w:rsid w:val="00A242DF"/>
    <w:rsid w:val="00A255AB"/>
    <w:rsid w:val="00A26345"/>
    <w:rsid w:val="00A270A0"/>
    <w:rsid w:val="00A31EAA"/>
    <w:rsid w:val="00A32B86"/>
    <w:rsid w:val="00A35106"/>
    <w:rsid w:val="00A35E9A"/>
    <w:rsid w:val="00A3666F"/>
    <w:rsid w:val="00A36868"/>
    <w:rsid w:val="00A37D7B"/>
    <w:rsid w:val="00A40247"/>
    <w:rsid w:val="00A4123E"/>
    <w:rsid w:val="00A41E20"/>
    <w:rsid w:val="00A421CC"/>
    <w:rsid w:val="00A4399F"/>
    <w:rsid w:val="00A43BA8"/>
    <w:rsid w:val="00A46567"/>
    <w:rsid w:val="00A5000A"/>
    <w:rsid w:val="00A50266"/>
    <w:rsid w:val="00A51351"/>
    <w:rsid w:val="00A51832"/>
    <w:rsid w:val="00A53E74"/>
    <w:rsid w:val="00A557C6"/>
    <w:rsid w:val="00A56607"/>
    <w:rsid w:val="00A56CEF"/>
    <w:rsid w:val="00A66036"/>
    <w:rsid w:val="00A66B9D"/>
    <w:rsid w:val="00A706E2"/>
    <w:rsid w:val="00A7072B"/>
    <w:rsid w:val="00A71150"/>
    <w:rsid w:val="00A71E06"/>
    <w:rsid w:val="00A74B25"/>
    <w:rsid w:val="00A74F35"/>
    <w:rsid w:val="00A75AC6"/>
    <w:rsid w:val="00A76D73"/>
    <w:rsid w:val="00A77667"/>
    <w:rsid w:val="00A80C6E"/>
    <w:rsid w:val="00A810E4"/>
    <w:rsid w:val="00A811AF"/>
    <w:rsid w:val="00A81D8A"/>
    <w:rsid w:val="00A8218A"/>
    <w:rsid w:val="00A82E21"/>
    <w:rsid w:val="00A83676"/>
    <w:rsid w:val="00A84500"/>
    <w:rsid w:val="00A847D5"/>
    <w:rsid w:val="00A84924"/>
    <w:rsid w:val="00A8579D"/>
    <w:rsid w:val="00A8619B"/>
    <w:rsid w:val="00A876D3"/>
    <w:rsid w:val="00A90DEA"/>
    <w:rsid w:val="00A90F3B"/>
    <w:rsid w:val="00A91ACC"/>
    <w:rsid w:val="00A93AA3"/>
    <w:rsid w:val="00A94B28"/>
    <w:rsid w:val="00A9556F"/>
    <w:rsid w:val="00A96C50"/>
    <w:rsid w:val="00A976AA"/>
    <w:rsid w:val="00AA118F"/>
    <w:rsid w:val="00AA2482"/>
    <w:rsid w:val="00AA2493"/>
    <w:rsid w:val="00AA3C43"/>
    <w:rsid w:val="00AA482D"/>
    <w:rsid w:val="00AA554E"/>
    <w:rsid w:val="00AA5977"/>
    <w:rsid w:val="00AA6688"/>
    <w:rsid w:val="00AA759E"/>
    <w:rsid w:val="00AB0F4D"/>
    <w:rsid w:val="00AB1890"/>
    <w:rsid w:val="00AB18B6"/>
    <w:rsid w:val="00AC6ADE"/>
    <w:rsid w:val="00AC6E75"/>
    <w:rsid w:val="00AC709A"/>
    <w:rsid w:val="00AD1156"/>
    <w:rsid w:val="00AD315D"/>
    <w:rsid w:val="00AD4AEA"/>
    <w:rsid w:val="00AD523F"/>
    <w:rsid w:val="00AD5617"/>
    <w:rsid w:val="00AD5CEC"/>
    <w:rsid w:val="00AD70C3"/>
    <w:rsid w:val="00AE09DE"/>
    <w:rsid w:val="00AE2EB1"/>
    <w:rsid w:val="00AE3C2F"/>
    <w:rsid w:val="00AE54F9"/>
    <w:rsid w:val="00AE5C9E"/>
    <w:rsid w:val="00AE6CE0"/>
    <w:rsid w:val="00AF0F6D"/>
    <w:rsid w:val="00AF2BAF"/>
    <w:rsid w:val="00AF5474"/>
    <w:rsid w:val="00AF5859"/>
    <w:rsid w:val="00AF5B42"/>
    <w:rsid w:val="00AF6309"/>
    <w:rsid w:val="00AF69C4"/>
    <w:rsid w:val="00AF7131"/>
    <w:rsid w:val="00AF7AB2"/>
    <w:rsid w:val="00AF7BCD"/>
    <w:rsid w:val="00B0323F"/>
    <w:rsid w:val="00B03633"/>
    <w:rsid w:val="00B05611"/>
    <w:rsid w:val="00B11474"/>
    <w:rsid w:val="00B1174A"/>
    <w:rsid w:val="00B144BD"/>
    <w:rsid w:val="00B15AA2"/>
    <w:rsid w:val="00B15BB7"/>
    <w:rsid w:val="00B16627"/>
    <w:rsid w:val="00B2021A"/>
    <w:rsid w:val="00B2060B"/>
    <w:rsid w:val="00B2110B"/>
    <w:rsid w:val="00B22C5C"/>
    <w:rsid w:val="00B23200"/>
    <w:rsid w:val="00B2431E"/>
    <w:rsid w:val="00B26249"/>
    <w:rsid w:val="00B27BC5"/>
    <w:rsid w:val="00B27C24"/>
    <w:rsid w:val="00B308DA"/>
    <w:rsid w:val="00B3092D"/>
    <w:rsid w:val="00B30E1F"/>
    <w:rsid w:val="00B32E18"/>
    <w:rsid w:val="00B32F53"/>
    <w:rsid w:val="00B359A0"/>
    <w:rsid w:val="00B36161"/>
    <w:rsid w:val="00B3747F"/>
    <w:rsid w:val="00B42341"/>
    <w:rsid w:val="00B430FB"/>
    <w:rsid w:val="00B43EC1"/>
    <w:rsid w:val="00B4434E"/>
    <w:rsid w:val="00B46CA3"/>
    <w:rsid w:val="00B4753D"/>
    <w:rsid w:val="00B4754E"/>
    <w:rsid w:val="00B50B81"/>
    <w:rsid w:val="00B547D5"/>
    <w:rsid w:val="00B56368"/>
    <w:rsid w:val="00B61722"/>
    <w:rsid w:val="00B62F2E"/>
    <w:rsid w:val="00B639E0"/>
    <w:rsid w:val="00B65088"/>
    <w:rsid w:val="00B6568A"/>
    <w:rsid w:val="00B6632D"/>
    <w:rsid w:val="00B67DC4"/>
    <w:rsid w:val="00B70922"/>
    <w:rsid w:val="00B72E68"/>
    <w:rsid w:val="00B72FFD"/>
    <w:rsid w:val="00B77677"/>
    <w:rsid w:val="00B77F31"/>
    <w:rsid w:val="00B8046C"/>
    <w:rsid w:val="00B831FE"/>
    <w:rsid w:val="00B85FED"/>
    <w:rsid w:val="00B86002"/>
    <w:rsid w:val="00B8761B"/>
    <w:rsid w:val="00B87F84"/>
    <w:rsid w:val="00B932D6"/>
    <w:rsid w:val="00B94D09"/>
    <w:rsid w:val="00B96104"/>
    <w:rsid w:val="00B97C16"/>
    <w:rsid w:val="00BA075A"/>
    <w:rsid w:val="00BA1262"/>
    <w:rsid w:val="00BA28E9"/>
    <w:rsid w:val="00BA2D9A"/>
    <w:rsid w:val="00BA37F4"/>
    <w:rsid w:val="00BA3C81"/>
    <w:rsid w:val="00BA6476"/>
    <w:rsid w:val="00BB0694"/>
    <w:rsid w:val="00BB15DA"/>
    <w:rsid w:val="00BB2C01"/>
    <w:rsid w:val="00BB2FB6"/>
    <w:rsid w:val="00BB3B34"/>
    <w:rsid w:val="00BB4C4E"/>
    <w:rsid w:val="00BB6118"/>
    <w:rsid w:val="00BB6D08"/>
    <w:rsid w:val="00BB7E7B"/>
    <w:rsid w:val="00BC13B1"/>
    <w:rsid w:val="00BC1DC2"/>
    <w:rsid w:val="00BC3920"/>
    <w:rsid w:val="00BC3C20"/>
    <w:rsid w:val="00BC6753"/>
    <w:rsid w:val="00BC6804"/>
    <w:rsid w:val="00BC7E30"/>
    <w:rsid w:val="00BD0736"/>
    <w:rsid w:val="00BD1B7A"/>
    <w:rsid w:val="00BD3C78"/>
    <w:rsid w:val="00BD7172"/>
    <w:rsid w:val="00BD76DB"/>
    <w:rsid w:val="00BE0079"/>
    <w:rsid w:val="00BE0805"/>
    <w:rsid w:val="00BE1B84"/>
    <w:rsid w:val="00BE2249"/>
    <w:rsid w:val="00BE3445"/>
    <w:rsid w:val="00BE483C"/>
    <w:rsid w:val="00BE4C4F"/>
    <w:rsid w:val="00BE6ADC"/>
    <w:rsid w:val="00BF03F4"/>
    <w:rsid w:val="00BF17D9"/>
    <w:rsid w:val="00BF1AE5"/>
    <w:rsid w:val="00BF330A"/>
    <w:rsid w:val="00BF6428"/>
    <w:rsid w:val="00BF686C"/>
    <w:rsid w:val="00BF6F57"/>
    <w:rsid w:val="00C015EB"/>
    <w:rsid w:val="00C018E4"/>
    <w:rsid w:val="00C031DB"/>
    <w:rsid w:val="00C05D32"/>
    <w:rsid w:val="00C05EE1"/>
    <w:rsid w:val="00C072E1"/>
    <w:rsid w:val="00C07AEA"/>
    <w:rsid w:val="00C14E8E"/>
    <w:rsid w:val="00C1671B"/>
    <w:rsid w:val="00C177A0"/>
    <w:rsid w:val="00C179A3"/>
    <w:rsid w:val="00C207DB"/>
    <w:rsid w:val="00C21E2F"/>
    <w:rsid w:val="00C225EB"/>
    <w:rsid w:val="00C23EF9"/>
    <w:rsid w:val="00C250F6"/>
    <w:rsid w:val="00C25A11"/>
    <w:rsid w:val="00C27682"/>
    <w:rsid w:val="00C277A9"/>
    <w:rsid w:val="00C31168"/>
    <w:rsid w:val="00C32DE7"/>
    <w:rsid w:val="00C33657"/>
    <w:rsid w:val="00C33A0D"/>
    <w:rsid w:val="00C36053"/>
    <w:rsid w:val="00C36E4E"/>
    <w:rsid w:val="00C4157D"/>
    <w:rsid w:val="00C42EEC"/>
    <w:rsid w:val="00C4570A"/>
    <w:rsid w:val="00C46C6C"/>
    <w:rsid w:val="00C47E16"/>
    <w:rsid w:val="00C50D4B"/>
    <w:rsid w:val="00C5282F"/>
    <w:rsid w:val="00C53B80"/>
    <w:rsid w:val="00C54487"/>
    <w:rsid w:val="00C6027F"/>
    <w:rsid w:val="00C60A81"/>
    <w:rsid w:val="00C63C17"/>
    <w:rsid w:val="00C65083"/>
    <w:rsid w:val="00C657A1"/>
    <w:rsid w:val="00C67D1C"/>
    <w:rsid w:val="00C70459"/>
    <w:rsid w:val="00C70478"/>
    <w:rsid w:val="00C72392"/>
    <w:rsid w:val="00C74440"/>
    <w:rsid w:val="00C74C23"/>
    <w:rsid w:val="00C75E63"/>
    <w:rsid w:val="00C75FE4"/>
    <w:rsid w:val="00C80BA2"/>
    <w:rsid w:val="00C82A0B"/>
    <w:rsid w:val="00C87E83"/>
    <w:rsid w:val="00C9060A"/>
    <w:rsid w:val="00C907BC"/>
    <w:rsid w:val="00C93260"/>
    <w:rsid w:val="00C93BF6"/>
    <w:rsid w:val="00C973D6"/>
    <w:rsid w:val="00CA13B0"/>
    <w:rsid w:val="00CA1ED2"/>
    <w:rsid w:val="00CA2650"/>
    <w:rsid w:val="00CA2DB2"/>
    <w:rsid w:val="00CA2F2A"/>
    <w:rsid w:val="00CA3E67"/>
    <w:rsid w:val="00CA4EE8"/>
    <w:rsid w:val="00CA73F1"/>
    <w:rsid w:val="00CA7C38"/>
    <w:rsid w:val="00CB000E"/>
    <w:rsid w:val="00CB0088"/>
    <w:rsid w:val="00CB05D4"/>
    <w:rsid w:val="00CB197B"/>
    <w:rsid w:val="00CB1A35"/>
    <w:rsid w:val="00CB3E04"/>
    <w:rsid w:val="00CB6300"/>
    <w:rsid w:val="00CC34CE"/>
    <w:rsid w:val="00CC5F5F"/>
    <w:rsid w:val="00CC601E"/>
    <w:rsid w:val="00CC7DD2"/>
    <w:rsid w:val="00CD101E"/>
    <w:rsid w:val="00CD17D0"/>
    <w:rsid w:val="00CD1CE1"/>
    <w:rsid w:val="00CD3D31"/>
    <w:rsid w:val="00CE2B3F"/>
    <w:rsid w:val="00CE303C"/>
    <w:rsid w:val="00CE4B52"/>
    <w:rsid w:val="00CE6144"/>
    <w:rsid w:val="00CE782E"/>
    <w:rsid w:val="00CE794C"/>
    <w:rsid w:val="00CE7B29"/>
    <w:rsid w:val="00CF0C32"/>
    <w:rsid w:val="00CF1633"/>
    <w:rsid w:val="00CF264D"/>
    <w:rsid w:val="00CF3C93"/>
    <w:rsid w:val="00CF3EAD"/>
    <w:rsid w:val="00CF5F71"/>
    <w:rsid w:val="00CF6F9F"/>
    <w:rsid w:val="00CF7B91"/>
    <w:rsid w:val="00D0184C"/>
    <w:rsid w:val="00D029E9"/>
    <w:rsid w:val="00D03330"/>
    <w:rsid w:val="00D03499"/>
    <w:rsid w:val="00D03BFC"/>
    <w:rsid w:val="00D03EC3"/>
    <w:rsid w:val="00D066E2"/>
    <w:rsid w:val="00D06AA2"/>
    <w:rsid w:val="00D07DAA"/>
    <w:rsid w:val="00D1106F"/>
    <w:rsid w:val="00D1131A"/>
    <w:rsid w:val="00D12F8E"/>
    <w:rsid w:val="00D131F7"/>
    <w:rsid w:val="00D16EB7"/>
    <w:rsid w:val="00D17F82"/>
    <w:rsid w:val="00D20518"/>
    <w:rsid w:val="00D219C3"/>
    <w:rsid w:val="00D23E7B"/>
    <w:rsid w:val="00D24517"/>
    <w:rsid w:val="00D248DC"/>
    <w:rsid w:val="00D26846"/>
    <w:rsid w:val="00D27C50"/>
    <w:rsid w:val="00D3057E"/>
    <w:rsid w:val="00D3086E"/>
    <w:rsid w:val="00D30D4D"/>
    <w:rsid w:val="00D34A32"/>
    <w:rsid w:val="00D35656"/>
    <w:rsid w:val="00D40004"/>
    <w:rsid w:val="00D42C2B"/>
    <w:rsid w:val="00D44573"/>
    <w:rsid w:val="00D45EE9"/>
    <w:rsid w:val="00D46C4B"/>
    <w:rsid w:val="00D473C9"/>
    <w:rsid w:val="00D4790A"/>
    <w:rsid w:val="00D47988"/>
    <w:rsid w:val="00D51E0B"/>
    <w:rsid w:val="00D5241A"/>
    <w:rsid w:val="00D54852"/>
    <w:rsid w:val="00D55A9A"/>
    <w:rsid w:val="00D55CCE"/>
    <w:rsid w:val="00D60E33"/>
    <w:rsid w:val="00D62F26"/>
    <w:rsid w:val="00D64779"/>
    <w:rsid w:val="00D70380"/>
    <w:rsid w:val="00D71CD2"/>
    <w:rsid w:val="00D720C4"/>
    <w:rsid w:val="00D75C19"/>
    <w:rsid w:val="00D76A6A"/>
    <w:rsid w:val="00D76EC8"/>
    <w:rsid w:val="00D805F6"/>
    <w:rsid w:val="00D80E73"/>
    <w:rsid w:val="00D815A4"/>
    <w:rsid w:val="00D84ADB"/>
    <w:rsid w:val="00D84C67"/>
    <w:rsid w:val="00D85E65"/>
    <w:rsid w:val="00D85F66"/>
    <w:rsid w:val="00D85FCB"/>
    <w:rsid w:val="00D87B6B"/>
    <w:rsid w:val="00D902E7"/>
    <w:rsid w:val="00D9079E"/>
    <w:rsid w:val="00D9093A"/>
    <w:rsid w:val="00D94F0C"/>
    <w:rsid w:val="00D95B99"/>
    <w:rsid w:val="00D96503"/>
    <w:rsid w:val="00D9667D"/>
    <w:rsid w:val="00D97C6F"/>
    <w:rsid w:val="00DA1204"/>
    <w:rsid w:val="00DA12A0"/>
    <w:rsid w:val="00DA6CA6"/>
    <w:rsid w:val="00DA7302"/>
    <w:rsid w:val="00DB0021"/>
    <w:rsid w:val="00DB1235"/>
    <w:rsid w:val="00DB313B"/>
    <w:rsid w:val="00DB381D"/>
    <w:rsid w:val="00DB4155"/>
    <w:rsid w:val="00DB5BD3"/>
    <w:rsid w:val="00DB6EEA"/>
    <w:rsid w:val="00DB78C2"/>
    <w:rsid w:val="00DC2E5D"/>
    <w:rsid w:val="00DC57C5"/>
    <w:rsid w:val="00DD1588"/>
    <w:rsid w:val="00DD1AEC"/>
    <w:rsid w:val="00DD4BEC"/>
    <w:rsid w:val="00DD622D"/>
    <w:rsid w:val="00DD65FC"/>
    <w:rsid w:val="00DE23CD"/>
    <w:rsid w:val="00DE320D"/>
    <w:rsid w:val="00DE413D"/>
    <w:rsid w:val="00DE4C6B"/>
    <w:rsid w:val="00DE6F0E"/>
    <w:rsid w:val="00DE771B"/>
    <w:rsid w:val="00DE7ED5"/>
    <w:rsid w:val="00DF0635"/>
    <w:rsid w:val="00DF0BB6"/>
    <w:rsid w:val="00DF4C39"/>
    <w:rsid w:val="00DF4E44"/>
    <w:rsid w:val="00DF4F08"/>
    <w:rsid w:val="00DF5225"/>
    <w:rsid w:val="00DF6A28"/>
    <w:rsid w:val="00DF6D18"/>
    <w:rsid w:val="00E02CD5"/>
    <w:rsid w:val="00E03CED"/>
    <w:rsid w:val="00E03E62"/>
    <w:rsid w:val="00E03E76"/>
    <w:rsid w:val="00E06B87"/>
    <w:rsid w:val="00E0799D"/>
    <w:rsid w:val="00E10E79"/>
    <w:rsid w:val="00E124E7"/>
    <w:rsid w:val="00E1287E"/>
    <w:rsid w:val="00E12CBF"/>
    <w:rsid w:val="00E1438E"/>
    <w:rsid w:val="00E1510D"/>
    <w:rsid w:val="00E1597D"/>
    <w:rsid w:val="00E15F51"/>
    <w:rsid w:val="00E20035"/>
    <w:rsid w:val="00E2015E"/>
    <w:rsid w:val="00E20C56"/>
    <w:rsid w:val="00E24D86"/>
    <w:rsid w:val="00E2522E"/>
    <w:rsid w:val="00E259B0"/>
    <w:rsid w:val="00E27855"/>
    <w:rsid w:val="00E27F4D"/>
    <w:rsid w:val="00E30152"/>
    <w:rsid w:val="00E30C90"/>
    <w:rsid w:val="00E3343F"/>
    <w:rsid w:val="00E335F1"/>
    <w:rsid w:val="00E33D8C"/>
    <w:rsid w:val="00E42AE8"/>
    <w:rsid w:val="00E4333A"/>
    <w:rsid w:val="00E436FE"/>
    <w:rsid w:val="00E45289"/>
    <w:rsid w:val="00E45945"/>
    <w:rsid w:val="00E45BE2"/>
    <w:rsid w:val="00E4661B"/>
    <w:rsid w:val="00E4709E"/>
    <w:rsid w:val="00E52EBF"/>
    <w:rsid w:val="00E54B1E"/>
    <w:rsid w:val="00E55D21"/>
    <w:rsid w:val="00E5775B"/>
    <w:rsid w:val="00E57D07"/>
    <w:rsid w:val="00E60410"/>
    <w:rsid w:val="00E6101F"/>
    <w:rsid w:val="00E61C20"/>
    <w:rsid w:val="00E61E3B"/>
    <w:rsid w:val="00E6224D"/>
    <w:rsid w:val="00E62800"/>
    <w:rsid w:val="00E64841"/>
    <w:rsid w:val="00E64D68"/>
    <w:rsid w:val="00E64EFC"/>
    <w:rsid w:val="00E66141"/>
    <w:rsid w:val="00E727C8"/>
    <w:rsid w:val="00E74387"/>
    <w:rsid w:val="00E762EB"/>
    <w:rsid w:val="00E7687C"/>
    <w:rsid w:val="00E81DC2"/>
    <w:rsid w:val="00E82608"/>
    <w:rsid w:val="00E82BBE"/>
    <w:rsid w:val="00E83585"/>
    <w:rsid w:val="00E859E6"/>
    <w:rsid w:val="00E863BE"/>
    <w:rsid w:val="00E870AA"/>
    <w:rsid w:val="00E90E37"/>
    <w:rsid w:val="00E92007"/>
    <w:rsid w:val="00E927C2"/>
    <w:rsid w:val="00E92E43"/>
    <w:rsid w:val="00E9385D"/>
    <w:rsid w:val="00E964AA"/>
    <w:rsid w:val="00E96B6D"/>
    <w:rsid w:val="00EA05C9"/>
    <w:rsid w:val="00EA0F61"/>
    <w:rsid w:val="00EA166B"/>
    <w:rsid w:val="00EA2685"/>
    <w:rsid w:val="00EA2915"/>
    <w:rsid w:val="00EA642E"/>
    <w:rsid w:val="00EA68E1"/>
    <w:rsid w:val="00EA6A6C"/>
    <w:rsid w:val="00EA7777"/>
    <w:rsid w:val="00EA7D16"/>
    <w:rsid w:val="00EB1651"/>
    <w:rsid w:val="00EB2131"/>
    <w:rsid w:val="00EB2C7A"/>
    <w:rsid w:val="00EB3698"/>
    <w:rsid w:val="00EB4115"/>
    <w:rsid w:val="00EB68BC"/>
    <w:rsid w:val="00EB6A45"/>
    <w:rsid w:val="00EC7D03"/>
    <w:rsid w:val="00ED116A"/>
    <w:rsid w:val="00ED1845"/>
    <w:rsid w:val="00ED2672"/>
    <w:rsid w:val="00ED3493"/>
    <w:rsid w:val="00ED3CA4"/>
    <w:rsid w:val="00ED3CD9"/>
    <w:rsid w:val="00ED4F0A"/>
    <w:rsid w:val="00ED4FEF"/>
    <w:rsid w:val="00ED5261"/>
    <w:rsid w:val="00ED6CE3"/>
    <w:rsid w:val="00ED7226"/>
    <w:rsid w:val="00EE0E07"/>
    <w:rsid w:val="00EE10A9"/>
    <w:rsid w:val="00EE157B"/>
    <w:rsid w:val="00EE2EEF"/>
    <w:rsid w:val="00EE3A2C"/>
    <w:rsid w:val="00EE439E"/>
    <w:rsid w:val="00EE5128"/>
    <w:rsid w:val="00EE57D6"/>
    <w:rsid w:val="00EE59DC"/>
    <w:rsid w:val="00EE5C76"/>
    <w:rsid w:val="00EE67AE"/>
    <w:rsid w:val="00EE6952"/>
    <w:rsid w:val="00EE6A98"/>
    <w:rsid w:val="00EE7866"/>
    <w:rsid w:val="00EF0CD0"/>
    <w:rsid w:val="00EF0E2E"/>
    <w:rsid w:val="00EF3B0F"/>
    <w:rsid w:val="00EF5335"/>
    <w:rsid w:val="00EF541E"/>
    <w:rsid w:val="00EF58C3"/>
    <w:rsid w:val="00F01682"/>
    <w:rsid w:val="00F0302E"/>
    <w:rsid w:val="00F04238"/>
    <w:rsid w:val="00F05EE3"/>
    <w:rsid w:val="00F0630D"/>
    <w:rsid w:val="00F07217"/>
    <w:rsid w:val="00F1071B"/>
    <w:rsid w:val="00F11344"/>
    <w:rsid w:val="00F12A0A"/>
    <w:rsid w:val="00F13D7A"/>
    <w:rsid w:val="00F140D5"/>
    <w:rsid w:val="00F153F5"/>
    <w:rsid w:val="00F15DA2"/>
    <w:rsid w:val="00F15EC8"/>
    <w:rsid w:val="00F20AFF"/>
    <w:rsid w:val="00F211B6"/>
    <w:rsid w:val="00F258F0"/>
    <w:rsid w:val="00F26934"/>
    <w:rsid w:val="00F33541"/>
    <w:rsid w:val="00F355B0"/>
    <w:rsid w:val="00F36956"/>
    <w:rsid w:val="00F37450"/>
    <w:rsid w:val="00F434BB"/>
    <w:rsid w:val="00F43A58"/>
    <w:rsid w:val="00F43EDA"/>
    <w:rsid w:val="00F441F6"/>
    <w:rsid w:val="00F45A69"/>
    <w:rsid w:val="00F5324E"/>
    <w:rsid w:val="00F53394"/>
    <w:rsid w:val="00F5368E"/>
    <w:rsid w:val="00F53BE8"/>
    <w:rsid w:val="00F62949"/>
    <w:rsid w:val="00F62AD4"/>
    <w:rsid w:val="00F63630"/>
    <w:rsid w:val="00F642A1"/>
    <w:rsid w:val="00F66527"/>
    <w:rsid w:val="00F67704"/>
    <w:rsid w:val="00F700B0"/>
    <w:rsid w:val="00F70AB9"/>
    <w:rsid w:val="00F720EA"/>
    <w:rsid w:val="00F72F3B"/>
    <w:rsid w:val="00F73CA5"/>
    <w:rsid w:val="00F74262"/>
    <w:rsid w:val="00F75766"/>
    <w:rsid w:val="00F7579B"/>
    <w:rsid w:val="00F77C86"/>
    <w:rsid w:val="00F8172B"/>
    <w:rsid w:val="00F81B47"/>
    <w:rsid w:val="00F81D0C"/>
    <w:rsid w:val="00F81D7A"/>
    <w:rsid w:val="00F8240C"/>
    <w:rsid w:val="00F8422A"/>
    <w:rsid w:val="00F842D7"/>
    <w:rsid w:val="00F848DE"/>
    <w:rsid w:val="00F84F7B"/>
    <w:rsid w:val="00F857F8"/>
    <w:rsid w:val="00F8585E"/>
    <w:rsid w:val="00F86AD7"/>
    <w:rsid w:val="00F907BD"/>
    <w:rsid w:val="00F91DC4"/>
    <w:rsid w:val="00F92495"/>
    <w:rsid w:val="00F927B4"/>
    <w:rsid w:val="00F95106"/>
    <w:rsid w:val="00F95551"/>
    <w:rsid w:val="00F97CC8"/>
    <w:rsid w:val="00FA0C89"/>
    <w:rsid w:val="00FA2E35"/>
    <w:rsid w:val="00FA3938"/>
    <w:rsid w:val="00FA621E"/>
    <w:rsid w:val="00FA6D03"/>
    <w:rsid w:val="00FB1F2A"/>
    <w:rsid w:val="00FB2527"/>
    <w:rsid w:val="00FB2C7B"/>
    <w:rsid w:val="00FB3957"/>
    <w:rsid w:val="00FB5428"/>
    <w:rsid w:val="00FB587B"/>
    <w:rsid w:val="00FB5C61"/>
    <w:rsid w:val="00FB6A4D"/>
    <w:rsid w:val="00FB7809"/>
    <w:rsid w:val="00FC1DD4"/>
    <w:rsid w:val="00FC21B7"/>
    <w:rsid w:val="00FC3A33"/>
    <w:rsid w:val="00FC6054"/>
    <w:rsid w:val="00FC783E"/>
    <w:rsid w:val="00FD04BF"/>
    <w:rsid w:val="00FD098C"/>
    <w:rsid w:val="00FD5C49"/>
    <w:rsid w:val="00FD5F83"/>
    <w:rsid w:val="00FE0B08"/>
    <w:rsid w:val="00FE0D78"/>
    <w:rsid w:val="00FE29E8"/>
    <w:rsid w:val="00FE36A0"/>
    <w:rsid w:val="00FE4469"/>
    <w:rsid w:val="00FE4AA9"/>
    <w:rsid w:val="00FE638F"/>
    <w:rsid w:val="00FF0402"/>
    <w:rsid w:val="00FF2D50"/>
    <w:rsid w:val="00FF3631"/>
    <w:rsid w:val="00FF3809"/>
    <w:rsid w:val="00FF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5BAC2"/>
  <w15:chartTrackingRefBased/>
  <w15:docId w15:val="{003431F9-E081-4B41-881E-540B335E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39F"/>
  </w:style>
  <w:style w:type="paragraph" w:styleId="Heading1">
    <w:name w:val="heading 1"/>
    <w:basedOn w:val="Normal"/>
    <w:link w:val="Heading1Char"/>
    <w:uiPriority w:val="9"/>
    <w:qFormat/>
    <w:rsid w:val="00197158"/>
    <w:pPr>
      <w:spacing w:before="105" w:after="0" w:line="240" w:lineRule="auto"/>
      <w:outlineLvl w:val="0"/>
    </w:pPr>
    <w:rPr>
      <w:rFonts w:ascii="Times New Roman" w:eastAsia="Times New Roman" w:hAnsi="Times New Roman" w:cs="Times New Roman"/>
      <w:color w:val="000000"/>
      <w:kern w:val="36"/>
      <w:sz w:val="134"/>
      <w:szCs w:val="134"/>
    </w:rPr>
  </w:style>
  <w:style w:type="paragraph" w:styleId="Heading2">
    <w:name w:val="heading 2"/>
    <w:basedOn w:val="Normal"/>
    <w:link w:val="Heading2Char"/>
    <w:uiPriority w:val="9"/>
    <w:qFormat/>
    <w:rsid w:val="00197158"/>
    <w:pPr>
      <w:spacing w:before="100" w:beforeAutospacing="1" w:after="0" w:line="240" w:lineRule="auto"/>
      <w:outlineLvl w:val="1"/>
    </w:pPr>
    <w:rPr>
      <w:rFonts w:ascii="Times New Roman" w:eastAsia="Times New Roman" w:hAnsi="Times New Roman" w:cs="Times New Roman"/>
      <w:color w:val="000000"/>
      <w:sz w:val="67"/>
      <w:szCs w:val="6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D3C78"/>
    <w:pPr>
      <w:ind w:left="720"/>
      <w:contextualSpacing/>
    </w:pPr>
  </w:style>
  <w:style w:type="character" w:styleId="PlaceholderText">
    <w:name w:val="Placeholder Text"/>
    <w:basedOn w:val="DefaultParagraphFont"/>
    <w:uiPriority w:val="99"/>
    <w:semiHidden/>
    <w:rsid w:val="004D315E"/>
    <w:rPr>
      <w:color w:val="808080"/>
    </w:rPr>
  </w:style>
  <w:style w:type="paragraph" w:styleId="Header">
    <w:name w:val="header"/>
    <w:basedOn w:val="Normal"/>
    <w:link w:val="HeaderChar"/>
    <w:uiPriority w:val="99"/>
    <w:unhideWhenUsed/>
    <w:rsid w:val="003F5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5AB"/>
  </w:style>
  <w:style w:type="paragraph" w:styleId="Footer">
    <w:name w:val="footer"/>
    <w:basedOn w:val="Normal"/>
    <w:link w:val="FooterChar"/>
    <w:uiPriority w:val="99"/>
    <w:unhideWhenUsed/>
    <w:rsid w:val="003F5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5AB"/>
  </w:style>
  <w:style w:type="table" w:styleId="TableGrid">
    <w:name w:val="Table Grid"/>
    <w:basedOn w:val="TableNormal"/>
    <w:uiPriority w:val="59"/>
    <w:rsid w:val="00553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5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700"/>
    <w:rPr>
      <w:rFonts w:ascii="Segoe UI" w:hAnsi="Segoe UI" w:cs="Segoe UI"/>
      <w:sz w:val="18"/>
      <w:szCs w:val="18"/>
    </w:rPr>
  </w:style>
  <w:style w:type="character" w:customStyle="1" w:styleId="fontstyle01">
    <w:name w:val="fontstyle01"/>
    <w:basedOn w:val="DefaultParagraphFont"/>
    <w:rsid w:val="00972AE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972AE9"/>
    <w:rPr>
      <w:rFonts w:ascii="TimesNewRomanPS-ItalicMT" w:hAnsi="TimesNewRomanPS-ItalicMT" w:hint="default"/>
      <w:b w:val="0"/>
      <w:bCs w:val="0"/>
      <w:i/>
      <w:iCs/>
      <w:color w:val="000000"/>
      <w:sz w:val="24"/>
      <w:szCs w:val="24"/>
    </w:rPr>
  </w:style>
  <w:style w:type="paragraph" w:styleId="NormalWeb">
    <w:name w:val="Normal (Web)"/>
    <w:basedOn w:val="Normal"/>
    <w:uiPriority w:val="99"/>
    <w:semiHidden/>
    <w:unhideWhenUsed/>
    <w:rsid w:val="00C23E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05AD"/>
    <w:rPr>
      <w:color w:val="0000FF" w:themeColor="hyperlink"/>
      <w:u w:val="single"/>
    </w:rPr>
  </w:style>
  <w:style w:type="character" w:customStyle="1" w:styleId="Heading1Char">
    <w:name w:val="Heading 1 Char"/>
    <w:basedOn w:val="DefaultParagraphFont"/>
    <w:link w:val="Heading1"/>
    <w:uiPriority w:val="9"/>
    <w:rsid w:val="00197158"/>
    <w:rPr>
      <w:rFonts w:ascii="Times New Roman" w:eastAsia="Times New Roman" w:hAnsi="Times New Roman" w:cs="Times New Roman"/>
      <w:color w:val="000000"/>
      <w:kern w:val="36"/>
      <w:sz w:val="134"/>
      <w:szCs w:val="134"/>
    </w:rPr>
  </w:style>
  <w:style w:type="character" w:customStyle="1" w:styleId="Heading2Char">
    <w:name w:val="Heading 2 Char"/>
    <w:basedOn w:val="DefaultParagraphFont"/>
    <w:link w:val="Heading2"/>
    <w:uiPriority w:val="9"/>
    <w:rsid w:val="00197158"/>
    <w:rPr>
      <w:rFonts w:ascii="Times New Roman" w:eastAsia="Times New Roman" w:hAnsi="Times New Roman" w:cs="Times New Roman"/>
      <w:color w:val="000000"/>
      <w:sz w:val="67"/>
      <w:szCs w:val="67"/>
    </w:rPr>
  </w:style>
  <w:style w:type="character" w:customStyle="1" w:styleId="fontstyle31">
    <w:name w:val="fontstyle31"/>
    <w:basedOn w:val="DefaultParagraphFont"/>
    <w:rsid w:val="00351C23"/>
    <w:rPr>
      <w:rFonts w:ascii="Times-Roman" w:hAnsi="Times-Roman" w:hint="default"/>
      <w:b w:val="0"/>
      <w:bCs w:val="0"/>
      <w:i w:val="0"/>
      <w:iCs w:val="0"/>
      <w:color w:val="000000"/>
      <w:sz w:val="14"/>
      <w:szCs w:val="14"/>
    </w:rPr>
  </w:style>
  <w:style w:type="character" w:customStyle="1" w:styleId="fontstyle41">
    <w:name w:val="fontstyle41"/>
    <w:basedOn w:val="DefaultParagraphFont"/>
    <w:rsid w:val="00351C23"/>
    <w:rPr>
      <w:rFonts w:ascii="Symbol" w:hAnsi="Symbol" w:hint="default"/>
      <w:b w:val="0"/>
      <w:bCs w:val="0"/>
      <w:i w:val="0"/>
      <w:iCs w:val="0"/>
      <w:color w:val="000000"/>
      <w:sz w:val="24"/>
      <w:szCs w:val="24"/>
    </w:rPr>
  </w:style>
  <w:style w:type="character" w:customStyle="1" w:styleId="fontstyle51">
    <w:name w:val="fontstyle51"/>
    <w:basedOn w:val="DefaultParagraphFont"/>
    <w:rsid w:val="00351C23"/>
    <w:rPr>
      <w:rFonts w:ascii="TimesNewRomanPS-ItalicMT" w:hAnsi="TimesNewRomanPS-ItalicMT" w:hint="default"/>
      <w:b w:val="0"/>
      <w:bCs w:val="0"/>
      <w:i/>
      <w:iCs/>
      <w:color w:val="000000"/>
      <w:sz w:val="24"/>
      <w:szCs w:val="24"/>
    </w:rPr>
  </w:style>
  <w:style w:type="paragraph" w:customStyle="1" w:styleId="FirstParagraph">
    <w:name w:val="First Paragraph"/>
    <w:basedOn w:val="BodyText"/>
    <w:next w:val="BodyText"/>
    <w:qFormat/>
    <w:rsid w:val="00764BEF"/>
    <w:pPr>
      <w:spacing w:before="180" w:after="180" w:line="240" w:lineRule="auto"/>
    </w:pPr>
    <w:rPr>
      <w:sz w:val="24"/>
      <w:szCs w:val="24"/>
    </w:rPr>
  </w:style>
  <w:style w:type="paragraph" w:styleId="BodyText">
    <w:name w:val="Body Text"/>
    <w:basedOn w:val="Normal"/>
    <w:link w:val="BodyTextChar"/>
    <w:uiPriority w:val="99"/>
    <w:unhideWhenUsed/>
    <w:rsid w:val="00764BEF"/>
    <w:pPr>
      <w:spacing w:after="120"/>
    </w:pPr>
  </w:style>
  <w:style w:type="character" w:customStyle="1" w:styleId="BodyTextChar">
    <w:name w:val="Body Text Char"/>
    <w:basedOn w:val="DefaultParagraphFont"/>
    <w:link w:val="BodyText"/>
    <w:uiPriority w:val="99"/>
    <w:rsid w:val="00764BEF"/>
  </w:style>
  <w:style w:type="paragraph" w:styleId="NoSpacing">
    <w:name w:val="No Spacing"/>
    <w:uiPriority w:val="1"/>
    <w:qFormat/>
    <w:rsid w:val="00C179A3"/>
    <w:pPr>
      <w:spacing w:after="0" w:line="240" w:lineRule="auto"/>
    </w:pPr>
  </w:style>
  <w:style w:type="character" w:styleId="FollowedHyperlink">
    <w:name w:val="FollowedHyperlink"/>
    <w:basedOn w:val="DefaultParagraphFont"/>
    <w:uiPriority w:val="99"/>
    <w:semiHidden/>
    <w:unhideWhenUsed/>
    <w:rsid w:val="003839A7"/>
    <w:rPr>
      <w:color w:val="800080" w:themeColor="followedHyperlink"/>
      <w:u w:val="single"/>
    </w:rPr>
  </w:style>
  <w:style w:type="paragraph" w:styleId="HTMLPreformatted">
    <w:name w:val="HTML Preformatted"/>
    <w:basedOn w:val="Normal"/>
    <w:link w:val="HTMLPreformattedChar"/>
    <w:uiPriority w:val="99"/>
    <w:semiHidden/>
    <w:unhideWhenUsed/>
    <w:rsid w:val="00912A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12A28"/>
    <w:rPr>
      <w:rFonts w:ascii="Consolas" w:hAnsi="Consolas"/>
      <w:sz w:val="20"/>
      <w:szCs w:val="20"/>
    </w:rPr>
  </w:style>
  <w:style w:type="character" w:styleId="UnresolvedMention">
    <w:name w:val="Unresolved Mention"/>
    <w:basedOn w:val="DefaultParagraphFont"/>
    <w:uiPriority w:val="99"/>
    <w:semiHidden/>
    <w:unhideWhenUsed/>
    <w:rsid w:val="008E5FB5"/>
    <w:rPr>
      <w:color w:val="605E5C"/>
      <w:shd w:val="clear" w:color="auto" w:fill="E1DFDD"/>
    </w:rPr>
  </w:style>
  <w:style w:type="paragraph" w:styleId="Revision">
    <w:name w:val="Revision"/>
    <w:hidden/>
    <w:uiPriority w:val="99"/>
    <w:semiHidden/>
    <w:rsid w:val="008B7BD8"/>
    <w:pPr>
      <w:spacing w:after="0" w:line="240" w:lineRule="auto"/>
    </w:pPr>
  </w:style>
  <w:style w:type="paragraph" w:customStyle="1" w:styleId="ReferHead">
    <w:name w:val="Refer Head"/>
    <w:basedOn w:val="Normal"/>
    <w:rsid w:val="002E7A07"/>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8536">
      <w:bodyDiv w:val="1"/>
      <w:marLeft w:val="0"/>
      <w:marRight w:val="0"/>
      <w:marTop w:val="0"/>
      <w:marBottom w:val="0"/>
      <w:divBdr>
        <w:top w:val="none" w:sz="0" w:space="0" w:color="auto"/>
        <w:left w:val="none" w:sz="0" w:space="0" w:color="auto"/>
        <w:bottom w:val="none" w:sz="0" w:space="0" w:color="auto"/>
        <w:right w:val="none" w:sz="0" w:space="0" w:color="auto"/>
      </w:divBdr>
    </w:div>
    <w:div w:id="52318266">
      <w:bodyDiv w:val="1"/>
      <w:marLeft w:val="0"/>
      <w:marRight w:val="0"/>
      <w:marTop w:val="0"/>
      <w:marBottom w:val="0"/>
      <w:divBdr>
        <w:top w:val="none" w:sz="0" w:space="0" w:color="auto"/>
        <w:left w:val="none" w:sz="0" w:space="0" w:color="auto"/>
        <w:bottom w:val="none" w:sz="0" w:space="0" w:color="auto"/>
        <w:right w:val="none" w:sz="0" w:space="0" w:color="auto"/>
      </w:divBdr>
      <w:divsChild>
        <w:div w:id="201677879">
          <w:marLeft w:val="547"/>
          <w:marRight w:val="0"/>
          <w:marTop w:val="154"/>
          <w:marBottom w:val="0"/>
          <w:divBdr>
            <w:top w:val="none" w:sz="0" w:space="0" w:color="auto"/>
            <w:left w:val="none" w:sz="0" w:space="0" w:color="auto"/>
            <w:bottom w:val="none" w:sz="0" w:space="0" w:color="auto"/>
            <w:right w:val="none" w:sz="0" w:space="0" w:color="auto"/>
          </w:divBdr>
        </w:div>
        <w:div w:id="565341027">
          <w:marLeft w:val="547"/>
          <w:marRight w:val="0"/>
          <w:marTop w:val="154"/>
          <w:marBottom w:val="0"/>
          <w:divBdr>
            <w:top w:val="none" w:sz="0" w:space="0" w:color="auto"/>
            <w:left w:val="none" w:sz="0" w:space="0" w:color="auto"/>
            <w:bottom w:val="none" w:sz="0" w:space="0" w:color="auto"/>
            <w:right w:val="none" w:sz="0" w:space="0" w:color="auto"/>
          </w:divBdr>
        </w:div>
        <w:div w:id="945036423">
          <w:marLeft w:val="547"/>
          <w:marRight w:val="0"/>
          <w:marTop w:val="154"/>
          <w:marBottom w:val="0"/>
          <w:divBdr>
            <w:top w:val="none" w:sz="0" w:space="0" w:color="auto"/>
            <w:left w:val="none" w:sz="0" w:space="0" w:color="auto"/>
            <w:bottom w:val="none" w:sz="0" w:space="0" w:color="auto"/>
            <w:right w:val="none" w:sz="0" w:space="0" w:color="auto"/>
          </w:divBdr>
        </w:div>
        <w:div w:id="1359624918">
          <w:marLeft w:val="547"/>
          <w:marRight w:val="0"/>
          <w:marTop w:val="154"/>
          <w:marBottom w:val="0"/>
          <w:divBdr>
            <w:top w:val="none" w:sz="0" w:space="0" w:color="auto"/>
            <w:left w:val="none" w:sz="0" w:space="0" w:color="auto"/>
            <w:bottom w:val="none" w:sz="0" w:space="0" w:color="auto"/>
            <w:right w:val="none" w:sz="0" w:space="0" w:color="auto"/>
          </w:divBdr>
        </w:div>
        <w:div w:id="2132820046">
          <w:marLeft w:val="547"/>
          <w:marRight w:val="0"/>
          <w:marTop w:val="154"/>
          <w:marBottom w:val="0"/>
          <w:divBdr>
            <w:top w:val="none" w:sz="0" w:space="0" w:color="auto"/>
            <w:left w:val="none" w:sz="0" w:space="0" w:color="auto"/>
            <w:bottom w:val="none" w:sz="0" w:space="0" w:color="auto"/>
            <w:right w:val="none" w:sz="0" w:space="0" w:color="auto"/>
          </w:divBdr>
        </w:div>
        <w:div w:id="2142266976">
          <w:marLeft w:val="547"/>
          <w:marRight w:val="0"/>
          <w:marTop w:val="154"/>
          <w:marBottom w:val="0"/>
          <w:divBdr>
            <w:top w:val="none" w:sz="0" w:space="0" w:color="auto"/>
            <w:left w:val="none" w:sz="0" w:space="0" w:color="auto"/>
            <w:bottom w:val="none" w:sz="0" w:space="0" w:color="auto"/>
            <w:right w:val="none" w:sz="0" w:space="0" w:color="auto"/>
          </w:divBdr>
        </w:div>
      </w:divsChild>
    </w:div>
    <w:div w:id="56100265">
      <w:bodyDiv w:val="1"/>
      <w:marLeft w:val="0"/>
      <w:marRight w:val="0"/>
      <w:marTop w:val="0"/>
      <w:marBottom w:val="0"/>
      <w:divBdr>
        <w:top w:val="none" w:sz="0" w:space="0" w:color="auto"/>
        <w:left w:val="none" w:sz="0" w:space="0" w:color="auto"/>
        <w:bottom w:val="none" w:sz="0" w:space="0" w:color="auto"/>
        <w:right w:val="none" w:sz="0" w:space="0" w:color="auto"/>
      </w:divBdr>
    </w:div>
    <w:div w:id="83690508">
      <w:bodyDiv w:val="1"/>
      <w:marLeft w:val="0"/>
      <w:marRight w:val="0"/>
      <w:marTop w:val="0"/>
      <w:marBottom w:val="0"/>
      <w:divBdr>
        <w:top w:val="none" w:sz="0" w:space="0" w:color="auto"/>
        <w:left w:val="none" w:sz="0" w:space="0" w:color="auto"/>
        <w:bottom w:val="none" w:sz="0" w:space="0" w:color="auto"/>
        <w:right w:val="none" w:sz="0" w:space="0" w:color="auto"/>
      </w:divBdr>
    </w:div>
    <w:div w:id="149978889">
      <w:bodyDiv w:val="1"/>
      <w:marLeft w:val="0"/>
      <w:marRight w:val="0"/>
      <w:marTop w:val="0"/>
      <w:marBottom w:val="0"/>
      <w:divBdr>
        <w:top w:val="none" w:sz="0" w:space="0" w:color="auto"/>
        <w:left w:val="none" w:sz="0" w:space="0" w:color="auto"/>
        <w:bottom w:val="none" w:sz="0" w:space="0" w:color="auto"/>
        <w:right w:val="none" w:sz="0" w:space="0" w:color="auto"/>
      </w:divBdr>
      <w:divsChild>
        <w:div w:id="2032608759">
          <w:marLeft w:val="0"/>
          <w:marRight w:val="0"/>
          <w:marTop w:val="0"/>
          <w:marBottom w:val="160"/>
          <w:divBdr>
            <w:top w:val="none" w:sz="0" w:space="0" w:color="auto"/>
            <w:left w:val="none" w:sz="0" w:space="0" w:color="auto"/>
            <w:bottom w:val="none" w:sz="0" w:space="0" w:color="auto"/>
            <w:right w:val="none" w:sz="0" w:space="0" w:color="auto"/>
          </w:divBdr>
        </w:div>
        <w:div w:id="417136781">
          <w:marLeft w:val="0"/>
          <w:marRight w:val="0"/>
          <w:marTop w:val="0"/>
          <w:marBottom w:val="160"/>
          <w:divBdr>
            <w:top w:val="none" w:sz="0" w:space="0" w:color="auto"/>
            <w:left w:val="none" w:sz="0" w:space="0" w:color="auto"/>
            <w:bottom w:val="none" w:sz="0" w:space="0" w:color="auto"/>
            <w:right w:val="none" w:sz="0" w:space="0" w:color="auto"/>
          </w:divBdr>
        </w:div>
        <w:div w:id="682514315">
          <w:marLeft w:val="0"/>
          <w:marRight w:val="0"/>
          <w:marTop w:val="0"/>
          <w:marBottom w:val="160"/>
          <w:divBdr>
            <w:top w:val="none" w:sz="0" w:space="0" w:color="auto"/>
            <w:left w:val="none" w:sz="0" w:space="0" w:color="auto"/>
            <w:bottom w:val="none" w:sz="0" w:space="0" w:color="auto"/>
            <w:right w:val="none" w:sz="0" w:space="0" w:color="auto"/>
          </w:divBdr>
        </w:div>
      </w:divsChild>
    </w:div>
    <w:div w:id="162664940">
      <w:bodyDiv w:val="1"/>
      <w:marLeft w:val="0"/>
      <w:marRight w:val="0"/>
      <w:marTop w:val="0"/>
      <w:marBottom w:val="0"/>
      <w:divBdr>
        <w:top w:val="none" w:sz="0" w:space="0" w:color="auto"/>
        <w:left w:val="none" w:sz="0" w:space="0" w:color="auto"/>
        <w:bottom w:val="none" w:sz="0" w:space="0" w:color="auto"/>
        <w:right w:val="none" w:sz="0" w:space="0" w:color="auto"/>
      </w:divBdr>
    </w:div>
    <w:div w:id="269777373">
      <w:bodyDiv w:val="1"/>
      <w:marLeft w:val="0"/>
      <w:marRight w:val="0"/>
      <w:marTop w:val="0"/>
      <w:marBottom w:val="0"/>
      <w:divBdr>
        <w:top w:val="none" w:sz="0" w:space="0" w:color="auto"/>
        <w:left w:val="none" w:sz="0" w:space="0" w:color="auto"/>
        <w:bottom w:val="none" w:sz="0" w:space="0" w:color="auto"/>
        <w:right w:val="none" w:sz="0" w:space="0" w:color="auto"/>
      </w:divBdr>
    </w:div>
    <w:div w:id="291205884">
      <w:bodyDiv w:val="1"/>
      <w:marLeft w:val="0"/>
      <w:marRight w:val="0"/>
      <w:marTop w:val="0"/>
      <w:marBottom w:val="0"/>
      <w:divBdr>
        <w:top w:val="none" w:sz="0" w:space="0" w:color="auto"/>
        <w:left w:val="none" w:sz="0" w:space="0" w:color="auto"/>
        <w:bottom w:val="none" w:sz="0" w:space="0" w:color="auto"/>
        <w:right w:val="none" w:sz="0" w:space="0" w:color="auto"/>
      </w:divBdr>
    </w:div>
    <w:div w:id="295261798">
      <w:bodyDiv w:val="1"/>
      <w:marLeft w:val="0"/>
      <w:marRight w:val="0"/>
      <w:marTop w:val="0"/>
      <w:marBottom w:val="0"/>
      <w:divBdr>
        <w:top w:val="none" w:sz="0" w:space="0" w:color="auto"/>
        <w:left w:val="none" w:sz="0" w:space="0" w:color="auto"/>
        <w:bottom w:val="none" w:sz="0" w:space="0" w:color="auto"/>
        <w:right w:val="none" w:sz="0" w:space="0" w:color="auto"/>
      </w:divBdr>
    </w:div>
    <w:div w:id="336814394">
      <w:bodyDiv w:val="1"/>
      <w:marLeft w:val="0"/>
      <w:marRight w:val="0"/>
      <w:marTop w:val="0"/>
      <w:marBottom w:val="0"/>
      <w:divBdr>
        <w:top w:val="none" w:sz="0" w:space="0" w:color="auto"/>
        <w:left w:val="none" w:sz="0" w:space="0" w:color="auto"/>
        <w:bottom w:val="none" w:sz="0" w:space="0" w:color="auto"/>
        <w:right w:val="none" w:sz="0" w:space="0" w:color="auto"/>
      </w:divBdr>
      <w:divsChild>
        <w:div w:id="1613899762">
          <w:marLeft w:val="0"/>
          <w:marRight w:val="0"/>
          <w:marTop w:val="0"/>
          <w:marBottom w:val="0"/>
          <w:divBdr>
            <w:top w:val="none" w:sz="0" w:space="0" w:color="auto"/>
            <w:left w:val="none" w:sz="0" w:space="0" w:color="auto"/>
            <w:bottom w:val="none" w:sz="0" w:space="0" w:color="auto"/>
            <w:right w:val="none" w:sz="0" w:space="0" w:color="auto"/>
          </w:divBdr>
          <w:divsChild>
            <w:div w:id="701588222">
              <w:marLeft w:val="0"/>
              <w:marRight w:val="0"/>
              <w:marTop w:val="0"/>
              <w:marBottom w:val="0"/>
              <w:divBdr>
                <w:top w:val="none" w:sz="0" w:space="0" w:color="auto"/>
                <w:left w:val="none" w:sz="0" w:space="0" w:color="auto"/>
                <w:bottom w:val="none" w:sz="0" w:space="0" w:color="auto"/>
                <w:right w:val="none" w:sz="0" w:space="0" w:color="auto"/>
              </w:divBdr>
              <w:divsChild>
                <w:div w:id="388574069">
                  <w:marLeft w:val="0"/>
                  <w:marRight w:val="0"/>
                  <w:marTop w:val="0"/>
                  <w:marBottom w:val="0"/>
                  <w:divBdr>
                    <w:top w:val="none" w:sz="0" w:space="0" w:color="auto"/>
                    <w:left w:val="none" w:sz="0" w:space="0" w:color="auto"/>
                    <w:bottom w:val="none" w:sz="0" w:space="0" w:color="auto"/>
                    <w:right w:val="none" w:sz="0" w:space="0" w:color="auto"/>
                  </w:divBdr>
                  <w:divsChild>
                    <w:div w:id="1193571190">
                      <w:marLeft w:val="0"/>
                      <w:marRight w:val="0"/>
                      <w:marTop w:val="0"/>
                      <w:marBottom w:val="0"/>
                      <w:divBdr>
                        <w:top w:val="none" w:sz="0" w:space="0" w:color="auto"/>
                        <w:left w:val="none" w:sz="0" w:space="0" w:color="auto"/>
                        <w:bottom w:val="none" w:sz="0" w:space="0" w:color="auto"/>
                        <w:right w:val="none" w:sz="0" w:space="0" w:color="auto"/>
                      </w:divBdr>
                      <w:divsChild>
                        <w:div w:id="7833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605861">
      <w:bodyDiv w:val="1"/>
      <w:marLeft w:val="0"/>
      <w:marRight w:val="0"/>
      <w:marTop w:val="0"/>
      <w:marBottom w:val="0"/>
      <w:divBdr>
        <w:top w:val="none" w:sz="0" w:space="0" w:color="auto"/>
        <w:left w:val="none" w:sz="0" w:space="0" w:color="auto"/>
        <w:bottom w:val="none" w:sz="0" w:space="0" w:color="auto"/>
        <w:right w:val="none" w:sz="0" w:space="0" w:color="auto"/>
      </w:divBdr>
    </w:div>
    <w:div w:id="474445273">
      <w:bodyDiv w:val="1"/>
      <w:marLeft w:val="0"/>
      <w:marRight w:val="0"/>
      <w:marTop w:val="0"/>
      <w:marBottom w:val="0"/>
      <w:divBdr>
        <w:top w:val="none" w:sz="0" w:space="0" w:color="auto"/>
        <w:left w:val="none" w:sz="0" w:space="0" w:color="auto"/>
        <w:bottom w:val="none" w:sz="0" w:space="0" w:color="auto"/>
        <w:right w:val="none" w:sz="0" w:space="0" w:color="auto"/>
      </w:divBdr>
    </w:div>
    <w:div w:id="482164578">
      <w:bodyDiv w:val="1"/>
      <w:marLeft w:val="0"/>
      <w:marRight w:val="0"/>
      <w:marTop w:val="0"/>
      <w:marBottom w:val="0"/>
      <w:divBdr>
        <w:top w:val="none" w:sz="0" w:space="0" w:color="auto"/>
        <w:left w:val="none" w:sz="0" w:space="0" w:color="auto"/>
        <w:bottom w:val="none" w:sz="0" w:space="0" w:color="auto"/>
        <w:right w:val="none" w:sz="0" w:space="0" w:color="auto"/>
      </w:divBdr>
    </w:div>
    <w:div w:id="488055420">
      <w:bodyDiv w:val="1"/>
      <w:marLeft w:val="0"/>
      <w:marRight w:val="0"/>
      <w:marTop w:val="0"/>
      <w:marBottom w:val="0"/>
      <w:divBdr>
        <w:top w:val="none" w:sz="0" w:space="0" w:color="auto"/>
        <w:left w:val="none" w:sz="0" w:space="0" w:color="auto"/>
        <w:bottom w:val="none" w:sz="0" w:space="0" w:color="auto"/>
        <w:right w:val="none" w:sz="0" w:space="0" w:color="auto"/>
      </w:divBdr>
    </w:div>
    <w:div w:id="495607367">
      <w:bodyDiv w:val="1"/>
      <w:marLeft w:val="0"/>
      <w:marRight w:val="0"/>
      <w:marTop w:val="0"/>
      <w:marBottom w:val="0"/>
      <w:divBdr>
        <w:top w:val="none" w:sz="0" w:space="0" w:color="auto"/>
        <w:left w:val="none" w:sz="0" w:space="0" w:color="auto"/>
        <w:bottom w:val="none" w:sz="0" w:space="0" w:color="auto"/>
        <w:right w:val="none" w:sz="0" w:space="0" w:color="auto"/>
      </w:divBdr>
    </w:div>
    <w:div w:id="497114878">
      <w:bodyDiv w:val="1"/>
      <w:marLeft w:val="0"/>
      <w:marRight w:val="0"/>
      <w:marTop w:val="0"/>
      <w:marBottom w:val="0"/>
      <w:divBdr>
        <w:top w:val="none" w:sz="0" w:space="0" w:color="auto"/>
        <w:left w:val="none" w:sz="0" w:space="0" w:color="auto"/>
        <w:bottom w:val="none" w:sz="0" w:space="0" w:color="auto"/>
        <w:right w:val="none" w:sz="0" w:space="0" w:color="auto"/>
      </w:divBdr>
    </w:div>
    <w:div w:id="512720225">
      <w:bodyDiv w:val="1"/>
      <w:marLeft w:val="0"/>
      <w:marRight w:val="0"/>
      <w:marTop w:val="0"/>
      <w:marBottom w:val="0"/>
      <w:divBdr>
        <w:top w:val="none" w:sz="0" w:space="0" w:color="auto"/>
        <w:left w:val="none" w:sz="0" w:space="0" w:color="auto"/>
        <w:bottom w:val="none" w:sz="0" w:space="0" w:color="auto"/>
        <w:right w:val="none" w:sz="0" w:space="0" w:color="auto"/>
      </w:divBdr>
    </w:div>
    <w:div w:id="522018270">
      <w:bodyDiv w:val="1"/>
      <w:marLeft w:val="0"/>
      <w:marRight w:val="0"/>
      <w:marTop w:val="0"/>
      <w:marBottom w:val="0"/>
      <w:divBdr>
        <w:top w:val="none" w:sz="0" w:space="0" w:color="auto"/>
        <w:left w:val="none" w:sz="0" w:space="0" w:color="auto"/>
        <w:bottom w:val="none" w:sz="0" w:space="0" w:color="auto"/>
        <w:right w:val="none" w:sz="0" w:space="0" w:color="auto"/>
      </w:divBdr>
    </w:div>
    <w:div w:id="533344064">
      <w:bodyDiv w:val="1"/>
      <w:marLeft w:val="0"/>
      <w:marRight w:val="0"/>
      <w:marTop w:val="0"/>
      <w:marBottom w:val="0"/>
      <w:divBdr>
        <w:top w:val="none" w:sz="0" w:space="0" w:color="auto"/>
        <w:left w:val="none" w:sz="0" w:space="0" w:color="auto"/>
        <w:bottom w:val="none" w:sz="0" w:space="0" w:color="auto"/>
        <w:right w:val="none" w:sz="0" w:space="0" w:color="auto"/>
      </w:divBdr>
    </w:div>
    <w:div w:id="546333158">
      <w:bodyDiv w:val="1"/>
      <w:marLeft w:val="0"/>
      <w:marRight w:val="0"/>
      <w:marTop w:val="0"/>
      <w:marBottom w:val="0"/>
      <w:divBdr>
        <w:top w:val="none" w:sz="0" w:space="0" w:color="auto"/>
        <w:left w:val="none" w:sz="0" w:space="0" w:color="auto"/>
        <w:bottom w:val="none" w:sz="0" w:space="0" w:color="auto"/>
        <w:right w:val="none" w:sz="0" w:space="0" w:color="auto"/>
      </w:divBdr>
    </w:div>
    <w:div w:id="607473724">
      <w:bodyDiv w:val="1"/>
      <w:marLeft w:val="0"/>
      <w:marRight w:val="0"/>
      <w:marTop w:val="0"/>
      <w:marBottom w:val="0"/>
      <w:divBdr>
        <w:top w:val="none" w:sz="0" w:space="0" w:color="auto"/>
        <w:left w:val="none" w:sz="0" w:space="0" w:color="auto"/>
        <w:bottom w:val="none" w:sz="0" w:space="0" w:color="auto"/>
        <w:right w:val="none" w:sz="0" w:space="0" w:color="auto"/>
      </w:divBdr>
    </w:div>
    <w:div w:id="642193803">
      <w:bodyDiv w:val="1"/>
      <w:marLeft w:val="0"/>
      <w:marRight w:val="0"/>
      <w:marTop w:val="0"/>
      <w:marBottom w:val="0"/>
      <w:divBdr>
        <w:top w:val="none" w:sz="0" w:space="0" w:color="auto"/>
        <w:left w:val="none" w:sz="0" w:space="0" w:color="auto"/>
        <w:bottom w:val="none" w:sz="0" w:space="0" w:color="auto"/>
        <w:right w:val="none" w:sz="0" w:space="0" w:color="auto"/>
      </w:divBdr>
      <w:divsChild>
        <w:div w:id="784541853">
          <w:marLeft w:val="0"/>
          <w:marRight w:val="0"/>
          <w:marTop w:val="0"/>
          <w:marBottom w:val="0"/>
          <w:divBdr>
            <w:top w:val="none" w:sz="0" w:space="0" w:color="auto"/>
            <w:left w:val="none" w:sz="0" w:space="0" w:color="auto"/>
            <w:bottom w:val="none" w:sz="0" w:space="0" w:color="auto"/>
            <w:right w:val="none" w:sz="0" w:space="0" w:color="auto"/>
          </w:divBdr>
          <w:divsChild>
            <w:div w:id="513157114">
              <w:marLeft w:val="0"/>
              <w:marRight w:val="0"/>
              <w:marTop w:val="0"/>
              <w:marBottom w:val="0"/>
              <w:divBdr>
                <w:top w:val="none" w:sz="0" w:space="0" w:color="auto"/>
                <w:left w:val="none" w:sz="0" w:space="0" w:color="auto"/>
                <w:bottom w:val="none" w:sz="0" w:space="0" w:color="auto"/>
                <w:right w:val="none" w:sz="0" w:space="0" w:color="auto"/>
              </w:divBdr>
              <w:divsChild>
                <w:div w:id="150492160">
                  <w:marLeft w:val="0"/>
                  <w:marRight w:val="0"/>
                  <w:marTop w:val="0"/>
                  <w:marBottom w:val="0"/>
                  <w:divBdr>
                    <w:top w:val="none" w:sz="0" w:space="0" w:color="auto"/>
                    <w:left w:val="none" w:sz="0" w:space="0" w:color="auto"/>
                    <w:bottom w:val="none" w:sz="0" w:space="0" w:color="auto"/>
                    <w:right w:val="none" w:sz="0" w:space="0" w:color="auto"/>
                  </w:divBdr>
                  <w:divsChild>
                    <w:div w:id="51269591">
                      <w:marLeft w:val="0"/>
                      <w:marRight w:val="0"/>
                      <w:marTop w:val="0"/>
                      <w:marBottom w:val="0"/>
                      <w:divBdr>
                        <w:top w:val="none" w:sz="0" w:space="0" w:color="auto"/>
                        <w:left w:val="none" w:sz="0" w:space="0" w:color="auto"/>
                        <w:bottom w:val="none" w:sz="0" w:space="0" w:color="auto"/>
                        <w:right w:val="none" w:sz="0" w:space="0" w:color="auto"/>
                      </w:divBdr>
                      <w:divsChild>
                        <w:div w:id="468207134">
                          <w:marLeft w:val="0"/>
                          <w:marRight w:val="0"/>
                          <w:marTop w:val="0"/>
                          <w:marBottom w:val="0"/>
                          <w:divBdr>
                            <w:top w:val="none" w:sz="0" w:space="0" w:color="auto"/>
                            <w:left w:val="none" w:sz="0" w:space="0" w:color="auto"/>
                            <w:bottom w:val="none" w:sz="0" w:space="0" w:color="auto"/>
                            <w:right w:val="none" w:sz="0" w:space="0" w:color="auto"/>
                          </w:divBdr>
                          <w:divsChild>
                            <w:div w:id="903755670">
                              <w:marLeft w:val="0"/>
                              <w:marRight w:val="0"/>
                              <w:marTop w:val="0"/>
                              <w:marBottom w:val="0"/>
                              <w:divBdr>
                                <w:top w:val="none" w:sz="0" w:space="0" w:color="auto"/>
                                <w:left w:val="none" w:sz="0" w:space="0" w:color="auto"/>
                                <w:bottom w:val="none" w:sz="0" w:space="0" w:color="auto"/>
                                <w:right w:val="none" w:sz="0" w:space="0" w:color="auto"/>
                              </w:divBdr>
                              <w:divsChild>
                                <w:div w:id="326590115">
                                  <w:marLeft w:val="0"/>
                                  <w:marRight w:val="0"/>
                                  <w:marTop w:val="0"/>
                                  <w:marBottom w:val="0"/>
                                  <w:divBdr>
                                    <w:top w:val="none" w:sz="0" w:space="0" w:color="auto"/>
                                    <w:left w:val="none" w:sz="0" w:space="0" w:color="auto"/>
                                    <w:bottom w:val="none" w:sz="0" w:space="0" w:color="auto"/>
                                    <w:right w:val="none" w:sz="0" w:space="0" w:color="auto"/>
                                  </w:divBdr>
                                  <w:divsChild>
                                    <w:div w:id="10858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52383">
      <w:bodyDiv w:val="1"/>
      <w:marLeft w:val="0"/>
      <w:marRight w:val="0"/>
      <w:marTop w:val="0"/>
      <w:marBottom w:val="0"/>
      <w:divBdr>
        <w:top w:val="none" w:sz="0" w:space="0" w:color="auto"/>
        <w:left w:val="none" w:sz="0" w:space="0" w:color="auto"/>
        <w:bottom w:val="none" w:sz="0" w:space="0" w:color="auto"/>
        <w:right w:val="none" w:sz="0" w:space="0" w:color="auto"/>
      </w:divBdr>
    </w:div>
    <w:div w:id="672536358">
      <w:bodyDiv w:val="1"/>
      <w:marLeft w:val="0"/>
      <w:marRight w:val="0"/>
      <w:marTop w:val="0"/>
      <w:marBottom w:val="0"/>
      <w:divBdr>
        <w:top w:val="none" w:sz="0" w:space="0" w:color="auto"/>
        <w:left w:val="none" w:sz="0" w:space="0" w:color="auto"/>
        <w:bottom w:val="none" w:sz="0" w:space="0" w:color="auto"/>
        <w:right w:val="none" w:sz="0" w:space="0" w:color="auto"/>
      </w:divBdr>
    </w:div>
    <w:div w:id="687174754">
      <w:bodyDiv w:val="1"/>
      <w:marLeft w:val="0"/>
      <w:marRight w:val="0"/>
      <w:marTop w:val="0"/>
      <w:marBottom w:val="0"/>
      <w:divBdr>
        <w:top w:val="none" w:sz="0" w:space="0" w:color="auto"/>
        <w:left w:val="none" w:sz="0" w:space="0" w:color="auto"/>
        <w:bottom w:val="none" w:sz="0" w:space="0" w:color="auto"/>
        <w:right w:val="none" w:sz="0" w:space="0" w:color="auto"/>
      </w:divBdr>
    </w:div>
    <w:div w:id="771434294">
      <w:bodyDiv w:val="1"/>
      <w:marLeft w:val="0"/>
      <w:marRight w:val="0"/>
      <w:marTop w:val="0"/>
      <w:marBottom w:val="0"/>
      <w:divBdr>
        <w:top w:val="none" w:sz="0" w:space="0" w:color="auto"/>
        <w:left w:val="none" w:sz="0" w:space="0" w:color="auto"/>
        <w:bottom w:val="none" w:sz="0" w:space="0" w:color="auto"/>
        <w:right w:val="none" w:sz="0" w:space="0" w:color="auto"/>
      </w:divBdr>
    </w:div>
    <w:div w:id="824979273">
      <w:bodyDiv w:val="1"/>
      <w:marLeft w:val="0"/>
      <w:marRight w:val="0"/>
      <w:marTop w:val="0"/>
      <w:marBottom w:val="0"/>
      <w:divBdr>
        <w:top w:val="none" w:sz="0" w:space="0" w:color="auto"/>
        <w:left w:val="none" w:sz="0" w:space="0" w:color="auto"/>
        <w:bottom w:val="none" w:sz="0" w:space="0" w:color="auto"/>
        <w:right w:val="none" w:sz="0" w:space="0" w:color="auto"/>
      </w:divBdr>
    </w:div>
    <w:div w:id="915867699">
      <w:bodyDiv w:val="1"/>
      <w:marLeft w:val="0"/>
      <w:marRight w:val="0"/>
      <w:marTop w:val="0"/>
      <w:marBottom w:val="0"/>
      <w:divBdr>
        <w:top w:val="none" w:sz="0" w:space="0" w:color="auto"/>
        <w:left w:val="none" w:sz="0" w:space="0" w:color="auto"/>
        <w:bottom w:val="none" w:sz="0" w:space="0" w:color="auto"/>
        <w:right w:val="none" w:sz="0" w:space="0" w:color="auto"/>
      </w:divBdr>
    </w:div>
    <w:div w:id="939532161">
      <w:bodyDiv w:val="1"/>
      <w:marLeft w:val="0"/>
      <w:marRight w:val="0"/>
      <w:marTop w:val="0"/>
      <w:marBottom w:val="0"/>
      <w:divBdr>
        <w:top w:val="none" w:sz="0" w:space="0" w:color="auto"/>
        <w:left w:val="none" w:sz="0" w:space="0" w:color="auto"/>
        <w:bottom w:val="none" w:sz="0" w:space="0" w:color="auto"/>
        <w:right w:val="none" w:sz="0" w:space="0" w:color="auto"/>
      </w:divBdr>
    </w:div>
    <w:div w:id="969094293">
      <w:bodyDiv w:val="1"/>
      <w:marLeft w:val="0"/>
      <w:marRight w:val="0"/>
      <w:marTop w:val="0"/>
      <w:marBottom w:val="0"/>
      <w:divBdr>
        <w:top w:val="none" w:sz="0" w:space="0" w:color="auto"/>
        <w:left w:val="none" w:sz="0" w:space="0" w:color="auto"/>
        <w:bottom w:val="none" w:sz="0" w:space="0" w:color="auto"/>
        <w:right w:val="none" w:sz="0" w:space="0" w:color="auto"/>
      </w:divBdr>
    </w:div>
    <w:div w:id="1009481577">
      <w:bodyDiv w:val="1"/>
      <w:marLeft w:val="0"/>
      <w:marRight w:val="0"/>
      <w:marTop w:val="0"/>
      <w:marBottom w:val="0"/>
      <w:divBdr>
        <w:top w:val="none" w:sz="0" w:space="0" w:color="auto"/>
        <w:left w:val="none" w:sz="0" w:space="0" w:color="auto"/>
        <w:bottom w:val="none" w:sz="0" w:space="0" w:color="auto"/>
        <w:right w:val="none" w:sz="0" w:space="0" w:color="auto"/>
      </w:divBdr>
    </w:div>
    <w:div w:id="1058241016">
      <w:bodyDiv w:val="1"/>
      <w:marLeft w:val="0"/>
      <w:marRight w:val="0"/>
      <w:marTop w:val="0"/>
      <w:marBottom w:val="0"/>
      <w:divBdr>
        <w:top w:val="none" w:sz="0" w:space="0" w:color="auto"/>
        <w:left w:val="none" w:sz="0" w:space="0" w:color="auto"/>
        <w:bottom w:val="none" w:sz="0" w:space="0" w:color="auto"/>
        <w:right w:val="none" w:sz="0" w:space="0" w:color="auto"/>
      </w:divBdr>
      <w:divsChild>
        <w:div w:id="325211357">
          <w:marLeft w:val="576"/>
          <w:marRight w:val="0"/>
          <w:marTop w:val="80"/>
          <w:marBottom w:val="0"/>
          <w:divBdr>
            <w:top w:val="none" w:sz="0" w:space="0" w:color="auto"/>
            <w:left w:val="none" w:sz="0" w:space="0" w:color="auto"/>
            <w:bottom w:val="none" w:sz="0" w:space="0" w:color="auto"/>
            <w:right w:val="none" w:sz="0" w:space="0" w:color="auto"/>
          </w:divBdr>
        </w:div>
        <w:div w:id="1851481617">
          <w:marLeft w:val="576"/>
          <w:marRight w:val="0"/>
          <w:marTop w:val="80"/>
          <w:marBottom w:val="0"/>
          <w:divBdr>
            <w:top w:val="none" w:sz="0" w:space="0" w:color="auto"/>
            <w:left w:val="none" w:sz="0" w:space="0" w:color="auto"/>
            <w:bottom w:val="none" w:sz="0" w:space="0" w:color="auto"/>
            <w:right w:val="none" w:sz="0" w:space="0" w:color="auto"/>
          </w:divBdr>
        </w:div>
      </w:divsChild>
    </w:div>
    <w:div w:id="1066876651">
      <w:bodyDiv w:val="1"/>
      <w:marLeft w:val="0"/>
      <w:marRight w:val="0"/>
      <w:marTop w:val="0"/>
      <w:marBottom w:val="0"/>
      <w:divBdr>
        <w:top w:val="none" w:sz="0" w:space="0" w:color="auto"/>
        <w:left w:val="none" w:sz="0" w:space="0" w:color="auto"/>
        <w:bottom w:val="none" w:sz="0" w:space="0" w:color="auto"/>
        <w:right w:val="none" w:sz="0" w:space="0" w:color="auto"/>
      </w:divBdr>
    </w:div>
    <w:div w:id="1093821801">
      <w:bodyDiv w:val="1"/>
      <w:marLeft w:val="0"/>
      <w:marRight w:val="0"/>
      <w:marTop w:val="0"/>
      <w:marBottom w:val="0"/>
      <w:divBdr>
        <w:top w:val="none" w:sz="0" w:space="0" w:color="auto"/>
        <w:left w:val="none" w:sz="0" w:space="0" w:color="auto"/>
        <w:bottom w:val="none" w:sz="0" w:space="0" w:color="auto"/>
        <w:right w:val="none" w:sz="0" w:space="0" w:color="auto"/>
      </w:divBdr>
    </w:div>
    <w:div w:id="1102191864">
      <w:bodyDiv w:val="1"/>
      <w:marLeft w:val="0"/>
      <w:marRight w:val="0"/>
      <w:marTop w:val="0"/>
      <w:marBottom w:val="0"/>
      <w:divBdr>
        <w:top w:val="none" w:sz="0" w:space="0" w:color="auto"/>
        <w:left w:val="none" w:sz="0" w:space="0" w:color="auto"/>
        <w:bottom w:val="none" w:sz="0" w:space="0" w:color="auto"/>
        <w:right w:val="none" w:sz="0" w:space="0" w:color="auto"/>
      </w:divBdr>
    </w:div>
    <w:div w:id="1215505396">
      <w:bodyDiv w:val="1"/>
      <w:marLeft w:val="0"/>
      <w:marRight w:val="0"/>
      <w:marTop w:val="0"/>
      <w:marBottom w:val="0"/>
      <w:divBdr>
        <w:top w:val="none" w:sz="0" w:space="0" w:color="auto"/>
        <w:left w:val="none" w:sz="0" w:space="0" w:color="auto"/>
        <w:bottom w:val="none" w:sz="0" w:space="0" w:color="auto"/>
        <w:right w:val="none" w:sz="0" w:space="0" w:color="auto"/>
      </w:divBdr>
    </w:div>
    <w:div w:id="1246114636">
      <w:bodyDiv w:val="1"/>
      <w:marLeft w:val="0"/>
      <w:marRight w:val="0"/>
      <w:marTop w:val="0"/>
      <w:marBottom w:val="0"/>
      <w:divBdr>
        <w:top w:val="none" w:sz="0" w:space="0" w:color="auto"/>
        <w:left w:val="none" w:sz="0" w:space="0" w:color="auto"/>
        <w:bottom w:val="none" w:sz="0" w:space="0" w:color="auto"/>
        <w:right w:val="none" w:sz="0" w:space="0" w:color="auto"/>
      </w:divBdr>
    </w:div>
    <w:div w:id="1279726144">
      <w:bodyDiv w:val="1"/>
      <w:marLeft w:val="0"/>
      <w:marRight w:val="0"/>
      <w:marTop w:val="0"/>
      <w:marBottom w:val="0"/>
      <w:divBdr>
        <w:top w:val="none" w:sz="0" w:space="0" w:color="auto"/>
        <w:left w:val="none" w:sz="0" w:space="0" w:color="auto"/>
        <w:bottom w:val="none" w:sz="0" w:space="0" w:color="auto"/>
        <w:right w:val="none" w:sz="0" w:space="0" w:color="auto"/>
      </w:divBdr>
    </w:div>
    <w:div w:id="1289970871">
      <w:bodyDiv w:val="1"/>
      <w:marLeft w:val="0"/>
      <w:marRight w:val="0"/>
      <w:marTop w:val="0"/>
      <w:marBottom w:val="0"/>
      <w:divBdr>
        <w:top w:val="none" w:sz="0" w:space="0" w:color="auto"/>
        <w:left w:val="none" w:sz="0" w:space="0" w:color="auto"/>
        <w:bottom w:val="none" w:sz="0" w:space="0" w:color="auto"/>
        <w:right w:val="none" w:sz="0" w:space="0" w:color="auto"/>
      </w:divBdr>
    </w:div>
    <w:div w:id="1315335586">
      <w:bodyDiv w:val="1"/>
      <w:marLeft w:val="0"/>
      <w:marRight w:val="0"/>
      <w:marTop w:val="0"/>
      <w:marBottom w:val="0"/>
      <w:divBdr>
        <w:top w:val="none" w:sz="0" w:space="0" w:color="auto"/>
        <w:left w:val="none" w:sz="0" w:space="0" w:color="auto"/>
        <w:bottom w:val="none" w:sz="0" w:space="0" w:color="auto"/>
        <w:right w:val="none" w:sz="0" w:space="0" w:color="auto"/>
      </w:divBdr>
    </w:div>
    <w:div w:id="1323855545">
      <w:bodyDiv w:val="1"/>
      <w:marLeft w:val="0"/>
      <w:marRight w:val="0"/>
      <w:marTop w:val="0"/>
      <w:marBottom w:val="0"/>
      <w:divBdr>
        <w:top w:val="none" w:sz="0" w:space="0" w:color="auto"/>
        <w:left w:val="none" w:sz="0" w:space="0" w:color="auto"/>
        <w:bottom w:val="none" w:sz="0" w:space="0" w:color="auto"/>
        <w:right w:val="none" w:sz="0" w:space="0" w:color="auto"/>
      </w:divBdr>
    </w:div>
    <w:div w:id="1352759015">
      <w:bodyDiv w:val="1"/>
      <w:marLeft w:val="0"/>
      <w:marRight w:val="0"/>
      <w:marTop w:val="0"/>
      <w:marBottom w:val="0"/>
      <w:divBdr>
        <w:top w:val="none" w:sz="0" w:space="0" w:color="auto"/>
        <w:left w:val="none" w:sz="0" w:space="0" w:color="auto"/>
        <w:bottom w:val="none" w:sz="0" w:space="0" w:color="auto"/>
        <w:right w:val="none" w:sz="0" w:space="0" w:color="auto"/>
      </w:divBdr>
    </w:div>
    <w:div w:id="1395664925">
      <w:bodyDiv w:val="1"/>
      <w:marLeft w:val="0"/>
      <w:marRight w:val="0"/>
      <w:marTop w:val="0"/>
      <w:marBottom w:val="0"/>
      <w:divBdr>
        <w:top w:val="none" w:sz="0" w:space="0" w:color="auto"/>
        <w:left w:val="none" w:sz="0" w:space="0" w:color="auto"/>
        <w:bottom w:val="none" w:sz="0" w:space="0" w:color="auto"/>
        <w:right w:val="none" w:sz="0" w:space="0" w:color="auto"/>
      </w:divBdr>
    </w:div>
    <w:div w:id="1413697849">
      <w:bodyDiv w:val="1"/>
      <w:marLeft w:val="0"/>
      <w:marRight w:val="0"/>
      <w:marTop w:val="0"/>
      <w:marBottom w:val="0"/>
      <w:divBdr>
        <w:top w:val="none" w:sz="0" w:space="0" w:color="auto"/>
        <w:left w:val="none" w:sz="0" w:space="0" w:color="auto"/>
        <w:bottom w:val="none" w:sz="0" w:space="0" w:color="auto"/>
        <w:right w:val="none" w:sz="0" w:space="0" w:color="auto"/>
      </w:divBdr>
    </w:div>
    <w:div w:id="1470130364">
      <w:bodyDiv w:val="1"/>
      <w:marLeft w:val="0"/>
      <w:marRight w:val="0"/>
      <w:marTop w:val="0"/>
      <w:marBottom w:val="0"/>
      <w:divBdr>
        <w:top w:val="none" w:sz="0" w:space="0" w:color="auto"/>
        <w:left w:val="none" w:sz="0" w:space="0" w:color="auto"/>
        <w:bottom w:val="none" w:sz="0" w:space="0" w:color="auto"/>
        <w:right w:val="none" w:sz="0" w:space="0" w:color="auto"/>
      </w:divBdr>
    </w:div>
    <w:div w:id="1501122174">
      <w:bodyDiv w:val="1"/>
      <w:marLeft w:val="0"/>
      <w:marRight w:val="0"/>
      <w:marTop w:val="0"/>
      <w:marBottom w:val="0"/>
      <w:divBdr>
        <w:top w:val="none" w:sz="0" w:space="0" w:color="auto"/>
        <w:left w:val="none" w:sz="0" w:space="0" w:color="auto"/>
        <w:bottom w:val="none" w:sz="0" w:space="0" w:color="auto"/>
        <w:right w:val="none" w:sz="0" w:space="0" w:color="auto"/>
      </w:divBdr>
      <w:divsChild>
        <w:div w:id="691880332">
          <w:marLeft w:val="547"/>
          <w:marRight w:val="0"/>
          <w:marTop w:val="96"/>
          <w:marBottom w:val="0"/>
          <w:divBdr>
            <w:top w:val="none" w:sz="0" w:space="0" w:color="auto"/>
            <w:left w:val="none" w:sz="0" w:space="0" w:color="auto"/>
            <w:bottom w:val="none" w:sz="0" w:space="0" w:color="auto"/>
            <w:right w:val="none" w:sz="0" w:space="0" w:color="auto"/>
          </w:divBdr>
        </w:div>
        <w:div w:id="1260679318">
          <w:marLeft w:val="547"/>
          <w:marRight w:val="0"/>
          <w:marTop w:val="96"/>
          <w:marBottom w:val="0"/>
          <w:divBdr>
            <w:top w:val="none" w:sz="0" w:space="0" w:color="auto"/>
            <w:left w:val="none" w:sz="0" w:space="0" w:color="auto"/>
            <w:bottom w:val="none" w:sz="0" w:space="0" w:color="auto"/>
            <w:right w:val="none" w:sz="0" w:space="0" w:color="auto"/>
          </w:divBdr>
        </w:div>
        <w:div w:id="1403062111">
          <w:marLeft w:val="547"/>
          <w:marRight w:val="0"/>
          <w:marTop w:val="96"/>
          <w:marBottom w:val="0"/>
          <w:divBdr>
            <w:top w:val="none" w:sz="0" w:space="0" w:color="auto"/>
            <w:left w:val="none" w:sz="0" w:space="0" w:color="auto"/>
            <w:bottom w:val="none" w:sz="0" w:space="0" w:color="auto"/>
            <w:right w:val="none" w:sz="0" w:space="0" w:color="auto"/>
          </w:divBdr>
        </w:div>
      </w:divsChild>
    </w:div>
    <w:div w:id="1509639121">
      <w:bodyDiv w:val="1"/>
      <w:marLeft w:val="0"/>
      <w:marRight w:val="0"/>
      <w:marTop w:val="0"/>
      <w:marBottom w:val="0"/>
      <w:divBdr>
        <w:top w:val="none" w:sz="0" w:space="0" w:color="auto"/>
        <w:left w:val="none" w:sz="0" w:space="0" w:color="auto"/>
        <w:bottom w:val="none" w:sz="0" w:space="0" w:color="auto"/>
        <w:right w:val="none" w:sz="0" w:space="0" w:color="auto"/>
      </w:divBdr>
    </w:div>
    <w:div w:id="1535541187">
      <w:bodyDiv w:val="1"/>
      <w:marLeft w:val="0"/>
      <w:marRight w:val="0"/>
      <w:marTop w:val="0"/>
      <w:marBottom w:val="0"/>
      <w:divBdr>
        <w:top w:val="none" w:sz="0" w:space="0" w:color="auto"/>
        <w:left w:val="none" w:sz="0" w:space="0" w:color="auto"/>
        <w:bottom w:val="none" w:sz="0" w:space="0" w:color="auto"/>
        <w:right w:val="none" w:sz="0" w:space="0" w:color="auto"/>
      </w:divBdr>
    </w:div>
    <w:div w:id="1545633694">
      <w:bodyDiv w:val="1"/>
      <w:marLeft w:val="0"/>
      <w:marRight w:val="0"/>
      <w:marTop w:val="0"/>
      <w:marBottom w:val="0"/>
      <w:divBdr>
        <w:top w:val="none" w:sz="0" w:space="0" w:color="auto"/>
        <w:left w:val="none" w:sz="0" w:space="0" w:color="auto"/>
        <w:bottom w:val="none" w:sz="0" w:space="0" w:color="auto"/>
        <w:right w:val="none" w:sz="0" w:space="0" w:color="auto"/>
      </w:divBdr>
    </w:div>
    <w:div w:id="1558206499">
      <w:bodyDiv w:val="1"/>
      <w:marLeft w:val="0"/>
      <w:marRight w:val="0"/>
      <w:marTop w:val="0"/>
      <w:marBottom w:val="0"/>
      <w:divBdr>
        <w:top w:val="none" w:sz="0" w:space="0" w:color="auto"/>
        <w:left w:val="none" w:sz="0" w:space="0" w:color="auto"/>
        <w:bottom w:val="none" w:sz="0" w:space="0" w:color="auto"/>
        <w:right w:val="none" w:sz="0" w:space="0" w:color="auto"/>
      </w:divBdr>
    </w:div>
    <w:div w:id="1575315353">
      <w:bodyDiv w:val="1"/>
      <w:marLeft w:val="0"/>
      <w:marRight w:val="0"/>
      <w:marTop w:val="0"/>
      <w:marBottom w:val="0"/>
      <w:divBdr>
        <w:top w:val="none" w:sz="0" w:space="0" w:color="auto"/>
        <w:left w:val="none" w:sz="0" w:space="0" w:color="auto"/>
        <w:bottom w:val="none" w:sz="0" w:space="0" w:color="auto"/>
        <w:right w:val="none" w:sz="0" w:space="0" w:color="auto"/>
      </w:divBdr>
    </w:div>
    <w:div w:id="1635987184">
      <w:bodyDiv w:val="1"/>
      <w:marLeft w:val="0"/>
      <w:marRight w:val="0"/>
      <w:marTop w:val="0"/>
      <w:marBottom w:val="0"/>
      <w:divBdr>
        <w:top w:val="none" w:sz="0" w:space="0" w:color="auto"/>
        <w:left w:val="none" w:sz="0" w:space="0" w:color="auto"/>
        <w:bottom w:val="none" w:sz="0" w:space="0" w:color="auto"/>
        <w:right w:val="none" w:sz="0" w:space="0" w:color="auto"/>
      </w:divBdr>
    </w:div>
    <w:div w:id="1746998850">
      <w:bodyDiv w:val="1"/>
      <w:marLeft w:val="0"/>
      <w:marRight w:val="0"/>
      <w:marTop w:val="0"/>
      <w:marBottom w:val="0"/>
      <w:divBdr>
        <w:top w:val="none" w:sz="0" w:space="0" w:color="auto"/>
        <w:left w:val="none" w:sz="0" w:space="0" w:color="auto"/>
        <w:bottom w:val="none" w:sz="0" w:space="0" w:color="auto"/>
        <w:right w:val="none" w:sz="0" w:space="0" w:color="auto"/>
      </w:divBdr>
    </w:div>
    <w:div w:id="1787845736">
      <w:bodyDiv w:val="1"/>
      <w:marLeft w:val="0"/>
      <w:marRight w:val="0"/>
      <w:marTop w:val="0"/>
      <w:marBottom w:val="0"/>
      <w:divBdr>
        <w:top w:val="none" w:sz="0" w:space="0" w:color="auto"/>
        <w:left w:val="none" w:sz="0" w:space="0" w:color="auto"/>
        <w:bottom w:val="none" w:sz="0" w:space="0" w:color="auto"/>
        <w:right w:val="none" w:sz="0" w:space="0" w:color="auto"/>
      </w:divBdr>
    </w:div>
    <w:div w:id="1796293892">
      <w:bodyDiv w:val="1"/>
      <w:marLeft w:val="0"/>
      <w:marRight w:val="0"/>
      <w:marTop w:val="0"/>
      <w:marBottom w:val="0"/>
      <w:divBdr>
        <w:top w:val="none" w:sz="0" w:space="0" w:color="auto"/>
        <w:left w:val="none" w:sz="0" w:space="0" w:color="auto"/>
        <w:bottom w:val="none" w:sz="0" w:space="0" w:color="auto"/>
        <w:right w:val="none" w:sz="0" w:space="0" w:color="auto"/>
      </w:divBdr>
    </w:div>
    <w:div w:id="1824469992">
      <w:bodyDiv w:val="1"/>
      <w:marLeft w:val="0"/>
      <w:marRight w:val="0"/>
      <w:marTop w:val="0"/>
      <w:marBottom w:val="0"/>
      <w:divBdr>
        <w:top w:val="none" w:sz="0" w:space="0" w:color="auto"/>
        <w:left w:val="none" w:sz="0" w:space="0" w:color="auto"/>
        <w:bottom w:val="none" w:sz="0" w:space="0" w:color="auto"/>
        <w:right w:val="none" w:sz="0" w:space="0" w:color="auto"/>
      </w:divBdr>
      <w:divsChild>
        <w:div w:id="289943629">
          <w:marLeft w:val="576"/>
          <w:marRight w:val="0"/>
          <w:marTop w:val="80"/>
          <w:marBottom w:val="0"/>
          <w:divBdr>
            <w:top w:val="none" w:sz="0" w:space="0" w:color="auto"/>
            <w:left w:val="none" w:sz="0" w:space="0" w:color="auto"/>
            <w:bottom w:val="none" w:sz="0" w:space="0" w:color="auto"/>
            <w:right w:val="none" w:sz="0" w:space="0" w:color="auto"/>
          </w:divBdr>
        </w:div>
        <w:div w:id="473182761">
          <w:marLeft w:val="576"/>
          <w:marRight w:val="0"/>
          <w:marTop w:val="80"/>
          <w:marBottom w:val="0"/>
          <w:divBdr>
            <w:top w:val="none" w:sz="0" w:space="0" w:color="auto"/>
            <w:left w:val="none" w:sz="0" w:space="0" w:color="auto"/>
            <w:bottom w:val="none" w:sz="0" w:space="0" w:color="auto"/>
            <w:right w:val="none" w:sz="0" w:space="0" w:color="auto"/>
          </w:divBdr>
        </w:div>
      </w:divsChild>
    </w:div>
    <w:div w:id="1833059868">
      <w:bodyDiv w:val="1"/>
      <w:marLeft w:val="0"/>
      <w:marRight w:val="0"/>
      <w:marTop w:val="0"/>
      <w:marBottom w:val="0"/>
      <w:divBdr>
        <w:top w:val="none" w:sz="0" w:space="0" w:color="auto"/>
        <w:left w:val="none" w:sz="0" w:space="0" w:color="auto"/>
        <w:bottom w:val="none" w:sz="0" w:space="0" w:color="auto"/>
        <w:right w:val="none" w:sz="0" w:space="0" w:color="auto"/>
      </w:divBdr>
    </w:div>
    <w:div w:id="1850875402">
      <w:bodyDiv w:val="1"/>
      <w:marLeft w:val="0"/>
      <w:marRight w:val="0"/>
      <w:marTop w:val="0"/>
      <w:marBottom w:val="0"/>
      <w:divBdr>
        <w:top w:val="none" w:sz="0" w:space="0" w:color="auto"/>
        <w:left w:val="none" w:sz="0" w:space="0" w:color="auto"/>
        <w:bottom w:val="none" w:sz="0" w:space="0" w:color="auto"/>
        <w:right w:val="none" w:sz="0" w:space="0" w:color="auto"/>
      </w:divBdr>
    </w:div>
    <w:div w:id="1864519123">
      <w:bodyDiv w:val="1"/>
      <w:marLeft w:val="0"/>
      <w:marRight w:val="0"/>
      <w:marTop w:val="0"/>
      <w:marBottom w:val="0"/>
      <w:divBdr>
        <w:top w:val="none" w:sz="0" w:space="0" w:color="auto"/>
        <w:left w:val="none" w:sz="0" w:space="0" w:color="auto"/>
        <w:bottom w:val="none" w:sz="0" w:space="0" w:color="auto"/>
        <w:right w:val="none" w:sz="0" w:space="0" w:color="auto"/>
      </w:divBdr>
    </w:div>
    <w:div w:id="1916814169">
      <w:bodyDiv w:val="1"/>
      <w:marLeft w:val="0"/>
      <w:marRight w:val="0"/>
      <w:marTop w:val="0"/>
      <w:marBottom w:val="0"/>
      <w:divBdr>
        <w:top w:val="none" w:sz="0" w:space="0" w:color="auto"/>
        <w:left w:val="none" w:sz="0" w:space="0" w:color="auto"/>
        <w:bottom w:val="none" w:sz="0" w:space="0" w:color="auto"/>
        <w:right w:val="none" w:sz="0" w:space="0" w:color="auto"/>
      </w:divBdr>
      <w:divsChild>
        <w:div w:id="247496363">
          <w:marLeft w:val="0"/>
          <w:marRight w:val="0"/>
          <w:marTop w:val="0"/>
          <w:marBottom w:val="160"/>
          <w:divBdr>
            <w:top w:val="none" w:sz="0" w:space="0" w:color="auto"/>
            <w:left w:val="none" w:sz="0" w:space="0" w:color="auto"/>
            <w:bottom w:val="none" w:sz="0" w:space="0" w:color="auto"/>
            <w:right w:val="none" w:sz="0" w:space="0" w:color="auto"/>
          </w:divBdr>
        </w:div>
        <w:div w:id="365252919">
          <w:marLeft w:val="0"/>
          <w:marRight w:val="0"/>
          <w:marTop w:val="0"/>
          <w:marBottom w:val="160"/>
          <w:divBdr>
            <w:top w:val="none" w:sz="0" w:space="0" w:color="auto"/>
            <w:left w:val="none" w:sz="0" w:space="0" w:color="auto"/>
            <w:bottom w:val="none" w:sz="0" w:space="0" w:color="auto"/>
            <w:right w:val="none" w:sz="0" w:space="0" w:color="auto"/>
          </w:divBdr>
        </w:div>
        <w:div w:id="1006397217">
          <w:marLeft w:val="0"/>
          <w:marRight w:val="0"/>
          <w:marTop w:val="0"/>
          <w:marBottom w:val="160"/>
          <w:divBdr>
            <w:top w:val="none" w:sz="0" w:space="0" w:color="auto"/>
            <w:left w:val="none" w:sz="0" w:space="0" w:color="auto"/>
            <w:bottom w:val="none" w:sz="0" w:space="0" w:color="auto"/>
            <w:right w:val="none" w:sz="0" w:space="0" w:color="auto"/>
          </w:divBdr>
        </w:div>
      </w:divsChild>
    </w:div>
    <w:div w:id="1920863095">
      <w:bodyDiv w:val="1"/>
      <w:marLeft w:val="0"/>
      <w:marRight w:val="0"/>
      <w:marTop w:val="0"/>
      <w:marBottom w:val="0"/>
      <w:divBdr>
        <w:top w:val="none" w:sz="0" w:space="0" w:color="auto"/>
        <w:left w:val="none" w:sz="0" w:space="0" w:color="auto"/>
        <w:bottom w:val="none" w:sz="0" w:space="0" w:color="auto"/>
        <w:right w:val="none" w:sz="0" w:space="0" w:color="auto"/>
      </w:divBdr>
    </w:div>
    <w:div w:id="1937519282">
      <w:bodyDiv w:val="1"/>
      <w:marLeft w:val="0"/>
      <w:marRight w:val="0"/>
      <w:marTop w:val="0"/>
      <w:marBottom w:val="0"/>
      <w:divBdr>
        <w:top w:val="none" w:sz="0" w:space="0" w:color="auto"/>
        <w:left w:val="none" w:sz="0" w:space="0" w:color="auto"/>
        <w:bottom w:val="none" w:sz="0" w:space="0" w:color="auto"/>
        <w:right w:val="none" w:sz="0" w:space="0" w:color="auto"/>
      </w:divBdr>
    </w:div>
    <w:div w:id="1941863898">
      <w:bodyDiv w:val="1"/>
      <w:marLeft w:val="0"/>
      <w:marRight w:val="0"/>
      <w:marTop w:val="0"/>
      <w:marBottom w:val="0"/>
      <w:divBdr>
        <w:top w:val="none" w:sz="0" w:space="0" w:color="auto"/>
        <w:left w:val="none" w:sz="0" w:space="0" w:color="auto"/>
        <w:bottom w:val="none" w:sz="0" w:space="0" w:color="auto"/>
        <w:right w:val="none" w:sz="0" w:space="0" w:color="auto"/>
      </w:divBdr>
    </w:div>
    <w:div w:id="1952935527">
      <w:bodyDiv w:val="1"/>
      <w:marLeft w:val="0"/>
      <w:marRight w:val="0"/>
      <w:marTop w:val="0"/>
      <w:marBottom w:val="0"/>
      <w:divBdr>
        <w:top w:val="none" w:sz="0" w:space="0" w:color="auto"/>
        <w:left w:val="none" w:sz="0" w:space="0" w:color="auto"/>
        <w:bottom w:val="none" w:sz="0" w:space="0" w:color="auto"/>
        <w:right w:val="none" w:sz="0" w:space="0" w:color="auto"/>
      </w:divBdr>
    </w:div>
    <w:div w:id="1982228664">
      <w:bodyDiv w:val="1"/>
      <w:marLeft w:val="0"/>
      <w:marRight w:val="0"/>
      <w:marTop w:val="0"/>
      <w:marBottom w:val="0"/>
      <w:divBdr>
        <w:top w:val="none" w:sz="0" w:space="0" w:color="auto"/>
        <w:left w:val="none" w:sz="0" w:space="0" w:color="auto"/>
        <w:bottom w:val="none" w:sz="0" w:space="0" w:color="auto"/>
        <w:right w:val="none" w:sz="0" w:space="0" w:color="auto"/>
      </w:divBdr>
    </w:div>
    <w:div w:id="2011175847">
      <w:bodyDiv w:val="1"/>
      <w:marLeft w:val="0"/>
      <w:marRight w:val="0"/>
      <w:marTop w:val="0"/>
      <w:marBottom w:val="0"/>
      <w:divBdr>
        <w:top w:val="none" w:sz="0" w:space="0" w:color="auto"/>
        <w:left w:val="none" w:sz="0" w:space="0" w:color="auto"/>
        <w:bottom w:val="none" w:sz="0" w:space="0" w:color="auto"/>
        <w:right w:val="none" w:sz="0" w:space="0" w:color="auto"/>
      </w:divBdr>
    </w:div>
    <w:div w:id="2036886284">
      <w:bodyDiv w:val="1"/>
      <w:marLeft w:val="0"/>
      <w:marRight w:val="0"/>
      <w:marTop w:val="0"/>
      <w:marBottom w:val="0"/>
      <w:divBdr>
        <w:top w:val="none" w:sz="0" w:space="0" w:color="auto"/>
        <w:left w:val="none" w:sz="0" w:space="0" w:color="auto"/>
        <w:bottom w:val="none" w:sz="0" w:space="0" w:color="auto"/>
        <w:right w:val="none" w:sz="0" w:space="0" w:color="auto"/>
      </w:divBdr>
      <w:divsChild>
        <w:div w:id="1448233942">
          <w:marLeft w:val="0"/>
          <w:marRight w:val="0"/>
          <w:marTop w:val="0"/>
          <w:marBottom w:val="0"/>
          <w:divBdr>
            <w:top w:val="none" w:sz="0" w:space="0" w:color="auto"/>
            <w:left w:val="none" w:sz="0" w:space="0" w:color="auto"/>
            <w:bottom w:val="none" w:sz="0" w:space="0" w:color="auto"/>
            <w:right w:val="none" w:sz="0" w:space="0" w:color="auto"/>
          </w:divBdr>
          <w:divsChild>
            <w:div w:id="929580546">
              <w:marLeft w:val="0"/>
              <w:marRight w:val="0"/>
              <w:marTop w:val="0"/>
              <w:marBottom w:val="0"/>
              <w:divBdr>
                <w:top w:val="none" w:sz="0" w:space="0" w:color="auto"/>
                <w:left w:val="none" w:sz="0" w:space="0" w:color="auto"/>
                <w:bottom w:val="none" w:sz="0" w:space="0" w:color="auto"/>
                <w:right w:val="none" w:sz="0" w:space="0" w:color="auto"/>
              </w:divBdr>
              <w:divsChild>
                <w:div w:id="1967463374">
                  <w:marLeft w:val="0"/>
                  <w:marRight w:val="0"/>
                  <w:marTop w:val="0"/>
                  <w:marBottom w:val="0"/>
                  <w:divBdr>
                    <w:top w:val="none" w:sz="0" w:space="0" w:color="auto"/>
                    <w:left w:val="none" w:sz="0" w:space="0" w:color="auto"/>
                    <w:bottom w:val="none" w:sz="0" w:space="0" w:color="auto"/>
                    <w:right w:val="none" w:sz="0" w:space="0" w:color="auto"/>
                  </w:divBdr>
                  <w:divsChild>
                    <w:div w:id="879586141">
                      <w:marLeft w:val="0"/>
                      <w:marRight w:val="0"/>
                      <w:marTop w:val="0"/>
                      <w:marBottom w:val="0"/>
                      <w:divBdr>
                        <w:top w:val="none" w:sz="0" w:space="0" w:color="auto"/>
                        <w:left w:val="none" w:sz="0" w:space="0" w:color="auto"/>
                        <w:bottom w:val="none" w:sz="0" w:space="0" w:color="auto"/>
                        <w:right w:val="none" w:sz="0" w:space="0" w:color="auto"/>
                      </w:divBdr>
                      <w:divsChild>
                        <w:div w:id="21384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471806">
      <w:bodyDiv w:val="1"/>
      <w:marLeft w:val="0"/>
      <w:marRight w:val="0"/>
      <w:marTop w:val="0"/>
      <w:marBottom w:val="0"/>
      <w:divBdr>
        <w:top w:val="none" w:sz="0" w:space="0" w:color="auto"/>
        <w:left w:val="none" w:sz="0" w:space="0" w:color="auto"/>
        <w:bottom w:val="none" w:sz="0" w:space="0" w:color="auto"/>
        <w:right w:val="none" w:sz="0" w:space="0" w:color="auto"/>
      </w:divBdr>
      <w:divsChild>
        <w:div w:id="232087158">
          <w:marLeft w:val="547"/>
          <w:marRight w:val="0"/>
          <w:marTop w:val="96"/>
          <w:marBottom w:val="0"/>
          <w:divBdr>
            <w:top w:val="none" w:sz="0" w:space="0" w:color="auto"/>
            <w:left w:val="none" w:sz="0" w:space="0" w:color="auto"/>
            <w:bottom w:val="none" w:sz="0" w:space="0" w:color="auto"/>
            <w:right w:val="none" w:sz="0" w:space="0" w:color="auto"/>
          </w:divBdr>
        </w:div>
        <w:div w:id="938873216">
          <w:marLeft w:val="547"/>
          <w:marRight w:val="0"/>
          <w:marTop w:val="96"/>
          <w:marBottom w:val="0"/>
          <w:divBdr>
            <w:top w:val="none" w:sz="0" w:space="0" w:color="auto"/>
            <w:left w:val="none" w:sz="0" w:space="0" w:color="auto"/>
            <w:bottom w:val="none" w:sz="0" w:space="0" w:color="auto"/>
            <w:right w:val="none" w:sz="0" w:space="0" w:color="auto"/>
          </w:divBdr>
        </w:div>
        <w:div w:id="1992901781">
          <w:marLeft w:val="547"/>
          <w:marRight w:val="0"/>
          <w:marTop w:val="96"/>
          <w:marBottom w:val="0"/>
          <w:divBdr>
            <w:top w:val="none" w:sz="0" w:space="0" w:color="auto"/>
            <w:left w:val="none" w:sz="0" w:space="0" w:color="auto"/>
            <w:bottom w:val="none" w:sz="0" w:space="0" w:color="auto"/>
            <w:right w:val="none" w:sz="0" w:space="0" w:color="auto"/>
          </w:divBdr>
        </w:div>
      </w:divsChild>
    </w:div>
    <w:div w:id="208248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11/1467-9639.00033" TargetMode="External"/><Relationship Id="rId18" Type="http://schemas.openxmlformats.org/officeDocument/2006/relationships/hyperlink" Target="https://eric.ed.gov/?id=EJ86832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80/10691898.2005.11910562" TargetMode="External"/><Relationship Id="rId7" Type="http://schemas.openxmlformats.org/officeDocument/2006/relationships/endnotes" Target="endnotes.xml"/><Relationship Id="rId12" Type="http://schemas.openxmlformats.org/officeDocument/2006/relationships/hyperlink" Target="https://www.tandfonline.com/doi/full/10.1080/10691898.2020.1720551" TargetMode="External"/><Relationship Id="rId17" Type="http://schemas.openxmlformats.org/officeDocument/2006/relationships/hyperlink" Target="https://doi.org/10.5951/MT.103.1.003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ric.ed.gov/?id=EJ718121" TargetMode="External"/><Relationship Id="rId20" Type="http://schemas.openxmlformats.org/officeDocument/2006/relationships/hyperlink" Target="https://doi.org/10.1080/10691898.2014.1188971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070/T511000026"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80/10691898.2015.11889738"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bls.gov/tus/dictionaries/wbmintcodebk21.pdf" TargetMode="External"/><Relationship Id="rId19" Type="http://schemas.openxmlformats.org/officeDocument/2006/relationships/hyperlink" Target="https://www.R-project.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90/math8101706" TargetMode="External"/><Relationship Id="rId22" Type="http://schemas.openxmlformats.org/officeDocument/2006/relationships/hyperlink" Target="https://doi.org/10.1007/s10649-024-10330-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2BDB8-8082-48E5-9C5A-0AF703AC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4187</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Khairul</dc:creator>
  <cp:keywords/>
  <dc:description/>
  <cp:lastModifiedBy>Editor GP 005</cp:lastModifiedBy>
  <cp:revision>23</cp:revision>
  <cp:lastPrinted>2020-08-13T09:05:00Z</cp:lastPrinted>
  <dcterms:created xsi:type="dcterms:W3CDTF">2025-05-10T20:09:00Z</dcterms:created>
  <dcterms:modified xsi:type="dcterms:W3CDTF">2025-05-12T07:30:00Z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77afcad9-a09e-476f-ad11-b2864251dfaa</vt:lpwstr>
  </property>
</Properties>
</file>