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AB2B" w14:textId="3C632EA1" w:rsidR="003864C9" w:rsidRPr="003864C9" w:rsidRDefault="00C954D1" w:rsidP="003864C9">
      <w:pPr>
        <w:jc w:val="center"/>
        <w:rPr>
          <w:rFonts w:ascii="Arial" w:hAnsi="Arial" w:cs="Arial"/>
          <w:b/>
          <w:bCs/>
          <w:sz w:val="36"/>
          <w:szCs w:val="36"/>
        </w:rPr>
      </w:pPr>
      <w:r>
        <w:rPr>
          <w:rFonts w:ascii="Arial" w:hAnsi="Arial" w:cs="Arial"/>
          <w:b/>
          <w:bCs/>
          <w:sz w:val="36"/>
          <w:szCs w:val="36"/>
        </w:rPr>
        <w:t>The</w:t>
      </w:r>
      <w:r w:rsidR="003864C9" w:rsidRPr="003864C9">
        <w:rPr>
          <w:rFonts w:ascii="Arial" w:hAnsi="Arial" w:cs="Arial"/>
          <w:b/>
          <w:bCs/>
          <w:sz w:val="36"/>
          <w:szCs w:val="36"/>
        </w:rPr>
        <w:t xml:space="preserve"> Marshall-Olkin Inverse Rayleigh Distribution and Applications </w:t>
      </w:r>
    </w:p>
    <w:p w14:paraId="5C89C31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431"/>
      </w:tblGrid>
      <w:tr w:rsidR="00296529" w:rsidRPr="001E44FE" w14:paraId="283BED14" w14:textId="77777777" w:rsidTr="00862DA3">
        <w:trPr>
          <w:trHeight w:val="2309"/>
        </w:trPr>
        <w:tc>
          <w:tcPr>
            <w:tcW w:w="10431" w:type="dxa"/>
            <w:shd w:val="clear" w:color="auto" w:fill="F2F2F2"/>
          </w:tcPr>
          <w:p w14:paraId="2C0DF1E5"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The Marshall-Olkin Inverse Rayleigh (MOIR) distribution is an extension of the classical Inverse Rayleigh distribution, incorporating Marshall-Olkin shock model that enhances its flexibility and applicability in various fields. This paper presents the derivation of the MOIR distribution and explores its fundamental properties, including moments, reliability measures, and order statistic. Expression for the mean, variance, skewness and kurtosis are also presented. Parameter estimation is addressed through maximum likelihood method, demonstrating its applicability and efficiency through simulation studies. Furthermore, we illustrate the practical utility of the MOIR distribution in modeling real-world data. The results highlight the flexibility and robustness of the MOIR distribution in capturing diverse patterns in lifetime data, offering a valuable tool for statisticians and practitioners in various fields.</w:t>
            </w:r>
          </w:p>
          <w:p w14:paraId="2E059BEF" w14:textId="77777777" w:rsidR="00505F06" w:rsidRPr="00BA1B01" w:rsidRDefault="00505F06" w:rsidP="00441B6F">
            <w:pPr>
              <w:pStyle w:val="Body"/>
              <w:spacing w:after="0"/>
              <w:rPr>
                <w:rFonts w:ascii="Arial" w:eastAsia="Calibri" w:hAnsi="Arial" w:cs="Arial"/>
                <w:szCs w:val="22"/>
              </w:rPr>
            </w:pPr>
          </w:p>
        </w:tc>
      </w:tr>
    </w:tbl>
    <w:p w14:paraId="1E02D629" w14:textId="77777777" w:rsidR="00636EB2" w:rsidRDefault="00636EB2" w:rsidP="00441B6F">
      <w:pPr>
        <w:pStyle w:val="Body"/>
        <w:spacing w:after="0"/>
        <w:rPr>
          <w:rFonts w:ascii="Arial" w:hAnsi="Arial" w:cs="Arial"/>
          <w:i/>
        </w:rPr>
      </w:pPr>
    </w:p>
    <w:p w14:paraId="6DDE97B7" w14:textId="77777777" w:rsidR="00A24E7E" w:rsidRDefault="00A24E7E" w:rsidP="00E1690A">
      <w:pPr>
        <w:pStyle w:val="Body"/>
        <w:spacing w:after="0"/>
        <w:rPr>
          <w:rFonts w:ascii="Arial" w:hAnsi="Arial" w:cs="Arial"/>
          <w:i/>
        </w:rPr>
      </w:pPr>
      <w:r>
        <w:rPr>
          <w:rFonts w:ascii="Arial" w:hAnsi="Arial" w:cs="Arial"/>
          <w:i/>
        </w:rPr>
        <w:t xml:space="preserve">Keywords: </w:t>
      </w:r>
      <w:r w:rsidR="00E1690A" w:rsidRPr="00E1690A">
        <w:rPr>
          <w:rFonts w:ascii="Arial" w:hAnsi="Arial" w:cs="Arial"/>
          <w:i/>
          <w:iCs/>
        </w:rPr>
        <w:t>Inverse Rayleigh distribution</w:t>
      </w:r>
      <w:r w:rsidR="00E1690A" w:rsidRPr="00E1690A">
        <w:rPr>
          <w:rFonts w:ascii="Arial" w:hAnsi="Arial" w:cs="Arial"/>
          <w:i/>
          <w:iCs/>
          <w:color w:val="000000"/>
        </w:rPr>
        <w:t xml:space="preserve">; reliability; </w:t>
      </w:r>
      <w:r w:rsidR="00E1690A" w:rsidRPr="00E1690A">
        <w:rPr>
          <w:rFonts w:ascii="Arial" w:hAnsi="Arial" w:cs="Arial"/>
          <w:i/>
          <w:iCs/>
        </w:rPr>
        <w:t>Marshall-Olkin-G;</w:t>
      </w:r>
      <w:r w:rsidR="00E1690A" w:rsidRPr="00E1690A">
        <w:rPr>
          <w:rFonts w:ascii="Arial" w:hAnsi="Arial" w:cs="Arial"/>
          <w:i/>
          <w:iCs/>
          <w:color w:val="000000"/>
        </w:rPr>
        <w:t xml:space="preserve"> maximum likelihood estimation; moments</w:t>
      </w:r>
    </w:p>
    <w:p w14:paraId="0F6F49DC" w14:textId="77777777" w:rsidR="00790ADA" w:rsidRDefault="00790ADA" w:rsidP="00441B6F">
      <w:pPr>
        <w:pStyle w:val="Body"/>
        <w:spacing w:after="0"/>
        <w:rPr>
          <w:rFonts w:ascii="Arial" w:hAnsi="Arial" w:cs="Arial"/>
          <w:i/>
        </w:rPr>
      </w:pPr>
    </w:p>
    <w:p w14:paraId="3B71327F" w14:textId="77777777" w:rsidR="00505F06" w:rsidRPr="00A24E7E" w:rsidRDefault="00505F06" w:rsidP="00441B6F">
      <w:pPr>
        <w:pStyle w:val="Body"/>
        <w:spacing w:after="0"/>
        <w:rPr>
          <w:rFonts w:ascii="Arial" w:hAnsi="Arial" w:cs="Arial"/>
          <w:i/>
        </w:rPr>
      </w:pPr>
    </w:p>
    <w:p w14:paraId="00AB071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3C6FE6" w14:textId="77777777" w:rsidR="00790ADA" w:rsidRPr="00FB3A86" w:rsidRDefault="00790ADA" w:rsidP="00441B6F">
      <w:pPr>
        <w:pStyle w:val="AbstHead"/>
        <w:spacing w:after="0"/>
        <w:jc w:val="both"/>
        <w:rPr>
          <w:rFonts w:ascii="Arial" w:hAnsi="Arial" w:cs="Arial"/>
        </w:rPr>
      </w:pPr>
    </w:p>
    <w:p w14:paraId="759DA345"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rPr>
        <w:t xml:space="preserve">Standard models are often inadequate or less representative of real data in a variety of situations. Finding a suitable model for the data is necessary since most classic distributions, such as the Rayleigh, Weibull, and exponential distributions, may not match the real data adequately. Several distributions that are more flexible than the baseline distribution have been proposed in the literature through convolution, generalization, extension, or modification to describe lifetime data. Voda (1972) created the inverse Rayleigh (IR) distribution, which is a crucial distribution for reliability and lifetime research. In particular, it offers a suitable statistical model for unimodal, heavily right-skewed data. The probability functions of the IR distribution are simple and tractable, and its hazard rate function has a unique curvature. </w:t>
      </w:r>
      <w:r w:rsidRPr="00E1690A">
        <w:rPr>
          <w:rFonts w:ascii="Arial" w:hAnsi="Arial" w:cs="Arial"/>
          <w:color w:val="000000"/>
        </w:rPr>
        <w:t>It rises to a point, then falls till reaching a state of equilibrium.</w:t>
      </w:r>
    </w:p>
    <w:p w14:paraId="3B8D75C5" w14:textId="77777777" w:rsidR="00E1690A" w:rsidRPr="00E1690A" w:rsidRDefault="00E1690A" w:rsidP="00E1690A">
      <w:pPr>
        <w:autoSpaceDE w:val="0"/>
        <w:autoSpaceDN w:val="0"/>
        <w:adjustRightInd w:val="0"/>
        <w:jc w:val="both"/>
        <w:rPr>
          <w:rFonts w:ascii="Arial" w:hAnsi="Arial" w:cs="Arial"/>
        </w:rPr>
      </w:pPr>
    </w:p>
    <w:p w14:paraId="3CEBC907"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 xml:space="preserve">A random variable </w:t>
      </w:r>
      <w:r w:rsidRPr="00E1690A">
        <w:rPr>
          <w:rFonts w:ascii="Arial" w:eastAsia="Cambria Math" w:hAnsi="Arial" w:cs="Arial"/>
          <w:i/>
          <w:iCs/>
        </w:rPr>
        <w:t>X</w:t>
      </w:r>
      <w:r w:rsidRPr="00E1690A">
        <w:rPr>
          <w:rFonts w:ascii="Arial" w:hAnsi="Arial" w:cs="Arial"/>
        </w:rPr>
        <w:t xml:space="preserve"> is said to have an IR distribution if its probability density function (pdf) is given as</w:t>
      </w:r>
    </w:p>
    <w:p w14:paraId="3C8BEFCE"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 xml:space="preserve"> </w:t>
      </w:r>
    </w:p>
    <w:p w14:paraId="5F7B78A4" w14:textId="77777777" w:rsidR="00E1690A" w:rsidRPr="00E1690A" w:rsidRDefault="00E1690A" w:rsidP="00E1690A">
      <w:pPr>
        <w:autoSpaceDE w:val="0"/>
        <w:autoSpaceDN w:val="0"/>
        <w:adjustRightInd w:val="0"/>
        <w:ind w:firstLine="720"/>
        <w:jc w:val="both"/>
        <w:rPr>
          <w:rFonts w:ascii="Arial" w:eastAsiaTheme="minorEastAsia" w:hAnsi="Arial" w:cs="Arial"/>
        </w:rPr>
      </w:pPr>
      <m:oMath>
        <m:r>
          <w:rPr>
            <w:rFonts w:ascii="Cambria Math" w:hAnsi="Cambria Math" w:cs="Arial"/>
          </w:rPr>
          <m:t xml:space="preserve">f </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r>
          <w:rPr>
            <w:rFonts w:ascii="Cambria Math" w:hAnsi="Cambria Math" w:cs="Arial"/>
          </w:rPr>
          <m:t xml:space="preserve">  </m:t>
        </m:r>
      </m:oMath>
      <w:r w:rsidRPr="00E1690A">
        <w:rPr>
          <w:rFonts w:ascii="Arial" w:eastAsiaTheme="minorEastAsia" w:hAnsi="Arial" w:cs="Arial"/>
        </w:rPr>
        <w:t xml:space="preserve"> ,</w:t>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t>(1)</w:t>
      </w:r>
    </w:p>
    <w:p w14:paraId="1ED01E5F" w14:textId="77777777" w:rsidR="00E1690A" w:rsidRPr="00E1690A" w:rsidRDefault="00E1690A" w:rsidP="00E1690A">
      <w:pPr>
        <w:autoSpaceDE w:val="0"/>
        <w:autoSpaceDN w:val="0"/>
        <w:adjustRightInd w:val="0"/>
        <w:jc w:val="both"/>
        <w:rPr>
          <w:rFonts w:ascii="Arial" w:hAnsi="Arial" w:cs="Arial"/>
        </w:rPr>
      </w:pPr>
    </w:p>
    <w:p w14:paraId="3129E07B"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the corresponding cumulative distribution function (</w:t>
      </w:r>
      <w:proofErr w:type="spellStart"/>
      <w:r w:rsidRPr="00E1690A">
        <w:rPr>
          <w:rFonts w:ascii="Arial" w:hAnsi="Arial" w:cs="Arial"/>
          <w:color w:val="000000"/>
        </w:rPr>
        <w:t>cdf</w:t>
      </w:r>
      <w:proofErr w:type="spellEnd"/>
      <w:r w:rsidRPr="00E1690A">
        <w:rPr>
          <w:rFonts w:ascii="Arial" w:hAnsi="Arial" w:cs="Arial"/>
          <w:color w:val="000000"/>
        </w:rPr>
        <w:t>) is given by</w:t>
      </w:r>
    </w:p>
    <w:p w14:paraId="2E958A7A" w14:textId="77777777" w:rsidR="00E1690A" w:rsidRPr="00E1690A" w:rsidRDefault="00E1690A" w:rsidP="00E1690A">
      <w:pPr>
        <w:autoSpaceDE w:val="0"/>
        <w:autoSpaceDN w:val="0"/>
        <w:adjustRightInd w:val="0"/>
        <w:ind w:firstLine="720"/>
        <w:jc w:val="both"/>
        <w:rPr>
          <w:rFonts w:ascii="Arial" w:eastAsiaTheme="minorEastAsia" w:hAnsi="Arial" w:cs="Arial"/>
        </w:rPr>
      </w:pPr>
      <m:oMath>
        <m:r>
          <w:rPr>
            <w:rFonts w:ascii="Cambria Math" w:hAnsi="Cambria Math" w:cs="Arial"/>
          </w:rPr>
          <m:t>F(x) = 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oMath>
      <w:r w:rsidRPr="00E1690A">
        <w:rPr>
          <w:rFonts w:ascii="Arial" w:eastAsiaTheme="minorEastAsia" w:hAnsi="Arial" w:cs="Arial"/>
        </w:rPr>
        <w:t xml:space="preserve"> </w:t>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t>(2)</w:t>
      </w:r>
    </w:p>
    <w:p w14:paraId="39EE4236" w14:textId="77777777" w:rsidR="00E1690A" w:rsidRPr="00E1690A" w:rsidRDefault="00E1690A" w:rsidP="00E1690A">
      <w:pPr>
        <w:autoSpaceDE w:val="0"/>
        <w:autoSpaceDN w:val="0"/>
        <w:adjustRightInd w:val="0"/>
        <w:jc w:val="both"/>
        <w:rPr>
          <w:rFonts w:ascii="Arial" w:hAnsi="Arial" w:cs="Arial"/>
          <w:color w:val="000000"/>
        </w:rPr>
      </w:pPr>
    </w:p>
    <w:p w14:paraId="046EEDEF"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 xml:space="preserve">respectively, where </w:t>
      </w:r>
      <m:oMath>
        <m:r>
          <w:rPr>
            <w:rFonts w:ascii="Cambria Math" w:hAnsi="Cambria Math" w:cs="Arial"/>
            <w:color w:val="000000"/>
          </w:rPr>
          <m:t>λ</m:t>
        </m:r>
      </m:oMath>
      <w:r w:rsidRPr="00E1690A">
        <w:rPr>
          <w:rFonts w:ascii="Arial" w:hAnsi="Arial" w:cs="Arial"/>
          <w:i/>
          <w:iCs/>
          <w:color w:val="000000"/>
        </w:rPr>
        <w:t xml:space="preserve"> </w:t>
      </w:r>
      <w:r w:rsidRPr="00E1690A">
        <w:rPr>
          <w:rFonts w:ascii="Arial" w:hAnsi="Arial" w:cs="Arial"/>
          <w:color w:val="000000"/>
        </w:rPr>
        <w:t xml:space="preserve">is a scale parameter. </w:t>
      </w:r>
    </w:p>
    <w:p w14:paraId="2EAA94E9" w14:textId="77777777" w:rsidR="00E1690A" w:rsidRPr="00E1690A" w:rsidRDefault="00E1690A" w:rsidP="00E1690A">
      <w:pPr>
        <w:autoSpaceDE w:val="0"/>
        <w:autoSpaceDN w:val="0"/>
        <w:adjustRightInd w:val="0"/>
        <w:jc w:val="both"/>
        <w:rPr>
          <w:rFonts w:ascii="Arial" w:hAnsi="Arial" w:cs="Arial"/>
          <w:color w:val="000000"/>
        </w:rPr>
      </w:pPr>
    </w:p>
    <w:p w14:paraId="611F7321" w14:textId="77777777" w:rsidR="00E1690A" w:rsidRPr="00E1690A" w:rsidRDefault="00E1690A" w:rsidP="00E1690A">
      <w:pPr>
        <w:autoSpaceDE w:val="0"/>
        <w:autoSpaceDN w:val="0"/>
        <w:adjustRightInd w:val="0"/>
        <w:jc w:val="both"/>
        <w:rPr>
          <w:rFonts w:ascii="Arial" w:eastAsiaTheme="minorEastAsia" w:hAnsi="Arial" w:cs="Arial"/>
        </w:rPr>
      </w:pPr>
      <w:r w:rsidRPr="00E1690A">
        <w:rPr>
          <w:rFonts w:ascii="Arial" w:hAnsi="Arial" w:cs="Arial"/>
        </w:rPr>
        <w:t xml:space="preserve">The survival function </w:t>
      </w:r>
      <m:oMath>
        <m:acc>
          <m:accPr>
            <m:chr m:val="̅"/>
            <m:ctrlPr>
              <w:rPr>
                <w:rFonts w:ascii="Cambria Math" w:hAnsi="Cambria Math" w:cs="Arial"/>
                <w:i/>
              </w:rPr>
            </m:ctrlPr>
          </m:accPr>
          <m:e>
            <m:r>
              <w:rPr>
                <w:rFonts w:ascii="Cambria Math" w:hAnsi="Cambria Math" w:cs="Arial"/>
              </w:rPr>
              <m:t>F</m:t>
            </m:r>
          </m:e>
        </m:acc>
        <m:r>
          <w:rPr>
            <w:rFonts w:ascii="Cambria Math" w:hAnsi="Cambria Math" w:cs="Arial"/>
          </w:rPr>
          <m:t>(x)</m:t>
        </m:r>
      </m:oMath>
      <w:r w:rsidRPr="00E1690A">
        <w:rPr>
          <w:rFonts w:ascii="Arial" w:eastAsiaTheme="minorEastAsia" w:hAnsi="Arial" w:cs="Arial"/>
        </w:rPr>
        <w:t xml:space="preserve"> is given as</w:t>
      </w:r>
    </w:p>
    <w:p w14:paraId="0E909394" w14:textId="77777777" w:rsidR="00E1690A" w:rsidRPr="00E1690A" w:rsidRDefault="00000000" w:rsidP="00E1690A">
      <w:pPr>
        <w:autoSpaceDE w:val="0"/>
        <w:autoSpaceDN w:val="0"/>
        <w:adjustRightInd w:val="0"/>
        <w:ind w:firstLine="720"/>
        <w:jc w:val="both"/>
        <w:rPr>
          <w:rFonts w:ascii="Arial" w:hAnsi="Arial" w:cs="Arial"/>
          <w:color w:val="000000"/>
        </w:rPr>
      </w:pPr>
      <m:oMath>
        <m:acc>
          <m:accPr>
            <m:chr m:val="̅"/>
            <m:ctrlPr>
              <w:rPr>
                <w:rFonts w:ascii="Cambria Math" w:eastAsiaTheme="minorEastAsia" w:hAnsi="Cambria Math" w:cs="Arial"/>
                <w:i/>
              </w:rPr>
            </m:ctrlPr>
          </m:accPr>
          <m:e>
            <m:r>
              <w:rPr>
                <w:rFonts w:ascii="Cambria Math" w:eastAsiaTheme="minorEastAsia" w:hAnsi="Cambria Math" w:cs="Arial"/>
              </w:rPr>
              <m:t>F</m:t>
            </m:r>
          </m:e>
        </m:acc>
        <m:d>
          <m:dPr>
            <m:ctrlPr>
              <w:rPr>
                <w:rFonts w:ascii="Cambria Math" w:hAnsi="Cambria Math" w:cs="Arial"/>
                <w:i/>
              </w:rPr>
            </m:ctrlPr>
          </m:dPr>
          <m:e>
            <m:r>
              <w:rPr>
                <w:rFonts w:ascii="Cambria Math" w:hAnsi="Cambria Math" w:cs="Arial"/>
              </w:rPr>
              <m:t>x</m:t>
            </m:r>
          </m:e>
        </m:d>
        <m:r>
          <w:rPr>
            <w:rFonts w:ascii="Cambria Math" w:hAnsi="Cambria Math" w:cs="Arial"/>
          </w:rPr>
          <m:t>=1-F</m:t>
        </m:r>
        <m:d>
          <m:dPr>
            <m:ctrlPr>
              <w:rPr>
                <w:rFonts w:ascii="Cambria Math" w:hAnsi="Cambria Math" w:cs="Arial"/>
                <w:i/>
              </w:rPr>
            </m:ctrlPr>
          </m:dPr>
          <m:e>
            <m:r>
              <w:rPr>
                <w:rFonts w:ascii="Cambria Math" w:hAnsi="Cambria Math" w:cs="Arial"/>
              </w:rPr>
              <m:t>x</m:t>
            </m:r>
          </m:e>
        </m:d>
        <m:r>
          <w:rPr>
            <w:rFonts w:ascii="Cambria Math" w:hAnsi="Cambria Math" w:cs="Arial"/>
          </w:rPr>
          <m:t>= 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oMath>
      <w:r w:rsidR="00E1690A" w:rsidRPr="00E1690A">
        <w:rPr>
          <w:rFonts w:ascii="Arial" w:eastAsiaTheme="minorEastAsia" w:hAnsi="Arial" w:cs="Arial"/>
        </w:rPr>
        <w:t xml:space="preserve"> </w:t>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t>(3)</w:t>
      </w:r>
    </w:p>
    <w:p w14:paraId="5B7A5F65" w14:textId="77777777" w:rsidR="00E1690A" w:rsidRPr="00E1690A" w:rsidRDefault="00E1690A" w:rsidP="00E1690A">
      <w:pPr>
        <w:autoSpaceDE w:val="0"/>
        <w:autoSpaceDN w:val="0"/>
        <w:adjustRightInd w:val="0"/>
        <w:jc w:val="both"/>
        <w:rPr>
          <w:rFonts w:ascii="Arial" w:hAnsi="Arial" w:cs="Arial"/>
          <w:color w:val="000000"/>
        </w:rPr>
      </w:pPr>
    </w:p>
    <w:p w14:paraId="00AA7C3D" w14:textId="787E5F4D"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 xml:space="preserve">Many extensions of the IR distribution have been produced recently, frequently on the foundation of generic families of distributions and utilizing various mathematical methodologies. Kumaraswamy exponentiated IR (KEIR) distribution by Haq (2016), weighted IR (WIR) distribution by Fatima and Ahmad (2017), odd Fréchet IR (OFIR) distribution by </w:t>
      </w:r>
      <w:proofErr w:type="spellStart"/>
      <w:r w:rsidRPr="00E1690A">
        <w:rPr>
          <w:rFonts w:ascii="Arial" w:hAnsi="Arial" w:cs="Arial"/>
          <w:color w:val="000000"/>
        </w:rPr>
        <w:t>Elgarhy</w:t>
      </w:r>
      <w:proofErr w:type="spellEnd"/>
      <w:r w:rsidRPr="00E1690A">
        <w:rPr>
          <w:rFonts w:ascii="Arial" w:hAnsi="Arial" w:cs="Arial"/>
          <w:color w:val="000000"/>
        </w:rPr>
        <w:t xml:space="preserve"> and </w:t>
      </w:r>
      <w:proofErr w:type="spellStart"/>
      <w:r w:rsidRPr="00E1690A">
        <w:rPr>
          <w:rFonts w:ascii="Arial" w:hAnsi="Arial" w:cs="Arial"/>
          <w:color w:val="000000"/>
        </w:rPr>
        <w:t>Alrajhi</w:t>
      </w:r>
      <w:proofErr w:type="spellEnd"/>
      <w:r w:rsidRPr="00E1690A">
        <w:rPr>
          <w:rFonts w:ascii="Arial" w:hAnsi="Arial" w:cs="Arial"/>
          <w:color w:val="000000"/>
        </w:rPr>
        <w:t xml:space="preserve"> (2019), type II Topp-Leone IR (TIITLIR) distribution by Mohammed and Yahia (2019), type II Topp-Leone generalized IR (TIITLGIR) distribution by Yahia and Mohammed (2019), exponentiated IR (EIR) distribution by Rao and </w:t>
      </w:r>
      <w:proofErr w:type="spellStart"/>
      <w:r w:rsidRPr="00E1690A">
        <w:rPr>
          <w:rFonts w:ascii="Arial" w:hAnsi="Arial" w:cs="Arial"/>
          <w:color w:val="000000"/>
        </w:rPr>
        <w:t>Mbwambo</w:t>
      </w:r>
      <w:proofErr w:type="spellEnd"/>
      <w:r w:rsidRPr="00E1690A">
        <w:rPr>
          <w:rFonts w:ascii="Arial" w:hAnsi="Arial" w:cs="Arial"/>
          <w:color w:val="000000"/>
        </w:rPr>
        <w:t xml:space="preserve"> (2019), Alpha power IR (APIR) by Basheer (2019), </w:t>
      </w:r>
      <w:r w:rsidR="00045357" w:rsidRPr="00045357">
        <w:rPr>
          <w:rFonts w:ascii="Arial" w:hAnsi="Arial" w:cs="Arial"/>
          <w:color w:val="000000"/>
        </w:rPr>
        <w:t>Exponential Transformed Inverse Rayleigh Distribution</w:t>
      </w:r>
      <w:r w:rsidR="00045357">
        <w:rPr>
          <w:rFonts w:ascii="Arial" w:hAnsi="Arial" w:cs="Arial"/>
          <w:color w:val="000000"/>
        </w:rPr>
        <w:t xml:space="preserve"> by </w:t>
      </w:r>
      <w:r w:rsidR="00045357" w:rsidRPr="00045357">
        <w:rPr>
          <w:rFonts w:ascii="Arial" w:hAnsi="Arial" w:cs="Arial"/>
          <w:color w:val="000000"/>
        </w:rPr>
        <w:t>Banerjee</w:t>
      </w:r>
      <w:r w:rsidR="00045357">
        <w:rPr>
          <w:rFonts w:ascii="Arial" w:hAnsi="Arial" w:cs="Arial"/>
          <w:color w:val="000000"/>
        </w:rPr>
        <w:t xml:space="preserve"> and</w:t>
      </w:r>
      <w:r w:rsidR="00045357" w:rsidRPr="00045357">
        <w:rPr>
          <w:rFonts w:ascii="Arial" w:hAnsi="Arial" w:cs="Arial"/>
          <w:color w:val="000000"/>
        </w:rPr>
        <w:t xml:space="preserve"> Bhunia</w:t>
      </w:r>
      <w:r w:rsidR="00045357">
        <w:rPr>
          <w:rFonts w:ascii="Arial" w:hAnsi="Arial" w:cs="Arial"/>
          <w:color w:val="000000"/>
        </w:rPr>
        <w:t xml:space="preserve"> </w:t>
      </w:r>
      <w:r w:rsidR="00045357" w:rsidRPr="00045357">
        <w:rPr>
          <w:rFonts w:ascii="Arial" w:hAnsi="Arial" w:cs="Arial"/>
          <w:color w:val="000000"/>
        </w:rPr>
        <w:t>(2022)</w:t>
      </w:r>
      <w:r w:rsidR="00045357">
        <w:rPr>
          <w:rFonts w:ascii="Arial" w:hAnsi="Arial" w:cs="Arial"/>
          <w:color w:val="000000"/>
        </w:rPr>
        <w:t xml:space="preserve">, </w:t>
      </w:r>
      <w:r w:rsidRPr="00E1690A">
        <w:rPr>
          <w:rFonts w:ascii="Arial" w:hAnsi="Arial" w:cs="Arial"/>
          <w:color w:val="000000"/>
        </w:rPr>
        <w:t>Exponentiated Weibull Inverse Rayleigh (EWIR) Distribution by Arowolo et al. (2023)</w:t>
      </w:r>
      <w:r w:rsidR="00045357">
        <w:rPr>
          <w:rFonts w:ascii="Arial" w:hAnsi="Arial" w:cs="Arial"/>
          <w:color w:val="000000"/>
        </w:rPr>
        <w:t>, T</w:t>
      </w:r>
      <w:r w:rsidR="00045357" w:rsidRPr="00045357">
        <w:rPr>
          <w:rFonts w:ascii="Arial" w:hAnsi="Arial" w:cs="Arial"/>
          <w:color w:val="000000"/>
        </w:rPr>
        <w:t>hree-parameter inverse Rayleigh distribution that extends the inverse Rayleigh distribution, based on the generalized transmuted family of distributions</w:t>
      </w:r>
      <w:r w:rsidR="00045357">
        <w:rPr>
          <w:rFonts w:ascii="Arial" w:hAnsi="Arial" w:cs="Arial"/>
          <w:color w:val="000000"/>
        </w:rPr>
        <w:t xml:space="preserve"> by </w:t>
      </w:r>
      <w:r w:rsidR="00045357">
        <w:rPr>
          <w:rFonts w:ascii="Arial" w:hAnsi="Arial" w:cs="Arial"/>
          <w:color w:val="000000"/>
        </w:rPr>
        <w:t xml:space="preserve">Shala and </w:t>
      </w:r>
      <w:proofErr w:type="spellStart"/>
      <w:r w:rsidR="00045357">
        <w:rPr>
          <w:rFonts w:ascii="Arial" w:hAnsi="Arial" w:cs="Arial"/>
          <w:color w:val="000000"/>
        </w:rPr>
        <w:t>Merovci</w:t>
      </w:r>
      <w:proofErr w:type="spellEnd"/>
      <w:r w:rsidR="00045357">
        <w:rPr>
          <w:rFonts w:ascii="Arial" w:hAnsi="Arial" w:cs="Arial"/>
          <w:color w:val="000000"/>
        </w:rPr>
        <w:t xml:space="preserve"> (2024),</w:t>
      </w:r>
      <w:r w:rsidR="00045357" w:rsidRPr="00045357">
        <w:rPr>
          <w:rFonts w:ascii="Arial" w:hAnsi="Arial" w:cs="Arial"/>
          <w:color w:val="000000"/>
        </w:rPr>
        <w:t xml:space="preserve"> </w:t>
      </w:r>
      <w:r w:rsidR="0095718D">
        <w:rPr>
          <w:rFonts w:ascii="Arial" w:hAnsi="Arial" w:cs="Arial"/>
          <w:color w:val="000000"/>
        </w:rPr>
        <w:t xml:space="preserve">and </w:t>
      </w:r>
      <w:r w:rsidR="00045357" w:rsidRPr="00045357">
        <w:rPr>
          <w:rFonts w:ascii="Arial" w:hAnsi="Arial" w:cs="Arial"/>
          <w:color w:val="000000"/>
        </w:rPr>
        <w:t xml:space="preserve">Half logistic exponentiated inverse Rayleigh distribution </w:t>
      </w:r>
      <w:r w:rsidR="00045357">
        <w:rPr>
          <w:rFonts w:ascii="Arial" w:hAnsi="Arial" w:cs="Arial"/>
          <w:color w:val="000000"/>
        </w:rPr>
        <w:t xml:space="preserve">by </w:t>
      </w:r>
      <w:proofErr w:type="spellStart"/>
      <w:r w:rsidR="00045357" w:rsidRPr="00045357">
        <w:rPr>
          <w:rFonts w:ascii="Arial" w:hAnsi="Arial" w:cs="Arial"/>
          <w:color w:val="000000"/>
        </w:rPr>
        <w:t>Kamnge</w:t>
      </w:r>
      <w:proofErr w:type="spellEnd"/>
      <w:r w:rsidR="00045357" w:rsidRPr="00045357">
        <w:rPr>
          <w:rFonts w:ascii="Arial" w:hAnsi="Arial" w:cs="Arial"/>
          <w:color w:val="000000"/>
        </w:rPr>
        <w:t xml:space="preserve"> </w:t>
      </w:r>
      <w:r w:rsidR="00045357">
        <w:rPr>
          <w:rFonts w:ascii="Arial" w:hAnsi="Arial" w:cs="Arial"/>
          <w:color w:val="000000"/>
        </w:rPr>
        <w:t>and</w:t>
      </w:r>
      <w:r w:rsidR="00045357" w:rsidRPr="00045357">
        <w:rPr>
          <w:rFonts w:ascii="Arial" w:hAnsi="Arial" w:cs="Arial"/>
          <w:color w:val="000000"/>
        </w:rPr>
        <w:t xml:space="preserve"> Chacko (2025</w:t>
      </w:r>
      <w:r w:rsidR="00045357">
        <w:rPr>
          <w:rFonts w:ascii="Arial" w:hAnsi="Arial" w:cs="Arial"/>
          <w:color w:val="000000"/>
        </w:rPr>
        <w:t>)</w:t>
      </w:r>
      <w:r w:rsidR="0095718D">
        <w:rPr>
          <w:rFonts w:ascii="Arial" w:hAnsi="Arial" w:cs="Arial"/>
          <w:color w:val="000000"/>
        </w:rPr>
        <w:t>.</w:t>
      </w:r>
    </w:p>
    <w:p w14:paraId="276CDBC5" w14:textId="77777777" w:rsidR="00E1690A" w:rsidRPr="00E1690A" w:rsidRDefault="00E1690A" w:rsidP="00E1690A">
      <w:pPr>
        <w:autoSpaceDE w:val="0"/>
        <w:autoSpaceDN w:val="0"/>
        <w:adjustRightInd w:val="0"/>
        <w:jc w:val="both"/>
        <w:rPr>
          <w:rFonts w:ascii="Arial" w:hAnsi="Arial" w:cs="Arial"/>
          <w:color w:val="000000"/>
        </w:rPr>
      </w:pPr>
    </w:p>
    <w:p w14:paraId="1637E378"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This paper introduces the Marshall-Olkin Inverse Rayleigh (MOIR) distribution, a hybrid model that synergizes the strengths of both the Marshall-Olkin and inverse Rayleigh distributions. By integrating the shock model approach with the inverse Rayleigh distribution, the MOIR distribution provides a more comprehensive and flexible tool for lifetime data analysis.</w:t>
      </w:r>
    </w:p>
    <w:p w14:paraId="791E3BD5" w14:textId="77777777" w:rsidR="00790ADA" w:rsidRPr="00FB3A86" w:rsidRDefault="00790ADA" w:rsidP="00441B6F">
      <w:pPr>
        <w:pStyle w:val="Body"/>
        <w:spacing w:after="0"/>
        <w:rPr>
          <w:rFonts w:ascii="Arial" w:hAnsi="Arial" w:cs="Arial"/>
        </w:rPr>
      </w:pPr>
    </w:p>
    <w:p w14:paraId="17EA5CA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14F0E45C" w14:textId="77777777" w:rsidR="00790ADA" w:rsidRPr="00FB3A86" w:rsidRDefault="00790ADA" w:rsidP="00441B6F">
      <w:pPr>
        <w:pStyle w:val="AbstHead"/>
        <w:spacing w:after="0"/>
        <w:jc w:val="both"/>
        <w:rPr>
          <w:rFonts w:ascii="Arial" w:hAnsi="Arial" w:cs="Arial"/>
        </w:rPr>
      </w:pPr>
    </w:p>
    <w:p w14:paraId="78755CA9" w14:textId="77777777" w:rsidR="009E20A6" w:rsidRPr="009E20A6" w:rsidRDefault="009E20A6" w:rsidP="009E20A6">
      <w:pPr>
        <w:autoSpaceDE w:val="0"/>
        <w:autoSpaceDN w:val="0"/>
        <w:adjustRightInd w:val="0"/>
        <w:jc w:val="both"/>
        <w:rPr>
          <w:rFonts w:ascii="Arial" w:hAnsi="Arial" w:cs="Arial"/>
        </w:rPr>
      </w:pPr>
      <w:r>
        <w:rPr>
          <w:rFonts w:ascii="Arial" w:hAnsi="Arial" w:cs="Arial"/>
          <w:b/>
          <w:bCs/>
        </w:rPr>
        <w:t xml:space="preserve">2.1 </w:t>
      </w:r>
      <w:r w:rsidRPr="009E20A6">
        <w:rPr>
          <w:rFonts w:ascii="Arial" w:hAnsi="Arial" w:cs="Arial"/>
          <w:b/>
          <w:bCs/>
          <w:sz w:val="22"/>
          <w:szCs w:val="22"/>
        </w:rPr>
        <w:t>Marshall-Olkin Inverse Rayleigh Distribution</w:t>
      </w:r>
    </w:p>
    <w:p w14:paraId="4970A4EC" w14:textId="77777777" w:rsidR="009E20A6" w:rsidRPr="009E20A6" w:rsidRDefault="009E20A6" w:rsidP="009E20A6">
      <w:pPr>
        <w:autoSpaceDE w:val="0"/>
        <w:autoSpaceDN w:val="0"/>
        <w:adjustRightInd w:val="0"/>
        <w:jc w:val="both"/>
        <w:rPr>
          <w:rFonts w:ascii="Arial" w:hAnsi="Arial" w:cs="Arial"/>
        </w:rPr>
      </w:pPr>
    </w:p>
    <w:p w14:paraId="0173D05F"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Let </w:t>
      </w:r>
      <m:oMath>
        <m:acc>
          <m:accPr>
            <m:chr m:val="̅"/>
            <m:ctrlPr>
              <w:rPr>
                <w:rFonts w:ascii="Cambria Math" w:hAnsi="Cambria Math" w:cs="Arial"/>
                <w:i/>
              </w:rPr>
            </m:ctrlPr>
          </m:accPr>
          <m:e>
            <m:r>
              <w:rPr>
                <w:rFonts w:ascii="Cambria Math" w:hAnsi="Cambria Math" w:cs="Arial"/>
              </w:rPr>
              <m:t xml:space="preserve">F </m:t>
            </m:r>
          </m:e>
        </m:acc>
        <m:r>
          <w:rPr>
            <w:rFonts w:ascii="Cambria Math" w:hAnsi="Cambria Math" w:cs="Arial"/>
          </w:rPr>
          <m:t>(x)</m:t>
        </m:r>
      </m:oMath>
      <w:r w:rsidRPr="009E20A6">
        <w:rPr>
          <w:rFonts w:ascii="Arial" w:hAnsi="Arial" w:cs="Arial"/>
        </w:rPr>
        <w:t xml:space="preserve"> denote the survival function of a continuous random variable X, then the survival function </w:t>
      </w: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m:t>
        </m:r>
      </m:oMath>
      <w:r w:rsidRPr="009E20A6">
        <w:rPr>
          <w:rFonts w:ascii="Arial" w:hAnsi="Arial" w:cs="Arial"/>
        </w:rPr>
        <w:t xml:space="preserve">  of Marshall-Olkin G family is defined by</w:t>
      </w:r>
    </w:p>
    <w:p w14:paraId="530D8FCC" w14:textId="77777777" w:rsidR="009E20A6" w:rsidRPr="009E20A6" w:rsidRDefault="009E20A6" w:rsidP="009E20A6">
      <w:pPr>
        <w:autoSpaceDE w:val="0"/>
        <w:autoSpaceDN w:val="0"/>
        <w:adjustRightInd w:val="0"/>
        <w:jc w:val="both"/>
        <w:rPr>
          <w:rFonts w:ascii="Arial" w:hAnsi="Arial" w:cs="Arial"/>
        </w:rPr>
      </w:pPr>
    </w:p>
    <w:p w14:paraId="4A52634C" w14:textId="77777777" w:rsidR="009E20A6" w:rsidRPr="009E20A6" w:rsidRDefault="00000000" w:rsidP="009E20A6">
      <w:pPr>
        <w:autoSpaceDE w:val="0"/>
        <w:autoSpaceDN w:val="0"/>
        <w:adjustRightInd w:val="0"/>
        <w:ind w:left="720" w:firstLine="720"/>
        <w:jc w:val="both"/>
        <w:rPr>
          <w:rFonts w:ascii="Arial" w:eastAsiaTheme="minorEastAsia" w:hAnsi="Arial" w:cs="Arial"/>
        </w:rPr>
      </w:pP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 =</m:t>
        </m:r>
        <m:f>
          <m:fPr>
            <m:ctrlPr>
              <w:rPr>
                <w:rFonts w:ascii="Cambria Math" w:hAnsi="Cambria Math" w:cs="Arial"/>
                <w:i/>
              </w:rPr>
            </m:ctrlPr>
          </m:fPr>
          <m:num>
            <m:r>
              <w:rPr>
                <w:rFonts w:ascii="Cambria Math" w:hAnsi="Cambria Math" w:cs="Arial"/>
              </w:rPr>
              <m:t>θ</m:t>
            </m:r>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num>
          <m:den>
            <m:r>
              <w:rPr>
                <w:rFonts w:ascii="Cambria Math" w:hAnsi="Cambria Math" w:cs="Arial"/>
              </w:rPr>
              <m:t>1-</m:t>
            </m:r>
            <m:d>
              <m:dPr>
                <m:ctrlPr>
                  <w:rPr>
                    <w:rFonts w:ascii="Cambria Math" w:hAnsi="Cambria Math" w:cs="Arial"/>
                    <w:i/>
                  </w:rPr>
                </m:ctrlPr>
              </m:dPr>
              <m:e>
                <m:r>
                  <w:rPr>
                    <w:rFonts w:ascii="Cambria Math" w:hAnsi="Cambria Math" w:cs="Arial"/>
                  </w:rPr>
                  <m:t>1-θ</m:t>
                </m:r>
              </m:e>
            </m:d>
            <m:r>
              <w:rPr>
                <w:rFonts w:ascii="Cambria Math" w:hAnsi="Cambria Math" w:cs="Arial"/>
              </w:rPr>
              <m:t>*</m:t>
            </m:r>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den>
        </m:f>
        <m:r>
          <w:rPr>
            <w:rFonts w:ascii="Cambria Math" w:hAnsi="Cambria Math" w:cs="Arial"/>
          </w:rPr>
          <m:t xml:space="preserve"> </m:t>
        </m:r>
      </m:oMath>
      <w:r w:rsidR="009E20A6" w:rsidRPr="009E20A6">
        <w:rPr>
          <w:rFonts w:ascii="Arial" w:eastAsiaTheme="minorEastAsia" w:hAnsi="Arial" w:cs="Arial"/>
        </w:rPr>
        <w:t xml:space="preserve"> </w:t>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t>(4)</w:t>
      </w:r>
    </w:p>
    <w:p w14:paraId="55B825E9"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where </w:t>
      </w:r>
      <m:oMath>
        <m:r>
          <w:rPr>
            <w:rFonts w:ascii="Cambria Math" w:hAnsi="Cambria Math" w:cs="Arial"/>
          </w:rPr>
          <m:t>θ˃0</m:t>
        </m:r>
      </m:oMath>
      <w:r w:rsidRPr="009E20A6">
        <w:rPr>
          <w:rFonts w:ascii="Arial" w:hAnsi="Arial" w:cs="Arial"/>
        </w:rPr>
        <w:t xml:space="preserve"> is the tilt parameter, </w:t>
      </w:r>
      <m:oMath>
        <m:acc>
          <m:accPr>
            <m:chr m:val="̅"/>
            <m:ctrlPr>
              <w:rPr>
                <w:rFonts w:ascii="Cambria Math" w:hAnsi="Cambria Math" w:cs="Arial"/>
                <w:i/>
              </w:rPr>
            </m:ctrlPr>
          </m:accPr>
          <m:e>
            <m:r>
              <w:rPr>
                <w:rFonts w:ascii="Cambria Math" w:hAnsi="Cambria Math" w:cs="Arial"/>
              </w:rPr>
              <m:t>θ</m:t>
            </m:r>
          </m:e>
        </m:acc>
        <m:r>
          <w:rPr>
            <w:rFonts w:ascii="Cambria Math" w:hAnsi="Cambria Math" w:cs="Arial"/>
          </w:rPr>
          <m:t>=1-θ</m:t>
        </m:r>
      </m:oMath>
      <w:r w:rsidRPr="009E20A6">
        <w:rPr>
          <w:rFonts w:ascii="Arial" w:hAnsi="Arial" w:cs="Arial"/>
        </w:rPr>
        <w:t xml:space="preserve">  and -</w:t>
      </w:r>
      <m:oMath>
        <m:r>
          <w:rPr>
            <w:rFonts w:ascii="Cambria Math" w:hAnsi="Cambria Math" w:cs="Arial"/>
          </w:rPr>
          <m:t>∞</m:t>
        </m:r>
      </m:oMath>
      <w:r w:rsidRPr="009E20A6">
        <w:rPr>
          <w:rFonts w:ascii="Arial" w:hAnsi="Arial" w:cs="Arial"/>
        </w:rPr>
        <w:t xml:space="preserve"> </w:t>
      </w:r>
      <m:oMath>
        <m:r>
          <w:rPr>
            <w:rFonts w:ascii="Cambria Math" w:hAnsi="Cambria Math" w:cs="Arial"/>
          </w:rPr>
          <m:t>&lt;x &lt; ∞</m:t>
        </m:r>
      </m:oMath>
      <w:r w:rsidRPr="009E20A6">
        <w:rPr>
          <w:rFonts w:ascii="Arial" w:hAnsi="Arial" w:cs="Arial"/>
        </w:rPr>
        <w:t>.</w:t>
      </w:r>
    </w:p>
    <w:p w14:paraId="14934A8B"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719F6360"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If </w:t>
      </w:r>
      <m:oMath>
        <m:r>
          <w:rPr>
            <w:rFonts w:ascii="Cambria Math" w:hAnsi="Cambria Math" w:cs="Arial"/>
          </w:rPr>
          <m:t>g(x)</m:t>
        </m:r>
      </m:oMath>
      <w:r w:rsidRPr="009E20A6">
        <w:rPr>
          <w:rFonts w:ascii="Arial" w:hAnsi="Arial" w:cs="Arial"/>
        </w:rPr>
        <w:t xml:space="preserve"> and </w:t>
      </w:r>
      <m:oMath>
        <m:r>
          <w:rPr>
            <w:rFonts w:ascii="Cambria Math" w:hAnsi="Cambria Math" w:cs="Arial"/>
          </w:rPr>
          <m:t>r(x)</m:t>
        </m:r>
      </m:oMath>
      <w:r w:rsidRPr="009E20A6">
        <w:rPr>
          <w:rFonts w:ascii="Arial" w:hAnsi="Arial" w:cs="Arial"/>
        </w:rPr>
        <w:t xml:space="preserve"> are the probability density function (pdf) and hazard rate function corresponding to </w:t>
      </w: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m:t>
        </m:r>
      </m:oMath>
      <w:r w:rsidRPr="009E20A6">
        <w:rPr>
          <w:rFonts w:ascii="Arial" w:hAnsi="Arial" w:cs="Arial"/>
        </w:rPr>
        <w:t>, then</w:t>
      </w:r>
    </w:p>
    <w:p w14:paraId="0AB45283" w14:textId="77777777" w:rsidR="009E20A6" w:rsidRPr="009E20A6" w:rsidRDefault="009E20A6" w:rsidP="009E20A6">
      <w:pPr>
        <w:autoSpaceDE w:val="0"/>
        <w:autoSpaceDN w:val="0"/>
        <w:adjustRightInd w:val="0"/>
        <w:jc w:val="both"/>
        <w:rPr>
          <w:rFonts w:ascii="Arial" w:hAnsi="Arial" w:cs="Arial"/>
        </w:rPr>
      </w:pPr>
    </w:p>
    <w:p w14:paraId="42CE3026"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ab/>
      </w:r>
      <m:oMath>
        <m:r>
          <w:rPr>
            <w:rFonts w:ascii="Cambria Math" w:hAnsi="Cambria Math" w:cs="Arial"/>
          </w:rPr>
          <m:t>g(x)</m:t>
        </m:r>
        <m:r>
          <m:rPr>
            <m:sty m:val="p"/>
          </m:rPr>
          <w:rPr>
            <w:rFonts w:ascii="Cambria Math" w:hAnsi="Cambria Math" w:cs="Arial"/>
          </w:rPr>
          <m:t xml:space="preserve">= </m:t>
        </m:r>
        <m:f>
          <m:fPr>
            <m:ctrlPr>
              <w:rPr>
                <w:rFonts w:ascii="Cambria Math" w:hAnsi="Cambria Math" w:cs="Arial"/>
                <w:i/>
              </w:rPr>
            </m:ctrlPr>
          </m:fPr>
          <m:num>
            <m:r>
              <w:rPr>
                <w:rFonts w:ascii="Cambria Math" w:hAnsi="Cambria Math" w:cs="Arial"/>
              </w:rPr>
              <m:t>θ f(x)</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 xml:space="preserve">1- </m:t>
                    </m:r>
                    <m:acc>
                      <m:accPr>
                        <m:chr m:val="̅"/>
                        <m:ctrlPr>
                          <w:rPr>
                            <w:rFonts w:ascii="Cambria Math" w:hAnsi="Cambria Math" w:cs="Arial"/>
                            <w:i/>
                          </w:rPr>
                        </m:ctrlPr>
                      </m:accPr>
                      <m:e>
                        <m:r>
                          <w:rPr>
                            <w:rFonts w:ascii="Cambria Math" w:hAnsi="Cambria Math" w:cs="Arial"/>
                          </w:rPr>
                          <m:t>θ</m:t>
                        </m:r>
                      </m:e>
                    </m:acc>
                    <m:acc>
                      <m:accPr>
                        <m:chr m:val="̅"/>
                        <m:ctrlPr>
                          <w:rPr>
                            <w:rFonts w:ascii="Cambria Math" w:hAnsi="Cambria Math" w:cs="Arial"/>
                            <w:i/>
                          </w:rPr>
                        </m:ctrlPr>
                      </m:accPr>
                      <m:e>
                        <m:r>
                          <w:rPr>
                            <w:rFonts w:ascii="Cambria Math" w:hAnsi="Cambria Math" w:cs="Arial"/>
                          </w:rPr>
                          <m:t xml:space="preserve">F </m:t>
                        </m:r>
                      </m:e>
                    </m:acc>
                    <m:d>
                      <m:dPr>
                        <m:ctrlPr>
                          <w:rPr>
                            <w:rFonts w:ascii="Cambria Math" w:hAnsi="Cambria Math" w:cs="Arial"/>
                            <w:i/>
                          </w:rPr>
                        </m:ctrlPr>
                      </m:dPr>
                      <m:e>
                        <m:r>
                          <w:rPr>
                            <w:rFonts w:ascii="Cambria Math" w:hAnsi="Cambria Math" w:cs="Arial"/>
                          </w:rPr>
                          <m:t>x</m:t>
                        </m:r>
                      </m:e>
                    </m:d>
                  </m:e>
                </m:d>
              </m:e>
              <m:sup>
                <m:r>
                  <w:rPr>
                    <w:rFonts w:ascii="Cambria Math" w:hAnsi="Cambria Math" w:cs="Arial"/>
                  </w:rPr>
                  <m:t>2</m:t>
                </m:r>
              </m:sup>
            </m:sSup>
          </m:den>
        </m:f>
      </m:oMath>
      <w:r w:rsidRPr="009E20A6">
        <w:rPr>
          <w:rFonts w:ascii="Arial" w:hAnsi="Arial" w:cs="Arial"/>
        </w:rPr>
        <w:t xml:space="preserve"> </w:t>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t>(5)</w:t>
      </w:r>
    </w:p>
    <w:p w14:paraId="7B1A035C" w14:textId="77777777" w:rsidR="009E20A6" w:rsidRPr="009E20A6" w:rsidRDefault="009E20A6" w:rsidP="009E20A6">
      <w:pPr>
        <w:autoSpaceDE w:val="0"/>
        <w:autoSpaceDN w:val="0"/>
        <w:adjustRightInd w:val="0"/>
        <w:jc w:val="both"/>
        <w:rPr>
          <w:rFonts w:ascii="Arial" w:hAnsi="Arial" w:cs="Arial"/>
        </w:rPr>
      </w:pPr>
    </w:p>
    <w:p w14:paraId="2FFFCD4B"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where </w:t>
      </w:r>
      <m:oMath>
        <m:r>
          <w:rPr>
            <w:rFonts w:ascii="Cambria Math" w:hAnsi="Cambria Math" w:cs="Arial"/>
          </w:rPr>
          <m:t>θ˃0</m:t>
        </m:r>
      </m:oMath>
      <w:r w:rsidRPr="009E20A6">
        <w:rPr>
          <w:rFonts w:ascii="Arial" w:hAnsi="Arial" w:cs="Arial"/>
        </w:rPr>
        <w:t xml:space="preserve">, </w:t>
      </w:r>
      <m:oMath>
        <m:acc>
          <m:accPr>
            <m:chr m:val="̅"/>
            <m:ctrlPr>
              <w:rPr>
                <w:rFonts w:ascii="Cambria Math" w:hAnsi="Cambria Math" w:cs="Arial"/>
                <w:i/>
              </w:rPr>
            </m:ctrlPr>
          </m:accPr>
          <m:e>
            <m:r>
              <w:rPr>
                <w:rFonts w:ascii="Cambria Math" w:hAnsi="Cambria Math" w:cs="Arial"/>
              </w:rPr>
              <m:t>θ</m:t>
            </m:r>
          </m:e>
        </m:acc>
        <m:r>
          <w:rPr>
            <w:rFonts w:ascii="Cambria Math" w:hAnsi="Cambria Math" w:cs="Arial"/>
          </w:rPr>
          <m:t>=1-θ</m:t>
        </m:r>
      </m:oMath>
      <w:r w:rsidRPr="009E20A6">
        <w:rPr>
          <w:rFonts w:ascii="Arial" w:hAnsi="Arial" w:cs="Arial"/>
        </w:rPr>
        <w:t xml:space="preserve">  and -</w:t>
      </w:r>
      <m:oMath>
        <m:r>
          <w:rPr>
            <w:rFonts w:ascii="Cambria Math" w:hAnsi="Cambria Math" w:cs="Arial"/>
          </w:rPr>
          <m:t>∞</m:t>
        </m:r>
      </m:oMath>
      <w:r w:rsidRPr="009E20A6">
        <w:rPr>
          <w:rFonts w:ascii="Arial" w:hAnsi="Arial" w:cs="Arial"/>
        </w:rPr>
        <w:t xml:space="preserve"> </w:t>
      </w:r>
      <m:oMath>
        <m:r>
          <w:rPr>
            <w:rFonts w:ascii="Cambria Math" w:hAnsi="Cambria Math" w:cs="Arial"/>
          </w:rPr>
          <m:t>&lt;x &lt; ∞</m:t>
        </m:r>
      </m:oMath>
      <w:r w:rsidRPr="009E20A6">
        <w:rPr>
          <w:rFonts w:ascii="Arial" w:hAnsi="Arial" w:cs="Arial"/>
        </w:rPr>
        <w:t xml:space="preserve">  and</w:t>
      </w:r>
    </w:p>
    <w:p w14:paraId="03738D3E" w14:textId="77777777" w:rsidR="009E20A6" w:rsidRPr="009E20A6" w:rsidRDefault="009E20A6" w:rsidP="009E20A6">
      <w:pPr>
        <w:autoSpaceDE w:val="0"/>
        <w:autoSpaceDN w:val="0"/>
        <w:adjustRightInd w:val="0"/>
        <w:jc w:val="both"/>
        <w:rPr>
          <w:rFonts w:ascii="Arial" w:hAnsi="Arial" w:cs="Arial"/>
        </w:rPr>
      </w:pPr>
    </w:p>
    <w:p w14:paraId="02FE3295" w14:textId="77777777" w:rsidR="009E20A6" w:rsidRPr="009E20A6" w:rsidRDefault="009E20A6" w:rsidP="009E20A6">
      <w:pPr>
        <w:autoSpaceDE w:val="0"/>
        <w:autoSpaceDN w:val="0"/>
        <w:adjustRightInd w:val="0"/>
        <w:ind w:firstLine="720"/>
        <w:jc w:val="both"/>
        <w:rPr>
          <w:rFonts w:ascii="Arial" w:hAnsi="Arial" w:cs="Arial"/>
        </w:rPr>
      </w:pPr>
      <w:r w:rsidRPr="009E20A6">
        <w:rPr>
          <w:rFonts w:ascii="Arial" w:hAnsi="Arial" w:cs="Arial"/>
        </w:rPr>
        <w:t xml:space="preserve"> </w:t>
      </w:r>
      <m:oMath>
        <m:r>
          <w:rPr>
            <w:rFonts w:ascii="Cambria Math" w:hAnsi="Cambria Math" w:cs="Arial"/>
          </w:rPr>
          <m:t>r</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h(x)</m:t>
            </m:r>
          </m:num>
          <m:den>
            <m:r>
              <w:rPr>
                <w:rFonts w:ascii="Cambria Math" w:hAnsi="Cambria Math" w:cs="Arial"/>
              </w:rPr>
              <m:t xml:space="preserve">1- </m:t>
            </m:r>
            <m:acc>
              <m:accPr>
                <m:chr m:val="̅"/>
                <m:ctrlPr>
                  <w:rPr>
                    <w:rFonts w:ascii="Cambria Math" w:hAnsi="Cambria Math" w:cs="Arial"/>
                    <w:i/>
                  </w:rPr>
                </m:ctrlPr>
              </m:accPr>
              <m:e>
                <m:r>
                  <w:rPr>
                    <w:rFonts w:ascii="Cambria Math" w:hAnsi="Cambria Math" w:cs="Arial"/>
                  </w:rPr>
                  <m:t>θ</m:t>
                </m:r>
              </m:e>
            </m:acc>
            <m:acc>
              <m:accPr>
                <m:chr m:val="̅"/>
                <m:ctrlPr>
                  <w:rPr>
                    <w:rFonts w:ascii="Cambria Math" w:hAnsi="Cambria Math" w:cs="Arial"/>
                    <w:i/>
                  </w:rPr>
                </m:ctrlPr>
              </m:accPr>
              <m:e>
                <m:r>
                  <w:rPr>
                    <w:rFonts w:ascii="Cambria Math" w:hAnsi="Cambria Math" w:cs="Arial"/>
                  </w:rPr>
                  <m:t xml:space="preserve">F </m:t>
                </m:r>
              </m:e>
            </m:acc>
            <m:r>
              <w:rPr>
                <w:rFonts w:ascii="Cambria Math" w:hAnsi="Cambria Math" w:cs="Arial"/>
              </w:rPr>
              <m:t>(x)</m:t>
            </m:r>
          </m:den>
        </m:f>
      </m:oMath>
      <w:r w:rsidRPr="009E20A6">
        <w:rPr>
          <w:rFonts w:ascii="Arial" w:hAnsi="Arial" w:cs="Arial"/>
        </w:rPr>
        <w:t xml:space="preserve"> .</w:t>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Pr>
          <w:rFonts w:ascii="Arial" w:hAnsi="Arial" w:cs="Arial"/>
        </w:rPr>
        <w:tab/>
      </w:r>
      <w:r w:rsidRPr="009E20A6">
        <w:rPr>
          <w:rFonts w:ascii="Arial" w:hAnsi="Arial" w:cs="Arial"/>
        </w:rPr>
        <w:tab/>
        <w:t>(6)</w:t>
      </w:r>
    </w:p>
    <w:p w14:paraId="6CE7344D" w14:textId="77777777" w:rsidR="009E20A6" w:rsidRPr="009E20A6" w:rsidRDefault="009E20A6" w:rsidP="009E20A6">
      <w:pPr>
        <w:autoSpaceDE w:val="0"/>
        <w:autoSpaceDN w:val="0"/>
        <w:adjustRightInd w:val="0"/>
        <w:ind w:firstLine="720"/>
        <w:jc w:val="both"/>
        <w:rPr>
          <w:rFonts w:ascii="Arial" w:hAnsi="Arial" w:cs="Arial"/>
        </w:rPr>
      </w:pPr>
    </w:p>
    <w:p w14:paraId="7CCE5453"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where</w:t>
      </w:r>
      <m:oMath>
        <m:r>
          <w:rPr>
            <w:rFonts w:ascii="Cambria Math" w:hAnsi="Cambria Math" w:cs="Arial"/>
          </w:rPr>
          <m:t xml:space="preserve"> h(x)</m:t>
        </m:r>
      </m:oMath>
      <w:r w:rsidRPr="009E20A6">
        <w:rPr>
          <w:rFonts w:ascii="Arial" w:hAnsi="Arial" w:cs="Arial"/>
        </w:rPr>
        <w:t xml:space="preserve"> is the hazard rate corresponding to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1285E9B8"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3663EB2C" w14:textId="77777777" w:rsidR="009E20A6" w:rsidRPr="009E20A6" w:rsidRDefault="009E20A6" w:rsidP="009E20A6">
      <w:pPr>
        <w:autoSpaceDE w:val="0"/>
        <w:autoSpaceDN w:val="0"/>
        <w:adjustRightInd w:val="0"/>
        <w:jc w:val="both"/>
        <w:rPr>
          <w:rFonts w:ascii="Arial" w:hAnsi="Arial" w:cs="Arial"/>
          <w:bCs/>
        </w:rPr>
      </w:pPr>
      <w:r w:rsidRPr="009E20A6">
        <w:rPr>
          <w:rFonts w:ascii="Arial" w:hAnsi="Arial" w:cs="Arial"/>
          <w:bCs/>
        </w:rPr>
        <w:t xml:space="preserve">MOIR distribution is derived by injecting equations (1) and (3) in equations (4) and (5). Thus, the survival function of MOIR distribution is </w:t>
      </w:r>
    </w:p>
    <w:p w14:paraId="3241BAB9" w14:textId="77777777" w:rsidR="009E20A6" w:rsidRPr="009E20A6" w:rsidRDefault="009E20A6" w:rsidP="009E20A6">
      <w:pPr>
        <w:autoSpaceDE w:val="0"/>
        <w:autoSpaceDN w:val="0"/>
        <w:adjustRightInd w:val="0"/>
        <w:jc w:val="both"/>
        <w:rPr>
          <w:rFonts w:ascii="Arial" w:eastAsiaTheme="minorEastAsia" w:hAnsi="Arial" w:cs="Arial"/>
        </w:rPr>
      </w:pPr>
    </w:p>
    <w:p w14:paraId="1EA5067A" w14:textId="77777777" w:rsidR="009E20A6" w:rsidRPr="009E20A6" w:rsidRDefault="00000000" w:rsidP="009E20A6">
      <w:pPr>
        <w:autoSpaceDE w:val="0"/>
        <w:autoSpaceDN w:val="0"/>
        <w:adjustRightInd w:val="0"/>
        <w:ind w:left="720" w:firstLine="720"/>
        <w:jc w:val="both"/>
        <w:rPr>
          <w:rFonts w:ascii="Arial" w:eastAsiaTheme="minorEastAsia" w:hAnsi="Arial" w:cs="Arial"/>
        </w:rPr>
      </w:pPr>
      <m:oMath>
        <m:acc>
          <m:accPr>
            <m:chr m:val="̅"/>
            <m:ctrlPr>
              <w:rPr>
                <w:rFonts w:ascii="Cambria Math" w:hAnsi="Cambria Math" w:cs="Arial"/>
                <w:i/>
              </w:rPr>
            </m:ctrlPr>
          </m:accPr>
          <m:e>
            <m:r>
              <w:rPr>
                <w:rFonts w:ascii="Cambria Math" w:hAnsi="Cambria Math" w:cs="Arial"/>
              </w:rPr>
              <m:t>G</m:t>
            </m:r>
          </m:e>
        </m:acc>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 θ</m:t>
            </m:r>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num>
          <m:den>
            <m:r>
              <w:rPr>
                <w:rFonts w:ascii="Cambria Math" w:hAnsi="Cambria Math" w:cs="Arial"/>
              </w:rPr>
              <m:t>1-</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den>
        </m:f>
        <m:r>
          <w:rPr>
            <w:rFonts w:ascii="Cambria Math" w:hAnsi="Cambria Math" w:cs="Arial"/>
          </w:rPr>
          <m:t xml:space="preserve"> ;     x&gt;0, λ&gt;0, θ&gt;0.</m:t>
        </m:r>
      </m:oMath>
      <w:r w:rsidR="009E20A6" w:rsidRPr="009E20A6">
        <w:rPr>
          <w:rFonts w:ascii="Arial" w:eastAsiaTheme="minorEastAsia" w:hAnsi="Arial" w:cs="Arial"/>
        </w:rPr>
        <w:t xml:space="preserve"> </w:t>
      </w:r>
      <w:r w:rsidR="009E20A6" w:rsidRPr="009E20A6">
        <w:rPr>
          <w:rFonts w:ascii="Arial" w:eastAsiaTheme="minorEastAsia" w:hAnsi="Arial" w:cs="Arial"/>
        </w:rPr>
        <w:tab/>
      </w:r>
      <w:r w:rsidR="009E20A6" w:rsidRPr="009E20A6">
        <w:rPr>
          <w:rFonts w:ascii="Arial" w:eastAsiaTheme="minorEastAsia" w:hAnsi="Arial" w:cs="Arial"/>
        </w:rPr>
        <w:tab/>
      </w:r>
      <w:r w:rsidR="009E20A6">
        <w:rPr>
          <w:rFonts w:ascii="Arial" w:eastAsiaTheme="minorEastAsia" w:hAnsi="Arial" w:cs="Arial"/>
        </w:rPr>
        <w:tab/>
      </w:r>
      <w:r w:rsidR="009E20A6">
        <w:rPr>
          <w:rFonts w:ascii="Arial" w:eastAsiaTheme="minorEastAsia" w:hAnsi="Arial" w:cs="Arial"/>
        </w:rPr>
        <w:tab/>
      </w:r>
      <w:r w:rsidR="009E20A6" w:rsidRPr="009E20A6">
        <w:rPr>
          <w:rFonts w:ascii="Arial" w:eastAsiaTheme="minorEastAsia" w:hAnsi="Arial" w:cs="Arial"/>
        </w:rPr>
        <w:t>(7)</w:t>
      </w:r>
    </w:p>
    <w:p w14:paraId="3BF643CC" w14:textId="77777777" w:rsidR="009E20A6" w:rsidRPr="009E20A6" w:rsidRDefault="009E20A6" w:rsidP="009E20A6">
      <w:pPr>
        <w:autoSpaceDE w:val="0"/>
        <w:autoSpaceDN w:val="0"/>
        <w:adjustRightInd w:val="0"/>
        <w:jc w:val="both"/>
        <w:rPr>
          <w:rFonts w:ascii="Arial" w:eastAsiaTheme="minorEastAsia" w:hAnsi="Arial" w:cs="Arial"/>
        </w:rPr>
      </w:pPr>
    </w:p>
    <w:p w14:paraId="7193BBE7"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 </w:t>
      </w:r>
      <w:proofErr w:type="spellStart"/>
      <w:r w:rsidRPr="009E20A6">
        <w:rPr>
          <w:rFonts w:ascii="Arial" w:eastAsiaTheme="minorEastAsia" w:hAnsi="Arial" w:cs="Arial"/>
        </w:rPr>
        <w:t>cdf</w:t>
      </w:r>
      <w:proofErr w:type="spellEnd"/>
    </w:p>
    <w:p w14:paraId="4B9C821B" w14:textId="77777777" w:rsidR="009E20A6" w:rsidRPr="009E20A6" w:rsidRDefault="009E20A6" w:rsidP="009E20A6">
      <w:pPr>
        <w:autoSpaceDE w:val="0"/>
        <w:autoSpaceDN w:val="0"/>
        <w:adjustRightInd w:val="0"/>
        <w:jc w:val="both"/>
        <w:rPr>
          <w:rFonts w:ascii="Arial" w:hAnsi="Arial" w:cs="Arial"/>
        </w:rPr>
      </w:pPr>
    </w:p>
    <w:p w14:paraId="4E3822F2"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r>
              <w:rPr>
                <w:rFonts w:ascii="Cambria Math" w:hAnsi="Cambria Math" w:cs="Arial"/>
              </w:rPr>
              <m:t>θ-</m:t>
            </m:r>
            <m:d>
              <m:dPr>
                <m:ctrlPr>
                  <w:rPr>
                    <w:rFonts w:ascii="Cambria Math" w:hAnsi="Cambria Math" w:cs="Arial"/>
                    <w:i/>
                  </w:rPr>
                </m:ctrlPr>
              </m:dPr>
              <m:e>
                <m:r>
                  <w:rPr>
                    <w:rFonts w:ascii="Cambria Math" w:hAnsi="Cambria Math" w:cs="Arial"/>
                  </w:rPr>
                  <m:t>θ-1</m:t>
                </m:r>
              </m:e>
            </m:d>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     x&gt;0, λ&gt;0, θ&gt;0.</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Pr>
          <w:rFonts w:ascii="Arial" w:eastAsiaTheme="minorEastAsia" w:hAnsi="Arial" w:cs="Arial"/>
        </w:rPr>
        <w:tab/>
      </w:r>
      <w:r w:rsidRPr="009E20A6">
        <w:rPr>
          <w:rFonts w:ascii="Arial" w:eastAsiaTheme="minorEastAsia" w:hAnsi="Arial" w:cs="Arial"/>
        </w:rPr>
        <w:t>(8)</w:t>
      </w:r>
    </w:p>
    <w:p w14:paraId="5AA16F49"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7E372765" w14:textId="77777777" w:rsidR="009E20A6" w:rsidRPr="009E20A6" w:rsidRDefault="009E20A6" w:rsidP="009E20A6">
      <w:pPr>
        <w:autoSpaceDE w:val="0"/>
        <w:autoSpaceDN w:val="0"/>
        <w:adjustRightInd w:val="0"/>
        <w:jc w:val="both"/>
        <w:rPr>
          <w:rFonts w:ascii="Arial" w:hAnsi="Arial" w:cs="Arial"/>
          <w:color w:val="000000"/>
        </w:rPr>
      </w:pPr>
      <w:r w:rsidRPr="009E20A6">
        <w:rPr>
          <w:rFonts w:ascii="Arial" w:hAnsi="Arial" w:cs="Arial"/>
          <w:color w:val="000000"/>
        </w:rPr>
        <w:t xml:space="preserve">and the pdf </w:t>
      </w:r>
    </w:p>
    <w:p w14:paraId="24EF52C4" w14:textId="77777777" w:rsidR="009E20A6" w:rsidRPr="009E20A6" w:rsidRDefault="009E20A6" w:rsidP="009E20A6">
      <w:pPr>
        <w:autoSpaceDE w:val="0"/>
        <w:autoSpaceDN w:val="0"/>
        <w:adjustRightInd w:val="0"/>
        <w:jc w:val="both"/>
        <w:rPr>
          <w:rFonts w:ascii="Arial" w:eastAsiaTheme="minorEastAsia" w:hAnsi="Arial" w:cs="Arial"/>
        </w:rPr>
      </w:pPr>
    </w:p>
    <w:p w14:paraId="0C46F376" w14:textId="77777777" w:rsidR="009E20A6" w:rsidRPr="009E20A6" w:rsidRDefault="009E20A6" w:rsidP="009E20A6">
      <w:pPr>
        <w:autoSpaceDE w:val="0"/>
        <w:autoSpaceDN w:val="0"/>
        <w:adjustRightInd w:val="0"/>
        <w:jc w:val="both"/>
        <w:rPr>
          <w:rFonts w:ascii="Arial" w:eastAsiaTheme="minorEastAsia" w:hAnsi="Arial" w:cs="Arial"/>
        </w:rPr>
      </w:pPr>
    </w:p>
    <w:p w14:paraId="18F6A992"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w:rPr>
            <w:rFonts w:ascii="Cambria Math" w:hAnsi="Cambria Math" w:cs="Arial"/>
          </w:rPr>
          <m:t xml:space="preserve">   ;     x&gt;0, λ&gt;0, θ&gt;0.</m:t>
        </m:r>
      </m:oMath>
      <w:r w:rsidRPr="009E20A6">
        <w:rPr>
          <w:rFonts w:ascii="Arial" w:eastAsiaTheme="minorEastAsia" w:hAnsi="Arial" w:cs="Arial"/>
        </w:rPr>
        <w:t xml:space="preserve">  </w:t>
      </w:r>
      <w:r w:rsidRPr="009E20A6">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9E20A6">
        <w:rPr>
          <w:rFonts w:ascii="Arial" w:eastAsiaTheme="minorEastAsia" w:hAnsi="Arial" w:cs="Arial"/>
        </w:rPr>
        <w:t>(9)</w:t>
      </w:r>
    </w:p>
    <w:p w14:paraId="49D40641"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 hazard function </w:t>
      </w:r>
    </w:p>
    <w:p w14:paraId="6600B8A3" w14:textId="77777777" w:rsidR="009E20A6" w:rsidRPr="009E20A6" w:rsidRDefault="009E20A6" w:rsidP="009E20A6">
      <w:pPr>
        <w:autoSpaceDE w:val="0"/>
        <w:autoSpaceDN w:val="0"/>
        <w:adjustRightInd w:val="0"/>
        <w:jc w:val="both"/>
        <w:rPr>
          <w:rFonts w:ascii="Arial" w:eastAsiaTheme="minorEastAsia" w:hAnsi="Arial" w:cs="Arial"/>
        </w:rPr>
      </w:pPr>
    </w:p>
    <w:p w14:paraId="44B83AED" w14:textId="77777777" w:rsidR="009E20A6" w:rsidRPr="009E20A6" w:rsidRDefault="009E20A6" w:rsidP="009E20A6">
      <w:pPr>
        <w:autoSpaceDE w:val="0"/>
        <w:autoSpaceDN w:val="0"/>
        <w:adjustRightInd w:val="0"/>
        <w:ind w:left="720" w:right="-252" w:firstLine="720"/>
        <w:jc w:val="both"/>
        <w:rPr>
          <w:rFonts w:ascii="Arial" w:eastAsiaTheme="minorEastAsia" w:hAnsi="Arial" w:cs="Arial"/>
        </w:rPr>
      </w:pPr>
      <m:oMath>
        <m:r>
          <w:rPr>
            <w:rFonts w:ascii="Cambria Math" w:eastAsiaTheme="minorEastAsia" w:hAnsi="Cambria Math" w:cs="Arial"/>
          </w:rPr>
          <m:t>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θ-1</m:t>
                    </m:r>
                  </m:e>
                </m:d>
                <m: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r>
                  <w:rPr>
                    <w:rFonts w:ascii="Cambria Math" w:eastAsiaTheme="minorEastAsia" w:hAnsi="Cambria Math" w:cs="Arial"/>
                  </w:rPr>
                  <m:t>-θ</m:t>
                </m:r>
              </m:e>
            </m:d>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d>
              <m:dPr>
                <m:ctrlPr>
                  <w:rPr>
                    <w:rFonts w:ascii="Cambria Math" w:eastAsiaTheme="minorEastAsia" w:hAnsi="Cambria Math" w:cs="Arial"/>
                    <w:i/>
                  </w:rPr>
                </m:ctrlPr>
              </m:dPr>
              <m:e>
                <m:r>
                  <w:rPr>
                    <w:rFonts w:ascii="Cambria Math" w:eastAsiaTheme="minorEastAsia" w:hAnsi="Cambria Math" w:cs="Arial"/>
                  </w:rPr>
                  <m:t>-1+exp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e>
            </m:d>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1+</m:t>
                    </m:r>
                    <m:d>
                      <m:dPr>
                        <m:ctrlPr>
                          <w:rPr>
                            <w:rFonts w:ascii="Cambria Math" w:eastAsiaTheme="minorEastAsia" w:hAnsi="Cambria Math" w:cs="Arial"/>
                            <w:i/>
                          </w:rPr>
                        </m:ctrlPr>
                      </m:dPr>
                      <m:e>
                        <m:r>
                          <w:rPr>
                            <w:rFonts w:ascii="Cambria Math" w:eastAsiaTheme="minorEastAsia" w:hAnsi="Cambria Math" w:cs="Arial"/>
                          </w:rPr>
                          <m:t>θ-1</m:t>
                        </m:r>
                      </m:e>
                    </m:d>
                    <m: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e>
                </m:d>
              </m:e>
              <m:sup>
                <m:r>
                  <w:rPr>
                    <w:rFonts w:ascii="Cambria Math" w:eastAsiaTheme="minorEastAsia" w:hAnsi="Cambria Math" w:cs="Arial"/>
                  </w:rPr>
                  <m:t>2</m:t>
                </m:r>
              </m:sup>
            </m:sSup>
          </m:den>
        </m:f>
      </m:oMath>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9E20A6">
        <w:rPr>
          <w:rFonts w:ascii="Arial" w:eastAsiaTheme="minorEastAsia" w:hAnsi="Arial" w:cs="Arial"/>
        </w:rPr>
        <w:t>(10)</w:t>
      </w:r>
    </w:p>
    <w:p w14:paraId="6AB97DA5" w14:textId="77777777" w:rsidR="009E20A6" w:rsidRPr="009E20A6" w:rsidRDefault="009E20A6" w:rsidP="009E20A6">
      <w:pPr>
        <w:autoSpaceDE w:val="0"/>
        <w:autoSpaceDN w:val="0"/>
        <w:adjustRightInd w:val="0"/>
        <w:jc w:val="both"/>
        <w:rPr>
          <w:rFonts w:ascii="Arial" w:eastAsiaTheme="minorEastAsia" w:hAnsi="Arial" w:cs="Arial"/>
        </w:rPr>
      </w:pPr>
    </w:p>
    <w:p w14:paraId="69162431" w14:textId="77777777" w:rsidR="009E20A6" w:rsidRPr="009E20A6" w:rsidRDefault="009E20A6" w:rsidP="009E20A6">
      <w:pPr>
        <w:autoSpaceDE w:val="0"/>
        <w:autoSpaceDN w:val="0"/>
        <w:adjustRightInd w:val="0"/>
        <w:jc w:val="both"/>
        <w:rPr>
          <w:rFonts w:ascii="Arial" w:eastAsiaTheme="minorEastAsia" w:hAnsi="Arial" w:cs="Arial"/>
        </w:rPr>
      </w:pPr>
    </w:p>
    <w:p w14:paraId="1177524E" w14:textId="77777777" w:rsidR="009E20A6" w:rsidRDefault="009E20A6" w:rsidP="009E20A6">
      <w:pPr>
        <w:keepNext/>
        <w:autoSpaceDE w:val="0"/>
        <w:autoSpaceDN w:val="0"/>
        <w:adjustRightInd w:val="0"/>
        <w:jc w:val="both"/>
        <w:rPr>
          <w:rFonts w:ascii="Arial" w:hAnsi="Arial" w:cs="Arial"/>
          <w:color w:val="000000"/>
        </w:rPr>
      </w:pPr>
      <w:r w:rsidRPr="009E20A6">
        <w:rPr>
          <w:rFonts w:ascii="Arial" w:hAnsi="Arial" w:cs="Arial"/>
          <w:color w:val="000000"/>
        </w:rPr>
        <w:lastRenderedPageBreak/>
        <w:t xml:space="preserve">Figures 1–4 show various forms of the pdf, </w:t>
      </w:r>
      <w:proofErr w:type="spellStart"/>
      <w:r w:rsidRPr="009E20A6">
        <w:rPr>
          <w:rFonts w:ascii="Arial" w:hAnsi="Arial" w:cs="Arial"/>
          <w:color w:val="000000"/>
        </w:rPr>
        <w:t>cdf</w:t>
      </w:r>
      <w:proofErr w:type="spellEnd"/>
      <w:r w:rsidRPr="009E20A6">
        <w:rPr>
          <w:rFonts w:ascii="Arial" w:hAnsi="Arial" w:cs="Arial"/>
          <w:color w:val="000000"/>
        </w:rPr>
        <w:t>, survival, and hazard of MOIR distributions for different parameter values (θ and γ).</w:t>
      </w:r>
    </w:p>
    <w:p w14:paraId="299D4065" w14:textId="77777777" w:rsidR="00DB3F61" w:rsidRDefault="00DB3F61" w:rsidP="009E20A6">
      <w:pPr>
        <w:keepNext/>
        <w:autoSpaceDE w:val="0"/>
        <w:autoSpaceDN w:val="0"/>
        <w:adjustRightInd w:val="0"/>
        <w:jc w:val="both"/>
        <w:rPr>
          <w:rFonts w:ascii="Arial" w:hAnsi="Arial" w:cs="Arial"/>
          <w:color w:val="000000"/>
        </w:rPr>
      </w:pPr>
    </w:p>
    <w:p w14:paraId="10BC362A" w14:textId="77777777" w:rsidR="00DB3F61" w:rsidRPr="009E20A6" w:rsidRDefault="00DB3F61" w:rsidP="009E20A6">
      <w:pPr>
        <w:keepNext/>
        <w:autoSpaceDE w:val="0"/>
        <w:autoSpaceDN w:val="0"/>
        <w:adjustRightInd w:val="0"/>
        <w:jc w:val="both"/>
        <w:rPr>
          <w:rFonts w:ascii="Arial" w:hAnsi="Arial" w:cs="Arial"/>
          <w:color w:val="000000"/>
        </w:rPr>
      </w:pPr>
    </w:p>
    <w:p w14:paraId="1F76AA13" w14:textId="77777777" w:rsidR="009E20A6" w:rsidRPr="009E20A6" w:rsidRDefault="00000000" w:rsidP="009E20A6">
      <w:pPr>
        <w:keepNext/>
        <w:autoSpaceDE w:val="0"/>
        <w:autoSpaceDN w:val="0"/>
        <w:adjustRightInd w:val="0"/>
        <w:jc w:val="both"/>
        <w:rPr>
          <w:rFonts w:ascii="Arial" w:hAnsi="Arial" w:cs="Arial"/>
        </w:rPr>
      </w:pPr>
      <w:r>
        <w:rPr>
          <w:rFonts w:ascii="Arial" w:hAnsi="Arial" w:cs="Arial"/>
        </w:rPr>
      </w:r>
      <w:r>
        <w:rPr>
          <w:rFonts w:ascii="Arial" w:hAnsi="Arial" w:cs="Arial"/>
        </w:rPr>
        <w:pict w14:anchorId="0ED777E1">
          <v:group id="Canvas 2" o:spid="_x0000_s2057" editas="canvas" style="width:498.75pt;height:213.05pt;mso-position-horizontal-relative:char;mso-position-vertical-relative:line" coordorigin="368" coordsize="63341,27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368;width:63341;height:27051;visibility:visible;mso-wrap-style:square" filled="t">
              <v:fill o:detectmouseclick="t"/>
              <v:path o:connecttype="none"/>
            </v:shape>
            <v:shape id="Picture 1201181843" o:spid="_x0000_s2059" type="#_x0000_t75" style="position:absolute;left:371;top:286;width:32109;height:2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">
              <v:imagedata r:id="rId8" o:title=""/>
            </v:shape>
            <v:shape id="Picture 397822408" o:spid="_x0000_s2060" type="#_x0000_t75" style="position:absolute;left:31889;top:857;width:31642;height:25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1986796492" o:spid="_x0000_s2061" type="#_x0000_t202" style="position:absolute;left:3428;top:24193;width:2733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" fillcolor="white [3201]" stroked="f" strokeweight=".5pt">
              <v:textbox>
                <w:txbxContent>
                  <w:p w14:paraId="3098732B" w14:textId="77777777" w:rsidR="009E20A6" w:rsidRPr="006842CE" w:rsidRDefault="009E20A6" w:rsidP="009E20A6">
                    <w:pPr>
                      <w:rPr>
                        <w:rFonts w:ascii="Times New Roman" w:hAnsi="Times New Roman"/>
                      </w:rPr>
                    </w:pPr>
                    <w:r w:rsidRPr="006842CE">
                      <w:rPr>
                        <w:rFonts w:ascii="Times New Roman" w:hAnsi="Times New Roman"/>
                      </w:rPr>
                      <w:t xml:space="preserve">Figure </w:t>
                    </w:r>
                    <w:r w:rsidRPr="006842CE">
                      <w:rPr>
                        <w:rFonts w:ascii="Times New Roman" w:hAnsi="Times New Roman"/>
                      </w:rPr>
                      <w:fldChar w:fldCharType="begin"/>
                    </w:r>
                    <w:r w:rsidRPr="006842CE">
                      <w:rPr>
                        <w:rFonts w:ascii="Times New Roman" w:hAnsi="Times New Roman"/>
                      </w:rPr>
                      <w:instrText xml:space="preserve"> SEQ Figure \* ARABIC </w:instrText>
                    </w:r>
                    <w:r w:rsidRPr="006842CE">
                      <w:rPr>
                        <w:rFonts w:ascii="Times New Roman" w:hAnsi="Times New Roman"/>
                      </w:rPr>
                      <w:fldChar w:fldCharType="separate"/>
                    </w:r>
                    <w:r w:rsidRPr="006842CE">
                      <w:rPr>
                        <w:rFonts w:ascii="Times New Roman" w:hAnsi="Times New Roman"/>
                        <w:noProof/>
                      </w:rPr>
                      <w:t>1</w:t>
                    </w:r>
                    <w:r w:rsidRPr="006842CE">
                      <w:rPr>
                        <w:rFonts w:ascii="Times New Roman" w:hAnsi="Times New Roman"/>
                      </w:rPr>
                      <w:fldChar w:fldCharType="end"/>
                    </w:r>
                    <w:r w:rsidRPr="006842CE">
                      <w:rPr>
                        <w:rFonts w:ascii="Times New Roman" w:hAnsi="Times New Roman"/>
                      </w:rPr>
                      <w:t>: Probability Density Plot of MOIR</w:t>
                    </w:r>
                  </w:p>
                </w:txbxContent>
              </v:textbox>
            </v:shape>
            <v:shape id="Text Box 1513425637" o:spid="_x0000_s2062" type="#_x0000_t202" style="position:absolute;left:33432;top:24193;width:293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" fillcolor="white [3201]" stroked="f" strokeweight=".5pt">
              <v:textbox>
                <w:txbxContent>
                  <w:p w14:paraId="4CD10D96" w14:textId="77777777" w:rsidR="009E20A6" w:rsidRPr="006842CE" w:rsidRDefault="009E20A6" w:rsidP="009E20A6">
                    <w:pPr>
                      <w:rPr>
                        <w:rFonts w:ascii="Times New Roman" w:hAnsi="Times New Roman"/>
                      </w:rPr>
                    </w:pPr>
                    <w:r w:rsidRPr="006842CE">
                      <w:rPr>
                        <w:rFonts w:ascii="Times New Roman" w:hAnsi="Times New Roman"/>
                      </w:rPr>
                      <w:t>Figure 2: Cumulative Distribution Plot of MOIR</w:t>
                    </w:r>
                  </w:p>
                </w:txbxContent>
              </v:textbox>
            </v:shape>
            <w10:anchorlock/>
          </v:group>
        </w:pict>
      </w:r>
      <w:r w:rsidR="009E20A6" w:rsidRPr="009E20A6">
        <w:rPr>
          <w:rFonts w:ascii="Arial" w:hAnsi="Arial" w:cs="Arial"/>
        </w:rPr>
        <w:tab/>
        <w:t xml:space="preserve">   </w:t>
      </w:r>
    </w:p>
    <w:p w14:paraId="266752F3" w14:textId="77777777" w:rsidR="009E20A6" w:rsidRPr="009E20A6" w:rsidRDefault="00000000" w:rsidP="009E20A6">
      <w:pPr>
        <w:jc w:val="both"/>
        <w:rPr>
          <w:rFonts w:ascii="Arial" w:eastAsiaTheme="minorEastAsia" w:hAnsi="Arial" w:cs="Arial"/>
        </w:rPr>
      </w:pPr>
      <w:r>
        <w:rPr>
          <w:rFonts w:ascii="Arial" w:eastAsiaTheme="minorEastAsia" w:hAnsi="Arial" w:cs="Arial"/>
        </w:rPr>
      </w:r>
      <w:r>
        <w:rPr>
          <w:rFonts w:ascii="Arial" w:eastAsiaTheme="minorEastAsia" w:hAnsi="Arial" w:cs="Arial"/>
        </w:rPr>
        <w:pict w14:anchorId="6009B29A">
          <v:group id="Canvas 1" o:spid="_x0000_s2051" editas="canvas" style="width:508.1pt;height:229.3pt;mso-position-horizontal-relative:char;mso-position-vertical-relative:line;mso-width-relative:margin;mso-height-relative:margin" coordsize="64528,29121">
            <v:shape id="_x0000_s2052" type="#_x0000_t75" style="position:absolute;width:64528;height:29121;visibility:visible;mso-wrap-style:square" o:preferrelative="f" filled="t">
              <v:fill o:detectmouseclick="t"/>
              <v:path o:connecttype="none"/>
            </v:shape>
            <v:shape id="Picture 1940358140" o:spid="_x0000_s2053" type="#_x0000_t75" style="position:absolute;left:361;top:361;width:31877;height:24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">
              <v:imagedata r:id="rId10" o:title=""/>
            </v:shape>
            <v:shape id="Picture 1756069770" o:spid="_x0000_s2054" type="#_x0000_t75" style="position:absolute;left:32429;top:361;width:32099;height:24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">
              <v:imagedata r:id="rId11" o:title=""/>
            </v:shape>
            <v:shape id="Text Box 429926976" o:spid="_x0000_s2055" type="#_x0000_t202" style="position:absolute;left:5664;top:26077;width:2262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" fillcolor="white [3201]" stroked="f" strokeweight=".5pt">
              <v:textbox style="mso-next-textbox:#Text Box 429926976">
                <w:txbxContent>
                  <w:p w14:paraId="0FB5E0F5" w14:textId="77777777" w:rsidR="009E20A6" w:rsidRPr="00DB3F61" w:rsidRDefault="009E20A6" w:rsidP="009E20A6">
                    <w:pPr>
                      <w:rPr>
                        <w:rFonts w:ascii="Arial" w:hAnsi="Arial" w:cs="Arial"/>
                      </w:rPr>
                    </w:pPr>
                    <w:r w:rsidRPr="00DB3F61">
                      <w:rPr>
                        <w:rFonts w:ascii="Arial" w:hAnsi="Arial" w:cs="Arial"/>
                      </w:rPr>
                      <w:t>Figure 3: Survival Plot of MOIR</w:t>
                    </w:r>
                  </w:p>
                </w:txbxContent>
              </v:textbox>
            </v:shape>
            <v:shape id="Text Box 674301455" o:spid="_x0000_s2056" type="#_x0000_t202" style="position:absolute;left:36621;top:26172;width:24243;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" fillcolor="white [3201]" stroked="f" strokeweight=".5pt">
              <v:textbox style="mso-next-textbox:#Text Box 674301455">
                <w:txbxContent>
                  <w:p w14:paraId="10E9E09B" w14:textId="77777777" w:rsidR="009E20A6" w:rsidRPr="00DB3F61" w:rsidRDefault="009E20A6" w:rsidP="009E20A6">
                    <w:pPr>
                      <w:rPr>
                        <w:rFonts w:ascii="Arial" w:hAnsi="Arial" w:cs="Arial"/>
                      </w:rPr>
                    </w:pPr>
                    <w:r w:rsidRPr="00DB3F61">
                      <w:rPr>
                        <w:rFonts w:ascii="Arial" w:hAnsi="Arial" w:cs="Arial"/>
                      </w:rPr>
                      <w:t>Figure 4: Reliability Plot of MOIR</w:t>
                    </w:r>
                  </w:p>
                </w:txbxContent>
              </v:textbox>
            </v:shape>
            <w10:anchorlock/>
          </v:group>
        </w:pict>
      </w:r>
    </w:p>
    <w:p w14:paraId="64E60905" w14:textId="77777777" w:rsidR="009E20A6" w:rsidRPr="009E20A6" w:rsidRDefault="009E20A6" w:rsidP="009E20A6">
      <w:pPr>
        <w:autoSpaceDE w:val="0"/>
        <w:autoSpaceDN w:val="0"/>
        <w:adjustRightInd w:val="0"/>
        <w:jc w:val="both"/>
        <w:rPr>
          <w:rFonts w:ascii="Arial" w:eastAsiaTheme="minorEastAsia" w:hAnsi="Arial" w:cs="Arial"/>
        </w:rPr>
      </w:pPr>
    </w:p>
    <w:p w14:paraId="67F4EF5D"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hAnsi="Arial" w:cs="Arial"/>
          <w:b/>
          <w:bCs/>
        </w:rPr>
        <w:t>2.2</w:t>
      </w:r>
      <w:r>
        <w:rPr>
          <w:rFonts w:ascii="Arial" w:hAnsi="Arial" w:cs="Arial"/>
        </w:rPr>
        <w:t xml:space="preserve"> </w:t>
      </w:r>
      <w:r w:rsidRPr="009E20A6">
        <w:rPr>
          <w:rFonts w:ascii="Arial" w:hAnsi="Arial" w:cs="Arial"/>
          <w:b/>
          <w:bCs/>
          <w:sz w:val="22"/>
          <w:szCs w:val="22"/>
        </w:rPr>
        <w:t>Derivation and properties of the MOIR distribution</w:t>
      </w:r>
      <w:r w:rsidRPr="009E20A6">
        <w:rPr>
          <w:rFonts w:ascii="Arial" w:hAnsi="Arial" w:cs="Arial"/>
          <w:sz w:val="22"/>
          <w:szCs w:val="22"/>
        </w:rPr>
        <w:t>.</w:t>
      </w:r>
    </w:p>
    <w:p w14:paraId="3A8FA7DD" w14:textId="77777777" w:rsidR="009E20A6" w:rsidRPr="009E20A6" w:rsidRDefault="009E20A6" w:rsidP="009E20A6">
      <w:pPr>
        <w:autoSpaceDE w:val="0"/>
        <w:autoSpaceDN w:val="0"/>
        <w:adjustRightInd w:val="0"/>
        <w:jc w:val="both"/>
        <w:rPr>
          <w:rFonts w:ascii="Arial" w:eastAsiaTheme="minorEastAsia" w:hAnsi="Arial" w:cs="Arial"/>
        </w:rPr>
      </w:pPr>
    </w:p>
    <w:p w14:paraId="3427A466" w14:textId="77777777" w:rsidR="009E20A6" w:rsidRPr="009E20A6" w:rsidRDefault="009E20A6" w:rsidP="009E20A6">
      <w:pPr>
        <w:autoSpaceDE w:val="0"/>
        <w:autoSpaceDN w:val="0"/>
        <w:adjustRightInd w:val="0"/>
        <w:jc w:val="both"/>
        <w:rPr>
          <w:rFonts w:ascii="Arial" w:eastAsiaTheme="minorEastAsia" w:hAnsi="Arial" w:cs="Arial"/>
        </w:rPr>
      </w:pPr>
    </w:p>
    <w:p w14:paraId="6FDAB219" w14:textId="77777777" w:rsidR="009E20A6" w:rsidRPr="000D6958" w:rsidRDefault="009E20A6" w:rsidP="009E20A6">
      <w:pPr>
        <w:autoSpaceDE w:val="0"/>
        <w:autoSpaceDN w:val="0"/>
        <w:adjustRightInd w:val="0"/>
        <w:jc w:val="both"/>
        <w:rPr>
          <w:rFonts w:ascii="Arial" w:eastAsiaTheme="minorEastAsia" w:hAnsi="Arial" w:cs="Arial"/>
          <w:b/>
          <w:bCs/>
          <w:u w:val="single"/>
        </w:rPr>
      </w:pPr>
      <w:r>
        <w:rPr>
          <w:rFonts w:ascii="Arial" w:eastAsiaTheme="minorEastAsia" w:hAnsi="Arial" w:cs="Arial"/>
          <w:b/>
          <w:bCs/>
        </w:rPr>
        <w:t xml:space="preserve">2.2.1 </w:t>
      </w:r>
      <w:r w:rsidRPr="000D6958">
        <w:rPr>
          <w:rFonts w:ascii="Arial" w:eastAsiaTheme="minorEastAsia" w:hAnsi="Arial" w:cs="Arial"/>
          <w:b/>
          <w:bCs/>
          <w:u w:val="single"/>
        </w:rPr>
        <w:t>Moments</w:t>
      </w:r>
    </w:p>
    <w:p w14:paraId="33EF4924" w14:textId="77777777" w:rsidR="009E20A6" w:rsidRPr="009E20A6" w:rsidRDefault="009E20A6" w:rsidP="009E20A6">
      <w:pPr>
        <w:autoSpaceDE w:val="0"/>
        <w:autoSpaceDN w:val="0"/>
        <w:adjustRightInd w:val="0"/>
        <w:jc w:val="both"/>
        <w:rPr>
          <w:rFonts w:ascii="Arial" w:hAnsi="Arial" w:cs="Arial"/>
          <w:color w:val="000000"/>
        </w:rPr>
      </w:pPr>
      <w:r w:rsidRPr="009E20A6">
        <w:rPr>
          <w:rFonts w:ascii="Arial" w:hAnsi="Arial" w:cs="Arial"/>
          <w:color w:val="000000"/>
        </w:rPr>
        <w:t xml:space="preserve">If a random variable </w:t>
      </w:r>
      <m:oMath>
        <m:r>
          <w:rPr>
            <w:rFonts w:ascii="Cambria Math" w:hAnsi="Cambria Math" w:cs="Arial"/>
            <w:color w:val="000000"/>
          </w:rPr>
          <m:t>X</m:t>
        </m:r>
      </m:oMath>
      <w:r w:rsidRPr="009E20A6">
        <w:rPr>
          <w:rFonts w:ascii="Arial" w:hAnsi="Arial" w:cs="Arial"/>
          <w:color w:val="000000"/>
        </w:rPr>
        <w:t xml:space="preserve"> has the MOILLD, the </w:t>
      </w:r>
      <w:proofErr w:type="spellStart"/>
      <w:r w:rsidRPr="009E20A6">
        <w:rPr>
          <w:rFonts w:ascii="Arial" w:hAnsi="Arial" w:cs="Arial"/>
          <w:color w:val="000000"/>
        </w:rPr>
        <w:t>r</w:t>
      </w:r>
      <w:r w:rsidRPr="009E20A6">
        <w:rPr>
          <w:rFonts w:ascii="Arial" w:hAnsi="Arial" w:cs="Arial"/>
          <w:color w:val="000000"/>
          <w:vertAlign w:val="superscript"/>
        </w:rPr>
        <w:t>th</w:t>
      </w:r>
      <w:proofErr w:type="spellEnd"/>
      <w:r w:rsidRPr="009E20A6">
        <w:rPr>
          <w:rFonts w:ascii="Arial" w:hAnsi="Arial" w:cs="Arial"/>
          <w:color w:val="000000"/>
        </w:rPr>
        <w:t xml:space="preserve"> non-central moment </w:t>
      </w:r>
    </w:p>
    <w:p w14:paraId="7DD5BED2" w14:textId="77777777" w:rsidR="009E20A6" w:rsidRPr="009E20A6" w:rsidRDefault="009E20A6" w:rsidP="009E20A6">
      <w:pPr>
        <w:autoSpaceDE w:val="0"/>
        <w:autoSpaceDN w:val="0"/>
        <w:adjustRightInd w:val="0"/>
        <w:jc w:val="both"/>
        <w:rPr>
          <w:rFonts w:ascii="Arial" w:eastAsiaTheme="minorEastAsia" w:hAnsi="Arial" w:cs="Arial"/>
        </w:rPr>
      </w:pPr>
    </w:p>
    <w:p w14:paraId="0C0668D7" w14:textId="77777777" w:rsidR="009E20A6" w:rsidRPr="009E20A6" w:rsidRDefault="009E20A6" w:rsidP="009E20A6">
      <w:pPr>
        <w:autoSpaceDE w:val="0"/>
        <w:autoSpaceDN w:val="0"/>
        <w:adjustRightInd w:val="0"/>
        <w:ind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dx</m:t>
            </m:r>
          </m:e>
        </m:nary>
      </m:oMath>
      <w:r w:rsidRPr="009E20A6">
        <w:rPr>
          <w:rFonts w:ascii="Arial" w:eastAsiaTheme="minorEastAsia" w:hAnsi="Arial" w:cs="Arial"/>
        </w:rPr>
        <w:t xml:space="preserve"> </w:t>
      </w:r>
    </w:p>
    <w:p w14:paraId="6CF0BEF8"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m:rPr>
                <m:sty m:val="p"/>
              </m:rPr>
              <w:rPr>
                <w:rFonts w:ascii="Cambria Math" w:eastAsiaTheme="minorEastAsia" w:hAnsi="Cambria Math" w:cs="Arial"/>
              </w:rPr>
              <m:t xml:space="preserve"> </m:t>
            </m:r>
            <m:r>
              <w:rPr>
                <w:rFonts w:ascii="Cambria Math" w:eastAsiaTheme="minorEastAsia" w:hAnsi="Cambria Math" w:cs="Arial"/>
              </w:rPr>
              <m:t>dx</m:t>
            </m:r>
          </m:e>
        </m:nary>
      </m:oMath>
      <w:r w:rsidRPr="009E20A6">
        <w:rPr>
          <w:rFonts w:ascii="Arial" w:eastAsiaTheme="minorEastAsia" w:hAnsi="Arial" w:cs="Arial"/>
        </w:rPr>
        <w:t xml:space="preserve"> </w:t>
      </w:r>
    </w:p>
    <w:p w14:paraId="6ADB1924"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r-3</m:t>
                    </m:r>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m:rPr>
                <m:sty m:val="p"/>
              </m:rPr>
              <w:rPr>
                <w:rFonts w:ascii="Cambria Math" w:eastAsiaTheme="minorEastAsia" w:hAnsi="Cambria Math" w:cs="Arial"/>
              </w:rPr>
              <m:t xml:space="preserve"> </m:t>
            </m:r>
            <m:r>
              <w:rPr>
                <w:rFonts w:ascii="Cambria Math" w:eastAsiaTheme="minorEastAsia" w:hAnsi="Cambria Math" w:cs="Arial"/>
              </w:rPr>
              <m:t>dx</m:t>
            </m:r>
          </m:e>
        </m:nary>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p>
    <w:p w14:paraId="72606D64"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Let </w:t>
      </w:r>
    </w:p>
    <w:p w14:paraId="78518425" w14:textId="77777777" w:rsidR="009E20A6" w:rsidRPr="009E20A6" w:rsidRDefault="009E20A6" w:rsidP="009E20A6">
      <w:pPr>
        <w:autoSpaceDE w:val="0"/>
        <w:autoSpaceDN w:val="0"/>
        <w:adjustRightInd w:val="0"/>
        <w:jc w:val="both"/>
        <w:rPr>
          <w:rFonts w:ascii="Arial" w:eastAsiaTheme="minorEastAsia" w:hAnsi="Arial" w:cs="Arial"/>
        </w:rPr>
      </w:pPr>
      <m:oMath>
        <m:r>
          <w:rPr>
            <w:rFonts w:ascii="Cambria Math" w:eastAsiaTheme="minorEastAsia" w:hAnsi="Cambria Math" w:cs="Arial"/>
          </w:rPr>
          <w:lastRenderedPageBreak/>
          <m:t>y=</m:t>
        </m:r>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f>
          <m:fPr>
            <m:ctrlPr>
              <w:rPr>
                <w:rFonts w:ascii="Cambria Math" w:hAnsi="Cambria Math" w:cs="Arial"/>
                <w:i/>
              </w:rPr>
            </m:ctrlPr>
          </m:fPr>
          <m:num>
            <m:r>
              <w:rPr>
                <w:rFonts w:ascii="Cambria Math" w:hAnsi="Cambria Math" w:cs="Arial"/>
              </w:rPr>
              <m:t>dy</m:t>
            </m:r>
          </m:num>
          <m:den>
            <m:r>
              <w:rPr>
                <w:rFonts w:ascii="Cambria Math" w:hAnsi="Cambria Math" w:cs="Arial"/>
              </w:rPr>
              <m:t>dx</m:t>
            </m:r>
          </m:den>
        </m:f>
        <m:r>
          <w:rPr>
            <w:rFonts w:ascii="Cambria Math" w:hAnsi="Cambria Math" w:cs="Arial"/>
          </w:rPr>
          <m:t>=-λ</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⇒dx=</m:t>
        </m:r>
        <m:f>
          <m:fPr>
            <m:ctrlPr>
              <w:rPr>
                <w:rFonts w:ascii="Cambria Math" w:hAnsi="Cambria Math" w:cs="Arial"/>
                <w:i/>
              </w:rPr>
            </m:ctrlPr>
          </m:fPr>
          <m:num>
            <m:r>
              <w:rPr>
                <w:rFonts w:ascii="Cambria Math" w:hAnsi="Cambria Math" w:cs="Arial"/>
              </w:rPr>
              <m:t>dy</m:t>
            </m:r>
          </m:num>
          <m:den>
            <m:r>
              <w:rPr>
                <w:rFonts w:ascii="Cambria Math" w:hAnsi="Cambria Math" w:cs="Arial"/>
              </w:rPr>
              <m:t>-λ</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;x=-</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Pr="009E20A6">
        <w:rPr>
          <w:rFonts w:ascii="Arial" w:eastAsiaTheme="minorEastAsia" w:hAnsi="Arial" w:cs="Arial"/>
        </w:rPr>
        <w:t xml:space="preserve"> </w:t>
      </w:r>
    </w:p>
    <w:p w14:paraId="6A477228"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when </w:t>
      </w:r>
      <m:oMath>
        <m:r>
          <w:rPr>
            <w:rFonts w:ascii="Cambria Math" w:eastAsiaTheme="minorEastAsia" w:hAnsi="Cambria Math" w:cs="Arial"/>
          </w:rPr>
          <m:t>x=0, y=1</m:t>
        </m:r>
      </m:oMath>
      <w:r w:rsidRPr="009E20A6">
        <w:rPr>
          <w:rFonts w:ascii="Arial" w:eastAsiaTheme="minorEastAsia" w:hAnsi="Arial" w:cs="Arial"/>
        </w:rPr>
        <w:t xml:space="preserve"> and when </w:t>
      </w:r>
      <m:oMath>
        <m:r>
          <w:rPr>
            <w:rFonts w:ascii="Cambria Math" w:eastAsiaTheme="minorEastAsia" w:hAnsi="Cambria Math" w:cs="Arial"/>
          </w:rPr>
          <m:t>x=∞, y=0</m:t>
        </m:r>
      </m:oMath>
      <w:r w:rsidRPr="009E20A6">
        <w:rPr>
          <w:rFonts w:ascii="Arial" w:eastAsiaTheme="minorEastAsia" w:hAnsi="Arial" w:cs="Arial"/>
        </w:rPr>
        <w:t>.</w:t>
      </w:r>
    </w:p>
    <w:p w14:paraId="51F345F7"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Substitute in (7) and simplify</w:t>
      </w:r>
    </w:p>
    <w:p w14:paraId="7CD001F9" w14:textId="77777777" w:rsidR="009E20A6" w:rsidRPr="009E20A6" w:rsidRDefault="009E20A6" w:rsidP="009E20A6">
      <w:pPr>
        <w:autoSpaceDE w:val="0"/>
        <w:autoSpaceDN w:val="0"/>
        <w:adjustRightInd w:val="0"/>
        <w:ind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=2θ</m:t>
        </m:r>
        <m:nary>
          <m:naryPr>
            <m:limLoc m:val="subSup"/>
            <m:ctrlPr>
              <w:rPr>
                <w:rFonts w:ascii="Cambria Math" w:eastAsiaTheme="minorEastAsia" w:hAnsi="Cambria Math" w:cs="Arial"/>
                <w:i/>
              </w:rPr>
            </m:ctrlPr>
          </m:naryPr>
          <m:sub>
            <m:r>
              <w:rPr>
                <w:rFonts w:ascii="Cambria Math" w:eastAsiaTheme="minorEastAsia" w:hAnsi="Cambria Math" w:cs="Arial"/>
              </w:rPr>
              <m:t>1</m:t>
            </m:r>
          </m:sub>
          <m:sup>
            <m:r>
              <w:rPr>
                <w:rFonts w:ascii="Cambria Math" w:eastAsiaTheme="minorEastAsia" w:hAnsi="Cambria Math" w:cs="Arial"/>
              </w:rPr>
              <m:t>0</m:t>
            </m:r>
          </m:sup>
          <m:e>
            <m:f>
              <m:fPr>
                <m:ctrlPr>
                  <w:rPr>
                    <w:rFonts w:ascii="Cambria Math" w:eastAsiaTheme="minorEastAsia" w:hAnsi="Cambria Math" w:cs="Arial"/>
                    <w:i/>
                  </w:rPr>
                </m:ctrlPr>
              </m:fPr>
              <m:num>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52E8A737" w14:textId="77777777" w:rsidR="009E20A6" w:rsidRPr="009E20A6" w:rsidRDefault="009E20A6" w:rsidP="009E20A6">
      <w:pPr>
        <w:autoSpaceDE w:val="0"/>
        <w:autoSpaceDN w:val="0"/>
        <w:adjustRightInd w:val="0"/>
        <w:jc w:val="both"/>
        <w:rPr>
          <w:rFonts w:ascii="Arial" w:eastAsiaTheme="minorEastAsia" w:hAnsi="Arial" w:cs="Arial"/>
        </w:rPr>
      </w:pPr>
    </w:p>
    <w:p w14:paraId="4263C943"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=2θ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092CF8D8" w14:textId="77777777" w:rsidR="009E20A6" w:rsidRPr="009E20A6" w:rsidRDefault="009E20A6" w:rsidP="009E20A6">
      <w:pPr>
        <w:autoSpaceDE w:val="0"/>
        <w:autoSpaceDN w:val="0"/>
        <w:adjustRightInd w:val="0"/>
        <w:jc w:val="both"/>
        <w:rPr>
          <w:rFonts w:ascii="Arial" w:eastAsiaTheme="minorEastAsia" w:hAnsi="Arial" w:cs="Arial"/>
        </w:rPr>
      </w:pPr>
    </w:p>
    <w:p w14:paraId="1D53205B"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=2θ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r>
                  <w:rPr>
                    <w:rFonts w:ascii="Cambria Math" w:hAnsi="Cambria Math" w:cs="Arial"/>
                  </w:rPr>
                  <m:t xml:space="preserve"> </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190D0B24" w14:textId="77777777" w:rsidR="009E20A6" w:rsidRPr="009E20A6" w:rsidRDefault="009E20A6" w:rsidP="009E20A6">
      <w:pPr>
        <w:autoSpaceDE w:val="0"/>
        <w:autoSpaceDN w:val="0"/>
        <w:adjustRightInd w:val="0"/>
        <w:jc w:val="both"/>
        <w:rPr>
          <w:rFonts w:ascii="Arial" w:eastAsiaTheme="minorEastAsia" w:hAnsi="Arial" w:cs="Arial"/>
        </w:rPr>
      </w:pPr>
    </w:p>
    <w:p w14:paraId="247133E1"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=-θr</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r>
                  <w:rPr>
                    <w:rFonts w:ascii="Cambria Math" w:hAnsi="Cambria Math" w:cs="Arial"/>
                  </w:rPr>
                  <m:t xml:space="preserve"> </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25E00360" w14:textId="77777777" w:rsidR="009E20A6" w:rsidRPr="009E20A6" w:rsidRDefault="009E20A6" w:rsidP="009E20A6">
      <w:pPr>
        <w:autoSpaceDE w:val="0"/>
        <w:autoSpaceDN w:val="0"/>
        <w:adjustRightInd w:val="0"/>
        <w:jc w:val="both"/>
        <w:rPr>
          <w:rFonts w:ascii="Arial" w:eastAsiaTheme="minorEastAsia" w:hAnsi="Arial" w:cs="Arial"/>
        </w:rPr>
      </w:pPr>
    </w:p>
    <w:p w14:paraId="1DEE3C0A"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=-θr</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begChr m:val=""/>
            <m:endChr m:val="]"/>
            <m:ctrlPr>
              <w:rPr>
                <w:rFonts w:ascii="Cambria Math" w:eastAsiaTheme="minorEastAsia" w:hAnsi="Cambria Math" w:cs="Arial"/>
                <w:i/>
              </w:rPr>
            </m:ctrlPr>
          </m:dPr>
          <m:e>
            <m:d>
              <m:dPr>
                <m:ctrlPr>
                  <w:rPr>
                    <w:rFonts w:ascii="Cambria Math" w:hAnsi="Cambria Math" w:cs="Arial"/>
                    <w:i/>
                  </w:rPr>
                </m:ctrlPr>
              </m:dPr>
              <m:e>
                <m:f>
                  <m:fPr>
                    <m:ctrlPr>
                      <w:rPr>
                        <w:rFonts w:ascii="Cambria Math" w:eastAsiaTheme="minorEastAsia" w:hAnsi="Cambria Math" w:cs="Arial"/>
                        <w:i/>
                      </w:rPr>
                    </m:ctrlPr>
                  </m:fPr>
                  <m:num>
                    <m:func>
                      <m:funcPr>
                        <m:ctrlPr>
                          <w:rPr>
                            <w:rFonts w:ascii="Cambria Math" w:eastAsiaTheme="minorEastAsia" w:hAnsi="Cambria Math" w:cs="Arial"/>
                            <w:i/>
                          </w:rPr>
                        </m:ctrlPr>
                      </m:funcPr>
                      <m:fName>
                        <m:r>
                          <m:rPr>
                            <m:sty m:val="p"/>
                          </m:rPr>
                          <w:rPr>
                            <w:rFonts w:ascii="Cambria Math" w:eastAsiaTheme="minorEastAsia" w:hAnsi="Cambria Math" w:cs="Arial"/>
                          </w:rPr>
                          <m:t>ln</m:t>
                        </m:r>
                        <m:ctrlPr>
                          <w:rPr>
                            <w:rFonts w:ascii="Cambria Math" w:eastAsiaTheme="minorEastAsia" w:hAnsi="Cambria Math" w:cs="Arial"/>
                          </w:rPr>
                        </m:ctrlPr>
                      </m:fName>
                      <m:e>
                        <m:d>
                          <m:dPr>
                            <m:ctrlPr>
                              <w:rPr>
                                <w:rFonts w:ascii="Cambria Math" w:eastAsiaTheme="minorEastAsia" w:hAnsi="Cambria Math" w:cs="Arial"/>
                                <w:i/>
                              </w:rPr>
                            </m:ctrlPr>
                          </m:dPr>
                          <m:e>
                            <m:r>
                              <w:rPr>
                                <w:rFonts w:ascii="Cambria Math" w:eastAsiaTheme="minorEastAsia" w:hAnsi="Cambria Math" w:cs="Arial"/>
                              </w:rPr>
                              <m:t>1+</m:t>
                            </m:r>
                            <m:d>
                              <m:dPr>
                                <m:ctrlPr>
                                  <w:rPr>
                                    <w:rFonts w:ascii="Cambria Math" w:eastAsiaTheme="minorEastAsia" w:hAnsi="Cambria Math" w:cs="Arial"/>
                                    <w:i/>
                                  </w:rPr>
                                </m:ctrlPr>
                              </m:dPr>
                              <m:e>
                                <m:r>
                                  <w:rPr>
                                    <w:rFonts w:ascii="Cambria Math" w:eastAsiaTheme="minorEastAsia" w:hAnsi="Cambria Math" w:cs="Arial"/>
                                  </w:rPr>
                                  <m:t>θ-1</m:t>
                                </m:r>
                              </m:e>
                            </m:d>
                            <m:d>
                              <m:dPr>
                                <m:ctrlPr>
                                  <w:rPr>
                                    <w:rFonts w:ascii="Cambria Math" w:eastAsiaTheme="minorEastAsia" w:hAnsi="Cambria Math" w:cs="Arial"/>
                                    <w:i/>
                                  </w:rPr>
                                </m:ctrlPr>
                              </m:dPr>
                              <m:e>
                                <m:r>
                                  <w:rPr>
                                    <w:rFonts w:ascii="Cambria Math" w:eastAsiaTheme="minorEastAsia" w:hAnsi="Cambria Math" w:cs="Arial"/>
                                  </w:rPr>
                                  <m:t>1-y</m:t>
                                </m:r>
                              </m:e>
                            </m:d>
                          </m:e>
                        </m:d>
                      </m:e>
                    </m:func>
                  </m:num>
                  <m:den>
                    <m:r>
                      <w:rPr>
                        <w:rFonts w:ascii="Cambria Math" w:eastAsiaTheme="minorEastAsia" w:hAnsi="Cambria Math" w:cs="Arial"/>
                      </w:rPr>
                      <m:t>θ-1</m:t>
                    </m:r>
                  </m:den>
                </m:f>
                <m:r>
                  <w:rPr>
                    <w:rFonts w:ascii="Cambria Math" w:eastAsiaTheme="minorEastAsia" w:hAnsi="Cambria Math" w:cs="Arial"/>
                  </w:rPr>
                  <m:t>-</m:t>
                </m:r>
                <m:f>
                  <m:fPr>
                    <m:ctrlPr>
                      <w:rPr>
                        <w:rFonts w:ascii="Cambria Math" w:eastAsiaTheme="minorEastAsia" w:hAnsi="Cambria Math" w:cs="Arial"/>
                        <w:i/>
                      </w:rPr>
                    </m:ctrlPr>
                  </m:fPr>
                  <m:num>
                    <m:func>
                      <m:funcPr>
                        <m:ctrlPr>
                          <w:rPr>
                            <w:rFonts w:ascii="Cambria Math" w:eastAsiaTheme="minorEastAsia" w:hAnsi="Cambria Math" w:cs="Arial"/>
                            <w:i/>
                          </w:rPr>
                        </m:ctrlPr>
                      </m:funcPr>
                      <m:fName>
                        <m:r>
                          <m:rPr>
                            <m:sty m:val="p"/>
                          </m:rPr>
                          <w:rPr>
                            <w:rFonts w:ascii="Cambria Math" w:eastAsiaTheme="minorEastAsia" w:hAnsi="Cambria Math" w:cs="Arial"/>
                          </w:rPr>
                          <m:t>ln</m:t>
                        </m:r>
                      </m:fName>
                      <m:e>
                        <m:d>
                          <m:dPr>
                            <m:ctrlPr>
                              <w:rPr>
                                <w:rFonts w:ascii="Cambria Math" w:eastAsiaTheme="minorEastAsia" w:hAnsi="Cambria Math" w:cs="Arial"/>
                                <w:i/>
                              </w:rPr>
                            </m:ctrlPr>
                          </m:dPr>
                          <m:e>
                            <m:r>
                              <w:rPr>
                                <w:rFonts w:ascii="Cambria Math" w:eastAsiaTheme="minorEastAsia" w:hAnsi="Cambria Math" w:cs="Arial"/>
                              </w:rPr>
                              <m:t>1-y</m:t>
                            </m:r>
                          </m:e>
                        </m:d>
                      </m:e>
                    </m:func>
                    <m:d>
                      <m:dPr>
                        <m:ctrlPr>
                          <w:rPr>
                            <w:rFonts w:ascii="Cambria Math" w:eastAsiaTheme="minorEastAsia" w:hAnsi="Cambria Math" w:cs="Arial"/>
                            <w:i/>
                          </w:rPr>
                        </m:ctrlPr>
                      </m:dPr>
                      <m:e>
                        <m:r>
                          <w:rPr>
                            <w:rFonts w:ascii="Cambria Math" w:eastAsiaTheme="minorEastAsia" w:hAnsi="Cambria Math" w:cs="Arial"/>
                          </w:rPr>
                          <m:t>1-y</m:t>
                        </m:r>
                      </m:e>
                    </m:d>
                  </m:num>
                  <m:den>
                    <m:d>
                      <m:dPr>
                        <m:ctrlPr>
                          <w:rPr>
                            <w:rFonts w:ascii="Cambria Math" w:eastAsiaTheme="minorEastAsia" w:hAnsi="Cambria Math" w:cs="Arial"/>
                            <w:i/>
                          </w:rPr>
                        </m:ctrlPr>
                      </m:dPr>
                      <m:e>
                        <m:r>
                          <w:rPr>
                            <w:rFonts w:ascii="Cambria Math" w:eastAsiaTheme="minorEastAsia" w:hAnsi="Cambria Math" w:cs="Arial"/>
                          </w:rPr>
                          <m:t>1-y</m:t>
                        </m:r>
                      </m:e>
                    </m:d>
                    <m:r>
                      <w:rPr>
                        <w:rFonts w:ascii="Cambria Math" w:eastAsiaTheme="minorEastAsia" w:hAnsi="Cambria Math" w:cs="Arial"/>
                      </w:rPr>
                      <m:t>θ+y</m:t>
                    </m:r>
                  </m:den>
                </m:f>
                <m:ctrlPr>
                  <w:rPr>
                    <w:rFonts w:ascii="Cambria Math" w:eastAsiaTheme="minorEastAsia" w:hAnsi="Cambria Math" w:cs="Arial"/>
                    <w:i/>
                  </w:rPr>
                </m:ctrlPr>
              </m:e>
            </m:d>
          </m:e>
        </m:d>
        <m:m>
          <m:mPr>
            <m:mcs>
              <m:mc>
                <m:mcPr>
                  <m:count m:val="1"/>
                  <m:mcJc m:val="center"/>
                </m:mcPr>
              </m:mc>
            </m:mcs>
            <m:ctrlPr>
              <w:rPr>
                <w:rFonts w:ascii="Cambria Math" w:eastAsiaTheme="minorEastAsia" w:hAnsi="Cambria Math" w:cs="Arial"/>
                <w:i/>
              </w:rPr>
            </m:ctrlPr>
          </m:mPr>
          <m:mr>
            <m:e>
              <m:r>
                <m:rPr>
                  <m:sty m:val="p"/>
                </m:rPr>
                <w:rPr>
                  <w:rFonts w:ascii="Cambria Math" w:eastAsiaTheme="minorEastAsia" w:hAnsi="Cambria Math" w:cs="Arial"/>
                </w:rPr>
                <m:t>1</m:t>
              </m:r>
            </m:e>
          </m:mr>
          <m:mr>
            <m:e>
              <m:r>
                <w:rPr>
                  <w:rFonts w:ascii="Cambria Math" w:eastAsiaTheme="minorEastAsia" w:hAnsi="Cambria Math" w:cs="Arial"/>
                </w:rPr>
                <m:t>0</m:t>
              </m:r>
            </m:e>
          </m:mr>
        </m:m>
        <m:r>
          <w:rPr>
            <w:rFonts w:ascii="Cambria Math" w:eastAsiaTheme="minorEastAsia" w:hAnsi="Cambria Math" w:cs="Arial"/>
          </w:rPr>
          <m:t xml:space="preserve"> </m:t>
        </m:r>
      </m:oMath>
      <w:r w:rsidRPr="009E20A6">
        <w:rPr>
          <w:rFonts w:ascii="Arial" w:eastAsiaTheme="minorEastAsia" w:hAnsi="Arial" w:cs="Arial"/>
        </w:rPr>
        <w:t xml:space="preserve"> </w:t>
      </w:r>
    </w:p>
    <w:p w14:paraId="57820E05" w14:textId="77777777" w:rsidR="009E20A6" w:rsidRPr="009E20A6" w:rsidRDefault="009E20A6" w:rsidP="009E20A6">
      <w:pPr>
        <w:autoSpaceDE w:val="0"/>
        <w:autoSpaceDN w:val="0"/>
        <w:adjustRightInd w:val="0"/>
        <w:jc w:val="both"/>
        <w:rPr>
          <w:rFonts w:ascii="Arial" w:eastAsiaTheme="minorEastAsia" w:hAnsi="Arial" w:cs="Arial"/>
        </w:rPr>
      </w:pPr>
    </w:p>
    <w:p w14:paraId="3360AD1C"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=-rθ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-lnθ</m:t>
                </m:r>
              </m:num>
              <m:den>
                <m:r>
                  <w:rPr>
                    <w:rFonts w:ascii="Cambria Math" w:eastAsiaTheme="minorEastAsia" w:hAnsi="Cambria Math" w:cs="Arial"/>
                  </w:rPr>
                  <m:t>θ-1</m:t>
                </m:r>
              </m:den>
            </m:f>
            <m:ctrlPr>
              <w:rPr>
                <w:rFonts w:ascii="Cambria Math" w:eastAsiaTheme="minorEastAsia" w:hAnsi="Cambria Math" w:cs="Arial"/>
                <w:i/>
              </w:rPr>
            </m:ctrlPr>
          </m:e>
        </m:d>
      </m:oMath>
      <w:r w:rsidRPr="009E20A6">
        <w:rPr>
          <w:rFonts w:ascii="Arial" w:eastAsiaTheme="minorEastAsia" w:hAnsi="Arial" w:cs="Arial"/>
        </w:rPr>
        <w:t xml:space="preserve"> </w:t>
      </w:r>
    </w:p>
    <w:p w14:paraId="1EDDD61A"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=rθ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lnθ</m:t>
                </m:r>
              </m:num>
              <m:den>
                <m:r>
                  <w:rPr>
                    <w:rFonts w:ascii="Cambria Math" w:eastAsiaTheme="minorEastAsia" w:hAnsi="Cambria Math" w:cs="Arial"/>
                  </w:rPr>
                  <m:t>θ-1</m:t>
                </m:r>
              </m:den>
            </m:f>
            <m:ctrlPr>
              <w:rPr>
                <w:rFonts w:ascii="Cambria Math" w:eastAsiaTheme="minorEastAsia" w:hAnsi="Cambria Math" w:cs="Arial"/>
                <w:i/>
              </w:rPr>
            </m:ctrlPr>
          </m:e>
        </m:d>
      </m:oMath>
      <w:r w:rsidRPr="009E20A6">
        <w:rPr>
          <w:rFonts w:ascii="Arial" w:eastAsiaTheme="minorEastAsia" w:hAnsi="Arial" w:cs="Arial"/>
        </w:rPr>
        <w:t xml:space="preserve"> </w:t>
      </w:r>
    </w:p>
    <w:p w14:paraId="3F6B6F7F"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Therefore, </w:t>
      </w:r>
    </w:p>
    <w:p w14:paraId="17A142FD"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rθlnθ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(11)</w:t>
      </w:r>
    </w:p>
    <w:p w14:paraId="2093B44F"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Hence, the first and the second moments are respectively</w:t>
      </w:r>
    </w:p>
    <w:p w14:paraId="5D7910B7" w14:textId="77777777" w:rsidR="009E20A6" w:rsidRPr="009E20A6" w:rsidRDefault="009E20A6" w:rsidP="009E20A6">
      <w:pPr>
        <w:autoSpaceDE w:val="0"/>
        <w:autoSpaceDN w:val="0"/>
        <w:adjustRightInd w:val="0"/>
        <w:jc w:val="both"/>
        <w:rPr>
          <w:rFonts w:ascii="Arial" w:eastAsiaTheme="minorEastAsia" w:hAnsi="Arial" w:cs="Arial"/>
        </w:rPr>
      </w:pPr>
    </w:p>
    <w:p w14:paraId="08832A67"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(12)</w:t>
      </w:r>
    </w:p>
    <w:p w14:paraId="2AFE76CE" w14:textId="77777777" w:rsidR="009E20A6" w:rsidRPr="009E20A6" w:rsidRDefault="009E20A6" w:rsidP="009E20A6">
      <w:pPr>
        <w:autoSpaceDE w:val="0"/>
        <w:autoSpaceDN w:val="0"/>
        <w:adjustRightInd w:val="0"/>
        <w:ind w:left="720" w:firstLine="720"/>
        <w:jc w:val="both"/>
        <w:rPr>
          <w:rFonts w:ascii="Arial" w:eastAsiaTheme="minorEastAsia" w:hAnsi="Arial" w:cs="Arial"/>
        </w:rPr>
      </w:pPr>
      <w:r w:rsidRPr="009E20A6">
        <w:rPr>
          <w:rFonts w:ascii="Arial" w:eastAsiaTheme="minorEastAsia" w:hAnsi="Arial" w:cs="Arial"/>
        </w:rPr>
        <w:t xml:space="preserve">and   </w:t>
      </w:r>
    </w:p>
    <w:p w14:paraId="7F2077F3"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2θlnθ</m:t>
            </m:r>
          </m:num>
          <m:den>
            <m:r>
              <w:rPr>
                <w:rFonts w:ascii="Cambria Math" w:hAnsi="Cambria Math" w:cs="Arial"/>
              </w:rPr>
              <m:t>λ</m:t>
            </m:r>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(13)</w:t>
      </w:r>
    </w:p>
    <w:p w14:paraId="1BA6B18C"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and the variance </w:t>
      </w:r>
    </w:p>
    <w:p w14:paraId="64F5FC88"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e>
        </m:d>
        <m:r>
          <w:rPr>
            <w:rFonts w:ascii="Cambria Math" w:eastAsiaTheme="minorEastAsia" w:hAnsi="Cambria Math" w:cs="Arial"/>
          </w:rPr>
          <m:t>-</m:t>
        </m:r>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E</m:t>
                </m:r>
                <m:d>
                  <m:dPr>
                    <m:ctrlPr>
                      <w:rPr>
                        <w:rFonts w:ascii="Cambria Math" w:eastAsiaTheme="minorEastAsia" w:hAnsi="Cambria Math" w:cs="Arial"/>
                        <w:i/>
                      </w:rPr>
                    </m:ctrlPr>
                  </m:dPr>
                  <m:e>
                    <m:r>
                      <w:rPr>
                        <w:rFonts w:ascii="Cambria Math" w:eastAsiaTheme="minorEastAsia" w:hAnsi="Cambria Math" w:cs="Arial"/>
                      </w:rPr>
                      <m:t>x</m:t>
                    </m:r>
                  </m:e>
                </m:d>
              </m:e>
            </m:d>
          </m:e>
          <m:sup>
            <m:r>
              <w:rPr>
                <w:rFonts w:ascii="Cambria Math" w:eastAsiaTheme="minorEastAsia" w:hAnsi="Cambria Math" w:cs="Arial"/>
              </w:rPr>
              <m:t>2</m:t>
            </m:r>
          </m:sup>
        </m:sSup>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p>
    <w:p w14:paraId="4BE5E1D8" w14:textId="77777777" w:rsidR="009E20A6" w:rsidRPr="009E20A6" w:rsidRDefault="009E20A6" w:rsidP="009E20A6">
      <w:pPr>
        <w:autoSpaceDE w:val="0"/>
        <w:autoSpaceDN w:val="0"/>
        <w:adjustRightInd w:val="0"/>
        <w:jc w:val="both"/>
        <w:rPr>
          <w:rFonts w:ascii="Arial" w:eastAsiaTheme="minorEastAsia" w:hAnsi="Arial" w:cs="Arial"/>
        </w:rPr>
      </w:pPr>
    </w:p>
    <w:p w14:paraId="4D15FFA6" w14:textId="77777777" w:rsidR="009E20A6" w:rsidRPr="009E20A6" w:rsidRDefault="009E20A6" w:rsidP="009E20A6">
      <w:pPr>
        <w:autoSpaceDE w:val="0"/>
        <w:autoSpaceDN w:val="0"/>
        <w:adjustRightInd w:val="0"/>
        <w:ind w:left="1440" w:firstLine="720"/>
        <w:jc w:val="both"/>
        <w:rPr>
          <w:rFonts w:ascii="Arial" w:eastAsiaTheme="minorEastAsia" w:hAnsi="Arial" w:cs="Arial"/>
        </w:rPr>
      </w:pPr>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2θlnθ</m:t>
            </m:r>
          </m:num>
          <m:den>
            <m:r>
              <w:rPr>
                <w:rFonts w:ascii="Cambria Math" w:hAnsi="Cambria Math" w:cs="Arial"/>
              </w:rPr>
              <m:t>λ</m:t>
            </m:r>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 </w:t>
      </w:r>
      <m:oMath>
        <m:sSup>
          <m:sSupPr>
            <m:ctrlPr>
              <w:rPr>
                <w:rFonts w:ascii="Cambria Math" w:eastAsiaTheme="minorEastAsia" w:hAnsi="Cambria Math" w:cs="Arial"/>
                <w:i/>
              </w:rPr>
            </m:ctrlPr>
          </m:sSupPr>
          <m:e>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e>
            </m:d>
          </m:e>
          <m:sup>
            <m:r>
              <w:rPr>
                <w:rFonts w:ascii="Cambria Math" w:eastAsiaTheme="minorEastAsia" w:hAnsi="Cambria Math" w:cs="Arial"/>
              </w:rPr>
              <m:t>2</m:t>
            </m:r>
          </m:sup>
        </m:sSup>
      </m:oMath>
      <w:r w:rsidRPr="009E20A6">
        <w:rPr>
          <w:rFonts w:ascii="Arial" w:eastAsiaTheme="minorEastAsia" w:hAnsi="Arial" w:cs="Arial"/>
        </w:rPr>
        <w:t xml:space="preserve">  </w:t>
      </w:r>
    </w:p>
    <w:p w14:paraId="5FFD5786" w14:textId="77777777" w:rsidR="009E20A6" w:rsidRPr="009E20A6" w:rsidRDefault="009E20A6" w:rsidP="009E20A6">
      <w:pPr>
        <w:autoSpaceDE w:val="0"/>
        <w:autoSpaceDN w:val="0"/>
        <w:adjustRightInd w:val="0"/>
        <w:jc w:val="both"/>
        <w:rPr>
          <w:rFonts w:ascii="Arial" w:eastAsiaTheme="minorEastAsia" w:hAnsi="Arial" w:cs="Arial"/>
        </w:rPr>
      </w:pPr>
    </w:p>
    <w:p w14:paraId="15138FD1"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θlnθ</m:t>
            </m:r>
          </m:num>
          <m:den>
            <m:r>
              <w:rPr>
                <w:rFonts w:ascii="Cambria Math" w:eastAsiaTheme="minorEastAsia" w:hAnsi="Cambria Math" w:cs="Arial"/>
              </w:rPr>
              <m:t>λ</m:t>
            </m:r>
          </m:den>
        </m:f>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θ-1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θ-1</m:t>
                        </m:r>
                      </m:e>
                    </m:d>
                  </m:e>
                  <m:sup>
                    <m:r>
                      <w:rPr>
                        <w:rFonts w:ascii="Cambria Math" w:eastAsiaTheme="minorEastAsia" w:hAnsi="Cambria Math" w:cs="Arial"/>
                      </w:rPr>
                      <m:t>2</m:t>
                    </m:r>
                  </m:sup>
                </m:sSup>
              </m:den>
            </m:f>
          </m:e>
        </m:d>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(14)</w:t>
      </w:r>
    </w:p>
    <w:p w14:paraId="2A80FA20" w14:textId="77777777" w:rsidR="009E20A6" w:rsidRPr="009E20A6" w:rsidRDefault="009E20A6" w:rsidP="009E20A6">
      <w:pPr>
        <w:autoSpaceDE w:val="0"/>
        <w:autoSpaceDN w:val="0"/>
        <w:adjustRightInd w:val="0"/>
        <w:jc w:val="both"/>
        <w:rPr>
          <w:rFonts w:ascii="Arial" w:eastAsiaTheme="minorEastAsia" w:hAnsi="Arial" w:cs="Arial"/>
        </w:rPr>
      </w:pPr>
    </w:p>
    <w:p w14:paraId="3108761E" w14:textId="77777777" w:rsidR="009E20A6" w:rsidRPr="009E20A6" w:rsidRDefault="009E20A6" w:rsidP="009E20A6">
      <w:pPr>
        <w:autoSpaceDE w:val="0"/>
        <w:autoSpaceDN w:val="0"/>
        <w:adjustRightInd w:val="0"/>
        <w:jc w:val="both"/>
        <w:rPr>
          <w:rFonts w:ascii="Arial" w:eastAsiaTheme="minorEastAsia" w:hAnsi="Arial" w:cs="Arial"/>
        </w:rPr>
      </w:pPr>
    </w:p>
    <w:p w14:paraId="2CA8243B" w14:textId="77777777" w:rsidR="009E20A6" w:rsidRPr="009E20A6" w:rsidRDefault="009E20A6" w:rsidP="009E20A6">
      <w:pPr>
        <w:autoSpaceDE w:val="0"/>
        <w:autoSpaceDN w:val="0"/>
        <w:adjustRightInd w:val="0"/>
        <w:jc w:val="both"/>
        <w:rPr>
          <w:rFonts w:ascii="Arial" w:hAnsi="Arial" w:cs="Arial"/>
          <w:b/>
          <w:bCs/>
          <w:color w:val="000000"/>
        </w:rPr>
      </w:pPr>
      <w:r>
        <w:rPr>
          <w:rFonts w:ascii="Arial" w:hAnsi="Arial" w:cs="Arial"/>
          <w:b/>
          <w:bCs/>
          <w:color w:val="000000"/>
        </w:rPr>
        <w:t xml:space="preserve">2.2.2 </w:t>
      </w:r>
      <w:r w:rsidRPr="009E20A6">
        <w:rPr>
          <w:rFonts w:ascii="Arial" w:hAnsi="Arial" w:cs="Arial"/>
          <w:b/>
          <w:bCs/>
          <w:color w:val="000000"/>
          <w:u w:val="single"/>
        </w:rPr>
        <w:t>Quantile and Random Number Generation from MOILLD</w:t>
      </w:r>
    </w:p>
    <w:p w14:paraId="4982C246"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Let q be a uniform random variable in the domain (0,1), random number from MOIR distribution can be obtained by inverting the corresponding </w:t>
      </w:r>
      <w:proofErr w:type="spellStart"/>
      <w:r w:rsidRPr="009E20A6">
        <w:rPr>
          <w:rFonts w:ascii="Arial" w:hAnsi="Arial" w:cs="Arial"/>
        </w:rPr>
        <w:t>cdf</w:t>
      </w:r>
      <w:proofErr w:type="spellEnd"/>
      <w:r w:rsidRPr="009E20A6">
        <w:rPr>
          <w:rFonts w:ascii="Arial" w:hAnsi="Arial" w:cs="Arial"/>
        </w:rPr>
        <w:t xml:space="preserve"> thus:</w:t>
      </w:r>
    </w:p>
    <w:p w14:paraId="3863E546" w14:textId="77777777" w:rsidR="009E20A6" w:rsidRPr="009E20A6" w:rsidRDefault="009E20A6" w:rsidP="009E20A6">
      <w:pPr>
        <w:autoSpaceDE w:val="0"/>
        <w:autoSpaceDN w:val="0"/>
        <w:adjustRightInd w:val="0"/>
        <w:ind w:left="720" w:firstLine="720"/>
        <w:jc w:val="both"/>
        <w:rPr>
          <w:rFonts w:ascii="Arial" w:hAnsi="Arial" w:cs="Arial"/>
          <w:bCs/>
        </w:rPr>
      </w:pPr>
      <w:r w:rsidRPr="009E20A6">
        <w:rPr>
          <w:rFonts w:ascii="Arial" w:hAnsi="Arial" w:cs="Arial"/>
        </w:rPr>
        <w:t xml:space="preserve">Let </w:t>
      </w:r>
      <m:oMath>
        <m:r>
          <w:rPr>
            <w:rFonts w:ascii="Cambria Math" w:hAnsi="Cambria Math" w:cs="Arial"/>
          </w:rPr>
          <m:t>G(x) = q</m:t>
        </m:r>
      </m:oMath>
    </w:p>
    <w:p w14:paraId="6B5F9335" w14:textId="77777777" w:rsidR="009E20A6" w:rsidRPr="009E20A6" w:rsidRDefault="009E20A6" w:rsidP="009E20A6">
      <w:pPr>
        <w:autoSpaceDE w:val="0"/>
        <w:autoSpaceDN w:val="0"/>
        <w:adjustRightInd w:val="0"/>
        <w:ind w:firstLine="720"/>
        <w:jc w:val="both"/>
        <w:rPr>
          <w:rFonts w:ascii="Arial" w:hAnsi="Arial" w:cs="Arial"/>
          <w:bCs/>
        </w:rPr>
      </w:pPr>
    </w:p>
    <w:p w14:paraId="4C9F3DDB" w14:textId="77777777" w:rsidR="009E20A6" w:rsidRPr="009E20A6" w:rsidRDefault="009E20A6" w:rsidP="009E20A6">
      <w:pPr>
        <w:autoSpaceDE w:val="0"/>
        <w:autoSpaceDN w:val="0"/>
        <w:adjustRightInd w:val="0"/>
        <w:ind w:left="720" w:firstLine="720"/>
        <w:jc w:val="both"/>
        <w:rPr>
          <w:rFonts w:ascii="Arial" w:hAnsi="Arial" w:cs="Arial"/>
          <w:bCs/>
        </w:rPr>
      </w:pPr>
      <w:r w:rsidRPr="009E20A6">
        <w:rPr>
          <w:rFonts w:ascii="Arial" w:hAnsi="Arial" w:cs="Arial"/>
          <w:bCs/>
        </w:rPr>
        <w:t xml:space="preserve">that is   </w:t>
      </w:r>
      <m:oMath>
        <m:f>
          <m:fPr>
            <m:ctrlPr>
              <w:rPr>
                <w:rFonts w:ascii="Cambria Math" w:hAnsi="Cambria Math" w:cs="Arial"/>
                <w:i/>
              </w:rPr>
            </m:ctrlPr>
          </m:fPr>
          <m:num>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r>
              <w:rPr>
                <w:rFonts w:ascii="Cambria Math" w:hAnsi="Cambria Math" w:cs="Arial"/>
              </w:rPr>
              <m:t>θ-</m:t>
            </m:r>
            <m:d>
              <m:dPr>
                <m:ctrlPr>
                  <w:rPr>
                    <w:rFonts w:ascii="Cambria Math" w:hAnsi="Cambria Math" w:cs="Arial"/>
                    <w:i/>
                  </w:rPr>
                </m:ctrlPr>
              </m:dPr>
              <m:e>
                <m:r>
                  <w:rPr>
                    <w:rFonts w:ascii="Cambria Math" w:hAnsi="Cambria Math" w:cs="Arial"/>
                  </w:rPr>
                  <m:t>θ-1</m:t>
                </m:r>
              </m:e>
            </m:d>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 q</m:t>
        </m:r>
      </m:oMath>
    </w:p>
    <w:p w14:paraId="1414E017" w14:textId="77777777" w:rsidR="009E20A6" w:rsidRPr="009E20A6" w:rsidRDefault="009E20A6" w:rsidP="009E20A6">
      <w:pPr>
        <w:autoSpaceDE w:val="0"/>
        <w:autoSpaceDN w:val="0"/>
        <w:adjustRightInd w:val="0"/>
        <w:ind w:firstLine="720"/>
        <w:jc w:val="both"/>
        <w:rPr>
          <w:rFonts w:ascii="Arial" w:hAnsi="Arial" w:cs="Arial"/>
          <w:bCs/>
        </w:rPr>
      </w:pPr>
    </w:p>
    <w:p w14:paraId="7FE58A8C" w14:textId="77777777" w:rsidR="009E20A6" w:rsidRPr="009E20A6" w:rsidRDefault="009E20A6" w:rsidP="009E20A6">
      <w:pPr>
        <w:autoSpaceDE w:val="0"/>
        <w:autoSpaceDN w:val="0"/>
        <w:adjustRightInd w:val="0"/>
        <w:ind w:firstLine="720"/>
        <w:jc w:val="both"/>
        <w:rPr>
          <w:rFonts w:ascii="Arial" w:hAnsi="Arial" w:cs="Arial"/>
          <w:bCs/>
        </w:rPr>
      </w:pPr>
      <w:r w:rsidRPr="009E20A6">
        <w:rPr>
          <w:rFonts w:ascii="Arial" w:hAnsi="Arial" w:cs="Arial"/>
        </w:rPr>
        <w:t>After some algebraic manipulations,</w:t>
      </w:r>
    </w:p>
    <w:p w14:paraId="240125E8" w14:textId="77777777" w:rsidR="009E20A6" w:rsidRPr="009E20A6" w:rsidRDefault="00000000" w:rsidP="009E20A6">
      <w:pPr>
        <w:autoSpaceDE w:val="0"/>
        <w:autoSpaceDN w:val="0"/>
        <w:adjustRightInd w:val="0"/>
        <w:ind w:left="720" w:firstLine="720"/>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q</m:t>
            </m:r>
          </m:sub>
        </m:sSub>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qθ</m:t>
                                </m:r>
                              </m:num>
                              <m:den>
                                <m:r>
                                  <w:rPr>
                                    <w:rFonts w:ascii="Cambria Math" w:hAnsi="Cambria Math" w:cs="Arial"/>
                                  </w:rPr>
                                  <m:t>1-q</m:t>
                                </m:r>
                                <m:d>
                                  <m:dPr>
                                    <m:ctrlPr>
                                      <w:rPr>
                                        <w:rFonts w:ascii="Cambria Math" w:hAnsi="Cambria Math" w:cs="Arial"/>
                                        <w:i/>
                                      </w:rPr>
                                    </m:ctrlPr>
                                  </m:dPr>
                                  <m:e>
                                    <m:r>
                                      <w:rPr>
                                        <w:rFonts w:ascii="Cambria Math" w:hAnsi="Cambria Math" w:cs="Arial"/>
                                      </w:rPr>
                                      <m:t>θ-1</m:t>
                                    </m:r>
                                  </m:e>
                                </m:d>
                              </m:den>
                            </m:f>
                          </m:e>
                        </m:d>
                      </m:e>
                    </m:func>
                  </m:den>
                </m:f>
              </m:e>
            </m:d>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t>(15)</w:t>
      </w:r>
    </w:p>
    <w:p w14:paraId="5B17F14C" w14:textId="77777777" w:rsidR="009E20A6" w:rsidRPr="009E20A6" w:rsidRDefault="009E20A6" w:rsidP="009E20A6">
      <w:pPr>
        <w:autoSpaceDE w:val="0"/>
        <w:autoSpaceDN w:val="0"/>
        <w:adjustRightInd w:val="0"/>
        <w:ind w:left="720" w:firstLine="720"/>
        <w:jc w:val="both"/>
        <w:rPr>
          <w:rFonts w:ascii="Arial" w:hAnsi="Arial" w:cs="Arial"/>
        </w:rPr>
      </w:pPr>
    </w:p>
    <w:p w14:paraId="4090DD68" w14:textId="77777777" w:rsidR="009E20A6" w:rsidRDefault="009E20A6" w:rsidP="009E20A6">
      <w:pPr>
        <w:autoSpaceDE w:val="0"/>
        <w:autoSpaceDN w:val="0"/>
        <w:adjustRightInd w:val="0"/>
        <w:jc w:val="both"/>
        <w:rPr>
          <w:rFonts w:ascii="Arial" w:hAnsi="Arial" w:cs="Arial"/>
        </w:rPr>
      </w:pPr>
      <w:r w:rsidRPr="009E20A6">
        <w:rPr>
          <w:rFonts w:ascii="Arial" w:hAnsi="Arial" w:cs="Arial"/>
        </w:rPr>
        <w:t>The quantile function may also be used to calculate quartiles, generate values from the MOIR distribution for simulation, and define different metrics of skewness and kurtosis.</w:t>
      </w:r>
    </w:p>
    <w:p w14:paraId="108AAEBC" w14:textId="77777777" w:rsidR="00352EF7" w:rsidRPr="009E20A6" w:rsidRDefault="00352EF7" w:rsidP="009E20A6">
      <w:pPr>
        <w:autoSpaceDE w:val="0"/>
        <w:autoSpaceDN w:val="0"/>
        <w:adjustRightInd w:val="0"/>
        <w:jc w:val="both"/>
        <w:rPr>
          <w:rFonts w:ascii="Arial" w:hAnsi="Arial" w:cs="Arial"/>
        </w:rPr>
      </w:pPr>
    </w:p>
    <w:p w14:paraId="335E0E81" w14:textId="77777777" w:rsidR="009E20A6" w:rsidRPr="009E20A6" w:rsidRDefault="009E20A6" w:rsidP="009E20A6">
      <w:pPr>
        <w:autoSpaceDE w:val="0"/>
        <w:autoSpaceDN w:val="0"/>
        <w:adjustRightInd w:val="0"/>
        <w:jc w:val="both"/>
        <w:rPr>
          <w:rFonts w:ascii="Arial" w:eastAsiaTheme="minorEastAsia" w:hAnsi="Arial" w:cs="Arial"/>
          <w:b/>
          <w:bCs/>
        </w:rPr>
      </w:pPr>
      <w:r w:rsidRPr="009E20A6">
        <w:rPr>
          <w:rFonts w:ascii="Arial" w:eastAsiaTheme="minorEastAsia" w:hAnsi="Arial" w:cs="Arial"/>
          <w:b/>
          <w:bCs/>
        </w:rPr>
        <w:t>2.2</w:t>
      </w:r>
      <w:r>
        <w:rPr>
          <w:rFonts w:ascii="Arial" w:eastAsiaTheme="minorEastAsia" w:hAnsi="Arial" w:cs="Arial"/>
          <w:b/>
          <w:bCs/>
        </w:rPr>
        <w:t xml:space="preserve">.3 </w:t>
      </w:r>
      <w:r w:rsidRPr="009E20A6">
        <w:rPr>
          <w:rFonts w:ascii="Arial" w:eastAsiaTheme="minorEastAsia" w:hAnsi="Arial" w:cs="Arial"/>
          <w:b/>
          <w:bCs/>
          <w:u w:val="single"/>
        </w:rPr>
        <w:t>Maximum Likelihood Estimates of MOIR</w:t>
      </w:r>
    </w:p>
    <w:p w14:paraId="3A5F4B26" w14:textId="77777777" w:rsidR="009E20A6" w:rsidRPr="009E20A6" w:rsidRDefault="009E20A6" w:rsidP="009E20A6">
      <w:pPr>
        <w:autoSpaceDE w:val="0"/>
        <w:autoSpaceDN w:val="0"/>
        <w:adjustRightInd w:val="0"/>
        <w:jc w:val="both"/>
        <w:rPr>
          <w:rFonts w:ascii="Arial" w:eastAsiaTheme="minorEastAsia" w:hAnsi="Arial" w:cs="Arial"/>
        </w:rPr>
      </w:pPr>
    </w:p>
    <w:p w14:paraId="74D2B3F0"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w:lastRenderedPageBreak/>
          <m:t>L=</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g</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e>
        </m:nary>
        <m:r>
          <w:rPr>
            <w:rFonts w:ascii="Cambria Math" w:eastAsiaTheme="minorEastAsia" w:hAnsi="Cambria Math" w:cs="Arial"/>
          </w:rPr>
          <m:t>,  i = 1, ..., n</m:t>
        </m:r>
      </m:oMath>
      <w:r w:rsidRPr="009E20A6">
        <w:rPr>
          <w:rFonts w:ascii="Arial" w:eastAsiaTheme="minorEastAsia" w:hAnsi="Arial" w:cs="Arial"/>
        </w:rPr>
        <w:t xml:space="preserve"> </w:t>
      </w:r>
    </w:p>
    <w:p w14:paraId="524DF4CC"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l = -2nln</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ln</m:t>
            </m:r>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r>
          <w:rPr>
            <w:rFonts w:ascii="Cambria Math" w:eastAsiaTheme="minorEastAsia" w:hAnsi="Cambria Math" w:cs="Arial"/>
          </w:rPr>
          <m:t>+nln</m:t>
        </m:r>
        <m:d>
          <m:dPr>
            <m:ctrlPr>
              <w:rPr>
                <w:rFonts w:ascii="Cambria Math" w:eastAsiaTheme="minorEastAsia" w:hAnsi="Cambria Math" w:cs="Arial"/>
                <w:i/>
              </w:rPr>
            </m:ctrlPr>
          </m:dPr>
          <m:e>
            <m:r>
              <w:rPr>
                <w:rFonts w:ascii="Cambria Math" w:eastAsiaTheme="minorEastAsia" w:hAnsi="Cambria Math" w:cs="Arial"/>
              </w:rPr>
              <m:t>λθ</m:t>
            </m:r>
          </m:e>
        </m:d>
        <m:r>
          <w:rPr>
            <w:rFonts w:ascii="Cambria Math" w:eastAsiaTheme="minorEastAsia" w:hAnsi="Cambria Math" w:cs="Arial"/>
          </w:rPr>
          <m:t>-3nln</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oMath>
      <w:r w:rsidRPr="009E20A6">
        <w:rPr>
          <w:rFonts w:ascii="Arial" w:eastAsiaTheme="minorEastAsia" w:hAnsi="Arial" w:cs="Arial"/>
        </w:rPr>
        <w:t xml:space="preserve"> </w:t>
      </w:r>
    </w:p>
    <w:p w14:paraId="13B524A2" w14:textId="77777777" w:rsidR="009E20A6" w:rsidRPr="009E20A6" w:rsidRDefault="009E20A6" w:rsidP="009E20A6">
      <w:pPr>
        <w:autoSpaceDE w:val="0"/>
        <w:autoSpaceDN w:val="0"/>
        <w:adjustRightInd w:val="0"/>
        <w:ind w:left="720"/>
        <w:jc w:val="both"/>
        <w:rPr>
          <w:rFonts w:ascii="Arial" w:eastAsiaTheme="minorEastAsia" w:hAnsi="Arial" w:cs="Arial"/>
        </w:rPr>
      </w:pPr>
    </w:p>
    <w:p w14:paraId="274B0B42"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diff</m:t>
        </m:r>
        <m:d>
          <m:dPr>
            <m:ctrlPr>
              <w:rPr>
                <w:rFonts w:ascii="Cambria Math" w:eastAsiaTheme="minorEastAsia" w:hAnsi="Cambria Math" w:cs="Arial"/>
                <w:i/>
              </w:rPr>
            </m:ctrlPr>
          </m:dPr>
          <m:e>
            <m:r>
              <w:rPr>
                <w:rFonts w:ascii="Cambria Math" w:eastAsiaTheme="minorEastAsia" w:hAnsi="Cambria Math" w:cs="Arial"/>
              </w:rPr>
              <m:t>l, θ</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num>
          <m:den>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r>
              <w:rPr>
                <w:rFonts w:ascii="Cambria Math" w:eastAsiaTheme="minorEastAsia" w:hAnsi="Cambria Math" w:cs="Arial"/>
              </w:rPr>
              <m:t>θ</m:t>
            </m:r>
          </m:den>
        </m:f>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(16)</w:t>
      </w:r>
    </w:p>
    <w:p w14:paraId="04FBA37E" w14:textId="77777777" w:rsidR="009E20A6" w:rsidRPr="009E20A6" w:rsidRDefault="009E20A6" w:rsidP="009E20A6">
      <w:pPr>
        <w:autoSpaceDE w:val="0"/>
        <w:autoSpaceDN w:val="0"/>
        <w:adjustRightInd w:val="0"/>
        <w:ind w:left="720"/>
        <w:jc w:val="both"/>
        <w:rPr>
          <w:rFonts w:ascii="Arial" w:eastAsiaTheme="minorEastAsia" w:hAnsi="Arial" w:cs="Arial"/>
        </w:rPr>
      </w:pPr>
    </w:p>
    <w:p w14:paraId="44BBDB4F" w14:textId="77777777" w:rsidR="009E20A6" w:rsidRPr="009E20A6" w:rsidRDefault="009E20A6" w:rsidP="009E20A6">
      <w:pPr>
        <w:autoSpaceDE w:val="0"/>
        <w:autoSpaceDN w:val="0"/>
        <w:adjustRightInd w:val="0"/>
        <w:ind w:left="720"/>
        <w:jc w:val="both"/>
        <w:rPr>
          <w:rFonts w:ascii="Arial" w:eastAsiaTheme="minorEastAsia" w:hAnsi="Arial" w:cs="Arial"/>
        </w:rPr>
      </w:pPr>
    </w:p>
    <w:p w14:paraId="75D94AED"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diff</m:t>
        </m:r>
        <m:d>
          <m:dPr>
            <m:ctrlPr>
              <w:rPr>
                <w:rFonts w:ascii="Cambria Math" w:eastAsiaTheme="minorEastAsia" w:hAnsi="Cambria Math" w:cs="Arial"/>
                <w:i/>
              </w:rPr>
            </m:ctrlPr>
          </m:dPr>
          <m:e>
            <m:r>
              <w:rPr>
                <w:rFonts w:ascii="Cambria Math" w:eastAsiaTheme="minorEastAsia" w:hAnsi="Cambria Math" w:cs="Arial"/>
              </w:rPr>
              <m:t>l, λ</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d>
              <m:dPr>
                <m:ctrlPr>
                  <w:rPr>
                    <w:rFonts w:ascii="Cambria Math" w:eastAsiaTheme="minorEastAsia" w:hAnsi="Cambria Math" w:cs="Arial"/>
                    <w:i/>
                  </w:rPr>
                </m:ctrlPr>
              </m:dPr>
              <m:e>
                <m:d>
                  <m:dPr>
                    <m:ctrlPr>
                      <w:rPr>
                        <w:rFonts w:ascii="Cambria Math" w:eastAsiaTheme="minorEastAsia" w:hAnsi="Cambria Math" w:cs="Arial"/>
                        <w:i/>
                      </w:rPr>
                    </m:ctrlPr>
                  </m:dPr>
                  <m:e>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e>
                </m:d>
                <m:r>
                  <w:rPr>
                    <w:rFonts w:ascii="Cambria Math" w:eastAsiaTheme="minorEastAsia" w:hAnsi="Cambria Math" w:cs="Arial"/>
                  </w:rPr>
                  <m:t>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r>
                  <w:rPr>
                    <w:rFonts w:ascii="Cambria Math" w:eastAsiaTheme="minorEastAsia" w:hAnsi="Cambria Math" w:cs="Arial"/>
                  </w:rPr>
                  <m:t>+</m:t>
                </m:r>
                <m:d>
                  <m:dPr>
                    <m:ctrlPr>
                      <w:rPr>
                        <w:rFonts w:ascii="Cambria Math" w:eastAsiaTheme="minorEastAsia" w:hAnsi="Cambria Math" w:cs="Arial"/>
                        <w:i/>
                      </w:rPr>
                    </m:ctrlPr>
                  </m:dPr>
                  <m:e>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e>
                </m:d>
                <m:d>
                  <m:dPr>
                    <m:ctrlPr>
                      <w:rPr>
                        <w:rFonts w:ascii="Cambria Math" w:eastAsiaTheme="minorEastAsia" w:hAnsi="Cambria Math" w:cs="Arial"/>
                        <w:i/>
                      </w:rPr>
                    </m:ctrlPr>
                  </m:dPr>
                  <m:e>
                    <m:r>
                      <w:rPr>
                        <w:rFonts w:ascii="Cambria Math" w:eastAsiaTheme="minorEastAsia" w:hAnsi="Cambria Math" w:cs="Arial"/>
                      </w:rPr>
                      <m:t>θ-1</m:t>
                    </m:r>
                  </m:e>
                </m:d>
              </m:e>
            </m:d>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den>
        </m:f>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(17)</w:t>
      </w:r>
    </w:p>
    <w:p w14:paraId="2C1C4F26" w14:textId="77777777" w:rsidR="009E20A6" w:rsidRPr="009E20A6" w:rsidRDefault="009E20A6" w:rsidP="009E20A6">
      <w:pPr>
        <w:autoSpaceDE w:val="0"/>
        <w:autoSpaceDN w:val="0"/>
        <w:adjustRightInd w:val="0"/>
        <w:ind w:left="720"/>
        <w:jc w:val="both"/>
        <w:rPr>
          <w:rFonts w:ascii="Arial" w:eastAsiaTheme="minorEastAsia" w:hAnsi="Arial" w:cs="Arial"/>
        </w:rPr>
      </w:pPr>
    </w:p>
    <w:p w14:paraId="551531C1" w14:textId="77777777" w:rsidR="009E20A6" w:rsidRPr="009E20A6" w:rsidRDefault="009E20A6" w:rsidP="009E20A6">
      <w:pPr>
        <w:autoSpaceDE w:val="0"/>
        <w:autoSpaceDN w:val="0"/>
        <w:adjustRightInd w:val="0"/>
        <w:jc w:val="both"/>
        <w:rPr>
          <w:rFonts w:ascii="Arial" w:eastAsiaTheme="minorEastAsia" w:hAnsi="Arial" w:cs="Arial"/>
        </w:rPr>
      </w:pPr>
      <m:oMath>
        <m:r>
          <w:rPr>
            <w:rFonts w:ascii="Cambria Math" w:eastAsiaTheme="minorEastAsia" w:hAnsi="Cambria Math" w:cs="Arial"/>
          </w:rPr>
          <m:t xml:space="preserve">θ, λ </m:t>
        </m:r>
      </m:oMath>
      <w:r w:rsidRPr="009E20A6">
        <w:rPr>
          <w:rFonts w:ascii="Arial" w:eastAsiaTheme="minorEastAsia" w:hAnsi="Arial" w:cs="Arial"/>
        </w:rPr>
        <w:t xml:space="preserve"> are estimated by equating (16) and (17) to zero, and then solve numerically.</w:t>
      </w:r>
    </w:p>
    <w:p w14:paraId="2922A7DC" w14:textId="77777777" w:rsidR="00790ADA" w:rsidRPr="00FB3A86" w:rsidRDefault="00790ADA" w:rsidP="00441B6F">
      <w:pPr>
        <w:pStyle w:val="Body"/>
        <w:spacing w:after="0"/>
        <w:rPr>
          <w:rFonts w:ascii="Arial" w:hAnsi="Arial" w:cs="Arial"/>
        </w:rPr>
      </w:pPr>
    </w:p>
    <w:p w14:paraId="318E683B" w14:textId="77777777" w:rsidR="00790ADA" w:rsidRPr="00FB3A86" w:rsidRDefault="00790ADA" w:rsidP="00441B6F">
      <w:pPr>
        <w:pStyle w:val="Body"/>
        <w:spacing w:after="0"/>
        <w:rPr>
          <w:rFonts w:ascii="Arial" w:hAnsi="Arial" w:cs="Arial"/>
        </w:rPr>
      </w:pPr>
    </w:p>
    <w:p w14:paraId="3F4179F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F022F0" w14:textId="77777777" w:rsidR="00790ADA" w:rsidRPr="00FB3A86" w:rsidRDefault="00790ADA" w:rsidP="00441B6F">
      <w:pPr>
        <w:pStyle w:val="Head1"/>
        <w:spacing w:after="0"/>
        <w:jc w:val="both"/>
        <w:rPr>
          <w:rFonts w:ascii="Arial" w:hAnsi="Arial" w:cs="Arial"/>
        </w:rPr>
      </w:pPr>
    </w:p>
    <w:p w14:paraId="10792BDB" w14:textId="77777777" w:rsidR="000D6958" w:rsidRPr="000D6958" w:rsidRDefault="000D6958" w:rsidP="000D6958">
      <w:pPr>
        <w:autoSpaceDE w:val="0"/>
        <w:autoSpaceDN w:val="0"/>
        <w:adjustRightInd w:val="0"/>
        <w:jc w:val="both"/>
        <w:rPr>
          <w:rFonts w:ascii="Arial" w:hAnsi="Arial" w:cs="Arial"/>
          <w:b/>
          <w:bCs/>
        </w:rPr>
      </w:pPr>
      <w:r>
        <w:rPr>
          <w:rFonts w:ascii="Arial" w:hAnsi="Arial" w:cs="Arial"/>
          <w:b/>
          <w:bCs/>
        </w:rPr>
        <w:t>3</w:t>
      </w:r>
      <w:r w:rsidRPr="000D6958">
        <w:rPr>
          <w:rFonts w:ascii="Arial" w:hAnsi="Arial" w:cs="Arial"/>
          <w:b/>
          <w:bCs/>
        </w:rPr>
        <w:t>.1</w:t>
      </w:r>
      <w:r>
        <w:rPr>
          <w:rFonts w:ascii="Arial" w:hAnsi="Arial" w:cs="Arial"/>
        </w:rPr>
        <w:t xml:space="preserve"> </w:t>
      </w:r>
      <w:r w:rsidRPr="000D6958">
        <w:rPr>
          <w:rFonts w:ascii="Arial" w:hAnsi="Arial" w:cs="Arial"/>
          <w:b/>
          <w:bCs/>
          <w:sz w:val="22"/>
          <w:szCs w:val="22"/>
        </w:rPr>
        <w:t>Simulation Study</w:t>
      </w:r>
    </w:p>
    <w:p w14:paraId="13941BCC" w14:textId="77777777" w:rsidR="000D6958" w:rsidRPr="000D6958" w:rsidRDefault="000D6958" w:rsidP="000D6958">
      <w:pPr>
        <w:autoSpaceDE w:val="0"/>
        <w:autoSpaceDN w:val="0"/>
        <w:adjustRightInd w:val="0"/>
        <w:jc w:val="both"/>
        <w:rPr>
          <w:rFonts w:ascii="Arial" w:hAnsi="Arial" w:cs="Arial"/>
          <w:lang w:eastAsia="en-GB"/>
        </w:rPr>
      </w:pPr>
      <w:r w:rsidRPr="000D6958">
        <w:rPr>
          <w:rFonts w:ascii="Arial" w:hAnsi="Arial" w:cs="Arial"/>
          <w:lang w:eastAsia="en-GB"/>
        </w:rPr>
        <w:t xml:space="preserve">The data for this study were simulated for different sample sizes and parameters on the basis of bias and standard error for MOIR distribution. The algorithms were written in R language to generate </w:t>
      </w:r>
      <m:oMath>
        <m:r>
          <w:rPr>
            <w:rFonts w:ascii="Cambria Math" w:hAnsi="Cambria Math" w:cs="Arial"/>
            <w:lang w:eastAsia="en-GB"/>
          </w:rPr>
          <m:t>10,000</m:t>
        </m:r>
      </m:oMath>
      <w:r w:rsidRPr="000D6958">
        <w:rPr>
          <w:rFonts w:ascii="Arial" w:hAnsi="Arial" w:cs="Arial"/>
          <w:lang w:eastAsia="en-GB"/>
        </w:rPr>
        <w:t xml:space="preserve"> samples using the Monte Carlos simulation. ML estimates for </w:t>
      </w:r>
      <m:oMath>
        <m:r>
          <m:rPr>
            <m:sty m:val="bi"/>
          </m:rPr>
          <w:rPr>
            <w:rFonts w:ascii="Cambria Math" w:hAnsi="Cambria Math" w:cs="Arial"/>
          </w:rPr>
          <m:t>λ</m:t>
        </m:r>
      </m:oMath>
      <w:r w:rsidRPr="000D6958">
        <w:rPr>
          <w:rFonts w:ascii="Arial" w:hAnsi="Arial" w:cs="Arial"/>
        </w:rPr>
        <w:t xml:space="preserve"> = 2, </w:t>
      </w:r>
      <m:oMath>
        <m:r>
          <m:rPr>
            <m:sty m:val="bi"/>
          </m:rPr>
          <w:rPr>
            <w:rFonts w:ascii="Cambria Math" w:hAnsi="Cambria Math" w:cs="Arial"/>
          </w:rPr>
          <m:t>θ</m:t>
        </m:r>
      </m:oMath>
      <w:r w:rsidRPr="000D6958">
        <w:rPr>
          <w:rFonts w:ascii="Arial" w:hAnsi="Arial" w:cs="Arial"/>
        </w:rPr>
        <w:t xml:space="preserve"> =1.8; </w:t>
      </w:r>
      <m:oMath>
        <m:r>
          <m:rPr>
            <m:sty m:val="bi"/>
          </m:rPr>
          <w:rPr>
            <w:rFonts w:ascii="Cambria Math" w:hAnsi="Cambria Math" w:cs="Arial"/>
          </w:rPr>
          <m:t>λ</m:t>
        </m:r>
      </m:oMath>
      <w:r w:rsidRPr="000D6958">
        <w:rPr>
          <w:rFonts w:ascii="Arial" w:hAnsi="Arial" w:cs="Arial"/>
        </w:rPr>
        <w:t xml:space="preserve"> =3.5, </w:t>
      </w:r>
      <m:oMath>
        <m:r>
          <m:rPr>
            <m:sty m:val="bi"/>
          </m:rPr>
          <w:rPr>
            <w:rFonts w:ascii="Cambria Math" w:hAnsi="Cambria Math" w:cs="Arial"/>
          </w:rPr>
          <m:t>θ</m:t>
        </m:r>
      </m:oMath>
      <w:r w:rsidRPr="000D6958">
        <w:rPr>
          <w:rFonts w:ascii="Arial" w:hAnsi="Arial" w:cs="Arial"/>
        </w:rPr>
        <w:t xml:space="preserve"> =2.5 </w:t>
      </w:r>
      <w:r w:rsidRPr="000D6958">
        <w:rPr>
          <w:rFonts w:ascii="Arial" w:hAnsi="Arial" w:cs="Arial"/>
          <w:lang w:eastAsia="en-GB"/>
        </w:rPr>
        <w:t xml:space="preserve">and </w:t>
      </w:r>
      <m:oMath>
        <m:r>
          <m:rPr>
            <m:sty m:val="bi"/>
          </m:rPr>
          <w:rPr>
            <w:rFonts w:ascii="Cambria Math" w:hAnsi="Cambria Math" w:cs="Arial"/>
          </w:rPr>
          <m:t>λ</m:t>
        </m:r>
      </m:oMath>
      <w:r w:rsidRPr="000D6958">
        <w:rPr>
          <w:rFonts w:ascii="Arial" w:hAnsi="Arial" w:cs="Arial"/>
        </w:rPr>
        <w:t xml:space="preserve"> = 4.2, </w:t>
      </w:r>
      <m:oMath>
        <m:r>
          <m:rPr>
            <m:sty m:val="bi"/>
          </m:rPr>
          <w:rPr>
            <w:rFonts w:ascii="Cambria Math" w:hAnsi="Cambria Math" w:cs="Arial"/>
          </w:rPr>
          <m:t>θ</m:t>
        </m:r>
      </m:oMath>
      <w:r w:rsidRPr="000D6958">
        <w:rPr>
          <w:rFonts w:ascii="Arial" w:hAnsi="Arial" w:cs="Arial"/>
        </w:rPr>
        <w:t xml:space="preserve"> = 3.4 </w:t>
      </w:r>
      <w:r w:rsidRPr="000D6958">
        <w:rPr>
          <w:rFonts w:ascii="Arial" w:hAnsi="Arial" w:cs="Arial"/>
          <w:lang w:eastAsia="en-GB"/>
        </w:rPr>
        <w:t xml:space="preserve">were calculated. The mean of these estimates </w:t>
      </w:r>
      <w:r w:rsidRPr="000D6958">
        <w:rPr>
          <w:rFonts w:ascii="Arial" w:hAnsi="Arial" w:cs="Arial"/>
        </w:rPr>
        <w:t xml:space="preserve">for sample sizes 30, </w:t>
      </w:r>
      <m:oMath>
        <m:r>
          <w:rPr>
            <w:rFonts w:ascii="Cambria Math" w:hAnsi="Cambria Math" w:cs="Arial"/>
          </w:rPr>
          <m:t>50, 100</m:t>
        </m:r>
      </m:oMath>
      <w:r w:rsidRPr="000D6958">
        <w:rPr>
          <w:rFonts w:ascii="Arial" w:hAnsi="Arial" w:cs="Arial"/>
        </w:rPr>
        <w:t xml:space="preserve">, </w:t>
      </w:r>
      <m:oMath>
        <m:r>
          <w:rPr>
            <w:rFonts w:ascii="Cambria Math" w:hAnsi="Cambria Math" w:cs="Arial"/>
          </w:rPr>
          <m:t>200</m:t>
        </m:r>
      </m:oMath>
      <w:r w:rsidRPr="000D6958">
        <w:rPr>
          <w:rFonts w:ascii="Arial" w:eastAsiaTheme="minorEastAsia" w:hAnsi="Arial" w:cs="Arial"/>
        </w:rPr>
        <w:t xml:space="preserve">, and </w:t>
      </w:r>
      <m:oMath>
        <m:r>
          <w:rPr>
            <w:rFonts w:ascii="Cambria Math" w:eastAsiaTheme="minorEastAsia" w:hAnsi="Cambria Math" w:cs="Arial"/>
          </w:rPr>
          <m:t>500</m:t>
        </m:r>
      </m:oMath>
      <w:r w:rsidRPr="000D6958">
        <w:rPr>
          <w:rFonts w:ascii="Arial" w:hAnsi="Arial" w:cs="Arial"/>
          <w:lang w:eastAsia="en-GB"/>
        </w:rPr>
        <w:t xml:space="preserve"> are represented in Table 1.</w:t>
      </w:r>
    </w:p>
    <w:p w14:paraId="33FB0D2B" w14:textId="77777777" w:rsidR="000D6958" w:rsidRPr="000D6958" w:rsidRDefault="000D6958" w:rsidP="000D6958">
      <w:pPr>
        <w:autoSpaceDE w:val="0"/>
        <w:autoSpaceDN w:val="0"/>
        <w:adjustRightInd w:val="0"/>
        <w:jc w:val="both"/>
        <w:rPr>
          <w:rFonts w:ascii="Arial" w:hAnsi="Arial" w:cs="Arial"/>
        </w:rPr>
      </w:pPr>
    </w:p>
    <w:p w14:paraId="4134FCF8" w14:textId="77777777" w:rsidR="000D6958" w:rsidRPr="000D6958" w:rsidRDefault="000D6958" w:rsidP="000D6958">
      <w:pPr>
        <w:autoSpaceDE w:val="0"/>
        <w:autoSpaceDN w:val="0"/>
        <w:adjustRightInd w:val="0"/>
        <w:ind w:left="990" w:hanging="990"/>
        <w:jc w:val="both"/>
        <w:rPr>
          <w:rFonts w:ascii="Arial" w:hAnsi="Arial" w:cs="Arial"/>
          <w:b/>
          <w:bCs/>
        </w:rPr>
      </w:pPr>
      <w:r w:rsidRPr="000D6958">
        <w:rPr>
          <w:rFonts w:ascii="Arial" w:hAnsi="Arial" w:cs="Arial"/>
          <w:b/>
          <w:bCs/>
        </w:rPr>
        <w:t xml:space="preserve">Table 1: </w:t>
      </w:r>
      <w:r w:rsidRPr="000D6958">
        <w:rPr>
          <w:rFonts w:ascii="Arial" w:hAnsi="Arial" w:cs="Arial"/>
          <w:lang w:eastAsia="en-GB"/>
        </w:rPr>
        <w:t>Bias and Standard error of MOIR distribution for different sample sizes and parameters.</w:t>
      </w:r>
    </w:p>
    <w:tbl>
      <w:tblPr>
        <w:tblStyle w:val="PlainTable2"/>
        <w:tblW w:w="8910" w:type="dxa"/>
        <w:tblLook w:val="04A0" w:firstRow="1" w:lastRow="0" w:firstColumn="1" w:lastColumn="0" w:noHBand="0" w:noVBand="1"/>
      </w:tblPr>
      <w:tblGrid>
        <w:gridCol w:w="1316"/>
        <w:gridCol w:w="550"/>
        <w:gridCol w:w="492"/>
        <w:gridCol w:w="508"/>
        <w:gridCol w:w="1313"/>
        <w:gridCol w:w="1283"/>
        <w:gridCol w:w="925"/>
        <w:gridCol w:w="1209"/>
        <w:gridCol w:w="1314"/>
      </w:tblGrid>
      <w:tr w:rsidR="000D6958" w:rsidRPr="000D6958" w14:paraId="574ADA53" w14:textId="77777777" w:rsidTr="00352EF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316" w:type="dxa"/>
            <w:hideMark/>
          </w:tcPr>
          <w:p w14:paraId="28D98179"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Parameters</w:t>
            </w:r>
          </w:p>
        </w:tc>
        <w:tc>
          <w:tcPr>
            <w:tcW w:w="550" w:type="dxa"/>
            <w:hideMark/>
          </w:tcPr>
          <w:p w14:paraId="3B48CE75"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n</w:t>
            </w:r>
          </w:p>
        </w:tc>
        <w:tc>
          <w:tcPr>
            <w:tcW w:w="1000" w:type="dxa"/>
            <w:gridSpan w:val="2"/>
            <w:hideMark/>
          </w:tcPr>
          <w:p w14:paraId="73252DA0"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λ</m:t>
                </m:r>
              </m:oMath>
            </m:oMathPara>
          </w:p>
        </w:tc>
        <w:tc>
          <w:tcPr>
            <w:tcW w:w="1313" w:type="dxa"/>
            <w:hideMark/>
          </w:tcPr>
          <w:p w14:paraId="74544C22"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bias</w:t>
            </w:r>
          </w:p>
        </w:tc>
        <w:tc>
          <w:tcPr>
            <w:tcW w:w="1283" w:type="dxa"/>
            <w:hideMark/>
          </w:tcPr>
          <w:p w14:paraId="60F99BAD"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Std error</w:t>
            </w:r>
          </w:p>
        </w:tc>
        <w:tc>
          <w:tcPr>
            <w:tcW w:w="925" w:type="dxa"/>
            <w:hideMark/>
          </w:tcPr>
          <w:p w14:paraId="62D62844"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θ</m:t>
                </m:r>
              </m:oMath>
            </m:oMathPara>
          </w:p>
        </w:tc>
        <w:tc>
          <w:tcPr>
            <w:tcW w:w="1209" w:type="dxa"/>
            <w:hideMark/>
          </w:tcPr>
          <w:p w14:paraId="4CD3B289"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bias</w:t>
            </w:r>
          </w:p>
        </w:tc>
        <w:tc>
          <w:tcPr>
            <w:tcW w:w="1314" w:type="dxa"/>
            <w:hideMark/>
          </w:tcPr>
          <w:p w14:paraId="707518F1"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Std error</w:t>
            </w:r>
          </w:p>
        </w:tc>
      </w:tr>
      <w:tr w:rsidR="00352EF7" w:rsidRPr="000D6958" w14:paraId="37278539"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6DA676E5" w14:textId="77777777" w:rsidR="000D6958" w:rsidRPr="000D6958" w:rsidRDefault="000D6958" w:rsidP="00E71714">
            <w:pPr>
              <w:autoSpaceDE w:val="0"/>
              <w:autoSpaceDN w:val="0"/>
              <w:adjustRightInd w:val="0"/>
              <w:jc w:val="center"/>
              <w:rPr>
                <w:rFonts w:ascii="Arial" w:hAnsi="Arial" w:cs="Arial"/>
              </w:rPr>
            </w:pPr>
          </w:p>
        </w:tc>
        <w:tc>
          <w:tcPr>
            <w:tcW w:w="550" w:type="dxa"/>
            <w:hideMark/>
          </w:tcPr>
          <w:p w14:paraId="262C19B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00" w:type="dxa"/>
            <w:gridSpan w:val="2"/>
            <w:hideMark/>
          </w:tcPr>
          <w:p w14:paraId="04E44CE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4566898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09B659C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339E21E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5488284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067E524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7BE2EDD2"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022EB939"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2</w:t>
            </w:r>
          </w:p>
          <w:p w14:paraId="55846731"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1.8</w:t>
            </w:r>
          </w:p>
          <w:p w14:paraId="5377B871"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2EB984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1000" w:type="dxa"/>
            <w:gridSpan w:val="2"/>
            <w:noWrap/>
            <w:hideMark/>
          </w:tcPr>
          <w:p w14:paraId="133D8B6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3B18A27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0.8177</w:t>
            </w:r>
          </w:p>
        </w:tc>
        <w:tc>
          <w:tcPr>
            <w:tcW w:w="1283" w:type="dxa"/>
            <w:noWrap/>
            <w:hideMark/>
          </w:tcPr>
          <w:p w14:paraId="3B1D78B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0.9744</w:t>
            </w:r>
          </w:p>
        </w:tc>
        <w:tc>
          <w:tcPr>
            <w:tcW w:w="925" w:type="dxa"/>
            <w:noWrap/>
            <w:hideMark/>
          </w:tcPr>
          <w:p w14:paraId="74ADA56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44AF49D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1.0849</w:t>
            </w:r>
          </w:p>
        </w:tc>
        <w:tc>
          <w:tcPr>
            <w:tcW w:w="1314" w:type="dxa"/>
            <w:noWrap/>
            <w:hideMark/>
          </w:tcPr>
          <w:p w14:paraId="13B0ACD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0.5199</w:t>
            </w:r>
          </w:p>
        </w:tc>
      </w:tr>
      <w:tr w:rsidR="000D6958" w:rsidRPr="000D6958" w14:paraId="2EAA1CD0"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4BCA82F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30EB99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1000" w:type="dxa"/>
            <w:gridSpan w:val="2"/>
            <w:noWrap/>
            <w:hideMark/>
          </w:tcPr>
          <w:p w14:paraId="56F36F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5418259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0.6245</w:t>
            </w:r>
          </w:p>
        </w:tc>
        <w:tc>
          <w:tcPr>
            <w:tcW w:w="1283" w:type="dxa"/>
            <w:noWrap/>
            <w:hideMark/>
          </w:tcPr>
          <w:p w14:paraId="3D67E32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0.7262</w:t>
            </w:r>
          </w:p>
        </w:tc>
        <w:tc>
          <w:tcPr>
            <w:tcW w:w="925" w:type="dxa"/>
            <w:noWrap/>
            <w:hideMark/>
          </w:tcPr>
          <w:p w14:paraId="5583522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29F4427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1.1138</w:t>
            </w:r>
          </w:p>
        </w:tc>
        <w:tc>
          <w:tcPr>
            <w:tcW w:w="1314" w:type="dxa"/>
            <w:noWrap/>
            <w:hideMark/>
          </w:tcPr>
          <w:p w14:paraId="1AA7B3D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0.3571</w:t>
            </w:r>
          </w:p>
        </w:tc>
      </w:tr>
      <w:tr w:rsidR="000D6958" w:rsidRPr="000D6958" w14:paraId="4A06F9C1"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4F2020C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1E95EAC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1000" w:type="dxa"/>
            <w:gridSpan w:val="2"/>
            <w:noWrap/>
            <w:hideMark/>
          </w:tcPr>
          <w:p w14:paraId="785D8E0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381E1D9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0.4010</w:t>
            </w:r>
          </w:p>
        </w:tc>
        <w:tc>
          <w:tcPr>
            <w:tcW w:w="1283" w:type="dxa"/>
            <w:noWrap/>
            <w:hideMark/>
          </w:tcPr>
          <w:p w14:paraId="7662510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0.5042</w:t>
            </w:r>
          </w:p>
        </w:tc>
        <w:tc>
          <w:tcPr>
            <w:tcW w:w="925" w:type="dxa"/>
            <w:noWrap/>
            <w:hideMark/>
          </w:tcPr>
          <w:p w14:paraId="34CB0FD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6D2CBCF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1.1789</w:t>
            </w:r>
          </w:p>
        </w:tc>
        <w:tc>
          <w:tcPr>
            <w:tcW w:w="1314" w:type="dxa"/>
            <w:noWrap/>
            <w:hideMark/>
          </w:tcPr>
          <w:p w14:paraId="68596F1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0.2265</w:t>
            </w:r>
          </w:p>
        </w:tc>
      </w:tr>
      <w:tr w:rsidR="000D6958" w:rsidRPr="000D6958" w14:paraId="5F859046"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8A8306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755268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1000" w:type="dxa"/>
            <w:gridSpan w:val="2"/>
            <w:noWrap/>
            <w:hideMark/>
          </w:tcPr>
          <w:p w14:paraId="58B4A7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2598D5C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0.2876</w:t>
            </w:r>
          </w:p>
        </w:tc>
        <w:tc>
          <w:tcPr>
            <w:tcW w:w="1283" w:type="dxa"/>
            <w:noWrap/>
            <w:hideMark/>
          </w:tcPr>
          <w:p w14:paraId="734DFCD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0.3516</w:t>
            </w:r>
          </w:p>
        </w:tc>
        <w:tc>
          <w:tcPr>
            <w:tcW w:w="925" w:type="dxa"/>
            <w:noWrap/>
            <w:hideMark/>
          </w:tcPr>
          <w:p w14:paraId="11EADF1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7A7D345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1.2159</w:t>
            </w:r>
          </w:p>
        </w:tc>
        <w:tc>
          <w:tcPr>
            <w:tcW w:w="1314" w:type="dxa"/>
            <w:noWrap/>
            <w:hideMark/>
          </w:tcPr>
          <w:p w14:paraId="304EF123"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0.1520</w:t>
            </w:r>
          </w:p>
        </w:tc>
      </w:tr>
      <w:tr w:rsidR="000D6958" w:rsidRPr="000D6958" w14:paraId="4A6FA3FF"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21FCAEFD"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75D1E66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1000" w:type="dxa"/>
            <w:gridSpan w:val="2"/>
            <w:noWrap/>
            <w:hideMark/>
          </w:tcPr>
          <w:p w14:paraId="10816DC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505DACD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0.1806</w:t>
            </w:r>
          </w:p>
        </w:tc>
        <w:tc>
          <w:tcPr>
            <w:tcW w:w="1283" w:type="dxa"/>
            <w:noWrap/>
            <w:hideMark/>
          </w:tcPr>
          <w:p w14:paraId="34BC480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0.2208</w:t>
            </w:r>
          </w:p>
        </w:tc>
        <w:tc>
          <w:tcPr>
            <w:tcW w:w="925" w:type="dxa"/>
            <w:noWrap/>
            <w:hideMark/>
          </w:tcPr>
          <w:p w14:paraId="3624673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2D99BDE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1.2311</w:t>
            </w:r>
          </w:p>
        </w:tc>
        <w:tc>
          <w:tcPr>
            <w:tcW w:w="1314" w:type="dxa"/>
            <w:noWrap/>
            <w:hideMark/>
          </w:tcPr>
          <w:p w14:paraId="7E16C42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0.0940</w:t>
            </w:r>
          </w:p>
        </w:tc>
      </w:tr>
      <w:tr w:rsidR="00352EF7" w:rsidRPr="000D6958" w14:paraId="163AD05C"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37F33E7C" w14:textId="77777777" w:rsidR="000D6958" w:rsidRPr="000D6958" w:rsidRDefault="000D6958" w:rsidP="00E71714">
            <w:pPr>
              <w:autoSpaceDE w:val="0"/>
              <w:autoSpaceDN w:val="0"/>
              <w:adjustRightInd w:val="0"/>
              <w:jc w:val="center"/>
              <w:rPr>
                <w:rFonts w:ascii="Arial" w:hAnsi="Arial" w:cs="Arial"/>
              </w:rPr>
            </w:pPr>
          </w:p>
        </w:tc>
        <w:tc>
          <w:tcPr>
            <w:tcW w:w="1042" w:type="dxa"/>
            <w:gridSpan w:val="2"/>
            <w:hideMark/>
          </w:tcPr>
          <w:p w14:paraId="09B0F48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8" w:type="dxa"/>
            <w:hideMark/>
          </w:tcPr>
          <w:p w14:paraId="64A11A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138D58A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308ECB0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710F5C2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7550109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1B9AA1B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1604E300"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69581BF5"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3.5</w:t>
            </w:r>
          </w:p>
          <w:p w14:paraId="74356B3B"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2.5</w:t>
            </w:r>
          </w:p>
          <w:p w14:paraId="405F9F7C"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F76250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508" w:type="dxa"/>
            <w:noWrap/>
            <w:hideMark/>
          </w:tcPr>
          <w:p w14:paraId="6276396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6C8429E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1.7267</w:t>
            </w:r>
          </w:p>
        </w:tc>
        <w:tc>
          <w:tcPr>
            <w:tcW w:w="1283" w:type="dxa"/>
            <w:noWrap/>
            <w:hideMark/>
          </w:tcPr>
          <w:p w14:paraId="2548AA2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1.9783</w:t>
            </w:r>
          </w:p>
        </w:tc>
        <w:tc>
          <w:tcPr>
            <w:tcW w:w="925" w:type="dxa"/>
            <w:noWrap/>
            <w:hideMark/>
          </w:tcPr>
          <w:p w14:paraId="6FB4AA8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00FFE44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1.8790</w:t>
            </w:r>
          </w:p>
        </w:tc>
        <w:tc>
          <w:tcPr>
            <w:tcW w:w="1314" w:type="dxa"/>
            <w:noWrap/>
            <w:hideMark/>
          </w:tcPr>
          <w:p w14:paraId="73E43CF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0.4170</w:t>
            </w:r>
          </w:p>
        </w:tc>
      </w:tr>
      <w:tr w:rsidR="000D6958" w:rsidRPr="000D6958" w14:paraId="27B92679"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4852647"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31A633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508" w:type="dxa"/>
            <w:noWrap/>
            <w:hideMark/>
          </w:tcPr>
          <w:p w14:paraId="765DCE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07D2D4A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1.2017</w:t>
            </w:r>
          </w:p>
        </w:tc>
        <w:tc>
          <w:tcPr>
            <w:tcW w:w="1283" w:type="dxa"/>
            <w:noWrap/>
            <w:hideMark/>
          </w:tcPr>
          <w:p w14:paraId="3E33F5A3"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1.4376</w:t>
            </w:r>
          </w:p>
        </w:tc>
        <w:tc>
          <w:tcPr>
            <w:tcW w:w="925" w:type="dxa"/>
            <w:noWrap/>
            <w:hideMark/>
          </w:tcPr>
          <w:p w14:paraId="6A633D3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7C2F458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1.9985</w:t>
            </w:r>
          </w:p>
        </w:tc>
        <w:tc>
          <w:tcPr>
            <w:tcW w:w="1314" w:type="dxa"/>
            <w:noWrap/>
            <w:hideMark/>
          </w:tcPr>
          <w:p w14:paraId="3C8A7BB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0.2673</w:t>
            </w:r>
          </w:p>
        </w:tc>
      </w:tr>
      <w:tr w:rsidR="000D6958" w:rsidRPr="000D6958" w14:paraId="18F165FE"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505C7A1"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49C80C8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508" w:type="dxa"/>
            <w:noWrap/>
            <w:hideMark/>
          </w:tcPr>
          <w:p w14:paraId="1A959B3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787076B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0.8075</w:t>
            </w:r>
          </w:p>
        </w:tc>
        <w:tc>
          <w:tcPr>
            <w:tcW w:w="1283" w:type="dxa"/>
            <w:noWrap/>
            <w:hideMark/>
          </w:tcPr>
          <w:p w14:paraId="0D86BC8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1.0016</w:t>
            </w:r>
          </w:p>
        </w:tc>
        <w:tc>
          <w:tcPr>
            <w:tcW w:w="925" w:type="dxa"/>
            <w:noWrap/>
            <w:hideMark/>
          </w:tcPr>
          <w:p w14:paraId="04FC02B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5301786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2.0393</w:t>
            </w:r>
          </w:p>
        </w:tc>
        <w:tc>
          <w:tcPr>
            <w:tcW w:w="1314" w:type="dxa"/>
            <w:noWrap/>
            <w:hideMark/>
          </w:tcPr>
          <w:p w14:paraId="7A75EC2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0.1754</w:t>
            </w:r>
          </w:p>
        </w:tc>
      </w:tr>
      <w:tr w:rsidR="000D6958" w:rsidRPr="000D6958" w14:paraId="5C334517"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7FE2823C"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FAB242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508" w:type="dxa"/>
            <w:noWrap/>
            <w:hideMark/>
          </w:tcPr>
          <w:p w14:paraId="53966C1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4CBDA79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0.5900</w:t>
            </w:r>
          </w:p>
        </w:tc>
        <w:tc>
          <w:tcPr>
            <w:tcW w:w="1283" w:type="dxa"/>
            <w:noWrap/>
            <w:hideMark/>
          </w:tcPr>
          <w:p w14:paraId="22D321A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0.7022</w:t>
            </w:r>
          </w:p>
        </w:tc>
        <w:tc>
          <w:tcPr>
            <w:tcW w:w="925" w:type="dxa"/>
            <w:noWrap/>
            <w:hideMark/>
          </w:tcPr>
          <w:p w14:paraId="18BEB65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6765398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2.0734</w:t>
            </w:r>
          </w:p>
        </w:tc>
        <w:tc>
          <w:tcPr>
            <w:tcW w:w="1314" w:type="dxa"/>
            <w:noWrap/>
            <w:hideMark/>
          </w:tcPr>
          <w:p w14:paraId="315D1D2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0.1166</w:t>
            </w:r>
          </w:p>
        </w:tc>
      </w:tr>
      <w:tr w:rsidR="000D6958" w:rsidRPr="000D6958" w14:paraId="6C04DF78"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35EE75D9"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82BCE4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508" w:type="dxa"/>
            <w:noWrap/>
            <w:hideMark/>
          </w:tcPr>
          <w:p w14:paraId="6395B92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01ED304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0.3504</w:t>
            </w:r>
          </w:p>
        </w:tc>
        <w:tc>
          <w:tcPr>
            <w:tcW w:w="1283" w:type="dxa"/>
            <w:noWrap/>
            <w:hideMark/>
          </w:tcPr>
          <w:p w14:paraId="03624AE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0.4396</w:t>
            </w:r>
          </w:p>
        </w:tc>
        <w:tc>
          <w:tcPr>
            <w:tcW w:w="925" w:type="dxa"/>
            <w:noWrap/>
            <w:hideMark/>
          </w:tcPr>
          <w:p w14:paraId="6CE0F08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0C77CBF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2.0932</w:t>
            </w:r>
          </w:p>
        </w:tc>
        <w:tc>
          <w:tcPr>
            <w:tcW w:w="1314" w:type="dxa"/>
            <w:noWrap/>
            <w:hideMark/>
          </w:tcPr>
          <w:p w14:paraId="6AD7989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0.0711</w:t>
            </w:r>
          </w:p>
        </w:tc>
      </w:tr>
      <w:tr w:rsidR="00352EF7" w:rsidRPr="000D6958" w14:paraId="001FBC3A" w14:textId="77777777" w:rsidTr="00352EF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316" w:type="dxa"/>
            <w:hideMark/>
          </w:tcPr>
          <w:p w14:paraId="11FDF4E9" w14:textId="77777777" w:rsidR="000D6958" w:rsidRPr="000D6958" w:rsidRDefault="000D6958" w:rsidP="00E71714">
            <w:pPr>
              <w:autoSpaceDE w:val="0"/>
              <w:autoSpaceDN w:val="0"/>
              <w:adjustRightInd w:val="0"/>
              <w:jc w:val="center"/>
              <w:rPr>
                <w:rFonts w:ascii="Arial" w:hAnsi="Arial" w:cs="Arial"/>
              </w:rPr>
            </w:pPr>
          </w:p>
        </w:tc>
        <w:tc>
          <w:tcPr>
            <w:tcW w:w="1042" w:type="dxa"/>
            <w:gridSpan w:val="2"/>
            <w:hideMark/>
          </w:tcPr>
          <w:p w14:paraId="56A93AE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8" w:type="dxa"/>
            <w:hideMark/>
          </w:tcPr>
          <w:p w14:paraId="35467D5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6C43A4B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7A12AAB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392CFF9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0E55D8C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0E697E5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6CF4D589"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5C84A588"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4.2</w:t>
            </w:r>
          </w:p>
          <w:p w14:paraId="67CF2F8B"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3.4</w:t>
            </w:r>
          </w:p>
          <w:p w14:paraId="125FC742"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7F6BE7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508" w:type="dxa"/>
            <w:noWrap/>
            <w:hideMark/>
          </w:tcPr>
          <w:p w14:paraId="69A484C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6785F24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2.4872</w:t>
            </w:r>
          </w:p>
        </w:tc>
        <w:tc>
          <w:tcPr>
            <w:tcW w:w="1283" w:type="dxa"/>
            <w:noWrap/>
            <w:hideMark/>
          </w:tcPr>
          <w:p w14:paraId="18AD361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2.7102</w:t>
            </w:r>
          </w:p>
        </w:tc>
        <w:tc>
          <w:tcPr>
            <w:tcW w:w="925" w:type="dxa"/>
            <w:noWrap/>
            <w:hideMark/>
          </w:tcPr>
          <w:p w14:paraId="47FFBF3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395815D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2.9083</w:t>
            </w:r>
          </w:p>
        </w:tc>
        <w:tc>
          <w:tcPr>
            <w:tcW w:w="1314" w:type="dxa"/>
            <w:noWrap/>
            <w:hideMark/>
          </w:tcPr>
          <w:p w14:paraId="034AF06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0.3373</w:t>
            </w:r>
          </w:p>
        </w:tc>
      </w:tr>
      <w:tr w:rsidR="000D6958" w:rsidRPr="000D6958" w14:paraId="7017DE85"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7B0E53B"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856C79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508" w:type="dxa"/>
            <w:noWrap/>
            <w:hideMark/>
          </w:tcPr>
          <w:p w14:paraId="2434172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7D68A2C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1.6795</w:t>
            </w:r>
          </w:p>
        </w:tc>
        <w:tc>
          <w:tcPr>
            <w:tcW w:w="1283" w:type="dxa"/>
            <w:noWrap/>
            <w:hideMark/>
          </w:tcPr>
          <w:p w14:paraId="3238CEC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2.0030</w:t>
            </w:r>
          </w:p>
        </w:tc>
        <w:tc>
          <w:tcPr>
            <w:tcW w:w="925" w:type="dxa"/>
            <w:noWrap/>
            <w:hideMark/>
          </w:tcPr>
          <w:p w14:paraId="4861B47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6755CD1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3.0127</w:t>
            </w:r>
          </w:p>
        </w:tc>
        <w:tc>
          <w:tcPr>
            <w:tcW w:w="1314" w:type="dxa"/>
            <w:noWrap/>
            <w:hideMark/>
          </w:tcPr>
          <w:p w14:paraId="61AACA1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0.2138</w:t>
            </w:r>
          </w:p>
        </w:tc>
      </w:tr>
      <w:tr w:rsidR="000D6958" w:rsidRPr="000D6958" w14:paraId="609BEEA7"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EC0926B"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CBE07B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508" w:type="dxa"/>
            <w:noWrap/>
            <w:hideMark/>
          </w:tcPr>
          <w:p w14:paraId="4139A53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5B84AE6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1.1258</w:t>
            </w:r>
          </w:p>
        </w:tc>
        <w:tc>
          <w:tcPr>
            <w:tcW w:w="1283" w:type="dxa"/>
            <w:noWrap/>
            <w:hideMark/>
          </w:tcPr>
          <w:p w14:paraId="0C23D42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1.3691</w:t>
            </w:r>
          </w:p>
        </w:tc>
        <w:tc>
          <w:tcPr>
            <w:tcW w:w="925" w:type="dxa"/>
            <w:noWrap/>
            <w:hideMark/>
          </w:tcPr>
          <w:p w14:paraId="558EA61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5C87D7D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3.0644</w:t>
            </w:r>
          </w:p>
        </w:tc>
        <w:tc>
          <w:tcPr>
            <w:tcW w:w="1314" w:type="dxa"/>
            <w:noWrap/>
            <w:hideMark/>
          </w:tcPr>
          <w:p w14:paraId="626F3D9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0.1355</w:t>
            </w:r>
          </w:p>
        </w:tc>
      </w:tr>
      <w:tr w:rsidR="000D6958" w:rsidRPr="000D6958" w14:paraId="2AE7C669"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91F5A1A"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2D084B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508" w:type="dxa"/>
            <w:noWrap/>
            <w:hideMark/>
          </w:tcPr>
          <w:p w14:paraId="347F4DB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12D485E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0.8020</w:t>
            </w:r>
          </w:p>
        </w:tc>
        <w:tc>
          <w:tcPr>
            <w:tcW w:w="1283" w:type="dxa"/>
            <w:noWrap/>
            <w:hideMark/>
          </w:tcPr>
          <w:p w14:paraId="7E209E8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0.9532</w:t>
            </w:r>
          </w:p>
        </w:tc>
        <w:tc>
          <w:tcPr>
            <w:tcW w:w="925" w:type="dxa"/>
            <w:noWrap/>
            <w:hideMark/>
          </w:tcPr>
          <w:p w14:paraId="446F0E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739A228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3.0832</w:t>
            </w:r>
          </w:p>
        </w:tc>
        <w:tc>
          <w:tcPr>
            <w:tcW w:w="1314" w:type="dxa"/>
            <w:noWrap/>
            <w:hideMark/>
          </w:tcPr>
          <w:p w14:paraId="7B2A901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0.0918</w:t>
            </w:r>
          </w:p>
        </w:tc>
      </w:tr>
      <w:tr w:rsidR="000D6958" w:rsidRPr="000D6958" w14:paraId="20A82306"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18B37932"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383D3ED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508" w:type="dxa"/>
            <w:noWrap/>
            <w:hideMark/>
          </w:tcPr>
          <w:p w14:paraId="20A0A97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4E92925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0.4784</w:t>
            </w:r>
          </w:p>
        </w:tc>
        <w:tc>
          <w:tcPr>
            <w:tcW w:w="1283" w:type="dxa"/>
            <w:noWrap/>
            <w:hideMark/>
          </w:tcPr>
          <w:p w14:paraId="68044E4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0.5978</w:t>
            </w:r>
          </w:p>
        </w:tc>
        <w:tc>
          <w:tcPr>
            <w:tcW w:w="925" w:type="dxa"/>
            <w:noWrap/>
            <w:hideMark/>
          </w:tcPr>
          <w:p w14:paraId="083C92C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16D7959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3.0988</w:t>
            </w:r>
          </w:p>
        </w:tc>
        <w:tc>
          <w:tcPr>
            <w:tcW w:w="1314" w:type="dxa"/>
            <w:noWrap/>
            <w:hideMark/>
          </w:tcPr>
          <w:p w14:paraId="6793802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0.0560</w:t>
            </w:r>
          </w:p>
        </w:tc>
      </w:tr>
    </w:tbl>
    <w:p w14:paraId="6D546243" w14:textId="77777777" w:rsidR="000D6958" w:rsidRPr="000D6958" w:rsidRDefault="000D6958" w:rsidP="000D6958">
      <w:pPr>
        <w:autoSpaceDE w:val="0"/>
        <w:autoSpaceDN w:val="0"/>
        <w:adjustRightInd w:val="0"/>
        <w:jc w:val="both"/>
        <w:rPr>
          <w:rFonts w:ascii="Arial" w:hAnsi="Arial" w:cs="Arial"/>
        </w:rPr>
      </w:pPr>
    </w:p>
    <w:p w14:paraId="594A904F" w14:textId="77777777" w:rsidR="000D6958" w:rsidRPr="000D6958" w:rsidRDefault="000D6958" w:rsidP="000D6958">
      <w:pPr>
        <w:autoSpaceDE w:val="0"/>
        <w:autoSpaceDN w:val="0"/>
        <w:adjustRightInd w:val="0"/>
        <w:jc w:val="both"/>
        <w:rPr>
          <w:rFonts w:ascii="Arial" w:hAnsi="Arial" w:cs="Arial"/>
          <w:lang w:eastAsia="en-GB"/>
        </w:rPr>
      </w:pPr>
    </w:p>
    <w:p w14:paraId="1C8F1D2A" w14:textId="77777777" w:rsidR="000D6958" w:rsidRPr="000D6958" w:rsidRDefault="000D6958" w:rsidP="00352EF7">
      <w:pPr>
        <w:autoSpaceDE w:val="0"/>
        <w:autoSpaceDN w:val="0"/>
        <w:adjustRightInd w:val="0"/>
        <w:jc w:val="both"/>
        <w:rPr>
          <w:rFonts w:ascii="Arial" w:hAnsi="Arial" w:cs="Arial"/>
          <w:lang w:eastAsia="en-GB"/>
        </w:rPr>
      </w:pPr>
      <w:r w:rsidRPr="000D6958">
        <w:rPr>
          <w:rFonts w:ascii="Arial" w:hAnsi="Arial" w:cs="Arial"/>
          <w:lang w:eastAsia="en-GB"/>
        </w:rPr>
        <w:t>Table 1 presents the simulation study bias and standard error of MOIR distribution for different sample sizes and parameters. The bias and standard error of the distribution decrease as the sample sizes decrease irrespective of the parameters used to simulate the data. Hence, the distribution behaves asymptotical like normal distribution.</w:t>
      </w:r>
    </w:p>
    <w:p w14:paraId="395E8E67" w14:textId="77777777" w:rsidR="000D6958" w:rsidRPr="000D6958" w:rsidRDefault="000D6958" w:rsidP="000D6958">
      <w:pPr>
        <w:autoSpaceDE w:val="0"/>
        <w:autoSpaceDN w:val="0"/>
        <w:adjustRightInd w:val="0"/>
        <w:jc w:val="both"/>
        <w:rPr>
          <w:rFonts w:ascii="Arial" w:hAnsi="Arial" w:cs="Arial"/>
          <w:lang w:eastAsia="en-GB"/>
        </w:rPr>
      </w:pPr>
    </w:p>
    <w:p w14:paraId="7B89DD75" w14:textId="77777777" w:rsidR="000D6958" w:rsidRPr="000D6958" w:rsidRDefault="000D6958" w:rsidP="000D6958">
      <w:pPr>
        <w:autoSpaceDE w:val="0"/>
        <w:autoSpaceDN w:val="0"/>
        <w:adjustRightInd w:val="0"/>
        <w:jc w:val="both"/>
        <w:rPr>
          <w:rFonts w:ascii="Arial" w:hAnsi="Arial" w:cs="Arial"/>
          <w:lang w:eastAsia="en-GB"/>
        </w:rPr>
      </w:pPr>
    </w:p>
    <w:p w14:paraId="7301BBC0" w14:textId="77777777" w:rsidR="000D6958" w:rsidRPr="000D6958" w:rsidRDefault="00352EF7" w:rsidP="000D6958">
      <w:pPr>
        <w:autoSpaceDE w:val="0"/>
        <w:autoSpaceDN w:val="0"/>
        <w:adjustRightInd w:val="0"/>
        <w:jc w:val="both"/>
        <w:rPr>
          <w:rFonts w:ascii="Arial" w:hAnsi="Arial" w:cs="Arial"/>
          <w:b/>
          <w:bCs/>
        </w:rPr>
      </w:pPr>
      <w:r>
        <w:rPr>
          <w:rFonts w:ascii="Arial" w:hAnsi="Arial" w:cs="Arial"/>
          <w:b/>
          <w:bCs/>
        </w:rPr>
        <w:t>3</w:t>
      </w:r>
      <w:r w:rsidR="000D6958" w:rsidRPr="000D6958">
        <w:rPr>
          <w:rFonts w:ascii="Arial" w:hAnsi="Arial" w:cs="Arial"/>
          <w:b/>
          <w:bCs/>
        </w:rPr>
        <w:t>.2</w:t>
      </w:r>
      <w:r>
        <w:rPr>
          <w:rFonts w:ascii="Arial" w:hAnsi="Arial" w:cs="Arial"/>
        </w:rPr>
        <w:t xml:space="preserve"> </w:t>
      </w:r>
      <w:r w:rsidR="000D6958" w:rsidRPr="00352EF7">
        <w:rPr>
          <w:rFonts w:ascii="Arial" w:hAnsi="Arial" w:cs="Arial"/>
          <w:b/>
          <w:bCs/>
          <w:sz w:val="22"/>
          <w:szCs w:val="22"/>
        </w:rPr>
        <w:t>Applications to real-world data</w:t>
      </w:r>
    </w:p>
    <w:p w14:paraId="248CA478" w14:textId="77777777" w:rsidR="000D6958" w:rsidRPr="000D6958" w:rsidRDefault="000D6958" w:rsidP="000D6958">
      <w:pPr>
        <w:autoSpaceDE w:val="0"/>
        <w:autoSpaceDN w:val="0"/>
        <w:adjustRightInd w:val="0"/>
        <w:jc w:val="both"/>
        <w:rPr>
          <w:rFonts w:ascii="Arial" w:hAnsi="Arial" w:cs="Arial"/>
          <w:b/>
          <w:bCs/>
        </w:rPr>
      </w:pPr>
    </w:p>
    <w:p w14:paraId="428E62D7" w14:textId="77777777" w:rsidR="000D6958" w:rsidRPr="000D6958" w:rsidRDefault="000D6958" w:rsidP="00352EF7">
      <w:pPr>
        <w:autoSpaceDE w:val="0"/>
        <w:autoSpaceDN w:val="0"/>
        <w:adjustRightInd w:val="0"/>
        <w:jc w:val="both"/>
        <w:rPr>
          <w:rFonts w:ascii="Arial" w:hAnsi="Arial" w:cs="Arial"/>
          <w:lang w:eastAsia="en-GB"/>
        </w:rPr>
      </w:pPr>
      <w:r w:rsidRPr="000D6958">
        <w:rPr>
          <w:rFonts w:ascii="Arial" w:hAnsi="Arial" w:cs="Arial"/>
          <w:lang w:eastAsia="en-GB"/>
        </w:rPr>
        <w:t xml:space="preserve">In this section, the performance of the Marshall-Olkin Inverse Rayleigh distribution is compared with Alpha power Inverse Rayleigh, and Inverse Rayleigh distributions on some lifetime data sets in the literature. </w:t>
      </w:r>
    </w:p>
    <w:p w14:paraId="6B72A460" w14:textId="77777777" w:rsidR="000D6958" w:rsidRPr="000D6958" w:rsidRDefault="000D6958" w:rsidP="00352EF7">
      <w:pPr>
        <w:pStyle w:val="ListParagraph"/>
        <w:autoSpaceDE w:val="0"/>
        <w:autoSpaceDN w:val="0"/>
        <w:adjustRightInd w:val="0"/>
        <w:spacing w:after="0" w:line="240" w:lineRule="auto"/>
        <w:jc w:val="both"/>
        <w:rPr>
          <w:rFonts w:ascii="Arial" w:hAnsi="Arial" w:cs="Arial"/>
          <w:sz w:val="20"/>
          <w:szCs w:val="20"/>
          <w:lang w:eastAsia="en-GB"/>
        </w:rPr>
      </w:pPr>
    </w:p>
    <w:p w14:paraId="2818E1A6" w14:textId="77777777" w:rsidR="000D6958" w:rsidRPr="000D6958" w:rsidRDefault="000D6958" w:rsidP="00352EF7">
      <w:pPr>
        <w:autoSpaceDE w:val="0"/>
        <w:autoSpaceDN w:val="0"/>
        <w:adjustRightInd w:val="0"/>
        <w:spacing w:line="360" w:lineRule="auto"/>
        <w:jc w:val="both"/>
        <w:rPr>
          <w:rFonts w:ascii="Arial" w:hAnsi="Arial" w:cs="Arial"/>
          <w:color w:val="131413"/>
        </w:rPr>
      </w:pPr>
      <w:r w:rsidRPr="000D6958">
        <w:rPr>
          <w:rFonts w:ascii="Arial" w:hAnsi="Arial" w:cs="Arial"/>
          <w:b/>
          <w:color w:val="131413"/>
        </w:rPr>
        <w:t xml:space="preserve">Data set I: </w:t>
      </w:r>
      <w:r w:rsidRPr="000D6958">
        <w:rPr>
          <w:rFonts w:ascii="Arial" w:hAnsi="Arial" w:cs="Arial"/>
        </w:rPr>
        <w:t xml:space="preserve">The data set </w:t>
      </w:r>
      <w:r w:rsidRPr="000D6958">
        <w:rPr>
          <w:rFonts w:ascii="Arial" w:hAnsi="Arial" w:cs="Arial"/>
          <w:color w:val="131413"/>
        </w:rPr>
        <w:t>have been obtained from Rodrigues, et al, (2015) which represents the relief times of twenty patients receiving an analgesic. The data are:</w:t>
      </w:r>
    </w:p>
    <w:p w14:paraId="5D957100" w14:textId="77777777" w:rsidR="000D6958" w:rsidRPr="000D6958" w:rsidRDefault="000D6958" w:rsidP="00352EF7">
      <w:pPr>
        <w:jc w:val="both"/>
        <w:rPr>
          <w:rFonts w:ascii="Arial" w:hAnsi="Arial" w:cs="Arial"/>
        </w:rPr>
      </w:pPr>
      <w:r w:rsidRPr="000D6958">
        <w:rPr>
          <w:rFonts w:ascii="Arial" w:hAnsi="Arial" w:cs="Arial"/>
          <w:noProof/>
        </w:rPr>
        <w:drawing>
          <wp:inline distT="0" distB="0" distL="0" distR="0" wp14:anchorId="6F15A6C4" wp14:editId="2CABB1D4">
            <wp:extent cx="5943600" cy="295275"/>
            <wp:effectExtent l="0" t="0" r="0" b="0"/>
            <wp:docPr id="14192860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95275"/>
                    </a:xfrm>
                    <a:prstGeom prst="rect">
                      <a:avLst/>
                    </a:prstGeom>
                    <a:noFill/>
                    <a:ln>
                      <a:noFill/>
                    </a:ln>
                  </pic:spPr>
                </pic:pic>
              </a:graphicData>
            </a:graphic>
          </wp:inline>
        </w:drawing>
      </w:r>
    </w:p>
    <w:p w14:paraId="491CE2B8" w14:textId="77777777" w:rsidR="000D6958" w:rsidRPr="000D6958" w:rsidRDefault="000D6958" w:rsidP="00352EF7">
      <w:pPr>
        <w:spacing w:line="360" w:lineRule="auto"/>
        <w:jc w:val="both"/>
        <w:rPr>
          <w:rFonts w:ascii="Arial" w:hAnsi="Arial" w:cs="Arial"/>
          <w:bCs/>
        </w:rPr>
      </w:pPr>
      <w:r w:rsidRPr="000D6958">
        <w:rPr>
          <w:rFonts w:ascii="Arial" w:hAnsi="Arial" w:cs="Arial"/>
          <w:b/>
        </w:rPr>
        <w:t xml:space="preserve">Data Set II: </w:t>
      </w:r>
      <w:r w:rsidRPr="000D6958">
        <w:rPr>
          <w:rFonts w:ascii="Arial" w:hAnsi="Arial" w:cs="Arial"/>
          <w:bCs/>
        </w:rPr>
        <w:t xml:space="preserve">The data represents the strength for the single carbon fibers and impregnated 1000-carbon fiber tows, measured in </w:t>
      </w:r>
      <w:proofErr w:type="spellStart"/>
      <w:r w:rsidRPr="000D6958">
        <w:rPr>
          <w:rFonts w:ascii="Arial" w:hAnsi="Arial" w:cs="Arial"/>
          <w:bCs/>
        </w:rPr>
        <w:t>GPa</w:t>
      </w:r>
      <w:proofErr w:type="spellEnd"/>
      <w:r w:rsidRPr="000D6958">
        <w:rPr>
          <w:rFonts w:ascii="Arial" w:hAnsi="Arial" w:cs="Arial"/>
          <w:bCs/>
        </w:rPr>
        <w:t>. It was reported in single carbon fiber tested at gauge length 1mm (Bader and Priest, 1982).</w:t>
      </w:r>
    </w:p>
    <w:p w14:paraId="74327EE3"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 xml:space="preserve">  2.247, 2.64, 2.908, 3.099, 3.126, 3.245, 3.328, 3.355, 3.383, 3.572, 3.581, 3.681, 3.726, 3.727,</w:t>
      </w:r>
    </w:p>
    <w:p w14:paraId="503AC6B2"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 xml:space="preserve">  3.728, 3.783, 3.785, 3.786, 3.896, 3.912, 3.964, 4.05, 4.063, 4.082, 4.111, 4.118, 4.141, 4.246,</w:t>
      </w:r>
    </w:p>
    <w:p w14:paraId="79E57ACB" w14:textId="77777777" w:rsidR="000D6958" w:rsidRPr="000D6958" w:rsidRDefault="000D6958" w:rsidP="00352EF7">
      <w:pPr>
        <w:autoSpaceDE w:val="0"/>
        <w:autoSpaceDN w:val="0"/>
        <w:adjustRightInd w:val="0"/>
        <w:ind w:left="90" w:hanging="90"/>
        <w:jc w:val="both"/>
        <w:rPr>
          <w:rFonts w:ascii="Arial" w:hAnsi="Arial" w:cs="Arial"/>
        </w:rPr>
      </w:pPr>
      <w:r w:rsidRPr="000D6958">
        <w:rPr>
          <w:rFonts w:ascii="Arial" w:hAnsi="Arial" w:cs="Arial"/>
        </w:rPr>
        <w:t xml:space="preserve">  4.251, 4.262, 4.326, 4.402, 4.457, 4.466, 4.519, 4.542, 4.555, 4.614, 4.632, 4.634, 4.636, 4.678,   4.698, 4.738, 4.832, 4.924, 5.043, 5.099, 5.134, 5.359, 5.473, 5.571, 5.684, 5.721, 5.998, 6.06.</w:t>
      </w:r>
    </w:p>
    <w:p w14:paraId="73A4BFAB" w14:textId="77777777" w:rsidR="000D6958" w:rsidRPr="000D6958" w:rsidRDefault="000D6958" w:rsidP="00352EF7">
      <w:pPr>
        <w:autoSpaceDE w:val="0"/>
        <w:autoSpaceDN w:val="0"/>
        <w:adjustRightInd w:val="0"/>
        <w:ind w:left="90" w:hanging="90"/>
        <w:jc w:val="both"/>
        <w:rPr>
          <w:rFonts w:ascii="Arial" w:hAnsi="Arial" w:cs="Arial"/>
        </w:rPr>
      </w:pPr>
    </w:p>
    <w:p w14:paraId="125A0221" w14:textId="77777777" w:rsidR="000D6958" w:rsidRPr="000D6958" w:rsidRDefault="000D6958" w:rsidP="00352EF7">
      <w:pPr>
        <w:autoSpaceDE w:val="0"/>
        <w:autoSpaceDN w:val="0"/>
        <w:adjustRightInd w:val="0"/>
        <w:ind w:left="90" w:hanging="90"/>
        <w:jc w:val="both"/>
        <w:rPr>
          <w:rFonts w:ascii="Arial" w:hAnsi="Arial" w:cs="Arial"/>
        </w:rPr>
      </w:pPr>
      <w:r w:rsidRPr="000D6958">
        <w:rPr>
          <w:rFonts w:ascii="Arial" w:hAnsi="Arial" w:cs="Arial"/>
          <w:b/>
          <w:bCs/>
        </w:rPr>
        <w:t xml:space="preserve">Data Set III: </w:t>
      </w:r>
      <w:r w:rsidRPr="000D6958">
        <w:rPr>
          <w:rFonts w:ascii="Arial" w:hAnsi="Arial" w:cs="Arial"/>
        </w:rPr>
        <w:t xml:space="preserve">The data is taken from Leiva et al. (2014) which represents the ball size of wire bonding for an electronic connection from the integrated circuit apparatus to the lead frame. </w:t>
      </w:r>
      <w:r w:rsidRPr="000D6958">
        <w:rPr>
          <w:rFonts w:ascii="Arial" w:hAnsi="Arial" w:cs="Arial"/>
        </w:rPr>
        <w:br/>
      </w:r>
    </w:p>
    <w:p w14:paraId="22105AF8"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2.891, 4.035, 4.495, 2.890, 2.312, 3.158, 5.228, 3.334, 5.896, 5.639, 3.842, 1.590, 1.954, 1.842, 0.680, 2.752, 1.301, 2.260, 0.889, 2.381, 0.619, 2.788, 1.050, 3.750, 3.508, 6.123, 6.549, 5.954, 2.207, 4.417, 4.805, 1.516, 2.227, 2.797, 1.636, 1.066, 0.940, 4.101, 4.542, 1.295, 1.770, 3.492, 5.706, 3.722, 6.644, 2.472, 1.383, 4.494, 1.694, 2.892, 2.111, 3.591, 2.093, 3.222, 2.891, 2.582, 0.665, 3.234, 1.102, 1.083, 1.508, 1.811, 2.803, 6.659, 0.923, 6.229, 3.177, 2.333 ,1.311, 4.419,</w:t>
      </w:r>
    </w:p>
    <w:p w14:paraId="687EB1A9" w14:textId="77777777" w:rsidR="000D6958" w:rsidRPr="000D6958" w:rsidRDefault="000D6958" w:rsidP="00352EF7">
      <w:pPr>
        <w:autoSpaceDE w:val="0"/>
        <w:autoSpaceDN w:val="0"/>
        <w:adjustRightInd w:val="0"/>
        <w:jc w:val="both"/>
        <w:rPr>
          <w:rFonts w:ascii="Arial" w:hAnsi="Arial" w:cs="Arial"/>
          <w:b/>
          <w:bCs/>
        </w:rPr>
      </w:pPr>
      <w:r w:rsidRPr="000D6958">
        <w:rPr>
          <w:rFonts w:ascii="Arial" w:hAnsi="Arial" w:cs="Arial"/>
        </w:rPr>
        <w:t>2.495, 0.921, 4.061, 9.725, 1.600, 4.281, 3.360, 1.131, 1.618, 4.489, 3.696, 1.982, 2.413, 5.480, 1.992, 2.573, 1.845, 4.620, 6.221, 1.694, 4.882, 1.380, 3.982, 2.260, 2.366, 2.899, 3.782, 2.336, 1.175, 3.055.</w:t>
      </w:r>
    </w:p>
    <w:p w14:paraId="5F728ADE" w14:textId="77777777" w:rsidR="000D6958" w:rsidRPr="000D6958" w:rsidRDefault="000D6958" w:rsidP="000D6958">
      <w:pPr>
        <w:autoSpaceDE w:val="0"/>
        <w:autoSpaceDN w:val="0"/>
        <w:adjustRightInd w:val="0"/>
        <w:ind w:left="90" w:hanging="90"/>
        <w:rPr>
          <w:rFonts w:ascii="Arial" w:hAnsi="Arial" w:cs="Arial"/>
          <w:b/>
          <w:bCs/>
        </w:rPr>
      </w:pPr>
    </w:p>
    <w:p w14:paraId="484644C2" w14:textId="77777777" w:rsidR="000D6958" w:rsidRPr="000D6958" w:rsidRDefault="000D6958" w:rsidP="000D6958">
      <w:pPr>
        <w:autoSpaceDE w:val="0"/>
        <w:autoSpaceDN w:val="0"/>
        <w:adjustRightInd w:val="0"/>
        <w:ind w:left="90" w:hanging="90"/>
        <w:jc w:val="both"/>
        <w:rPr>
          <w:rFonts w:ascii="Arial" w:hAnsi="Arial" w:cs="Arial"/>
        </w:rPr>
      </w:pPr>
    </w:p>
    <w:p w14:paraId="4AC8A5B6" w14:textId="77777777" w:rsidR="000D6958" w:rsidRPr="000D6958" w:rsidRDefault="000D6958" w:rsidP="000D6958">
      <w:pPr>
        <w:spacing w:line="360" w:lineRule="auto"/>
        <w:rPr>
          <w:rFonts w:ascii="Arial" w:hAnsi="Arial" w:cs="Arial"/>
          <w:b/>
        </w:rPr>
      </w:pPr>
      <w:r w:rsidRPr="000D6958">
        <w:rPr>
          <w:rFonts w:ascii="Arial" w:hAnsi="Arial" w:cs="Arial"/>
          <w:b/>
        </w:rPr>
        <w:t>Table 2: Summary Statistics of real-life data sets</w:t>
      </w:r>
    </w:p>
    <w:tbl>
      <w:tblPr>
        <w:tblStyle w:val="ListTable6Colorful"/>
        <w:tblW w:w="0" w:type="auto"/>
        <w:shd w:val="clear" w:color="auto" w:fill="FFFFFF" w:themeFill="background1"/>
        <w:tblLook w:val="04A0" w:firstRow="1" w:lastRow="0" w:firstColumn="1" w:lastColumn="0" w:noHBand="0" w:noVBand="1"/>
      </w:tblPr>
      <w:tblGrid>
        <w:gridCol w:w="995"/>
        <w:gridCol w:w="717"/>
        <w:gridCol w:w="905"/>
        <w:gridCol w:w="728"/>
        <w:gridCol w:w="1139"/>
        <w:gridCol w:w="1184"/>
        <w:gridCol w:w="1028"/>
      </w:tblGrid>
      <w:tr w:rsidR="00352EF7" w:rsidRPr="000D6958" w14:paraId="22C590D0" w14:textId="77777777" w:rsidTr="00352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8A0BCA" w14:textId="77777777" w:rsidR="000D6958" w:rsidRPr="000D6958" w:rsidRDefault="000D6958" w:rsidP="00E71714">
            <w:pPr>
              <w:spacing w:line="360" w:lineRule="auto"/>
              <w:rPr>
                <w:rFonts w:ascii="Arial" w:hAnsi="Arial" w:cs="Arial"/>
              </w:rPr>
            </w:pPr>
            <w:r w:rsidRPr="000D6958">
              <w:rPr>
                <w:rFonts w:ascii="Arial" w:hAnsi="Arial" w:cs="Arial"/>
              </w:rPr>
              <w:t>Data set</w:t>
            </w:r>
          </w:p>
        </w:tc>
        <w:tc>
          <w:tcPr>
            <w:tcW w:w="0" w:type="auto"/>
            <w:shd w:val="clear" w:color="auto" w:fill="FFFFFF" w:themeFill="background1"/>
          </w:tcPr>
          <w:p w14:paraId="60F30199"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Min</w:t>
            </w:r>
          </w:p>
        </w:tc>
        <w:tc>
          <w:tcPr>
            <w:tcW w:w="0" w:type="auto"/>
            <w:shd w:val="clear" w:color="auto" w:fill="FFFFFF" w:themeFill="background1"/>
          </w:tcPr>
          <w:p w14:paraId="659133C8"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Median</w:t>
            </w:r>
          </w:p>
        </w:tc>
        <w:tc>
          <w:tcPr>
            <w:tcW w:w="0" w:type="auto"/>
            <w:shd w:val="clear" w:color="auto" w:fill="FFFFFF" w:themeFill="background1"/>
          </w:tcPr>
          <w:p w14:paraId="0E7C5A66"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Mean</w:t>
            </w:r>
          </w:p>
        </w:tc>
        <w:tc>
          <w:tcPr>
            <w:tcW w:w="0" w:type="auto"/>
            <w:shd w:val="clear" w:color="auto" w:fill="FFFFFF" w:themeFill="background1"/>
          </w:tcPr>
          <w:p w14:paraId="53A4AD41"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Maximum</w:t>
            </w:r>
          </w:p>
        </w:tc>
        <w:tc>
          <w:tcPr>
            <w:tcW w:w="0" w:type="auto"/>
            <w:shd w:val="clear" w:color="auto" w:fill="FFFFFF" w:themeFill="background1"/>
          </w:tcPr>
          <w:p w14:paraId="6F978B46"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Skewness</w:t>
            </w:r>
          </w:p>
        </w:tc>
        <w:tc>
          <w:tcPr>
            <w:tcW w:w="0" w:type="auto"/>
            <w:shd w:val="clear" w:color="auto" w:fill="FFFFFF" w:themeFill="background1"/>
          </w:tcPr>
          <w:p w14:paraId="23C6F584"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Kurtosis</w:t>
            </w:r>
          </w:p>
        </w:tc>
      </w:tr>
      <w:tr w:rsidR="00352EF7" w:rsidRPr="000D6958" w14:paraId="642D159D"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0513676" w14:textId="77777777" w:rsidR="000D6958" w:rsidRPr="000D6958" w:rsidRDefault="000D6958" w:rsidP="00E71714">
            <w:pPr>
              <w:spacing w:line="360" w:lineRule="auto"/>
              <w:rPr>
                <w:rFonts w:ascii="Arial" w:hAnsi="Arial" w:cs="Arial"/>
              </w:rPr>
            </w:pPr>
            <w:r w:rsidRPr="000D6958">
              <w:rPr>
                <w:rFonts w:ascii="Arial" w:hAnsi="Arial" w:cs="Arial"/>
              </w:rPr>
              <w:t>I</w:t>
            </w:r>
          </w:p>
        </w:tc>
        <w:tc>
          <w:tcPr>
            <w:tcW w:w="0" w:type="auto"/>
            <w:shd w:val="clear" w:color="auto" w:fill="FFFFFF" w:themeFill="background1"/>
          </w:tcPr>
          <w:p w14:paraId="16A2F781"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1.10</w:t>
            </w:r>
          </w:p>
        </w:tc>
        <w:tc>
          <w:tcPr>
            <w:tcW w:w="0" w:type="auto"/>
            <w:shd w:val="clear" w:color="auto" w:fill="FFFFFF" w:themeFill="background1"/>
          </w:tcPr>
          <w:p w14:paraId="04FDD0E8"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1.7</w:t>
            </w:r>
          </w:p>
        </w:tc>
        <w:tc>
          <w:tcPr>
            <w:tcW w:w="0" w:type="auto"/>
            <w:shd w:val="clear" w:color="auto" w:fill="FFFFFF" w:themeFill="background1"/>
          </w:tcPr>
          <w:p w14:paraId="1843FADF"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1.90</w:t>
            </w:r>
          </w:p>
        </w:tc>
        <w:tc>
          <w:tcPr>
            <w:tcW w:w="0" w:type="auto"/>
            <w:shd w:val="clear" w:color="auto" w:fill="FFFFFF" w:themeFill="background1"/>
          </w:tcPr>
          <w:p w14:paraId="02FC0566"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4.10</w:t>
            </w:r>
          </w:p>
        </w:tc>
        <w:tc>
          <w:tcPr>
            <w:tcW w:w="0" w:type="auto"/>
            <w:shd w:val="clear" w:color="auto" w:fill="FFFFFF" w:themeFill="background1"/>
          </w:tcPr>
          <w:p w14:paraId="1967B901" w14:textId="77777777" w:rsidR="000D6958" w:rsidRPr="000D6958" w:rsidRDefault="000D6958" w:rsidP="00E717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color w:val="000000"/>
              </w:rPr>
              <w:t>1.862</w:t>
            </w:r>
          </w:p>
        </w:tc>
        <w:tc>
          <w:tcPr>
            <w:tcW w:w="0" w:type="auto"/>
            <w:shd w:val="clear" w:color="auto" w:fill="FFFFFF" w:themeFill="background1"/>
          </w:tcPr>
          <w:p w14:paraId="3B310F84" w14:textId="77777777" w:rsidR="000D6958" w:rsidRPr="000D6958" w:rsidRDefault="000D6958" w:rsidP="00E717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color w:val="000000"/>
              </w:rPr>
              <w:t>4.185</w:t>
            </w:r>
          </w:p>
        </w:tc>
      </w:tr>
      <w:tr w:rsidR="00352EF7" w:rsidRPr="000D6958" w14:paraId="5A24B71B" w14:textId="77777777" w:rsidTr="00352EF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A31FFF" w14:textId="77777777" w:rsidR="000D6958" w:rsidRPr="000D6958" w:rsidRDefault="000D6958" w:rsidP="00E71714">
            <w:pPr>
              <w:spacing w:line="360" w:lineRule="auto"/>
              <w:rPr>
                <w:rFonts w:ascii="Arial" w:hAnsi="Arial" w:cs="Arial"/>
              </w:rPr>
            </w:pPr>
            <w:r w:rsidRPr="000D6958">
              <w:rPr>
                <w:rFonts w:ascii="Arial" w:hAnsi="Arial" w:cs="Arial"/>
              </w:rPr>
              <w:t>II</w:t>
            </w:r>
          </w:p>
        </w:tc>
        <w:tc>
          <w:tcPr>
            <w:tcW w:w="0" w:type="auto"/>
            <w:shd w:val="clear" w:color="auto" w:fill="FFFFFF" w:themeFill="background1"/>
          </w:tcPr>
          <w:p w14:paraId="7D0F4C0E"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 xml:space="preserve">2.247   </w:t>
            </w:r>
          </w:p>
        </w:tc>
        <w:tc>
          <w:tcPr>
            <w:tcW w:w="0" w:type="auto"/>
            <w:shd w:val="clear" w:color="auto" w:fill="FFFFFF" w:themeFill="background1"/>
          </w:tcPr>
          <w:p w14:paraId="4EE5ADCB"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4.249</w:t>
            </w:r>
          </w:p>
        </w:tc>
        <w:tc>
          <w:tcPr>
            <w:tcW w:w="0" w:type="auto"/>
            <w:shd w:val="clear" w:color="auto" w:fill="FFFFFF" w:themeFill="background1"/>
          </w:tcPr>
          <w:p w14:paraId="5C493690"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4.261</w:t>
            </w:r>
          </w:p>
        </w:tc>
        <w:tc>
          <w:tcPr>
            <w:tcW w:w="0" w:type="auto"/>
            <w:shd w:val="clear" w:color="auto" w:fill="FFFFFF" w:themeFill="background1"/>
          </w:tcPr>
          <w:p w14:paraId="7FBF08C7"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6.06</w:t>
            </w:r>
          </w:p>
        </w:tc>
        <w:tc>
          <w:tcPr>
            <w:tcW w:w="0" w:type="auto"/>
            <w:shd w:val="clear" w:color="auto" w:fill="FFFFFF" w:themeFill="background1"/>
          </w:tcPr>
          <w:p w14:paraId="5EC0ABA8"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0.076</w:t>
            </w:r>
          </w:p>
        </w:tc>
        <w:tc>
          <w:tcPr>
            <w:tcW w:w="0" w:type="auto"/>
            <w:shd w:val="clear" w:color="auto" w:fill="FFFFFF" w:themeFill="background1"/>
          </w:tcPr>
          <w:p w14:paraId="2086457E"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2.997</w:t>
            </w:r>
          </w:p>
        </w:tc>
      </w:tr>
      <w:tr w:rsidR="00352EF7" w:rsidRPr="000D6958" w14:paraId="01434B31"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D9179D3" w14:textId="77777777" w:rsidR="000D6958" w:rsidRPr="000D6958" w:rsidRDefault="000D6958" w:rsidP="00E71714">
            <w:pPr>
              <w:spacing w:line="360" w:lineRule="auto"/>
              <w:rPr>
                <w:rFonts w:ascii="Arial" w:hAnsi="Arial" w:cs="Arial"/>
              </w:rPr>
            </w:pPr>
            <w:r w:rsidRPr="000D6958">
              <w:rPr>
                <w:rFonts w:ascii="Arial" w:hAnsi="Arial" w:cs="Arial"/>
              </w:rPr>
              <w:t>III</w:t>
            </w:r>
          </w:p>
        </w:tc>
        <w:tc>
          <w:tcPr>
            <w:tcW w:w="0" w:type="auto"/>
            <w:shd w:val="clear" w:color="auto" w:fill="FFFFFF" w:themeFill="background1"/>
          </w:tcPr>
          <w:p w14:paraId="60FB6685"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 xml:space="preserve">0.619   </w:t>
            </w:r>
          </w:p>
        </w:tc>
        <w:tc>
          <w:tcPr>
            <w:tcW w:w="0" w:type="auto"/>
            <w:shd w:val="clear" w:color="auto" w:fill="FFFFFF" w:themeFill="background1"/>
          </w:tcPr>
          <w:p w14:paraId="2798F879"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2.77</w:t>
            </w:r>
          </w:p>
        </w:tc>
        <w:tc>
          <w:tcPr>
            <w:tcW w:w="0" w:type="auto"/>
            <w:shd w:val="clear" w:color="auto" w:fill="FFFFFF" w:themeFill="background1"/>
          </w:tcPr>
          <w:p w14:paraId="328112F9"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3.036</w:t>
            </w:r>
          </w:p>
        </w:tc>
        <w:tc>
          <w:tcPr>
            <w:tcW w:w="0" w:type="auto"/>
            <w:shd w:val="clear" w:color="auto" w:fill="FFFFFF" w:themeFill="background1"/>
          </w:tcPr>
          <w:p w14:paraId="1CC1AC35"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9.725</w:t>
            </w:r>
          </w:p>
        </w:tc>
        <w:tc>
          <w:tcPr>
            <w:tcW w:w="0" w:type="auto"/>
            <w:shd w:val="clear" w:color="auto" w:fill="FFFFFF" w:themeFill="background1"/>
          </w:tcPr>
          <w:p w14:paraId="4CF8273F"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1.014</w:t>
            </w:r>
          </w:p>
        </w:tc>
        <w:tc>
          <w:tcPr>
            <w:tcW w:w="0" w:type="auto"/>
            <w:shd w:val="clear" w:color="auto" w:fill="FFFFFF" w:themeFill="background1"/>
          </w:tcPr>
          <w:p w14:paraId="67068C5A"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4.251</w:t>
            </w:r>
          </w:p>
        </w:tc>
      </w:tr>
    </w:tbl>
    <w:p w14:paraId="0DA838E6" w14:textId="77777777" w:rsidR="000D6958" w:rsidRPr="000D6958" w:rsidRDefault="000D6958" w:rsidP="000D6958">
      <w:pPr>
        <w:autoSpaceDE w:val="0"/>
        <w:autoSpaceDN w:val="0"/>
        <w:adjustRightInd w:val="0"/>
        <w:jc w:val="both"/>
        <w:rPr>
          <w:rFonts w:ascii="Arial" w:hAnsi="Arial" w:cs="Arial"/>
        </w:rPr>
      </w:pPr>
    </w:p>
    <w:p w14:paraId="099B7579" w14:textId="77777777" w:rsidR="000D6958" w:rsidRDefault="000D6958" w:rsidP="000D6958">
      <w:pPr>
        <w:autoSpaceDE w:val="0"/>
        <w:autoSpaceDN w:val="0"/>
        <w:adjustRightInd w:val="0"/>
        <w:jc w:val="both"/>
        <w:rPr>
          <w:rFonts w:ascii="Arial" w:hAnsi="Arial" w:cs="Arial"/>
        </w:rPr>
      </w:pPr>
      <w:r w:rsidRPr="000D6958">
        <w:rPr>
          <w:rFonts w:ascii="Arial" w:hAnsi="Arial" w:cs="Arial"/>
        </w:rPr>
        <w:t xml:space="preserve"> Table 2 shows the summary statistics of the three data sets, the minimum, median, mean, maximum, skewness and kurtosis of the data sets are presented. Data set I range between 1.10 and 4.10 with unequal mean and median, and high skewness and kurtosis which suggest that the data is not normal and highly skewed. Data set II range between 2.247 and 6.06 with almost same mean and median, and low skewness and kurtosis which suggest that the data is approximately normal. Data set III range between 0.619 and 9.725 with unequal mean and median, and moderate skewness and kurtosis which suggest that the data is not normal and skewed.</w:t>
      </w:r>
    </w:p>
    <w:p w14:paraId="2BF65E7D" w14:textId="77777777" w:rsidR="00862DA3" w:rsidRDefault="00862DA3" w:rsidP="000D6958">
      <w:pPr>
        <w:autoSpaceDE w:val="0"/>
        <w:autoSpaceDN w:val="0"/>
        <w:adjustRightInd w:val="0"/>
        <w:jc w:val="both"/>
        <w:rPr>
          <w:rFonts w:ascii="Arial" w:hAnsi="Arial" w:cs="Arial"/>
        </w:rPr>
      </w:pPr>
    </w:p>
    <w:p w14:paraId="2593B418" w14:textId="77777777" w:rsidR="00862DA3" w:rsidRDefault="00862DA3" w:rsidP="000D6958">
      <w:pPr>
        <w:autoSpaceDE w:val="0"/>
        <w:autoSpaceDN w:val="0"/>
        <w:adjustRightInd w:val="0"/>
        <w:jc w:val="both"/>
        <w:rPr>
          <w:rFonts w:ascii="Arial" w:hAnsi="Arial" w:cs="Arial"/>
        </w:rPr>
      </w:pPr>
    </w:p>
    <w:p w14:paraId="2E70D446" w14:textId="77777777" w:rsidR="00862DA3" w:rsidRDefault="00862DA3" w:rsidP="000D6958">
      <w:pPr>
        <w:autoSpaceDE w:val="0"/>
        <w:autoSpaceDN w:val="0"/>
        <w:adjustRightInd w:val="0"/>
        <w:jc w:val="both"/>
        <w:rPr>
          <w:rFonts w:ascii="Arial" w:hAnsi="Arial" w:cs="Arial"/>
        </w:rPr>
      </w:pPr>
    </w:p>
    <w:p w14:paraId="398C5191" w14:textId="77777777" w:rsidR="00DB3F61" w:rsidRDefault="00DB3F61" w:rsidP="000D6958">
      <w:pPr>
        <w:autoSpaceDE w:val="0"/>
        <w:autoSpaceDN w:val="0"/>
        <w:adjustRightInd w:val="0"/>
        <w:jc w:val="both"/>
        <w:rPr>
          <w:rFonts w:ascii="Arial" w:hAnsi="Arial" w:cs="Arial"/>
        </w:rPr>
      </w:pPr>
    </w:p>
    <w:p w14:paraId="5721F87C" w14:textId="77777777" w:rsidR="00DB3F61" w:rsidRDefault="00DB3F61" w:rsidP="000D6958">
      <w:pPr>
        <w:autoSpaceDE w:val="0"/>
        <w:autoSpaceDN w:val="0"/>
        <w:adjustRightInd w:val="0"/>
        <w:jc w:val="both"/>
        <w:rPr>
          <w:rFonts w:ascii="Arial" w:hAnsi="Arial" w:cs="Arial"/>
        </w:rPr>
      </w:pPr>
    </w:p>
    <w:p w14:paraId="4D46963F" w14:textId="77777777" w:rsidR="00DB3F61" w:rsidRDefault="00DB3F61" w:rsidP="000D6958">
      <w:pPr>
        <w:autoSpaceDE w:val="0"/>
        <w:autoSpaceDN w:val="0"/>
        <w:adjustRightInd w:val="0"/>
        <w:jc w:val="both"/>
        <w:rPr>
          <w:rFonts w:ascii="Arial" w:hAnsi="Arial" w:cs="Arial"/>
        </w:rPr>
      </w:pPr>
    </w:p>
    <w:p w14:paraId="0ABFC3D9" w14:textId="77777777" w:rsidR="00183988" w:rsidRDefault="00183988" w:rsidP="000D6958">
      <w:pPr>
        <w:autoSpaceDE w:val="0"/>
        <w:autoSpaceDN w:val="0"/>
        <w:adjustRightInd w:val="0"/>
        <w:jc w:val="both"/>
        <w:rPr>
          <w:rFonts w:ascii="Arial" w:hAnsi="Arial" w:cs="Arial"/>
        </w:rPr>
      </w:pPr>
    </w:p>
    <w:p w14:paraId="332906AE" w14:textId="77777777" w:rsidR="00183988" w:rsidRDefault="00183988" w:rsidP="000D6958">
      <w:pPr>
        <w:autoSpaceDE w:val="0"/>
        <w:autoSpaceDN w:val="0"/>
        <w:adjustRightInd w:val="0"/>
        <w:jc w:val="both"/>
        <w:rPr>
          <w:rFonts w:ascii="Arial" w:hAnsi="Arial" w:cs="Arial"/>
        </w:rPr>
      </w:pPr>
    </w:p>
    <w:p w14:paraId="2CE52054" w14:textId="77777777" w:rsidR="00183988" w:rsidRDefault="00183988" w:rsidP="000D6958">
      <w:pPr>
        <w:autoSpaceDE w:val="0"/>
        <w:autoSpaceDN w:val="0"/>
        <w:adjustRightInd w:val="0"/>
        <w:jc w:val="both"/>
        <w:rPr>
          <w:rFonts w:ascii="Arial" w:hAnsi="Arial" w:cs="Arial"/>
        </w:rPr>
      </w:pPr>
    </w:p>
    <w:p w14:paraId="27FEC9A0" w14:textId="77777777" w:rsidR="00DB3F61" w:rsidRDefault="00DB3F61" w:rsidP="000D6958">
      <w:pPr>
        <w:autoSpaceDE w:val="0"/>
        <w:autoSpaceDN w:val="0"/>
        <w:adjustRightInd w:val="0"/>
        <w:jc w:val="both"/>
        <w:rPr>
          <w:rFonts w:ascii="Arial" w:hAnsi="Arial" w:cs="Arial"/>
        </w:rPr>
      </w:pPr>
    </w:p>
    <w:p w14:paraId="7489D7B0" w14:textId="77777777" w:rsidR="00862DA3" w:rsidRPr="000D6958" w:rsidRDefault="00862DA3" w:rsidP="000D6958">
      <w:pPr>
        <w:autoSpaceDE w:val="0"/>
        <w:autoSpaceDN w:val="0"/>
        <w:adjustRightInd w:val="0"/>
        <w:jc w:val="both"/>
        <w:rPr>
          <w:rFonts w:ascii="Arial" w:hAnsi="Arial" w:cs="Arial"/>
        </w:rPr>
      </w:pPr>
    </w:p>
    <w:p w14:paraId="67246F99" w14:textId="77777777" w:rsidR="000D6958" w:rsidRPr="000D6958" w:rsidRDefault="000D6958" w:rsidP="000D6958">
      <w:pPr>
        <w:autoSpaceDE w:val="0"/>
        <w:autoSpaceDN w:val="0"/>
        <w:adjustRightInd w:val="0"/>
        <w:jc w:val="both"/>
        <w:rPr>
          <w:rFonts w:ascii="Arial" w:hAnsi="Arial" w:cs="Arial"/>
        </w:rPr>
      </w:pPr>
    </w:p>
    <w:p w14:paraId="7BDA39BD" w14:textId="77777777" w:rsidR="000D6958" w:rsidRPr="000D6958" w:rsidRDefault="000D6958" w:rsidP="000D6958">
      <w:pPr>
        <w:autoSpaceDE w:val="0"/>
        <w:autoSpaceDN w:val="0"/>
        <w:adjustRightInd w:val="0"/>
        <w:jc w:val="both"/>
        <w:rPr>
          <w:rFonts w:ascii="Arial" w:hAnsi="Arial" w:cs="Arial"/>
        </w:rPr>
      </w:pPr>
    </w:p>
    <w:p w14:paraId="7DE5FCD8" w14:textId="77777777" w:rsidR="000D6958" w:rsidRPr="000D6958" w:rsidRDefault="000D6958" w:rsidP="000D6958">
      <w:pPr>
        <w:autoSpaceDE w:val="0"/>
        <w:autoSpaceDN w:val="0"/>
        <w:adjustRightInd w:val="0"/>
        <w:jc w:val="both"/>
        <w:rPr>
          <w:rFonts w:ascii="Arial" w:hAnsi="Arial" w:cs="Arial"/>
          <w:b/>
          <w:bCs/>
        </w:rPr>
      </w:pPr>
      <w:r w:rsidRPr="000D6958">
        <w:rPr>
          <w:rFonts w:ascii="Arial" w:hAnsi="Arial" w:cs="Arial"/>
          <w:b/>
          <w:bCs/>
        </w:rPr>
        <w:lastRenderedPageBreak/>
        <w:t xml:space="preserve">Table 3: </w:t>
      </w:r>
      <w:r w:rsidRPr="000D6958">
        <w:rPr>
          <w:rFonts w:ascii="Arial" w:hAnsi="Arial" w:cs="Arial"/>
        </w:rPr>
        <w:t>Parameter estimates, Loglikelihood and AIC of MOIR, APIR and IR.</w:t>
      </w:r>
    </w:p>
    <w:tbl>
      <w:tblPr>
        <w:tblStyle w:val="ListTable6Colorful"/>
        <w:tblW w:w="9311" w:type="dxa"/>
        <w:shd w:val="clear" w:color="auto" w:fill="FFFFFF" w:themeFill="background1"/>
        <w:tblLayout w:type="fixed"/>
        <w:tblLook w:val="04A0" w:firstRow="1" w:lastRow="0" w:firstColumn="1" w:lastColumn="0" w:noHBand="0" w:noVBand="1"/>
      </w:tblPr>
      <w:tblGrid>
        <w:gridCol w:w="2004"/>
        <w:gridCol w:w="1843"/>
        <w:gridCol w:w="1221"/>
        <w:gridCol w:w="1060"/>
        <w:gridCol w:w="1414"/>
        <w:gridCol w:w="1769"/>
      </w:tblGrid>
      <w:tr w:rsidR="000D6958" w:rsidRPr="000D6958" w14:paraId="7DE8DDAB" w14:textId="77777777" w:rsidTr="00352EF7">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004" w:type="dxa"/>
            <w:shd w:val="clear" w:color="auto" w:fill="FFFFFF" w:themeFill="background1"/>
          </w:tcPr>
          <w:p w14:paraId="7B21EDF7"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Data Set</w:t>
            </w:r>
          </w:p>
        </w:tc>
        <w:tc>
          <w:tcPr>
            <w:tcW w:w="1843" w:type="dxa"/>
            <w:shd w:val="clear" w:color="auto" w:fill="FFFFFF" w:themeFill="background1"/>
            <w:hideMark/>
          </w:tcPr>
          <w:p w14:paraId="5FB3148A"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Distribution</w:t>
            </w:r>
          </w:p>
        </w:tc>
        <w:tc>
          <w:tcPr>
            <w:tcW w:w="1221" w:type="dxa"/>
            <w:shd w:val="clear" w:color="auto" w:fill="FFFFFF" w:themeFill="background1"/>
            <w:hideMark/>
          </w:tcPr>
          <w:p w14:paraId="7427DD0D"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σ</m:t>
                </m:r>
              </m:oMath>
            </m:oMathPara>
          </w:p>
        </w:tc>
        <w:tc>
          <w:tcPr>
            <w:tcW w:w="1060" w:type="dxa"/>
            <w:shd w:val="clear" w:color="auto" w:fill="FFFFFF" w:themeFill="background1"/>
            <w:hideMark/>
          </w:tcPr>
          <w:p w14:paraId="385843A5"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m:oMathPara>
              <m:oMath>
                <m:r>
                  <m:rPr>
                    <m:sty m:val="bi"/>
                  </m:rPr>
                  <w:rPr>
                    <w:rFonts w:ascii="Cambria Math" w:hAnsi="Cambria Math" w:cs="Arial"/>
                  </w:rPr>
                  <m:t>α</m:t>
                </m:r>
              </m:oMath>
            </m:oMathPara>
          </w:p>
          <w:p w14:paraId="2D27D79A"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p>
        </w:tc>
        <w:tc>
          <w:tcPr>
            <w:tcW w:w="1414" w:type="dxa"/>
            <w:shd w:val="clear" w:color="auto" w:fill="FFFFFF" w:themeFill="background1"/>
            <w:hideMark/>
          </w:tcPr>
          <w:p w14:paraId="6C86ED6F"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LL</w:t>
            </w:r>
          </w:p>
        </w:tc>
        <w:tc>
          <w:tcPr>
            <w:tcW w:w="1769" w:type="dxa"/>
            <w:shd w:val="clear" w:color="auto" w:fill="FFFFFF" w:themeFill="background1"/>
            <w:hideMark/>
          </w:tcPr>
          <w:p w14:paraId="0F4FA7E6"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AIC</w:t>
            </w:r>
          </w:p>
        </w:tc>
      </w:tr>
      <w:tr w:rsidR="000D6958" w:rsidRPr="000D6958" w14:paraId="3C551A38" w14:textId="77777777" w:rsidTr="00352EF7">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698CF562"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w:t>
            </w:r>
          </w:p>
        </w:tc>
        <w:tc>
          <w:tcPr>
            <w:tcW w:w="1843" w:type="dxa"/>
            <w:shd w:val="clear" w:color="auto" w:fill="FFFFFF" w:themeFill="background1"/>
            <w:hideMark/>
          </w:tcPr>
          <w:p w14:paraId="5FAEB20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hideMark/>
          </w:tcPr>
          <w:p w14:paraId="4BEF9E7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8.29</w:t>
            </w:r>
          </w:p>
        </w:tc>
        <w:tc>
          <w:tcPr>
            <w:tcW w:w="1060" w:type="dxa"/>
            <w:shd w:val="clear" w:color="auto" w:fill="FFFFFF" w:themeFill="background1"/>
            <w:hideMark/>
          </w:tcPr>
          <w:p w14:paraId="429E12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16.28</w:t>
            </w:r>
          </w:p>
        </w:tc>
        <w:tc>
          <w:tcPr>
            <w:tcW w:w="1414" w:type="dxa"/>
            <w:shd w:val="clear" w:color="auto" w:fill="FFFFFF" w:themeFill="background1"/>
            <w:hideMark/>
          </w:tcPr>
          <w:p w14:paraId="4546A2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15.65</w:t>
            </w:r>
          </w:p>
        </w:tc>
        <w:tc>
          <w:tcPr>
            <w:tcW w:w="1769" w:type="dxa"/>
            <w:shd w:val="clear" w:color="auto" w:fill="FFFFFF" w:themeFill="background1"/>
            <w:hideMark/>
          </w:tcPr>
          <w:p w14:paraId="41E2FE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D6958">
              <w:rPr>
                <w:rFonts w:ascii="Arial" w:hAnsi="Arial" w:cs="Arial"/>
                <w:b/>
                <w:bCs/>
              </w:rPr>
              <w:t>35.29</w:t>
            </w:r>
          </w:p>
        </w:tc>
      </w:tr>
      <w:tr w:rsidR="000D6958" w:rsidRPr="000D6958" w14:paraId="40F29DB5"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7DBAED6"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noWrap/>
            <w:hideMark/>
          </w:tcPr>
          <w:p w14:paraId="31CF0F1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6F8222B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16191.00</w:t>
            </w:r>
          </w:p>
        </w:tc>
        <w:tc>
          <w:tcPr>
            <w:tcW w:w="1060" w:type="dxa"/>
            <w:shd w:val="clear" w:color="auto" w:fill="FFFFFF" w:themeFill="background1"/>
            <w:noWrap/>
            <w:hideMark/>
          </w:tcPr>
          <w:p w14:paraId="6E7BC0D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0.14</w:t>
            </w:r>
          </w:p>
        </w:tc>
        <w:tc>
          <w:tcPr>
            <w:tcW w:w="1414" w:type="dxa"/>
            <w:shd w:val="clear" w:color="auto" w:fill="FFFFFF" w:themeFill="background1"/>
            <w:noWrap/>
            <w:hideMark/>
          </w:tcPr>
          <w:p w14:paraId="1CA2E99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257.18</w:t>
            </w:r>
          </w:p>
        </w:tc>
        <w:tc>
          <w:tcPr>
            <w:tcW w:w="1769" w:type="dxa"/>
            <w:shd w:val="clear" w:color="auto" w:fill="FFFFFF" w:themeFill="background1"/>
            <w:noWrap/>
            <w:hideMark/>
          </w:tcPr>
          <w:p w14:paraId="30E7A00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518.36</w:t>
            </w:r>
          </w:p>
        </w:tc>
      </w:tr>
      <w:tr w:rsidR="000D6958" w:rsidRPr="000D6958" w14:paraId="73502BBD"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369903F1"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noWrap/>
            <w:hideMark/>
          </w:tcPr>
          <w:p w14:paraId="2739109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533D404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0.83</w:t>
            </w:r>
          </w:p>
        </w:tc>
        <w:tc>
          <w:tcPr>
            <w:tcW w:w="1060" w:type="dxa"/>
            <w:shd w:val="clear" w:color="auto" w:fill="FFFFFF" w:themeFill="background1"/>
            <w:noWrap/>
            <w:hideMark/>
          </w:tcPr>
          <w:p w14:paraId="6FD6AC3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i/>
                <w:iCs/>
              </w:rPr>
              <w:t>NA</w:t>
            </w:r>
          </w:p>
        </w:tc>
        <w:tc>
          <w:tcPr>
            <w:tcW w:w="1414" w:type="dxa"/>
            <w:shd w:val="clear" w:color="auto" w:fill="FFFFFF" w:themeFill="background1"/>
            <w:noWrap/>
            <w:hideMark/>
          </w:tcPr>
          <w:p w14:paraId="1999B97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35.28</w:t>
            </w:r>
          </w:p>
        </w:tc>
        <w:tc>
          <w:tcPr>
            <w:tcW w:w="1769" w:type="dxa"/>
            <w:shd w:val="clear" w:color="auto" w:fill="FFFFFF" w:themeFill="background1"/>
            <w:noWrap/>
            <w:hideMark/>
          </w:tcPr>
          <w:p w14:paraId="396BB01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72.56</w:t>
            </w:r>
          </w:p>
        </w:tc>
      </w:tr>
      <w:tr w:rsidR="000D6958" w:rsidRPr="000D6958" w14:paraId="092C5194"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65AADE61"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II</w:t>
            </w:r>
          </w:p>
        </w:tc>
        <w:tc>
          <w:tcPr>
            <w:tcW w:w="1843" w:type="dxa"/>
            <w:shd w:val="clear" w:color="auto" w:fill="FFFFFF" w:themeFill="background1"/>
            <w:noWrap/>
            <w:hideMark/>
          </w:tcPr>
          <w:p w14:paraId="67221EA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noWrap/>
            <w:hideMark/>
          </w:tcPr>
          <w:p w14:paraId="22FEF0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67.02</w:t>
            </w:r>
          </w:p>
        </w:tc>
        <w:tc>
          <w:tcPr>
            <w:tcW w:w="1060" w:type="dxa"/>
            <w:shd w:val="clear" w:color="auto" w:fill="FFFFFF" w:themeFill="background1"/>
            <w:noWrap/>
            <w:hideMark/>
          </w:tcPr>
          <w:p w14:paraId="2964921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48.51</w:t>
            </w:r>
          </w:p>
        </w:tc>
        <w:tc>
          <w:tcPr>
            <w:tcW w:w="1414" w:type="dxa"/>
            <w:shd w:val="clear" w:color="auto" w:fill="FFFFFF" w:themeFill="background1"/>
            <w:noWrap/>
            <w:hideMark/>
          </w:tcPr>
          <w:p w14:paraId="1245436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75.88</w:t>
            </w:r>
          </w:p>
        </w:tc>
        <w:tc>
          <w:tcPr>
            <w:tcW w:w="1769" w:type="dxa"/>
            <w:shd w:val="clear" w:color="auto" w:fill="FFFFFF" w:themeFill="background1"/>
            <w:noWrap/>
            <w:hideMark/>
          </w:tcPr>
          <w:p w14:paraId="06370E4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D6958">
              <w:rPr>
                <w:rFonts w:ascii="Arial" w:hAnsi="Arial" w:cs="Arial"/>
                <w:b/>
                <w:bCs/>
              </w:rPr>
              <w:t>155.77</w:t>
            </w:r>
          </w:p>
        </w:tc>
      </w:tr>
      <w:tr w:rsidR="000D6958" w:rsidRPr="000D6958" w14:paraId="4D1B0AC5"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044257B0"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002AA1E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7E91DFC6"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743196.33</w:t>
            </w:r>
          </w:p>
        </w:tc>
        <w:tc>
          <w:tcPr>
            <w:tcW w:w="1060" w:type="dxa"/>
            <w:shd w:val="clear" w:color="auto" w:fill="FFFFFF" w:themeFill="background1"/>
            <w:noWrap/>
            <w:hideMark/>
          </w:tcPr>
          <w:p w14:paraId="3D42AC5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0.20</w:t>
            </w:r>
          </w:p>
        </w:tc>
        <w:tc>
          <w:tcPr>
            <w:tcW w:w="1414" w:type="dxa"/>
            <w:shd w:val="clear" w:color="auto" w:fill="FFFFFF" w:themeFill="background1"/>
            <w:noWrap/>
            <w:hideMark/>
          </w:tcPr>
          <w:p w14:paraId="41DB303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1774.16</w:t>
            </w:r>
          </w:p>
        </w:tc>
        <w:tc>
          <w:tcPr>
            <w:tcW w:w="1769" w:type="dxa"/>
            <w:shd w:val="clear" w:color="auto" w:fill="FFFFFF" w:themeFill="background1"/>
            <w:noWrap/>
            <w:hideMark/>
          </w:tcPr>
          <w:p w14:paraId="10D4C1C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3552.32</w:t>
            </w:r>
          </w:p>
        </w:tc>
      </w:tr>
      <w:tr w:rsidR="000D6958" w:rsidRPr="000D6958" w14:paraId="3C212DAC"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178FDBC"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39AAEAC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6CFE2AE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1.20</w:t>
            </w:r>
          </w:p>
        </w:tc>
        <w:tc>
          <w:tcPr>
            <w:tcW w:w="1060" w:type="dxa"/>
            <w:shd w:val="clear" w:color="auto" w:fill="FFFFFF" w:themeFill="background1"/>
            <w:noWrap/>
            <w:hideMark/>
          </w:tcPr>
          <w:p w14:paraId="6DC028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i/>
                <w:iCs/>
              </w:rPr>
              <w:t>NA</w:t>
            </w:r>
          </w:p>
        </w:tc>
        <w:tc>
          <w:tcPr>
            <w:tcW w:w="1414" w:type="dxa"/>
            <w:shd w:val="clear" w:color="auto" w:fill="FFFFFF" w:themeFill="background1"/>
            <w:noWrap/>
            <w:hideMark/>
          </w:tcPr>
          <w:p w14:paraId="7FE6139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236.56</w:t>
            </w:r>
          </w:p>
        </w:tc>
        <w:tc>
          <w:tcPr>
            <w:tcW w:w="1769" w:type="dxa"/>
            <w:shd w:val="clear" w:color="auto" w:fill="FFFFFF" w:themeFill="background1"/>
            <w:noWrap/>
            <w:hideMark/>
          </w:tcPr>
          <w:p w14:paraId="388AB3D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475.11</w:t>
            </w:r>
          </w:p>
        </w:tc>
      </w:tr>
      <w:tr w:rsidR="000D6958" w:rsidRPr="000D6958" w14:paraId="5D29E4C9"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5FE1E3AB"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III</w:t>
            </w:r>
          </w:p>
        </w:tc>
        <w:tc>
          <w:tcPr>
            <w:tcW w:w="1843" w:type="dxa"/>
            <w:shd w:val="clear" w:color="auto" w:fill="FFFFFF" w:themeFill="background1"/>
          </w:tcPr>
          <w:p w14:paraId="77E7FC3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noWrap/>
            <w:hideMark/>
          </w:tcPr>
          <w:p w14:paraId="19C30BA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1.47</w:t>
            </w:r>
          </w:p>
        </w:tc>
        <w:tc>
          <w:tcPr>
            <w:tcW w:w="1060" w:type="dxa"/>
            <w:shd w:val="clear" w:color="auto" w:fill="FFFFFF" w:themeFill="background1"/>
            <w:noWrap/>
            <w:hideMark/>
          </w:tcPr>
          <w:p w14:paraId="6AA2679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0.25</w:t>
            </w:r>
          </w:p>
        </w:tc>
        <w:tc>
          <w:tcPr>
            <w:tcW w:w="1414" w:type="dxa"/>
            <w:shd w:val="clear" w:color="auto" w:fill="FFFFFF" w:themeFill="background1"/>
            <w:noWrap/>
            <w:hideMark/>
          </w:tcPr>
          <w:p w14:paraId="736E1ED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190.01</w:t>
            </w:r>
          </w:p>
        </w:tc>
        <w:tc>
          <w:tcPr>
            <w:tcW w:w="1769" w:type="dxa"/>
            <w:shd w:val="clear" w:color="auto" w:fill="FFFFFF" w:themeFill="background1"/>
            <w:noWrap/>
            <w:hideMark/>
          </w:tcPr>
          <w:p w14:paraId="62A13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D6958">
              <w:rPr>
                <w:rFonts w:ascii="Arial" w:hAnsi="Arial" w:cs="Arial"/>
                <w:b/>
                <w:bCs/>
              </w:rPr>
              <w:t>384.01</w:t>
            </w:r>
          </w:p>
        </w:tc>
      </w:tr>
      <w:tr w:rsidR="000D6958" w:rsidRPr="000D6958" w14:paraId="20ECC041"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B3AE74F"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0DC897F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6379D50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166743.55</w:t>
            </w:r>
          </w:p>
        </w:tc>
        <w:tc>
          <w:tcPr>
            <w:tcW w:w="1060" w:type="dxa"/>
            <w:shd w:val="clear" w:color="auto" w:fill="FFFFFF" w:themeFill="background1"/>
            <w:noWrap/>
            <w:hideMark/>
          </w:tcPr>
          <w:p w14:paraId="53EDB37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D6958">
              <w:rPr>
                <w:rFonts w:ascii="Arial" w:hAnsi="Arial" w:cs="Arial"/>
              </w:rPr>
              <w:t>0.03</w:t>
            </w:r>
          </w:p>
        </w:tc>
        <w:tc>
          <w:tcPr>
            <w:tcW w:w="1414" w:type="dxa"/>
            <w:shd w:val="clear" w:color="auto" w:fill="FFFFFF" w:themeFill="background1"/>
            <w:noWrap/>
            <w:hideMark/>
          </w:tcPr>
          <w:p w14:paraId="610B0B9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1773.75</w:t>
            </w:r>
          </w:p>
        </w:tc>
        <w:tc>
          <w:tcPr>
            <w:tcW w:w="1769" w:type="dxa"/>
            <w:shd w:val="clear" w:color="auto" w:fill="FFFFFF" w:themeFill="background1"/>
            <w:noWrap/>
            <w:hideMark/>
          </w:tcPr>
          <w:p w14:paraId="7FC76EA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3551.51</w:t>
            </w:r>
          </w:p>
        </w:tc>
      </w:tr>
      <w:tr w:rsidR="000D6958" w:rsidRPr="000D6958" w14:paraId="1789C638"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35985176"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2F79D92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708CC3B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0.40</w:t>
            </w:r>
          </w:p>
        </w:tc>
        <w:tc>
          <w:tcPr>
            <w:tcW w:w="1060" w:type="dxa"/>
            <w:shd w:val="clear" w:color="auto" w:fill="FFFFFF" w:themeFill="background1"/>
            <w:noWrap/>
            <w:hideMark/>
          </w:tcPr>
          <w:p w14:paraId="633C80A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0D6958">
              <w:rPr>
                <w:rFonts w:ascii="Arial" w:hAnsi="Arial" w:cs="Arial"/>
                <w:i/>
                <w:iCs/>
              </w:rPr>
              <w:t>NA</w:t>
            </w:r>
          </w:p>
        </w:tc>
        <w:tc>
          <w:tcPr>
            <w:tcW w:w="1414" w:type="dxa"/>
            <w:shd w:val="clear" w:color="auto" w:fill="FFFFFF" w:themeFill="background1"/>
            <w:noWrap/>
            <w:hideMark/>
          </w:tcPr>
          <w:p w14:paraId="23201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291.29</w:t>
            </w:r>
          </w:p>
        </w:tc>
        <w:tc>
          <w:tcPr>
            <w:tcW w:w="1769" w:type="dxa"/>
            <w:shd w:val="clear" w:color="auto" w:fill="FFFFFF" w:themeFill="background1"/>
            <w:noWrap/>
            <w:hideMark/>
          </w:tcPr>
          <w:p w14:paraId="20813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584.58</w:t>
            </w:r>
          </w:p>
        </w:tc>
      </w:tr>
    </w:tbl>
    <w:p w14:paraId="1B861C13" w14:textId="77777777" w:rsidR="000D6958" w:rsidRPr="000D6958" w:rsidRDefault="000D6958" w:rsidP="000D6958">
      <w:pPr>
        <w:autoSpaceDE w:val="0"/>
        <w:autoSpaceDN w:val="0"/>
        <w:adjustRightInd w:val="0"/>
        <w:jc w:val="both"/>
        <w:rPr>
          <w:rFonts w:ascii="Arial" w:hAnsi="Arial" w:cs="Arial"/>
        </w:rPr>
      </w:pPr>
    </w:p>
    <w:p w14:paraId="02EFD48E" w14:textId="77777777" w:rsidR="000D6958" w:rsidRPr="000D6958" w:rsidRDefault="000D6958" w:rsidP="000D6958">
      <w:pPr>
        <w:autoSpaceDE w:val="0"/>
        <w:autoSpaceDN w:val="0"/>
        <w:adjustRightInd w:val="0"/>
        <w:jc w:val="both"/>
        <w:rPr>
          <w:rFonts w:ascii="Arial" w:hAnsi="Arial" w:cs="Arial"/>
        </w:rPr>
      </w:pPr>
    </w:p>
    <w:p w14:paraId="45BA0249" w14:textId="77777777" w:rsidR="000D6958" w:rsidRPr="000D6958" w:rsidRDefault="000D6958" w:rsidP="000D6958">
      <w:pPr>
        <w:autoSpaceDE w:val="0"/>
        <w:autoSpaceDN w:val="0"/>
        <w:adjustRightInd w:val="0"/>
        <w:jc w:val="both"/>
        <w:rPr>
          <w:rFonts w:ascii="Arial" w:hAnsi="Arial" w:cs="Arial"/>
          <w:b/>
          <w:bCs/>
        </w:rPr>
      </w:pPr>
      <w:r w:rsidRPr="000D6958">
        <w:rPr>
          <w:rFonts w:ascii="Arial" w:hAnsi="Arial" w:cs="Arial"/>
        </w:rPr>
        <w:t>Table 3 presents the parameter estimates, Loglikelihood and AIC of MOIR, APIR and IR distributions. The MOIR distribution has the lowest loglikelihood and AIC and thereby considered to be the most suitable model for the three data sets. Figure 5, the probability plot of competing models for data set I, II and III corroborate the fact that MOIR distribution is more flexible than the competing distributions.</w:t>
      </w:r>
    </w:p>
    <w:p w14:paraId="0BF674EE" w14:textId="77777777" w:rsidR="000D6958" w:rsidRPr="000D6958" w:rsidRDefault="000D6958" w:rsidP="000D6958">
      <w:pPr>
        <w:autoSpaceDE w:val="0"/>
        <w:autoSpaceDN w:val="0"/>
        <w:adjustRightInd w:val="0"/>
        <w:jc w:val="both"/>
        <w:rPr>
          <w:rFonts w:ascii="Arial" w:hAnsi="Arial" w:cs="Arial"/>
        </w:rPr>
      </w:pPr>
    </w:p>
    <w:p w14:paraId="08F080BE" w14:textId="77777777" w:rsidR="000D6958" w:rsidRPr="000D6958" w:rsidRDefault="000D6958" w:rsidP="000D6958">
      <w:pPr>
        <w:autoSpaceDE w:val="0"/>
        <w:autoSpaceDN w:val="0"/>
        <w:adjustRightInd w:val="0"/>
        <w:jc w:val="both"/>
        <w:rPr>
          <w:rFonts w:ascii="Arial" w:hAnsi="Arial" w:cs="Arial"/>
        </w:rPr>
      </w:pPr>
      <w:r w:rsidRPr="000D6958">
        <w:rPr>
          <w:rFonts w:ascii="Arial" w:hAnsi="Arial" w:cs="Arial"/>
          <w:noProof/>
        </w:rPr>
        <w:drawing>
          <wp:inline distT="0" distB="0" distL="0" distR="0" wp14:anchorId="51D1D8F9" wp14:editId="7A7DA2D1">
            <wp:extent cx="1714500" cy="2752725"/>
            <wp:effectExtent l="0" t="0" r="0" b="0"/>
            <wp:docPr id="117416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66167" name=""/>
                    <pic:cNvPicPr/>
                  </pic:nvPicPr>
                  <pic:blipFill>
                    <a:blip r:embed="rId13"/>
                    <a:stretch>
                      <a:fillRect/>
                    </a:stretch>
                  </pic:blipFill>
                  <pic:spPr>
                    <a:xfrm>
                      <a:off x="0" y="0"/>
                      <a:ext cx="1714500" cy="2752725"/>
                    </a:xfrm>
                    <a:prstGeom prst="rect">
                      <a:avLst/>
                    </a:prstGeom>
                  </pic:spPr>
                </pic:pic>
              </a:graphicData>
            </a:graphic>
          </wp:inline>
        </w:drawing>
      </w:r>
      <w:r w:rsidRPr="000D6958">
        <w:rPr>
          <w:rFonts w:ascii="Arial" w:hAnsi="Arial" w:cs="Arial"/>
          <w:noProof/>
        </w:rPr>
        <w:drawing>
          <wp:inline distT="0" distB="0" distL="0" distR="0" wp14:anchorId="40DC2E60" wp14:editId="59EBFBDB">
            <wp:extent cx="1724025" cy="2752725"/>
            <wp:effectExtent l="0" t="0" r="0" b="0"/>
            <wp:docPr id="91178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84009" name=""/>
                    <pic:cNvPicPr/>
                  </pic:nvPicPr>
                  <pic:blipFill>
                    <a:blip r:embed="rId14"/>
                    <a:stretch>
                      <a:fillRect/>
                    </a:stretch>
                  </pic:blipFill>
                  <pic:spPr>
                    <a:xfrm>
                      <a:off x="0" y="0"/>
                      <a:ext cx="1724025" cy="2752725"/>
                    </a:xfrm>
                    <a:prstGeom prst="rect">
                      <a:avLst/>
                    </a:prstGeom>
                  </pic:spPr>
                </pic:pic>
              </a:graphicData>
            </a:graphic>
          </wp:inline>
        </w:drawing>
      </w:r>
      <w:r w:rsidRPr="000D6958">
        <w:rPr>
          <w:rFonts w:ascii="Arial" w:hAnsi="Arial" w:cs="Arial"/>
          <w:noProof/>
        </w:rPr>
        <w:drawing>
          <wp:inline distT="0" distB="0" distL="0" distR="0" wp14:anchorId="4D29D860" wp14:editId="595EB038">
            <wp:extent cx="1743075" cy="2762250"/>
            <wp:effectExtent l="0" t="0" r="0" b="0"/>
            <wp:docPr id="61175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51727" name=""/>
                    <pic:cNvPicPr/>
                  </pic:nvPicPr>
                  <pic:blipFill>
                    <a:blip r:embed="rId15"/>
                    <a:stretch>
                      <a:fillRect/>
                    </a:stretch>
                  </pic:blipFill>
                  <pic:spPr>
                    <a:xfrm>
                      <a:off x="0" y="0"/>
                      <a:ext cx="1743075" cy="2762250"/>
                    </a:xfrm>
                    <a:prstGeom prst="rect">
                      <a:avLst/>
                    </a:prstGeom>
                  </pic:spPr>
                </pic:pic>
              </a:graphicData>
            </a:graphic>
          </wp:inline>
        </w:drawing>
      </w:r>
    </w:p>
    <w:p w14:paraId="0D87A7EF" w14:textId="77777777" w:rsidR="00863BD3" w:rsidRPr="000D6958" w:rsidRDefault="000D6958" w:rsidP="000D6958">
      <w:pPr>
        <w:pStyle w:val="Body"/>
        <w:spacing w:after="0"/>
        <w:rPr>
          <w:rFonts w:ascii="Arial" w:hAnsi="Arial" w:cs="Arial"/>
        </w:rPr>
      </w:pPr>
      <w:r w:rsidRPr="000D6958">
        <w:rPr>
          <w:rFonts w:ascii="Arial" w:hAnsi="Arial" w:cs="Arial"/>
          <w:b/>
          <w:bCs/>
        </w:rPr>
        <w:t>Figure 5:</w:t>
      </w:r>
      <w:r w:rsidRPr="000D6958">
        <w:rPr>
          <w:rFonts w:ascii="Arial" w:hAnsi="Arial" w:cs="Arial"/>
        </w:rPr>
        <w:t xml:space="preserve"> Probability plot of competing models for data set I, II and III</w:t>
      </w:r>
    </w:p>
    <w:p w14:paraId="28422410" w14:textId="77777777" w:rsidR="000D6958" w:rsidRPr="00FB3A86" w:rsidRDefault="000D6958" w:rsidP="000D6958">
      <w:pPr>
        <w:pStyle w:val="Body"/>
        <w:spacing w:after="0"/>
        <w:rPr>
          <w:rFonts w:ascii="Arial" w:hAnsi="Arial" w:cs="Arial"/>
        </w:rPr>
      </w:pPr>
    </w:p>
    <w:p w14:paraId="0C6E420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E87DBA" w14:textId="77777777" w:rsidR="00790ADA" w:rsidRPr="00FB3A86" w:rsidRDefault="00790ADA" w:rsidP="00441B6F">
      <w:pPr>
        <w:pStyle w:val="ConcHead"/>
        <w:spacing w:after="0"/>
        <w:jc w:val="both"/>
        <w:rPr>
          <w:rFonts w:ascii="Arial" w:hAnsi="Arial" w:cs="Arial"/>
        </w:rPr>
      </w:pPr>
    </w:p>
    <w:p w14:paraId="7E2C51B0" w14:textId="77777777" w:rsidR="00352EF7" w:rsidRPr="00352EF7" w:rsidRDefault="00352EF7" w:rsidP="00352EF7">
      <w:pPr>
        <w:autoSpaceDE w:val="0"/>
        <w:autoSpaceDN w:val="0"/>
        <w:adjustRightInd w:val="0"/>
        <w:jc w:val="both"/>
        <w:rPr>
          <w:rFonts w:ascii="Arial" w:hAnsi="Arial" w:cs="Arial"/>
        </w:rPr>
      </w:pPr>
      <w:r w:rsidRPr="00352EF7">
        <w:rPr>
          <w:rFonts w:ascii="Arial" w:hAnsi="Arial" w:cs="Arial"/>
        </w:rPr>
        <w:t>Marshall-Olkin Inverse Rayleigh is a novel lifetime model that combines the Marshall-Olkin shock model and the inverse Rayleigh distribution. The study derives the MOIR distribution and investigates its essential properties, including moments, reliability measures, and the Quantile function. Mean, variance, skewness, and kurtosis expressions are also provided. The maximum likelihood approach is used to estimate parameters, and its efficacy is demonstrated by simulation tests. Furthermore, the MOIR distribution's usefulness in representing real-world data is proved by comparing its flexibility to APIR and IR distributions. The MOIR with the lowest loglikelihood and AIC demonstrated greater flexibility when modeling real data. The MOIR distribution provides a complete method to lifetime data analysis, allowing better simulation and evaluation of system lifetimes. It is recommended for modeling skewed data from the industrial and manufacturing sectors.</w:t>
      </w:r>
    </w:p>
    <w:p w14:paraId="0546B65E" w14:textId="77777777" w:rsidR="00790ADA" w:rsidRPr="00FB3A86" w:rsidRDefault="00790ADA" w:rsidP="00441B6F">
      <w:pPr>
        <w:pStyle w:val="Body"/>
        <w:spacing w:after="0"/>
        <w:rPr>
          <w:rFonts w:ascii="Arial" w:hAnsi="Arial" w:cs="Arial"/>
        </w:rPr>
      </w:pPr>
    </w:p>
    <w:p w14:paraId="19E064B7" w14:textId="12A0C36F" w:rsidR="00315186" w:rsidRDefault="00315186" w:rsidP="00441B6F"/>
    <w:p w14:paraId="3C7641C8" w14:textId="1FC661EF" w:rsidR="00D340D4" w:rsidRDefault="00D340D4" w:rsidP="00441B6F"/>
    <w:p w14:paraId="2C312C1F" w14:textId="77777777" w:rsidR="00D340D4" w:rsidRPr="00D340D4" w:rsidRDefault="00D340D4" w:rsidP="00D340D4">
      <w:pPr>
        <w:spacing w:after="200" w:line="276" w:lineRule="auto"/>
        <w:rPr>
          <w:rFonts w:ascii="Calibri" w:eastAsia="Calibri" w:hAnsi="Calibri"/>
          <w:kern w:val="2"/>
          <w:sz w:val="22"/>
          <w:szCs w:val="22"/>
          <w:highlight w:val="yellow"/>
        </w:rPr>
      </w:pPr>
      <w:r w:rsidRPr="00D340D4">
        <w:rPr>
          <w:rFonts w:ascii="Calibri" w:eastAsia="Calibri" w:hAnsi="Calibri"/>
          <w:kern w:val="2"/>
          <w:sz w:val="22"/>
          <w:szCs w:val="22"/>
          <w:highlight w:val="yellow"/>
        </w:rPr>
        <w:t>Disclaimer (Artificial intelligence)</w:t>
      </w:r>
    </w:p>
    <w:p w14:paraId="75766E36" w14:textId="77777777" w:rsidR="00D340D4" w:rsidRPr="00D340D4" w:rsidRDefault="00D340D4" w:rsidP="00D340D4">
      <w:pPr>
        <w:spacing w:after="200" w:line="276" w:lineRule="auto"/>
        <w:rPr>
          <w:rFonts w:ascii="Calibri" w:eastAsia="Calibri" w:hAnsi="Calibri"/>
          <w:kern w:val="2"/>
          <w:sz w:val="22"/>
          <w:szCs w:val="22"/>
          <w:highlight w:val="yellow"/>
        </w:rPr>
      </w:pPr>
      <w:r w:rsidRPr="00D340D4">
        <w:rPr>
          <w:rFonts w:ascii="Calibri" w:eastAsia="Calibri" w:hAnsi="Calibri"/>
          <w:kern w:val="2"/>
          <w:sz w:val="22"/>
          <w:szCs w:val="22"/>
          <w:highlight w:val="yellow"/>
        </w:rPr>
        <w:t xml:space="preserve">Option 1: </w:t>
      </w:r>
    </w:p>
    <w:p w14:paraId="5B6EFC5C" w14:textId="77777777" w:rsidR="00D340D4" w:rsidRPr="00D340D4" w:rsidRDefault="00D340D4" w:rsidP="00D340D4">
      <w:pPr>
        <w:spacing w:after="200" w:line="276" w:lineRule="auto"/>
        <w:rPr>
          <w:rFonts w:ascii="Calibri" w:eastAsia="Calibri" w:hAnsi="Calibri"/>
          <w:kern w:val="2"/>
          <w:sz w:val="22"/>
          <w:szCs w:val="22"/>
          <w:highlight w:val="yellow"/>
        </w:rPr>
      </w:pPr>
      <w:r w:rsidRPr="00D340D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8A7E438" w14:textId="77777777" w:rsidR="00D340D4" w:rsidRPr="00315186" w:rsidRDefault="00D340D4" w:rsidP="00441B6F"/>
    <w:p w14:paraId="508484E4" w14:textId="77777777" w:rsidR="00315186" w:rsidRPr="00315186" w:rsidRDefault="00315186" w:rsidP="00441B6F"/>
    <w:p w14:paraId="38402B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DB9E20" w14:textId="77777777" w:rsidR="00790ADA" w:rsidRPr="00FB3A86" w:rsidRDefault="00790ADA" w:rsidP="00441B6F">
      <w:pPr>
        <w:pStyle w:val="ReferHead"/>
        <w:spacing w:after="0"/>
        <w:jc w:val="both"/>
        <w:rPr>
          <w:rFonts w:ascii="Arial" w:hAnsi="Arial" w:cs="Arial"/>
        </w:rPr>
      </w:pPr>
    </w:p>
    <w:p w14:paraId="544DF3A3"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Arowolo, O. T., Ogunsanya, A. S., </w:t>
      </w:r>
      <w:proofErr w:type="spellStart"/>
      <w:r w:rsidRPr="007521DC">
        <w:rPr>
          <w:rFonts w:ascii="Arial" w:hAnsi="Arial" w:cs="Arial"/>
          <w:color w:val="000000"/>
        </w:rPr>
        <w:t>Ekum</w:t>
      </w:r>
      <w:proofErr w:type="spellEnd"/>
      <w:r w:rsidRPr="007521DC">
        <w:rPr>
          <w:rFonts w:ascii="Arial" w:hAnsi="Arial" w:cs="Arial"/>
          <w:color w:val="000000"/>
        </w:rPr>
        <w:t xml:space="preserve">, M. I., </w:t>
      </w:r>
      <w:proofErr w:type="spellStart"/>
      <w:r w:rsidRPr="007521DC">
        <w:rPr>
          <w:rFonts w:ascii="Arial" w:hAnsi="Arial" w:cs="Arial"/>
          <w:color w:val="000000"/>
        </w:rPr>
        <w:t>Oguntola</w:t>
      </w:r>
      <w:proofErr w:type="spellEnd"/>
      <w:r w:rsidRPr="007521DC">
        <w:rPr>
          <w:rFonts w:ascii="Arial" w:hAnsi="Arial" w:cs="Arial"/>
          <w:color w:val="000000"/>
        </w:rPr>
        <w:t xml:space="preserve">, T. O. and </w:t>
      </w:r>
      <w:proofErr w:type="spellStart"/>
      <w:r w:rsidRPr="007521DC">
        <w:rPr>
          <w:rFonts w:ascii="Arial" w:hAnsi="Arial" w:cs="Arial"/>
          <w:color w:val="000000"/>
        </w:rPr>
        <w:t>Ukam</w:t>
      </w:r>
      <w:proofErr w:type="spellEnd"/>
      <w:r w:rsidRPr="007521DC">
        <w:rPr>
          <w:rFonts w:ascii="Arial" w:hAnsi="Arial" w:cs="Arial"/>
          <w:color w:val="000000"/>
        </w:rPr>
        <w:t xml:space="preserve">, J. B. (2023). Exponentiated Weibull Inverse Rayleigh Distribution. </w:t>
      </w:r>
      <w:r w:rsidRPr="007521DC">
        <w:rPr>
          <w:rFonts w:ascii="Arial" w:hAnsi="Arial" w:cs="Arial"/>
          <w:i/>
          <w:iCs/>
          <w:color w:val="000000"/>
        </w:rPr>
        <w:t>International Journal of Mathematical Sciences and Optimization: Theory and Applications</w:t>
      </w:r>
      <w:r w:rsidRPr="007521DC">
        <w:rPr>
          <w:rFonts w:ascii="Arial" w:hAnsi="Arial" w:cs="Arial"/>
          <w:color w:val="000000"/>
        </w:rPr>
        <w:t>, 9(1), 104 – 122.</w:t>
      </w:r>
    </w:p>
    <w:p w14:paraId="4D888F07" w14:textId="77777777" w:rsidR="007521DC" w:rsidRPr="007521DC" w:rsidRDefault="007521DC" w:rsidP="00DB3F61">
      <w:pPr>
        <w:autoSpaceDE w:val="0"/>
        <w:autoSpaceDN w:val="0"/>
        <w:adjustRightInd w:val="0"/>
        <w:ind w:left="720" w:hanging="720"/>
        <w:jc w:val="both"/>
        <w:rPr>
          <w:rFonts w:ascii="Arial" w:hAnsi="Arial" w:cs="Arial"/>
          <w:color w:val="000000"/>
        </w:rPr>
      </w:pPr>
    </w:p>
    <w:p w14:paraId="7B165905" w14:textId="77777777" w:rsidR="00BF1268" w:rsidRPr="00BF1268" w:rsidRDefault="00BF1268" w:rsidP="00BF1268">
      <w:pPr>
        <w:pStyle w:val="Appendix"/>
        <w:spacing w:after="0"/>
        <w:jc w:val="both"/>
        <w:rPr>
          <w:rFonts w:ascii="Arial" w:hAnsi="Arial" w:cs="Arial"/>
          <w:b w:val="0"/>
          <w:sz w:val="20"/>
        </w:rPr>
      </w:pPr>
      <w:r w:rsidRPr="00BF1268">
        <w:rPr>
          <w:rFonts w:ascii="Arial" w:hAnsi="Arial" w:cs="Arial"/>
          <w:b w:val="0"/>
          <w:caps w:val="0"/>
          <w:sz w:val="20"/>
        </w:rPr>
        <w:t xml:space="preserve">Banerjee, P. </w:t>
      </w:r>
      <w:r>
        <w:rPr>
          <w:rFonts w:ascii="Arial" w:hAnsi="Arial" w:cs="Arial"/>
          <w:b w:val="0"/>
          <w:caps w:val="0"/>
          <w:sz w:val="20"/>
        </w:rPr>
        <w:t>and</w:t>
      </w:r>
      <w:r w:rsidRPr="00BF1268">
        <w:rPr>
          <w:rFonts w:ascii="Arial" w:hAnsi="Arial" w:cs="Arial"/>
          <w:b w:val="0"/>
          <w:caps w:val="0"/>
          <w:sz w:val="20"/>
        </w:rPr>
        <w:t xml:space="preserve"> Bhunia, S. (2022). Exponential Transformed Inverse Rayleigh Distribution: Statistical Properties </w:t>
      </w:r>
      <w:r>
        <w:rPr>
          <w:rFonts w:ascii="Arial" w:hAnsi="Arial" w:cs="Arial"/>
          <w:b w:val="0"/>
          <w:caps w:val="0"/>
          <w:sz w:val="20"/>
        </w:rPr>
        <w:t>a</w:t>
      </w:r>
      <w:r w:rsidRPr="00BF1268">
        <w:rPr>
          <w:rFonts w:ascii="Arial" w:hAnsi="Arial" w:cs="Arial"/>
          <w:b w:val="0"/>
          <w:caps w:val="0"/>
          <w:sz w:val="20"/>
        </w:rPr>
        <w:t xml:space="preserve">nd Different Methods </w:t>
      </w:r>
      <w:r>
        <w:rPr>
          <w:rFonts w:ascii="Arial" w:hAnsi="Arial" w:cs="Arial"/>
          <w:b w:val="0"/>
          <w:caps w:val="0"/>
          <w:sz w:val="20"/>
        </w:rPr>
        <w:t>o</w:t>
      </w:r>
      <w:r w:rsidRPr="00BF1268">
        <w:rPr>
          <w:rFonts w:ascii="Arial" w:hAnsi="Arial" w:cs="Arial"/>
          <w:b w:val="0"/>
          <w:caps w:val="0"/>
          <w:sz w:val="20"/>
        </w:rPr>
        <w:t>f Estimation. </w:t>
      </w:r>
      <w:r w:rsidRPr="00BF1268">
        <w:rPr>
          <w:rFonts w:ascii="Arial" w:hAnsi="Arial" w:cs="Arial"/>
          <w:b w:val="0"/>
          <w:i/>
          <w:iCs/>
          <w:caps w:val="0"/>
          <w:sz w:val="20"/>
        </w:rPr>
        <w:t xml:space="preserve">Austrian Journal </w:t>
      </w:r>
      <w:r>
        <w:rPr>
          <w:rFonts w:ascii="Arial" w:hAnsi="Arial" w:cs="Arial"/>
          <w:b w:val="0"/>
          <w:i/>
          <w:iCs/>
          <w:caps w:val="0"/>
          <w:sz w:val="20"/>
        </w:rPr>
        <w:t>o</w:t>
      </w:r>
      <w:r w:rsidRPr="00BF1268">
        <w:rPr>
          <w:rFonts w:ascii="Arial" w:hAnsi="Arial" w:cs="Arial"/>
          <w:b w:val="0"/>
          <w:i/>
          <w:iCs/>
          <w:caps w:val="0"/>
          <w:sz w:val="20"/>
        </w:rPr>
        <w:t>f Statistics</w:t>
      </w:r>
      <w:r w:rsidRPr="00BF1268">
        <w:rPr>
          <w:rFonts w:ascii="Arial" w:hAnsi="Arial" w:cs="Arial"/>
          <w:b w:val="0"/>
          <w:caps w:val="0"/>
          <w:sz w:val="20"/>
        </w:rPr>
        <w:t>, </w:t>
      </w:r>
      <w:r w:rsidRPr="00BF1268">
        <w:rPr>
          <w:rFonts w:ascii="Arial" w:hAnsi="Arial" w:cs="Arial"/>
          <w:b w:val="0"/>
          <w:i/>
          <w:iCs/>
          <w:caps w:val="0"/>
          <w:sz w:val="20"/>
        </w:rPr>
        <w:t>51</w:t>
      </w:r>
      <w:r w:rsidRPr="00BF1268">
        <w:rPr>
          <w:rFonts w:ascii="Arial" w:hAnsi="Arial" w:cs="Arial"/>
          <w:b w:val="0"/>
          <w:caps w:val="0"/>
          <w:sz w:val="20"/>
        </w:rPr>
        <w:t>(4), 60–75. Https://Doi.Org/10.17713/Ajs.V51i4.1338</w:t>
      </w:r>
    </w:p>
    <w:p w14:paraId="62F1CC71" w14:textId="77777777" w:rsidR="007521DC" w:rsidRPr="007521DC" w:rsidRDefault="007521DC" w:rsidP="00DB3F61">
      <w:pPr>
        <w:autoSpaceDE w:val="0"/>
        <w:autoSpaceDN w:val="0"/>
        <w:adjustRightInd w:val="0"/>
        <w:jc w:val="both"/>
        <w:rPr>
          <w:rFonts w:ascii="Arial" w:hAnsi="Arial" w:cs="Arial"/>
          <w:color w:val="000000"/>
        </w:rPr>
      </w:pPr>
    </w:p>
    <w:p w14:paraId="713D0482" w14:textId="77777777" w:rsid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Basheer, A. M. (2019). Alpha power inverse Weibull distribution with reliability application. </w:t>
      </w:r>
      <w:r w:rsidRPr="007521DC">
        <w:rPr>
          <w:rFonts w:ascii="Arial" w:hAnsi="Arial" w:cs="Arial"/>
          <w:i/>
          <w:iCs/>
          <w:color w:val="000000"/>
        </w:rPr>
        <w:t>Journal of Taibah University for Science</w:t>
      </w:r>
      <w:r w:rsidRPr="007521DC">
        <w:rPr>
          <w:rFonts w:ascii="Arial" w:hAnsi="Arial" w:cs="Arial"/>
          <w:color w:val="000000"/>
        </w:rPr>
        <w:t>, </w:t>
      </w:r>
      <w:r w:rsidRPr="007521DC">
        <w:rPr>
          <w:rFonts w:ascii="Arial" w:hAnsi="Arial" w:cs="Arial"/>
          <w:i/>
          <w:iCs/>
          <w:color w:val="000000"/>
        </w:rPr>
        <w:t>13</w:t>
      </w:r>
      <w:r w:rsidRPr="007521DC">
        <w:rPr>
          <w:rFonts w:ascii="Arial" w:hAnsi="Arial" w:cs="Arial"/>
          <w:color w:val="000000"/>
        </w:rPr>
        <w:t>(1), 423-432.</w:t>
      </w:r>
    </w:p>
    <w:p w14:paraId="380F9465" w14:textId="77777777" w:rsidR="00BF1268" w:rsidRPr="007521DC" w:rsidRDefault="00BF1268" w:rsidP="00DB3F61">
      <w:pPr>
        <w:autoSpaceDE w:val="0"/>
        <w:autoSpaceDN w:val="0"/>
        <w:adjustRightInd w:val="0"/>
        <w:jc w:val="both"/>
        <w:rPr>
          <w:rFonts w:ascii="Arial" w:hAnsi="Arial" w:cs="Arial"/>
          <w:color w:val="000000"/>
        </w:rPr>
      </w:pPr>
    </w:p>
    <w:p w14:paraId="35CF25C0" w14:textId="77777777" w:rsidR="007521DC" w:rsidRPr="007521DC" w:rsidRDefault="007521DC" w:rsidP="00DB3F61">
      <w:pPr>
        <w:autoSpaceDE w:val="0"/>
        <w:autoSpaceDN w:val="0"/>
        <w:adjustRightInd w:val="0"/>
        <w:jc w:val="both"/>
        <w:rPr>
          <w:rFonts w:ascii="Arial" w:hAnsi="Arial" w:cs="Arial"/>
          <w:color w:val="000000"/>
        </w:rPr>
      </w:pPr>
      <w:proofErr w:type="spellStart"/>
      <w:r w:rsidRPr="007521DC">
        <w:rPr>
          <w:rFonts w:ascii="Arial" w:hAnsi="Arial" w:cs="Arial"/>
          <w:color w:val="000000"/>
        </w:rPr>
        <w:t>Elgarhy</w:t>
      </w:r>
      <w:proofErr w:type="spellEnd"/>
      <w:r w:rsidRPr="007521DC">
        <w:rPr>
          <w:rFonts w:ascii="Arial" w:hAnsi="Arial" w:cs="Arial"/>
          <w:color w:val="000000"/>
        </w:rPr>
        <w:t xml:space="preserve">, M. and </w:t>
      </w:r>
      <w:proofErr w:type="spellStart"/>
      <w:r w:rsidRPr="007521DC">
        <w:rPr>
          <w:rFonts w:ascii="Arial" w:hAnsi="Arial" w:cs="Arial"/>
          <w:color w:val="000000"/>
        </w:rPr>
        <w:t>Alrajhi</w:t>
      </w:r>
      <w:proofErr w:type="spellEnd"/>
      <w:r w:rsidRPr="007521DC">
        <w:rPr>
          <w:rFonts w:ascii="Arial" w:hAnsi="Arial" w:cs="Arial"/>
          <w:color w:val="000000"/>
        </w:rPr>
        <w:t xml:space="preserve">, S. (2019). The odd Fréchet inverse Rayleigh distribution: Statistical properties and applications. </w:t>
      </w:r>
      <w:r w:rsidRPr="007521DC">
        <w:rPr>
          <w:rFonts w:ascii="Arial" w:hAnsi="Arial" w:cs="Arial"/>
          <w:i/>
          <w:iCs/>
          <w:color w:val="000000"/>
        </w:rPr>
        <w:t>J. Nonlinear Sci.,</w:t>
      </w:r>
      <w:r w:rsidRPr="007521DC">
        <w:rPr>
          <w:rFonts w:ascii="Arial" w:hAnsi="Arial" w:cs="Arial"/>
          <w:color w:val="000000"/>
        </w:rPr>
        <w:t xml:space="preserve"> 12, 291–299. </w:t>
      </w:r>
    </w:p>
    <w:p w14:paraId="66E8099E"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6EC5EE8D" w14:textId="77777777" w:rsidR="007521DC" w:rsidRPr="007521DC" w:rsidRDefault="007521DC" w:rsidP="00DB3F61">
      <w:pPr>
        <w:autoSpaceDE w:val="0"/>
        <w:autoSpaceDN w:val="0"/>
        <w:adjustRightInd w:val="0"/>
        <w:ind w:left="810" w:hanging="810"/>
        <w:jc w:val="both"/>
        <w:rPr>
          <w:rFonts w:ascii="Arial" w:hAnsi="Arial" w:cs="Arial"/>
          <w:color w:val="000000"/>
        </w:rPr>
      </w:pPr>
      <w:r w:rsidRPr="007521DC">
        <w:rPr>
          <w:rFonts w:ascii="Arial" w:hAnsi="Arial" w:cs="Arial"/>
          <w:color w:val="000000"/>
        </w:rPr>
        <w:t xml:space="preserve">Fatima, K. and Ahmad, S. P. (2017). Weighted inverse Rayleigh distribution. </w:t>
      </w:r>
      <w:r w:rsidRPr="007521DC">
        <w:rPr>
          <w:rFonts w:ascii="Arial" w:hAnsi="Arial" w:cs="Arial"/>
          <w:i/>
          <w:iCs/>
          <w:color w:val="000000"/>
        </w:rPr>
        <w:t>Int. J. Stat. Syst</w:t>
      </w:r>
      <w:r w:rsidRPr="007521DC">
        <w:rPr>
          <w:rFonts w:ascii="Arial" w:hAnsi="Arial" w:cs="Arial"/>
          <w:color w:val="000000"/>
        </w:rPr>
        <w:t>., 12, 119–137.</w:t>
      </w:r>
    </w:p>
    <w:p w14:paraId="3A5D969A"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5EDDE67F" w14:textId="77777777" w:rsidR="007521DC" w:rsidRDefault="007521DC" w:rsidP="00DB3F61">
      <w:pPr>
        <w:autoSpaceDE w:val="0"/>
        <w:autoSpaceDN w:val="0"/>
        <w:adjustRightInd w:val="0"/>
        <w:jc w:val="both"/>
      </w:pPr>
      <w:r w:rsidRPr="007521DC">
        <w:rPr>
          <w:rFonts w:ascii="Arial" w:hAnsi="Arial" w:cs="Arial"/>
          <w:color w:val="000000"/>
        </w:rPr>
        <w:t xml:space="preserve">Haq, M. A. (2016). Kumaraswamy exponentiated inverse Rayleigh distribution. Math. </w:t>
      </w:r>
      <w:r w:rsidRPr="007521DC">
        <w:rPr>
          <w:rFonts w:ascii="Arial" w:hAnsi="Arial" w:cs="Arial"/>
          <w:i/>
          <w:iCs/>
          <w:color w:val="000000"/>
        </w:rPr>
        <w:t>Theory Model</w:t>
      </w:r>
      <w:r w:rsidRPr="007521DC">
        <w:rPr>
          <w:rFonts w:ascii="Arial" w:hAnsi="Arial" w:cs="Arial"/>
          <w:color w:val="000000"/>
        </w:rPr>
        <w:t xml:space="preserve">, 6, 93–104. </w:t>
      </w:r>
      <w:hyperlink r:id="rId16" w:history="1">
        <w:r w:rsidRPr="007521DC">
          <w:rPr>
            <w:rStyle w:val="Hyperlink"/>
            <w:rFonts w:ascii="Arial" w:hAnsi="Arial" w:cs="Arial"/>
          </w:rPr>
          <w:t>https://doi.org/10.5281/zenodo.8218022</w:t>
        </w:r>
      </w:hyperlink>
    </w:p>
    <w:p w14:paraId="62212AED" w14:textId="77777777" w:rsidR="006404BC" w:rsidRDefault="006404BC" w:rsidP="00DB3F61">
      <w:pPr>
        <w:autoSpaceDE w:val="0"/>
        <w:autoSpaceDN w:val="0"/>
        <w:adjustRightInd w:val="0"/>
        <w:jc w:val="both"/>
      </w:pPr>
    </w:p>
    <w:p w14:paraId="1132F324" w14:textId="77777777" w:rsidR="006404BC" w:rsidRPr="00BF1268" w:rsidRDefault="006404BC" w:rsidP="006404BC">
      <w:pPr>
        <w:pStyle w:val="Appendix"/>
        <w:spacing w:after="0"/>
        <w:jc w:val="both"/>
        <w:rPr>
          <w:rFonts w:ascii="Arial" w:hAnsi="Arial" w:cs="Arial"/>
          <w:b w:val="0"/>
          <w:sz w:val="20"/>
        </w:rPr>
      </w:pPr>
      <w:proofErr w:type="spellStart"/>
      <w:r w:rsidRPr="00BF1268">
        <w:rPr>
          <w:rFonts w:ascii="Arial" w:hAnsi="Arial" w:cs="Arial"/>
          <w:b w:val="0"/>
          <w:caps w:val="0"/>
          <w:sz w:val="20"/>
        </w:rPr>
        <w:t>Kamnge</w:t>
      </w:r>
      <w:proofErr w:type="spellEnd"/>
      <w:r>
        <w:rPr>
          <w:rFonts w:ascii="Arial" w:hAnsi="Arial" w:cs="Arial"/>
          <w:b w:val="0"/>
          <w:caps w:val="0"/>
          <w:sz w:val="20"/>
        </w:rPr>
        <w:t>,</w:t>
      </w:r>
      <w:r w:rsidRPr="00BF1268">
        <w:rPr>
          <w:rFonts w:ascii="Arial" w:hAnsi="Arial" w:cs="Arial"/>
          <w:b w:val="0"/>
          <w:caps w:val="0"/>
          <w:sz w:val="20"/>
        </w:rPr>
        <w:t xml:space="preserve"> J</w:t>
      </w:r>
      <w:r>
        <w:rPr>
          <w:rFonts w:ascii="Arial" w:hAnsi="Arial" w:cs="Arial"/>
          <w:b w:val="0"/>
          <w:caps w:val="0"/>
          <w:sz w:val="20"/>
        </w:rPr>
        <w:t>. S. and</w:t>
      </w:r>
      <w:r w:rsidRPr="00BF1268">
        <w:rPr>
          <w:rFonts w:ascii="Arial" w:hAnsi="Arial" w:cs="Arial"/>
          <w:b w:val="0"/>
          <w:caps w:val="0"/>
          <w:sz w:val="20"/>
        </w:rPr>
        <w:t xml:space="preserve"> Chacko</w:t>
      </w:r>
      <w:r>
        <w:rPr>
          <w:rFonts w:ascii="Arial" w:hAnsi="Arial" w:cs="Arial"/>
          <w:b w:val="0"/>
          <w:caps w:val="0"/>
          <w:sz w:val="20"/>
        </w:rPr>
        <w:t>,</w:t>
      </w:r>
      <w:r w:rsidRPr="00BF1268">
        <w:rPr>
          <w:rFonts w:ascii="Arial" w:hAnsi="Arial" w:cs="Arial"/>
          <w:b w:val="0"/>
          <w:caps w:val="0"/>
          <w:sz w:val="20"/>
        </w:rPr>
        <w:t xml:space="preserve"> M</w:t>
      </w:r>
      <w:r>
        <w:rPr>
          <w:rFonts w:ascii="Arial" w:hAnsi="Arial" w:cs="Arial"/>
          <w:b w:val="0"/>
          <w:caps w:val="0"/>
          <w:sz w:val="20"/>
        </w:rPr>
        <w:t>.</w:t>
      </w:r>
      <w:r w:rsidRPr="00BF1268">
        <w:rPr>
          <w:rFonts w:ascii="Arial" w:hAnsi="Arial" w:cs="Arial"/>
          <w:b w:val="0"/>
          <w:caps w:val="0"/>
          <w:sz w:val="20"/>
        </w:rPr>
        <w:t xml:space="preserve"> (2025)</w:t>
      </w:r>
      <w:r>
        <w:rPr>
          <w:rFonts w:ascii="Arial" w:hAnsi="Arial" w:cs="Arial"/>
          <w:b w:val="0"/>
          <w:caps w:val="0"/>
          <w:sz w:val="20"/>
        </w:rPr>
        <w:t>.</w:t>
      </w:r>
      <w:r w:rsidRPr="00BF1268">
        <w:rPr>
          <w:rFonts w:ascii="Arial" w:hAnsi="Arial" w:cs="Arial"/>
          <w:b w:val="0"/>
          <w:caps w:val="0"/>
          <w:sz w:val="20"/>
        </w:rPr>
        <w:t xml:space="preserve"> Half Logistic Exponentiated Inverse Rayleigh Distribution: Properties </w:t>
      </w:r>
      <w:r>
        <w:rPr>
          <w:rFonts w:ascii="Arial" w:hAnsi="Arial" w:cs="Arial"/>
          <w:b w:val="0"/>
          <w:caps w:val="0"/>
          <w:sz w:val="20"/>
        </w:rPr>
        <w:t>a</w:t>
      </w:r>
      <w:r w:rsidRPr="00BF1268">
        <w:rPr>
          <w:rFonts w:ascii="Arial" w:hAnsi="Arial" w:cs="Arial"/>
          <w:b w:val="0"/>
          <w:caps w:val="0"/>
          <w:sz w:val="20"/>
        </w:rPr>
        <w:t xml:space="preserve">nd Application </w:t>
      </w:r>
      <w:r>
        <w:rPr>
          <w:rFonts w:ascii="Arial" w:hAnsi="Arial" w:cs="Arial"/>
          <w:b w:val="0"/>
          <w:caps w:val="0"/>
          <w:sz w:val="20"/>
        </w:rPr>
        <w:t>t</w:t>
      </w:r>
      <w:r w:rsidRPr="00BF1268">
        <w:rPr>
          <w:rFonts w:ascii="Arial" w:hAnsi="Arial" w:cs="Arial"/>
          <w:b w:val="0"/>
          <w:caps w:val="0"/>
          <w:sz w:val="20"/>
        </w:rPr>
        <w:t xml:space="preserve">o Life Time Data. </w:t>
      </w:r>
      <w:proofErr w:type="spellStart"/>
      <w:r w:rsidRPr="00BF1268">
        <w:rPr>
          <w:rFonts w:ascii="Arial" w:hAnsi="Arial" w:cs="Arial"/>
          <w:b w:val="0"/>
          <w:caps w:val="0"/>
          <w:sz w:val="20"/>
        </w:rPr>
        <w:t>Plos</w:t>
      </w:r>
      <w:proofErr w:type="spellEnd"/>
      <w:r w:rsidRPr="00BF1268">
        <w:rPr>
          <w:rFonts w:ascii="Arial" w:hAnsi="Arial" w:cs="Arial"/>
          <w:b w:val="0"/>
          <w:caps w:val="0"/>
          <w:sz w:val="20"/>
        </w:rPr>
        <w:t xml:space="preserve"> One 20(1): E0310681. </w:t>
      </w:r>
      <w:hyperlink r:id="rId17" w:history="1">
        <w:r w:rsidRPr="00BF1268">
          <w:rPr>
            <w:rStyle w:val="Hyperlink"/>
            <w:rFonts w:ascii="Arial" w:hAnsi="Arial" w:cs="Arial"/>
            <w:b w:val="0"/>
            <w:caps w:val="0"/>
            <w:sz w:val="20"/>
          </w:rPr>
          <w:t>Https://Doi.Org/10.1371/Journal.Pone.0310681</w:t>
        </w:r>
      </w:hyperlink>
    </w:p>
    <w:p w14:paraId="6AA6603A" w14:textId="77777777" w:rsidR="006404BC" w:rsidRPr="00BF1268" w:rsidRDefault="006404BC" w:rsidP="006404BC">
      <w:pPr>
        <w:pStyle w:val="Appendix"/>
        <w:spacing w:after="0"/>
        <w:jc w:val="both"/>
        <w:rPr>
          <w:rFonts w:ascii="Arial" w:hAnsi="Arial" w:cs="Arial"/>
          <w:b w:val="0"/>
          <w:sz w:val="20"/>
        </w:rPr>
      </w:pPr>
    </w:p>
    <w:p w14:paraId="066C80F3"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Mohammed, H. F. and Yahia, N. (2019). On type II Topp-Leone inverse Rayleigh distribution. </w:t>
      </w:r>
      <w:r w:rsidRPr="007521DC">
        <w:rPr>
          <w:rFonts w:ascii="Arial" w:hAnsi="Arial" w:cs="Arial"/>
          <w:i/>
          <w:iCs/>
          <w:color w:val="000000"/>
        </w:rPr>
        <w:t>Appl. Math. Sci.,</w:t>
      </w:r>
      <w:r w:rsidRPr="007521DC">
        <w:rPr>
          <w:rFonts w:ascii="Arial" w:hAnsi="Arial" w:cs="Arial"/>
          <w:color w:val="000000"/>
        </w:rPr>
        <w:t xml:space="preserve"> 13, 607–615. </w:t>
      </w:r>
    </w:p>
    <w:p w14:paraId="0B9B8BB3" w14:textId="77777777" w:rsidR="007521DC" w:rsidRPr="007521DC" w:rsidRDefault="007521DC" w:rsidP="00DB3F61">
      <w:pPr>
        <w:autoSpaceDE w:val="0"/>
        <w:autoSpaceDN w:val="0"/>
        <w:adjustRightInd w:val="0"/>
        <w:jc w:val="both"/>
        <w:rPr>
          <w:rFonts w:ascii="Arial" w:hAnsi="Arial" w:cs="Arial"/>
          <w:color w:val="000000"/>
        </w:rPr>
      </w:pPr>
    </w:p>
    <w:p w14:paraId="694B05F3" w14:textId="77777777" w:rsid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Rao, G. S. and </w:t>
      </w:r>
      <w:proofErr w:type="spellStart"/>
      <w:r w:rsidRPr="007521DC">
        <w:rPr>
          <w:rFonts w:ascii="Arial" w:hAnsi="Arial" w:cs="Arial"/>
          <w:color w:val="000000"/>
        </w:rPr>
        <w:t>Mbwambo</w:t>
      </w:r>
      <w:proofErr w:type="spellEnd"/>
      <w:r w:rsidRPr="007521DC">
        <w:rPr>
          <w:rFonts w:ascii="Arial" w:hAnsi="Arial" w:cs="Arial"/>
          <w:color w:val="000000"/>
        </w:rPr>
        <w:t xml:space="preserve">, S. (2019). Exponentiated inverse Rayleigh distribution and an application to coating weights of iron sheets data. </w:t>
      </w:r>
      <w:r w:rsidRPr="007521DC">
        <w:rPr>
          <w:rFonts w:ascii="Arial" w:hAnsi="Arial" w:cs="Arial"/>
          <w:i/>
          <w:iCs/>
          <w:color w:val="000000"/>
        </w:rPr>
        <w:t xml:space="preserve">J. </w:t>
      </w:r>
      <w:proofErr w:type="spellStart"/>
      <w:r w:rsidRPr="007521DC">
        <w:rPr>
          <w:rFonts w:ascii="Arial" w:hAnsi="Arial" w:cs="Arial"/>
          <w:i/>
          <w:iCs/>
          <w:color w:val="000000"/>
        </w:rPr>
        <w:t>Probab</w:t>
      </w:r>
      <w:proofErr w:type="spellEnd"/>
      <w:r w:rsidRPr="007521DC">
        <w:rPr>
          <w:rFonts w:ascii="Arial" w:hAnsi="Arial" w:cs="Arial"/>
          <w:i/>
          <w:iCs/>
          <w:color w:val="000000"/>
        </w:rPr>
        <w:t>. Stat</w:t>
      </w:r>
      <w:r w:rsidRPr="007521DC">
        <w:rPr>
          <w:rFonts w:ascii="Arial" w:hAnsi="Arial" w:cs="Arial"/>
          <w:color w:val="000000"/>
        </w:rPr>
        <w:t xml:space="preserve">., 7519429. </w:t>
      </w:r>
    </w:p>
    <w:p w14:paraId="4866AF01" w14:textId="77777777" w:rsidR="006404BC" w:rsidRDefault="006404BC" w:rsidP="00DB3F61">
      <w:pPr>
        <w:autoSpaceDE w:val="0"/>
        <w:autoSpaceDN w:val="0"/>
        <w:adjustRightInd w:val="0"/>
        <w:jc w:val="both"/>
        <w:rPr>
          <w:rFonts w:ascii="Arial" w:hAnsi="Arial" w:cs="Arial"/>
          <w:color w:val="000000"/>
        </w:rPr>
      </w:pPr>
    </w:p>
    <w:p w14:paraId="7B59A93E" w14:textId="77777777" w:rsidR="006404BC" w:rsidRPr="00BF1268" w:rsidRDefault="006404BC" w:rsidP="006404BC">
      <w:pPr>
        <w:pStyle w:val="Appendix"/>
        <w:spacing w:after="0"/>
        <w:jc w:val="both"/>
        <w:rPr>
          <w:rFonts w:ascii="Arial" w:hAnsi="Arial" w:cs="Arial"/>
          <w:b w:val="0"/>
          <w:sz w:val="20"/>
        </w:rPr>
      </w:pPr>
      <w:r w:rsidRPr="00BF1268">
        <w:rPr>
          <w:rFonts w:ascii="Arial" w:hAnsi="Arial" w:cs="Arial"/>
          <w:b w:val="0"/>
          <w:caps w:val="0"/>
          <w:sz w:val="20"/>
        </w:rPr>
        <w:t xml:space="preserve">Shala, M., </w:t>
      </w:r>
      <w:r>
        <w:rPr>
          <w:rFonts w:ascii="Arial" w:hAnsi="Arial" w:cs="Arial"/>
          <w:b w:val="0"/>
          <w:caps w:val="0"/>
          <w:sz w:val="20"/>
        </w:rPr>
        <w:t>and</w:t>
      </w:r>
      <w:r w:rsidRPr="00BF1268">
        <w:rPr>
          <w:rFonts w:ascii="Arial" w:hAnsi="Arial" w:cs="Arial"/>
          <w:b w:val="0"/>
          <w:caps w:val="0"/>
          <w:sz w:val="20"/>
        </w:rPr>
        <w:t xml:space="preserve"> </w:t>
      </w:r>
      <w:proofErr w:type="spellStart"/>
      <w:r w:rsidRPr="00BF1268">
        <w:rPr>
          <w:rFonts w:ascii="Arial" w:hAnsi="Arial" w:cs="Arial"/>
          <w:b w:val="0"/>
          <w:caps w:val="0"/>
          <w:sz w:val="20"/>
        </w:rPr>
        <w:t>Merovci</w:t>
      </w:r>
      <w:proofErr w:type="spellEnd"/>
      <w:r w:rsidRPr="00BF1268">
        <w:rPr>
          <w:rFonts w:ascii="Arial" w:hAnsi="Arial" w:cs="Arial"/>
          <w:b w:val="0"/>
          <w:caps w:val="0"/>
          <w:sz w:val="20"/>
        </w:rPr>
        <w:t xml:space="preserve">, F. (2024). A New Three-Parameter Inverse Rayleigh Distribution: Simulation </w:t>
      </w:r>
      <w:r>
        <w:rPr>
          <w:rFonts w:ascii="Arial" w:hAnsi="Arial" w:cs="Arial"/>
          <w:b w:val="0"/>
          <w:caps w:val="0"/>
          <w:sz w:val="20"/>
        </w:rPr>
        <w:t>a</w:t>
      </w:r>
      <w:r w:rsidRPr="00BF1268">
        <w:rPr>
          <w:rFonts w:ascii="Arial" w:hAnsi="Arial" w:cs="Arial"/>
          <w:b w:val="0"/>
          <w:caps w:val="0"/>
          <w:sz w:val="20"/>
        </w:rPr>
        <w:t xml:space="preserve">nd Application </w:t>
      </w:r>
      <w:r>
        <w:rPr>
          <w:rFonts w:ascii="Arial" w:hAnsi="Arial" w:cs="Arial"/>
          <w:b w:val="0"/>
          <w:caps w:val="0"/>
          <w:sz w:val="20"/>
        </w:rPr>
        <w:t>t</w:t>
      </w:r>
      <w:r w:rsidRPr="00BF1268">
        <w:rPr>
          <w:rFonts w:ascii="Arial" w:hAnsi="Arial" w:cs="Arial"/>
          <w:b w:val="0"/>
          <w:caps w:val="0"/>
          <w:sz w:val="20"/>
        </w:rPr>
        <w:t>o Real Data. </w:t>
      </w:r>
      <w:r w:rsidRPr="00BF1268">
        <w:rPr>
          <w:rFonts w:ascii="Arial" w:hAnsi="Arial" w:cs="Arial"/>
          <w:b w:val="0"/>
          <w:i/>
          <w:iCs/>
          <w:caps w:val="0"/>
          <w:sz w:val="20"/>
        </w:rPr>
        <w:t>Symmetry</w:t>
      </w:r>
      <w:r w:rsidRPr="00BF1268">
        <w:rPr>
          <w:rFonts w:ascii="Arial" w:hAnsi="Arial" w:cs="Arial"/>
          <w:b w:val="0"/>
          <w:caps w:val="0"/>
          <w:sz w:val="20"/>
        </w:rPr>
        <w:t>, </w:t>
      </w:r>
      <w:r w:rsidRPr="00BF1268">
        <w:rPr>
          <w:rFonts w:ascii="Arial" w:hAnsi="Arial" w:cs="Arial"/>
          <w:b w:val="0"/>
          <w:i/>
          <w:iCs/>
          <w:caps w:val="0"/>
          <w:sz w:val="20"/>
        </w:rPr>
        <w:t>16</w:t>
      </w:r>
      <w:r w:rsidRPr="00BF1268">
        <w:rPr>
          <w:rFonts w:ascii="Arial" w:hAnsi="Arial" w:cs="Arial"/>
          <w:b w:val="0"/>
          <w:caps w:val="0"/>
          <w:sz w:val="20"/>
        </w:rPr>
        <w:t xml:space="preserve">(5), 634. </w:t>
      </w:r>
      <w:hyperlink r:id="rId18" w:history="1">
        <w:r w:rsidRPr="00BF1268">
          <w:rPr>
            <w:rStyle w:val="Hyperlink"/>
            <w:rFonts w:ascii="Arial" w:hAnsi="Arial" w:cs="Arial"/>
            <w:b w:val="0"/>
            <w:caps w:val="0"/>
            <w:sz w:val="20"/>
          </w:rPr>
          <w:t>Https://Doi.Org/10.3390/Sym16050634</w:t>
        </w:r>
      </w:hyperlink>
    </w:p>
    <w:p w14:paraId="39BEA157" w14:textId="77777777" w:rsidR="006404BC" w:rsidRPr="00BF1268" w:rsidRDefault="006404BC" w:rsidP="006404BC">
      <w:pPr>
        <w:pStyle w:val="Appendix"/>
        <w:spacing w:after="0"/>
        <w:jc w:val="both"/>
        <w:rPr>
          <w:rFonts w:ascii="Arial" w:hAnsi="Arial" w:cs="Arial"/>
          <w:b w:val="0"/>
          <w:sz w:val="20"/>
        </w:rPr>
      </w:pPr>
    </w:p>
    <w:p w14:paraId="1AB19781" w14:textId="77777777" w:rsidR="007521DC" w:rsidRPr="007521DC" w:rsidRDefault="007521DC" w:rsidP="00DB3F61">
      <w:pPr>
        <w:autoSpaceDE w:val="0"/>
        <w:autoSpaceDN w:val="0"/>
        <w:adjustRightInd w:val="0"/>
        <w:ind w:left="810" w:hanging="810"/>
        <w:jc w:val="both"/>
        <w:rPr>
          <w:rFonts w:ascii="Arial" w:hAnsi="Arial" w:cs="Arial"/>
          <w:color w:val="000000"/>
        </w:rPr>
      </w:pPr>
      <w:r w:rsidRPr="007521DC">
        <w:rPr>
          <w:rFonts w:ascii="Arial" w:hAnsi="Arial" w:cs="Arial"/>
          <w:color w:val="000000"/>
        </w:rPr>
        <w:t xml:space="preserve">Voda, V.G. (1972). On the inverse Rayleigh distributed random variable. </w:t>
      </w:r>
      <w:r w:rsidRPr="007521DC">
        <w:rPr>
          <w:rFonts w:ascii="Arial" w:hAnsi="Arial" w:cs="Arial"/>
          <w:i/>
          <w:iCs/>
          <w:color w:val="000000"/>
        </w:rPr>
        <w:t>Rep. Stat. Appl. Res.</w:t>
      </w:r>
      <w:r w:rsidRPr="007521DC">
        <w:rPr>
          <w:rFonts w:ascii="Arial" w:hAnsi="Arial" w:cs="Arial"/>
          <w:color w:val="000000"/>
        </w:rPr>
        <w:t>, 19, 13–21.</w:t>
      </w:r>
    </w:p>
    <w:p w14:paraId="2A0E006A" w14:textId="77777777" w:rsidR="007521DC" w:rsidRPr="007521DC" w:rsidRDefault="007521DC" w:rsidP="00DB3F61">
      <w:pPr>
        <w:autoSpaceDE w:val="0"/>
        <w:autoSpaceDN w:val="0"/>
        <w:adjustRightInd w:val="0"/>
        <w:jc w:val="both"/>
        <w:rPr>
          <w:rFonts w:ascii="Arial" w:hAnsi="Arial" w:cs="Arial"/>
          <w:color w:val="000000"/>
        </w:rPr>
      </w:pPr>
    </w:p>
    <w:p w14:paraId="7632A019"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Yahia, N. and Mohammed, H. F. (2019). The type II Topp-Leone generalized inverse Rayleigh distribution. </w:t>
      </w:r>
      <w:r w:rsidRPr="007521DC">
        <w:rPr>
          <w:rFonts w:ascii="Arial" w:hAnsi="Arial" w:cs="Arial"/>
          <w:i/>
          <w:iCs/>
          <w:color w:val="000000"/>
        </w:rPr>
        <w:t>Int. J. Contemp. Math. Sci</w:t>
      </w:r>
      <w:r w:rsidRPr="007521DC">
        <w:rPr>
          <w:rFonts w:ascii="Arial" w:hAnsi="Arial" w:cs="Arial"/>
          <w:color w:val="000000"/>
        </w:rPr>
        <w:t xml:space="preserve">., 14, 113–122. </w:t>
      </w:r>
    </w:p>
    <w:p w14:paraId="0F34C4C3" w14:textId="77777777" w:rsidR="00B01FCD" w:rsidRDefault="00B01FCD" w:rsidP="00DB3F61">
      <w:pPr>
        <w:pStyle w:val="Appendix"/>
        <w:spacing w:after="0"/>
        <w:jc w:val="both"/>
        <w:rPr>
          <w:rFonts w:ascii="Arial" w:hAnsi="Arial" w:cs="Arial"/>
          <w:b w:val="0"/>
        </w:rPr>
      </w:pPr>
    </w:p>
    <w:sectPr w:rsidR="00B01FCD" w:rsidSect="00406D5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7666" w14:textId="77777777" w:rsidR="008931B3" w:rsidRDefault="008931B3" w:rsidP="00C37E61">
      <w:r>
        <w:separator/>
      </w:r>
    </w:p>
  </w:endnote>
  <w:endnote w:type="continuationSeparator" w:id="0">
    <w:p w14:paraId="6A882E6E" w14:textId="77777777" w:rsidR="008931B3" w:rsidRDefault="008931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0C7" w14:textId="77777777" w:rsidR="00D52373" w:rsidRDefault="00D52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D9B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BC9" w14:textId="77777777" w:rsidR="00D52373" w:rsidRDefault="00D5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907B" w14:textId="77777777" w:rsidR="008931B3" w:rsidRDefault="008931B3" w:rsidP="00C37E61">
      <w:r>
        <w:separator/>
      </w:r>
    </w:p>
  </w:footnote>
  <w:footnote w:type="continuationSeparator" w:id="0">
    <w:p w14:paraId="2DE8E871" w14:textId="77777777" w:rsidR="008931B3" w:rsidRDefault="008931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C1B7" w14:textId="410AA5E1" w:rsidR="00D52373" w:rsidRDefault="00000000">
    <w:pPr>
      <w:pStyle w:val="Header"/>
    </w:pPr>
    <w:r>
      <w:rPr>
        <w:noProof/>
      </w:rPr>
      <w:pict w14:anchorId="175F6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6B6F" w14:textId="2837E951" w:rsidR="00D52373" w:rsidRDefault="00000000">
    <w:pPr>
      <w:pStyle w:val="Header"/>
    </w:pPr>
    <w:r>
      <w:rPr>
        <w:noProof/>
      </w:rPr>
      <w:pict w14:anchorId="7E413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BA2F" w14:textId="04D46B87" w:rsidR="00D52373" w:rsidRDefault="00000000">
    <w:pPr>
      <w:pStyle w:val="Header"/>
    </w:pPr>
    <w:r>
      <w:rPr>
        <w:noProof/>
      </w:rPr>
      <w:pict w14:anchorId="38C55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6"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19193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0327132">
    <w:abstractNumId w:val="15"/>
  </w:num>
  <w:num w:numId="3" w16cid:durableId="1458841314">
    <w:abstractNumId w:val="23"/>
  </w:num>
  <w:num w:numId="4" w16cid:durableId="1559262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2473357">
    <w:abstractNumId w:val="7"/>
  </w:num>
  <w:num w:numId="6" w16cid:durableId="379599564">
    <w:abstractNumId w:val="6"/>
  </w:num>
  <w:num w:numId="7" w16cid:durableId="1732148017">
    <w:abstractNumId w:val="1"/>
  </w:num>
  <w:num w:numId="8" w16cid:durableId="2075229538">
    <w:abstractNumId w:val="12"/>
  </w:num>
  <w:num w:numId="9" w16cid:durableId="2132822923">
    <w:abstractNumId w:val="25"/>
  </w:num>
  <w:num w:numId="10" w16cid:durableId="2049990214">
    <w:abstractNumId w:val="2"/>
  </w:num>
  <w:num w:numId="11" w16cid:durableId="1588419942">
    <w:abstractNumId w:val="18"/>
  </w:num>
  <w:num w:numId="12" w16cid:durableId="1018968267">
    <w:abstractNumId w:val="3"/>
  </w:num>
  <w:num w:numId="13" w16cid:durableId="965083345">
    <w:abstractNumId w:val="17"/>
  </w:num>
  <w:num w:numId="14" w16cid:durableId="514155443">
    <w:abstractNumId w:val="8"/>
  </w:num>
  <w:num w:numId="15" w16cid:durableId="1179546062">
    <w:abstractNumId w:val="21"/>
  </w:num>
  <w:num w:numId="16" w16cid:durableId="189491625">
    <w:abstractNumId w:val="5"/>
  </w:num>
  <w:num w:numId="17" w16cid:durableId="486828715">
    <w:abstractNumId w:val="22"/>
  </w:num>
  <w:num w:numId="18" w16cid:durableId="1882395334">
    <w:abstractNumId w:val="14"/>
  </w:num>
  <w:num w:numId="19" w16cid:durableId="1355157710">
    <w:abstractNumId w:val="28"/>
  </w:num>
  <w:num w:numId="20" w16cid:durableId="74017212">
    <w:abstractNumId w:val="11"/>
  </w:num>
  <w:num w:numId="21" w16cid:durableId="1323237637">
    <w:abstractNumId w:val="9"/>
  </w:num>
  <w:num w:numId="22" w16cid:durableId="325864580">
    <w:abstractNumId w:val="13"/>
  </w:num>
  <w:num w:numId="23" w16cid:durableId="1416828839">
    <w:abstractNumId w:val="19"/>
  </w:num>
  <w:num w:numId="24" w16cid:durableId="331760665">
    <w:abstractNumId w:val="26"/>
  </w:num>
  <w:num w:numId="25" w16cid:durableId="886643000">
    <w:abstractNumId w:val="4"/>
  </w:num>
  <w:num w:numId="26" w16cid:durableId="1238318266">
    <w:abstractNumId w:val="16"/>
  </w:num>
  <w:num w:numId="27" w16cid:durableId="247739429">
    <w:abstractNumId w:val="20"/>
  </w:num>
  <w:num w:numId="28" w16cid:durableId="1237009880">
    <w:abstractNumId w:val="27"/>
  </w:num>
  <w:num w:numId="29" w16cid:durableId="1326937088">
    <w:abstractNumId w:val="24"/>
  </w:num>
  <w:num w:numId="30" w16cid:durableId="683828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357"/>
    <w:rsid w:val="0004579C"/>
    <w:rsid w:val="000A47FA"/>
    <w:rsid w:val="000A65D3"/>
    <w:rsid w:val="000B1E33"/>
    <w:rsid w:val="000D689F"/>
    <w:rsid w:val="000D6958"/>
    <w:rsid w:val="000E7B7B"/>
    <w:rsid w:val="000E7D62"/>
    <w:rsid w:val="00103357"/>
    <w:rsid w:val="00123C9F"/>
    <w:rsid w:val="00126190"/>
    <w:rsid w:val="00130F17"/>
    <w:rsid w:val="001320BF"/>
    <w:rsid w:val="00163BC4"/>
    <w:rsid w:val="00183988"/>
    <w:rsid w:val="00191062"/>
    <w:rsid w:val="00192B72"/>
    <w:rsid w:val="001A29D8"/>
    <w:rsid w:val="001A5CAA"/>
    <w:rsid w:val="001A78C1"/>
    <w:rsid w:val="001B0427"/>
    <w:rsid w:val="001D3A51"/>
    <w:rsid w:val="001E10D2"/>
    <w:rsid w:val="001E25B4"/>
    <w:rsid w:val="001E44FE"/>
    <w:rsid w:val="00200595"/>
    <w:rsid w:val="00204835"/>
    <w:rsid w:val="00210A29"/>
    <w:rsid w:val="00231920"/>
    <w:rsid w:val="0023195C"/>
    <w:rsid w:val="0024282C"/>
    <w:rsid w:val="002460DC"/>
    <w:rsid w:val="00250985"/>
    <w:rsid w:val="002556F6"/>
    <w:rsid w:val="00283105"/>
    <w:rsid w:val="00284C4C"/>
    <w:rsid w:val="00287E68"/>
    <w:rsid w:val="00291565"/>
    <w:rsid w:val="00296529"/>
    <w:rsid w:val="002B27FB"/>
    <w:rsid w:val="002B685A"/>
    <w:rsid w:val="002C57D2"/>
    <w:rsid w:val="002E0D56"/>
    <w:rsid w:val="00315186"/>
    <w:rsid w:val="0033343E"/>
    <w:rsid w:val="003512C2"/>
    <w:rsid w:val="00352EF7"/>
    <w:rsid w:val="00371FB6"/>
    <w:rsid w:val="003763C1"/>
    <w:rsid w:val="00376BBE"/>
    <w:rsid w:val="003864C9"/>
    <w:rsid w:val="0039224F"/>
    <w:rsid w:val="003A43A4"/>
    <w:rsid w:val="003A7E18"/>
    <w:rsid w:val="003C4C86"/>
    <w:rsid w:val="003C6258"/>
    <w:rsid w:val="003E2904"/>
    <w:rsid w:val="00401927"/>
    <w:rsid w:val="00406D51"/>
    <w:rsid w:val="0041027F"/>
    <w:rsid w:val="00412475"/>
    <w:rsid w:val="00423789"/>
    <w:rsid w:val="00434170"/>
    <w:rsid w:val="00440F43"/>
    <w:rsid w:val="00441B6F"/>
    <w:rsid w:val="00446221"/>
    <w:rsid w:val="00450E62"/>
    <w:rsid w:val="004539DB"/>
    <w:rsid w:val="00471A80"/>
    <w:rsid w:val="004D305E"/>
    <w:rsid w:val="004D4277"/>
    <w:rsid w:val="00502516"/>
    <w:rsid w:val="00505F06"/>
    <w:rsid w:val="00506828"/>
    <w:rsid w:val="0053056E"/>
    <w:rsid w:val="00554FDA"/>
    <w:rsid w:val="0055602F"/>
    <w:rsid w:val="005C784C"/>
    <w:rsid w:val="005D07E4"/>
    <w:rsid w:val="005D17F6"/>
    <w:rsid w:val="005E5539"/>
    <w:rsid w:val="00602BF5"/>
    <w:rsid w:val="00617FDD"/>
    <w:rsid w:val="00633614"/>
    <w:rsid w:val="00633F68"/>
    <w:rsid w:val="00636EB2"/>
    <w:rsid w:val="006375B8"/>
    <w:rsid w:val="006404BC"/>
    <w:rsid w:val="0066510A"/>
    <w:rsid w:val="00673F9F"/>
    <w:rsid w:val="00686953"/>
    <w:rsid w:val="00687DEA"/>
    <w:rsid w:val="00687E67"/>
    <w:rsid w:val="006967F7"/>
    <w:rsid w:val="006A250C"/>
    <w:rsid w:val="006B21D3"/>
    <w:rsid w:val="006B57D0"/>
    <w:rsid w:val="006D30FF"/>
    <w:rsid w:val="006D49DC"/>
    <w:rsid w:val="006D6940"/>
    <w:rsid w:val="006F11EC"/>
    <w:rsid w:val="0070082C"/>
    <w:rsid w:val="00731C17"/>
    <w:rsid w:val="007369E6"/>
    <w:rsid w:val="00746E59"/>
    <w:rsid w:val="007521DC"/>
    <w:rsid w:val="00754C9A"/>
    <w:rsid w:val="0075599A"/>
    <w:rsid w:val="00761D52"/>
    <w:rsid w:val="0077749E"/>
    <w:rsid w:val="00790ADA"/>
    <w:rsid w:val="007D2288"/>
    <w:rsid w:val="007E088F"/>
    <w:rsid w:val="007F7B32"/>
    <w:rsid w:val="00804BC2"/>
    <w:rsid w:val="0081431A"/>
    <w:rsid w:val="0083216F"/>
    <w:rsid w:val="00860000"/>
    <w:rsid w:val="00862DA3"/>
    <w:rsid w:val="00863BD3"/>
    <w:rsid w:val="008641ED"/>
    <w:rsid w:val="00866D66"/>
    <w:rsid w:val="008671C6"/>
    <w:rsid w:val="00875803"/>
    <w:rsid w:val="008931B3"/>
    <w:rsid w:val="008B459E"/>
    <w:rsid w:val="008E13AE"/>
    <w:rsid w:val="008E1506"/>
    <w:rsid w:val="008E710C"/>
    <w:rsid w:val="008F69D6"/>
    <w:rsid w:val="00902823"/>
    <w:rsid w:val="00915CA6"/>
    <w:rsid w:val="00922FDD"/>
    <w:rsid w:val="00927834"/>
    <w:rsid w:val="009500A6"/>
    <w:rsid w:val="0095718D"/>
    <w:rsid w:val="00957C18"/>
    <w:rsid w:val="009659BA"/>
    <w:rsid w:val="00976817"/>
    <w:rsid w:val="00983040"/>
    <w:rsid w:val="009B3FB9"/>
    <w:rsid w:val="009C2465"/>
    <w:rsid w:val="009D35A0"/>
    <w:rsid w:val="009D7EB7"/>
    <w:rsid w:val="009E048A"/>
    <w:rsid w:val="009E08E9"/>
    <w:rsid w:val="009E20A6"/>
    <w:rsid w:val="009E3DB9"/>
    <w:rsid w:val="009E6E35"/>
    <w:rsid w:val="009F0EDA"/>
    <w:rsid w:val="00A03B96"/>
    <w:rsid w:val="00A05B19"/>
    <w:rsid w:val="00A1134E"/>
    <w:rsid w:val="00A24E7E"/>
    <w:rsid w:val="00A258C3"/>
    <w:rsid w:val="00A31371"/>
    <w:rsid w:val="00A347C0"/>
    <w:rsid w:val="00A51431"/>
    <w:rsid w:val="00A539AD"/>
    <w:rsid w:val="00A94063"/>
    <w:rsid w:val="00AA6219"/>
    <w:rsid w:val="00AA74E0"/>
    <w:rsid w:val="00AB703F"/>
    <w:rsid w:val="00AC6BB8"/>
    <w:rsid w:val="00AE008F"/>
    <w:rsid w:val="00B01FCD"/>
    <w:rsid w:val="00B1776C"/>
    <w:rsid w:val="00B420CD"/>
    <w:rsid w:val="00B52583"/>
    <w:rsid w:val="00B52896"/>
    <w:rsid w:val="00B95236"/>
    <w:rsid w:val="00B96BD9"/>
    <w:rsid w:val="00BA1B01"/>
    <w:rsid w:val="00BA2641"/>
    <w:rsid w:val="00BB37AA"/>
    <w:rsid w:val="00BC53A0"/>
    <w:rsid w:val="00BE62AD"/>
    <w:rsid w:val="00BF121F"/>
    <w:rsid w:val="00BF1268"/>
    <w:rsid w:val="00BF1F80"/>
    <w:rsid w:val="00C166EF"/>
    <w:rsid w:val="00C17EB0"/>
    <w:rsid w:val="00C27F5F"/>
    <w:rsid w:val="00C30A0F"/>
    <w:rsid w:val="00C37E61"/>
    <w:rsid w:val="00C70F1B"/>
    <w:rsid w:val="00C71A47"/>
    <w:rsid w:val="00C7464C"/>
    <w:rsid w:val="00C85588"/>
    <w:rsid w:val="00C954D1"/>
    <w:rsid w:val="00CD6755"/>
    <w:rsid w:val="00CD6856"/>
    <w:rsid w:val="00CE0089"/>
    <w:rsid w:val="00CE793C"/>
    <w:rsid w:val="00CF193C"/>
    <w:rsid w:val="00D1177C"/>
    <w:rsid w:val="00D173F1"/>
    <w:rsid w:val="00D340D4"/>
    <w:rsid w:val="00D52373"/>
    <w:rsid w:val="00D74CB0"/>
    <w:rsid w:val="00D8295D"/>
    <w:rsid w:val="00DB3F61"/>
    <w:rsid w:val="00DC2A65"/>
    <w:rsid w:val="00DE041D"/>
    <w:rsid w:val="00DE15F0"/>
    <w:rsid w:val="00DE5663"/>
    <w:rsid w:val="00DE78AA"/>
    <w:rsid w:val="00E053D0"/>
    <w:rsid w:val="00E15994"/>
    <w:rsid w:val="00E1690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DEFD3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9E20A6"/>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0D6958"/>
    <w:pPr>
      <w:spacing w:after="200" w:line="276" w:lineRule="auto"/>
      <w:ind w:left="720"/>
      <w:contextualSpacing/>
    </w:pPr>
    <w:rPr>
      <w:rFonts w:ascii="Calibri" w:eastAsia="Calibri" w:hAnsi="Calibri"/>
      <w:sz w:val="22"/>
      <w:szCs w:val="22"/>
      <w:lang w:val="en-GB"/>
    </w:rPr>
  </w:style>
  <w:style w:type="table" w:styleId="ListTable2">
    <w:name w:val="List Table 2"/>
    <w:basedOn w:val="TableNormal"/>
    <w:uiPriority w:val="47"/>
    <w:rsid w:val="000D69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4">
    <w:name w:val="Grid Table 5 Dark Accent 4"/>
    <w:basedOn w:val="TableNormal"/>
    <w:uiPriority w:val="50"/>
    <w:rsid w:val="000D69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PlainTable2">
    <w:name w:val="Plain Table 2"/>
    <w:basedOn w:val="TableNormal"/>
    <w:uiPriority w:val="42"/>
    <w:rsid w:val="00352E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352E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352E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390/sym160506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oi.org/10.1371/journal.pone.03106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281/zenodo.8218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DE72-A8AE-4085-82A4-11BB078A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8</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Olubisi Aako</cp:lastModifiedBy>
  <cp:revision>18</cp:revision>
  <cp:lastPrinted>1999-07-06T11:00:00Z</cp:lastPrinted>
  <dcterms:created xsi:type="dcterms:W3CDTF">2014-10-25T14:34:00Z</dcterms:created>
  <dcterms:modified xsi:type="dcterms:W3CDTF">2025-04-29T14:48:00Z</dcterms:modified>
</cp:coreProperties>
</file>