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D72D9" w14:textId="70E8170A" w:rsidR="002908BE" w:rsidRPr="001B3871" w:rsidRDefault="00C77AF1">
      <w:pPr>
        <w:spacing w:line="480" w:lineRule="auto"/>
        <w:jc w:val="both"/>
        <w:rPr>
          <w:color w:val="000000"/>
          <w:sz w:val="24"/>
          <w:szCs w:val="24"/>
        </w:rPr>
      </w:pPr>
      <w:bookmarkStart w:id="0" w:name="_Hlk194941561"/>
      <w:bookmarkEnd w:id="0"/>
      <w:r w:rsidRPr="001B3871">
        <w:rPr>
          <w:rFonts w:ascii="Times New Roman" w:eastAsia="Times New Roman" w:hAnsi="Times New Roman"/>
          <w:b/>
          <w:bCs/>
          <w:color w:val="000000"/>
          <w:sz w:val="24"/>
          <w:szCs w:val="24"/>
          <w:lang w:val="en-GB" w:eastAsia="en-US"/>
        </w:rPr>
        <w:t>Neuroprotective Role of Turmeric Against Cadmium-Induced Neurotoxicity in Male Wistar Rats: Modulation of Oxidative Stress and Acetylcholinesterase Activity</w:t>
      </w:r>
    </w:p>
    <w:p w14:paraId="078BCA40" w14:textId="77777777" w:rsidR="002908BE" w:rsidRPr="001B3871" w:rsidRDefault="001B3871">
      <w:pPr>
        <w:spacing w:line="480" w:lineRule="auto"/>
        <w:jc w:val="both"/>
        <w:rPr>
          <w:color w:val="000000"/>
          <w:sz w:val="24"/>
          <w:szCs w:val="24"/>
        </w:rPr>
      </w:pPr>
      <w:r w:rsidRPr="001B3871">
        <w:rPr>
          <w:b/>
          <w:bCs/>
          <w:color w:val="000000"/>
          <w:sz w:val="24"/>
          <w:szCs w:val="24"/>
        </w:rPr>
        <w:t>Abstract</w:t>
      </w:r>
    </w:p>
    <w:p w14:paraId="18DA9D71" w14:textId="77777777" w:rsidR="002908BE" w:rsidRPr="001B3871" w:rsidRDefault="001B3871">
      <w:pPr>
        <w:rPr>
          <w:b/>
          <w:bCs/>
          <w:color w:val="000000"/>
          <w:sz w:val="24"/>
          <w:szCs w:val="24"/>
        </w:rPr>
      </w:pPr>
      <w:r w:rsidRPr="001B3871">
        <w:rPr>
          <w:color w:val="000000"/>
        </w:rPr>
        <w:t>Background and Objectives: Cadmium is a potent neurotoxic heavy metal known to induce oxidative stress, apoptosis, and neurotransmitter dysfunction, leading to neurodegenerative effects. Turmeric (</w:t>
      </w:r>
      <w:r w:rsidRPr="001B3871">
        <w:rPr>
          <w:i/>
          <w:iCs/>
          <w:color w:val="000000"/>
        </w:rPr>
        <w:t>Curcuma</w:t>
      </w:r>
      <w:r w:rsidRPr="001B3871">
        <w:rPr>
          <w:color w:val="000000"/>
        </w:rPr>
        <w:t xml:space="preserve"> longa) has gained attention as a natural antioxidant with potential neuroprotective properties. This study evaluates the neuroprotective effects of turmeric against cadmium chloride-induced neurotoxicity in male Wistar rats by assessing oxidative stress and cholinergic function.</w:t>
      </w:r>
    </w:p>
    <w:p w14:paraId="15D6C7A1" w14:textId="77777777" w:rsidR="002908BE" w:rsidRPr="001B3871" w:rsidRDefault="001B3871">
      <w:pPr>
        <w:jc w:val="both"/>
        <w:rPr>
          <w:b/>
          <w:bCs/>
          <w:color w:val="000000"/>
          <w:sz w:val="24"/>
          <w:szCs w:val="24"/>
        </w:rPr>
      </w:pPr>
      <w:r w:rsidRPr="001B3871">
        <w:rPr>
          <w:color w:val="000000"/>
        </w:rPr>
        <w:t>Method: Twenty-four male Wistar rats (150–180 g) were divided into four groups (n = 6): Group I (Control), Group II (Turmeric only: 500 mg/kg BW orally), Group III (Cadmium only: 120 mg/kg BW subcutaneously), and Group IV (Cadmium + Turmeric). Turmeric was administered daily for four weeks. Superoxide dismutase (SOD) and acetylcholinesterase (AChE) activities were measured using standard spectrophotometric methods. Data were analyzed using one-way ANOVA and Tukey’s test, with p &lt; 0.05 as the significance threshold.</w:t>
      </w:r>
    </w:p>
    <w:p w14:paraId="6BB51B37" w14:textId="77777777" w:rsidR="002908BE" w:rsidRPr="001B3871" w:rsidRDefault="001B3871">
      <w:pPr>
        <w:jc w:val="both"/>
        <w:rPr>
          <w:b/>
          <w:bCs/>
          <w:color w:val="000000"/>
          <w:sz w:val="24"/>
          <w:szCs w:val="24"/>
        </w:rPr>
      </w:pPr>
      <w:r w:rsidRPr="001B3871">
        <w:rPr>
          <w:color w:val="000000"/>
        </w:rPr>
        <w:t>Results: Cadmium exposure significantly reduced SOD activity (3.77 ± 0.19 U/mg protein) and AChE levels (11.0 ± 4.36 U/L) compared to the control group (6.22 ± 0.11 U/mg and 28.0 ± 0.52 U/L, respectively; p &lt; 0.05). Turmeric co-administration markedly improved SOD (7.12 ± 0.12 U/mg) and AChE (32.0 ± 1.42 U/L) levels, demonstrating restoration of antioxidant and cholinergic function. Interestingly, turmeric alone elevated both SOD (6.50 ± 0.09 U/mg) and AChE (46.0 ± 0.48 U/L) beyond control values.</w:t>
      </w:r>
    </w:p>
    <w:p w14:paraId="1DE201DF" w14:textId="77777777" w:rsidR="002908BE" w:rsidRPr="001B3871" w:rsidRDefault="001B3871">
      <w:pPr>
        <w:jc w:val="both"/>
        <w:rPr>
          <w:b/>
          <w:bCs/>
          <w:color w:val="000000"/>
          <w:sz w:val="24"/>
          <w:szCs w:val="24"/>
        </w:rPr>
      </w:pPr>
      <w:r w:rsidRPr="001B3871">
        <w:rPr>
          <w:color w:val="000000"/>
        </w:rPr>
        <w:t>Conclusion: Turmeric mitigates cadmium-induced neurotoxicity by significantly enhancing antioxidant defenses and cholinergic neurotransmission. These findings support its potential as a dietary supplement or therapeutic agent in managing neurodegenerative conditions related to heavy metal toxicity. Further studies incorporating behavioral and histopathological assessments are recommended to validate its cognitive benefits.</w:t>
      </w:r>
    </w:p>
    <w:p w14:paraId="026E8947" w14:textId="77777777" w:rsidR="002908BE" w:rsidRPr="001B3871" w:rsidRDefault="001B3871">
      <w:pPr>
        <w:spacing w:line="300" w:lineRule="auto"/>
        <w:jc w:val="both"/>
        <w:rPr>
          <w:color w:val="000000"/>
          <w:sz w:val="24"/>
          <w:szCs w:val="24"/>
        </w:rPr>
      </w:pPr>
      <w:r w:rsidRPr="001B3871">
        <w:rPr>
          <w:b/>
          <w:bCs/>
          <w:color w:val="000000"/>
          <w:sz w:val="24"/>
          <w:szCs w:val="24"/>
        </w:rPr>
        <w:t>Keywords</w:t>
      </w:r>
      <w:r w:rsidRPr="001B3871">
        <w:rPr>
          <w:bCs/>
          <w:color w:val="000000"/>
          <w:sz w:val="24"/>
          <w:szCs w:val="24"/>
        </w:rPr>
        <w:t xml:space="preserve">: Turmeric, Neuroprotective, Neurotoxicity, Cadmium Chloride </w:t>
      </w:r>
    </w:p>
    <w:p w14:paraId="65952449" w14:textId="77777777" w:rsidR="002908BE" w:rsidRPr="001B3871" w:rsidRDefault="002908BE">
      <w:pPr>
        <w:spacing w:line="300" w:lineRule="auto"/>
        <w:jc w:val="both"/>
        <w:rPr>
          <w:color w:val="000000"/>
          <w:sz w:val="24"/>
          <w:szCs w:val="24"/>
        </w:rPr>
      </w:pPr>
    </w:p>
    <w:p w14:paraId="259DE6E8" w14:textId="77777777" w:rsidR="002908BE" w:rsidRPr="001B3871" w:rsidRDefault="002908BE">
      <w:pPr>
        <w:spacing w:line="480" w:lineRule="auto"/>
        <w:jc w:val="both"/>
        <w:rPr>
          <w:b/>
          <w:bCs/>
          <w:color w:val="000000"/>
          <w:sz w:val="24"/>
          <w:szCs w:val="24"/>
        </w:rPr>
      </w:pPr>
    </w:p>
    <w:p w14:paraId="35B0095B" w14:textId="77777777" w:rsidR="002908BE" w:rsidRPr="001B3871" w:rsidRDefault="002908BE">
      <w:pPr>
        <w:spacing w:line="480" w:lineRule="auto"/>
        <w:jc w:val="both"/>
        <w:rPr>
          <w:b/>
          <w:bCs/>
          <w:color w:val="000000"/>
          <w:sz w:val="24"/>
          <w:szCs w:val="24"/>
        </w:rPr>
      </w:pPr>
    </w:p>
    <w:p w14:paraId="3D63AEF1" w14:textId="77777777" w:rsidR="002908BE" w:rsidRPr="001B3871" w:rsidRDefault="001B3871">
      <w:pPr>
        <w:spacing w:line="480" w:lineRule="auto"/>
        <w:jc w:val="both"/>
        <w:rPr>
          <w:b/>
          <w:bCs/>
          <w:color w:val="000000"/>
          <w:sz w:val="24"/>
          <w:szCs w:val="24"/>
        </w:rPr>
      </w:pPr>
      <w:r w:rsidRPr="001B3871">
        <w:rPr>
          <w:b/>
          <w:bCs/>
          <w:color w:val="000000"/>
          <w:sz w:val="24"/>
          <w:szCs w:val="24"/>
        </w:rPr>
        <w:t>Introduction</w:t>
      </w:r>
    </w:p>
    <w:p w14:paraId="343B26F2" w14:textId="77777777" w:rsidR="002908BE" w:rsidRPr="001B3871" w:rsidRDefault="001B3871">
      <w:pPr>
        <w:spacing w:line="480" w:lineRule="auto"/>
        <w:jc w:val="both"/>
        <w:rPr>
          <w:color w:val="000000"/>
          <w:sz w:val="24"/>
          <w:szCs w:val="24"/>
        </w:rPr>
      </w:pPr>
      <w:r w:rsidRPr="001B3871">
        <w:rPr>
          <w:b/>
          <w:bCs/>
          <w:color w:val="000000"/>
          <w:sz w:val="24"/>
          <w:szCs w:val="24"/>
        </w:rPr>
        <w:lastRenderedPageBreak/>
        <w:t>Background to the Study</w:t>
      </w:r>
    </w:p>
    <w:p w14:paraId="5C51F21F" w14:textId="783A47E3" w:rsidR="002908BE" w:rsidRPr="001B3871" w:rsidRDefault="001B3871">
      <w:pPr>
        <w:spacing w:line="480" w:lineRule="auto"/>
        <w:jc w:val="both"/>
        <w:rPr>
          <w:color w:val="000000"/>
          <w:sz w:val="24"/>
          <w:szCs w:val="24"/>
        </w:rPr>
      </w:pPr>
      <w:r w:rsidRPr="001B3871">
        <w:rPr>
          <w:color w:val="000000"/>
          <w:sz w:val="24"/>
          <w:szCs w:val="24"/>
        </w:rPr>
        <w:t>Cadmium (Cd) is a widespread environmental toxicant that poses significant health risks to humans (</w:t>
      </w:r>
      <w:proofErr w:type="spellStart"/>
      <w:r w:rsidR="00B15935" w:rsidRPr="00B15935">
        <w:rPr>
          <w:color w:val="000000"/>
          <w:sz w:val="24"/>
          <w:szCs w:val="24"/>
        </w:rPr>
        <w:t>Genchi</w:t>
      </w:r>
      <w:proofErr w:type="spellEnd"/>
      <w:r w:rsidR="00B15935" w:rsidRPr="00B15935">
        <w:rPr>
          <w:color w:val="000000"/>
          <w:sz w:val="24"/>
          <w:szCs w:val="24"/>
        </w:rPr>
        <w:t xml:space="preserve"> </w:t>
      </w:r>
      <w:r w:rsidRPr="001B3871">
        <w:rPr>
          <w:i/>
          <w:iCs/>
          <w:color w:val="000000"/>
          <w:sz w:val="24"/>
          <w:szCs w:val="24"/>
        </w:rPr>
        <w:t>et al.,</w:t>
      </w:r>
      <w:r w:rsidRPr="001B3871">
        <w:rPr>
          <w:color w:val="000000"/>
          <w:sz w:val="24"/>
          <w:szCs w:val="24"/>
        </w:rPr>
        <w:t xml:space="preserve"> </w:t>
      </w:r>
      <w:r w:rsidR="00B15935">
        <w:rPr>
          <w:color w:val="000000"/>
          <w:sz w:val="24"/>
          <w:szCs w:val="24"/>
        </w:rPr>
        <w:t>2020</w:t>
      </w:r>
      <w:r w:rsidRPr="001B3871">
        <w:rPr>
          <w:color w:val="000000"/>
          <w:sz w:val="24"/>
          <w:szCs w:val="24"/>
        </w:rPr>
        <w:t>). It is found in various food items, with concentrations varying greatly based on the type of food and the degree of environmental contamination (</w:t>
      </w:r>
      <w:r w:rsidR="00B15935" w:rsidRPr="00B15935">
        <w:rPr>
          <w:color w:val="000000"/>
          <w:sz w:val="24"/>
          <w:szCs w:val="24"/>
        </w:rPr>
        <w:t>Thompson, &amp; Darwish</w:t>
      </w:r>
      <w:r w:rsidR="00B15935">
        <w:rPr>
          <w:color w:val="000000"/>
          <w:sz w:val="24"/>
          <w:szCs w:val="24"/>
        </w:rPr>
        <w:t>, 2019</w:t>
      </w:r>
      <w:r w:rsidRPr="001B3871">
        <w:rPr>
          <w:color w:val="000000"/>
          <w:sz w:val="24"/>
          <w:szCs w:val="24"/>
        </w:rPr>
        <w:t>). Exposure to cadmium can lead to several health issues, including kidney damage, bone loss, cardiovascular complications, testicular damage, vision problems, and neurological disorders (</w:t>
      </w:r>
      <w:r w:rsidR="00B15935" w:rsidRPr="00B15935">
        <w:rPr>
          <w:color w:val="000000"/>
          <w:sz w:val="24"/>
          <w:szCs w:val="24"/>
        </w:rPr>
        <w:t>Rinaldi</w:t>
      </w:r>
      <w:r w:rsidRPr="001B3871">
        <w:rPr>
          <w:color w:val="000000"/>
          <w:sz w:val="24"/>
          <w:szCs w:val="24"/>
        </w:rPr>
        <w:t xml:space="preserve"> </w:t>
      </w:r>
      <w:r w:rsidRPr="001B3871">
        <w:rPr>
          <w:i/>
          <w:iCs/>
          <w:color w:val="000000"/>
          <w:sz w:val="24"/>
          <w:szCs w:val="24"/>
        </w:rPr>
        <w:t>et al.,</w:t>
      </w:r>
      <w:r w:rsidRPr="001B3871">
        <w:rPr>
          <w:color w:val="000000"/>
          <w:sz w:val="24"/>
          <w:szCs w:val="24"/>
        </w:rPr>
        <w:t xml:space="preserve"> </w:t>
      </w:r>
      <w:r w:rsidR="00B15935">
        <w:rPr>
          <w:color w:val="000000"/>
          <w:sz w:val="24"/>
          <w:szCs w:val="24"/>
        </w:rPr>
        <w:t>2017</w:t>
      </w:r>
      <w:r w:rsidRPr="001B3871">
        <w:rPr>
          <w:color w:val="000000"/>
          <w:sz w:val="24"/>
          <w:szCs w:val="24"/>
        </w:rPr>
        <w:t>). This widespread exposure increases the risk of cadmium accumulation in vital organs, particularly the brain, where it disrupts neuronal homeostasis and induces long-term neurological damage (</w:t>
      </w:r>
      <w:proofErr w:type="spellStart"/>
      <w:r w:rsidR="00035F0C" w:rsidRPr="00035F0C">
        <w:rPr>
          <w:color w:val="000000"/>
          <w:sz w:val="24"/>
          <w:szCs w:val="24"/>
        </w:rPr>
        <w:t>Branca</w:t>
      </w:r>
      <w:proofErr w:type="spellEnd"/>
      <w:r w:rsidR="00035F0C" w:rsidRPr="00035F0C">
        <w:rPr>
          <w:color w:val="000000"/>
          <w:sz w:val="24"/>
          <w:szCs w:val="24"/>
        </w:rPr>
        <w:t xml:space="preserve"> </w:t>
      </w:r>
      <w:r w:rsidRPr="001B3871">
        <w:rPr>
          <w:i/>
          <w:iCs/>
          <w:color w:val="000000"/>
          <w:sz w:val="24"/>
          <w:szCs w:val="24"/>
        </w:rPr>
        <w:t>et al.,</w:t>
      </w:r>
      <w:r w:rsidRPr="001B3871">
        <w:rPr>
          <w:color w:val="000000"/>
          <w:sz w:val="24"/>
          <w:szCs w:val="24"/>
        </w:rPr>
        <w:t xml:space="preserve"> </w:t>
      </w:r>
      <w:r w:rsidR="00035F0C">
        <w:rPr>
          <w:color w:val="000000"/>
          <w:sz w:val="24"/>
          <w:szCs w:val="24"/>
        </w:rPr>
        <w:t>2020</w:t>
      </w:r>
      <w:r w:rsidRPr="001B3871">
        <w:rPr>
          <w:color w:val="000000"/>
          <w:sz w:val="24"/>
          <w:szCs w:val="24"/>
        </w:rPr>
        <w:t>).</w:t>
      </w:r>
    </w:p>
    <w:p w14:paraId="4EC271CB" w14:textId="4D0B6440" w:rsidR="002908BE" w:rsidRPr="001B3871" w:rsidRDefault="001B3871">
      <w:pPr>
        <w:spacing w:line="480" w:lineRule="auto"/>
        <w:jc w:val="both"/>
        <w:rPr>
          <w:color w:val="000000"/>
          <w:sz w:val="24"/>
          <w:szCs w:val="24"/>
        </w:rPr>
      </w:pPr>
      <w:r w:rsidRPr="001B3871">
        <w:rPr>
          <w:color w:val="000000"/>
          <w:sz w:val="24"/>
          <w:szCs w:val="24"/>
        </w:rPr>
        <w:t>Recent research has linked cadmium exposure to a variety of neurodegenerative conditions. It facilitates amyloid-beta aggregation and tau hyperphosphorylation, processes implicated in the development of Alzheimer’s disease (</w:t>
      </w:r>
      <w:r w:rsidR="0019434E" w:rsidRPr="0019434E">
        <w:rPr>
          <w:color w:val="000000"/>
          <w:sz w:val="24"/>
          <w:szCs w:val="24"/>
        </w:rPr>
        <w:t xml:space="preserve">Sajjad </w:t>
      </w:r>
      <w:r w:rsidRPr="001B3871">
        <w:rPr>
          <w:color w:val="000000"/>
          <w:sz w:val="24"/>
          <w:szCs w:val="24"/>
        </w:rPr>
        <w:t xml:space="preserve">et al., </w:t>
      </w:r>
      <w:r w:rsidR="0019434E">
        <w:rPr>
          <w:color w:val="000000"/>
          <w:sz w:val="24"/>
          <w:szCs w:val="24"/>
        </w:rPr>
        <w:t>2018</w:t>
      </w:r>
      <w:r w:rsidRPr="001B3871">
        <w:rPr>
          <w:color w:val="000000"/>
          <w:sz w:val="24"/>
          <w:szCs w:val="24"/>
        </w:rPr>
        <w:t>). Cadmium also induces dopaminergic neuron degeneration in the substantia nigra, a key hallmark of Parkinson’s disease (</w:t>
      </w:r>
      <w:r w:rsidR="0019434E" w:rsidRPr="0019434E">
        <w:rPr>
          <w:color w:val="000000"/>
          <w:sz w:val="24"/>
          <w:szCs w:val="24"/>
        </w:rPr>
        <w:t xml:space="preserve">Raj </w:t>
      </w:r>
      <w:r w:rsidRPr="001B3871">
        <w:rPr>
          <w:i/>
          <w:iCs/>
          <w:color w:val="000000"/>
          <w:sz w:val="24"/>
          <w:szCs w:val="24"/>
        </w:rPr>
        <w:t>et al.,</w:t>
      </w:r>
      <w:r w:rsidRPr="001B3871">
        <w:rPr>
          <w:color w:val="000000"/>
          <w:sz w:val="24"/>
          <w:szCs w:val="24"/>
        </w:rPr>
        <w:t xml:space="preserve"> </w:t>
      </w:r>
      <w:r w:rsidR="0019434E">
        <w:rPr>
          <w:color w:val="000000"/>
          <w:sz w:val="24"/>
          <w:szCs w:val="24"/>
        </w:rPr>
        <w:t>2021</w:t>
      </w:r>
      <w:r w:rsidRPr="001B3871">
        <w:rPr>
          <w:color w:val="000000"/>
          <w:sz w:val="24"/>
          <w:szCs w:val="24"/>
        </w:rPr>
        <w:t>). Additionally, it impairs hippocampal synaptic plasticity, which compromises learning and memory functions (</w:t>
      </w:r>
      <w:r w:rsidR="0019434E" w:rsidRPr="0019434E">
        <w:rPr>
          <w:color w:val="000000"/>
          <w:sz w:val="24"/>
          <w:szCs w:val="24"/>
        </w:rPr>
        <w:t>Foster</w:t>
      </w:r>
      <w:r w:rsidR="0019434E">
        <w:rPr>
          <w:color w:val="000000"/>
          <w:sz w:val="24"/>
          <w:szCs w:val="24"/>
        </w:rPr>
        <w:t>, 1999</w:t>
      </w:r>
      <w:r w:rsidRPr="001B3871">
        <w:rPr>
          <w:color w:val="000000"/>
          <w:sz w:val="24"/>
          <w:szCs w:val="24"/>
        </w:rPr>
        <w:t>), and contributes to peripheral neuropathy through its damaging effects on Schwann cells and peripheral motor neurons (</w:t>
      </w:r>
      <w:r w:rsidR="0019434E" w:rsidRPr="0019434E">
        <w:rPr>
          <w:color w:val="000000"/>
          <w:sz w:val="24"/>
          <w:szCs w:val="24"/>
        </w:rPr>
        <w:t xml:space="preserve">Wang </w:t>
      </w:r>
      <w:r w:rsidRPr="001B3871">
        <w:rPr>
          <w:i/>
          <w:iCs/>
          <w:color w:val="000000"/>
          <w:sz w:val="24"/>
          <w:szCs w:val="24"/>
        </w:rPr>
        <w:t>et al.</w:t>
      </w:r>
      <w:r w:rsidRPr="001B3871">
        <w:rPr>
          <w:color w:val="000000"/>
          <w:sz w:val="24"/>
          <w:szCs w:val="24"/>
        </w:rPr>
        <w:t>, 2022).</w:t>
      </w:r>
    </w:p>
    <w:p w14:paraId="14944D1E" w14:textId="5F42A2B3" w:rsidR="002908BE" w:rsidRPr="001B3871" w:rsidRDefault="001B3871">
      <w:pPr>
        <w:spacing w:line="480" w:lineRule="auto"/>
        <w:jc w:val="both"/>
        <w:rPr>
          <w:color w:val="000000"/>
          <w:sz w:val="24"/>
          <w:szCs w:val="24"/>
        </w:rPr>
      </w:pPr>
      <w:r w:rsidRPr="001B3871">
        <w:rPr>
          <w:color w:val="000000"/>
          <w:sz w:val="24"/>
          <w:szCs w:val="24"/>
        </w:rPr>
        <w:t>Pharmacological agents currently used to manage these disorders often present limitations such as high cost, adverse effects, and limited accessibility, especially in low resource settings (</w:t>
      </w:r>
      <w:r w:rsidR="00840899" w:rsidRPr="00840899">
        <w:rPr>
          <w:color w:val="000000"/>
          <w:sz w:val="24"/>
          <w:szCs w:val="24"/>
        </w:rPr>
        <w:t>de Jesus Mari</w:t>
      </w:r>
      <w:r w:rsidR="00840899">
        <w:rPr>
          <w:color w:val="000000"/>
          <w:sz w:val="24"/>
          <w:szCs w:val="24"/>
        </w:rPr>
        <w:t xml:space="preserve"> et al.</w:t>
      </w:r>
      <w:r w:rsidRPr="001B3871">
        <w:rPr>
          <w:color w:val="000000"/>
          <w:sz w:val="24"/>
          <w:szCs w:val="24"/>
        </w:rPr>
        <w:t xml:space="preserve">, </w:t>
      </w:r>
      <w:r w:rsidR="00840899">
        <w:rPr>
          <w:color w:val="000000"/>
          <w:sz w:val="24"/>
          <w:szCs w:val="24"/>
        </w:rPr>
        <w:t>2013</w:t>
      </w:r>
      <w:r w:rsidRPr="001B3871">
        <w:rPr>
          <w:color w:val="000000"/>
          <w:sz w:val="24"/>
          <w:szCs w:val="24"/>
        </w:rPr>
        <w:t>). These limitations have spurred interest in natural compounds with potential neuroprotective effects. One such compound is turmeric (Curcuma domestica), a widely used medicinal herb known for its therapeutic properties.</w:t>
      </w:r>
    </w:p>
    <w:p w14:paraId="185F3F9C" w14:textId="15CA2279" w:rsidR="002908BE" w:rsidRPr="001B3871" w:rsidRDefault="001B3871">
      <w:pPr>
        <w:spacing w:line="480" w:lineRule="auto"/>
        <w:jc w:val="both"/>
        <w:rPr>
          <w:color w:val="000000"/>
          <w:sz w:val="24"/>
          <w:szCs w:val="24"/>
        </w:rPr>
      </w:pPr>
      <w:r w:rsidRPr="001B3871">
        <w:rPr>
          <w:color w:val="000000"/>
          <w:sz w:val="24"/>
          <w:szCs w:val="24"/>
        </w:rPr>
        <w:lastRenderedPageBreak/>
        <w:t>Turmeric’s major bioactive component, curcumin, has shown potent antioxidant and anti-inflammatory effects that counteract oxidative stress and neuronal degeneration (</w:t>
      </w:r>
      <w:r w:rsidR="00AA3A8B" w:rsidRPr="00AA3A8B">
        <w:rPr>
          <w:color w:val="000000"/>
          <w:sz w:val="24"/>
          <w:szCs w:val="24"/>
        </w:rPr>
        <w:t>Ullah</w:t>
      </w:r>
      <w:r w:rsidR="00AA3A8B">
        <w:rPr>
          <w:color w:val="000000"/>
          <w:sz w:val="24"/>
          <w:szCs w:val="24"/>
        </w:rPr>
        <w:t xml:space="preserve"> et al., 2017</w:t>
      </w:r>
      <w:r w:rsidRPr="001B3871">
        <w:rPr>
          <w:color w:val="000000"/>
          <w:sz w:val="24"/>
          <w:szCs w:val="24"/>
        </w:rPr>
        <w:t>). Curcumin has been reported to enhance endogenous antioxidant enzyme activity and suppress acetylcholinesterase (AChE), thus improving neurotransmission and cognitive functions (</w:t>
      </w:r>
      <w:r w:rsidR="00164143" w:rsidRPr="00164143">
        <w:rPr>
          <w:color w:val="000000"/>
          <w:sz w:val="24"/>
          <w:szCs w:val="24"/>
        </w:rPr>
        <w:t>Akinyemi</w:t>
      </w:r>
      <w:r w:rsidR="00164143">
        <w:rPr>
          <w:color w:val="000000"/>
          <w:sz w:val="24"/>
          <w:szCs w:val="24"/>
        </w:rPr>
        <w:t xml:space="preserve"> et al., 2018</w:t>
      </w:r>
      <w:r w:rsidRPr="001B3871">
        <w:rPr>
          <w:color w:val="000000"/>
          <w:sz w:val="24"/>
          <w:szCs w:val="24"/>
        </w:rPr>
        <w:t>). However, few studies have explored the broader spectrum of turmeric’s phytochemicals beyond curcumin and their collective neuroprotective potential.</w:t>
      </w:r>
    </w:p>
    <w:p w14:paraId="1917F0A2" w14:textId="77777777" w:rsidR="002908BE" w:rsidRPr="001B3871" w:rsidRDefault="001B3871">
      <w:pPr>
        <w:spacing w:line="480" w:lineRule="auto"/>
        <w:jc w:val="both"/>
        <w:rPr>
          <w:color w:val="000000"/>
          <w:sz w:val="24"/>
          <w:szCs w:val="24"/>
        </w:rPr>
      </w:pPr>
      <w:r w:rsidRPr="001B3871">
        <w:rPr>
          <w:color w:val="000000"/>
          <w:sz w:val="24"/>
          <w:szCs w:val="24"/>
        </w:rPr>
        <w:t>Due to the increasing incidence of neurotoxicity caused by environmental toxicants and the limitations of conventional therapies, this study aims to examine the Neuroprotective Role of Turmeric Against Cadmium-Induced Neurotoxicity in Male Wistar Rats: Modulation of Oxidative Stress and Acetylcholinesterase Activity</w:t>
      </w:r>
    </w:p>
    <w:p w14:paraId="086C2D9F" w14:textId="77777777" w:rsidR="002908BE" w:rsidRPr="001B3871" w:rsidRDefault="002908BE">
      <w:pPr>
        <w:spacing w:line="480" w:lineRule="auto"/>
        <w:jc w:val="both"/>
        <w:rPr>
          <w:color w:val="000000"/>
          <w:sz w:val="24"/>
          <w:szCs w:val="24"/>
        </w:rPr>
      </w:pPr>
    </w:p>
    <w:p w14:paraId="391EEE53" w14:textId="77777777" w:rsidR="002908BE" w:rsidRPr="001B3871" w:rsidRDefault="001B3871">
      <w:pPr>
        <w:spacing w:line="480" w:lineRule="auto"/>
        <w:jc w:val="both"/>
        <w:rPr>
          <w:color w:val="000000"/>
          <w:sz w:val="24"/>
          <w:szCs w:val="24"/>
        </w:rPr>
      </w:pPr>
      <w:r w:rsidRPr="001B3871">
        <w:rPr>
          <w:b/>
          <w:bCs/>
          <w:color w:val="000000"/>
          <w:sz w:val="24"/>
          <w:szCs w:val="24"/>
        </w:rPr>
        <w:t>MATERIALS AND METHODS</w:t>
      </w:r>
    </w:p>
    <w:p w14:paraId="72A9BD84" w14:textId="77777777" w:rsidR="002908BE" w:rsidRPr="001B3871" w:rsidRDefault="001B3871">
      <w:pPr>
        <w:spacing w:line="480" w:lineRule="auto"/>
        <w:jc w:val="both"/>
        <w:rPr>
          <w:b/>
          <w:bCs/>
          <w:color w:val="000000"/>
          <w:sz w:val="24"/>
          <w:szCs w:val="24"/>
        </w:rPr>
      </w:pPr>
      <w:r w:rsidRPr="001B3871">
        <w:rPr>
          <w:b/>
          <w:bCs/>
          <w:color w:val="000000"/>
          <w:sz w:val="24"/>
          <w:szCs w:val="24"/>
        </w:rPr>
        <w:t>Materials</w:t>
      </w:r>
    </w:p>
    <w:p w14:paraId="74D86936" w14:textId="77777777" w:rsidR="002908BE" w:rsidRPr="001B3871" w:rsidRDefault="001B3871">
      <w:pPr>
        <w:spacing w:line="480" w:lineRule="auto"/>
        <w:jc w:val="both"/>
        <w:rPr>
          <w:color w:val="000000"/>
          <w:sz w:val="24"/>
          <w:szCs w:val="24"/>
        </w:rPr>
      </w:pPr>
      <w:r w:rsidRPr="001B3871">
        <w:rPr>
          <w:color w:val="000000"/>
          <w:sz w:val="24"/>
          <w:szCs w:val="24"/>
        </w:rPr>
        <w:t xml:space="preserve">Twenty-four (24) male Wistar rats, normal saline, stopwatch, methanol, </w:t>
      </w:r>
      <w:proofErr w:type="gramStart"/>
      <w:r w:rsidRPr="001B3871">
        <w:rPr>
          <w:color w:val="000000"/>
          <w:sz w:val="24"/>
          <w:szCs w:val="24"/>
        </w:rPr>
        <w:t>filter  paper</w:t>
      </w:r>
      <w:proofErr w:type="gramEnd"/>
      <w:r w:rsidRPr="001B3871">
        <w:rPr>
          <w:color w:val="000000"/>
          <w:sz w:val="24"/>
          <w:szCs w:val="24"/>
        </w:rPr>
        <w:t>,  grinding  machine,  5  ml  syringes,  plan  container,  funnel, Pasteur  pipette, conical  flask, universal  container, 10% formalin, Bouin’s fluid, cotton wool, tissue cassette, Spectrophotometer etc.</w:t>
      </w:r>
    </w:p>
    <w:p w14:paraId="2D492AFD" w14:textId="77777777" w:rsidR="002908BE" w:rsidRPr="001B3871" w:rsidRDefault="001B3871">
      <w:pPr>
        <w:spacing w:line="480" w:lineRule="auto"/>
        <w:jc w:val="both"/>
        <w:rPr>
          <w:color w:val="000000"/>
          <w:sz w:val="24"/>
          <w:szCs w:val="24"/>
        </w:rPr>
      </w:pPr>
      <w:r w:rsidRPr="001B3871">
        <w:rPr>
          <w:b/>
          <w:bCs/>
          <w:color w:val="000000"/>
          <w:sz w:val="24"/>
          <w:szCs w:val="24"/>
        </w:rPr>
        <w:t>Cadmium Preparation</w:t>
      </w:r>
    </w:p>
    <w:p w14:paraId="6B02F4D0" w14:textId="77777777" w:rsidR="002908BE" w:rsidRPr="001B3871" w:rsidRDefault="001B3871">
      <w:pPr>
        <w:spacing w:line="480" w:lineRule="auto"/>
        <w:jc w:val="both"/>
        <w:rPr>
          <w:b/>
          <w:bCs/>
          <w:color w:val="000000"/>
          <w:sz w:val="24"/>
          <w:szCs w:val="24"/>
        </w:rPr>
      </w:pPr>
      <w:r w:rsidRPr="001B3871">
        <w:rPr>
          <w:color w:val="000000"/>
          <w:sz w:val="24"/>
          <w:szCs w:val="24"/>
        </w:rPr>
        <w:t xml:space="preserve">Cadmium chloride was procured from Dr. Fameruwa Chemical Stores LTD, Nigeria. The cadmium chloride solution was prepared according to the guideline of the Organization for </w:t>
      </w:r>
      <w:r w:rsidRPr="001B3871">
        <w:rPr>
          <w:color w:val="000000"/>
          <w:sz w:val="24"/>
          <w:szCs w:val="24"/>
        </w:rPr>
        <w:lastRenderedPageBreak/>
        <w:t>Economic Cooperation and Development (Organisation for Economic Co-operation and Development., 2001).</w:t>
      </w:r>
    </w:p>
    <w:p w14:paraId="6B76C5A6" w14:textId="77777777" w:rsidR="002908BE" w:rsidRPr="001B3871" w:rsidRDefault="001B3871">
      <w:pPr>
        <w:spacing w:line="480" w:lineRule="auto"/>
        <w:jc w:val="both"/>
        <w:rPr>
          <w:color w:val="000000"/>
          <w:sz w:val="24"/>
          <w:szCs w:val="24"/>
        </w:rPr>
      </w:pPr>
      <w:r w:rsidRPr="001B3871">
        <w:rPr>
          <w:b/>
          <w:bCs/>
          <w:color w:val="000000"/>
          <w:sz w:val="24"/>
          <w:szCs w:val="24"/>
        </w:rPr>
        <w:t>Plant Harvest and Extraction</w:t>
      </w:r>
    </w:p>
    <w:p w14:paraId="46895555" w14:textId="77777777" w:rsidR="002908BE" w:rsidRPr="001B3871" w:rsidRDefault="001B3871">
      <w:pPr>
        <w:spacing w:line="480" w:lineRule="auto"/>
        <w:jc w:val="both"/>
        <w:rPr>
          <w:color w:val="000000"/>
          <w:sz w:val="24"/>
          <w:szCs w:val="24"/>
        </w:rPr>
      </w:pPr>
      <w:r w:rsidRPr="001B3871">
        <w:rPr>
          <w:color w:val="000000"/>
          <w:sz w:val="24"/>
          <w:szCs w:val="24"/>
        </w:rPr>
        <w:t>The Curcuma longa (turmeric) rhizomes were obtained from Nwakpu Market in Ndufu-Alike, Ikwo Local Government Area, Ebonyi State, Nigeria. The turmeric rhizomes were air dried and pulverized. The pulverized turmeric (500 g) was soaked in 2.5 L of absolute methanol for 72 hours with intermittent shaking to enhance the dissolution of bioactive components. The mixture was filtered using Whatman No. 1 filter paper, and the filtrate was concentrated using a rotary evaporator at 40°C under reduced pressure. The concentrated extract was further dried using a water bath to obtain a solid residue, which was stored at 4°C until use. The extract’s fresh solution was prepared in distilled water.</w:t>
      </w:r>
    </w:p>
    <w:p w14:paraId="1D9B8A9A" w14:textId="77777777" w:rsidR="002908BE" w:rsidRPr="001B3871" w:rsidRDefault="001B3871">
      <w:pPr>
        <w:spacing w:line="480" w:lineRule="auto"/>
        <w:jc w:val="both"/>
        <w:rPr>
          <w:b/>
          <w:bCs/>
          <w:color w:val="000000"/>
          <w:sz w:val="24"/>
          <w:szCs w:val="24"/>
        </w:rPr>
      </w:pPr>
      <w:r w:rsidRPr="001B3871">
        <w:rPr>
          <w:b/>
          <w:bCs/>
          <w:color w:val="000000"/>
          <w:sz w:val="24"/>
          <w:szCs w:val="24"/>
        </w:rPr>
        <w:t>Experimental Animals</w:t>
      </w:r>
    </w:p>
    <w:p w14:paraId="7320FEEC" w14:textId="77777777" w:rsidR="002908BE" w:rsidRPr="001B3871" w:rsidRDefault="001B3871">
      <w:pPr>
        <w:spacing w:line="480" w:lineRule="auto"/>
        <w:jc w:val="both"/>
        <w:rPr>
          <w:color w:val="000000"/>
          <w:sz w:val="24"/>
          <w:szCs w:val="24"/>
        </w:rPr>
      </w:pPr>
      <w:proofErr w:type="gramStart"/>
      <w:r w:rsidRPr="001B3871">
        <w:rPr>
          <w:color w:val="000000"/>
          <w:sz w:val="24"/>
          <w:szCs w:val="24"/>
        </w:rPr>
        <w:t>For  the</w:t>
      </w:r>
      <w:proofErr w:type="gramEnd"/>
      <w:r w:rsidRPr="001B3871">
        <w:rPr>
          <w:color w:val="000000"/>
          <w:sz w:val="24"/>
          <w:szCs w:val="24"/>
        </w:rPr>
        <w:t xml:space="preserve">  experiment,  a  total  of  twenty-five  (25)  male  Wistar  rats weighing between 150 and 180g were procured from the animal house of  the  Faculty  of  Basic  Medical  Sciences,  Alex  Ekwueme  Federal University   Ndufu   Alike   Ikwo,   AE-FUNAI.   Two</w:t>
      </w:r>
      <w:proofErr w:type="gramStart"/>
      <w:r w:rsidRPr="001B3871">
        <w:rPr>
          <w:color w:val="000000"/>
          <w:sz w:val="24"/>
          <w:szCs w:val="24"/>
        </w:rPr>
        <w:t xml:space="preserve">   (</w:t>
      </w:r>
      <w:proofErr w:type="gramEnd"/>
      <w:r w:rsidRPr="001B3871">
        <w:rPr>
          <w:color w:val="000000"/>
          <w:sz w:val="24"/>
          <w:szCs w:val="24"/>
        </w:rPr>
        <w:t xml:space="preserve">2)   weeks   of acclimatisation  preceded  the  start  of  the  experiment.  </w:t>
      </w:r>
      <w:proofErr w:type="gramStart"/>
      <w:r w:rsidRPr="001B3871">
        <w:rPr>
          <w:color w:val="000000"/>
          <w:sz w:val="24"/>
          <w:szCs w:val="24"/>
        </w:rPr>
        <w:t>The  rats</w:t>
      </w:r>
      <w:proofErr w:type="gramEnd"/>
      <w:r w:rsidRPr="001B3871">
        <w:rPr>
          <w:color w:val="000000"/>
          <w:sz w:val="24"/>
          <w:szCs w:val="24"/>
        </w:rPr>
        <w:t xml:space="preserve">  were sheltered in conventional settings and given access to water and regular rats'  pellets.  </w:t>
      </w:r>
      <w:proofErr w:type="gramStart"/>
      <w:r w:rsidRPr="001B3871">
        <w:rPr>
          <w:color w:val="000000"/>
          <w:sz w:val="24"/>
          <w:szCs w:val="24"/>
        </w:rPr>
        <w:t>With  a</w:t>
      </w:r>
      <w:proofErr w:type="gramEnd"/>
      <w:r w:rsidRPr="001B3871">
        <w:rPr>
          <w:color w:val="000000"/>
          <w:sz w:val="24"/>
          <w:szCs w:val="24"/>
        </w:rPr>
        <w:t xml:space="preserve">  temperature  range  of  27–290C  and  a  12-hour day/light photoperiod, the animal chamber was adequately ventilated</w:t>
      </w:r>
    </w:p>
    <w:p w14:paraId="53E0A0CA" w14:textId="77777777" w:rsidR="002908BE" w:rsidRPr="001B3871" w:rsidRDefault="001B3871">
      <w:pPr>
        <w:spacing w:line="480" w:lineRule="auto"/>
        <w:jc w:val="both"/>
        <w:rPr>
          <w:b/>
          <w:bCs/>
          <w:color w:val="000000"/>
          <w:sz w:val="24"/>
          <w:szCs w:val="24"/>
        </w:rPr>
      </w:pPr>
      <w:r w:rsidRPr="001B3871">
        <w:rPr>
          <w:b/>
          <w:bCs/>
          <w:color w:val="000000"/>
          <w:sz w:val="24"/>
          <w:szCs w:val="24"/>
        </w:rPr>
        <w:t>Experimental Design</w:t>
      </w:r>
    </w:p>
    <w:p w14:paraId="6B85455D" w14:textId="77777777" w:rsidR="002908BE" w:rsidRPr="001B3871" w:rsidRDefault="001B3871">
      <w:pPr>
        <w:spacing w:line="480" w:lineRule="auto"/>
        <w:jc w:val="both"/>
        <w:rPr>
          <w:b/>
          <w:bCs/>
          <w:color w:val="000000"/>
          <w:sz w:val="24"/>
          <w:szCs w:val="24"/>
        </w:rPr>
      </w:pPr>
      <w:proofErr w:type="gramStart"/>
      <w:r w:rsidRPr="001B3871">
        <w:rPr>
          <w:color w:val="000000"/>
          <w:sz w:val="24"/>
          <w:szCs w:val="24"/>
        </w:rPr>
        <w:lastRenderedPageBreak/>
        <w:t>Randomly,  the</w:t>
      </w:r>
      <w:proofErr w:type="gramEnd"/>
      <w:r w:rsidRPr="001B3871">
        <w:rPr>
          <w:color w:val="000000"/>
          <w:sz w:val="24"/>
          <w:szCs w:val="24"/>
        </w:rPr>
        <w:t xml:space="preserve">  rats  were  selected  and  divided  into  four  (4)  groups, consisting   of   six   (6)   rats   per   group   after   Fourteen  (7)   days of acclimatization.  </w:t>
      </w:r>
      <w:proofErr w:type="gramStart"/>
      <w:r w:rsidRPr="001B3871">
        <w:rPr>
          <w:color w:val="000000"/>
          <w:sz w:val="24"/>
          <w:szCs w:val="24"/>
        </w:rPr>
        <w:t>Group  A</w:t>
      </w:r>
      <w:proofErr w:type="gramEnd"/>
      <w:r w:rsidRPr="001B3871">
        <w:rPr>
          <w:color w:val="000000"/>
          <w:sz w:val="24"/>
          <w:szCs w:val="24"/>
        </w:rPr>
        <w:t xml:space="preserve">  served  as  the  control  and  received  normal saline, feed, and water ad libitum. Group B was the untreated cadmium, which received 2mg/kg of cadmium chloride, feed, and water. Group C received 2mg/kg of CdCl2 + 500 mg/kg of </w:t>
      </w:r>
      <w:proofErr w:type="gramStart"/>
      <w:r w:rsidRPr="001B3871">
        <w:rPr>
          <w:color w:val="000000"/>
          <w:sz w:val="24"/>
          <w:szCs w:val="24"/>
        </w:rPr>
        <w:t>Turmeric,  feed</w:t>
      </w:r>
      <w:proofErr w:type="gramEnd"/>
      <w:r w:rsidRPr="001B3871">
        <w:rPr>
          <w:color w:val="000000"/>
          <w:sz w:val="24"/>
          <w:szCs w:val="24"/>
        </w:rPr>
        <w:t xml:space="preserve">  and  water.  </w:t>
      </w:r>
      <w:proofErr w:type="gramStart"/>
      <w:r w:rsidRPr="001B3871">
        <w:rPr>
          <w:color w:val="000000"/>
          <w:sz w:val="24"/>
          <w:szCs w:val="24"/>
        </w:rPr>
        <w:t>Group  D</w:t>
      </w:r>
      <w:proofErr w:type="gramEnd"/>
      <w:r w:rsidRPr="001B3871">
        <w:rPr>
          <w:color w:val="000000"/>
          <w:sz w:val="24"/>
          <w:szCs w:val="24"/>
        </w:rPr>
        <w:t xml:space="preserve"> received 2mg/kg of CdCl2+ 500 mg/kg of Turmeric. All administrations were done orally twice daily (6:00 AM and 6:00 PM) for 14 consecutive days using oral gavage. </w:t>
      </w:r>
    </w:p>
    <w:p w14:paraId="72C2F4C5" w14:textId="77777777" w:rsidR="002908BE" w:rsidRPr="001B3871" w:rsidRDefault="002908BE">
      <w:pPr>
        <w:spacing w:line="480" w:lineRule="auto"/>
        <w:jc w:val="both"/>
        <w:rPr>
          <w:b/>
          <w:bCs/>
          <w:color w:val="000000"/>
          <w:sz w:val="24"/>
          <w:szCs w:val="24"/>
        </w:rPr>
      </w:pPr>
    </w:p>
    <w:p w14:paraId="3C3530AA" w14:textId="77777777" w:rsidR="002908BE" w:rsidRPr="001B3871" w:rsidRDefault="002908BE">
      <w:pPr>
        <w:spacing w:line="480" w:lineRule="auto"/>
        <w:jc w:val="both"/>
        <w:rPr>
          <w:b/>
          <w:bCs/>
          <w:color w:val="000000"/>
          <w:sz w:val="24"/>
          <w:szCs w:val="24"/>
        </w:rPr>
      </w:pPr>
    </w:p>
    <w:p w14:paraId="5F98B06A" w14:textId="72EEE26C" w:rsidR="002908BE" w:rsidRPr="001B3871" w:rsidRDefault="001B3871">
      <w:pPr>
        <w:spacing w:line="480" w:lineRule="auto"/>
        <w:jc w:val="both"/>
        <w:rPr>
          <w:color w:val="000000"/>
          <w:sz w:val="24"/>
          <w:szCs w:val="24"/>
        </w:rPr>
      </w:pPr>
      <w:r w:rsidRPr="001B3871">
        <w:rPr>
          <w:color w:val="000000"/>
          <w:sz w:val="24"/>
          <w:szCs w:val="24"/>
        </w:rPr>
        <w:t xml:space="preserve"> </w:t>
      </w:r>
      <w:r w:rsidRPr="001B3871">
        <w:rPr>
          <w:b/>
          <w:bCs/>
          <w:color w:val="000000"/>
          <w:sz w:val="24"/>
          <w:szCs w:val="24"/>
        </w:rPr>
        <w:t xml:space="preserve">Dose selection </w:t>
      </w:r>
      <w:r w:rsidRPr="001B3871">
        <w:rPr>
          <w:color w:val="000000"/>
          <w:sz w:val="24"/>
          <w:szCs w:val="24"/>
        </w:rPr>
        <w:cr/>
        <w:t>The dose of CdCl</w:t>
      </w:r>
      <w:r w:rsidRPr="001B3871">
        <w:rPr>
          <w:color w:val="000000"/>
          <w:sz w:val="24"/>
          <w:szCs w:val="24"/>
          <w:vertAlign w:val="subscript"/>
        </w:rPr>
        <w:t>2</w:t>
      </w:r>
      <w:r w:rsidRPr="001B3871">
        <w:rPr>
          <w:color w:val="000000"/>
          <w:sz w:val="24"/>
          <w:szCs w:val="24"/>
        </w:rPr>
        <w:t xml:space="preserve"> was adopted below the LD50 by oral administration of 14 days. Besides, the authors have found that at this </w:t>
      </w:r>
      <w:proofErr w:type="gramStart"/>
      <w:r w:rsidRPr="001B3871">
        <w:rPr>
          <w:color w:val="000000"/>
          <w:sz w:val="24"/>
          <w:szCs w:val="24"/>
        </w:rPr>
        <w:t>dose,  CdCl</w:t>
      </w:r>
      <w:proofErr w:type="gramEnd"/>
      <w:r w:rsidRPr="001B3871">
        <w:rPr>
          <w:color w:val="000000"/>
          <w:sz w:val="24"/>
          <w:szCs w:val="24"/>
          <w:vertAlign w:val="subscript"/>
        </w:rPr>
        <w:t xml:space="preserve">2  </w:t>
      </w:r>
      <w:r w:rsidRPr="001B3871">
        <w:rPr>
          <w:color w:val="000000"/>
          <w:sz w:val="24"/>
          <w:szCs w:val="24"/>
        </w:rPr>
        <w:t>affects mainly the brains and the main mechanism for the neural damage occurs mainly by activation of oxidative stress and mitochondria-mediated cell death-related mechanisms (</w:t>
      </w:r>
      <w:r w:rsidRPr="00D70CCC">
        <w:rPr>
          <w:color w:val="000000"/>
          <w:sz w:val="24"/>
          <w:szCs w:val="24"/>
          <w:highlight w:val="yellow"/>
        </w:rPr>
        <w:t>Di Pietro, et al., 2020</w:t>
      </w:r>
      <w:r w:rsidRPr="001B3871">
        <w:rPr>
          <w:color w:val="000000"/>
          <w:sz w:val="24"/>
          <w:szCs w:val="24"/>
        </w:rPr>
        <w:t xml:space="preserve">). </w:t>
      </w:r>
      <w:r w:rsidRPr="001B3871">
        <w:rPr>
          <w:rFonts w:ascii="Times New Roman" w:eastAsia="Times New Roman" w:hAnsi="Times New Roman"/>
          <w:color w:val="000000"/>
          <w:sz w:val="24"/>
          <w:szCs w:val="24"/>
          <w:lang w:eastAsia="en-US"/>
        </w:rPr>
        <w:t xml:space="preserve">The dose of turmeric and route of administration was based on another that showed significant protective effects against toxicity without any signs of adverse </w:t>
      </w:r>
      <w:proofErr w:type="gramStart"/>
      <w:r w:rsidRPr="001B3871">
        <w:rPr>
          <w:rFonts w:ascii="Times New Roman" w:eastAsia="Times New Roman" w:hAnsi="Times New Roman"/>
          <w:color w:val="000000"/>
          <w:sz w:val="24"/>
          <w:szCs w:val="24"/>
          <w:lang w:eastAsia="en-US"/>
        </w:rPr>
        <w:t xml:space="preserve">effect </w:t>
      </w:r>
      <w:r w:rsidRPr="001B3871">
        <w:rPr>
          <w:color w:val="000000"/>
          <w:sz w:val="24"/>
          <w:szCs w:val="24"/>
        </w:rPr>
        <w:t xml:space="preserve"> in</w:t>
      </w:r>
      <w:proofErr w:type="gramEnd"/>
      <w:r w:rsidRPr="001B3871">
        <w:rPr>
          <w:color w:val="000000"/>
          <w:sz w:val="24"/>
          <w:szCs w:val="24"/>
        </w:rPr>
        <w:t xml:space="preserve"> other animal models of neurodegeneration</w:t>
      </w:r>
      <w:r w:rsidRPr="001B3871">
        <w:rPr>
          <w:rFonts w:ascii="Times New Roman" w:eastAsia="Times New Roman" w:hAnsi="Times New Roman"/>
          <w:color w:val="000000"/>
          <w:sz w:val="24"/>
          <w:szCs w:val="24"/>
          <w:lang w:eastAsia="en-US"/>
        </w:rPr>
        <w:t>. Similarly, Zhang et al. (2021) found that 500 mg/kg turmeric administered for up to 14 days provided neuroprotective and antioxidant effects, supporting it use as an effective dose for short-term studies without toxicity</w:t>
      </w:r>
    </w:p>
    <w:p w14:paraId="7FB4B75C" w14:textId="77777777" w:rsidR="002908BE" w:rsidRPr="001B3871" w:rsidRDefault="001B3871">
      <w:pPr>
        <w:spacing w:line="480" w:lineRule="auto"/>
        <w:jc w:val="both"/>
        <w:rPr>
          <w:b/>
          <w:bCs/>
          <w:color w:val="000000"/>
          <w:sz w:val="24"/>
          <w:szCs w:val="24"/>
        </w:rPr>
      </w:pPr>
      <w:r w:rsidRPr="001B3871">
        <w:rPr>
          <w:b/>
          <w:bCs/>
          <w:color w:val="000000"/>
          <w:sz w:val="24"/>
          <w:szCs w:val="24"/>
        </w:rPr>
        <w:t>Sampe Collection</w:t>
      </w:r>
    </w:p>
    <w:p w14:paraId="52EB30FE" w14:textId="77777777" w:rsidR="002908BE" w:rsidRPr="001B3871" w:rsidRDefault="001B3871">
      <w:pPr>
        <w:spacing w:line="480" w:lineRule="auto"/>
        <w:jc w:val="both"/>
        <w:rPr>
          <w:color w:val="000000"/>
          <w:sz w:val="24"/>
          <w:szCs w:val="24"/>
        </w:rPr>
      </w:pPr>
      <w:r w:rsidRPr="001B3871">
        <w:rPr>
          <w:color w:val="000000"/>
          <w:sz w:val="24"/>
          <w:szCs w:val="24"/>
        </w:rPr>
        <w:lastRenderedPageBreak/>
        <w:t>After completing the required experimental treatments, the animals were anesthetized using chloroform (0.5 ml intraperitoneally). The animals were then sacrificed by cervical dislocation. An incision was made in the cranial region, the scalp was carefully cut, and the skull was opened. The brain was then carefully removed, placed on ice, and immediately processed for homogenization.</w:t>
      </w:r>
    </w:p>
    <w:p w14:paraId="23C361C2" w14:textId="77777777" w:rsidR="002908BE" w:rsidRPr="001B3871" w:rsidRDefault="001B3871">
      <w:pPr>
        <w:spacing w:line="480" w:lineRule="auto"/>
        <w:jc w:val="both"/>
        <w:rPr>
          <w:b/>
          <w:bCs/>
          <w:color w:val="000000"/>
          <w:sz w:val="24"/>
          <w:szCs w:val="24"/>
        </w:rPr>
      </w:pPr>
      <w:r w:rsidRPr="001B3871">
        <w:rPr>
          <w:b/>
          <w:bCs/>
          <w:color w:val="000000"/>
          <w:sz w:val="24"/>
          <w:szCs w:val="24"/>
        </w:rPr>
        <w:t>Brain Tissue Homogenization</w:t>
      </w:r>
    </w:p>
    <w:p w14:paraId="198A0F05" w14:textId="77777777" w:rsidR="002908BE" w:rsidRPr="001B3871" w:rsidRDefault="001B3871">
      <w:pPr>
        <w:spacing w:line="480" w:lineRule="auto"/>
        <w:jc w:val="both"/>
        <w:rPr>
          <w:color w:val="000000"/>
          <w:sz w:val="24"/>
          <w:szCs w:val="24"/>
        </w:rPr>
      </w:pPr>
      <w:r w:rsidRPr="001B3871">
        <w:rPr>
          <w:color w:val="000000"/>
          <w:sz w:val="24"/>
          <w:szCs w:val="24"/>
        </w:rPr>
        <w:t>The brains were homogenized in 50 mM Tris–HCl buffer (pH 7.4) containing 1.15% potassium chloride. The homogenized tissue was subsequently centrifuged at 10,000 rpm for 10 minutes at 4°C using a cold centrifuge. The supernatant was collected and used for the determination of biochemical parameters.</w:t>
      </w:r>
    </w:p>
    <w:p w14:paraId="606EE77D" w14:textId="77777777" w:rsidR="002908BE" w:rsidRPr="001B3871" w:rsidRDefault="001B3871">
      <w:pPr>
        <w:spacing w:line="480" w:lineRule="auto"/>
        <w:jc w:val="both"/>
        <w:rPr>
          <w:color w:val="000000"/>
          <w:sz w:val="24"/>
          <w:szCs w:val="24"/>
        </w:rPr>
      </w:pPr>
      <w:r w:rsidRPr="001B3871">
        <w:rPr>
          <w:b/>
          <w:bCs/>
          <w:color w:val="000000"/>
          <w:sz w:val="24"/>
          <w:szCs w:val="24"/>
        </w:rPr>
        <w:t xml:space="preserve"> Biochemical Assays</w:t>
      </w:r>
    </w:p>
    <w:p w14:paraId="19B39ADA" w14:textId="77777777" w:rsidR="002908BE" w:rsidRPr="001B3871" w:rsidRDefault="001B3871">
      <w:pPr>
        <w:spacing w:line="480" w:lineRule="auto"/>
        <w:jc w:val="both"/>
        <w:rPr>
          <w:b/>
          <w:bCs/>
          <w:color w:val="000000"/>
          <w:sz w:val="24"/>
          <w:szCs w:val="24"/>
        </w:rPr>
      </w:pPr>
      <w:r w:rsidRPr="001B3871">
        <w:rPr>
          <w:b/>
          <w:bCs/>
          <w:color w:val="000000"/>
          <w:sz w:val="24"/>
          <w:szCs w:val="24"/>
        </w:rPr>
        <w:t>Determination of Acetylcholinesterase (AChE) Activity</w:t>
      </w:r>
    </w:p>
    <w:p w14:paraId="1A485B04" w14:textId="77777777" w:rsidR="002908BE" w:rsidRPr="001B3871" w:rsidRDefault="001B3871">
      <w:pPr>
        <w:spacing w:line="480" w:lineRule="auto"/>
        <w:jc w:val="both"/>
        <w:rPr>
          <w:color w:val="000000"/>
          <w:sz w:val="24"/>
          <w:szCs w:val="24"/>
        </w:rPr>
      </w:pPr>
      <w:r w:rsidRPr="001B3871">
        <w:rPr>
          <w:color w:val="000000"/>
          <w:sz w:val="24"/>
          <w:szCs w:val="24"/>
        </w:rPr>
        <w:t>A modified version of Ellman’s method (</w:t>
      </w:r>
      <w:r w:rsidRPr="00D70CCC">
        <w:rPr>
          <w:color w:val="000000"/>
          <w:sz w:val="24"/>
          <w:szCs w:val="24"/>
          <w:highlight w:val="yellow"/>
        </w:rPr>
        <w:t>Ellman, 1961</w:t>
      </w:r>
      <w:r w:rsidRPr="001B3871">
        <w:rPr>
          <w:color w:val="000000"/>
          <w:sz w:val="24"/>
          <w:szCs w:val="24"/>
        </w:rPr>
        <w:t>) was used to assess AChE activity using brain homogenate. After removal from the deep freezer, rat brains were rinsed with cold phosphate buffer (pH 7.8), blotted dry, and weighed. The tissues were homogenized in ice-cold 0.05 M sodium phosphate buffer (pH 7.8) at a ratio of 1 g to 5 ml.</w:t>
      </w:r>
    </w:p>
    <w:p w14:paraId="64D8564F" w14:textId="77777777" w:rsidR="002908BE" w:rsidRPr="001B3871" w:rsidRDefault="001B3871">
      <w:pPr>
        <w:spacing w:line="480" w:lineRule="auto"/>
        <w:jc w:val="both"/>
        <w:rPr>
          <w:color w:val="000000"/>
          <w:sz w:val="24"/>
          <w:szCs w:val="24"/>
        </w:rPr>
      </w:pPr>
      <w:r w:rsidRPr="001B3871">
        <w:rPr>
          <w:color w:val="000000"/>
          <w:sz w:val="24"/>
          <w:szCs w:val="24"/>
        </w:rPr>
        <w:t xml:space="preserve">A 50 µl aliquot of the brain homogenate was added to 20 ml of buffer containing DTNB (10 mg/100 ml). Subsequently, 50 μl of 20 mM propionylthiocholine (PTC) was added to the mixture. The samples were centrifuged at 1850g for 5 minutes. Absorbance was read using a Specol 10 spectrophotometer (Carl Zeiss, Jena, Germany) at 412 nm. AChE activity was </w:t>
      </w:r>
      <w:r w:rsidRPr="001B3871">
        <w:rPr>
          <w:color w:val="000000"/>
          <w:sz w:val="24"/>
          <w:szCs w:val="24"/>
        </w:rPr>
        <w:lastRenderedPageBreak/>
        <w:t>calculated based on the rate of increase in absorbance and expressed as U/L. Measurements were repeated after pre-incubation with 50 μl of 10 mM eserine for 15 minutes at 30°C.</w:t>
      </w:r>
    </w:p>
    <w:p w14:paraId="5A73F4D5" w14:textId="77777777" w:rsidR="002908BE" w:rsidRPr="001B3871" w:rsidRDefault="001B3871">
      <w:pPr>
        <w:spacing w:line="480" w:lineRule="auto"/>
        <w:jc w:val="both"/>
        <w:rPr>
          <w:b/>
          <w:bCs/>
          <w:color w:val="000000"/>
          <w:sz w:val="24"/>
          <w:szCs w:val="24"/>
        </w:rPr>
      </w:pPr>
      <w:r w:rsidRPr="001B3871">
        <w:rPr>
          <w:b/>
          <w:bCs/>
          <w:color w:val="000000"/>
          <w:sz w:val="24"/>
          <w:szCs w:val="24"/>
        </w:rPr>
        <w:t xml:space="preserve"> Determination of Superoxide Dismutase (SOD) Activity</w:t>
      </w:r>
    </w:p>
    <w:p w14:paraId="2D846AF1" w14:textId="77777777" w:rsidR="002908BE" w:rsidRPr="001B3871" w:rsidRDefault="001B3871">
      <w:pPr>
        <w:spacing w:line="480" w:lineRule="auto"/>
        <w:jc w:val="both"/>
        <w:rPr>
          <w:color w:val="000000"/>
          <w:sz w:val="24"/>
          <w:szCs w:val="24"/>
        </w:rPr>
      </w:pPr>
      <w:r w:rsidRPr="001B3871">
        <w:rPr>
          <w:color w:val="000000"/>
          <w:sz w:val="24"/>
          <w:szCs w:val="24"/>
        </w:rPr>
        <w:t xml:space="preserve">SOD activity was determined using the colorimetric method of </w:t>
      </w:r>
      <w:r w:rsidRPr="00D70CCC">
        <w:rPr>
          <w:color w:val="000000"/>
          <w:sz w:val="24"/>
          <w:szCs w:val="24"/>
          <w:highlight w:val="yellow"/>
        </w:rPr>
        <w:t>Misra and Fridovich (1972</w:t>
      </w:r>
      <w:r w:rsidRPr="001B3871">
        <w:rPr>
          <w:color w:val="000000"/>
          <w:sz w:val="24"/>
          <w:szCs w:val="24"/>
        </w:rPr>
        <w:t>), modified to use brain homogenate. An aliquot of 80 µl of brain homogenate was added into a clean test tube containing 1000 µl of carbonate buffer (pH 10.2), mixed thoroughly, and incubated at 37 °C for 5 minutes. Then, 600 µl of freshly prepared epinephrine was added, and the absorbance was read at 30-second intervals for 150 seconds at 480 nm.</w:t>
      </w:r>
    </w:p>
    <w:p w14:paraId="4C07780A" w14:textId="77777777" w:rsidR="002908BE" w:rsidRPr="001B3871" w:rsidRDefault="001B3871">
      <w:pPr>
        <w:spacing w:line="480" w:lineRule="auto"/>
        <w:jc w:val="both"/>
        <w:rPr>
          <w:color w:val="000000"/>
          <w:sz w:val="24"/>
          <w:szCs w:val="24"/>
        </w:rPr>
      </w:pPr>
      <w:r w:rsidRPr="001B3871">
        <w:rPr>
          <w:color w:val="000000"/>
          <w:sz w:val="24"/>
          <w:szCs w:val="24"/>
        </w:rPr>
        <w:t>The blank was treated similarly but with 80 µl of distilled water instead of the homogenate. The percentage inhibition of epinephrine auto-oxidation was calculated, and SOD activity was expressed as U/ml. One unit of SOD activity was defined as the amount of enzyme causing 50% inhibition of epinephrine auto-oxidation.</w:t>
      </w:r>
    </w:p>
    <w:p w14:paraId="55950554" w14:textId="77777777" w:rsidR="002908BE" w:rsidRPr="001B3871" w:rsidRDefault="001B3871">
      <w:pPr>
        <w:spacing w:line="480" w:lineRule="auto"/>
        <w:jc w:val="both"/>
        <w:rPr>
          <w:b/>
          <w:bCs/>
          <w:color w:val="000000"/>
          <w:sz w:val="24"/>
          <w:szCs w:val="24"/>
        </w:rPr>
      </w:pPr>
      <w:r w:rsidRPr="001B3871">
        <w:rPr>
          <w:b/>
          <w:bCs/>
          <w:color w:val="000000"/>
          <w:sz w:val="24"/>
          <w:szCs w:val="24"/>
        </w:rPr>
        <w:t>2.7. Statistical Analysis</w:t>
      </w:r>
    </w:p>
    <w:p w14:paraId="50FA3E5B" w14:textId="77777777" w:rsidR="002908BE" w:rsidRPr="001B3871" w:rsidRDefault="001B3871">
      <w:pPr>
        <w:spacing w:line="480" w:lineRule="auto"/>
        <w:jc w:val="both"/>
        <w:rPr>
          <w:color w:val="000000"/>
          <w:sz w:val="24"/>
          <w:szCs w:val="24"/>
        </w:rPr>
      </w:pPr>
      <w:r w:rsidRPr="001B3871">
        <w:rPr>
          <w:b/>
          <w:bCs/>
          <w:color w:val="000000"/>
          <w:sz w:val="24"/>
          <w:szCs w:val="24"/>
        </w:rPr>
        <w:t xml:space="preserve"> </w:t>
      </w:r>
      <w:r w:rsidRPr="001B3871">
        <w:rPr>
          <w:color w:val="000000"/>
          <w:sz w:val="24"/>
          <w:szCs w:val="24"/>
        </w:rPr>
        <w:t xml:space="preserve">Statistical analysis was performed using the GraphPad Prism software (version 8.00, GraphPad Software, USA). Results of biochemical analyses were expressed as mean ± standard deviation and analysed using one-way analysis of variance (ANOVA) followed by the Turkey's multiple comparison test. The results </w:t>
      </w:r>
      <w:proofErr w:type="gramStart"/>
      <w:r w:rsidRPr="001B3871">
        <w:rPr>
          <w:color w:val="000000"/>
          <w:sz w:val="24"/>
          <w:szCs w:val="24"/>
        </w:rPr>
        <w:t>were  statistically</w:t>
      </w:r>
      <w:proofErr w:type="gramEnd"/>
      <w:r w:rsidRPr="001B3871">
        <w:rPr>
          <w:color w:val="000000"/>
          <w:sz w:val="24"/>
          <w:szCs w:val="24"/>
        </w:rPr>
        <w:t xml:space="preserve"> significant at p&lt;0.05</w:t>
      </w:r>
    </w:p>
    <w:p w14:paraId="2B3716E8" w14:textId="77777777" w:rsidR="002908BE" w:rsidRPr="001B3871" w:rsidRDefault="002908BE">
      <w:pPr>
        <w:spacing w:line="480" w:lineRule="auto"/>
        <w:jc w:val="both"/>
        <w:rPr>
          <w:b/>
          <w:bCs/>
          <w:color w:val="000000"/>
          <w:sz w:val="24"/>
          <w:szCs w:val="24"/>
        </w:rPr>
      </w:pPr>
    </w:p>
    <w:p w14:paraId="7B7680B1" w14:textId="77777777" w:rsidR="002908BE" w:rsidRPr="001B3871" w:rsidRDefault="002908BE">
      <w:pPr>
        <w:spacing w:line="480" w:lineRule="auto"/>
        <w:jc w:val="both"/>
        <w:rPr>
          <w:b/>
          <w:bCs/>
          <w:color w:val="000000"/>
          <w:sz w:val="24"/>
          <w:szCs w:val="24"/>
        </w:rPr>
      </w:pPr>
    </w:p>
    <w:p w14:paraId="0C341245" w14:textId="77777777" w:rsidR="002908BE" w:rsidRPr="001B3871" w:rsidRDefault="002908BE">
      <w:pPr>
        <w:spacing w:line="480" w:lineRule="auto"/>
        <w:jc w:val="both"/>
        <w:rPr>
          <w:b/>
          <w:bCs/>
          <w:color w:val="000000"/>
          <w:sz w:val="24"/>
          <w:szCs w:val="24"/>
        </w:rPr>
      </w:pPr>
    </w:p>
    <w:p w14:paraId="44ADA03B" w14:textId="77777777" w:rsidR="002908BE" w:rsidRPr="001B3871" w:rsidRDefault="002908BE">
      <w:pPr>
        <w:spacing w:line="480" w:lineRule="auto"/>
        <w:jc w:val="both"/>
        <w:rPr>
          <w:b/>
          <w:bCs/>
          <w:color w:val="000000"/>
          <w:sz w:val="24"/>
          <w:szCs w:val="24"/>
        </w:rPr>
      </w:pPr>
    </w:p>
    <w:p w14:paraId="53E8D5FE" w14:textId="77777777" w:rsidR="002908BE" w:rsidRPr="001B3871" w:rsidRDefault="002908BE">
      <w:pPr>
        <w:spacing w:line="480" w:lineRule="auto"/>
        <w:jc w:val="both"/>
        <w:rPr>
          <w:b/>
          <w:bCs/>
          <w:color w:val="000000"/>
          <w:sz w:val="24"/>
          <w:szCs w:val="24"/>
        </w:rPr>
      </w:pPr>
    </w:p>
    <w:p w14:paraId="266653F5" w14:textId="77777777" w:rsidR="002908BE" w:rsidRPr="001B3871" w:rsidRDefault="002908BE">
      <w:pPr>
        <w:spacing w:line="480" w:lineRule="auto"/>
        <w:jc w:val="both"/>
        <w:rPr>
          <w:b/>
          <w:bCs/>
          <w:color w:val="000000"/>
          <w:sz w:val="24"/>
          <w:szCs w:val="24"/>
        </w:rPr>
      </w:pPr>
    </w:p>
    <w:p w14:paraId="3EAF99F2" w14:textId="77777777" w:rsidR="002908BE" w:rsidRPr="001B3871" w:rsidRDefault="002908BE">
      <w:pPr>
        <w:spacing w:line="480" w:lineRule="auto"/>
        <w:jc w:val="both"/>
        <w:rPr>
          <w:b/>
          <w:bCs/>
          <w:color w:val="000000"/>
          <w:sz w:val="24"/>
          <w:szCs w:val="24"/>
        </w:rPr>
      </w:pPr>
    </w:p>
    <w:p w14:paraId="71B1BEBD" w14:textId="77777777" w:rsidR="002908BE" w:rsidRPr="001B3871" w:rsidRDefault="001B3871">
      <w:pPr>
        <w:spacing w:line="480" w:lineRule="auto"/>
        <w:jc w:val="both"/>
        <w:rPr>
          <w:rFonts w:eastAsia="MS Gothic" w:cs="SimSun"/>
          <w:b/>
          <w:bCs/>
          <w:color w:val="000000"/>
          <w:sz w:val="24"/>
          <w:szCs w:val="24"/>
          <w:lang w:eastAsia="en-US"/>
        </w:rPr>
      </w:pPr>
      <w:r w:rsidRPr="001B3871">
        <w:rPr>
          <w:b/>
          <w:bCs/>
          <w:color w:val="000000"/>
          <w:sz w:val="24"/>
          <w:szCs w:val="24"/>
        </w:rPr>
        <w:t>Results</w:t>
      </w:r>
    </w:p>
    <w:p w14:paraId="4AEF5318" w14:textId="77777777" w:rsidR="002908BE" w:rsidRPr="001B3871" w:rsidRDefault="001B3871">
      <w:pPr>
        <w:spacing w:line="480" w:lineRule="auto"/>
        <w:jc w:val="both"/>
        <w:rPr>
          <w:b/>
          <w:bCs/>
          <w:color w:val="000000"/>
          <w:sz w:val="24"/>
          <w:szCs w:val="24"/>
        </w:rPr>
      </w:pPr>
      <w:r w:rsidRPr="001B3871">
        <w:rPr>
          <w:rFonts w:eastAsia="MS Gothic" w:cs="SimSun"/>
          <w:b/>
          <w:bCs/>
          <w:color w:val="000000"/>
          <w:sz w:val="26"/>
          <w:szCs w:val="26"/>
          <w:lang w:eastAsia="en-US"/>
        </w:rPr>
        <w:t>Table 1: Effects of Turmeric on SOD and AChE Activities in Cadmium-Induced Neurotoxicity</w:t>
      </w:r>
    </w:p>
    <w:tbl>
      <w:tblPr>
        <w:tblW w:w="0" w:type="auto"/>
        <w:tblLook w:val="04A0" w:firstRow="1" w:lastRow="0" w:firstColumn="1" w:lastColumn="0" w:noHBand="0" w:noVBand="1"/>
      </w:tblPr>
      <w:tblGrid>
        <w:gridCol w:w="1728"/>
        <w:gridCol w:w="1728"/>
        <w:gridCol w:w="1728"/>
        <w:gridCol w:w="1728"/>
      </w:tblGrid>
      <w:tr w:rsidR="00C9082E" w:rsidRPr="001B3871" w14:paraId="4BE9148B" w14:textId="77777777">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39210" w14:textId="77777777" w:rsidR="002908BE" w:rsidRPr="001B3871" w:rsidRDefault="001B3871">
            <w:pPr>
              <w:rPr>
                <w:b/>
                <w:bCs/>
                <w:color w:val="000000"/>
                <w:sz w:val="24"/>
                <w:szCs w:val="24"/>
              </w:rPr>
            </w:pPr>
            <w:r w:rsidRPr="001B3871">
              <w:rPr>
                <w:rFonts w:ascii="Cambria" w:eastAsia="MS Mincho" w:hAnsi="Cambria" w:cs="SimSun"/>
                <w:color w:val="000000"/>
                <w:lang w:eastAsia="en-US"/>
              </w:rPr>
              <w:t>Group</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7618E" w14:textId="77777777" w:rsidR="002908BE" w:rsidRPr="001B3871" w:rsidRDefault="001B3871">
            <w:pPr>
              <w:rPr>
                <w:b/>
                <w:bCs/>
                <w:color w:val="000000"/>
                <w:sz w:val="24"/>
                <w:szCs w:val="24"/>
              </w:rPr>
            </w:pPr>
            <w:r w:rsidRPr="001B3871">
              <w:rPr>
                <w:rFonts w:ascii="Cambria" w:eastAsia="MS Mincho" w:hAnsi="Cambria" w:cs="SimSun"/>
                <w:color w:val="000000"/>
                <w:lang w:eastAsia="en-US"/>
              </w:rPr>
              <w:t>Treatment</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65416" w14:textId="77777777" w:rsidR="002908BE" w:rsidRPr="001B3871" w:rsidRDefault="001B3871">
            <w:pPr>
              <w:rPr>
                <w:b/>
                <w:bCs/>
                <w:color w:val="000000"/>
                <w:sz w:val="24"/>
                <w:szCs w:val="24"/>
              </w:rPr>
            </w:pPr>
            <w:r w:rsidRPr="001B3871">
              <w:rPr>
                <w:rFonts w:ascii="Cambria" w:eastAsia="MS Mincho" w:hAnsi="Cambria" w:cs="SimSun"/>
                <w:color w:val="000000"/>
                <w:lang w:eastAsia="en-US"/>
              </w:rPr>
              <w:t>SOD (U/mg protein)</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49F1D" w14:textId="77777777" w:rsidR="002908BE" w:rsidRPr="001B3871" w:rsidRDefault="001B3871">
            <w:pPr>
              <w:rPr>
                <w:b/>
                <w:bCs/>
                <w:color w:val="000000"/>
                <w:sz w:val="24"/>
                <w:szCs w:val="24"/>
              </w:rPr>
            </w:pPr>
            <w:r w:rsidRPr="001B3871">
              <w:rPr>
                <w:rFonts w:ascii="Cambria" w:eastAsia="MS Mincho" w:hAnsi="Cambria" w:cs="SimSun"/>
                <w:color w:val="000000"/>
                <w:lang w:eastAsia="en-US"/>
              </w:rPr>
              <w:t>AChE (U/L)</w:t>
            </w:r>
          </w:p>
        </w:tc>
      </w:tr>
      <w:tr w:rsidR="00C9082E" w:rsidRPr="001B3871" w14:paraId="05A6580A" w14:textId="77777777">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FFBF" w14:textId="77777777" w:rsidR="002908BE" w:rsidRPr="001B3871" w:rsidRDefault="001B3871">
            <w:pPr>
              <w:rPr>
                <w:b/>
                <w:bCs/>
                <w:color w:val="000000"/>
                <w:sz w:val="24"/>
                <w:szCs w:val="24"/>
              </w:rPr>
            </w:pPr>
            <w:r w:rsidRPr="001B3871">
              <w:rPr>
                <w:rFonts w:ascii="Cambria" w:eastAsia="MS Mincho" w:hAnsi="Cambria" w:cs="SimSun"/>
                <w:color w:val="000000"/>
                <w:lang w:eastAsia="en-US"/>
              </w:rPr>
              <w:t>A</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127C5" w14:textId="77777777" w:rsidR="002908BE" w:rsidRPr="001B3871" w:rsidRDefault="001B3871">
            <w:pPr>
              <w:rPr>
                <w:b/>
                <w:bCs/>
                <w:color w:val="000000"/>
                <w:sz w:val="24"/>
                <w:szCs w:val="24"/>
              </w:rPr>
            </w:pPr>
            <w:r w:rsidRPr="001B3871">
              <w:rPr>
                <w:rFonts w:ascii="Cambria" w:eastAsia="MS Mincho" w:hAnsi="Cambria" w:cs="SimSun"/>
                <w:color w:val="000000"/>
                <w:lang w:eastAsia="en-US"/>
              </w:rPr>
              <w:t>Control</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F5AD3" w14:textId="77777777" w:rsidR="002908BE" w:rsidRPr="001B3871" w:rsidRDefault="001B3871">
            <w:pPr>
              <w:rPr>
                <w:b/>
                <w:bCs/>
                <w:color w:val="000000"/>
                <w:sz w:val="24"/>
                <w:szCs w:val="24"/>
              </w:rPr>
            </w:pPr>
            <w:r w:rsidRPr="001B3871">
              <w:rPr>
                <w:rFonts w:eastAsia="MS Mincho" w:hAnsi="Cambria" w:cs="SimSun"/>
                <w:color w:val="000000"/>
                <w:lang w:eastAsia="en-US"/>
              </w:rPr>
              <w:t>6.22</w:t>
            </w:r>
            <w:r w:rsidRPr="001B3871">
              <w:rPr>
                <w:rFonts w:ascii="Cambria" w:eastAsia="MS Mincho" w:hAnsi="Cambria" w:cs="SimSun"/>
                <w:color w:val="000000"/>
                <w:lang w:eastAsia="en-US"/>
              </w:rPr>
              <w:t xml:space="preserve"> ± </w:t>
            </w:r>
            <w:r w:rsidRPr="001B3871">
              <w:rPr>
                <w:rFonts w:eastAsia="MS Mincho" w:hAnsi="Cambria" w:cs="SimSun"/>
                <w:color w:val="000000"/>
                <w:lang w:eastAsia="en-US"/>
              </w:rPr>
              <w:t>0.11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C3B92" w14:textId="77777777" w:rsidR="002908BE" w:rsidRPr="001B3871" w:rsidRDefault="001B3871">
            <w:pPr>
              <w:rPr>
                <w:b/>
                <w:bCs/>
                <w:color w:val="000000"/>
                <w:sz w:val="24"/>
                <w:szCs w:val="24"/>
              </w:rPr>
            </w:pPr>
            <w:r w:rsidRPr="001B3871">
              <w:rPr>
                <w:rFonts w:ascii="Cambria" w:eastAsia="MS Mincho" w:hAnsi="Cambria" w:cs="SimSun"/>
                <w:color w:val="000000"/>
                <w:lang w:eastAsia="en-US"/>
              </w:rPr>
              <w:t>28.0 ± 0.52</w:t>
            </w:r>
          </w:p>
        </w:tc>
      </w:tr>
      <w:tr w:rsidR="00C9082E" w:rsidRPr="001B3871" w14:paraId="7394ABE9" w14:textId="77777777">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C1ED2" w14:textId="77777777" w:rsidR="002908BE" w:rsidRPr="001B3871" w:rsidRDefault="001B3871">
            <w:pPr>
              <w:rPr>
                <w:b/>
                <w:bCs/>
                <w:color w:val="000000"/>
                <w:sz w:val="24"/>
                <w:szCs w:val="24"/>
              </w:rPr>
            </w:pPr>
            <w:r w:rsidRPr="001B3871">
              <w:rPr>
                <w:rFonts w:ascii="Cambria" w:eastAsia="MS Mincho" w:hAnsi="Cambria" w:cs="SimSun"/>
                <w:color w:val="000000"/>
                <w:lang w:eastAsia="en-US"/>
              </w:rPr>
              <w:t>B</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380D" w14:textId="77777777" w:rsidR="002908BE" w:rsidRPr="001B3871" w:rsidRDefault="001B3871">
            <w:pPr>
              <w:rPr>
                <w:b/>
                <w:bCs/>
                <w:color w:val="000000"/>
                <w:sz w:val="24"/>
                <w:szCs w:val="24"/>
              </w:rPr>
            </w:pPr>
            <w:r w:rsidRPr="001B3871">
              <w:rPr>
                <w:rFonts w:ascii="Cambria" w:eastAsia="MS Mincho" w:hAnsi="Cambria" w:cs="SimSun"/>
                <w:color w:val="000000"/>
                <w:lang w:eastAsia="en-US"/>
              </w:rPr>
              <w:t>CdCl₂ Only</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E3BCA" w14:textId="77777777" w:rsidR="002908BE" w:rsidRPr="001B3871" w:rsidRDefault="001B3871">
            <w:pPr>
              <w:rPr>
                <w:b/>
                <w:bCs/>
                <w:color w:val="000000"/>
                <w:sz w:val="24"/>
                <w:szCs w:val="24"/>
                <w:vertAlign w:val="superscript"/>
              </w:rPr>
            </w:pPr>
            <w:r w:rsidRPr="001B3871">
              <w:rPr>
                <w:rFonts w:eastAsia="MS Mincho" w:hAnsi="Cambria" w:cs="SimSun"/>
                <w:color w:val="000000"/>
                <w:lang w:eastAsia="en-US"/>
              </w:rPr>
              <w:t>3.77</w:t>
            </w:r>
            <w:r w:rsidRPr="001B3871">
              <w:rPr>
                <w:rFonts w:ascii="Cambria" w:eastAsia="MS Mincho" w:hAnsi="Cambria" w:cs="SimSun"/>
                <w:color w:val="000000"/>
                <w:lang w:eastAsia="en-US"/>
              </w:rPr>
              <w:t xml:space="preserve"> ± 0.</w:t>
            </w:r>
            <w:r w:rsidRPr="001B3871">
              <w:rPr>
                <w:rFonts w:eastAsia="MS Mincho" w:hAnsi="Cambria" w:cs="SimSun"/>
                <w:color w:val="000000"/>
                <w:lang w:eastAsia="en-US"/>
              </w:rPr>
              <w:t>19</w:t>
            </w:r>
            <w:r w:rsidRPr="001B3871">
              <w:rPr>
                <w:rFonts w:eastAsia="MS Mincho" w:hAnsi="Cambria" w:cs="SimSun"/>
                <w:color w:val="000000"/>
                <w:vertAlign w:val="superscript"/>
                <w:lang w:eastAsia="en-US"/>
              </w:rPr>
              <w:t>a</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91F8" w14:textId="77777777" w:rsidR="002908BE" w:rsidRPr="001B3871" w:rsidRDefault="001B3871">
            <w:pPr>
              <w:rPr>
                <w:b/>
                <w:bCs/>
                <w:color w:val="000000"/>
                <w:sz w:val="24"/>
                <w:szCs w:val="24"/>
                <w:vertAlign w:val="superscript"/>
              </w:rPr>
            </w:pPr>
            <w:r w:rsidRPr="001B3871">
              <w:rPr>
                <w:rFonts w:ascii="Cambria" w:eastAsia="MS Mincho" w:hAnsi="Cambria" w:cs="SimSun"/>
                <w:color w:val="000000"/>
                <w:lang w:eastAsia="en-US"/>
              </w:rPr>
              <w:t>11.0 ± 4.36</w:t>
            </w:r>
            <w:r w:rsidRPr="001B3871">
              <w:rPr>
                <w:rFonts w:eastAsia="MS Mincho" w:hAnsi="Cambria" w:cs="SimSun"/>
                <w:color w:val="000000"/>
                <w:vertAlign w:val="superscript"/>
                <w:lang w:eastAsia="en-US"/>
              </w:rPr>
              <w:t>a</w:t>
            </w:r>
          </w:p>
        </w:tc>
      </w:tr>
      <w:tr w:rsidR="00C9082E" w:rsidRPr="001B3871" w14:paraId="11EE13D1" w14:textId="77777777">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3FB2A" w14:textId="77777777" w:rsidR="002908BE" w:rsidRPr="001B3871" w:rsidRDefault="001B3871">
            <w:pPr>
              <w:rPr>
                <w:b/>
                <w:bCs/>
                <w:color w:val="000000"/>
                <w:sz w:val="24"/>
                <w:szCs w:val="24"/>
              </w:rPr>
            </w:pPr>
            <w:r w:rsidRPr="001B3871">
              <w:rPr>
                <w:rFonts w:ascii="Cambria" w:eastAsia="MS Mincho" w:hAnsi="Cambria" w:cs="SimSun"/>
                <w:color w:val="000000"/>
                <w:lang w:eastAsia="en-US"/>
              </w:rPr>
              <w:t>C</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734EE" w14:textId="77777777" w:rsidR="002908BE" w:rsidRPr="001B3871" w:rsidRDefault="001B3871">
            <w:pPr>
              <w:rPr>
                <w:b/>
                <w:bCs/>
                <w:color w:val="000000"/>
                <w:sz w:val="24"/>
                <w:szCs w:val="24"/>
              </w:rPr>
            </w:pPr>
            <w:r w:rsidRPr="001B3871">
              <w:rPr>
                <w:rFonts w:ascii="Cambria" w:eastAsia="MS Mincho" w:hAnsi="Cambria" w:cs="SimSun"/>
                <w:color w:val="000000"/>
                <w:lang w:eastAsia="en-US"/>
              </w:rPr>
              <w:t>Turmeric Only</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64A8D" w14:textId="77777777" w:rsidR="002908BE" w:rsidRPr="001B3871" w:rsidRDefault="001B3871">
            <w:pPr>
              <w:rPr>
                <w:b/>
                <w:bCs/>
                <w:color w:val="000000"/>
                <w:sz w:val="24"/>
                <w:szCs w:val="24"/>
                <w:vertAlign w:val="superscript"/>
              </w:rPr>
            </w:pPr>
            <w:r w:rsidRPr="001B3871">
              <w:rPr>
                <w:rFonts w:eastAsia="MS Mincho" w:hAnsi="Cambria" w:cs="SimSun"/>
                <w:color w:val="000000"/>
                <w:lang w:eastAsia="en-US"/>
              </w:rPr>
              <w:t>6.50</w:t>
            </w:r>
            <w:r w:rsidRPr="001B3871">
              <w:rPr>
                <w:rFonts w:ascii="Cambria" w:eastAsia="MS Mincho" w:hAnsi="Cambria" w:cs="SimSun"/>
                <w:color w:val="000000"/>
                <w:lang w:eastAsia="en-US"/>
              </w:rPr>
              <w:t xml:space="preserve"> ± 0.</w:t>
            </w:r>
            <w:r w:rsidRPr="001B3871">
              <w:rPr>
                <w:rFonts w:eastAsia="MS Mincho" w:hAnsi="Cambria" w:cs="SimSun"/>
                <w:color w:val="000000"/>
                <w:lang w:eastAsia="en-US"/>
              </w:rPr>
              <w:t>09</w:t>
            </w:r>
            <w:r w:rsidRPr="001B3871">
              <w:rPr>
                <w:rFonts w:eastAsia="MS Mincho" w:hAnsi="Cambria" w:cs="SimSun"/>
                <w:color w:val="000000"/>
                <w:vertAlign w:val="superscript"/>
                <w:lang w:eastAsia="en-US"/>
              </w:rPr>
              <w:t>b</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F6FC" w14:textId="77777777" w:rsidR="002908BE" w:rsidRPr="001B3871" w:rsidRDefault="001B3871">
            <w:pPr>
              <w:rPr>
                <w:b/>
                <w:bCs/>
                <w:color w:val="000000"/>
                <w:sz w:val="24"/>
                <w:szCs w:val="24"/>
                <w:vertAlign w:val="superscript"/>
              </w:rPr>
            </w:pPr>
            <w:r w:rsidRPr="001B3871">
              <w:rPr>
                <w:rFonts w:ascii="Cambria" w:eastAsia="MS Mincho" w:hAnsi="Cambria" w:cs="SimSun"/>
                <w:color w:val="000000"/>
                <w:lang w:eastAsia="en-US"/>
              </w:rPr>
              <w:t>46.0 ± 0.48</w:t>
            </w:r>
            <w:r w:rsidRPr="001B3871">
              <w:rPr>
                <w:rFonts w:eastAsia="MS Mincho" w:hAnsi="Cambria" w:cs="SimSun"/>
                <w:color w:val="000000"/>
                <w:vertAlign w:val="superscript"/>
                <w:lang w:eastAsia="en-US"/>
              </w:rPr>
              <w:t>ab</w:t>
            </w:r>
          </w:p>
        </w:tc>
      </w:tr>
      <w:tr w:rsidR="00C9082E" w:rsidRPr="001B3871" w14:paraId="746E6E86" w14:textId="77777777">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AEC8C" w14:textId="77777777" w:rsidR="002908BE" w:rsidRPr="001B3871" w:rsidRDefault="001B3871">
            <w:pPr>
              <w:rPr>
                <w:b/>
                <w:bCs/>
                <w:color w:val="000000"/>
                <w:sz w:val="24"/>
                <w:szCs w:val="24"/>
              </w:rPr>
            </w:pPr>
            <w:r w:rsidRPr="001B3871">
              <w:rPr>
                <w:rFonts w:ascii="Cambria" w:eastAsia="MS Mincho" w:hAnsi="Cambria" w:cs="SimSun"/>
                <w:color w:val="000000"/>
                <w:lang w:eastAsia="en-US"/>
              </w:rPr>
              <w:t>D</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1BCD6" w14:textId="77777777" w:rsidR="002908BE" w:rsidRPr="001B3871" w:rsidRDefault="001B3871">
            <w:pPr>
              <w:rPr>
                <w:b/>
                <w:bCs/>
                <w:color w:val="000000"/>
                <w:sz w:val="24"/>
                <w:szCs w:val="24"/>
              </w:rPr>
            </w:pPr>
            <w:r w:rsidRPr="001B3871">
              <w:rPr>
                <w:rFonts w:ascii="Cambria" w:eastAsia="MS Mincho" w:hAnsi="Cambria" w:cs="SimSun"/>
                <w:color w:val="000000"/>
                <w:lang w:eastAsia="en-US"/>
              </w:rPr>
              <w:t>CdCl₂ + Turmeric</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60887" w14:textId="77777777" w:rsidR="002908BE" w:rsidRPr="001B3871" w:rsidRDefault="001B3871">
            <w:pPr>
              <w:rPr>
                <w:b/>
                <w:bCs/>
                <w:color w:val="000000"/>
                <w:sz w:val="24"/>
                <w:szCs w:val="24"/>
                <w:vertAlign w:val="superscript"/>
              </w:rPr>
            </w:pPr>
            <w:r w:rsidRPr="001B3871">
              <w:rPr>
                <w:rFonts w:eastAsia="MS Mincho" w:hAnsi="Cambria" w:cs="SimSun"/>
                <w:color w:val="000000"/>
                <w:lang w:eastAsia="en-US"/>
              </w:rPr>
              <w:t>7.12</w:t>
            </w:r>
            <w:r w:rsidRPr="001B3871">
              <w:rPr>
                <w:rFonts w:ascii="Cambria" w:eastAsia="MS Mincho" w:hAnsi="Cambria" w:cs="SimSun"/>
                <w:color w:val="000000"/>
                <w:lang w:eastAsia="en-US"/>
              </w:rPr>
              <w:t xml:space="preserve"> ± 0.</w:t>
            </w:r>
            <w:r w:rsidRPr="001B3871">
              <w:rPr>
                <w:rFonts w:eastAsia="MS Mincho" w:hAnsi="Cambria" w:cs="SimSun"/>
                <w:color w:val="000000"/>
                <w:lang w:eastAsia="en-US"/>
              </w:rPr>
              <w:t>12</w:t>
            </w:r>
            <w:r w:rsidRPr="001B3871">
              <w:rPr>
                <w:rFonts w:eastAsia="MS Mincho" w:hAnsi="Cambria" w:cs="SimSun"/>
                <w:color w:val="000000"/>
                <w:vertAlign w:val="superscript"/>
                <w:lang w:eastAsia="en-US"/>
              </w:rPr>
              <w:t>b</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1F204" w14:textId="77777777" w:rsidR="002908BE" w:rsidRPr="001B3871" w:rsidRDefault="001B3871">
            <w:pPr>
              <w:rPr>
                <w:b/>
                <w:bCs/>
                <w:color w:val="000000"/>
                <w:sz w:val="24"/>
                <w:szCs w:val="24"/>
                <w:vertAlign w:val="superscript"/>
              </w:rPr>
            </w:pPr>
            <w:r w:rsidRPr="001B3871">
              <w:rPr>
                <w:rFonts w:ascii="Cambria" w:eastAsia="MS Mincho" w:hAnsi="Cambria" w:cs="SimSun"/>
                <w:color w:val="000000"/>
                <w:lang w:eastAsia="en-US"/>
              </w:rPr>
              <w:t>32.0 ± 1.42</w:t>
            </w:r>
            <w:r w:rsidRPr="001B3871">
              <w:rPr>
                <w:rFonts w:eastAsia="MS Mincho" w:hAnsi="Cambria" w:cs="SimSun"/>
                <w:color w:val="000000"/>
                <w:vertAlign w:val="superscript"/>
                <w:lang w:eastAsia="en-US"/>
              </w:rPr>
              <w:t>ab</w:t>
            </w:r>
          </w:p>
        </w:tc>
      </w:tr>
    </w:tbl>
    <w:p w14:paraId="4B92FA2C" w14:textId="77777777" w:rsidR="002908BE" w:rsidRPr="001B3871" w:rsidRDefault="001B3871">
      <w:pPr>
        <w:rPr>
          <w:color w:val="000000"/>
          <w:sz w:val="24"/>
          <w:szCs w:val="24"/>
        </w:rPr>
      </w:pPr>
      <w:r w:rsidRPr="001B3871">
        <w:rPr>
          <w:rFonts w:ascii="Cambria" w:eastAsia="MS Mincho" w:hAnsi="Cambria" w:cs="SimSun"/>
          <w:b/>
          <w:bCs/>
          <w:color w:val="000000"/>
          <w:sz w:val="24"/>
          <w:szCs w:val="24"/>
          <w:lang w:eastAsia="en-US"/>
        </w:rPr>
        <w:br/>
        <w:t>Key:</w:t>
      </w:r>
      <w:r w:rsidRPr="001B3871">
        <w:rPr>
          <w:rFonts w:eastAsia="MS Mincho" w:hAnsi="Cambria" w:cs="SimSun"/>
          <w:b/>
          <w:bCs/>
          <w:color w:val="000000"/>
          <w:sz w:val="24"/>
          <w:szCs w:val="24"/>
          <w:lang w:eastAsia="en-US"/>
        </w:rPr>
        <w:t xml:space="preserve"> </w:t>
      </w:r>
      <w:r w:rsidRPr="001B3871">
        <w:rPr>
          <w:rFonts w:ascii="Cambria" w:eastAsia="MS Mincho" w:hAnsi="Cambria" w:cs="SimSun"/>
          <w:b/>
          <w:bCs/>
          <w:color w:val="000000"/>
          <w:sz w:val="24"/>
          <w:szCs w:val="24"/>
          <w:lang w:eastAsia="en-US"/>
        </w:rPr>
        <w:t>ª (P ≤ 0.05) – Significantly decreased compared to Control group</w:t>
      </w:r>
      <w:r w:rsidRPr="001B3871">
        <w:rPr>
          <w:rFonts w:eastAsia="MS Mincho" w:hAnsi="Cambria" w:cs="SimSun"/>
          <w:b/>
          <w:bCs/>
          <w:color w:val="000000"/>
          <w:sz w:val="24"/>
          <w:szCs w:val="24"/>
          <w:lang w:eastAsia="en-US"/>
        </w:rPr>
        <w:t xml:space="preserve">, </w:t>
      </w:r>
      <w:r w:rsidRPr="001B3871">
        <w:rPr>
          <w:rFonts w:ascii="Cambria" w:eastAsia="MS Mincho" w:hAnsi="Cambria" w:cs="SimSun"/>
          <w:b/>
          <w:bCs/>
          <w:color w:val="000000"/>
          <w:sz w:val="24"/>
          <w:szCs w:val="24"/>
          <w:lang w:eastAsia="en-US"/>
        </w:rPr>
        <w:t>ᵇ (P &lt; 0.05) – Significantly increased compared to Cadmium-only group</w:t>
      </w:r>
      <w:r w:rsidRPr="001B3871">
        <w:rPr>
          <w:rFonts w:eastAsia="MS Mincho" w:hAnsi="Cambria" w:cs="SimSun"/>
          <w:b/>
          <w:bCs/>
          <w:color w:val="000000"/>
          <w:sz w:val="24"/>
          <w:szCs w:val="24"/>
          <w:lang w:eastAsia="en-US"/>
        </w:rPr>
        <w:t xml:space="preserve">. </w:t>
      </w:r>
      <w:r w:rsidRPr="001B3871">
        <w:rPr>
          <w:rFonts w:ascii="Cambria" w:eastAsia="MS Mincho" w:hAnsi="Cambria" w:cs="SimSun"/>
          <w:b/>
          <w:bCs/>
          <w:color w:val="000000"/>
          <w:sz w:val="24"/>
          <w:szCs w:val="24"/>
          <w:lang w:eastAsia="en-US"/>
        </w:rPr>
        <w:t>Data are expressed as Mean ± SEM</w:t>
      </w:r>
      <w:r w:rsidRPr="001B3871">
        <w:rPr>
          <w:rFonts w:eastAsia="MS Mincho" w:hAnsi="Cambria" w:cs="SimSun"/>
          <w:b/>
          <w:bCs/>
          <w:color w:val="000000"/>
          <w:sz w:val="24"/>
          <w:szCs w:val="24"/>
          <w:lang w:eastAsia="en-US"/>
        </w:rPr>
        <w:t xml:space="preserve">. </w:t>
      </w:r>
      <w:r w:rsidRPr="001B3871">
        <w:rPr>
          <w:rFonts w:ascii="Cambria" w:eastAsia="MS Mincho" w:hAnsi="Cambria" w:cs="SimSun"/>
          <w:b/>
          <w:bCs/>
          <w:color w:val="000000"/>
          <w:sz w:val="24"/>
          <w:szCs w:val="24"/>
          <w:lang w:eastAsia="en-US"/>
        </w:rPr>
        <w:t>Statistical Analysis: One-way ANOVA followed by Tukey’s post hoc test</w:t>
      </w:r>
      <w:r w:rsidRPr="001B3871">
        <w:rPr>
          <w:rFonts w:eastAsia="MS Mincho" w:hAnsi="Cambria" w:cs="SimSun"/>
          <w:b/>
          <w:bCs/>
          <w:color w:val="000000"/>
          <w:sz w:val="24"/>
          <w:szCs w:val="24"/>
          <w:lang w:eastAsia="en-US"/>
        </w:rPr>
        <w:t xml:space="preserve">. </w:t>
      </w:r>
      <w:r w:rsidRPr="001B3871">
        <w:rPr>
          <w:rFonts w:ascii="Cambria" w:eastAsia="MS Mincho" w:hAnsi="Cambria" w:cs="SimSun"/>
          <w:b/>
          <w:bCs/>
          <w:color w:val="000000"/>
          <w:sz w:val="24"/>
          <w:szCs w:val="24"/>
          <w:lang w:eastAsia="en-US"/>
        </w:rPr>
        <w:t>Significance level: P ≤ 0.05 was considered statistically significant</w:t>
      </w:r>
    </w:p>
    <w:p w14:paraId="60944E9D" w14:textId="10D4A2A7" w:rsidR="002908BE" w:rsidRPr="001B3871" w:rsidRDefault="001B3871">
      <w:pPr>
        <w:spacing w:line="480" w:lineRule="auto"/>
        <w:jc w:val="both"/>
        <w:rPr>
          <w:color w:val="000000"/>
          <w:sz w:val="24"/>
          <w:szCs w:val="24"/>
        </w:rPr>
      </w:pPr>
      <w:r w:rsidRPr="001B3871">
        <w:rPr>
          <w:color w:val="000000"/>
          <w:sz w:val="24"/>
          <w:szCs w:val="24"/>
        </w:rPr>
        <w:t xml:space="preserve">Table </w:t>
      </w:r>
      <w:r w:rsidR="00142D56" w:rsidRPr="001B3871">
        <w:rPr>
          <w:color w:val="000000"/>
          <w:sz w:val="24"/>
          <w:szCs w:val="24"/>
        </w:rPr>
        <w:t xml:space="preserve">1 </w:t>
      </w:r>
      <w:r w:rsidRPr="001B3871">
        <w:rPr>
          <w:color w:val="000000"/>
          <w:sz w:val="24"/>
          <w:szCs w:val="24"/>
        </w:rPr>
        <w:t xml:space="preserve">shows a significant decrease (P ≤ 0.05) in SOD levels in the CdCl₂-only group compared to the control group* indicating oxidative stress induced by cadmium exposure. Conversely, SOD levels in the Turmeric-only and CdCl₂ + Turmeric groups showed a significant increase (P ≤ </w:t>
      </w:r>
      <w:r w:rsidRPr="001B3871">
        <w:rPr>
          <w:color w:val="000000"/>
          <w:sz w:val="24"/>
          <w:szCs w:val="24"/>
        </w:rPr>
        <w:lastRenderedPageBreak/>
        <w:t>0.05) when compared to both the CdCl₂ and control groups. This suggests that turmeric not only mitigated cadmium-induced oxidative damage but also enhanced endogenous antioxidant activity. In comparison with the Turmeric-only group, SOD activity was slightly higher in the CdCl₂ + Turmeric group, although both were significantly elevated compared to the control and cadmium groups.</w:t>
      </w:r>
    </w:p>
    <w:p w14:paraId="3498B4B4" w14:textId="77777777" w:rsidR="002908BE" w:rsidRPr="001B3871" w:rsidRDefault="001B3871">
      <w:pPr>
        <w:spacing w:line="480" w:lineRule="auto"/>
        <w:jc w:val="both"/>
        <w:rPr>
          <w:color w:val="000000"/>
          <w:sz w:val="24"/>
          <w:szCs w:val="24"/>
        </w:rPr>
      </w:pPr>
      <w:r w:rsidRPr="001B3871">
        <w:rPr>
          <w:color w:val="000000"/>
          <w:sz w:val="24"/>
          <w:szCs w:val="24"/>
        </w:rPr>
        <w:t xml:space="preserve">For Acetylcholinesterase (AChE), </w:t>
      </w:r>
      <w:r w:rsidRPr="001B3871">
        <w:rPr>
          <w:color w:val="000000"/>
        </w:rPr>
        <w:t>significant decrease (P ≤ 0.05) in the CdCl₂ (Group B) compared to the control group (Group A), indicating impaired cholinergic neurotransmission and potential neurotoxicity induced by cadmium exposure. In contrast, the Turmeric-only group (Group C) exhibited a significant increase (P ≤ 0.05</w:t>
      </w:r>
      <w:proofErr w:type="gramStart"/>
      <w:r w:rsidRPr="001B3871">
        <w:rPr>
          <w:color w:val="000000"/>
        </w:rPr>
        <w:t>)  in</w:t>
      </w:r>
      <w:proofErr w:type="gramEnd"/>
      <w:r w:rsidRPr="001B3871">
        <w:rPr>
          <w:color w:val="000000"/>
        </w:rPr>
        <w:t xml:space="preserve"> AChE levels when compared to both the CdCl₂ group (Group B) and the control group (Group A), suggesting that turmeric enhances cholinergic activity and possesses neuroprotective potential. Similarly, the CdCl₂ + Turmeric group (Group D) showed a significant increase (P ≤ 0.05) in AChE activity compared to the CdCl</w:t>
      </w:r>
      <w:proofErr w:type="gramStart"/>
      <w:r w:rsidRPr="001B3871">
        <w:rPr>
          <w:color w:val="000000"/>
        </w:rPr>
        <w:t>₂  (</w:t>
      </w:r>
      <w:proofErr w:type="gramEnd"/>
      <w:r w:rsidRPr="001B3871">
        <w:rPr>
          <w:color w:val="000000"/>
        </w:rPr>
        <w:t>Group B), and a  mild but significant increase (P ≤ 0.05) compared to the control group (Group A), indicating that turmeric co-administration mitigates the neurotoxic effects of cadmium and restores AChE function.</w:t>
      </w:r>
    </w:p>
    <w:p w14:paraId="615924CC" w14:textId="77777777" w:rsidR="002908BE" w:rsidRPr="001B3871" w:rsidRDefault="001B3871">
      <w:pPr>
        <w:spacing w:line="480" w:lineRule="auto"/>
        <w:jc w:val="both"/>
        <w:rPr>
          <w:color w:val="000000"/>
          <w:sz w:val="24"/>
          <w:szCs w:val="24"/>
        </w:rPr>
      </w:pPr>
      <w:r w:rsidRPr="001B3871">
        <w:rPr>
          <w:rFonts w:ascii="Cambria" w:eastAsia="MS Mincho" w:hAnsi="Cambria" w:cs="SimSun"/>
          <w:b/>
          <w:bCs/>
          <w:color w:val="000000"/>
          <w:sz w:val="24"/>
          <w:szCs w:val="24"/>
          <w:lang w:eastAsia="en-US"/>
        </w:rPr>
        <w:t xml:space="preserve"> Discussion</w:t>
      </w:r>
    </w:p>
    <w:p w14:paraId="33E583EC" w14:textId="6C02E585" w:rsidR="002908BE" w:rsidRPr="001B3871" w:rsidRDefault="001B3871">
      <w:pPr>
        <w:spacing w:line="480" w:lineRule="auto"/>
        <w:jc w:val="both"/>
        <w:rPr>
          <w:color w:val="000000"/>
          <w:sz w:val="24"/>
          <w:szCs w:val="24"/>
        </w:rPr>
      </w:pPr>
      <w:r w:rsidRPr="001B3871">
        <w:rPr>
          <w:rFonts w:ascii="Cambria" w:eastAsia="MS Mincho" w:hAnsi="Cambria" w:cs="SimSun"/>
          <w:color w:val="000000"/>
          <w:sz w:val="24"/>
          <w:szCs w:val="24"/>
          <w:lang w:eastAsia="en-US"/>
        </w:rPr>
        <w:t>It has been observed in biological systems that certain cellular structures and components</w:t>
      </w:r>
      <w:r w:rsidRPr="001B3871">
        <w:rPr>
          <w:rFonts w:eastAsia="MS Mincho" w:hAnsi="Cambria" w:cs="SimSun"/>
          <w:color w:val="000000"/>
          <w:sz w:val="24"/>
          <w:szCs w:val="24"/>
          <w:lang w:eastAsia="en-US"/>
        </w:rPr>
        <w:t xml:space="preserve"> </w:t>
      </w:r>
      <w:r w:rsidRPr="001B3871">
        <w:rPr>
          <w:rFonts w:ascii="Cambria" w:eastAsia="MS Mincho" w:hAnsi="Cambria" w:cs="SimSun"/>
          <w:color w:val="000000"/>
          <w:sz w:val="24"/>
          <w:szCs w:val="24"/>
          <w:lang w:eastAsia="en-US"/>
        </w:rPr>
        <w:t>such as the cell membrane, mitochondria, lysosomes,</w:t>
      </w:r>
      <w:r w:rsidRPr="001B3871">
        <w:rPr>
          <w:rFonts w:eastAsia="MS Mincho" w:hAnsi="Cambria" w:cs="SimSun"/>
          <w:color w:val="000000"/>
          <w:sz w:val="24"/>
          <w:szCs w:val="24"/>
          <w:lang w:eastAsia="en-US"/>
        </w:rPr>
        <w:t xml:space="preserve"> neuronal cells </w:t>
      </w:r>
      <w:r w:rsidRPr="001B3871">
        <w:rPr>
          <w:rFonts w:ascii="Cambria" w:eastAsia="MS Mincho" w:hAnsi="Cambria" w:cs="SimSun"/>
          <w:color w:val="000000"/>
          <w:sz w:val="24"/>
          <w:szCs w:val="24"/>
          <w:lang w:eastAsia="en-US"/>
        </w:rPr>
        <w:t>endoplasmic reticulum, and enzymes involved in metabolism, detoxification, and tissue repair</w:t>
      </w:r>
      <w:r w:rsidRPr="001B3871">
        <w:rPr>
          <w:rFonts w:eastAsia="MS Mincho" w:hAnsi="Cambria" w:cs="SimSun"/>
          <w:color w:val="000000"/>
          <w:sz w:val="24"/>
          <w:szCs w:val="24"/>
          <w:lang w:eastAsia="en-US"/>
        </w:rPr>
        <w:t xml:space="preserve"> </w:t>
      </w:r>
      <w:r w:rsidRPr="001B3871">
        <w:rPr>
          <w:rFonts w:ascii="Cambria" w:eastAsia="MS Mincho" w:hAnsi="Cambria" w:cs="SimSun"/>
          <w:color w:val="000000"/>
          <w:sz w:val="24"/>
          <w:szCs w:val="24"/>
          <w:lang w:eastAsia="en-US"/>
        </w:rPr>
        <w:t xml:space="preserve">are primary targets of toxic heavy metals, particularly cadmium (Cd). These cellular disruptions are known to compromise brain function by inducing oxidative stress and impairing neurotransmitter activity. Therefore, this study aimed to ascertain the neuroprotective role of turmeric in </w:t>
      </w:r>
      <w:r w:rsidRPr="001B3871">
        <w:rPr>
          <w:rFonts w:ascii="Cambria" w:eastAsia="MS Mincho" w:hAnsi="Cambria" w:cs="SimSun"/>
          <w:color w:val="000000"/>
          <w:sz w:val="24"/>
          <w:szCs w:val="24"/>
          <w:lang w:eastAsia="en-US"/>
        </w:rPr>
        <w:lastRenderedPageBreak/>
        <w:t xml:space="preserve">cadmium-induced neurotoxicity by evaluating its effects on oxidative stress and acetylcholinesterase activity in the brain of adult male Wistar rats. </w:t>
      </w:r>
    </w:p>
    <w:p w14:paraId="0702B819" w14:textId="78D0BE3A" w:rsidR="002908BE" w:rsidRPr="001B3871" w:rsidRDefault="001B3871">
      <w:pPr>
        <w:spacing w:line="480" w:lineRule="auto"/>
        <w:jc w:val="both"/>
        <w:rPr>
          <w:color w:val="000000"/>
          <w:sz w:val="24"/>
          <w:szCs w:val="24"/>
        </w:rPr>
      </w:pPr>
      <w:r w:rsidRPr="001B3871">
        <w:rPr>
          <w:rFonts w:ascii="Cambria" w:eastAsia="MS Mincho" w:hAnsi="Cambria" w:cs="SimSun"/>
          <w:color w:val="000000"/>
          <w:sz w:val="24"/>
          <w:szCs w:val="24"/>
          <w:lang w:eastAsia="en-US"/>
        </w:rPr>
        <w:t>As shown in Table 1, cadmium exposure resulted in a significant reduction in both superoxide dismutase (SOD) and acetylcholinesterase (AChE) activity compared to control, highlighting the oxidative and neurotoxic effects of cadmium on the brain. These findings align with previous reports demonstrating cadmium’s ability to generate excessive reactive oxygen species (ROS), disrupt redox balance, and impair cholinergic neurotransmission by altering mitochondrial function and calcium signaling</w:t>
      </w:r>
      <w:r w:rsidR="006601A9">
        <w:rPr>
          <w:rFonts w:ascii="Cambria" w:eastAsia="MS Mincho" w:hAnsi="Cambria" w:cs="SimSun"/>
          <w:color w:val="000000"/>
          <w:sz w:val="24"/>
          <w:szCs w:val="24"/>
          <w:lang w:eastAsia="en-US"/>
        </w:rPr>
        <w:t xml:space="preserve"> (</w:t>
      </w:r>
      <w:proofErr w:type="spellStart"/>
      <w:r w:rsidR="006601A9" w:rsidRPr="006601A9">
        <w:rPr>
          <w:rFonts w:ascii="Cambria" w:eastAsia="MS Mincho" w:hAnsi="Cambria" w:cs="SimSun"/>
          <w:color w:val="000000"/>
          <w:sz w:val="24"/>
          <w:szCs w:val="24"/>
          <w:lang w:eastAsia="en-US"/>
        </w:rPr>
        <w:t>Bertero</w:t>
      </w:r>
      <w:proofErr w:type="spellEnd"/>
      <w:r w:rsidR="006601A9" w:rsidRPr="006601A9">
        <w:rPr>
          <w:rFonts w:ascii="Cambria" w:eastAsia="MS Mincho" w:hAnsi="Cambria" w:cs="SimSun"/>
          <w:color w:val="000000"/>
          <w:sz w:val="24"/>
          <w:szCs w:val="24"/>
          <w:lang w:eastAsia="en-US"/>
        </w:rPr>
        <w:t xml:space="preserve"> &amp; </w:t>
      </w:r>
      <w:proofErr w:type="spellStart"/>
      <w:r w:rsidR="006601A9" w:rsidRPr="006601A9">
        <w:rPr>
          <w:rFonts w:ascii="Cambria" w:eastAsia="MS Mincho" w:hAnsi="Cambria" w:cs="SimSun"/>
          <w:color w:val="000000"/>
          <w:sz w:val="24"/>
          <w:szCs w:val="24"/>
          <w:lang w:eastAsia="en-US"/>
        </w:rPr>
        <w:t>Maack</w:t>
      </w:r>
      <w:proofErr w:type="spellEnd"/>
      <w:r w:rsidR="006601A9">
        <w:rPr>
          <w:rFonts w:ascii="Cambria" w:eastAsia="MS Mincho" w:hAnsi="Cambria" w:cs="SimSun"/>
          <w:color w:val="000000"/>
          <w:sz w:val="24"/>
          <w:szCs w:val="24"/>
          <w:lang w:eastAsia="en-US"/>
        </w:rPr>
        <w:t>, 2018)</w:t>
      </w:r>
      <w:r w:rsidRPr="001B3871">
        <w:rPr>
          <w:rFonts w:ascii="Cambria" w:eastAsia="MS Mincho" w:hAnsi="Cambria" w:cs="SimSun"/>
          <w:color w:val="000000"/>
          <w:sz w:val="24"/>
          <w:szCs w:val="24"/>
          <w:lang w:eastAsia="en-US"/>
        </w:rPr>
        <w:t>.</w:t>
      </w:r>
    </w:p>
    <w:p w14:paraId="0E5D55E0" w14:textId="7AB4DA25" w:rsidR="002908BE" w:rsidRPr="001B3871" w:rsidRDefault="001B3871">
      <w:pPr>
        <w:spacing w:line="480" w:lineRule="auto"/>
        <w:jc w:val="both"/>
        <w:rPr>
          <w:color w:val="000000"/>
          <w:sz w:val="24"/>
          <w:szCs w:val="24"/>
        </w:rPr>
      </w:pPr>
      <w:r w:rsidRPr="001B3871">
        <w:rPr>
          <w:rFonts w:ascii="Cambria" w:eastAsia="MS Mincho" w:hAnsi="Cambria" w:cs="SimSun"/>
          <w:color w:val="000000"/>
          <w:sz w:val="24"/>
          <w:szCs w:val="24"/>
          <w:lang w:eastAsia="en-US"/>
        </w:rPr>
        <w:t>The marked decrease in SOD activity in the cadmium-only group confirms the overwhelming oxidative burden induced by cadmium, which compromises the brain’s primary enzymatic defense system. However, turmeric administration significantly increased SOD levels in the cadmium-exposed rats, not only reversing cadmium-induced inhibition but also enhancing antioxidant capacity beyond control levels. This suggests turmeric activates endogenous antioxidant pathways, likely via upregulation of the Nrf2/ARE signaling axis, which is known to stimulate the transcription of detoxifying enzymes like SOD and HO-1. Curcumin, turmeric’s principal bioactive compound, has demonstrated potent Nrf2 activation and mitochondrial protective effects in several neurotoxicity models.</w:t>
      </w:r>
    </w:p>
    <w:p w14:paraId="2DB42E18" w14:textId="34E62AD0" w:rsidR="002908BE" w:rsidRPr="001B3871" w:rsidRDefault="001B3871">
      <w:pPr>
        <w:spacing w:line="480" w:lineRule="auto"/>
        <w:jc w:val="both"/>
        <w:rPr>
          <w:color w:val="000000"/>
          <w:sz w:val="24"/>
          <w:szCs w:val="24"/>
        </w:rPr>
      </w:pPr>
      <w:r w:rsidRPr="001B3871">
        <w:rPr>
          <w:rFonts w:ascii="Cambria" w:eastAsia="MS Mincho" w:hAnsi="Cambria" w:cs="SimSun"/>
          <w:color w:val="000000"/>
          <w:sz w:val="24"/>
          <w:szCs w:val="24"/>
          <w:lang w:eastAsia="en-US"/>
        </w:rPr>
        <w:t xml:space="preserve">Similarly, AChE activity was significantly suppressed in the cadmium-only group, reflecting cholinergic dysfunction—a hallmark of neurodegeneration. Turmeric treatment restored AChE activity in the cadmium group to near-normal levels, while the turmeric-only group exhibited an even greater enhancement in AChE activity compared to the control group. </w:t>
      </w:r>
      <w:r w:rsidRPr="001B3871">
        <w:rPr>
          <w:rFonts w:ascii="Cambria" w:eastAsia="MS Mincho" w:hAnsi="Cambria" w:cs="SimSun"/>
          <w:color w:val="000000"/>
          <w:sz w:val="24"/>
          <w:szCs w:val="24"/>
          <w:lang w:eastAsia="en-US"/>
        </w:rPr>
        <w:lastRenderedPageBreak/>
        <w:t>This supports the hypothesis that turmeric, beyond its antioxidative role, modulates neurotransmitter systems and may possess intrinsic cognitive-enhancing properties. Curcumin’s ability to preserve synaptic integrity and modulate neuroinflammatory signaling cascades (NF-κB, MAPK) is well-documented and may underlie the observed restoration of cholinergic function.</w:t>
      </w:r>
    </w:p>
    <w:p w14:paraId="74591FA3" w14:textId="04660A3A" w:rsidR="002908BE" w:rsidRPr="001B3871" w:rsidRDefault="001B3871">
      <w:pPr>
        <w:spacing w:line="480" w:lineRule="auto"/>
        <w:jc w:val="both"/>
        <w:rPr>
          <w:color w:val="000000"/>
          <w:sz w:val="24"/>
          <w:szCs w:val="24"/>
        </w:rPr>
      </w:pPr>
      <w:r w:rsidRPr="001B3871">
        <w:rPr>
          <w:rFonts w:ascii="Cambria" w:eastAsia="MS Mincho" w:hAnsi="Cambria" w:cs="SimSun"/>
          <w:color w:val="000000"/>
          <w:sz w:val="24"/>
          <w:szCs w:val="24"/>
          <w:lang w:eastAsia="en-US"/>
        </w:rPr>
        <w:t>Furthermore, turmeric’s neuroprotective effect may also stem from anti-apoptotic mechanisms. Cadmium induces apoptosis via mitochondrial dysfunction, cytochrome c release, and caspase-3 activation, leading to neuronal death. Curcumin has been shown to inhibit these apoptotic pathways by upregulating anti-apoptotic proteins such as Bcl-2 and downregulating pro-apoptotic factors like Bax and caspases, thereby preserving neuronal architecture</w:t>
      </w:r>
      <w:r w:rsidR="00D97DD8">
        <w:rPr>
          <w:rFonts w:ascii="Cambria" w:eastAsia="MS Mincho" w:hAnsi="Cambria" w:cs="SimSun"/>
          <w:color w:val="000000"/>
          <w:sz w:val="24"/>
          <w:szCs w:val="24"/>
          <w:lang w:eastAsia="en-US"/>
        </w:rPr>
        <w:t>.</w:t>
      </w:r>
    </w:p>
    <w:p w14:paraId="1A1FB703" w14:textId="77777777" w:rsidR="002908BE" w:rsidRPr="001B3871" w:rsidRDefault="001B3871">
      <w:pPr>
        <w:spacing w:line="480" w:lineRule="auto"/>
        <w:jc w:val="both"/>
        <w:rPr>
          <w:color w:val="000000"/>
          <w:sz w:val="24"/>
          <w:szCs w:val="24"/>
        </w:rPr>
      </w:pPr>
      <w:r w:rsidRPr="001B3871">
        <w:rPr>
          <w:rFonts w:ascii="Cambria" w:eastAsia="MS Mincho" w:hAnsi="Cambria" w:cs="SimSun"/>
          <w:color w:val="000000"/>
          <w:sz w:val="24"/>
          <w:szCs w:val="24"/>
          <w:lang w:eastAsia="en-US"/>
        </w:rPr>
        <w:t>The findings also suggest a dose- and time-responsive effect of turmeric, with the co-treated group demonstrating a mild yet significant improvement in both biomarkers compared to the turmeric-only group. This may reflect turmeric’s enhanced efficacy in oxidative or toxicological stress contexts, where its bioactive constituents are more readily utilized in modulating disrupted pathways.</w:t>
      </w:r>
    </w:p>
    <w:p w14:paraId="4DBCBF3D" w14:textId="2C9198EC" w:rsidR="002908BE" w:rsidRPr="001B3871" w:rsidRDefault="001B3871">
      <w:pPr>
        <w:spacing w:line="480" w:lineRule="auto"/>
        <w:jc w:val="both"/>
        <w:rPr>
          <w:color w:val="000000"/>
          <w:sz w:val="24"/>
          <w:szCs w:val="24"/>
        </w:rPr>
      </w:pPr>
      <w:r w:rsidRPr="001B3871">
        <w:rPr>
          <w:rFonts w:ascii="Cambria" w:eastAsia="MS Mincho" w:hAnsi="Cambria" w:cs="SimSun"/>
          <w:color w:val="000000"/>
          <w:sz w:val="24"/>
          <w:szCs w:val="24"/>
          <w:lang w:eastAsia="en-US"/>
        </w:rPr>
        <w:t xml:space="preserve"> Given turmeric’s availability, affordability, and low toxicity, especially in low-resource settings, it presents a promising candidate for mitigating environmental neurotoxicant exposure. The enhancement of AChE activity beyond baseline in non-toxic conditions also suggests potential applications in cognitive health, particularly for aging populations or those with neurodegenerative risk factors. Future studies exploring nano-formulations or </w:t>
      </w:r>
      <w:r w:rsidRPr="001B3871">
        <w:rPr>
          <w:rFonts w:ascii="Cambria" w:eastAsia="MS Mincho" w:hAnsi="Cambria" w:cs="SimSun"/>
          <w:color w:val="000000"/>
          <w:sz w:val="24"/>
          <w:szCs w:val="24"/>
          <w:lang w:eastAsia="en-US"/>
        </w:rPr>
        <w:lastRenderedPageBreak/>
        <w:t>curcumin-phospholipid complexes could further improve bioavailability and therapeutic outcomes.</w:t>
      </w:r>
    </w:p>
    <w:p w14:paraId="5D015622" w14:textId="3CC885D8" w:rsidR="002908BE" w:rsidRPr="001B3871" w:rsidRDefault="001B3871">
      <w:pPr>
        <w:spacing w:line="480" w:lineRule="auto"/>
        <w:jc w:val="both"/>
        <w:rPr>
          <w:color w:val="000000"/>
          <w:sz w:val="24"/>
          <w:szCs w:val="24"/>
        </w:rPr>
      </w:pPr>
      <w:r w:rsidRPr="001B3871">
        <w:rPr>
          <w:rFonts w:ascii="Cambria" w:eastAsia="MS Mincho" w:hAnsi="Cambria" w:cs="SimSun"/>
          <w:color w:val="000000"/>
          <w:sz w:val="24"/>
          <w:szCs w:val="24"/>
          <w:lang w:eastAsia="en-US"/>
        </w:rPr>
        <w:t>Moreover, recent research has revealed that turmeric exerts its neuroprotective effects by influencing various molecular signaling networks that govern cell survival, synaptic plasticity, and gene expression. These effects are largely attributed to curcumin, the principal bioactive component of turmeric, which has been shown to modulate transcription factors such as CREB (cAMP response element-binding protein) and increase levels of brain-derived neurotrophic factor (BDNF)—both of which are critical for memory formation and neuronal repair. However, turmeric as a whole contains a synergistic blend of curcuminoids and other phytochemicals that may act collectively to enhance its therapeutic potency</w:t>
      </w:r>
      <w:r w:rsidR="000C0FA5">
        <w:rPr>
          <w:rFonts w:ascii="Cambria" w:eastAsia="MS Mincho" w:hAnsi="Cambria" w:cs="SimSun"/>
          <w:color w:val="000000"/>
          <w:sz w:val="24"/>
          <w:szCs w:val="24"/>
          <w:lang w:eastAsia="en-US"/>
        </w:rPr>
        <w:t xml:space="preserve"> (</w:t>
      </w:r>
      <w:r w:rsidR="000C0FA5" w:rsidRPr="000C0FA5">
        <w:rPr>
          <w:rFonts w:ascii="Cambria" w:eastAsia="MS Mincho" w:hAnsi="Cambria" w:cs="SimSun"/>
          <w:color w:val="000000"/>
          <w:sz w:val="24"/>
          <w:szCs w:val="24"/>
          <w:lang w:eastAsia="en-US"/>
        </w:rPr>
        <w:t>Patel</w:t>
      </w:r>
      <w:r w:rsidR="000C0FA5">
        <w:rPr>
          <w:rFonts w:ascii="Cambria" w:eastAsia="MS Mincho" w:hAnsi="Cambria" w:cs="SimSun"/>
          <w:color w:val="000000"/>
          <w:sz w:val="24"/>
          <w:szCs w:val="24"/>
          <w:lang w:eastAsia="en-US"/>
        </w:rPr>
        <w:t xml:space="preserve"> et al., 2020)</w:t>
      </w:r>
      <w:r w:rsidRPr="001B3871">
        <w:rPr>
          <w:rFonts w:ascii="Cambria" w:eastAsia="MS Mincho" w:hAnsi="Cambria" w:cs="SimSun"/>
          <w:color w:val="000000"/>
          <w:sz w:val="24"/>
          <w:szCs w:val="24"/>
          <w:lang w:eastAsia="en-US"/>
        </w:rPr>
        <w:t>. Through this multimodal mechanism, turmeric does not merely counteract cadmium-induced damage but actively promotes the restoration and enhancement of neuronal function.</w:t>
      </w:r>
    </w:p>
    <w:p w14:paraId="1752416D" w14:textId="77777777" w:rsidR="002908BE" w:rsidRPr="001B3871" w:rsidRDefault="001B3871">
      <w:pPr>
        <w:spacing w:line="480" w:lineRule="auto"/>
        <w:jc w:val="both"/>
        <w:rPr>
          <w:color w:val="000000"/>
          <w:sz w:val="24"/>
          <w:szCs w:val="24"/>
        </w:rPr>
      </w:pPr>
      <w:r w:rsidRPr="001B3871">
        <w:rPr>
          <w:b/>
          <w:bCs/>
          <w:color w:val="000000"/>
          <w:sz w:val="24"/>
          <w:szCs w:val="24"/>
        </w:rPr>
        <w:t>Conclusion</w:t>
      </w:r>
      <w:r w:rsidRPr="001B3871">
        <w:rPr>
          <w:color w:val="000000"/>
          <w:sz w:val="24"/>
          <w:szCs w:val="24"/>
        </w:rPr>
        <w:t xml:space="preserve"> </w:t>
      </w:r>
    </w:p>
    <w:p w14:paraId="49A4BBBA" w14:textId="77777777" w:rsidR="002908BE" w:rsidRPr="001B3871" w:rsidRDefault="001B3871">
      <w:pPr>
        <w:spacing w:line="480" w:lineRule="auto"/>
        <w:jc w:val="both"/>
        <w:rPr>
          <w:color w:val="000000"/>
          <w:sz w:val="24"/>
          <w:szCs w:val="24"/>
        </w:rPr>
      </w:pPr>
      <w:r w:rsidRPr="001B3871">
        <w:rPr>
          <w:color w:val="000000"/>
          <w:sz w:val="24"/>
          <w:szCs w:val="24"/>
        </w:rPr>
        <w:t xml:space="preserve">Oxidative damage and cholinergic dysfunction were caused following exposure to cadmium chloride as shown in our study. However, administration of turmeric   </w:t>
      </w:r>
      <w:proofErr w:type="gramStart"/>
      <w:r w:rsidRPr="001B3871">
        <w:rPr>
          <w:color w:val="000000"/>
          <w:sz w:val="24"/>
          <w:szCs w:val="24"/>
        </w:rPr>
        <w:t>ameliorates  the</w:t>
      </w:r>
      <w:proofErr w:type="gramEnd"/>
      <w:r w:rsidRPr="001B3871">
        <w:rPr>
          <w:color w:val="000000"/>
          <w:sz w:val="24"/>
          <w:szCs w:val="24"/>
        </w:rPr>
        <w:t xml:space="preserve">  neurotoxic effects  induced  by cadmium, the marked improvements in SOD and AChE levels highlight turmeric’s potential to mitigate oxidative damage and preserve neurotransmission under toxic stress. </w:t>
      </w:r>
    </w:p>
    <w:p w14:paraId="4FC2B333" w14:textId="77777777" w:rsidR="002908BE" w:rsidRPr="001B3871" w:rsidRDefault="001B3871">
      <w:pPr>
        <w:spacing w:line="480" w:lineRule="auto"/>
        <w:jc w:val="both"/>
        <w:rPr>
          <w:color w:val="000000"/>
          <w:sz w:val="24"/>
          <w:szCs w:val="24"/>
        </w:rPr>
      </w:pPr>
      <w:r w:rsidRPr="001B3871">
        <w:rPr>
          <w:color w:val="000000"/>
          <w:sz w:val="24"/>
          <w:szCs w:val="24"/>
        </w:rPr>
        <w:t xml:space="preserve"> Given turmeric accessibility, safety profile, and multifaceted mechanism of action, turmeric presents a promising natural intervention for managing heavy metal-induced </w:t>
      </w:r>
      <w:proofErr w:type="gramStart"/>
      <w:r w:rsidRPr="001B3871">
        <w:rPr>
          <w:color w:val="000000"/>
          <w:sz w:val="24"/>
          <w:szCs w:val="24"/>
        </w:rPr>
        <w:t>neurotoxicity.The</w:t>
      </w:r>
      <w:proofErr w:type="gramEnd"/>
      <w:r w:rsidRPr="001B3871">
        <w:rPr>
          <w:color w:val="000000"/>
          <w:sz w:val="24"/>
          <w:szCs w:val="24"/>
        </w:rPr>
        <w:t xml:space="preserve"> </w:t>
      </w:r>
      <w:r w:rsidRPr="001B3871">
        <w:rPr>
          <w:color w:val="000000"/>
          <w:sz w:val="24"/>
          <w:szCs w:val="24"/>
        </w:rPr>
        <w:lastRenderedPageBreak/>
        <w:t>use of the turmeric is encouraged in populations prone to to  populations prone to toxic levels  of  cadmium. Further studies incorporating behavioral, histopathological, and molecular analyses are warranted to fully elucidate its therapeutic potential and long-term benefits in neurodegenerative disease models.</w:t>
      </w:r>
    </w:p>
    <w:p w14:paraId="66F2DC92" w14:textId="77777777" w:rsidR="002908BE" w:rsidRPr="001B3871" w:rsidRDefault="001B3871">
      <w:pPr>
        <w:spacing w:line="480" w:lineRule="auto"/>
        <w:jc w:val="both"/>
        <w:rPr>
          <w:color w:val="000000"/>
          <w:sz w:val="24"/>
          <w:szCs w:val="24"/>
        </w:rPr>
      </w:pPr>
      <w:r w:rsidRPr="001B3871">
        <w:rPr>
          <w:b/>
          <w:bCs/>
          <w:color w:val="000000"/>
          <w:sz w:val="24"/>
          <w:szCs w:val="24"/>
        </w:rPr>
        <w:t xml:space="preserve">Ethical Approval: </w:t>
      </w:r>
      <w:r w:rsidRPr="001B3871">
        <w:rPr>
          <w:color w:val="000000"/>
          <w:sz w:val="24"/>
          <w:szCs w:val="24"/>
        </w:rPr>
        <w:t xml:space="preserve">This study was approved by the Research and Ethics Committee of Faculty of Basic Medical Sciences, Alex Ekwueme Federal University Ndufu-alike Ebonyi State Nigeria with the Ethical Approval number 017PY20317. Animals were handled </w:t>
      </w:r>
      <w:proofErr w:type="gramStart"/>
      <w:r w:rsidRPr="001B3871">
        <w:rPr>
          <w:color w:val="000000"/>
          <w:sz w:val="24"/>
          <w:szCs w:val="24"/>
        </w:rPr>
        <w:t>in  line</w:t>
      </w:r>
      <w:proofErr w:type="gramEnd"/>
      <w:r w:rsidRPr="001B3871">
        <w:rPr>
          <w:color w:val="000000"/>
          <w:sz w:val="24"/>
          <w:szCs w:val="24"/>
        </w:rPr>
        <w:t xml:space="preserve"> with the guidelines for animal research detailed in  the NIH Guidelines for the care and use of laboratory  animals (NIH Publication No. 85–23, revised 199.</w:t>
      </w:r>
    </w:p>
    <w:p w14:paraId="0E04AAED" w14:textId="77777777" w:rsidR="002908BE" w:rsidRPr="001B3871" w:rsidRDefault="001B3871">
      <w:pPr>
        <w:spacing w:line="480" w:lineRule="auto"/>
        <w:jc w:val="both"/>
        <w:rPr>
          <w:rFonts w:eastAsia="Calibri"/>
          <w:b/>
          <w:bCs/>
          <w:color w:val="000000"/>
          <w:kern w:val="2"/>
          <w:sz w:val="24"/>
          <w:szCs w:val="24"/>
        </w:rPr>
      </w:pPr>
      <w:bookmarkStart w:id="1" w:name="_Hlk193540946"/>
      <w:bookmarkStart w:id="2" w:name="_Hlk180402183"/>
      <w:bookmarkStart w:id="3" w:name="_Hlk183680988"/>
      <w:r w:rsidRPr="001B3871">
        <w:rPr>
          <w:rFonts w:eastAsia="Calibri"/>
          <w:b/>
          <w:bCs/>
          <w:color w:val="000000"/>
          <w:kern w:val="2"/>
          <w:sz w:val="24"/>
          <w:szCs w:val="24"/>
        </w:rPr>
        <w:t>Disclaimer (Artificial intelligence)</w:t>
      </w:r>
    </w:p>
    <w:p w14:paraId="641E106D" w14:textId="77777777" w:rsidR="002908BE" w:rsidRPr="001B3871" w:rsidRDefault="001B3871">
      <w:pPr>
        <w:spacing w:line="480" w:lineRule="auto"/>
        <w:jc w:val="both"/>
        <w:rPr>
          <w:rFonts w:eastAsia="Calibri"/>
          <w:color w:val="000000"/>
          <w:kern w:val="2"/>
          <w:sz w:val="24"/>
          <w:szCs w:val="24"/>
        </w:rPr>
      </w:pPr>
      <w:r w:rsidRPr="001B3871">
        <w:rPr>
          <w:rFonts w:eastAsia="Calibri"/>
          <w:color w:val="000000"/>
          <w:kern w:val="2"/>
          <w:sz w:val="24"/>
          <w:szCs w:val="24"/>
        </w:rPr>
        <w:t xml:space="preserve">Author(s) hereby declare that NO generative AI technologies such as Large Language Models (ChatGPT, COPILOT, etc.) and text-to-image generators have been used during the writing or editing of this manuscript. </w:t>
      </w:r>
    </w:p>
    <w:p w14:paraId="15BD8BFF" w14:textId="77777777" w:rsidR="002908BE" w:rsidRPr="001B3871" w:rsidRDefault="001B3871">
      <w:pPr>
        <w:spacing w:line="480" w:lineRule="auto"/>
        <w:jc w:val="both"/>
        <w:rPr>
          <w:b/>
          <w:bCs/>
          <w:color w:val="000000"/>
          <w:sz w:val="24"/>
          <w:szCs w:val="24"/>
        </w:rPr>
      </w:pPr>
      <w:r w:rsidRPr="001B3871">
        <w:rPr>
          <w:rFonts w:eastAsia="Calibri" w:cs="SimSun"/>
          <w:b/>
          <w:bCs/>
          <w:color w:val="000000"/>
          <w:sz w:val="24"/>
          <w:szCs w:val="24"/>
          <w:lang w:val="en-AU" w:eastAsia="en-US"/>
        </w:rPr>
        <w:t>Acknowledgements</w:t>
      </w:r>
      <w:r w:rsidRPr="001B3871">
        <w:rPr>
          <w:rFonts w:eastAsia="Calibri" w:cs="SimSun"/>
          <w:color w:val="000000"/>
          <w:sz w:val="24"/>
          <w:szCs w:val="24"/>
          <w:lang w:eastAsia="en-US"/>
        </w:rPr>
        <w:t xml:space="preserve">: I acknowledge My Supervisor, Professor, Nwoke Favour-Ann for her </w:t>
      </w:r>
      <w:proofErr w:type="gramStart"/>
      <w:r w:rsidRPr="001B3871">
        <w:rPr>
          <w:rFonts w:eastAsia="Calibri" w:cs="SimSun"/>
          <w:color w:val="000000"/>
          <w:sz w:val="24"/>
          <w:szCs w:val="24"/>
          <w:lang w:eastAsia="en-US"/>
        </w:rPr>
        <w:t>all round</w:t>
      </w:r>
      <w:proofErr w:type="gramEnd"/>
      <w:r w:rsidRPr="001B3871">
        <w:rPr>
          <w:rFonts w:eastAsia="Calibri" w:cs="SimSun"/>
          <w:color w:val="000000"/>
          <w:sz w:val="24"/>
          <w:szCs w:val="24"/>
          <w:lang w:eastAsia="en-US"/>
        </w:rPr>
        <w:t xml:space="preserve"> support through the Research.</w:t>
      </w:r>
      <w:bookmarkEnd w:id="1"/>
      <w:bookmarkEnd w:id="2"/>
      <w:bookmarkEnd w:id="3"/>
    </w:p>
    <w:p w14:paraId="23B08058" w14:textId="77777777" w:rsidR="002908BE" w:rsidRPr="001B3871" w:rsidRDefault="002908BE">
      <w:pPr>
        <w:spacing w:line="480" w:lineRule="auto"/>
        <w:jc w:val="both"/>
        <w:rPr>
          <w:b/>
          <w:bCs/>
          <w:color w:val="000000"/>
          <w:sz w:val="24"/>
          <w:szCs w:val="24"/>
        </w:rPr>
      </w:pPr>
    </w:p>
    <w:p w14:paraId="4538671E" w14:textId="77777777" w:rsidR="002908BE" w:rsidRPr="001B3871" w:rsidRDefault="002908BE">
      <w:pPr>
        <w:spacing w:line="480" w:lineRule="auto"/>
        <w:jc w:val="both"/>
        <w:rPr>
          <w:b/>
          <w:bCs/>
          <w:color w:val="000000"/>
          <w:sz w:val="24"/>
          <w:szCs w:val="24"/>
        </w:rPr>
      </w:pPr>
    </w:p>
    <w:p w14:paraId="1FD8B7C0" w14:textId="77777777" w:rsidR="002908BE" w:rsidRPr="001B3871" w:rsidRDefault="002908BE">
      <w:pPr>
        <w:spacing w:line="480" w:lineRule="auto"/>
        <w:jc w:val="both"/>
        <w:rPr>
          <w:b/>
          <w:bCs/>
          <w:color w:val="000000"/>
          <w:sz w:val="24"/>
          <w:szCs w:val="24"/>
        </w:rPr>
      </w:pPr>
    </w:p>
    <w:p w14:paraId="580E1006" w14:textId="77777777" w:rsidR="002908BE" w:rsidRPr="001B3871" w:rsidRDefault="001B3871">
      <w:pPr>
        <w:spacing w:line="480" w:lineRule="auto"/>
        <w:jc w:val="both"/>
        <w:rPr>
          <w:b/>
          <w:bCs/>
          <w:color w:val="000000"/>
          <w:sz w:val="24"/>
          <w:szCs w:val="24"/>
        </w:rPr>
      </w:pPr>
      <w:r w:rsidRPr="001B3871">
        <w:rPr>
          <w:b/>
          <w:bCs/>
          <w:color w:val="000000"/>
          <w:sz w:val="24"/>
          <w:szCs w:val="24"/>
        </w:rPr>
        <w:t>References</w:t>
      </w:r>
    </w:p>
    <w:p w14:paraId="584E2B44" w14:textId="77777777" w:rsidR="002908BE" w:rsidRPr="001B3871" w:rsidRDefault="001B3871" w:rsidP="00037CFC">
      <w:pPr>
        <w:numPr>
          <w:ilvl w:val="0"/>
          <w:numId w:val="5"/>
        </w:numPr>
        <w:spacing w:line="480" w:lineRule="auto"/>
        <w:jc w:val="both"/>
        <w:rPr>
          <w:color w:val="000000"/>
          <w:sz w:val="24"/>
          <w:szCs w:val="24"/>
        </w:rPr>
      </w:pPr>
      <w:r w:rsidRPr="00D70CCC">
        <w:rPr>
          <w:color w:val="000000"/>
          <w:sz w:val="24"/>
          <w:szCs w:val="24"/>
          <w:highlight w:val="yellow"/>
        </w:rPr>
        <w:lastRenderedPageBreak/>
        <w:t>Di Pietro, V.; Yakoub, K.M.; Caruso, G.; Lazzarino, G.; Signoretti, S.; Barbey, A.K.; Tavazzi, B.; Lazzarino, G.; Belli, A.; Amorini, A.M. Antioxidant Therapies in Traumatic Brain Injury. Antioxidants 2020, 9, 260. [Google Scholar] [CrossRef] [Green Version</w:t>
      </w:r>
      <w:r w:rsidRPr="001B3871">
        <w:rPr>
          <w:color w:val="000000"/>
          <w:sz w:val="24"/>
          <w:szCs w:val="24"/>
        </w:rPr>
        <w:t>]</w:t>
      </w:r>
    </w:p>
    <w:p w14:paraId="49DEB348" w14:textId="77777777" w:rsidR="002908BE" w:rsidRPr="001B3871" w:rsidRDefault="001B3871" w:rsidP="00037CFC">
      <w:pPr>
        <w:numPr>
          <w:ilvl w:val="0"/>
          <w:numId w:val="5"/>
        </w:numPr>
        <w:spacing w:line="480" w:lineRule="auto"/>
        <w:jc w:val="both"/>
        <w:rPr>
          <w:color w:val="000000"/>
          <w:sz w:val="24"/>
          <w:szCs w:val="24"/>
        </w:rPr>
      </w:pPr>
      <w:r w:rsidRPr="00D70CCC">
        <w:rPr>
          <w:color w:val="000000"/>
          <w:sz w:val="24"/>
          <w:szCs w:val="24"/>
          <w:highlight w:val="yellow"/>
        </w:rPr>
        <w:t>Ellman, G. L. (1961). Tissue sulfhydryl groups. Archives of Biochemistry and Biophysics, 82(1), 70–77. https://doi.org/10.1016/0003-9861(61)90090-6</w:t>
      </w:r>
    </w:p>
    <w:p w14:paraId="4019E84D" w14:textId="0AB62A01" w:rsidR="002908BE" w:rsidRDefault="001B3871" w:rsidP="00037CFC">
      <w:pPr>
        <w:numPr>
          <w:ilvl w:val="0"/>
          <w:numId w:val="5"/>
        </w:numPr>
        <w:spacing w:line="480" w:lineRule="auto"/>
        <w:jc w:val="both"/>
        <w:rPr>
          <w:color w:val="000000"/>
          <w:sz w:val="24"/>
          <w:szCs w:val="24"/>
        </w:rPr>
      </w:pPr>
      <w:proofErr w:type="spellStart"/>
      <w:r w:rsidRPr="00D70CCC">
        <w:rPr>
          <w:color w:val="000000"/>
          <w:sz w:val="24"/>
          <w:szCs w:val="24"/>
          <w:highlight w:val="yellow"/>
        </w:rPr>
        <w:t>Misra</w:t>
      </w:r>
      <w:proofErr w:type="spellEnd"/>
      <w:r w:rsidRPr="00D70CCC">
        <w:rPr>
          <w:color w:val="000000"/>
          <w:sz w:val="24"/>
          <w:szCs w:val="24"/>
          <w:highlight w:val="yellow"/>
        </w:rPr>
        <w:t xml:space="preserve">, H.P., &amp; </w:t>
      </w:r>
      <w:proofErr w:type="spellStart"/>
      <w:r w:rsidRPr="00D70CCC">
        <w:rPr>
          <w:color w:val="000000"/>
          <w:sz w:val="24"/>
          <w:szCs w:val="24"/>
          <w:highlight w:val="yellow"/>
        </w:rPr>
        <w:t>Fridovich</w:t>
      </w:r>
      <w:proofErr w:type="spellEnd"/>
      <w:r w:rsidRPr="00D70CCC">
        <w:rPr>
          <w:color w:val="000000"/>
          <w:sz w:val="24"/>
          <w:szCs w:val="24"/>
          <w:highlight w:val="yellow"/>
        </w:rPr>
        <w:t xml:space="preserve">, I. (1972). The role of superoxide anion in the autoxidation of epinephrine and a simple assay for superoxide dismutase. Journal of Biological Chemistry, 247(10), 3170-3175. PMID: </w:t>
      </w:r>
      <w:proofErr w:type="gramStart"/>
      <w:r w:rsidRPr="00D70CCC">
        <w:rPr>
          <w:color w:val="000000"/>
          <w:sz w:val="24"/>
          <w:szCs w:val="24"/>
          <w:highlight w:val="yellow"/>
        </w:rPr>
        <w:t>4623845</w:t>
      </w:r>
      <w:r w:rsidRPr="001B3871">
        <w:rPr>
          <w:color w:val="000000"/>
          <w:sz w:val="24"/>
          <w:szCs w:val="24"/>
        </w:rPr>
        <w:t xml:space="preserve"> </w:t>
      </w:r>
      <w:r w:rsidR="00F23FB0">
        <w:rPr>
          <w:color w:val="000000"/>
          <w:sz w:val="24"/>
          <w:szCs w:val="24"/>
        </w:rPr>
        <w:t>.</w:t>
      </w:r>
      <w:proofErr w:type="gramEnd"/>
    </w:p>
    <w:p w14:paraId="4090A672" w14:textId="77777777" w:rsidR="00F23FB0" w:rsidRPr="00F23FB0" w:rsidRDefault="00F23FB0" w:rsidP="00037CFC">
      <w:pPr>
        <w:numPr>
          <w:ilvl w:val="0"/>
          <w:numId w:val="5"/>
        </w:numPr>
        <w:spacing w:line="480" w:lineRule="auto"/>
        <w:jc w:val="both"/>
        <w:rPr>
          <w:color w:val="000000"/>
          <w:sz w:val="24"/>
          <w:szCs w:val="24"/>
        </w:rPr>
      </w:pPr>
      <w:proofErr w:type="spellStart"/>
      <w:r w:rsidRPr="00F23FB0">
        <w:rPr>
          <w:color w:val="000000"/>
          <w:sz w:val="24"/>
          <w:szCs w:val="24"/>
        </w:rPr>
        <w:t>Genchi</w:t>
      </w:r>
      <w:proofErr w:type="spellEnd"/>
      <w:r w:rsidRPr="00F23FB0">
        <w:rPr>
          <w:color w:val="000000"/>
          <w:sz w:val="24"/>
          <w:szCs w:val="24"/>
        </w:rPr>
        <w:t xml:space="preserve">, G., </w:t>
      </w:r>
      <w:proofErr w:type="spellStart"/>
      <w:r w:rsidRPr="00F23FB0">
        <w:rPr>
          <w:color w:val="000000"/>
          <w:sz w:val="24"/>
          <w:szCs w:val="24"/>
        </w:rPr>
        <w:t>Sinicropi</w:t>
      </w:r>
      <w:proofErr w:type="spellEnd"/>
      <w:r w:rsidRPr="00F23FB0">
        <w:rPr>
          <w:color w:val="000000"/>
          <w:sz w:val="24"/>
          <w:szCs w:val="24"/>
        </w:rPr>
        <w:t xml:space="preserve">, M. S., </w:t>
      </w:r>
      <w:proofErr w:type="spellStart"/>
      <w:r w:rsidRPr="00F23FB0">
        <w:rPr>
          <w:color w:val="000000"/>
          <w:sz w:val="24"/>
          <w:szCs w:val="24"/>
        </w:rPr>
        <w:t>Lauria</w:t>
      </w:r>
      <w:proofErr w:type="spellEnd"/>
      <w:r w:rsidRPr="00F23FB0">
        <w:rPr>
          <w:color w:val="000000"/>
          <w:sz w:val="24"/>
          <w:szCs w:val="24"/>
        </w:rPr>
        <w:t xml:space="preserve">, G., </w:t>
      </w:r>
      <w:proofErr w:type="spellStart"/>
      <w:r w:rsidRPr="00F23FB0">
        <w:rPr>
          <w:color w:val="000000"/>
          <w:sz w:val="24"/>
          <w:szCs w:val="24"/>
        </w:rPr>
        <w:t>Carocci</w:t>
      </w:r>
      <w:proofErr w:type="spellEnd"/>
      <w:r w:rsidRPr="00F23FB0">
        <w:rPr>
          <w:color w:val="000000"/>
          <w:sz w:val="24"/>
          <w:szCs w:val="24"/>
        </w:rPr>
        <w:t>, A., &amp; Catalano, A. (2020). The effects of cadmium toxicity. International journal of environmental research and public health, 17(11), 3782.</w:t>
      </w:r>
    </w:p>
    <w:p w14:paraId="084E43A0" w14:textId="77777777" w:rsidR="00F23FB0" w:rsidRPr="00F23FB0" w:rsidRDefault="00F23FB0" w:rsidP="00037CFC">
      <w:pPr>
        <w:numPr>
          <w:ilvl w:val="0"/>
          <w:numId w:val="5"/>
        </w:numPr>
        <w:spacing w:line="480" w:lineRule="auto"/>
        <w:jc w:val="both"/>
        <w:rPr>
          <w:color w:val="000000"/>
          <w:sz w:val="24"/>
          <w:szCs w:val="24"/>
        </w:rPr>
      </w:pPr>
      <w:r w:rsidRPr="00F23FB0">
        <w:rPr>
          <w:color w:val="000000"/>
          <w:sz w:val="24"/>
          <w:szCs w:val="24"/>
        </w:rPr>
        <w:t>Thompson, L. A., &amp; Darwish, W. S. (2019). Environmental chemical contaminants in food: review of a global problem. Journal of toxicology, 2019(1), 2345283.</w:t>
      </w:r>
    </w:p>
    <w:p w14:paraId="3D850D4B" w14:textId="77777777" w:rsidR="00F23FB0" w:rsidRPr="00F23FB0" w:rsidRDefault="00F23FB0" w:rsidP="00037CFC">
      <w:pPr>
        <w:numPr>
          <w:ilvl w:val="0"/>
          <w:numId w:val="5"/>
        </w:numPr>
        <w:spacing w:line="480" w:lineRule="auto"/>
        <w:jc w:val="both"/>
        <w:rPr>
          <w:color w:val="000000"/>
          <w:sz w:val="24"/>
          <w:szCs w:val="24"/>
        </w:rPr>
      </w:pPr>
      <w:r w:rsidRPr="00F23FB0">
        <w:rPr>
          <w:color w:val="000000"/>
          <w:sz w:val="24"/>
          <w:szCs w:val="24"/>
        </w:rPr>
        <w:t xml:space="preserve">Rinaldi, M., </w:t>
      </w:r>
      <w:proofErr w:type="spellStart"/>
      <w:r w:rsidRPr="00F23FB0">
        <w:rPr>
          <w:color w:val="000000"/>
          <w:sz w:val="24"/>
          <w:szCs w:val="24"/>
        </w:rPr>
        <w:t>Micali</w:t>
      </w:r>
      <w:proofErr w:type="spellEnd"/>
      <w:r w:rsidRPr="00F23FB0">
        <w:rPr>
          <w:color w:val="000000"/>
          <w:sz w:val="24"/>
          <w:szCs w:val="24"/>
        </w:rPr>
        <w:t xml:space="preserve">, A., Marini, H., Adamo, E. B., </w:t>
      </w:r>
      <w:proofErr w:type="spellStart"/>
      <w:r w:rsidRPr="00F23FB0">
        <w:rPr>
          <w:color w:val="000000"/>
          <w:sz w:val="24"/>
          <w:szCs w:val="24"/>
        </w:rPr>
        <w:t>Puzzolo</w:t>
      </w:r>
      <w:proofErr w:type="spellEnd"/>
      <w:r w:rsidRPr="00F23FB0">
        <w:rPr>
          <w:color w:val="000000"/>
          <w:sz w:val="24"/>
          <w:szCs w:val="24"/>
        </w:rPr>
        <w:t xml:space="preserve">, D., Pisani, A., ... &amp; </w:t>
      </w:r>
      <w:proofErr w:type="spellStart"/>
      <w:r w:rsidRPr="00F23FB0">
        <w:rPr>
          <w:color w:val="000000"/>
          <w:sz w:val="24"/>
          <w:szCs w:val="24"/>
        </w:rPr>
        <w:t>Minutoli</w:t>
      </w:r>
      <w:proofErr w:type="spellEnd"/>
      <w:r w:rsidRPr="00F23FB0">
        <w:rPr>
          <w:color w:val="000000"/>
          <w:sz w:val="24"/>
          <w:szCs w:val="24"/>
        </w:rPr>
        <w:t>, L. (2017). Cadmium, organ toxicity and therapeutic approaches: a review on brain, kidney and testis damage. Current medicinal chemistry, 24(35), 3879-3893.</w:t>
      </w:r>
    </w:p>
    <w:p w14:paraId="345BCA9E" w14:textId="77777777" w:rsidR="00F23FB0" w:rsidRPr="00F23FB0" w:rsidRDefault="00F23FB0" w:rsidP="00037CFC">
      <w:pPr>
        <w:numPr>
          <w:ilvl w:val="0"/>
          <w:numId w:val="5"/>
        </w:numPr>
        <w:spacing w:line="480" w:lineRule="auto"/>
        <w:jc w:val="both"/>
        <w:rPr>
          <w:color w:val="000000"/>
          <w:sz w:val="24"/>
          <w:szCs w:val="24"/>
        </w:rPr>
      </w:pPr>
      <w:proofErr w:type="spellStart"/>
      <w:r w:rsidRPr="00F23FB0">
        <w:rPr>
          <w:color w:val="000000"/>
          <w:sz w:val="24"/>
          <w:szCs w:val="24"/>
        </w:rPr>
        <w:t>Branca</w:t>
      </w:r>
      <w:proofErr w:type="spellEnd"/>
      <w:r w:rsidRPr="00F23FB0">
        <w:rPr>
          <w:color w:val="000000"/>
          <w:sz w:val="24"/>
          <w:szCs w:val="24"/>
        </w:rPr>
        <w:t xml:space="preserve">, J. J., </w:t>
      </w:r>
      <w:proofErr w:type="spellStart"/>
      <w:r w:rsidRPr="00F23FB0">
        <w:rPr>
          <w:color w:val="000000"/>
          <w:sz w:val="24"/>
          <w:szCs w:val="24"/>
        </w:rPr>
        <w:t>Fiorillo</w:t>
      </w:r>
      <w:proofErr w:type="spellEnd"/>
      <w:r w:rsidRPr="00F23FB0">
        <w:rPr>
          <w:color w:val="000000"/>
          <w:sz w:val="24"/>
          <w:szCs w:val="24"/>
        </w:rPr>
        <w:t xml:space="preserve">, C., </w:t>
      </w:r>
      <w:proofErr w:type="spellStart"/>
      <w:r w:rsidRPr="00F23FB0">
        <w:rPr>
          <w:color w:val="000000"/>
          <w:sz w:val="24"/>
          <w:szCs w:val="24"/>
        </w:rPr>
        <w:t>Carrino</w:t>
      </w:r>
      <w:proofErr w:type="spellEnd"/>
      <w:r w:rsidRPr="00F23FB0">
        <w:rPr>
          <w:color w:val="000000"/>
          <w:sz w:val="24"/>
          <w:szCs w:val="24"/>
        </w:rPr>
        <w:t xml:space="preserve">, D., </w:t>
      </w:r>
      <w:proofErr w:type="spellStart"/>
      <w:r w:rsidRPr="00F23FB0">
        <w:rPr>
          <w:color w:val="000000"/>
          <w:sz w:val="24"/>
          <w:szCs w:val="24"/>
        </w:rPr>
        <w:t>Paternostro</w:t>
      </w:r>
      <w:proofErr w:type="spellEnd"/>
      <w:r w:rsidRPr="00F23FB0">
        <w:rPr>
          <w:color w:val="000000"/>
          <w:sz w:val="24"/>
          <w:szCs w:val="24"/>
        </w:rPr>
        <w:t xml:space="preserve">, F., </w:t>
      </w:r>
      <w:proofErr w:type="spellStart"/>
      <w:r w:rsidRPr="00F23FB0">
        <w:rPr>
          <w:color w:val="000000"/>
          <w:sz w:val="24"/>
          <w:szCs w:val="24"/>
        </w:rPr>
        <w:t>Taddei</w:t>
      </w:r>
      <w:proofErr w:type="spellEnd"/>
      <w:r w:rsidRPr="00F23FB0">
        <w:rPr>
          <w:color w:val="000000"/>
          <w:sz w:val="24"/>
          <w:szCs w:val="24"/>
        </w:rPr>
        <w:t xml:space="preserve">, N., </w:t>
      </w:r>
      <w:proofErr w:type="spellStart"/>
      <w:r w:rsidRPr="00F23FB0">
        <w:rPr>
          <w:color w:val="000000"/>
          <w:sz w:val="24"/>
          <w:szCs w:val="24"/>
        </w:rPr>
        <w:t>Gulisano</w:t>
      </w:r>
      <w:proofErr w:type="spellEnd"/>
      <w:r w:rsidRPr="00F23FB0">
        <w:rPr>
          <w:color w:val="000000"/>
          <w:sz w:val="24"/>
          <w:szCs w:val="24"/>
        </w:rPr>
        <w:t xml:space="preserve">, M., ... &amp; </w:t>
      </w:r>
      <w:proofErr w:type="spellStart"/>
      <w:r w:rsidRPr="00F23FB0">
        <w:rPr>
          <w:color w:val="000000"/>
          <w:sz w:val="24"/>
          <w:szCs w:val="24"/>
        </w:rPr>
        <w:t>Becatti</w:t>
      </w:r>
      <w:proofErr w:type="spellEnd"/>
      <w:r w:rsidRPr="00F23FB0">
        <w:rPr>
          <w:color w:val="000000"/>
          <w:sz w:val="24"/>
          <w:szCs w:val="24"/>
        </w:rPr>
        <w:t>, M. (2020). Cadmium-induced oxidative stress: focus on the central nervous system. Antioxidants, 9(6), 492.</w:t>
      </w:r>
    </w:p>
    <w:p w14:paraId="4078D71B" w14:textId="77777777" w:rsidR="00F23FB0" w:rsidRPr="00F23FB0" w:rsidRDefault="00F23FB0" w:rsidP="00037CFC">
      <w:pPr>
        <w:numPr>
          <w:ilvl w:val="0"/>
          <w:numId w:val="5"/>
        </w:numPr>
        <w:spacing w:line="480" w:lineRule="auto"/>
        <w:jc w:val="both"/>
        <w:rPr>
          <w:color w:val="000000"/>
          <w:sz w:val="24"/>
          <w:szCs w:val="24"/>
        </w:rPr>
      </w:pPr>
      <w:r w:rsidRPr="00F23FB0">
        <w:rPr>
          <w:color w:val="000000"/>
          <w:sz w:val="24"/>
          <w:szCs w:val="24"/>
        </w:rPr>
        <w:lastRenderedPageBreak/>
        <w:t xml:space="preserve">Sajjad, R., </w:t>
      </w:r>
      <w:proofErr w:type="spellStart"/>
      <w:r w:rsidRPr="00F23FB0">
        <w:rPr>
          <w:color w:val="000000"/>
          <w:sz w:val="24"/>
          <w:szCs w:val="24"/>
        </w:rPr>
        <w:t>Arif</w:t>
      </w:r>
      <w:proofErr w:type="spellEnd"/>
      <w:r w:rsidRPr="00F23FB0">
        <w:rPr>
          <w:color w:val="000000"/>
          <w:sz w:val="24"/>
          <w:szCs w:val="24"/>
        </w:rPr>
        <w:t>, R., Shah, A. A., Manzoor, I., &amp; Mustafa, G. (2018). Pathogenesis of Alzheimer’s disease: role of amyloid-beta and hyperphosphorylated tau protein. Indian J. Pharm. Sci, 80(4), 581-591.</w:t>
      </w:r>
    </w:p>
    <w:p w14:paraId="76E0FA20" w14:textId="77777777" w:rsidR="00F23FB0" w:rsidRPr="00F23FB0" w:rsidRDefault="00F23FB0" w:rsidP="00037CFC">
      <w:pPr>
        <w:numPr>
          <w:ilvl w:val="0"/>
          <w:numId w:val="5"/>
        </w:numPr>
        <w:spacing w:line="480" w:lineRule="auto"/>
        <w:jc w:val="both"/>
        <w:rPr>
          <w:color w:val="000000"/>
          <w:sz w:val="24"/>
          <w:szCs w:val="24"/>
        </w:rPr>
      </w:pPr>
      <w:r w:rsidRPr="00F23FB0">
        <w:rPr>
          <w:color w:val="000000"/>
          <w:sz w:val="24"/>
          <w:szCs w:val="24"/>
        </w:rPr>
        <w:t>Raj, K., Kaur, P., Gupta, G. D., &amp; Singh, S. (2021). Metals associated neurodegeneration in Parkinson’s disease: Insight to physiological, pathological mechanisms and management. Neuroscience Letters, 753, 135873.</w:t>
      </w:r>
    </w:p>
    <w:p w14:paraId="2FE89D3B" w14:textId="77777777" w:rsidR="00F23FB0" w:rsidRPr="00F23FB0" w:rsidRDefault="00F23FB0" w:rsidP="00037CFC">
      <w:pPr>
        <w:numPr>
          <w:ilvl w:val="0"/>
          <w:numId w:val="5"/>
        </w:numPr>
        <w:spacing w:line="480" w:lineRule="auto"/>
        <w:jc w:val="both"/>
        <w:rPr>
          <w:color w:val="000000"/>
          <w:sz w:val="24"/>
          <w:szCs w:val="24"/>
        </w:rPr>
      </w:pPr>
      <w:r w:rsidRPr="00F23FB0">
        <w:rPr>
          <w:color w:val="000000"/>
          <w:sz w:val="24"/>
          <w:szCs w:val="24"/>
        </w:rPr>
        <w:t>Foster, T. C. (1999). Involvement of hippocampal synaptic plasticity in age-related memory decline. Brain research reviews, 30(3), 236-249.</w:t>
      </w:r>
    </w:p>
    <w:p w14:paraId="09E4A0CD" w14:textId="77777777" w:rsidR="00F23FB0" w:rsidRPr="00F23FB0" w:rsidRDefault="00F23FB0" w:rsidP="00037CFC">
      <w:pPr>
        <w:numPr>
          <w:ilvl w:val="0"/>
          <w:numId w:val="5"/>
        </w:numPr>
        <w:spacing w:line="480" w:lineRule="auto"/>
        <w:jc w:val="both"/>
        <w:rPr>
          <w:color w:val="000000"/>
          <w:sz w:val="24"/>
          <w:szCs w:val="24"/>
        </w:rPr>
      </w:pPr>
      <w:r w:rsidRPr="00F23FB0">
        <w:rPr>
          <w:color w:val="000000"/>
          <w:sz w:val="24"/>
          <w:szCs w:val="24"/>
        </w:rPr>
        <w:t xml:space="preserve">Wang, Q., Chen, F. Y., Ling, Z. M., </w:t>
      </w:r>
      <w:proofErr w:type="spellStart"/>
      <w:r w:rsidRPr="00F23FB0">
        <w:rPr>
          <w:color w:val="000000"/>
          <w:sz w:val="24"/>
          <w:szCs w:val="24"/>
        </w:rPr>
        <w:t>Su</w:t>
      </w:r>
      <w:proofErr w:type="spellEnd"/>
      <w:r w:rsidRPr="00F23FB0">
        <w:rPr>
          <w:color w:val="000000"/>
          <w:sz w:val="24"/>
          <w:szCs w:val="24"/>
        </w:rPr>
        <w:t>, W. F., Zhao, Y. Y., Chen, G., &amp; Wei, Z. Y. (2022). The effect of Schwann cells/</w:t>
      </w:r>
      <w:proofErr w:type="spellStart"/>
      <w:r w:rsidRPr="00F23FB0">
        <w:rPr>
          <w:color w:val="000000"/>
          <w:sz w:val="24"/>
          <w:szCs w:val="24"/>
        </w:rPr>
        <w:t>schwann</w:t>
      </w:r>
      <w:proofErr w:type="spellEnd"/>
      <w:r w:rsidRPr="00F23FB0">
        <w:rPr>
          <w:color w:val="000000"/>
          <w:sz w:val="24"/>
          <w:szCs w:val="24"/>
        </w:rPr>
        <w:t xml:space="preserve"> cell-like cells on cell therapy for peripheral neuropathy. Frontiers in Cellular Neuroscience, 16, 836931.</w:t>
      </w:r>
    </w:p>
    <w:p w14:paraId="22F98D13" w14:textId="77777777" w:rsidR="00F23FB0" w:rsidRPr="00F23FB0" w:rsidRDefault="00F23FB0" w:rsidP="00037CFC">
      <w:pPr>
        <w:numPr>
          <w:ilvl w:val="0"/>
          <w:numId w:val="5"/>
        </w:numPr>
        <w:spacing w:line="480" w:lineRule="auto"/>
        <w:jc w:val="both"/>
        <w:rPr>
          <w:color w:val="000000"/>
          <w:sz w:val="24"/>
          <w:szCs w:val="24"/>
        </w:rPr>
      </w:pPr>
      <w:r w:rsidRPr="00F23FB0">
        <w:rPr>
          <w:color w:val="000000"/>
          <w:sz w:val="24"/>
          <w:szCs w:val="24"/>
        </w:rPr>
        <w:t xml:space="preserve">de Jesus Mari, J., </w:t>
      </w:r>
      <w:proofErr w:type="spellStart"/>
      <w:r w:rsidRPr="00F23FB0">
        <w:rPr>
          <w:color w:val="000000"/>
          <w:sz w:val="24"/>
          <w:szCs w:val="24"/>
        </w:rPr>
        <w:t>Tofoli</w:t>
      </w:r>
      <w:proofErr w:type="spellEnd"/>
      <w:r w:rsidRPr="00F23FB0">
        <w:rPr>
          <w:color w:val="000000"/>
          <w:sz w:val="24"/>
          <w:szCs w:val="24"/>
        </w:rPr>
        <w:t xml:space="preserve">, L. F., Noto, C., Li, L. M., Diehl, A., </w:t>
      </w:r>
      <w:proofErr w:type="spellStart"/>
      <w:r w:rsidRPr="00F23FB0">
        <w:rPr>
          <w:color w:val="000000"/>
          <w:sz w:val="24"/>
          <w:szCs w:val="24"/>
        </w:rPr>
        <w:t>Claudino</w:t>
      </w:r>
      <w:proofErr w:type="spellEnd"/>
      <w:r w:rsidRPr="00F23FB0">
        <w:rPr>
          <w:color w:val="000000"/>
          <w:sz w:val="24"/>
          <w:szCs w:val="24"/>
        </w:rPr>
        <w:t xml:space="preserve">, A. M., &amp; </w:t>
      </w:r>
      <w:proofErr w:type="spellStart"/>
      <w:r w:rsidRPr="00F23FB0">
        <w:rPr>
          <w:color w:val="000000"/>
          <w:sz w:val="24"/>
          <w:szCs w:val="24"/>
        </w:rPr>
        <w:t>Juruena</w:t>
      </w:r>
      <w:proofErr w:type="spellEnd"/>
      <w:r w:rsidRPr="00F23FB0">
        <w:rPr>
          <w:color w:val="000000"/>
          <w:sz w:val="24"/>
          <w:szCs w:val="24"/>
        </w:rPr>
        <w:t>, M. F. (2013). Pharmacological and psychosocial management of mental, neurological and substance use disorders in low-and middle-income countries: issues and current strategies. Drugs, 73, 1549-1568.</w:t>
      </w:r>
    </w:p>
    <w:p w14:paraId="5AA5D902" w14:textId="77777777" w:rsidR="00F23FB0" w:rsidRPr="00F23FB0" w:rsidRDefault="00F23FB0" w:rsidP="00037CFC">
      <w:pPr>
        <w:numPr>
          <w:ilvl w:val="0"/>
          <w:numId w:val="5"/>
        </w:numPr>
        <w:spacing w:line="480" w:lineRule="auto"/>
        <w:jc w:val="both"/>
        <w:rPr>
          <w:color w:val="000000"/>
          <w:sz w:val="24"/>
          <w:szCs w:val="24"/>
        </w:rPr>
      </w:pPr>
      <w:r w:rsidRPr="00F23FB0">
        <w:rPr>
          <w:color w:val="000000"/>
          <w:sz w:val="24"/>
          <w:szCs w:val="24"/>
        </w:rPr>
        <w:t xml:space="preserve">Ullah, F., Liang, A., Rangel, A., </w:t>
      </w:r>
      <w:proofErr w:type="spellStart"/>
      <w:r w:rsidRPr="00F23FB0">
        <w:rPr>
          <w:color w:val="000000"/>
          <w:sz w:val="24"/>
          <w:szCs w:val="24"/>
        </w:rPr>
        <w:t>Gyengesi</w:t>
      </w:r>
      <w:proofErr w:type="spellEnd"/>
      <w:r w:rsidRPr="00F23FB0">
        <w:rPr>
          <w:color w:val="000000"/>
          <w:sz w:val="24"/>
          <w:szCs w:val="24"/>
        </w:rPr>
        <w:t xml:space="preserve">, E., </w:t>
      </w:r>
      <w:proofErr w:type="spellStart"/>
      <w:r w:rsidRPr="00F23FB0">
        <w:rPr>
          <w:color w:val="000000"/>
          <w:sz w:val="24"/>
          <w:szCs w:val="24"/>
        </w:rPr>
        <w:t>Niedermayer</w:t>
      </w:r>
      <w:proofErr w:type="spellEnd"/>
      <w:r w:rsidRPr="00F23FB0">
        <w:rPr>
          <w:color w:val="000000"/>
          <w:sz w:val="24"/>
          <w:szCs w:val="24"/>
        </w:rPr>
        <w:t xml:space="preserve">, G., &amp; </w:t>
      </w:r>
      <w:proofErr w:type="spellStart"/>
      <w:r w:rsidRPr="00F23FB0">
        <w:rPr>
          <w:color w:val="000000"/>
          <w:sz w:val="24"/>
          <w:szCs w:val="24"/>
        </w:rPr>
        <w:t>Münch</w:t>
      </w:r>
      <w:proofErr w:type="spellEnd"/>
      <w:r w:rsidRPr="00F23FB0">
        <w:rPr>
          <w:color w:val="000000"/>
          <w:sz w:val="24"/>
          <w:szCs w:val="24"/>
        </w:rPr>
        <w:t xml:space="preserve">, G. (2017). High bioavailability curcumin: an anti-inflammatory and </w:t>
      </w:r>
      <w:proofErr w:type="spellStart"/>
      <w:r w:rsidRPr="00F23FB0">
        <w:rPr>
          <w:color w:val="000000"/>
          <w:sz w:val="24"/>
          <w:szCs w:val="24"/>
        </w:rPr>
        <w:t>neurosupportive</w:t>
      </w:r>
      <w:proofErr w:type="spellEnd"/>
      <w:r w:rsidRPr="00F23FB0">
        <w:rPr>
          <w:color w:val="000000"/>
          <w:sz w:val="24"/>
          <w:szCs w:val="24"/>
        </w:rPr>
        <w:t xml:space="preserve"> bioactive nutrient for neurodegenerative diseases characterized by chronic neuroinflammation. Archives of Toxicology, 91, 1623-1634.</w:t>
      </w:r>
    </w:p>
    <w:p w14:paraId="27830A07" w14:textId="77777777" w:rsidR="00F23FB0" w:rsidRPr="00F23FB0" w:rsidRDefault="00F23FB0" w:rsidP="00037CFC">
      <w:pPr>
        <w:numPr>
          <w:ilvl w:val="0"/>
          <w:numId w:val="5"/>
        </w:numPr>
        <w:spacing w:line="480" w:lineRule="auto"/>
        <w:jc w:val="both"/>
        <w:rPr>
          <w:color w:val="000000"/>
          <w:sz w:val="24"/>
          <w:szCs w:val="24"/>
        </w:rPr>
      </w:pPr>
      <w:r w:rsidRPr="00F23FB0">
        <w:rPr>
          <w:color w:val="000000"/>
          <w:sz w:val="24"/>
          <w:szCs w:val="24"/>
        </w:rPr>
        <w:lastRenderedPageBreak/>
        <w:t xml:space="preserve">Akinyemi, A. J., </w:t>
      </w:r>
      <w:proofErr w:type="spellStart"/>
      <w:r w:rsidRPr="00F23FB0">
        <w:rPr>
          <w:color w:val="000000"/>
          <w:sz w:val="24"/>
          <w:szCs w:val="24"/>
        </w:rPr>
        <w:t>Oboh</w:t>
      </w:r>
      <w:proofErr w:type="spellEnd"/>
      <w:r w:rsidRPr="00F23FB0">
        <w:rPr>
          <w:color w:val="000000"/>
          <w:sz w:val="24"/>
          <w:szCs w:val="24"/>
        </w:rPr>
        <w:t xml:space="preserve">, G., </w:t>
      </w:r>
      <w:proofErr w:type="spellStart"/>
      <w:r w:rsidRPr="00F23FB0">
        <w:rPr>
          <w:color w:val="000000"/>
          <w:sz w:val="24"/>
          <w:szCs w:val="24"/>
        </w:rPr>
        <w:t>Ogunsuyi</w:t>
      </w:r>
      <w:proofErr w:type="spellEnd"/>
      <w:r w:rsidRPr="00F23FB0">
        <w:rPr>
          <w:color w:val="000000"/>
          <w:sz w:val="24"/>
          <w:szCs w:val="24"/>
        </w:rPr>
        <w:t xml:space="preserve">, O., </w:t>
      </w:r>
      <w:proofErr w:type="spellStart"/>
      <w:r w:rsidRPr="00F23FB0">
        <w:rPr>
          <w:color w:val="000000"/>
          <w:sz w:val="24"/>
          <w:szCs w:val="24"/>
        </w:rPr>
        <w:t>Abolaji</w:t>
      </w:r>
      <w:proofErr w:type="spellEnd"/>
      <w:r w:rsidRPr="00F23FB0">
        <w:rPr>
          <w:color w:val="000000"/>
          <w:sz w:val="24"/>
          <w:szCs w:val="24"/>
        </w:rPr>
        <w:t xml:space="preserve">, A. O., &amp; </w:t>
      </w:r>
      <w:proofErr w:type="spellStart"/>
      <w:r w:rsidRPr="00F23FB0">
        <w:rPr>
          <w:color w:val="000000"/>
          <w:sz w:val="24"/>
          <w:szCs w:val="24"/>
        </w:rPr>
        <w:t>Udofia</w:t>
      </w:r>
      <w:proofErr w:type="spellEnd"/>
      <w:r w:rsidRPr="00F23FB0">
        <w:rPr>
          <w:color w:val="000000"/>
          <w:sz w:val="24"/>
          <w:szCs w:val="24"/>
        </w:rPr>
        <w:t>, A. (2018). Curcumin-supplemented diets improve antioxidant enzymes and alter acetylcholinesterase genes expression level in Drosophila melanogaster model. Metabolic brain disease, 33, 369-375.</w:t>
      </w:r>
    </w:p>
    <w:p w14:paraId="69248263" w14:textId="77777777" w:rsidR="00F23FB0" w:rsidRPr="00F23FB0" w:rsidRDefault="00F23FB0" w:rsidP="00037CFC">
      <w:pPr>
        <w:numPr>
          <w:ilvl w:val="0"/>
          <w:numId w:val="5"/>
        </w:numPr>
        <w:spacing w:line="480" w:lineRule="auto"/>
        <w:jc w:val="both"/>
        <w:rPr>
          <w:color w:val="000000"/>
          <w:sz w:val="24"/>
          <w:szCs w:val="24"/>
        </w:rPr>
      </w:pPr>
      <w:proofErr w:type="spellStart"/>
      <w:r w:rsidRPr="00F23FB0">
        <w:rPr>
          <w:color w:val="000000"/>
          <w:sz w:val="24"/>
          <w:szCs w:val="24"/>
        </w:rPr>
        <w:t>Bertero</w:t>
      </w:r>
      <w:proofErr w:type="spellEnd"/>
      <w:r w:rsidRPr="00F23FB0">
        <w:rPr>
          <w:color w:val="000000"/>
          <w:sz w:val="24"/>
          <w:szCs w:val="24"/>
        </w:rPr>
        <w:t xml:space="preserve">, E., &amp; </w:t>
      </w:r>
      <w:proofErr w:type="spellStart"/>
      <w:r w:rsidRPr="00F23FB0">
        <w:rPr>
          <w:color w:val="000000"/>
          <w:sz w:val="24"/>
          <w:szCs w:val="24"/>
        </w:rPr>
        <w:t>Maack</w:t>
      </w:r>
      <w:proofErr w:type="spellEnd"/>
      <w:r w:rsidRPr="00F23FB0">
        <w:rPr>
          <w:color w:val="000000"/>
          <w:sz w:val="24"/>
          <w:szCs w:val="24"/>
        </w:rPr>
        <w:t>, C. (2018). Calcium signaling and reactive oxygen species in mitochondria. Circulation research, 122(10), 1460-1478.</w:t>
      </w:r>
    </w:p>
    <w:p w14:paraId="09762043" w14:textId="38AAF39F" w:rsidR="00F23FB0" w:rsidRPr="001B3871" w:rsidRDefault="00F23FB0" w:rsidP="00037CFC">
      <w:pPr>
        <w:numPr>
          <w:ilvl w:val="0"/>
          <w:numId w:val="5"/>
        </w:numPr>
        <w:spacing w:line="480" w:lineRule="auto"/>
        <w:jc w:val="both"/>
        <w:rPr>
          <w:color w:val="000000"/>
          <w:sz w:val="24"/>
          <w:szCs w:val="24"/>
        </w:rPr>
      </w:pPr>
      <w:r w:rsidRPr="00F23FB0">
        <w:rPr>
          <w:color w:val="000000"/>
          <w:sz w:val="24"/>
          <w:szCs w:val="24"/>
        </w:rPr>
        <w:t xml:space="preserve">Patel, S. S., Acharya, A., Ray, R. S., Agrawal, R., </w:t>
      </w:r>
      <w:proofErr w:type="spellStart"/>
      <w:r w:rsidRPr="00F23FB0">
        <w:rPr>
          <w:color w:val="000000"/>
          <w:sz w:val="24"/>
          <w:szCs w:val="24"/>
        </w:rPr>
        <w:t>Raghuwanshi</w:t>
      </w:r>
      <w:proofErr w:type="spellEnd"/>
      <w:r w:rsidRPr="00F23FB0">
        <w:rPr>
          <w:color w:val="000000"/>
          <w:sz w:val="24"/>
          <w:szCs w:val="24"/>
        </w:rPr>
        <w:t>, R., &amp; Jain, P. (2020). Cellular and molecular mechanisms of curcumin in prevention and treatment of disease. Critical reviews in food science and nutrition, 60(6), 887-939.</w:t>
      </w:r>
    </w:p>
    <w:p w14:paraId="7051C0EE" w14:textId="77777777" w:rsidR="002908BE" w:rsidRPr="001B3871" w:rsidRDefault="002908BE">
      <w:pPr>
        <w:spacing w:line="360" w:lineRule="auto"/>
        <w:jc w:val="both"/>
        <w:rPr>
          <w:color w:val="000000"/>
          <w:sz w:val="24"/>
          <w:szCs w:val="24"/>
        </w:rPr>
      </w:pPr>
      <w:bookmarkStart w:id="4" w:name="_GoBack"/>
      <w:bookmarkEnd w:id="4"/>
    </w:p>
    <w:sectPr w:rsidR="002908BE" w:rsidRPr="001B3871">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B3A9E" w14:textId="77777777" w:rsidR="001B3871" w:rsidRDefault="001B3871">
      <w:pPr>
        <w:spacing w:after="0" w:line="240" w:lineRule="auto"/>
      </w:pPr>
      <w:r>
        <w:separator/>
      </w:r>
    </w:p>
  </w:endnote>
  <w:endnote w:type="continuationSeparator" w:id="0">
    <w:p w14:paraId="542E497B" w14:textId="77777777" w:rsidR="001B3871" w:rsidRDefault="001B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20007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EFAEB" w14:textId="77777777" w:rsidR="002908BE" w:rsidRDefault="00290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5AB15" w14:textId="77777777" w:rsidR="002908BE" w:rsidRDefault="00290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53BCC" w14:textId="77777777" w:rsidR="001B3871" w:rsidRDefault="001B3871">
      <w:pPr>
        <w:spacing w:after="0" w:line="240" w:lineRule="auto"/>
      </w:pPr>
      <w:r>
        <w:separator/>
      </w:r>
    </w:p>
  </w:footnote>
  <w:footnote w:type="continuationSeparator" w:id="0">
    <w:p w14:paraId="153BF6EF" w14:textId="77777777" w:rsidR="001B3871" w:rsidRDefault="001B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21AFD" w14:textId="77777777" w:rsidR="002908BE" w:rsidRDefault="00037CFC">
    <w:pPr>
      <w:pStyle w:val="Header"/>
    </w:pPr>
    <w:r>
      <w:rPr>
        <w:noProof/>
      </w:rPr>
      <w:pict w14:anchorId="589A9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55D26" w14:textId="77777777" w:rsidR="002908BE" w:rsidRDefault="00037CFC">
    <w:pPr>
      <w:pStyle w:val="Header"/>
    </w:pPr>
    <w:r>
      <w:rPr>
        <w:noProof/>
      </w:rPr>
      <w:pict w14:anchorId="3E3B8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95917" w14:textId="77777777" w:rsidR="002908BE" w:rsidRDefault="00037CFC">
    <w:pPr>
      <w:pStyle w:val="Header"/>
    </w:pPr>
    <w:r>
      <w:rPr>
        <w:noProof/>
      </w:rPr>
      <w:pict w14:anchorId="0CC2B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3"/>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1BA12E1F"/>
    <w:multiLevelType w:val="hybridMultilevel"/>
    <w:tmpl w:val="1848C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212B4"/>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wtrA0s7Q0MjUzMzJW0lEKTi0uzszPAykwrAUAorzSfiwAAAA="/>
  </w:docVars>
  <w:rsids>
    <w:rsidRoot w:val="002908BE"/>
    <w:rsid w:val="00035F0C"/>
    <w:rsid w:val="00037CFC"/>
    <w:rsid w:val="000C0FA5"/>
    <w:rsid w:val="00142D56"/>
    <w:rsid w:val="00164143"/>
    <w:rsid w:val="0019434E"/>
    <w:rsid w:val="001B1CF2"/>
    <w:rsid w:val="001B3871"/>
    <w:rsid w:val="002908BE"/>
    <w:rsid w:val="006601A9"/>
    <w:rsid w:val="00840899"/>
    <w:rsid w:val="009A3CD1"/>
    <w:rsid w:val="00AA3A8B"/>
    <w:rsid w:val="00B15935"/>
    <w:rsid w:val="00B7492D"/>
    <w:rsid w:val="00BA5949"/>
    <w:rsid w:val="00BF7747"/>
    <w:rsid w:val="00C77AF1"/>
    <w:rsid w:val="00C9082E"/>
    <w:rsid w:val="00D70CCC"/>
    <w:rsid w:val="00D97DD8"/>
    <w:rsid w:val="00DE35B8"/>
    <w:rsid w:val="00F23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937C8FE"/>
  <w15:docId w15:val="{E6AA4454-B0A8-4DD6-9E02-CA633467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uiPriority w:val="9"/>
    <w:qFormat/>
    <w:pPr>
      <w:spacing w:after="0" w:line="240" w:lineRule="auto"/>
      <w:jc w:val="both"/>
      <w:outlineLvl w:val="0"/>
    </w:pPr>
    <w:rPr>
      <w:rFonts w:ascii="Arial" w:eastAsia="TimesNewRomanPSMT" w:hAnsi="Arial" w:cs="Arial"/>
      <w:b/>
      <w:bCs/>
      <w:color w:val="000000"/>
      <w:sz w:val="21"/>
      <w:lang w:eastAsia="it-IT"/>
    </w:rPr>
  </w:style>
  <w:style w:type="paragraph" w:styleId="Heading2">
    <w:name w:val="heading 2"/>
    <w:uiPriority w:val="9"/>
    <w:semiHidden/>
    <w:unhideWhenUsed/>
    <w:qFormat/>
    <w:pPr>
      <w:autoSpaceDE w:val="0"/>
      <w:autoSpaceDN w:val="0"/>
      <w:adjustRightInd w:val="0"/>
      <w:jc w:val="both"/>
      <w:outlineLvl w:val="1"/>
    </w:pPr>
    <w:rPr>
      <w:rFonts w:ascii="Times New Roman" w:hAnsi="Times New Roman"/>
      <w:i/>
      <w:color w:val="231F20"/>
      <w:sz w:val="21"/>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pPr>
      <w:tabs>
        <w:tab w:val="center" w:pos="4320"/>
        <w:tab w:val="right" w:pos="8640"/>
      </w:tabs>
      <w:spacing w:after="0" w:line="240" w:lineRule="auto"/>
    </w:pPr>
    <w:rPr>
      <w:rFonts w:ascii="Times New Roman" w:hAnsi="Times New Roman"/>
    </w:rPr>
  </w:style>
  <w:style w:type="character" w:styleId="Hyperlink">
    <w:name w:val="Hyperlink"/>
    <w:uiPriority w:val="99"/>
    <w:rPr>
      <w:color w:val="0000FF"/>
      <w:u w:val="single"/>
    </w:rPr>
  </w:style>
  <w:style w:type="character" w:customStyle="1" w:styleId="UnresolvedMention1">
    <w:name w:val="Unresolved Mention1"/>
    <w:uiPriority w:val="99"/>
    <w:rPr>
      <w:color w:val="605E5C"/>
      <w:shd w:val="clear" w:color="auto" w:fill="E1DFDD"/>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2"/>
      <w:szCs w:val="22"/>
      <w:lang w:eastAsia="zh-CN"/>
    </w:rPr>
  </w:style>
  <w:style w:type="paragraph" w:styleId="BodyText">
    <w:name w:val="Body Text"/>
    <w:basedOn w:val="Normal"/>
    <w:pPr>
      <w:spacing w:after="0"/>
      <w:jc w:val="both"/>
    </w:pPr>
    <w:rPr>
      <w:rFonts w:ascii="Helvetica" w:eastAsia="MS Mincho" w:hAnsi="Helvetica" w:cs="Helvetica"/>
      <w:sz w:val="24"/>
      <w:szCs w:val="24"/>
      <w:lang w:val="fr-FR" w:eastAsia="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Default">
    <w:name w:val="&quot;Default&quot;"/>
    <w:pPr>
      <w:widowControl w:val="0"/>
      <w:autoSpaceDE w:val="0"/>
      <w:autoSpaceDN w:val="0"/>
      <w:adjustRightInd w:val="0"/>
    </w:pPr>
    <w:rPr>
      <w:rFonts w:eastAsia="Times New Roman" w:cs="Calibri"/>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16</Pages>
  <Words>3485</Words>
  <Characters>19867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SDI PC New 16</cp:lastModifiedBy>
  <cp:revision>61</cp:revision>
  <dcterms:created xsi:type="dcterms:W3CDTF">2025-03-25T08:16:00Z</dcterms:created>
  <dcterms:modified xsi:type="dcterms:W3CDTF">2025-04-25T07:37:00Z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1781885b50924ec8a96b0a9b20a8d9bd</vt:lpwstr>
  </property>
</Properties>
</file>