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CFA41" w14:textId="2637E6E3" w:rsidR="001764DE" w:rsidRPr="00EB1704" w:rsidRDefault="001764DE" w:rsidP="001764DE">
      <w:pPr>
        <w:pStyle w:val="NoSpacing"/>
        <w:spacing w:before="120" w:after="120" w:line="480" w:lineRule="auto"/>
        <w:ind w:left="0" w:hanging="14"/>
        <w:jc w:val="center"/>
        <w:rPr>
          <w:b/>
          <w:bCs/>
          <w:color w:val="181717"/>
          <w:sz w:val="24"/>
        </w:rPr>
      </w:pPr>
      <w:r w:rsidRPr="00EB1704">
        <w:rPr>
          <w:b/>
          <w:bCs/>
          <w:color w:val="181717"/>
          <w:sz w:val="24"/>
        </w:rPr>
        <w:t>Spectrophotometric Investigation of the Solubilization and Thermodynamics of Eriochrome Blue Black R in Cationic, Nonionic</w:t>
      </w:r>
      <w:r w:rsidR="001F4D37">
        <w:rPr>
          <w:b/>
          <w:bCs/>
          <w:color w:val="181717"/>
          <w:sz w:val="24"/>
        </w:rPr>
        <w:t xml:space="preserve"> </w:t>
      </w:r>
      <w:r w:rsidRPr="00EB1704">
        <w:rPr>
          <w:b/>
          <w:bCs/>
          <w:color w:val="181717"/>
          <w:sz w:val="24"/>
        </w:rPr>
        <w:t>and Zwitterionic Surfactant Systems</w:t>
      </w:r>
    </w:p>
    <w:p w14:paraId="4AE8EB0C" w14:textId="77777777" w:rsidR="005E1B7C" w:rsidRPr="00EB1704" w:rsidRDefault="005E1B7C" w:rsidP="001764DE">
      <w:pPr>
        <w:pStyle w:val="NoSpacing"/>
        <w:spacing w:line="480" w:lineRule="auto"/>
        <w:ind w:left="0"/>
        <w:rPr>
          <w:b/>
          <w:bCs/>
          <w:sz w:val="24"/>
        </w:rPr>
      </w:pPr>
    </w:p>
    <w:p w14:paraId="259FE081" w14:textId="4F45FC32" w:rsidR="001764DE" w:rsidRPr="00EB1704" w:rsidRDefault="001764DE" w:rsidP="001764DE">
      <w:pPr>
        <w:pStyle w:val="NoSpacing"/>
        <w:spacing w:line="480" w:lineRule="auto"/>
        <w:ind w:left="0"/>
        <w:rPr>
          <w:b/>
          <w:bCs/>
          <w:sz w:val="24"/>
        </w:rPr>
      </w:pPr>
      <w:r w:rsidRPr="00EB1704">
        <w:rPr>
          <w:b/>
          <w:bCs/>
          <w:sz w:val="24"/>
        </w:rPr>
        <w:t>Abstract</w:t>
      </w:r>
      <w:bookmarkStart w:id="0" w:name="_GoBack"/>
      <w:bookmarkEnd w:id="0"/>
    </w:p>
    <w:p w14:paraId="01746E30" w14:textId="00AC0203" w:rsidR="001764DE" w:rsidRPr="00EB1704" w:rsidRDefault="00F165C9" w:rsidP="00811F6F">
      <w:pPr>
        <w:pStyle w:val="NoSpacing"/>
        <w:spacing w:line="480" w:lineRule="auto"/>
        <w:ind w:left="0"/>
        <w:rPr>
          <w:bCs/>
          <w:sz w:val="24"/>
        </w:rPr>
      </w:pPr>
      <w:r w:rsidRPr="00EB1704">
        <w:rPr>
          <w:bCs/>
          <w:sz w:val="24"/>
          <w:lang w:val="en-GB"/>
        </w:rPr>
        <w:t xml:space="preserve">This study investigates the interactions between the anionic dye Eriochrome Blue Black R and three types of surfactants (cationic CTAB, </w:t>
      </w:r>
      <w:proofErr w:type="spellStart"/>
      <w:r w:rsidRPr="00EB1704">
        <w:rPr>
          <w:bCs/>
          <w:sz w:val="24"/>
          <w:lang w:val="en-GB"/>
        </w:rPr>
        <w:t>nonionic</w:t>
      </w:r>
      <w:proofErr w:type="spellEnd"/>
      <w:r w:rsidRPr="00EB1704">
        <w:rPr>
          <w:bCs/>
          <w:sz w:val="24"/>
          <w:lang w:val="en-GB"/>
        </w:rPr>
        <w:t xml:space="preserve"> TX-100, and zwitterionic CAPB) using UV-visible spectrophotometry</w:t>
      </w:r>
      <w:r w:rsidR="00811F6F" w:rsidRPr="00EB1704">
        <w:rPr>
          <w:bCs/>
          <w:sz w:val="24"/>
          <w:lang w:val="en-GB"/>
        </w:rPr>
        <w:t xml:space="preserve">. </w:t>
      </w:r>
      <w:r w:rsidR="00811F6F" w:rsidRPr="00EB1704">
        <w:rPr>
          <w:sz w:val="24"/>
        </w:rPr>
        <w:t xml:space="preserve">The solubilization efficiency and thermodynamics of dye-surfactant interactions was evaluated by determining binding constants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00811F6F" w:rsidRPr="00EB1704">
        <w:rPr>
          <w:sz w:val="24"/>
        </w:rPr>
        <w:t xml:space="preserve"> and partition coefficients </w:t>
      </w:r>
      <m:oMath>
        <m:sSub>
          <m:sSubPr>
            <m:ctrlPr>
              <w:rPr>
                <w:rFonts w:ascii="Cambria Math" w:hAnsi="Cambria Math"/>
                <w:i/>
                <w:sz w:val="24"/>
                <w:vertAlign w:val="subscript"/>
              </w:rPr>
            </m:ctrlPr>
          </m:sSubPr>
          <m:e>
            <m:r>
              <w:rPr>
                <w:rFonts w:ascii="Cambria Math" w:hAnsi="Cambria Math"/>
                <w:sz w:val="24"/>
                <w:vertAlign w:val="subscript"/>
              </w:rPr>
              <m:t>K</m:t>
            </m:r>
          </m:e>
          <m:sub>
            <m:r>
              <w:rPr>
                <w:rFonts w:ascii="Cambria Math" w:hAnsi="Cambria Math"/>
                <w:sz w:val="24"/>
                <w:vertAlign w:val="subscript"/>
              </w:rPr>
              <m:t>X</m:t>
            </m:r>
          </m:sub>
        </m:sSub>
      </m:oMath>
      <w:r w:rsidR="00811F6F" w:rsidRPr="00EB1704">
        <w:rPr>
          <w:sz w:val="24"/>
          <w:vertAlign w:val="subscript"/>
        </w:rPr>
        <w:t xml:space="preserve"> </w:t>
      </w:r>
      <w:r w:rsidR="00811F6F" w:rsidRPr="00EB1704">
        <w:rPr>
          <w:sz w:val="24"/>
        </w:rPr>
        <w:t>for each surfactant system</w:t>
      </w:r>
      <w:r w:rsidR="006E2206" w:rsidRPr="00EB1704">
        <w:rPr>
          <w:sz w:val="24"/>
        </w:rPr>
        <w:t>s</w:t>
      </w:r>
      <w:r w:rsidR="00811F6F" w:rsidRPr="00EB1704">
        <w:rPr>
          <w:sz w:val="24"/>
        </w:rPr>
        <w:t>,</w:t>
      </w:r>
      <w:r w:rsidR="00811F6F" w:rsidRPr="00EB1704">
        <w:rPr>
          <w:bCs/>
          <w:sz w:val="24"/>
          <w:lang w:val="en-GB"/>
        </w:rPr>
        <w:t xml:space="preserve"> </w:t>
      </w:r>
      <w:r w:rsidRPr="00EB1704">
        <w:rPr>
          <w:bCs/>
          <w:sz w:val="24"/>
          <w:lang w:val="en-GB"/>
        </w:rPr>
        <w:t xml:space="preserve">and </w:t>
      </w:r>
      <w:r w:rsidR="00811F6F" w:rsidRPr="00EB1704">
        <w:rPr>
          <w:bCs/>
          <w:sz w:val="24"/>
          <w:lang w:val="en-GB"/>
        </w:rPr>
        <w:t xml:space="preserve">it was found </w:t>
      </w:r>
      <w:r w:rsidRPr="00EB1704">
        <w:rPr>
          <w:bCs/>
          <w:sz w:val="24"/>
          <w:lang w:val="en-GB"/>
        </w:rPr>
        <w:t>that CTAB exhibits the highest solubilization efficiency due to strong electrostatic attraction. The thermodynamic analysis confirms that these dye-surfactant interactions are spontaneous, with electrostatic and hydrophobic forces playing a key role</w:t>
      </w:r>
      <w:r w:rsidR="001764DE" w:rsidRPr="00EB1704">
        <w:rPr>
          <w:sz w:val="24"/>
        </w:rPr>
        <w:t>. The nonionic TX-100 and zwitterionic CAPB demonstrated comparatively lower dye-binding capabilities. These findings provide valuable insights into dye-surfactant systems, which are relevant to applications in wastewater treatment, dye removal, and formulation chemistry.</w:t>
      </w:r>
    </w:p>
    <w:p w14:paraId="109FF7A9" w14:textId="638F2A4A" w:rsidR="001764DE" w:rsidRPr="00EB1704" w:rsidRDefault="001764DE" w:rsidP="002212FE">
      <w:pPr>
        <w:pStyle w:val="NoSpacing"/>
        <w:spacing w:line="480" w:lineRule="auto"/>
        <w:ind w:left="0"/>
        <w:rPr>
          <w:sz w:val="24"/>
        </w:rPr>
        <w:sectPr w:rsidR="001764DE" w:rsidRPr="00EB1704" w:rsidSect="001764DE">
          <w:headerReference w:type="even" r:id="rId7"/>
          <w:headerReference w:type="default" r:id="rId8"/>
          <w:footerReference w:type="even" r:id="rId9"/>
          <w:footerReference w:type="default" r:id="rId10"/>
          <w:headerReference w:type="first" r:id="rId11"/>
          <w:footerReference w:type="first" r:id="rId12"/>
          <w:pgSz w:w="11906" w:h="15874"/>
          <w:pgMar w:top="1440" w:right="830" w:bottom="1440" w:left="655" w:header="720" w:footer="720" w:gutter="0"/>
          <w:cols w:space="720"/>
        </w:sectPr>
      </w:pPr>
      <w:r w:rsidRPr="00EB1704">
        <w:rPr>
          <w:b/>
          <w:bCs/>
          <w:sz w:val="24"/>
        </w:rPr>
        <w:t>Keywords</w:t>
      </w:r>
      <w:r w:rsidRPr="00EB1704">
        <w:rPr>
          <w:sz w:val="24"/>
        </w:rPr>
        <w:t xml:space="preserve">: </w:t>
      </w:r>
      <w:r w:rsidR="00D13BD7" w:rsidRPr="00EB1704">
        <w:rPr>
          <w:sz w:val="24"/>
        </w:rPr>
        <w:t>Eriochrome Blue Black R (</w:t>
      </w:r>
      <w:r w:rsidRPr="00EB1704">
        <w:rPr>
          <w:sz w:val="24"/>
        </w:rPr>
        <w:t>EBBR</w:t>
      </w:r>
      <w:r w:rsidR="00D13BD7" w:rsidRPr="00EB1704">
        <w:rPr>
          <w:sz w:val="24"/>
        </w:rPr>
        <w:t>)</w:t>
      </w:r>
      <w:r w:rsidRPr="00EB1704">
        <w:rPr>
          <w:sz w:val="24"/>
        </w:rPr>
        <w:t>,</w:t>
      </w:r>
      <w:r w:rsidR="00D13BD7" w:rsidRPr="00EB1704">
        <w:rPr>
          <w:sz w:val="24"/>
        </w:rPr>
        <w:t xml:space="preserve"> Cetyltrimethylammonium </w:t>
      </w:r>
      <w:r w:rsidR="002212FE" w:rsidRPr="00EB1704">
        <w:rPr>
          <w:sz w:val="24"/>
        </w:rPr>
        <w:t>B</w:t>
      </w:r>
      <w:r w:rsidR="00D13BD7" w:rsidRPr="00EB1704">
        <w:rPr>
          <w:sz w:val="24"/>
        </w:rPr>
        <w:t>romide</w:t>
      </w:r>
      <w:r w:rsidRPr="00EB1704">
        <w:rPr>
          <w:sz w:val="24"/>
        </w:rPr>
        <w:t xml:space="preserve"> </w:t>
      </w:r>
      <w:r w:rsidR="00D13BD7" w:rsidRPr="00EB1704">
        <w:rPr>
          <w:sz w:val="24"/>
        </w:rPr>
        <w:t>(</w:t>
      </w:r>
      <w:r w:rsidRPr="00EB1704">
        <w:rPr>
          <w:sz w:val="24"/>
        </w:rPr>
        <w:t>CTAB</w:t>
      </w:r>
      <w:r w:rsidR="00D13BD7" w:rsidRPr="00EB1704">
        <w:rPr>
          <w:sz w:val="24"/>
        </w:rPr>
        <w:t>)</w:t>
      </w:r>
      <w:r w:rsidRPr="00EB1704">
        <w:rPr>
          <w:sz w:val="24"/>
        </w:rPr>
        <w:t xml:space="preserve">, </w:t>
      </w:r>
      <w:proofErr w:type="spellStart"/>
      <w:r w:rsidR="00D13BD7" w:rsidRPr="00EB1704">
        <w:rPr>
          <w:sz w:val="24"/>
        </w:rPr>
        <w:t>Cocamidopropyl</w:t>
      </w:r>
      <w:proofErr w:type="spellEnd"/>
      <w:r w:rsidR="00D13BD7" w:rsidRPr="00EB1704">
        <w:rPr>
          <w:sz w:val="24"/>
        </w:rPr>
        <w:t xml:space="preserve"> Betaine (</w:t>
      </w:r>
      <w:r w:rsidRPr="00EB1704">
        <w:rPr>
          <w:sz w:val="24"/>
        </w:rPr>
        <w:t>CAPB</w:t>
      </w:r>
      <w:r w:rsidR="00D13BD7" w:rsidRPr="00EB1704">
        <w:rPr>
          <w:sz w:val="24"/>
        </w:rPr>
        <w:t>)</w:t>
      </w:r>
      <w:r w:rsidRPr="00EB1704">
        <w:rPr>
          <w:sz w:val="24"/>
        </w:rPr>
        <w:t xml:space="preserve">, </w:t>
      </w:r>
      <w:r w:rsidR="00410B5E" w:rsidRPr="00EB1704">
        <w:rPr>
          <w:sz w:val="24"/>
        </w:rPr>
        <w:t>Triton-X-100 (</w:t>
      </w:r>
      <w:r w:rsidRPr="00EB1704">
        <w:rPr>
          <w:sz w:val="24"/>
        </w:rPr>
        <w:t>TX-100</w:t>
      </w:r>
      <w:r w:rsidR="00410B5E" w:rsidRPr="00EB1704">
        <w:rPr>
          <w:sz w:val="24"/>
        </w:rPr>
        <w:t>)</w:t>
      </w:r>
      <w:r w:rsidRPr="00EB1704">
        <w:rPr>
          <w:sz w:val="24"/>
        </w:rPr>
        <w:t>, Surfactant, Micelles.</w:t>
      </w:r>
    </w:p>
    <w:p w14:paraId="1A4513DF" w14:textId="0EB57D28" w:rsidR="001764DE" w:rsidRPr="00EB1704" w:rsidRDefault="001764DE" w:rsidP="00072A54">
      <w:pPr>
        <w:spacing w:line="480" w:lineRule="auto"/>
        <w:ind w:left="0" w:firstLine="0"/>
        <w:rPr>
          <w:b/>
          <w:bCs/>
          <w:sz w:val="24"/>
        </w:rPr>
      </w:pPr>
    </w:p>
    <w:p w14:paraId="7C0E5488" w14:textId="77777777" w:rsidR="006E2206" w:rsidRPr="00EB1704" w:rsidRDefault="006E2206" w:rsidP="00072A54">
      <w:pPr>
        <w:spacing w:line="480" w:lineRule="auto"/>
        <w:ind w:left="0" w:firstLine="0"/>
        <w:rPr>
          <w:b/>
          <w:bCs/>
          <w:sz w:val="24"/>
        </w:rPr>
      </w:pPr>
    </w:p>
    <w:p w14:paraId="104216C4" w14:textId="77777777" w:rsidR="006E2206" w:rsidRPr="00EB1704" w:rsidRDefault="006E2206" w:rsidP="00072A54">
      <w:pPr>
        <w:spacing w:line="480" w:lineRule="auto"/>
        <w:ind w:left="0" w:firstLine="0"/>
        <w:rPr>
          <w:b/>
          <w:bCs/>
          <w:sz w:val="24"/>
        </w:rPr>
      </w:pPr>
    </w:p>
    <w:p w14:paraId="324ABD38" w14:textId="77777777" w:rsidR="006E2206" w:rsidRPr="00EB1704" w:rsidRDefault="006E2206" w:rsidP="00072A54">
      <w:pPr>
        <w:spacing w:line="480" w:lineRule="auto"/>
        <w:ind w:left="0" w:firstLine="0"/>
        <w:rPr>
          <w:b/>
          <w:bCs/>
          <w:sz w:val="24"/>
        </w:rPr>
      </w:pPr>
    </w:p>
    <w:p w14:paraId="425CD41B" w14:textId="77777777" w:rsidR="006E2206" w:rsidRPr="00EB1704" w:rsidRDefault="006E2206" w:rsidP="00072A54">
      <w:pPr>
        <w:spacing w:line="480" w:lineRule="auto"/>
        <w:ind w:left="0" w:firstLine="0"/>
        <w:rPr>
          <w:b/>
          <w:bCs/>
          <w:sz w:val="24"/>
        </w:rPr>
      </w:pPr>
    </w:p>
    <w:p w14:paraId="40BBE1D7" w14:textId="77777777" w:rsidR="006E2206" w:rsidRPr="00EB1704" w:rsidRDefault="006E2206" w:rsidP="00072A54">
      <w:pPr>
        <w:spacing w:line="480" w:lineRule="auto"/>
        <w:ind w:left="0" w:firstLine="0"/>
        <w:rPr>
          <w:b/>
          <w:bCs/>
          <w:sz w:val="24"/>
        </w:rPr>
      </w:pPr>
    </w:p>
    <w:p w14:paraId="12CDEA8E" w14:textId="77777777" w:rsidR="006E2206" w:rsidRPr="00EB1704" w:rsidRDefault="006E2206" w:rsidP="00072A54">
      <w:pPr>
        <w:spacing w:line="480" w:lineRule="auto"/>
        <w:ind w:left="0" w:firstLine="0"/>
        <w:rPr>
          <w:b/>
          <w:bCs/>
          <w:sz w:val="24"/>
        </w:rPr>
      </w:pPr>
    </w:p>
    <w:p w14:paraId="127E9692" w14:textId="698DFCB6" w:rsidR="008E7020" w:rsidRPr="00EB1704" w:rsidRDefault="001764DE" w:rsidP="008E7020">
      <w:pPr>
        <w:pStyle w:val="Heading2"/>
        <w:numPr>
          <w:ilvl w:val="0"/>
          <w:numId w:val="10"/>
        </w:numPr>
        <w:spacing w:line="480" w:lineRule="auto"/>
        <w:ind w:left="0"/>
        <w:rPr>
          <w:rFonts w:ascii="Times New Roman" w:hAnsi="Times New Roman" w:cs="Times New Roman"/>
          <w:b/>
          <w:bCs/>
          <w:sz w:val="24"/>
          <w:szCs w:val="24"/>
        </w:rPr>
      </w:pPr>
      <w:r w:rsidRPr="00EB1704">
        <w:rPr>
          <w:rFonts w:ascii="Times New Roman" w:hAnsi="Times New Roman" w:cs="Times New Roman"/>
          <w:b/>
          <w:bCs/>
          <w:sz w:val="24"/>
          <w:szCs w:val="24"/>
        </w:rPr>
        <w:lastRenderedPageBreak/>
        <w:t>Introduction</w:t>
      </w:r>
      <w:r w:rsidR="008E7020" w:rsidRPr="00EB1704">
        <w:rPr>
          <w:rFonts w:ascii="Times New Roman" w:hAnsi="Times New Roman" w:cs="Times New Roman"/>
          <w:b/>
          <w:bCs/>
          <w:sz w:val="24"/>
          <w:szCs w:val="24"/>
        </w:rPr>
        <w:t xml:space="preserve"> </w:t>
      </w:r>
    </w:p>
    <w:p w14:paraId="474623F3" w14:textId="44675C4F" w:rsidR="008E7020" w:rsidRPr="00EB1704" w:rsidRDefault="008E7020" w:rsidP="008E7020">
      <w:pPr>
        <w:spacing w:line="480" w:lineRule="auto"/>
        <w:rPr>
          <w:sz w:val="24"/>
        </w:rPr>
      </w:pPr>
      <w:r w:rsidRPr="00EB1704">
        <w:rPr>
          <w:sz w:val="24"/>
        </w:rPr>
        <w:t>Surfactants constitute a broad class of amphiphilic compounds that play a central role in numerous industrial and consumer applications, including detergents, emulsifiers, foaming agents, and dispersants [1]. Owing to their versatility, surfactants are ubiquitous in everyday products such as food, beverages, textiles, and automotive components, and thus are integral to modern life. Their widespread use significantly influences public health and quality of life [2]. Among the largest markets for surfactants are industrial processing, where they act as emulsifiers, dispersants, and cleaning agents and personal care products, including shampoos, detergents, and cosmetics. Structurally, surfactants possess a non-polar (hydrophobic) tail and a polar (hydrophilic) head, enabling solubility in both aqueous and organic media [3]. This amphipathic structure underpins two fundamental behaviors: adsorption at interfaces and self-assembly into micelles when the surfactant concentration exceeds the critical micelle concentration (CMC) [4]. Micellization is influenced by various physicochemical factors, including surfactant concentration, temperature, ionic strength, solvent polarity, and the presence of co-surfactants or counter-ions [5]. Common methods for CMC determination include fluorometry, conductometry, surface tension measurement, and UV-visible spectroscopy [6]. Micelles feature a hydrophilic outer shell and a hydrophobic core, allowing for the encapsulation of both polar and non-polar solutes in a process known as solubilization [7]. This property is especially useful for enhancing the aqueous solubility of poorly soluble compounds. The use of mixed surfactant systems particularly those combining ionic and non-ionic surfactants has demonstrated advantages such as enhanced solubilization efficiency, reduced CMC values, and improved micelle stability and tunability [8]. These hybrid systems exhibit robust performance across diverse environmental conditions, including variations in pH, salinity, and temperature, making them suitable for applications in enhanced oil recovery, flotation processes, and targeted drug delivery [9]. Surfactants are typically classified based on the nature of their hydrophilic head groups into four major categories: anionic, cationic, non-ionic, and amphoteric (or zwitterionic) surfactants [10]. This classification is crucial, as it dictates surfactant interactions with other chemical species, including dyes.</w:t>
      </w:r>
    </w:p>
    <w:p w14:paraId="503482F5" w14:textId="19596BA0" w:rsidR="008E7020" w:rsidRPr="00EB1704" w:rsidRDefault="008E7020" w:rsidP="00264ACF">
      <w:pPr>
        <w:spacing w:line="480" w:lineRule="auto"/>
        <w:rPr>
          <w:sz w:val="24"/>
        </w:rPr>
      </w:pPr>
      <w:r w:rsidRPr="00EB1704">
        <w:rPr>
          <w:sz w:val="24"/>
        </w:rPr>
        <w:lastRenderedPageBreak/>
        <w:t xml:space="preserve">Dyes are </w:t>
      </w:r>
      <w:proofErr w:type="spellStart"/>
      <w:r w:rsidRPr="00EB1704">
        <w:rPr>
          <w:sz w:val="24"/>
        </w:rPr>
        <w:t>chromophoric</w:t>
      </w:r>
      <w:proofErr w:type="spellEnd"/>
      <w:r w:rsidRPr="00EB1704">
        <w:rPr>
          <w:sz w:val="24"/>
        </w:rPr>
        <w:t xml:space="preserve"> compounds that chemically bind to substrates to impart color. These compounds may be derived from natural sources or synthesized from organic precursors. Structurally, dyes contain chromophores, which are responsible for color, and auxochromes, which influence solubility and substantivity. Due to their chemical stability and high-water solubility, dyes, particularly direct dyes are extensively used in the textile industry, accounting for approximately 17% of total dye consumption [11]. Conventional methods for dye removal from aqueous media include coagulation, flocculation, oxidation, and adsorption. However, surfactant-mediated approaches such as cloud point extraction and micellar enhanced ultrafiltration offer improved efficacy [12]. These techniques involve encapsulating dye molecules within micelles, which can then be recovered via ultrafiltration membranes. Dyes are also categorized based on their </w:t>
      </w:r>
      <w:proofErr w:type="spellStart"/>
      <w:r w:rsidRPr="00EB1704">
        <w:rPr>
          <w:sz w:val="24"/>
        </w:rPr>
        <w:t>chromophoric</w:t>
      </w:r>
      <w:proofErr w:type="spellEnd"/>
      <w:r w:rsidRPr="00EB1704">
        <w:rPr>
          <w:sz w:val="24"/>
        </w:rPr>
        <w:t xml:space="preserve"> groups into various classes such as azo, triphenylmethane, and phthalein dyes. Azo dyes feature one or more azo (-N=N-) bonds linking aromatic rings. Triphenylmethane dyes are noted for their vivid coloration but suffer from poor lightfastness, limiting their use in printing applications. Phthalein dyes function as pH indicators and are widely utilized in analytical chemistry. The interactions between surfactants and dyes are driven by electrostatic, hydrophobic, and van der Waals forces. When ionic dyes encounter oppositely charged surfactants, dye-surfactant ion pairs are formed, altering solubility and aggregation behavior [13]. These interactions have been studied using techniques such as conductometry, potentiometry, ion-selective electrodes, and particularly UV-visible spectrophotometry [14]. Changes in absorption maxima in the presence of surfactants serve as indicators of molecular interactions and complex formation [15]. </w:t>
      </w:r>
      <w:r w:rsidR="00264ACF" w:rsidRPr="00EB1704">
        <w:rPr>
          <w:sz w:val="24"/>
        </w:rPr>
        <w:t xml:space="preserve">A recent study investigated the extraction of Eriochrome Blue Black R (EBBR) dye using an adsorptive micellar flocculation (AMF) technique with sodium dodecyl sulfate (SDS) as the surfactant and aluminum sulfate as the flocculant. The study evaluated various parameters, including pH, surfactant concentration, and temperature, to optimize the extraction process. Thermodynamic parameters such as Gibbs free energy </w:t>
      </w:r>
      <m:oMath>
        <m:r>
          <w:rPr>
            <w:rFonts w:ascii="Cambria Math" w:hAnsi="Cambria Math"/>
            <w:sz w:val="24"/>
          </w:rPr>
          <m:t>(ΔG),</m:t>
        </m:r>
      </m:oMath>
      <w:r w:rsidR="00264ACF" w:rsidRPr="00EB1704">
        <w:rPr>
          <w:sz w:val="24"/>
        </w:rPr>
        <w:t xml:space="preserve"> enthalpy </w:t>
      </w:r>
      <m:oMath>
        <m:r>
          <w:rPr>
            <w:rFonts w:ascii="Cambria Math" w:hAnsi="Cambria Math"/>
            <w:sz w:val="24"/>
          </w:rPr>
          <m:t>(ΔH)</m:t>
        </m:r>
      </m:oMath>
      <w:r w:rsidR="00264ACF" w:rsidRPr="00EB1704">
        <w:rPr>
          <w:sz w:val="24"/>
        </w:rPr>
        <w:t xml:space="preserve">, and entropy </w:t>
      </w:r>
      <m:oMath>
        <m:r>
          <w:rPr>
            <w:rFonts w:ascii="Cambria Math" w:hAnsi="Cambria Math"/>
            <w:sz w:val="24"/>
          </w:rPr>
          <m:t>(ΔS)</m:t>
        </m:r>
      </m:oMath>
      <w:r w:rsidR="00264ACF" w:rsidRPr="00EB1704">
        <w:rPr>
          <w:sz w:val="24"/>
        </w:rPr>
        <w:t xml:space="preserve"> were determined, indicating that the extraction process was spontaneous and endothermic. The method achieved over 97% extraction efficiency for EBBR dye from tap and sea water samples [16] providing valuable insights into the thermodynamics of dye-surfactant interactions, particularly for EBBR, and demonstrates the effectiveness of AMF techniques in </w:t>
      </w:r>
      <w:r w:rsidR="00264ACF" w:rsidRPr="00EB1704">
        <w:rPr>
          <w:sz w:val="24"/>
        </w:rPr>
        <w:lastRenderedPageBreak/>
        <w:t xml:space="preserve">dye extraction processes. </w:t>
      </w:r>
      <w:r w:rsidRPr="00EB1704">
        <w:rPr>
          <w:sz w:val="24"/>
        </w:rPr>
        <w:t>This study aims to investigate the solubilization behavior of</w:t>
      </w:r>
      <w:r w:rsidR="00E03B38" w:rsidRPr="00EB1704">
        <w:rPr>
          <w:sz w:val="24"/>
        </w:rPr>
        <w:t xml:space="preserve"> Eriochrome Blue Black R (</w:t>
      </w:r>
      <w:r w:rsidRPr="00EB1704">
        <w:rPr>
          <w:sz w:val="24"/>
        </w:rPr>
        <w:t>EBBR</w:t>
      </w:r>
      <w:r w:rsidR="00E03B38" w:rsidRPr="00EB1704">
        <w:rPr>
          <w:sz w:val="24"/>
        </w:rPr>
        <w:t>)</w:t>
      </w:r>
      <w:r w:rsidRPr="00EB1704">
        <w:rPr>
          <w:sz w:val="24"/>
        </w:rPr>
        <w:t xml:space="preserve">, a water-soluble dye, in the presence of three different surfactant systems: an amphoteric surfactant </w:t>
      </w:r>
      <w:proofErr w:type="spellStart"/>
      <w:r w:rsidRPr="00EB1704">
        <w:rPr>
          <w:sz w:val="24"/>
        </w:rPr>
        <w:t>Cocamidopropyl</w:t>
      </w:r>
      <w:proofErr w:type="spellEnd"/>
      <w:r w:rsidRPr="00EB1704">
        <w:rPr>
          <w:sz w:val="24"/>
        </w:rPr>
        <w:t xml:space="preserve"> </w:t>
      </w:r>
      <w:r w:rsidR="00E03B38" w:rsidRPr="00EB1704">
        <w:rPr>
          <w:sz w:val="24"/>
        </w:rPr>
        <w:t>B</w:t>
      </w:r>
      <w:r w:rsidRPr="00EB1704">
        <w:rPr>
          <w:sz w:val="24"/>
        </w:rPr>
        <w:t>etaine</w:t>
      </w:r>
      <w:r w:rsidR="00E03B38" w:rsidRPr="00EB1704">
        <w:rPr>
          <w:sz w:val="24"/>
        </w:rPr>
        <w:t xml:space="preserve"> (</w:t>
      </w:r>
      <w:r w:rsidRPr="00EB1704">
        <w:rPr>
          <w:sz w:val="24"/>
        </w:rPr>
        <w:t>CAPB), a non-ionic surfactant Triton X-100</w:t>
      </w:r>
      <w:r w:rsidR="00E03B38" w:rsidRPr="00EB1704">
        <w:rPr>
          <w:sz w:val="24"/>
        </w:rPr>
        <w:t xml:space="preserve"> (TX-100)</w:t>
      </w:r>
      <w:r w:rsidRPr="00EB1704">
        <w:rPr>
          <w:sz w:val="24"/>
        </w:rPr>
        <w:t xml:space="preserve">, and a cationic surfactant (Cetyltrimethylammonium </w:t>
      </w:r>
      <w:r w:rsidR="00E03B38" w:rsidRPr="00EB1704">
        <w:rPr>
          <w:sz w:val="24"/>
        </w:rPr>
        <w:t>B</w:t>
      </w:r>
      <w:r w:rsidRPr="00EB1704">
        <w:rPr>
          <w:sz w:val="24"/>
        </w:rPr>
        <w:t>romide</w:t>
      </w:r>
      <w:r w:rsidR="00E03B38" w:rsidRPr="00EB1704">
        <w:rPr>
          <w:sz w:val="24"/>
        </w:rPr>
        <w:t xml:space="preserve"> (</w:t>
      </w:r>
      <w:r w:rsidRPr="00EB1704">
        <w:rPr>
          <w:sz w:val="24"/>
        </w:rPr>
        <w:t>CTAB). UV-visible spectroscopy was employed to evaluate the interactions between EBBR and each surfactant system [1</w:t>
      </w:r>
      <w:r w:rsidR="00A22CC2" w:rsidRPr="00EB1704">
        <w:rPr>
          <w:sz w:val="24"/>
        </w:rPr>
        <w:t>7</w:t>
      </w:r>
      <w:r w:rsidRPr="00EB1704">
        <w:rPr>
          <w:sz w:val="24"/>
        </w:rPr>
        <w:t>]. Although micellar systems have been widely studied, limited attention has been paid to the effect of surfactant type on the solubilization efficiency of specific dyes such as EBBR. In this study, the partition coefficients of EBBR were determined across various concentrations of each surfactant, enabling a comparative analysis of solubilization efficiency and dye-surfactant interaction mechanisms.</w:t>
      </w:r>
    </w:p>
    <w:p w14:paraId="13165374" w14:textId="77777777" w:rsidR="001764DE" w:rsidRPr="00EB1704" w:rsidRDefault="001764DE" w:rsidP="001764DE">
      <w:pPr>
        <w:pStyle w:val="Heading2"/>
        <w:spacing w:line="480" w:lineRule="auto"/>
        <w:ind w:left="0"/>
        <w:rPr>
          <w:rFonts w:ascii="Times New Roman" w:hAnsi="Times New Roman" w:cs="Times New Roman"/>
          <w:b/>
          <w:bCs/>
          <w:sz w:val="24"/>
          <w:szCs w:val="24"/>
        </w:rPr>
      </w:pPr>
      <w:r w:rsidRPr="00EB1704">
        <w:rPr>
          <w:rFonts w:ascii="Times New Roman" w:hAnsi="Times New Roman" w:cs="Times New Roman"/>
          <w:b/>
          <w:bCs/>
          <w:sz w:val="24"/>
          <w:szCs w:val="24"/>
        </w:rPr>
        <w:t>2. Materials and methods</w:t>
      </w:r>
    </w:p>
    <w:p w14:paraId="5A8C398B" w14:textId="0A4C9B43" w:rsidR="001764DE" w:rsidRPr="00EB1704" w:rsidRDefault="00F63C16" w:rsidP="001764DE">
      <w:pPr>
        <w:spacing w:line="480" w:lineRule="auto"/>
        <w:ind w:left="0"/>
        <w:rPr>
          <w:color w:val="0070C0"/>
          <w:sz w:val="24"/>
        </w:rPr>
      </w:pPr>
      <w:r w:rsidRPr="00EB1704">
        <w:rPr>
          <w:sz w:val="24"/>
        </w:rPr>
        <w:t>High-purity laboratory reagents were used in this study. The anionic dye Eriochrome Blue Black R (EBBR) (C</w:t>
      </w:r>
      <w:r w:rsidRPr="00EB1704">
        <w:rPr>
          <w:sz w:val="24"/>
          <w:vertAlign w:val="subscript"/>
        </w:rPr>
        <w:t>19</w:t>
      </w:r>
      <w:r w:rsidRPr="00EB1704">
        <w:rPr>
          <w:sz w:val="24"/>
        </w:rPr>
        <w:t>H</w:t>
      </w:r>
      <w:r w:rsidRPr="00EB1704">
        <w:rPr>
          <w:sz w:val="24"/>
          <w:vertAlign w:val="subscript"/>
        </w:rPr>
        <w:t>13</w:t>
      </w:r>
      <w:r w:rsidRPr="00EB1704">
        <w:rPr>
          <w:sz w:val="24"/>
        </w:rPr>
        <w:t>N</w:t>
      </w:r>
      <w:r w:rsidRPr="00EB1704">
        <w:rPr>
          <w:sz w:val="24"/>
          <w:vertAlign w:val="subscript"/>
        </w:rPr>
        <w:t>2</w:t>
      </w:r>
      <w:r w:rsidRPr="00EB1704">
        <w:rPr>
          <w:sz w:val="24"/>
        </w:rPr>
        <w:t>NaO</w:t>
      </w:r>
      <w:r w:rsidRPr="00EB1704">
        <w:rPr>
          <w:sz w:val="24"/>
          <w:vertAlign w:val="subscript"/>
        </w:rPr>
        <w:t>5</w:t>
      </w:r>
      <w:r w:rsidRPr="00EB1704">
        <w:rPr>
          <w:sz w:val="24"/>
        </w:rPr>
        <w:t>S; molecular weight: 416.38 g/mol) and the surfactants Cetyltrimethylammonium Bromide</w:t>
      </w:r>
      <w:r w:rsidRPr="00EB1704">
        <w:rPr>
          <w:b/>
          <w:bCs/>
          <w:sz w:val="24"/>
        </w:rPr>
        <w:t xml:space="preserve"> </w:t>
      </w:r>
      <w:r w:rsidRPr="00EB1704">
        <w:rPr>
          <w:sz w:val="24"/>
        </w:rPr>
        <w:t>(CTAB) [(C</w:t>
      </w:r>
      <w:r w:rsidRPr="00EB1704">
        <w:rPr>
          <w:sz w:val="24"/>
          <w:vertAlign w:val="subscript"/>
        </w:rPr>
        <w:t>16</w:t>
      </w:r>
      <w:r w:rsidRPr="00EB1704">
        <w:rPr>
          <w:sz w:val="24"/>
        </w:rPr>
        <w:t>H</w:t>
      </w:r>
      <w:r w:rsidRPr="00EB1704">
        <w:rPr>
          <w:sz w:val="24"/>
          <w:vertAlign w:val="subscript"/>
        </w:rPr>
        <w:t>33</w:t>
      </w:r>
      <w:r w:rsidRPr="00EB1704">
        <w:rPr>
          <w:sz w:val="24"/>
        </w:rPr>
        <w:t>)N(CH</w:t>
      </w:r>
      <w:r w:rsidRPr="00EB1704">
        <w:rPr>
          <w:sz w:val="24"/>
          <w:vertAlign w:val="subscript"/>
        </w:rPr>
        <w:t>3</w:t>
      </w:r>
      <w:r w:rsidRPr="00EB1704">
        <w:rPr>
          <w:sz w:val="24"/>
        </w:rPr>
        <w:t>)</w:t>
      </w:r>
      <w:r w:rsidRPr="00EB1704">
        <w:rPr>
          <w:sz w:val="24"/>
          <w:vertAlign w:val="subscript"/>
        </w:rPr>
        <w:t>3</w:t>
      </w:r>
      <w:r w:rsidRPr="00EB1704">
        <w:rPr>
          <w:sz w:val="24"/>
        </w:rPr>
        <w:t xml:space="preserve">]Br; molecular weight: 364.46 g/mol), </w:t>
      </w:r>
      <w:proofErr w:type="spellStart"/>
      <w:r w:rsidRPr="00EB1704">
        <w:rPr>
          <w:sz w:val="24"/>
        </w:rPr>
        <w:t>Cocamidopropyl</w:t>
      </w:r>
      <w:proofErr w:type="spellEnd"/>
      <w:r w:rsidRPr="00EB1704">
        <w:rPr>
          <w:sz w:val="24"/>
        </w:rPr>
        <w:t xml:space="preserve"> Betaine (CAPB) (C</w:t>
      </w:r>
      <w:r w:rsidRPr="00EB1704">
        <w:rPr>
          <w:sz w:val="24"/>
          <w:vertAlign w:val="subscript"/>
        </w:rPr>
        <w:t>19</w:t>
      </w:r>
      <w:r w:rsidRPr="00EB1704">
        <w:rPr>
          <w:sz w:val="24"/>
        </w:rPr>
        <w:t>H</w:t>
      </w:r>
      <w:r w:rsidRPr="00EB1704">
        <w:rPr>
          <w:sz w:val="24"/>
          <w:vertAlign w:val="subscript"/>
        </w:rPr>
        <w:t>38</w:t>
      </w:r>
      <w:r w:rsidRPr="00EB1704">
        <w:rPr>
          <w:sz w:val="24"/>
        </w:rPr>
        <w:t>N</w:t>
      </w:r>
      <w:r w:rsidRPr="00EB1704">
        <w:rPr>
          <w:sz w:val="24"/>
          <w:vertAlign w:val="subscript"/>
        </w:rPr>
        <w:t>2</w:t>
      </w:r>
      <w:r w:rsidRPr="00EB1704">
        <w:rPr>
          <w:sz w:val="24"/>
        </w:rPr>
        <w:t>O</w:t>
      </w:r>
      <w:r w:rsidRPr="00EB1704">
        <w:rPr>
          <w:sz w:val="24"/>
          <w:vertAlign w:val="subscript"/>
        </w:rPr>
        <w:t>3</w:t>
      </w:r>
      <w:r w:rsidRPr="00EB1704">
        <w:rPr>
          <w:sz w:val="24"/>
        </w:rPr>
        <w:t>; molecular weight: 342.52 g/mol), and Triton X-100 (TX-100) (C</w:t>
      </w:r>
      <w:r w:rsidRPr="00EB1704">
        <w:rPr>
          <w:sz w:val="24"/>
          <w:vertAlign w:val="subscript"/>
        </w:rPr>
        <w:t>14</w:t>
      </w:r>
      <w:r w:rsidRPr="00EB1704">
        <w:rPr>
          <w:sz w:val="24"/>
        </w:rPr>
        <w:t>H</w:t>
      </w:r>
      <w:r w:rsidRPr="00EB1704">
        <w:rPr>
          <w:sz w:val="24"/>
          <w:vertAlign w:val="subscript"/>
        </w:rPr>
        <w:t>22</w:t>
      </w:r>
      <w:r w:rsidRPr="00EB1704">
        <w:rPr>
          <w:sz w:val="24"/>
        </w:rPr>
        <w:t>O(C</w:t>
      </w:r>
      <w:r w:rsidRPr="00EB1704">
        <w:rPr>
          <w:sz w:val="24"/>
          <w:vertAlign w:val="subscript"/>
        </w:rPr>
        <w:t>2</w:t>
      </w:r>
      <w:r w:rsidRPr="00EB1704">
        <w:rPr>
          <w:sz w:val="24"/>
        </w:rPr>
        <w:t>H</w:t>
      </w:r>
      <w:r w:rsidRPr="00EB1704">
        <w:rPr>
          <w:sz w:val="24"/>
          <w:vertAlign w:val="subscript"/>
        </w:rPr>
        <w:t>4</w:t>
      </w:r>
      <w:r w:rsidRPr="00EB1704">
        <w:rPr>
          <w:sz w:val="24"/>
        </w:rPr>
        <w:t xml:space="preserve">O)n; molecular weight: 647 g/mol), all with a purity of 99%, were sourced from JHD Chemicals Ltd (Samaru, Kaduna, Nigeria). All chemicals were used as received, without any further purification. Distilled water was used as the aqueous medium to prepare the various solutions. </w:t>
      </w:r>
      <w:r w:rsidR="001764DE" w:rsidRPr="00EB1704">
        <w:rPr>
          <w:sz w:val="24"/>
        </w:rPr>
        <w:t>Depictions of the chemical structures used in the current research are found in</w:t>
      </w:r>
      <w:r w:rsidR="001764DE" w:rsidRPr="00EB1704">
        <w:rPr>
          <w:color w:val="000000" w:themeColor="text1"/>
          <w:sz w:val="24"/>
        </w:rPr>
        <w:t xml:space="preserve"> Figure 1 (a-d).</w:t>
      </w:r>
    </w:p>
    <w:p w14:paraId="5088705F" w14:textId="77777777" w:rsidR="001764DE" w:rsidRPr="00EB1704" w:rsidRDefault="001764DE" w:rsidP="001764DE">
      <w:pPr>
        <w:spacing w:line="480" w:lineRule="auto"/>
        <w:ind w:left="0"/>
        <w:rPr>
          <w:color w:val="000000" w:themeColor="text1"/>
          <w:sz w:val="24"/>
        </w:rPr>
      </w:pPr>
      <w:r w:rsidRPr="00EB1704">
        <w:rPr>
          <w:color w:val="000000" w:themeColor="text1"/>
          <w:sz w:val="24"/>
        </w:rPr>
        <w:t xml:space="preserve">Preparation of solutions </w:t>
      </w:r>
    </w:p>
    <w:p w14:paraId="1D4BD56A" w14:textId="7AB9AD3E" w:rsidR="001764DE" w:rsidRPr="00EB1704" w:rsidRDefault="001764DE" w:rsidP="001764DE">
      <w:pPr>
        <w:spacing w:line="480" w:lineRule="auto"/>
        <w:ind w:left="0"/>
        <w:rPr>
          <w:color w:val="000000" w:themeColor="text1"/>
          <w:sz w:val="24"/>
        </w:rPr>
      </w:pPr>
      <w:r w:rsidRPr="00EB1704">
        <w:rPr>
          <w:color w:val="000000" w:themeColor="text1"/>
          <w:sz w:val="24"/>
        </w:rPr>
        <w:t xml:space="preserve">        A 9.6 ×10</w:t>
      </w:r>
      <w:r w:rsidRPr="00EB1704">
        <w:rPr>
          <w:color w:val="000000" w:themeColor="text1"/>
          <w:sz w:val="24"/>
          <w:vertAlign w:val="superscript"/>
        </w:rPr>
        <w:t>-6</w:t>
      </w:r>
      <w:r w:rsidRPr="00EB1704">
        <w:rPr>
          <w:color w:val="000000" w:themeColor="text1"/>
          <w:sz w:val="24"/>
        </w:rPr>
        <w:t xml:space="preserve"> M aqueous solution of </w:t>
      </w:r>
      <w:r w:rsidRPr="00EB1704">
        <w:rPr>
          <w:sz w:val="24"/>
        </w:rPr>
        <w:t>Eriochrome Blue Black R acted as the solvent for making a series of individual surfactant solutions</w:t>
      </w:r>
      <w:r w:rsidRPr="00EB1704">
        <w:rPr>
          <w:color w:val="000000" w:themeColor="text1"/>
          <w:sz w:val="24"/>
        </w:rPr>
        <w:t>. The CMCs of CTAB, CAPB, and TX-100 are 0.65 mM, 0.88 mM, and 0.22 mM, respectively</w:t>
      </w:r>
      <w:r w:rsidR="00934BE6" w:rsidRPr="00EB1704">
        <w:rPr>
          <w:color w:val="000000" w:themeColor="text1"/>
          <w:sz w:val="24"/>
        </w:rPr>
        <w:t xml:space="preserve"> </w:t>
      </w:r>
      <w:r w:rsidR="002E488D" w:rsidRPr="00EB1704">
        <w:rPr>
          <w:color w:val="000000" w:themeColor="text1"/>
          <w:sz w:val="24"/>
        </w:rPr>
        <w:t>[1</w:t>
      </w:r>
      <w:r w:rsidR="00A22CC2" w:rsidRPr="00EB1704">
        <w:rPr>
          <w:color w:val="000000" w:themeColor="text1"/>
          <w:sz w:val="24"/>
        </w:rPr>
        <w:t>8</w:t>
      </w:r>
      <w:r w:rsidR="002E488D" w:rsidRPr="00EB1704">
        <w:rPr>
          <w:color w:val="000000" w:themeColor="text1"/>
          <w:sz w:val="24"/>
        </w:rPr>
        <w:t>]</w:t>
      </w:r>
      <w:r w:rsidRPr="00EB1704">
        <w:rPr>
          <w:color w:val="000000" w:themeColor="text1"/>
          <w:sz w:val="24"/>
        </w:rPr>
        <w:t>. Surfactant solutions with concentrations ranging from 0.2 mM to 9.5 mM were prepared in an aqueous medium containing EBBR dye.</w:t>
      </w:r>
    </w:p>
    <w:p w14:paraId="2CB11D9A" w14:textId="77777777" w:rsidR="00A22CC2" w:rsidRPr="00EB1704" w:rsidRDefault="00A22CC2" w:rsidP="001764DE">
      <w:pPr>
        <w:spacing w:before="120" w:after="120" w:line="480" w:lineRule="auto"/>
        <w:ind w:left="0" w:hanging="14"/>
        <w:rPr>
          <w:i/>
          <w:iCs/>
          <w:color w:val="auto"/>
          <w:sz w:val="24"/>
        </w:rPr>
      </w:pPr>
    </w:p>
    <w:p w14:paraId="01470260" w14:textId="04A7994F" w:rsidR="001764DE" w:rsidRPr="00EB1704" w:rsidRDefault="001764DE" w:rsidP="001764DE">
      <w:pPr>
        <w:spacing w:before="120" w:after="120" w:line="480" w:lineRule="auto"/>
        <w:ind w:left="0" w:hanging="14"/>
        <w:rPr>
          <w:i/>
          <w:iCs/>
          <w:color w:val="auto"/>
          <w:sz w:val="24"/>
        </w:rPr>
      </w:pPr>
      <w:r w:rsidRPr="00EB1704">
        <w:rPr>
          <w:i/>
          <w:iCs/>
          <w:color w:val="auto"/>
          <w:sz w:val="24"/>
        </w:rPr>
        <w:lastRenderedPageBreak/>
        <w:t>2.1. Research techniques</w:t>
      </w:r>
    </w:p>
    <w:p w14:paraId="1C32DF90" w14:textId="77777777" w:rsidR="001764DE" w:rsidRPr="00EB1704" w:rsidRDefault="001764DE" w:rsidP="001764DE">
      <w:pPr>
        <w:spacing w:line="480" w:lineRule="auto"/>
        <w:ind w:left="0"/>
        <w:rPr>
          <w:color w:val="000000" w:themeColor="text1"/>
          <w:sz w:val="24"/>
        </w:rPr>
      </w:pPr>
      <w:r w:rsidRPr="00EB1704">
        <w:rPr>
          <w:color w:val="000000" w:themeColor="text1"/>
          <w:sz w:val="24"/>
        </w:rPr>
        <w:t>UV-visible spectroscopy</w:t>
      </w:r>
    </w:p>
    <w:p w14:paraId="66B7641D" w14:textId="6820E065" w:rsidR="001764DE" w:rsidRPr="00EB1704" w:rsidRDefault="001764DE" w:rsidP="001764DE">
      <w:pPr>
        <w:spacing w:line="480" w:lineRule="auto"/>
        <w:ind w:left="0"/>
        <w:rPr>
          <w:color w:val="000000" w:themeColor="text1"/>
          <w:sz w:val="24"/>
        </w:rPr>
      </w:pPr>
      <w:r w:rsidRPr="00EB1704">
        <w:rPr>
          <w:color w:val="000000" w:themeColor="text1"/>
          <w:sz w:val="24"/>
        </w:rPr>
        <w:t>An easy, universally accessible, and effective method to examine dye-surfactant interaction is the UV–visible spectroscopy [1</w:t>
      </w:r>
      <w:r w:rsidR="00A22CC2" w:rsidRPr="00EB1704">
        <w:rPr>
          <w:color w:val="000000" w:themeColor="text1"/>
          <w:sz w:val="24"/>
        </w:rPr>
        <w:t>9</w:t>
      </w:r>
      <w:r w:rsidRPr="00EB1704">
        <w:rPr>
          <w:color w:val="000000" w:themeColor="text1"/>
          <w:sz w:val="24"/>
        </w:rPr>
        <w:t>]</w:t>
      </w:r>
      <w:r w:rsidRPr="00EB1704">
        <w:rPr>
          <w:color w:val="4472C4" w:themeColor="accent1"/>
          <w:sz w:val="24"/>
        </w:rPr>
        <w:t>. </w:t>
      </w:r>
      <w:r w:rsidRPr="00EB1704">
        <w:rPr>
          <w:color w:val="000000" w:themeColor="text1"/>
          <w:sz w:val="24"/>
        </w:rPr>
        <w:t>Absorbance measurement was carried out using a Shimadzu double-beam UV–Visible spectrophotometer.</w:t>
      </w:r>
      <w:r w:rsidRPr="00EB1704">
        <w:rPr>
          <w:sz w:val="24"/>
        </w:rPr>
        <w:t xml:space="preserve"> </w:t>
      </w:r>
      <w:r w:rsidRPr="00EB1704">
        <w:rPr>
          <w:color w:val="000000" w:themeColor="text1"/>
          <w:sz w:val="24"/>
        </w:rPr>
        <w:t>Absorbance (simple and differential) was measured in a Quartz Cuvettes at 298.15 K. To obtain direct absorbance, a reference cell with distilled water and an EBBR dye-based surfactant solution in the sample cell was employed. An aqueous dye solution was employed as the reference in differential absorbance measurements, with the samples consisting of aqueous surfactant solutions of varying concentrations prepared in EBBR dye. Absorbance spectra, both simple and differential, were obtained for each micellar system in the 400–800 nm wavelength range and the highest absorbance obtained for the dye-surfactant system was recorded.</w:t>
      </w:r>
    </w:p>
    <w:p w14:paraId="248898D9" w14:textId="77777777" w:rsidR="001764DE" w:rsidRPr="00EB1704" w:rsidRDefault="001764DE" w:rsidP="001764DE">
      <w:pPr>
        <w:spacing w:before="120" w:after="120" w:line="480" w:lineRule="auto"/>
        <w:ind w:left="0" w:hanging="14"/>
        <w:rPr>
          <w:i/>
          <w:iCs/>
          <w:color w:val="000000" w:themeColor="text1"/>
          <w:sz w:val="24"/>
        </w:rPr>
      </w:pPr>
      <w:r w:rsidRPr="00EB1704">
        <w:rPr>
          <w:i/>
          <w:iCs/>
          <w:color w:val="000000" w:themeColor="text1"/>
          <w:sz w:val="24"/>
        </w:rPr>
        <w:t>2.2. Analysis of Dye Partitioning and Binding Interactions</w:t>
      </w:r>
    </w:p>
    <w:p w14:paraId="275C72A2" w14:textId="0D3572B2" w:rsidR="001764DE" w:rsidRPr="00EB1704" w:rsidRDefault="001764DE" w:rsidP="001764DE">
      <w:pPr>
        <w:spacing w:line="480" w:lineRule="auto"/>
        <w:ind w:left="0"/>
        <w:rPr>
          <w:sz w:val="24"/>
        </w:rPr>
      </w:pPr>
      <w:r w:rsidRPr="00EB1704">
        <w:rPr>
          <w:sz w:val="24"/>
        </w:rPr>
        <w:t>A valuable tool for determining key interaction parameters between dyes and surfactant micelles, including the partition coefficient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Pr="00EB1704">
        <w:rPr>
          <w:sz w:val="24"/>
        </w:rPr>
        <w:t xml:space="preserve">), binding constant </w:t>
      </w:r>
      <m:oMath>
        <m:r>
          <w:rPr>
            <w:rFonts w:ascii="Cambria Math" w:hAnsi="Cambria Math"/>
            <w:sz w:val="24"/>
          </w:rPr>
          <m:t>(</m:t>
        </m:r>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r>
          <w:rPr>
            <w:rFonts w:ascii="Cambria Math" w:hAnsi="Cambria Math"/>
            <w:sz w:val="24"/>
          </w:rPr>
          <m:t xml:space="preserve">), </m:t>
        </m:r>
      </m:oMath>
      <w:r w:rsidRPr="00EB1704">
        <w:rPr>
          <w:sz w:val="24"/>
        </w:rPr>
        <w:t xml:space="preserve">and the Gibbs free energies associated with partitioning </w:t>
      </w:r>
      <m:oMath>
        <m:r>
          <w:rPr>
            <w:rFonts w:ascii="Cambria Math" w:hAnsi="Cambria Math"/>
            <w:sz w:val="24"/>
          </w:rPr>
          <m:t>(Δ</m:t>
        </m:r>
        <m:sSub>
          <m:sSubPr>
            <m:ctrlPr>
              <w:rPr>
                <w:rFonts w:ascii="Cambria Math" w:hAnsi="Cambria Math"/>
                <w:i/>
                <w:sz w:val="24"/>
              </w:rPr>
            </m:ctrlPr>
          </m:sSubPr>
          <m:e>
            <m:r>
              <w:rPr>
                <w:rFonts w:ascii="Cambria Math" w:hAnsi="Cambria Math"/>
                <w:sz w:val="24"/>
              </w:rPr>
              <m:t>G</m:t>
            </m:r>
          </m:e>
          <m:sub>
            <m:r>
              <w:rPr>
                <w:rFonts w:ascii="Cambria Math" w:hAnsi="Cambria Math"/>
                <w:sz w:val="24"/>
              </w:rPr>
              <m:t>p</m:t>
            </m:r>
          </m:sub>
        </m:sSub>
        <m:r>
          <w:rPr>
            <w:rFonts w:ascii="Cambria Math" w:hAnsi="Cambria Math"/>
            <w:sz w:val="24"/>
          </w:rPr>
          <m:t>)</m:t>
        </m:r>
      </m:oMath>
      <w:r w:rsidRPr="00EB1704">
        <w:rPr>
          <w:sz w:val="24"/>
        </w:rPr>
        <w:t xml:space="preserve"> and binding (</w:t>
      </w:r>
      <m:oMath>
        <m:r>
          <w:rPr>
            <w:rFonts w:ascii="Cambria Math" w:hAnsi="Cambria Math"/>
            <w:sz w:val="24"/>
          </w:rPr>
          <m:t>Δ</m:t>
        </m:r>
        <m:sSub>
          <m:sSubPr>
            <m:ctrlPr>
              <w:rPr>
                <w:rFonts w:ascii="Cambria Math" w:hAnsi="Cambria Math"/>
                <w:i/>
                <w:sz w:val="24"/>
              </w:rPr>
            </m:ctrlPr>
          </m:sSubPr>
          <m:e>
            <m:r>
              <w:rPr>
                <w:rFonts w:ascii="Cambria Math" w:hAnsi="Cambria Math"/>
                <w:sz w:val="24"/>
              </w:rPr>
              <m:t>G</m:t>
            </m:r>
          </m:e>
          <m:sub>
            <m:r>
              <w:rPr>
                <w:rFonts w:ascii="Cambria Math" w:hAnsi="Cambria Math"/>
                <w:sz w:val="24"/>
              </w:rPr>
              <m:t>b</m:t>
            </m:r>
          </m:sub>
        </m:sSub>
      </m:oMath>
      <w:r w:rsidRPr="00EB1704">
        <w:rPr>
          <w:sz w:val="24"/>
        </w:rPr>
        <w:t>), is the spectroscopic techniques [</w:t>
      </w:r>
      <w:r w:rsidR="00A22CC2" w:rsidRPr="00EB1704">
        <w:rPr>
          <w:sz w:val="24"/>
        </w:rPr>
        <w:t>20</w:t>
      </w:r>
      <w:r w:rsidRPr="00EB1704">
        <w:rPr>
          <w:sz w:val="24"/>
        </w:rPr>
        <w:t>]</w:t>
      </w:r>
      <w:r w:rsidRPr="00EB1704">
        <w:rPr>
          <w:color w:val="4472C4" w:themeColor="accent1"/>
          <w:sz w:val="24"/>
        </w:rPr>
        <w:t xml:space="preserve">. </w:t>
      </w:r>
      <w:r w:rsidRPr="00EB1704">
        <w:rPr>
          <w:sz w:val="24"/>
        </w:rPr>
        <w:t xml:space="preserve">Quantification of the partition coefficient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r>
          <w:rPr>
            <w:rFonts w:ascii="Cambria Math" w:hAnsi="Cambria Math"/>
            <w:sz w:val="24"/>
          </w:rPr>
          <m:t>,</m:t>
        </m:r>
      </m:oMath>
      <w:r w:rsidRPr="00EB1704">
        <w:rPr>
          <w:sz w:val="24"/>
        </w:rPr>
        <w:t xml:space="preserve"> in dm³/mol) for EBBR/Surfactant interactions was achieved using the Kawamura equation</w:t>
      </w:r>
      <w:r w:rsidRPr="00EB1704">
        <w:rPr>
          <w:color w:val="auto"/>
          <w:sz w:val="24"/>
        </w:rPr>
        <w:t xml:space="preserve"> (</w:t>
      </w:r>
      <w:r w:rsidRPr="00EB1704">
        <w:rPr>
          <w:sz w:val="24"/>
        </w:rPr>
        <w:t>equation (1)) [</w:t>
      </w:r>
      <w:r w:rsidR="00636D65" w:rsidRPr="00EB1704">
        <w:rPr>
          <w:sz w:val="24"/>
        </w:rPr>
        <w:t>2</w:t>
      </w:r>
      <w:r w:rsidR="00A22CC2" w:rsidRPr="00EB1704">
        <w:rPr>
          <w:sz w:val="24"/>
        </w:rPr>
        <w:t>1</w:t>
      </w:r>
      <w:r w:rsidRPr="00EB1704">
        <w:rPr>
          <w:sz w:val="24"/>
        </w:rPr>
        <w:t>]:</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2600"/>
      </w:tblGrid>
      <w:tr w:rsidR="001764DE" w:rsidRPr="00EB1704" w14:paraId="7E13DB6D" w14:textId="77777777" w:rsidTr="005B33C3">
        <w:trPr>
          <w:jc w:val="center"/>
        </w:trPr>
        <w:tc>
          <w:tcPr>
            <w:tcW w:w="6750" w:type="dxa"/>
          </w:tcPr>
          <w:p w14:paraId="20A6745D" w14:textId="77777777" w:rsidR="001764DE" w:rsidRPr="00EB1704" w:rsidRDefault="00745463" w:rsidP="005B33C3">
            <w:pPr>
              <w:spacing w:before="120" w:after="120" w:line="480" w:lineRule="auto"/>
              <w:ind w:left="0" w:hanging="14"/>
              <w:jc w:val="center"/>
              <w:rPr>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ΔA</m:t>
                    </m:r>
                  </m:den>
                </m:f>
                <m:r>
                  <w:rPr>
                    <w:rFonts w:ascii="Cambria Math"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c</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t>
                        </m:r>
                        <m:r>
                          <w:rPr>
                            <w:rFonts w:ascii="Cambria Math" w:eastAsiaTheme="minorEastAsia" w:hAnsi="Cambria Math"/>
                            <w:sz w:val="24"/>
                            <w:szCs w:val="24"/>
                          </w:rPr>
                          <m:t>A</m:t>
                        </m:r>
                      </m:e>
                      <m:sub>
                        <m:r>
                          <w:rPr>
                            <w:rFonts w:ascii="Cambria Math" w:eastAsiaTheme="minorEastAsia" w:hAnsi="Cambria Math"/>
                            <w:sz w:val="24"/>
                            <w:szCs w:val="24"/>
                          </w:rPr>
                          <m:t>∞</m:t>
                        </m:r>
                      </m:sub>
                    </m:sSub>
                    <m:r>
                      <w:rPr>
                        <w:rFonts w:ascii="Cambria Math" w:eastAsiaTheme="minorEastAsia" w:hAnsi="Cambria Math"/>
                        <w:sz w:val="24"/>
                        <w:szCs w:val="24"/>
                      </w:rPr>
                      <m:t>[</m:t>
                    </m:r>
                    <m:r>
                      <w:rPr>
                        <w:rFonts w:ascii="Cambria Math" w:eastAsiaTheme="minorEastAsia" w:hAnsi="Cambria Math"/>
                        <w:sz w:val="24"/>
                        <w:szCs w:val="24"/>
                      </w:rPr>
                      <m:t>Cd</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C</m:t>
                        </m:r>
                        <m:r>
                          <w:rPr>
                            <w:rFonts w:ascii="Cambria Math" w:eastAsiaTheme="minorEastAsia" w:hAnsi="Cambria Math"/>
                            <w:sz w:val="24"/>
                            <w:szCs w:val="24"/>
                          </w:rPr>
                          <m:t>ₛ-</m:t>
                        </m:r>
                        <m:r>
                          <w:rPr>
                            <w:rFonts w:ascii="Cambria Math" w:eastAsiaTheme="minorEastAsia" w:hAnsi="Cambria Math"/>
                            <w:sz w:val="24"/>
                            <w:szCs w:val="24"/>
                          </w:rPr>
                          <m:t>CMC</m:t>
                        </m:r>
                        <m:r>
                          <w:rPr>
                            <w:rFonts w:ascii="Cambria Math" w:eastAsiaTheme="minorEastAsia" w:hAnsi="Cambria Math"/>
                            <w:sz w:val="24"/>
                            <w:szCs w:val="24"/>
                          </w:rPr>
                          <m:t>ₒ</m:t>
                        </m:r>
                      </m:e>
                    </m:d>
                    <m:r>
                      <w:rPr>
                        <w:rFonts w:ascii="Cambria Math" w:eastAsiaTheme="minorEastAsia" w:hAnsi="Cambria Math"/>
                        <w:sz w:val="24"/>
                        <w:szCs w:val="24"/>
                      </w:rPr>
                      <m:t>]</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m:t>
                        </m:r>
                        <m:r>
                          <w:rPr>
                            <w:rFonts w:ascii="Cambria Math" w:eastAsiaTheme="minorEastAsia" w:hAnsi="Cambria Math"/>
                            <w:sz w:val="24"/>
                            <w:szCs w:val="24"/>
                          </w:rPr>
                          <m:t>A</m:t>
                        </m:r>
                      </m:e>
                      <m:sub>
                        <m:r>
                          <w:rPr>
                            <w:rFonts w:ascii="Cambria Math" w:eastAsiaTheme="minorEastAsia" w:hAnsi="Cambria Math"/>
                            <w:sz w:val="24"/>
                            <w:szCs w:val="24"/>
                          </w:rPr>
                          <m:t>∞</m:t>
                        </m:r>
                      </m:sub>
                    </m:sSub>
                  </m:den>
                </m:f>
              </m:oMath>
            </m:oMathPara>
          </w:p>
        </w:tc>
        <w:tc>
          <w:tcPr>
            <w:tcW w:w="2600" w:type="dxa"/>
          </w:tcPr>
          <w:p w14:paraId="2CCAE083" w14:textId="77777777" w:rsidR="001764DE" w:rsidRPr="00EB1704" w:rsidRDefault="001764DE" w:rsidP="005B33C3">
            <w:pPr>
              <w:spacing w:before="120" w:after="120" w:line="480" w:lineRule="auto"/>
              <w:ind w:left="0" w:hanging="14"/>
              <w:rPr>
                <w:sz w:val="24"/>
                <w:szCs w:val="24"/>
              </w:rPr>
            </w:pPr>
            <w:r w:rsidRPr="00EB1704">
              <w:rPr>
                <w:sz w:val="24"/>
                <w:szCs w:val="24"/>
              </w:rPr>
              <w:t xml:space="preserve">                   (1)                                                            </w:t>
            </w:r>
          </w:p>
        </w:tc>
      </w:tr>
    </w:tbl>
    <w:p w14:paraId="5AD5DCA2" w14:textId="77777777" w:rsidR="001764DE" w:rsidRPr="00EB1704" w:rsidRDefault="001764DE" w:rsidP="001764DE">
      <w:pPr>
        <w:spacing w:line="480" w:lineRule="auto"/>
        <w:ind w:left="0" w:firstLine="0"/>
        <w:rPr>
          <w:color w:val="000000" w:themeColor="text1"/>
          <w:sz w:val="24"/>
        </w:rPr>
      </w:pPr>
    </w:p>
    <w:p w14:paraId="597E0C64" w14:textId="77777777" w:rsidR="001764DE" w:rsidRPr="00EB1704" w:rsidRDefault="001764DE" w:rsidP="001764DE">
      <w:pPr>
        <w:spacing w:line="480" w:lineRule="auto"/>
        <w:ind w:left="0" w:firstLine="0"/>
        <w:rPr>
          <w:sz w:val="24"/>
        </w:rPr>
      </w:pPr>
      <w:r w:rsidRPr="00EB1704">
        <w:rPr>
          <w:sz w:val="24"/>
        </w:rPr>
        <w:t>From equation (1),</w:t>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d</m:t>
            </m:r>
          </m:sub>
        </m:sSub>
      </m:oMath>
      <w:r w:rsidRPr="00EB1704">
        <w:rPr>
          <w:sz w:val="24"/>
        </w:rPr>
        <w:t xml:space="preserve"> denotes dye concentration in moldm</w:t>
      </w:r>
      <w:r w:rsidRPr="00EB1704">
        <w:rPr>
          <w:sz w:val="24"/>
          <w:vertAlign w:val="superscript"/>
        </w:rPr>
        <w:t>-3</w:t>
      </w:r>
      <w:r w:rsidRPr="00EB1704">
        <w:rPr>
          <w:sz w:val="24"/>
        </w:rPr>
        <w:t xml:space="preserve">, </w:t>
      </w:r>
      <m:oMath>
        <m:r>
          <w:rPr>
            <w:rFonts w:ascii="Cambria Math" w:hAnsi="Cambria Math"/>
            <w:sz w:val="24"/>
          </w:rPr>
          <m:t>ΔA</m:t>
        </m:r>
      </m:oMath>
      <w:r w:rsidRPr="00EB1704">
        <w:rPr>
          <w:sz w:val="24"/>
        </w:rPr>
        <w:t xml:space="preserve"> represents absorbance change, and </w:t>
      </w:r>
      <m:oMath>
        <m:r>
          <w:rPr>
            <w:rFonts w:ascii="Cambria Math" w:hAnsi="Cambria Math"/>
            <w:sz w:val="24"/>
          </w:rPr>
          <m:t>∆</m:t>
        </m:r>
      </m:oMath>
      <w:r w:rsidRPr="00EB1704">
        <w:rPr>
          <w:sz w:val="24"/>
        </w:rPr>
        <w:t>A∞</w:t>
      </w:r>
      <w:r w:rsidRPr="00EB1704">
        <w:rPr>
          <w:color w:val="000000" w:themeColor="text1"/>
          <w:sz w:val="24"/>
        </w:rPr>
        <w:t xml:space="preserve"> </w:t>
      </w:r>
      <w:r w:rsidRPr="00EB1704">
        <w:rPr>
          <w:sz w:val="24"/>
        </w:rPr>
        <w:t xml:space="preserve">is the absorbance change corresponding to infinite surfactant concentration. Here,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Pr="00EB1704">
        <w:rPr>
          <w:sz w:val="24"/>
        </w:rPr>
        <w:t xml:space="preserve"> denotes the partition coefficient of the dye between water and micelles, and </w:t>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s</m:t>
            </m:r>
          </m:sub>
        </m:sSub>
      </m:oMath>
      <w:r w:rsidRPr="00EB1704">
        <w:rPr>
          <w:sz w:val="24"/>
        </w:rPr>
        <w:t>refers to the concentration of the surfactant employed, which is derived from Equation (2):</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3198"/>
      </w:tblGrid>
      <w:tr w:rsidR="001764DE" w:rsidRPr="00EB1704" w14:paraId="443F823F" w14:textId="77777777" w:rsidTr="005B33C3">
        <w:trPr>
          <w:trHeight w:val="495"/>
        </w:trPr>
        <w:tc>
          <w:tcPr>
            <w:tcW w:w="5655" w:type="dxa"/>
          </w:tcPr>
          <w:p w14:paraId="53AE347D" w14:textId="77777777" w:rsidR="001764DE" w:rsidRPr="00EB1704" w:rsidRDefault="001764DE" w:rsidP="005B33C3">
            <w:pPr>
              <w:spacing w:before="120" w:after="120" w:line="480" w:lineRule="auto"/>
              <w:ind w:left="0" w:firstLine="0"/>
              <w:jc w:val="center"/>
              <w:rPr>
                <w:sz w:val="24"/>
                <w:szCs w:val="24"/>
              </w:rPr>
            </w:pPr>
            <m:oMathPara>
              <m:oMath>
                <m:r>
                  <w:rPr>
                    <w:rFonts w:ascii="Cambria Math" w:hAnsi="Cambria Math"/>
                    <w:sz w:val="24"/>
                    <w:szCs w:val="24"/>
                  </w:rPr>
                  <w:lastRenderedPageBreak/>
                  <m:t>Cₛᵐᵒ=Cₛ-CMC</m:t>
                </m:r>
                <m:r>
                  <w:rPr>
                    <w:rFonts w:ascii="Cambria Math" w:eastAsiaTheme="minorEastAsia" w:hAnsi="Cambria Math"/>
                    <w:sz w:val="24"/>
                    <w:szCs w:val="24"/>
                  </w:rPr>
                  <m:t>ₒ</m:t>
                </m:r>
              </m:oMath>
            </m:oMathPara>
          </w:p>
        </w:tc>
        <w:tc>
          <w:tcPr>
            <w:tcW w:w="3198" w:type="dxa"/>
          </w:tcPr>
          <w:p w14:paraId="5D208948" w14:textId="77777777" w:rsidR="001764DE" w:rsidRPr="00EB1704" w:rsidRDefault="001764DE" w:rsidP="005B33C3">
            <w:pPr>
              <w:spacing w:before="120" w:after="120" w:line="480" w:lineRule="auto"/>
              <w:ind w:left="0" w:firstLine="0"/>
              <w:rPr>
                <w:sz w:val="24"/>
                <w:szCs w:val="24"/>
              </w:rPr>
            </w:pPr>
            <w:r w:rsidRPr="00EB1704">
              <w:rPr>
                <w:sz w:val="24"/>
                <w:szCs w:val="24"/>
              </w:rPr>
              <w:t xml:space="preserve">                                  (2)  </w:t>
            </w:r>
          </w:p>
        </w:tc>
      </w:tr>
    </w:tbl>
    <w:p w14:paraId="537484BA" w14:textId="7851899E" w:rsidR="001764DE" w:rsidRPr="00EB1704" w:rsidRDefault="001764DE" w:rsidP="001764DE">
      <w:pPr>
        <w:spacing w:line="480" w:lineRule="auto"/>
        <w:ind w:left="0"/>
        <w:rPr>
          <w:sz w:val="24"/>
        </w:rPr>
      </w:pPr>
      <w:r w:rsidRPr="00EB1704">
        <w:rPr>
          <w:sz w:val="24"/>
        </w:rPr>
        <w:t>From equation (2), C</w:t>
      </w:r>
      <w:r w:rsidRPr="00EB1704">
        <w:rPr>
          <w:sz w:val="24"/>
          <w:vertAlign w:val="subscript"/>
        </w:rPr>
        <w:t>s</w:t>
      </w:r>
      <w:r w:rsidRPr="00EB1704">
        <w:rPr>
          <w:sz w:val="24"/>
        </w:rPr>
        <w:t xml:space="preserve"> is the surfactant concentration, and the Critical Micelle Concentration of surfactant without dye is </w:t>
      </w:r>
      <m:oMath>
        <m:r>
          <w:rPr>
            <w:rFonts w:ascii="Cambria Math" w:hAnsi="Cambria Math"/>
            <w:sz w:val="24"/>
          </w:rPr>
          <m:t>CMC</m:t>
        </m:r>
        <m:r>
          <w:rPr>
            <w:rFonts w:ascii="Cambria Math" w:eastAsiaTheme="minorEastAsia" w:hAnsi="Cambria Math"/>
            <w:sz w:val="24"/>
          </w:rPr>
          <m:t>ₒ</m:t>
        </m:r>
      </m:oMath>
      <w:r w:rsidRPr="00EB1704">
        <w:rPr>
          <w:sz w:val="24"/>
          <w:vertAlign w:val="subscript"/>
        </w:rPr>
        <w:t xml:space="preserve"> </w:t>
      </w:r>
      <w:r w:rsidRPr="00EB1704">
        <w:rPr>
          <w:sz w:val="24"/>
        </w:rPr>
        <w:t>[2</w:t>
      </w:r>
      <w:r w:rsidR="00042ED8" w:rsidRPr="00EB1704">
        <w:rPr>
          <w:sz w:val="24"/>
        </w:rPr>
        <w:t>2</w:t>
      </w:r>
      <w:r w:rsidRPr="00EB1704">
        <w:rPr>
          <w:sz w:val="24"/>
        </w:rPr>
        <w:t xml:space="preserve">].  For calculating the unitless partition coefficient,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X</m:t>
            </m:r>
          </m:sub>
        </m:sSub>
        <m:r>
          <w:rPr>
            <w:rFonts w:ascii="Cambria Math" w:hAnsi="Cambria Math"/>
            <w:sz w:val="24"/>
            <w:vertAlign w:val="subscript"/>
          </w:rPr>
          <m:t>,</m:t>
        </m:r>
      </m:oMath>
      <w:r w:rsidRPr="00EB1704">
        <w:rPr>
          <w:sz w:val="24"/>
        </w:rPr>
        <w:t xml:space="preserve"> equation (3) was used [2</w:t>
      </w:r>
      <w:r w:rsidR="00042ED8" w:rsidRPr="00EB1704">
        <w:rPr>
          <w:sz w:val="24"/>
        </w:rPr>
        <w:t>3</w:t>
      </w:r>
      <w:r w:rsidRPr="00EB1704">
        <w:rPr>
          <w:sz w:val="24"/>
        </w:rPr>
        <w:t>]</w:t>
      </w:r>
      <w:r w:rsidRPr="00EB1704">
        <w:rPr>
          <w:color w:val="4472C4" w:themeColor="accent1"/>
          <w:sz w:val="24"/>
        </w:rPr>
        <w:t>.</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55"/>
      </w:tblGrid>
      <w:tr w:rsidR="001764DE" w:rsidRPr="00EB1704" w14:paraId="1C73233C" w14:textId="77777777" w:rsidTr="005B33C3">
        <w:trPr>
          <w:jc w:val="center"/>
        </w:trPr>
        <w:tc>
          <w:tcPr>
            <w:tcW w:w="2554" w:type="dxa"/>
          </w:tcPr>
          <w:p w14:paraId="3814A53E" w14:textId="77777777" w:rsidR="001764DE" w:rsidRPr="00EB1704" w:rsidRDefault="001764DE" w:rsidP="005B33C3">
            <w:pPr>
              <w:spacing w:before="120" w:after="120" w:line="480" w:lineRule="auto"/>
              <w:ind w:left="0" w:firstLine="0"/>
              <w:rPr>
                <w:sz w:val="24"/>
                <w:szCs w:val="24"/>
              </w:rPr>
            </w:pPr>
            <w:proofErr w:type="spellStart"/>
            <w:r w:rsidRPr="00EB1704">
              <w:rPr>
                <w:sz w:val="24"/>
                <w:szCs w:val="24"/>
              </w:rPr>
              <w:t>K</w:t>
            </w:r>
            <w:r w:rsidRPr="00EB1704">
              <w:rPr>
                <w:sz w:val="24"/>
                <w:szCs w:val="24"/>
                <w:vertAlign w:val="subscript"/>
              </w:rPr>
              <w:t>x</w:t>
            </w:r>
            <w:proofErr w:type="spellEnd"/>
            <w:r w:rsidRPr="00EB1704">
              <w:rPr>
                <w:sz w:val="24"/>
                <w:szCs w:val="24"/>
              </w:rPr>
              <w:t>=</w:t>
            </w:r>
            <w:proofErr w:type="spellStart"/>
            <w:r w:rsidRPr="00EB1704">
              <w:rPr>
                <w:sz w:val="24"/>
                <w:szCs w:val="24"/>
              </w:rPr>
              <w:t>K</w:t>
            </w:r>
            <w:r w:rsidRPr="00EB1704">
              <w:rPr>
                <w:sz w:val="24"/>
                <w:szCs w:val="24"/>
                <w:vertAlign w:val="subscript"/>
              </w:rPr>
              <w:t>c</w:t>
            </w:r>
            <w:r w:rsidRPr="00EB1704">
              <w:rPr>
                <w:sz w:val="24"/>
                <w:szCs w:val="24"/>
              </w:rPr>
              <w:t>n</w:t>
            </w:r>
            <w:r w:rsidRPr="00EB1704">
              <w:rPr>
                <w:sz w:val="24"/>
                <w:szCs w:val="24"/>
                <w:vertAlign w:val="subscript"/>
              </w:rPr>
              <w:t>w</w:t>
            </w:r>
            <w:proofErr w:type="spellEnd"/>
          </w:p>
        </w:tc>
        <w:tc>
          <w:tcPr>
            <w:tcW w:w="2555" w:type="dxa"/>
          </w:tcPr>
          <w:p w14:paraId="0B1414EB" w14:textId="77777777" w:rsidR="001764DE" w:rsidRPr="00EB1704" w:rsidRDefault="001764DE" w:rsidP="005B33C3">
            <w:pPr>
              <w:spacing w:before="120" w:after="120" w:line="480" w:lineRule="auto"/>
              <w:ind w:left="0" w:firstLine="0"/>
              <w:rPr>
                <w:sz w:val="24"/>
                <w:szCs w:val="24"/>
              </w:rPr>
            </w:pPr>
            <w:r w:rsidRPr="00EB1704">
              <w:rPr>
                <w:sz w:val="24"/>
                <w:szCs w:val="24"/>
              </w:rPr>
              <w:t xml:space="preserve">                                 (3)</w:t>
            </w:r>
          </w:p>
        </w:tc>
      </w:tr>
    </w:tbl>
    <w:p w14:paraId="081B808E" w14:textId="77777777" w:rsidR="001764DE" w:rsidRPr="00EB1704" w:rsidRDefault="001764DE" w:rsidP="001764DE">
      <w:pPr>
        <w:spacing w:line="480" w:lineRule="auto"/>
        <w:ind w:left="0"/>
        <w:rPr>
          <w:sz w:val="24"/>
        </w:rPr>
      </w:pPr>
    </w:p>
    <w:p w14:paraId="221F6D34" w14:textId="77777777" w:rsidR="001764DE" w:rsidRPr="00EB1704" w:rsidRDefault="001764DE" w:rsidP="001764DE">
      <w:pPr>
        <w:spacing w:line="480" w:lineRule="auto"/>
        <w:ind w:left="0"/>
        <w:rPr>
          <w:sz w:val="24"/>
        </w:rPr>
      </w:pPr>
      <w:r w:rsidRPr="00EB1704">
        <w:rPr>
          <w:sz w:val="24"/>
        </w:rPr>
        <w:t xml:space="preserve">From equation (3),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w</m:t>
            </m:r>
          </m:sub>
        </m:sSub>
        <m:r>
          <w:rPr>
            <w:rFonts w:ascii="Cambria Math" w:hAnsi="Cambria Math"/>
            <w:sz w:val="24"/>
            <w:vertAlign w:val="subscript"/>
          </w:rPr>
          <m:t>​</m:t>
        </m:r>
        <m:r>
          <w:rPr>
            <w:rFonts w:ascii="Cambria Math" w:hAnsi="Cambria Math"/>
            <w:sz w:val="24"/>
          </w:rPr>
          <m:t xml:space="preserve"> </m:t>
        </m:r>
      </m:oMath>
      <w:r w:rsidRPr="00EB1704">
        <w:rPr>
          <w:sz w:val="24"/>
        </w:rPr>
        <w:t>represents the amount of water in moles per cubic decimeter of solution (55.5 moldm</w:t>
      </w:r>
      <w:r w:rsidRPr="00EB1704">
        <w:rPr>
          <w:sz w:val="24"/>
          <w:vertAlign w:val="superscript"/>
        </w:rPr>
        <w:t>-3</w:t>
      </w:r>
      <w:r w:rsidRPr="00EB1704">
        <w:rPr>
          <w:sz w:val="24"/>
        </w:rPr>
        <w:t>).</w:t>
      </w:r>
    </w:p>
    <w:p w14:paraId="2AAD1E69" w14:textId="474BF25A" w:rsidR="001764DE" w:rsidRPr="00EB1704" w:rsidRDefault="001764DE" w:rsidP="001764DE">
      <w:pPr>
        <w:spacing w:line="480" w:lineRule="auto"/>
        <w:ind w:left="0"/>
        <w:rPr>
          <w:color w:val="000000" w:themeColor="text1"/>
          <w:sz w:val="24"/>
        </w:rPr>
      </w:pPr>
      <w:r w:rsidRPr="00EB1704">
        <w:rPr>
          <w:color w:val="000000" w:themeColor="text1"/>
          <w:sz w:val="24"/>
        </w:rPr>
        <w:t xml:space="preserve">    To evaluate the thermodynamics of dye distribution, the standard free energy change for partitioning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r>
          <w:rPr>
            <w:rFonts w:ascii="Cambria Math" w:hAnsi="Cambria Math"/>
            <w:color w:val="000000" w:themeColor="text1"/>
            <w:sz w:val="24"/>
          </w:rPr>
          <m:t>)</m:t>
        </m:r>
      </m:oMath>
      <w:r w:rsidRPr="00EB1704">
        <w:rPr>
          <w:color w:val="000000" w:themeColor="text1"/>
          <w:sz w:val="24"/>
        </w:rPr>
        <w:t xml:space="preserve"> between the aqueous and micellar phases was estimated from equation (4) [2</w:t>
      </w:r>
      <w:r w:rsidR="00042ED8" w:rsidRPr="00EB1704">
        <w:rPr>
          <w:color w:val="000000" w:themeColor="text1"/>
          <w:sz w:val="24"/>
        </w:rPr>
        <w:t>4</w:t>
      </w:r>
      <w:r w:rsidRPr="00EB1704">
        <w:rPr>
          <w:color w:val="000000" w:themeColor="text1"/>
          <w:sz w:val="24"/>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780"/>
      </w:tblGrid>
      <w:tr w:rsidR="001764DE" w:rsidRPr="00EB1704" w14:paraId="464F937F" w14:textId="77777777" w:rsidTr="005B33C3">
        <w:tc>
          <w:tcPr>
            <w:tcW w:w="6570" w:type="dxa"/>
          </w:tcPr>
          <w:p w14:paraId="4E7476AA" w14:textId="77777777" w:rsidR="001764DE" w:rsidRPr="00EB1704" w:rsidRDefault="001764DE" w:rsidP="005B33C3">
            <w:pPr>
              <w:tabs>
                <w:tab w:val="left" w:pos="3471"/>
              </w:tabs>
              <w:spacing w:before="120" w:after="120" w:line="480" w:lineRule="auto"/>
              <w:ind w:left="0" w:hanging="14"/>
              <w:jc w:val="center"/>
              <w:rPr>
                <w:sz w:val="24"/>
                <w:szCs w:val="24"/>
              </w:rPr>
            </w:pPr>
            <m:oMathPara>
              <m:oMath>
                <m:r>
                  <m:rPr>
                    <m:sty m:val="p"/>
                  </m:rPr>
                  <w:rPr>
                    <w:rFonts w:ascii="Cambria Math" w:hAnsi="Cambria Math"/>
                    <w:sz w:val="24"/>
                    <w:szCs w:val="24"/>
                  </w:rPr>
                  <m:t>ΔG</m:t>
                </m:r>
                <m:r>
                  <m:rPr>
                    <m:scr m:val="sans-serif"/>
                    <m:sty m:val="p"/>
                  </m:rPr>
                  <w:rPr>
                    <w:rFonts w:ascii="Cambria Math" w:hAnsi="Cambria Math"/>
                    <w:sz w:val="24"/>
                    <w:szCs w:val="24"/>
                  </w:rPr>
                  <m:t>p</m:t>
                </m:r>
                <m:r>
                  <m:rPr>
                    <m:sty m:val="p"/>
                  </m:rPr>
                  <w:rPr>
                    <w:rFonts w:ascii="Cambria Math" w:hAnsi="Cambria Math"/>
                    <w:sz w:val="24"/>
                    <w:szCs w:val="24"/>
                  </w:rPr>
                  <m:t xml:space="preserve"> = -RTInKₓ</m:t>
                </m:r>
              </m:oMath>
            </m:oMathPara>
          </w:p>
        </w:tc>
        <w:tc>
          <w:tcPr>
            <w:tcW w:w="2780" w:type="dxa"/>
          </w:tcPr>
          <w:p w14:paraId="64F92D66" w14:textId="77777777" w:rsidR="001764DE" w:rsidRPr="00EB1704" w:rsidRDefault="001764DE" w:rsidP="005B33C3">
            <w:pPr>
              <w:spacing w:before="120" w:after="120" w:line="480" w:lineRule="auto"/>
              <w:ind w:left="0" w:hanging="14"/>
              <w:jc w:val="center"/>
              <w:rPr>
                <w:sz w:val="24"/>
                <w:szCs w:val="24"/>
              </w:rPr>
            </w:pPr>
            <w:r w:rsidRPr="00EB1704">
              <w:rPr>
                <w:sz w:val="24"/>
                <w:szCs w:val="24"/>
              </w:rPr>
              <w:t>(4)</w:t>
            </w:r>
          </w:p>
        </w:tc>
      </w:tr>
    </w:tbl>
    <w:p w14:paraId="75DA491F" w14:textId="77777777" w:rsidR="001764DE" w:rsidRPr="00EB1704" w:rsidRDefault="001764DE" w:rsidP="001764DE">
      <w:pPr>
        <w:spacing w:line="480" w:lineRule="auto"/>
        <w:ind w:left="0" w:firstLine="0"/>
        <w:rPr>
          <w:color w:val="000000" w:themeColor="text1"/>
          <w:sz w:val="24"/>
        </w:rPr>
      </w:pPr>
    </w:p>
    <w:p w14:paraId="5234303C" w14:textId="76881C06" w:rsidR="001764DE" w:rsidRPr="00EB1704" w:rsidRDefault="001764DE" w:rsidP="001764DE">
      <w:pPr>
        <w:spacing w:line="480" w:lineRule="auto"/>
        <w:ind w:left="0"/>
        <w:rPr>
          <w:sz w:val="24"/>
        </w:rPr>
      </w:pPr>
      <w:r w:rsidRPr="00EB1704">
        <w:rPr>
          <w:sz w:val="24"/>
        </w:rPr>
        <w:t xml:space="preserve">Here, R denotes the universal gas constant, and T is the absolute temperature. To evaluate the dye-micelle interaction, the binding constant </w:t>
      </w:r>
      <m:oMath>
        <m:r>
          <w:rPr>
            <w:rFonts w:ascii="Cambria Math" w:hAnsi="Cambria Math"/>
            <w:sz w:val="24"/>
          </w:rPr>
          <m:t>(</m:t>
        </m:r>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r>
          <w:rPr>
            <w:rFonts w:ascii="Cambria Math" w:hAnsi="Cambria Math"/>
            <w:sz w:val="24"/>
          </w:rPr>
          <m:t>​)</m:t>
        </m:r>
      </m:oMath>
      <w:r w:rsidRPr="00EB1704">
        <w:rPr>
          <w:sz w:val="24"/>
        </w:rPr>
        <w:t xml:space="preserve"> was calculated using the Benesi-Hildebrand equation (Eq. (5)) [2</w:t>
      </w:r>
      <w:r w:rsidR="00042ED8" w:rsidRPr="00EB1704">
        <w:rPr>
          <w:sz w:val="24"/>
        </w:rPr>
        <w:t>5</w:t>
      </w:r>
      <w:r w:rsidRPr="00EB1704">
        <w:rPr>
          <w:sz w:val="24"/>
        </w:rPr>
        <w:t>]</w:t>
      </w:r>
      <w:r w:rsidRPr="00EB1704">
        <w:rPr>
          <w:color w:val="4472C4" w:themeColor="accent1"/>
          <w:sz w:val="24"/>
        </w:rPr>
        <w:t xml:space="preserve">. </w:t>
      </w:r>
      <w:r w:rsidRPr="00EB1704">
        <w:rPr>
          <w:sz w:val="24"/>
        </w:rPr>
        <w:t>The linear plot between</w:t>
      </w:r>
      <w:r w:rsidRPr="00EB1704">
        <w:rPr>
          <w:i/>
          <w:sz w:val="24"/>
        </w:rPr>
        <w:t xml:space="preserve"> </w:t>
      </w:r>
      <m:oMath>
        <m:f>
          <m:fPr>
            <m:ctrlPr>
              <w:rPr>
                <w:rFonts w:ascii="Cambria Math" w:hAnsi="Cambria Math"/>
                <w:i/>
                <w:sz w:val="24"/>
              </w:rPr>
            </m:ctrlPr>
          </m:fPr>
          <m:num>
            <m:r>
              <w:rPr>
                <w:rFonts w:ascii="Cambria Math" w:hAnsi="Cambria Math"/>
                <w:sz w:val="24"/>
              </w:rPr>
              <m:t>dCd</m:t>
            </m:r>
          </m:num>
          <m:den>
            <m:r>
              <w:rPr>
                <w:rFonts w:ascii="Cambria Math" w:hAnsi="Cambria Math"/>
                <w:sz w:val="24"/>
              </w:rPr>
              <m:t>∆A</m:t>
            </m:r>
          </m:den>
        </m:f>
        <m:r>
          <w:rPr>
            <w:rFonts w:ascii="Cambria Math" w:hAnsi="Cambria Math"/>
            <w:sz w:val="24"/>
          </w:rPr>
          <m:t xml:space="preserve"> and </m:t>
        </m:r>
        <m:f>
          <m:fPr>
            <m:ctrlPr>
              <w:rPr>
                <w:rFonts w:ascii="Cambria Math" w:hAnsi="Cambria Math"/>
                <w:i/>
                <w:sz w:val="24"/>
              </w:rPr>
            </m:ctrlPr>
          </m:fPr>
          <m:num>
            <m:r>
              <w:rPr>
                <w:rFonts w:ascii="Cambria Math" w:hAnsi="Cambria Math"/>
                <w:sz w:val="24"/>
              </w:rPr>
              <m:t>1</m:t>
            </m:r>
          </m:num>
          <m:den>
            <m:r>
              <w:rPr>
                <w:rFonts w:ascii="Cambria Math" w:hAnsi="Cambria Math"/>
                <w:sz w:val="24"/>
              </w:rPr>
              <m:t>(Cₛ-CMCₒ)</m:t>
            </m:r>
          </m:den>
        </m:f>
      </m:oMath>
      <w:r w:rsidRPr="00EB1704">
        <w:rPr>
          <w:sz w:val="24"/>
        </w:rPr>
        <w:t xml:space="preserve"> allowed for the determination of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EB1704">
        <w:rPr>
          <w:sz w:val="24"/>
          <w:vertAlign w:val="subscript"/>
        </w:rPr>
        <w:t xml:space="preserve">​ </w:t>
      </w:r>
      <w:r w:rsidRPr="00EB1704">
        <w:rPr>
          <w:sz w:val="24"/>
        </w:rPr>
        <w:t>based on its slope and intercept using equation (5):</w:t>
      </w:r>
    </w:p>
    <w:p w14:paraId="372B3EF2" w14:textId="77777777" w:rsidR="001764DE" w:rsidRPr="00EB1704" w:rsidRDefault="001764DE" w:rsidP="001764DE">
      <w:pPr>
        <w:spacing w:line="480" w:lineRule="auto"/>
        <w:ind w:left="0"/>
        <w:rPr>
          <w:sz w:val="24"/>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40"/>
      </w:tblGrid>
      <w:tr w:rsidR="001764DE" w:rsidRPr="00EB1704" w14:paraId="6AC1A243" w14:textId="77777777" w:rsidTr="005B33C3">
        <w:trPr>
          <w:jc w:val="center"/>
        </w:trPr>
        <w:tc>
          <w:tcPr>
            <w:tcW w:w="5310" w:type="dxa"/>
          </w:tcPr>
          <w:p w14:paraId="111A98E4" w14:textId="77777777" w:rsidR="001764DE" w:rsidRPr="00EB1704" w:rsidRDefault="00745463" w:rsidP="005B33C3">
            <w:pPr>
              <w:spacing w:before="120" w:after="120" w:line="480" w:lineRule="auto"/>
              <w:ind w:left="0" w:hanging="14"/>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dCd</m:t>
                    </m:r>
                  </m:num>
                  <m:den>
                    <m:r>
                      <w:rPr>
                        <w:rFonts w:ascii="Cambria Math" w:hAnsi="Cambria Math"/>
                        <w:sz w:val="24"/>
                        <w:szCs w:val="24"/>
                      </w:rPr>
                      <m:t>∆</m:t>
                    </m:r>
                    <m:r>
                      <w:rPr>
                        <w:rFonts w:ascii="Cambria Math" w:hAnsi="Cambria Math"/>
                        <w:sz w:val="24"/>
                        <w:szCs w:val="24"/>
                      </w:rPr>
                      <m:t>A</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b</m:t>
                        </m:r>
                      </m:sub>
                    </m:sSub>
                    <m:r>
                      <w:rPr>
                        <w:rFonts w:ascii="Cambria Math" w:hAnsi="Cambria Math"/>
                        <w:sz w:val="24"/>
                        <w:szCs w:val="24"/>
                      </w:rPr>
                      <m:t>∆</m:t>
                    </m:r>
                    <m:r>
                      <w:rPr>
                        <w:rFonts w:ascii="Cambria Math" w:hAnsi="Cambria Math"/>
                        <w:sz w:val="24"/>
                        <w:szCs w:val="24"/>
                      </w:rPr>
                      <m:t>ε</m:t>
                    </m:r>
                    <m:d>
                      <m:dPr>
                        <m:ctrlPr>
                          <w:rPr>
                            <w:rFonts w:ascii="Cambria Math" w:hAnsi="Cambria Math"/>
                            <w:i/>
                            <w:sz w:val="24"/>
                            <w:szCs w:val="24"/>
                          </w:rPr>
                        </m:ctrlPr>
                      </m:dPr>
                      <m:e>
                        <m:r>
                          <w:rPr>
                            <w:rFonts w:ascii="Cambria Math" w:hAnsi="Cambria Math"/>
                            <w:sz w:val="24"/>
                            <w:szCs w:val="24"/>
                          </w:rPr>
                          <m:t>C</m:t>
                        </m:r>
                        <m:r>
                          <w:rPr>
                            <w:rFonts w:ascii="Cambria Math" w:hAnsi="Cambria Math"/>
                            <w:sz w:val="24"/>
                            <w:szCs w:val="24"/>
                          </w:rPr>
                          <m:t>ₛ-</m:t>
                        </m:r>
                        <m:r>
                          <w:rPr>
                            <w:rFonts w:ascii="Cambria Math" w:hAnsi="Cambria Math"/>
                            <w:sz w:val="24"/>
                            <w:szCs w:val="24"/>
                          </w:rPr>
                          <m:t>CMC</m:t>
                        </m:r>
                        <m:r>
                          <w:rPr>
                            <w:rFonts w:ascii="Cambria Math" w:hAnsi="Cambria Math"/>
                            <w:sz w:val="24"/>
                            <w:szCs w:val="24"/>
                          </w:rPr>
                          <m:t>ₒ</m:t>
                        </m: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m:t>
                    </m:r>
                    <m:r>
                      <w:rPr>
                        <w:rFonts w:ascii="Cambria Math" w:hAnsi="Cambria Math"/>
                        <w:sz w:val="24"/>
                        <w:szCs w:val="24"/>
                      </w:rPr>
                      <m:t>ε</m:t>
                    </m:r>
                  </m:den>
                </m:f>
              </m:oMath>
            </m:oMathPara>
          </w:p>
        </w:tc>
        <w:tc>
          <w:tcPr>
            <w:tcW w:w="4040" w:type="dxa"/>
          </w:tcPr>
          <w:p w14:paraId="4468278A" w14:textId="77777777" w:rsidR="001764DE" w:rsidRPr="00EB1704" w:rsidRDefault="001764DE" w:rsidP="005B33C3">
            <w:pPr>
              <w:spacing w:before="120" w:after="120" w:line="480" w:lineRule="auto"/>
              <w:ind w:left="0" w:hanging="14"/>
              <w:rPr>
                <w:rFonts w:eastAsiaTheme="minorEastAsia"/>
                <w:sz w:val="24"/>
                <w:szCs w:val="24"/>
              </w:rPr>
            </w:pPr>
            <w:r w:rsidRPr="00EB1704">
              <w:rPr>
                <w:rFonts w:eastAsiaTheme="minorEastAsia"/>
                <w:sz w:val="24"/>
                <w:szCs w:val="24"/>
              </w:rPr>
              <w:t xml:space="preserve">                      (5)</w:t>
            </w:r>
          </w:p>
        </w:tc>
      </w:tr>
    </w:tbl>
    <w:p w14:paraId="217AC8F9" w14:textId="77777777" w:rsidR="001764DE" w:rsidRPr="00EB1704" w:rsidRDefault="001764DE" w:rsidP="001764DE">
      <w:pPr>
        <w:spacing w:line="480" w:lineRule="auto"/>
        <w:ind w:left="0"/>
        <w:rPr>
          <w:color w:val="4472C4" w:themeColor="accent1"/>
          <w:sz w:val="24"/>
        </w:rPr>
        <w:sectPr w:rsidR="001764DE" w:rsidRPr="00EB1704" w:rsidSect="001764DE">
          <w:type w:val="continuous"/>
          <w:pgSz w:w="11906" w:h="15874"/>
          <w:pgMar w:top="727" w:right="647" w:bottom="996" w:left="655" w:header="720" w:footer="720" w:gutter="0"/>
          <w:cols w:space="365"/>
        </w:sectPr>
      </w:pPr>
    </w:p>
    <w:p w14:paraId="7E7CA9C2" w14:textId="77777777" w:rsidR="001764DE" w:rsidRPr="00EB1704" w:rsidRDefault="001764DE" w:rsidP="001764DE">
      <w:pPr>
        <w:spacing w:line="480" w:lineRule="auto"/>
        <w:ind w:left="0" w:firstLine="0"/>
        <w:rPr>
          <w:color w:val="4472C4" w:themeColor="accent1"/>
          <w:sz w:val="24"/>
        </w:rPr>
        <w:sectPr w:rsidR="001764DE" w:rsidRPr="00EB1704" w:rsidSect="001764DE">
          <w:type w:val="continuous"/>
          <w:pgSz w:w="11906" w:h="15874"/>
          <w:pgMar w:top="727" w:right="647" w:bottom="996" w:left="655" w:header="720" w:footer="720" w:gutter="0"/>
          <w:cols w:num="2" w:space="365"/>
        </w:sectPr>
      </w:pPr>
    </w:p>
    <w:p w14:paraId="0F896540" w14:textId="77777777" w:rsidR="001764DE" w:rsidRPr="00EB1704" w:rsidRDefault="001764DE" w:rsidP="001764DE">
      <w:pPr>
        <w:pStyle w:val="ListParagraph"/>
        <w:numPr>
          <w:ilvl w:val="0"/>
          <w:numId w:val="4"/>
        </w:numPr>
        <w:spacing w:line="480" w:lineRule="auto"/>
        <w:ind w:left="0"/>
        <w:jc w:val="center"/>
        <w:rPr>
          <w:color w:val="000000" w:themeColor="text1"/>
          <w:sz w:val="24"/>
        </w:rPr>
      </w:pPr>
      <w:r w:rsidRPr="00EB1704">
        <w:rPr>
          <w:color w:val="000000" w:themeColor="text1"/>
          <w:sz w:val="24"/>
        </w:rPr>
        <w:t>Chemical structure of EBBR</w:t>
      </w:r>
    </w:p>
    <w:p w14:paraId="24FDFFC6" w14:textId="77777777" w:rsidR="001764DE" w:rsidRPr="00EB1704" w:rsidRDefault="001764DE" w:rsidP="001764DE">
      <w:pPr>
        <w:pStyle w:val="ListParagraph"/>
        <w:spacing w:line="480" w:lineRule="auto"/>
        <w:ind w:left="0" w:firstLine="0"/>
        <w:jc w:val="center"/>
        <w:rPr>
          <w:color w:val="4472C4" w:themeColor="accent1"/>
          <w:sz w:val="24"/>
        </w:rPr>
      </w:pPr>
      <w:r w:rsidRPr="00EB1704">
        <w:rPr>
          <w:rFonts w:eastAsiaTheme="minorHAnsi"/>
          <w:sz w:val="24"/>
        </w:rPr>
        <w:object w:dxaOrig="4380" w:dyaOrig="2205" w14:anchorId="55608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78pt" o:ole="">
            <v:imagedata r:id="rId13" o:title=""/>
          </v:shape>
          <o:OLEObject Type="Embed" ProgID="ACD.ChemSketch.20" ShapeID="_x0000_i1025" DrawAspect="Content" ObjectID="_1808905079" r:id="rId14"/>
        </w:object>
      </w:r>
    </w:p>
    <w:p w14:paraId="3F4A1942" w14:textId="77777777" w:rsidR="001764DE" w:rsidRPr="00EB1704" w:rsidRDefault="001764DE" w:rsidP="001764DE">
      <w:pPr>
        <w:pStyle w:val="ListParagraph"/>
        <w:numPr>
          <w:ilvl w:val="0"/>
          <w:numId w:val="4"/>
        </w:numPr>
        <w:spacing w:line="480" w:lineRule="auto"/>
        <w:jc w:val="center"/>
        <w:rPr>
          <w:color w:val="000000" w:themeColor="text1"/>
          <w:sz w:val="24"/>
        </w:rPr>
      </w:pPr>
      <w:r w:rsidRPr="00EB1704">
        <w:rPr>
          <w:color w:val="000000" w:themeColor="text1"/>
          <w:sz w:val="24"/>
        </w:rPr>
        <w:t>Chemical structure of CTAB</w:t>
      </w:r>
    </w:p>
    <w:p w14:paraId="18B7DA03" w14:textId="77777777" w:rsidR="001764DE" w:rsidRPr="00EB1704" w:rsidRDefault="001764DE" w:rsidP="001764DE">
      <w:pPr>
        <w:spacing w:line="480" w:lineRule="auto"/>
        <w:ind w:left="0"/>
        <w:jc w:val="center"/>
        <w:rPr>
          <w:color w:val="4472C4" w:themeColor="accent1"/>
          <w:sz w:val="24"/>
        </w:rPr>
        <w:sectPr w:rsidR="001764DE" w:rsidRPr="00EB1704" w:rsidSect="001764DE">
          <w:type w:val="continuous"/>
          <w:pgSz w:w="11906" w:h="15874"/>
          <w:pgMar w:top="727" w:right="647" w:bottom="996" w:left="655" w:header="720" w:footer="720" w:gutter="0"/>
          <w:cols w:num="2" w:space="365"/>
        </w:sectPr>
      </w:pPr>
      <w:r w:rsidRPr="00EB1704">
        <w:rPr>
          <w:rFonts w:eastAsiaTheme="minorHAnsi"/>
          <w:sz w:val="24"/>
        </w:rPr>
        <w:object w:dxaOrig="7440" w:dyaOrig="1335" w14:anchorId="73A1953F">
          <v:shape id="_x0000_i1026" type="#_x0000_t75" style="width:231pt;height:69.75pt" o:ole="">
            <v:imagedata r:id="rId15" o:title=""/>
          </v:shape>
          <o:OLEObject Type="Embed" ProgID="ChemDraw.Document.6.0" ShapeID="_x0000_i1026" DrawAspect="Content" ObjectID="_1808905080" r:id="rId16"/>
        </w:object>
      </w:r>
    </w:p>
    <w:p w14:paraId="6033612E" w14:textId="77777777" w:rsidR="001764DE" w:rsidRPr="00EB1704" w:rsidRDefault="001764DE" w:rsidP="001764DE">
      <w:pPr>
        <w:spacing w:line="480" w:lineRule="auto"/>
        <w:ind w:left="0" w:firstLine="0"/>
        <w:jc w:val="center"/>
        <w:rPr>
          <w:sz w:val="24"/>
        </w:rPr>
      </w:pPr>
    </w:p>
    <w:p w14:paraId="728DB9CC" w14:textId="77777777" w:rsidR="006B68C9" w:rsidRPr="00EB1704" w:rsidRDefault="006B68C9" w:rsidP="001764DE">
      <w:pPr>
        <w:spacing w:line="480" w:lineRule="auto"/>
        <w:ind w:left="0" w:firstLine="0"/>
        <w:jc w:val="center"/>
        <w:rPr>
          <w:sz w:val="24"/>
        </w:rPr>
      </w:pPr>
    </w:p>
    <w:p w14:paraId="08ED56FC" w14:textId="77777777" w:rsidR="006B68C9" w:rsidRPr="00EB1704" w:rsidRDefault="006B68C9" w:rsidP="001764DE">
      <w:pPr>
        <w:spacing w:line="480" w:lineRule="auto"/>
        <w:ind w:left="0" w:firstLine="0"/>
        <w:jc w:val="center"/>
        <w:rPr>
          <w:sz w:val="24"/>
        </w:rPr>
      </w:pPr>
    </w:p>
    <w:p w14:paraId="2E24157A" w14:textId="77777777" w:rsidR="001764DE" w:rsidRPr="00EB1704" w:rsidRDefault="001764DE" w:rsidP="001764DE">
      <w:pPr>
        <w:spacing w:line="480" w:lineRule="auto"/>
        <w:ind w:left="0" w:firstLine="0"/>
        <w:jc w:val="center"/>
        <w:rPr>
          <w:color w:val="4472C4" w:themeColor="accent1"/>
          <w:sz w:val="24"/>
        </w:rPr>
        <w:sectPr w:rsidR="001764DE" w:rsidRPr="00EB1704" w:rsidSect="001764DE">
          <w:type w:val="continuous"/>
          <w:pgSz w:w="11906" w:h="15874"/>
          <w:pgMar w:top="727" w:right="647" w:bottom="996" w:left="655" w:header="720" w:footer="720" w:gutter="0"/>
          <w:cols w:num="2" w:space="365"/>
        </w:sectPr>
      </w:pPr>
    </w:p>
    <w:p w14:paraId="3958B526" w14:textId="77777777" w:rsidR="001764DE" w:rsidRPr="00EB1704" w:rsidRDefault="001764DE" w:rsidP="001764DE">
      <w:pPr>
        <w:pStyle w:val="ListParagraph"/>
        <w:numPr>
          <w:ilvl w:val="0"/>
          <w:numId w:val="4"/>
        </w:numPr>
        <w:spacing w:line="480" w:lineRule="auto"/>
        <w:ind w:left="0"/>
        <w:jc w:val="center"/>
        <w:rPr>
          <w:color w:val="000000" w:themeColor="text1"/>
          <w:sz w:val="24"/>
        </w:rPr>
      </w:pPr>
      <w:r w:rsidRPr="00EB1704">
        <w:rPr>
          <w:color w:val="000000" w:themeColor="text1"/>
          <w:sz w:val="24"/>
        </w:rPr>
        <w:t>Chemical structure of TX-100</w:t>
      </w:r>
    </w:p>
    <w:p w14:paraId="1B2A45C1" w14:textId="77777777" w:rsidR="001764DE" w:rsidRPr="00EB1704" w:rsidRDefault="001764DE" w:rsidP="001764DE">
      <w:pPr>
        <w:spacing w:line="480" w:lineRule="auto"/>
        <w:ind w:left="0" w:firstLine="0"/>
        <w:jc w:val="center"/>
        <w:rPr>
          <w:sz w:val="24"/>
        </w:rPr>
      </w:pPr>
      <w:r w:rsidRPr="00EB1704">
        <w:rPr>
          <w:noProof/>
          <w:sz w:val="24"/>
        </w:rPr>
        <w:drawing>
          <wp:inline distT="0" distB="0" distL="0" distR="0" wp14:anchorId="381C8891" wp14:editId="39AFF1CD">
            <wp:extent cx="2981325" cy="942975"/>
            <wp:effectExtent l="0" t="0" r="9525" b="9525"/>
            <wp:docPr id="2994271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0201" cy="955271"/>
                    </a:xfrm>
                    <a:prstGeom prst="rect">
                      <a:avLst/>
                    </a:prstGeom>
                    <a:noFill/>
                    <a:ln>
                      <a:noFill/>
                    </a:ln>
                  </pic:spPr>
                </pic:pic>
              </a:graphicData>
            </a:graphic>
          </wp:inline>
        </w:drawing>
      </w:r>
    </w:p>
    <w:p w14:paraId="3FC2B383" w14:textId="77777777" w:rsidR="001764DE" w:rsidRPr="00EB1704" w:rsidRDefault="001764DE" w:rsidP="001764DE">
      <w:pPr>
        <w:pStyle w:val="ListParagraph"/>
        <w:numPr>
          <w:ilvl w:val="0"/>
          <w:numId w:val="4"/>
        </w:numPr>
        <w:spacing w:line="480" w:lineRule="auto"/>
        <w:jc w:val="center"/>
        <w:rPr>
          <w:color w:val="000000" w:themeColor="text1"/>
          <w:sz w:val="24"/>
        </w:rPr>
      </w:pPr>
      <w:r w:rsidRPr="00EB1704">
        <w:rPr>
          <w:color w:val="000000" w:themeColor="text1"/>
          <w:sz w:val="24"/>
        </w:rPr>
        <w:t>Chemical structure of CAPB</w:t>
      </w:r>
    </w:p>
    <w:p w14:paraId="2273D02C" w14:textId="45514D3D" w:rsidR="001764DE" w:rsidRPr="00EB1704" w:rsidRDefault="001764DE" w:rsidP="00694200">
      <w:pPr>
        <w:spacing w:line="480" w:lineRule="auto"/>
        <w:ind w:left="0" w:firstLine="0"/>
        <w:jc w:val="center"/>
        <w:rPr>
          <w:sz w:val="24"/>
        </w:rPr>
        <w:sectPr w:rsidR="001764DE" w:rsidRPr="00EB1704" w:rsidSect="001764DE">
          <w:type w:val="continuous"/>
          <w:pgSz w:w="11906" w:h="15874"/>
          <w:pgMar w:top="727" w:right="647" w:bottom="996" w:left="655" w:header="720" w:footer="720" w:gutter="0"/>
          <w:cols w:num="2" w:space="365"/>
        </w:sectPr>
      </w:pPr>
      <w:r w:rsidRPr="00EB1704">
        <w:rPr>
          <w:noProof/>
          <w:sz w:val="24"/>
        </w:rPr>
        <w:drawing>
          <wp:inline distT="0" distB="0" distL="0" distR="0" wp14:anchorId="2DDC181F" wp14:editId="6F961E26">
            <wp:extent cx="2743200" cy="852170"/>
            <wp:effectExtent l="0" t="0" r="0" b="5080"/>
            <wp:docPr id="6797550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705" cy="887430"/>
                    </a:xfrm>
                    <a:prstGeom prst="rect">
                      <a:avLst/>
                    </a:prstGeom>
                    <a:noFill/>
                    <a:ln>
                      <a:noFill/>
                    </a:ln>
                  </pic:spPr>
                </pic:pic>
              </a:graphicData>
            </a:graphic>
          </wp:inline>
        </w:drawing>
      </w:r>
    </w:p>
    <w:p w14:paraId="5005DE75" w14:textId="77777777" w:rsidR="001764DE" w:rsidRPr="00EB1704" w:rsidRDefault="001764DE" w:rsidP="001764DE">
      <w:pPr>
        <w:spacing w:line="480" w:lineRule="auto"/>
        <w:ind w:left="0" w:firstLine="0"/>
        <w:rPr>
          <w:sz w:val="24"/>
        </w:rPr>
        <w:sectPr w:rsidR="001764DE" w:rsidRPr="00EB1704" w:rsidSect="001764DE">
          <w:type w:val="continuous"/>
          <w:pgSz w:w="11906" w:h="15874"/>
          <w:pgMar w:top="1440" w:right="647" w:bottom="1440" w:left="838" w:header="720" w:footer="720" w:gutter="0"/>
          <w:cols w:space="345"/>
        </w:sectPr>
      </w:pPr>
    </w:p>
    <w:p w14:paraId="46F94715" w14:textId="77777777" w:rsidR="007579B3" w:rsidRPr="00EB1704" w:rsidRDefault="007579B3" w:rsidP="001764DE">
      <w:pPr>
        <w:spacing w:line="480" w:lineRule="auto"/>
        <w:ind w:left="0" w:firstLine="0"/>
        <w:rPr>
          <w:sz w:val="24"/>
        </w:rPr>
      </w:pPr>
    </w:p>
    <w:p w14:paraId="094B8D88" w14:textId="7EFEF437" w:rsidR="007579B3" w:rsidRPr="00EB1704" w:rsidRDefault="007579B3" w:rsidP="001764DE">
      <w:pPr>
        <w:spacing w:line="480" w:lineRule="auto"/>
        <w:ind w:left="0" w:firstLine="0"/>
        <w:rPr>
          <w:b/>
          <w:sz w:val="24"/>
        </w:rPr>
      </w:pPr>
      <w:r w:rsidRPr="00EB1704">
        <w:rPr>
          <w:b/>
          <w:sz w:val="24"/>
        </w:rPr>
        <w:t>Figure 1.</w:t>
      </w:r>
      <w:r w:rsidR="00326510" w:rsidRPr="00EB1704">
        <w:rPr>
          <w:b/>
          <w:sz w:val="24"/>
        </w:rPr>
        <w:t xml:space="preserve"> Chemical structure of </w:t>
      </w:r>
      <w:r w:rsidR="0023150A" w:rsidRPr="00EB1704">
        <w:rPr>
          <w:b/>
          <w:color w:val="000000" w:themeColor="text1"/>
          <w:sz w:val="24"/>
        </w:rPr>
        <w:t>EBBR, CTAB, TX-100 and CAPB</w:t>
      </w:r>
    </w:p>
    <w:p w14:paraId="0C340A5F" w14:textId="6428B8EF" w:rsidR="001764DE" w:rsidRPr="00EB1704" w:rsidRDefault="001764DE" w:rsidP="001764DE">
      <w:pPr>
        <w:spacing w:line="480" w:lineRule="auto"/>
        <w:ind w:left="0" w:firstLine="0"/>
        <w:rPr>
          <w:sz w:val="24"/>
        </w:rPr>
      </w:pPr>
      <w:r w:rsidRPr="00EB1704">
        <w:rPr>
          <w:sz w:val="24"/>
        </w:rPr>
        <w:t xml:space="preserve">In this equation, </w:t>
      </w:r>
      <m:oMath>
        <m:sSub>
          <m:sSubPr>
            <m:ctrlPr>
              <w:rPr>
                <w:rFonts w:ascii="Cambria Math" w:hAnsi="Cambria Math"/>
                <w:i/>
                <w:sz w:val="24"/>
                <w:vertAlign w:val="subscript"/>
              </w:rPr>
            </m:ctrlPr>
          </m:sSubPr>
          <m:e>
            <m:r>
              <w:rPr>
                <w:rFonts w:ascii="Cambria Math" w:hAnsi="Cambria Math"/>
                <w:sz w:val="24"/>
                <w:vertAlign w:val="subscript"/>
              </w:rPr>
              <m:t>C</m:t>
            </m:r>
          </m:e>
          <m:sub>
            <m:r>
              <w:rPr>
                <w:rFonts w:ascii="Cambria Math" w:hAnsi="Cambria Math"/>
                <w:sz w:val="24"/>
                <w:vertAlign w:val="subscript"/>
              </w:rPr>
              <m:t>d</m:t>
            </m:r>
          </m:sub>
        </m:sSub>
        <m:r>
          <w:rPr>
            <w:rFonts w:ascii="Cambria Math" w:hAnsi="Cambria Math"/>
            <w:sz w:val="24"/>
            <w:vertAlign w:val="subscript"/>
          </w:rPr>
          <m:t>​</m:t>
        </m:r>
      </m:oMath>
      <w:r w:rsidRPr="00EB1704">
        <w:rPr>
          <w:sz w:val="24"/>
        </w:rPr>
        <w:t xml:space="preserve"> denotes the dye concentration, </w:t>
      </w:r>
      <m:oMath>
        <m:r>
          <w:rPr>
            <w:rFonts w:ascii="Cambria Math" w:hAnsi="Cambria Math"/>
            <w:sz w:val="24"/>
          </w:rPr>
          <m:t>d</m:t>
        </m:r>
      </m:oMath>
      <w:r w:rsidRPr="00EB1704">
        <w:rPr>
          <w:sz w:val="24"/>
        </w:rPr>
        <w:t xml:space="preserve"> is the optical path length (1.0 cm) of the sample solution, and</w:t>
      </w:r>
      <m:oMath>
        <m:r>
          <w:rPr>
            <w:rFonts w:ascii="Cambria Math" w:hAnsi="Cambria Math"/>
            <w:sz w:val="24"/>
          </w:rPr>
          <m:t xml:space="preserve"> ΔA</m:t>
        </m:r>
      </m:oMath>
      <w:r w:rsidRPr="00EB1704">
        <w:rPr>
          <w:sz w:val="24"/>
        </w:rPr>
        <w:t xml:space="preserve"> corresponds to the difference in absorbance between the EBBR-surfactant complex and unbound EBBR. </w:t>
      </w:r>
      <m:oMath>
        <m:r>
          <w:rPr>
            <w:rFonts w:ascii="Cambria Math" w:hAnsi="Cambria Math"/>
            <w:sz w:val="24"/>
          </w:rPr>
          <m:t xml:space="preserve">Δε </m:t>
        </m:r>
      </m:oMath>
      <w:r w:rsidRPr="00EB1704">
        <w:rPr>
          <w:sz w:val="24"/>
        </w:rPr>
        <w:t xml:space="preserve">represents the difference in molar absorptivity (extinction coefficient) between the EBBR-surfactant complex and the free dye </w:t>
      </w:r>
      <m:oMath>
        <m:r>
          <w:rPr>
            <w:rFonts w:ascii="Cambria Math" w:hAnsi="Cambria Math"/>
            <w:sz w:val="24"/>
          </w:rPr>
          <m:t>(Δԑ = ԑ - ԑₒ).</m:t>
        </m:r>
      </m:oMath>
      <w:r w:rsidRPr="00EB1704">
        <w:rPr>
          <w:sz w:val="24"/>
        </w:rPr>
        <w:t xml:space="preserve"> </w:t>
      </w:r>
    </w:p>
    <w:p w14:paraId="437E8626" w14:textId="77777777" w:rsidR="001764DE" w:rsidRPr="00EB1704" w:rsidRDefault="001764DE" w:rsidP="001764DE">
      <w:pPr>
        <w:spacing w:line="480" w:lineRule="auto"/>
        <w:ind w:left="0" w:firstLine="0"/>
        <w:rPr>
          <w:sz w:val="24"/>
        </w:rPr>
      </w:pPr>
      <w:r w:rsidRPr="00EB1704">
        <w:rPr>
          <w:sz w:val="24"/>
        </w:rPr>
        <w:t xml:space="preserve">       Gibb’s free energy change (</w:t>
      </w:r>
      <w:proofErr w:type="spellStart"/>
      <w:r w:rsidRPr="00EB1704">
        <w:rPr>
          <w:sz w:val="24"/>
        </w:rPr>
        <w:t>ΔG</w:t>
      </w:r>
      <w:r w:rsidRPr="00EB1704">
        <w:rPr>
          <w:sz w:val="24"/>
          <w:vertAlign w:val="subscript"/>
        </w:rPr>
        <w:t>b</w:t>
      </w:r>
      <w:proofErr w:type="spellEnd"/>
      <w:r w:rsidRPr="00EB1704">
        <w:rPr>
          <w:sz w:val="24"/>
        </w:rPr>
        <w:t xml:space="preserve">) can be calculated using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EB1704">
        <w:rPr>
          <w:sz w:val="24"/>
        </w:rPr>
        <w:t xml:space="preserve"> according to equation (6):</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577"/>
      </w:tblGrid>
      <w:tr w:rsidR="001764DE" w:rsidRPr="00EB1704" w14:paraId="30213D81" w14:textId="77777777" w:rsidTr="005B33C3">
        <w:trPr>
          <w:trHeight w:val="701"/>
          <w:jc w:val="center"/>
        </w:trPr>
        <w:tc>
          <w:tcPr>
            <w:tcW w:w="2542" w:type="dxa"/>
          </w:tcPr>
          <w:p w14:paraId="67ED3D03" w14:textId="77777777" w:rsidR="001764DE" w:rsidRPr="00EB1704" w:rsidRDefault="001764DE" w:rsidP="005B33C3">
            <w:pPr>
              <w:tabs>
                <w:tab w:val="center" w:pos="2127"/>
              </w:tabs>
              <w:spacing w:before="120" w:after="120" w:line="480" w:lineRule="auto"/>
              <w:ind w:left="0" w:hanging="14"/>
              <w:rPr>
                <w:sz w:val="24"/>
                <w:szCs w:val="24"/>
              </w:rPr>
            </w:pPr>
            <w:r w:rsidRPr="00EB1704">
              <w:rPr>
                <w:sz w:val="24"/>
                <w:szCs w:val="24"/>
              </w:rPr>
              <w:tab/>
            </w:r>
            <m:oMath>
              <m:r>
                <w:rPr>
                  <w:rFonts w:ascii="Cambria Math" w:hAnsi="Cambria Math"/>
                  <w:sz w:val="24"/>
                  <w:szCs w:val="24"/>
                </w:rPr>
                <m:t>ΔGь=-RTInKь</m:t>
              </m:r>
            </m:oMath>
          </w:p>
        </w:tc>
        <w:tc>
          <w:tcPr>
            <w:tcW w:w="2577" w:type="dxa"/>
          </w:tcPr>
          <w:p w14:paraId="134A9ACC" w14:textId="77777777" w:rsidR="001764DE" w:rsidRPr="00EB1704" w:rsidRDefault="001764DE" w:rsidP="005B33C3">
            <w:pPr>
              <w:tabs>
                <w:tab w:val="center" w:pos="2127"/>
              </w:tabs>
              <w:spacing w:before="120" w:after="120" w:line="480" w:lineRule="auto"/>
              <w:ind w:left="0" w:hanging="14"/>
              <w:rPr>
                <w:sz w:val="24"/>
                <w:szCs w:val="24"/>
              </w:rPr>
            </w:pPr>
            <w:r w:rsidRPr="00EB1704">
              <w:rPr>
                <w:sz w:val="24"/>
                <w:szCs w:val="24"/>
              </w:rPr>
              <w:t xml:space="preserve">                     </w:t>
            </w:r>
            <w:r w:rsidRPr="00EB1704">
              <w:rPr>
                <w:sz w:val="24"/>
                <w:szCs w:val="24"/>
              </w:rPr>
              <w:tab/>
              <w:t>(6)</w:t>
            </w:r>
          </w:p>
        </w:tc>
      </w:tr>
    </w:tbl>
    <w:p w14:paraId="7B6411A5" w14:textId="77777777" w:rsidR="00694200" w:rsidRPr="00EB1704" w:rsidRDefault="00694200" w:rsidP="001764DE">
      <w:pPr>
        <w:spacing w:line="480" w:lineRule="auto"/>
        <w:ind w:left="0" w:firstLine="0"/>
        <w:rPr>
          <w:b/>
          <w:bCs/>
          <w:color w:val="000000" w:themeColor="text1"/>
          <w:sz w:val="24"/>
        </w:rPr>
      </w:pPr>
    </w:p>
    <w:p w14:paraId="176F418D" w14:textId="77777777" w:rsidR="001764DE" w:rsidRPr="00EB1704" w:rsidRDefault="001764DE" w:rsidP="00694200">
      <w:pPr>
        <w:pStyle w:val="ListParagraph"/>
        <w:spacing w:line="480" w:lineRule="auto"/>
        <w:ind w:left="0" w:firstLine="0"/>
        <w:rPr>
          <w:b/>
          <w:bCs/>
          <w:color w:val="000000" w:themeColor="text1"/>
          <w:sz w:val="24"/>
        </w:rPr>
      </w:pPr>
      <w:r w:rsidRPr="00EB1704">
        <w:rPr>
          <w:b/>
          <w:bCs/>
          <w:color w:val="000000" w:themeColor="text1"/>
          <w:sz w:val="24"/>
        </w:rPr>
        <w:t>Results and discussion</w:t>
      </w:r>
    </w:p>
    <w:p w14:paraId="22328050" w14:textId="77777777" w:rsidR="001764DE" w:rsidRPr="00EB1704" w:rsidRDefault="001764DE" w:rsidP="001764DE">
      <w:pPr>
        <w:spacing w:line="480" w:lineRule="auto"/>
        <w:ind w:left="0" w:firstLine="0"/>
        <w:rPr>
          <w:color w:val="000000" w:themeColor="text1"/>
          <w:sz w:val="24"/>
        </w:rPr>
      </w:pPr>
      <w:r w:rsidRPr="00EB1704">
        <w:rPr>
          <w:color w:val="000000" w:themeColor="text1"/>
          <w:sz w:val="24"/>
        </w:rPr>
        <w:t>EBBR Dye Solubilization in Single Surfactant Micelles</w:t>
      </w:r>
    </w:p>
    <w:p w14:paraId="0671387C" w14:textId="77777777" w:rsidR="001764DE" w:rsidRPr="00EB1704" w:rsidRDefault="001764DE" w:rsidP="001764DE">
      <w:pPr>
        <w:spacing w:line="480" w:lineRule="auto"/>
        <w:ind w:left="0" w:firstLine="0"/>
        <w:rPr>
          <w:color w:val="000000" w:themeColor="text1"/>
          <w:sz w:val="24"/>
        </w:rPr>
      </w:pPr>
      <w:r w:rsidRPr="00EB1704">
        <w:rPr>
          <w:color w:val="4472C4" w:themeColor="accent1"/>
          <w:sz w:val="24"/>
        </w:rPr>
        <w:t xml:space="preserve">Figure 2 </w:t>
      </w:r>
      <w:r w:rsidRPr="00EB1704">
        <w:rPr>
          <w:color w:val="000000" w:themeColor="text1"/>
          <w:sz w:val="24"/>
        </w:rPr>
        <w:t>is the spectrum of an aqueous solution of 9.6 ×10</w:t>
      </w:r>
      <w:r w:rsidRPr="00EB1704">
        <w:rPr>
          <w:color w:val="000000" w:themeColor="text1"/>
          <w:sz w:val="24"/>
          <w:vertAlign w:val="superscript"/>
        </w:rPr>
        <w:t>-6</w:t>
      </w:r>
      <w:r w:rsidRPr="00EB1704">
        <w:rPr>
          <w:color w:val="000000" w:themeColor="text1"/>
          <w:sz w:val="24"/>
        </w:rPr>
        <w:t xml:space="preserve"> M EBBR. This spectrum displays a broad peak with the highest absorbance (</w:t>
      </w:r>
      <w:proofErr w:type="spellStart"/>
      <w:r w:rsidRPr="00EB1704">
        <w:rPr>
          <w:color w:val="000000" w:themeColor="text1"/>
          <w:sz w:val="24"/>
        </w:rPr>
        <w:t>λmax</w:t>
      </w:r>
      <w:proofErr w:type="spellEnd"/>
      <w:r w:rsidRPr="00EB1704">
        <w:rPr>
          <w:color w:val="000000" w:themeColor="text1"/>
          <w:sz w:val="24"/>
        </w:rPr>
        <w:t>) at 537 nm.</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1"/>
      </w:tblGrid>
      <w:tr w:rsidR="001764DE" w:rsidRPr="00EB1704" w14:paraId="07A763A4" w14:textId="77777777" w:rsidTr="005B33C3">
        <w:trPr>
          <w:jc w:val="center"/>
        </w:trPr>
        <w:tc>
          <w:tcPr>
            <w:tcW w:w="10411" w:type="dxa"/>
          </w:tcPr>
          <w:p w14:paraId="4090A219" w14:textId="77777777" w:rsidR="001764DE" w:rsidRPr="00EB1704" w:rsidRDefault="001764DE" w:rsidP="005B33C3">
            <w:pPr>
              <w:spacing w:line="480" w:lineRule="auto"/>
              <w:ind w:left="0" w:firstLine="0"/>
              <w:jc w:val="center"/>
              <w:rPr>
                <w:color w:val="000000" w:themeColor="text1"/>
                <w:sz w:val="24"/>
                <w:szCs w:val="24"/>
              </w:rPr>
            </w:pPr>
            <w:r w:rsidRPr="00EB1704">
              <w:rPr>
                <w:rFonts w:eastAsia="Calibri"/>
                <w:noProof/>
                <w:sz w:val="24"/>
              </w:rPr>
              <w:lastRenderedPageBreak/>
              <mc:AlternateContent>
                <mc:Choice Requires="wpg">
                  <w:drawing>
                    <wp:inline distT="0" distB="0" distL="0" distR="0" wp14:anchorId="6D0F7D2E" wp14:editId="064244C7">
                      <wp:extent cx="4502109" cy="2771775"/>
                      <wp:effectExtent l="0" t="0" r="0" b="0"/>
                      <wp:docPr id="573" name="Group 573"/>
                      <wp:cNvGraphicFramePr/>
                      <a:graphic xmlns:a="http://schemas.openxmlformats.org/drawingml/2006/main">
                        <a:graphicData uri="http://schemas.microsoft.com/office/word/2010/wordprocessingGroup">
                          <wpg:wgp>
                            <wpg:cNvGrpSpPr/>
                            <wpg:grpSpPr>
                              <a:xfrm>
                                <a:off x="0" y="0"/>
                                <a:ext cx="4502109" cy="2771775"/>
                                <a:chOff x="0" y="0"/>
                                <a:chExt cx="5885356" cy="3631777"/>
                              </a:xfrm>
                            </wpg:grpSpPr>
                            <wps:wsp>
                              <wps:cNvPr id="9" name="Shape 9"/>
                              <wps:cNvSpPr/>
                              <wps:spPr>
                                <a:xfrm>
                                  <a:off x="599736" y="3339901"/>
                                  <a:ext cx="5145024" cy="0"/>
                                </a:xfrm>
                                <a:custGeom>
                                  <a:avLst/>
                                  <a:gdLst/>
                                  <a:ahLst/>
                                  <a:cxnLst/>
                                  <a:rect l="0" t="0" r="0" b="0"/>
                                  <a:pathLst>
                                    <a:path w="5145024">
                                      <a:moveTo>
                                        <a:pt x="0" y="0"/>
                                      </a:moveTo>
                                      <a:lnTo>
                                        <a:pt x="5145024"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599736" y="66349"/>
                                  <a:ext cx="0" cy="3273552"/>
                                </a:xfrm>
                                <a:custGeom>
                                  <a:avLst/>
                                  <a:gdLst/>
                                  <a:ahLst/>
                                  <a:cxnLst/>
                                  <a:rect l="0" t="0" r="0" b="0"/>
                                  <a:pathLst>
                                    <a:path h="3273552">
                                      <a:moveTo>
                                        <a:pt x="0" y="3273552"/>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599736"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1885992"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3172249"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4" name="Shape 14"/>
                              <wps:cNvSpPr/>
                              <wps:spPr>
                                <a:xfrm>
                                  <a:off x="4458505"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5744761"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532680" y="3184453"/>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532680" y="2559613"/>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532680" y="1937821"/>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532680" y="1312980"/>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532680" y="691189"/>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1" name="Shape 21"/>
                              <wps:cNvSpPr/>
                              <wps:spPr>
                                <a:xfrm>
                                  <a:off x="532680" y="66349"/>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2" name="Rectangle 22"/>
                              <wps:cNvSpPr/>
                              <wps:spPr>
                                <a:xfrm>
                                  <a:off x="456480" y="3471672"/>
                                  <a:ext cx="377523" cy="212940"/>
                                </a:xfrm>
                                <a:prstGeom prst="rect">
                                  <a:avLst/>
                                </a:prstGeom>
                                <a:ln>
                                  <a:noFill/>
                                </a:ln>
                              </wps:spPr>
                              <wps:txbx>
                                <w:txbxContent>
                                  <w:p w14:paraId="6AC21B4F" w14:textId="77777777" w:rsidR="001764DE" w:rsidRDefault="001764DE" w:rsidP="001764DE">
                                    <w:pPr>
                                      <w:spacing w:after="160" w:line="259" w:lineRule="auto"/>
                                      <w:ind w:left="0" w:firstLine="0"/>
                                    </w:pPr>
                                    <w:r>
                                      <w:rPr>
                                        <w:rFonts w:ascii="Arial" w:eastAsia="Arial" w:hAnsi="Arial" w:cs="Arial"/>
                                        <w:b/>
                                        <w:sz w:val="27"/>
                                      </w:rPr>
                                      <w:t>400</w:t>
                                    </w:r>
                                  </w:p>
                                </w:txbxContent>
                              </wps:txbx>
                              <wps:bodyPr horzOverflow="overflow" vert="horz" lIns="0" tIns="0" rIns="0" bIns="0" rtlCol="0">
                                <a:noAutofit/>
                              </wps:bodyPr>
                            </wps:wsp>
                            <wps:wsp>
                              <wps:cNvPr id="23" name="Rectangle 23"/>
                              <wps:cNvSpPr/>
                              <wps:spPr>
                                <a:xfrm>
                                  <a:off x="1742736" y="3471672"/>
                                  <a:ext cx="377523" cy="212940"/>
                                </a:xfrm>
                                <a:prstGeom prst="rect">
                                  <a:avLst/>
                                </a:prstGeom>
                                <a:ln>
                                  <a:noFill/>
                                </a:ln>
                              </wps:spPr>
                              <wps:txbx>
                                <w:txbxContent>
                                  <w:p w14:paraId="64950B86" w14:textId="77777777" w:rsidR="001764DE" w:rsidRDefault="001764DE" w:rsidP="001764DE">
                                    <w:pPr>
                                      <w:spacing w:after="160" w:line="259" w:lineRule="auto"/>
                                      <w:ind w:left="0" w:firstLine="0"/>
                                    </w:pPr>
                                    <w:r>
                                      <w:rPr>
                                        <w:rFonts w:ascii="Arial" w:eastAsia="Arial" w:hAnsi="Arial" w:cs="Arial"/>
                                        <w:b/>
                                        <w:sz w:val="27"/>
                                      </w:rPr>
                                      <w:t>500</w:t>
                                    </w:r>
                                  </w:p>
                                </w:txbxContent>
                              </wps:txbx>
                              <wps:bodyPr horzOverflow="overflow" vert="horz" lIns="0" tIns="0" rIns="0" bIns="0" rtlCol="0">
                                <a:noAutofit/>
                              </wps:bodyPr>
                            </wps:wsp>
                            <wps:wsp>
                              <wps:cNvPr id="24" name="Rectangle 24"/>
                              <wps:cNvSpPr/>
                              <wps:spPr>
                                <a:xfrm>
                                  <a:off x="3028993" y="3471672"/>
                                  <a:ext cx="377523" cy="212940"/>
                                </a:xfrm>
                                <a:prstGeom prst="rect">
                                  <a:avLst/>
                                </a:prstGeom>
                                <a:ln>
                                  <a:noFill/>
                                </a:ln>
                              </wps:spPr>
                              <wps:txbx>
                                <w:txbxContent>
                                  <w:p w14:paraId="144FEDCC" w14:textId="77777777" w:rsidR="001764DE" w:rsidRDefault="001764DE" w:rsidP="001764DE">
                                    <w:pPr>
                                      <w:spacing w:after="160" w:line="259" w:lineRule="auto"/>
                                      <w:ind w:left="0" w:firstLine="0"/>
                                    </w:pPr>
                                    <w:r>
                                      <w:rPr>
                                        <w:rFonts w:ascii="Arial" w:eastAsia="Arial" w:hAnsi="Arial" w:cs="Arial"/>
                                        <w:b/>
                                        <w:sz w:val="27"/>
                                      </w:rPr>
                                      <w:t>600</w:t>
                                    </w:r>
                                  </w:p>
                                </w:txbxContent>
                              </wps:txbx>
                              <wps:bodyPr horzOverflow="overflow" vert="horz" lIns="0" tIns="0" rIns="0" bIns="0" rtlCol="0">
                                <a:noAutofit/>
                              </wps:bodyPr>
                            </wps:wsp>
                            <wps:wsp>
                              <wps:cNvPr id="25" name="Rectangle 25"/>
                              <wps:cNvSpPr/>
                              <wps:spPr>
                                <a:xfrm>
                                  <a:off x="4315249" y="3471672"/>
                                  <a:ext cx="377523" cy="212940"/>
                                </a:xfrm>
                                <a:prstGeom prst="rect">
                                  <a:avLst/>
                                </a:prstGeom>
                                <a:ln>
                                  <a:noFill/>
                                </a:ln>
                              </wps:spPr>
                              <wps:txbx>
                                <w:txbxContent>
                                  <w:p w14:paraId="2E746AEC" w14:textId="77777777" w:rsidR="001764DE" w:rsidRDefault="001764DE" w:rsidP="001764DE">
                                    <w:pPr>
                                      <w:spacing w:after="160" w:line="259" w:lineRule="auto"/>
                                      <w:ind w:left="0" w:firstLine="0"/>
                                    </w:pPr>
                                    <w:r>
                                      <w:rPr>
                                        <w:rFonts w:ascii="Arial" w:eastAsia="Arial" w:hAnsi="Arial" w:cs="Arial"/>
                                        <w:b/>
                                        <w:sz w:val="27"/>
                                      </w:rPr>
                                      <w:t>700</w:t>
                                    </w:r>
                                  </w:p>
                                </w:txbxContent>
                              </wps:txbx>
                              <wps:bodyPr horzOverflow="overflow" vert="horz" lIns="0" tIns="0" rIns="0" bIns="0" rtlCol="0">
                                <a:noAutofit/>
                              </wps:bodyPr>
                            </wps:wsp>
                            <wps:wsp>
                              <wps:cNvPr id="26" name="Rectangle 26"/>
                              <wps:cNvSpPr/>
                              <wps:spPr>
                                <a:xfrm>
                                  <a:off x="5601504" y="3471672"/>
                                  <a:ext cx="377523" cy="212940"/>
                                </a:xfrm>
                                <a:prstGeom prst="rect">
                                  <a:avLst/>
                                </a:prstGeom>
                                <a:ln>
                                  <a:noFill/>
                                </a:ln>
                              </wps:spPr>
                              <wps:txbx>
                                <w:txbxContent>
                                  <w:p w14:paraId="2551CFE3" w14:textId="77777777" w:rsidR="001764DE" w:rsidRDefault="001764DE" w:rsidP="001764DE">
                                    <w:pPr>
                                      <w:spacing w:after="160" w:line="259" w:lineRule="auto"/>
                                      <w:ind w:left="0" w:firstLine="0"/>
                                    </w:pPr>
                                    <w:r>
                                      <w:rPr>
                                        <w:rFonts w:ascii="Arial" w:eastAsia="Arial" w:hAnsi="Arial" w:cs="Arial"/>
                                        <w:b/>
                                        <w:sz w:val="27"/>
                                      </w:rPr>
                                      <w:t>800</w:t>
                                    </w:r>
                                  </w:p>
                                </w:txbxContent>
                              </wps:txbx>
                              <wps:bodyPr horzOverflow="overflow" vert="horz" lIns="0" tIns="0" rIns="0" bIns="0" rtlCol="0">
                                <a:noAutofit/>
                              </wps:bodyPr>
                            </wps:wsp>
                            <wps:wsp>
                              <wps:cNvPr id="27" name="Rectangle 27"/>
                              <wps:cNvSpPr/>
                              <wps:spPr>
                                <a:xfrm>
                                  <a:off x="264456" y="3118104"/>
                                  <a:ext cx="316537" cy="212940"/>
                                </a:xfrm>
                                <a:prstGeom prst="rect">
                                  <a:avLst/>
                                </a:prstGeom>
                                <a:ln>
                                  <a:noFill/>
                                </a:ln>
                              </wps:spPr>
                              <wps:txbx>
                                <w:txbxContent>
                                  <w:p w14:paraId="113650A3" w14:textId="77777777" w:rsidR="001764DE" w:rsidRDefault="001764DE" w:rsidP="001764DE">
                                    <w:pPr>
                                      <w:spacing w:after="160" w:line="259" w:lineRule="auto"/>
                                      <w:ind w:left="0" w:firstLine="0"/>
                                    </w:pPr>
                                    <w:r>
                                      <w:rPr>
                                        <w:rFonts w:ascii="Arial" w:eastAsia="Arial" w:hAnsi="Arial" w:cs="Arial"/>
                                        <w:b/>
                                        <w:sz w:val="27"/>
                                      </w:rPr>
                                      <w:t>0.0</w:t>
                                    </w:r>
                                  </w:p>
                                </w:txbxContent>
                              </wps:txbx>
                              <wps:bodyPr horzOverflow="overflow" vert="horz" lIns="0" tIns="0" rIns="0" bIns="0" rtlCol="0">
                                <a:noAutofit/>
                              </wps:bodyPr>
                            </wps:wsp>
                            <wps:wsp>
                              <wps:cNvPr id="28" name="Rectangle 28"/>
                              <wps:cNvSpPr/>
                              <wps:spPr>
                                <a:xfrm>
                                  <a:off x="264456" y="2493264"/>
                                  <a:ext cx="316537" cy="212940"/>
                                </a:xfrm>
                                <a:prstGeom prst="rect">
                                  <a:avLst/>
                                </a:prstGeom>
                                <a:ln>
                                  <a:noFill/>
                                </a:ln>
                              </wps:spPr>
                              <wps:txbx>
                                <w:txbxContent>
                                  <w:p w14:paraId="46A00D67" w14:textId="77777777" w:rsidR="001764DE" w:rsidRDefault="001764DE" w:rsidP="001764DE">
                                    <w:pPr>
                                      <w:spacing w:after="160" w:line="259" w:lineRule="auto"/>
                                      <w:ind w:left="0" w:firstLine="0"/>
                                    </w:pPr>
                                    <w:r>
                                      <w:rPr>
                                        <w:rFonts w:ascii="Arial" w:eastAsia="Arial" w:hAnsi="Arial" w:cs="Arial"/>
                                        <w:b/>
                                        <w:sz w:val="27"/>
                                      </w:rPr>
                                      <w:t>0.2</w:t>
                                    </w:r>
                                  </w:p>
                                </w:txbxContent>
                              </wps:txbx>
                              <wps:bodyPr horzOverflow="overflow" vert="horz" lIns="0" tIns="0" rIns="0" bIns="0" rtlCol="0">
                                <a:noAutofit/>
                              </wps:bodyPr>
                            </wps:wsp>
                            <wps:wsp>
                              <wps:cNvPr id="29" name="Rectangle 29"/>
                              <wps:cNvSpPr/>
                              <wps:spPr>
                                <a:xfrm>
                                  <a:off x="264456" y="1871472"/>
                                  <a:ext cx="316537" cy="212940"/>
                                </a:xfrm>
                                <a:prstGeom prst="rect">
                                  <a:avLst/>
                                </a:prstGeom>
                                <a:ln>
                                  <a:noFill/>
                                </a:ln>
                              </wps:spPr>
                              <wps:txbx>
                                <w:txbxContent>
                                  <w:p w14:paraId="7A564E8A" w14:textId="77777777" w:rsidR="001764DE" w:rsidRDefault="001764DE" w:rsidP="001764DE">
                                    <w:pPr>
                                      <w:spacing w:after="160" w:line="259" w:lineRule="auto"/>
                                      <w:ind w:left="0" w:firstLine="0"/>
                                    </w:pPr>
                                    <w:r>
                                      <w:rPr>
                                        <w:rFonts w:ascii="Arial" w:eastAsia="Arial" w:hAnsi="Arial" w:cs="Arial"/>
                                        <w:b/>
                                        <w:sz w:val="27"/>
                                      </w:rPr>
                                      <w:t>0.4</w:t>
                                    </w:r>
                                  </w:p>
                                </w:txbxContent>
                              </wps:txbx>
                              <wps:bodyPr horzOverflow="overflow" vert="horz" lIns="0" tIns="0" rIns="0" bIns="0" rtlCol="0">
                                <a:noAutofit/>
                              </wps:bodyPr>
                            </wps:wsp>
                            <wps:wsp>
                              <wps:cNvPr id="30" name="Rectangle 30"/>
                              <wps:cNvSpPr/>
                              <wps:spPr>
                                <a:xfrm>
                                  <a:off x="264456" y="1246632"/>
                                  <a:ext cx="316537" cy="212940"/>
                                </a:xfrm>
                                <a:prstGeom prst="rect">
                                  <a:avLst/>
                                </a:prstGeom>
                                <a:ln>
                                  <a:noFill/>
                                </a:ln>
                              </wps:spPr>
                              <wps:txbx>
                                <w:txbxContent>
                                  <w:p w14:paraId="6A920ADF" w14:textId="77777777" w:rsidR="001764DE" w:rsidRDefault="001764DE" w:rsidP="001764DE">
                                    <w:pPr>
                                      <w:spacing w:after="160" w:line="259" w:lineRule="auto"/>
                                      <w:ind w:left="0" w:firstLine="0"/>
                                    </w:pPr>
                                    <w:r>
                                      <w:rPr>
                                        <w:rFonts w:ascii="Arial" w:eastAsia="Arial" w:hAnsi="Arial" w:cs="Arial"/>
                                        <w:b/>
                                        <w:sz w:val="27"/>
                                      </w:rPr>
                                      <w:t>0.6</w:t>
                                    </w:r>
                                  </w:p>
                                </w:txbxContent>
                              </wps:txbx>
                              <wps:bodyPr horzOverflow="overflow" vert="horz" lIns="0" tIns="0" rIns="0" bIns="0" rtlCol="0">
                                <a:noAutofit/>
                              </wps:bodyPr>
                            </wps:wsp>
                            <wps:wsp>
                              <wps:cNvPr id="31" name="Rectangle 31"/>
                              <wps:cNvSpPr/>
                              <wps:spPr>
                                <a:xfrm>
                                  <a:off x="264456" y="624842"/>
                                  <a:ext cx="316537" cy="212940"/>
                                </a:xfrm>
                                <a:prstGeom prst="rect">
                                  <a:avLst/>
                                </a:prstGeom>
                                <a:ln>
                                  <a:noFill/>
                                </a:ln>
                              </wps:spPr>
                              <wps:txbx>
                                <w:txbxContent>
                                  <w:p w14:paraId="4EEED60C" w14:textId="77777777" w:rsidR="001764DE" w:rsidRDefault="001764DE" w:rsidP="001764DE">
                                    <w:pPr>
                                      <w:spacing w:after="160" w:line="259" w:lineRule="auto"/>
                                      <w:ind w:left="0" w:firstLine="0"/>
                                    </w:pPr>
                                    <w:r>
                                      <w:rPr>
                                        <w:rFonts w:ascii="Arial" w:eastAsia="Arial" w:hAnsi="Arial" w:cs="Arial"/>
                                        <w:b/>
                                        <w:sz w:val="27"/>
                                      </w:rPr>
                                      <w:t>0.8</w:t>
                                    </w:r>
                                  </w:p>
                                </w:txbxContent>
                              </wps:txbx>
                              <wps:bodyPr horzOverflow="overflow" vert="horz" lIns="0" tIns="0" rIns="0" bIns="0" rtlCol="0">
                                <a:noAutofit/>
                              </wps:bodyPr>
                            </wps:wsp>
                            <wps:wsp>
                              <wps:cNvPr id="32" name="Rectangle 32"/>
                              <wps:cNvSpPr/>
                              <wps:spPr>
                                <a:xfrm>
                                  <a:off x="264456" y="0"/>
                                  <a:ext cx="316537" cy="212940"/>
                                </a:xfrm>
                                <a:prstGeom prst="rect">
                                  <a:avLst/>
                                </a:prstGeom>
                                <a:ln>
                                  <a:noFill/>
                                </a:ln>
                              </wps:spPr>
                              <wps:txbx>
                                <w:txbxContent>
                                  <w:p w14:paraId="11CE5E61" w14:textId="77777777" w:rsidR="001764DE" w:rsidRDefault="001764DE" w:rsidP="001764DE">
                                    <w:pPr>
                                      <w:spacing w:after="160" w:line="259" w:lineRule="auto"/>
                                      <w:ind w:left="0" w:firstLine="0"/>
                                    </w:pPr>
                                    <w:r>
                                      <w:rPr>
                                        <w:rFonts w:ascii="Arial" w:eastAsia="Arial" w:hAnsi="Arial" w:cs="Arial"/>
                                        <w:b/>
                                        <w:sz w:val="27"/>
                                      </w:rPr>
                                      <w:t>1.0</w:t>
                                    </w:r>
                                  </w:p>
                                </w:txbxContent>
                              </wps:txbx>
                              <wps:bodyPr horzOverflow="overflow" vert="horz" lIns="0" tIns="0" rIns="0" bIns="0" rtlCol="0">
                                <a:noAutofit/>
                              </wps:bodyPr>
                            </wps:wsp>
                            <wps:wsp>
                              <wps:cNvPr id="34" name="Rectangle 34"/>
                              <wps:cNvSpPr/>
                              <wps:spPr>
                                <a:xfrm rot="-5399999">
                                  <a:off x="-106642" y="1545107"/>
                                  <a:ext cx="426204" cy="212919"/>
                                </a:xfrm>
                                <a:prstGeom prst="rect">
                                  <a:avLst/>
                                </a:prstGeom>
                                <a:ln>
                                  <a:noFill/>
                                </a:ln>
                              </wps:spPr>
                              <wps:txbx>
                                <w:txbxContent>
                                  <w:p w14:paraId="75ED28F6" w14:textId="77777777" w:rsidR="001764DE" w:rsidRDefault="001764DE" w:rsidP="001764DE">
                                    <w:pPr>
                                      <w:spacing w:after="160" w:line="259" w:lineRule="auto"/>
                                      <w:ind w:left="0" w:firstLine="0"/>
                                    </w:pPr>
                                    <w:r>
                                      <w:rPr>
                                        <w:rFonts w:ascii="Arial" w:eastAsia="Arial" w:hAnsi="Arial" w:cs="Arial"/>
                                        <w:b/>
                                        <w:sz w:val="27"/>
                                      </w:rPr>
                                      <w:t>Abs</w:t>
                                    </w:r>
                                  </w:p>
                                </w:txbxContent>
                              </wps:txbx>
                              <wps:bodyPr horzOverflow="overflow" vert="horz" lIns="0" tIns="0" rIns="0" bIns="0" rtlCol="0">
                                <a:noAutofit/>
                              </wps:bodyPr>
                            </wps:wsp>
                            <wps:wsp>
                              <wps:cNvPr id="35" name="Shape 35"/>
                              <wps:cNvSpPr/>
                              <wps:spPr>
                                <a:xfrm>
                                  <a:off x="599736" y="2922325"/>
                                  <a:ext cx="5145024" cy="198120"/>
                                </a:xfrm>
                                <a:custGeom>
                                  <a:avLst/>
                                  <a:gdLst/>
                                  <a:ahLst/>
                                  <a:cxnLst/>
                                  <a:rect l="0" t="0" r="0" b="0"/>
                                  <a:pathLst>
                                    <a:path w="5145024" h="198120">
                                      <a:moveTo>
                                        <a:pt x="5145024" y="179832"/>
                                      </a:moveTo>
                                      <a:lnTo>
                                        <a:pt x="5132832" y="176784"/>
                                      </a:lnTo>
                                      <a:lnTo>
                                        <a:pt x="5093208" y="176784"/>
                                      </a:lnTo>
                                      <a:lnTo>
                                        <a:pt x="5081016" y="173736"/>
                                      </a:lnTo>
                                      <a:lnTo>
                                        <a:pt x="5004816" y="173736"/>
                                      </a:lnTo>
                                      <a:lnTo>
                                        <a:pt x="4989576" y="170688"/>
                                      </a:lnTo>
                                      <a:lnTo>
                                        <a:pt x="4977384" y="173736"/>
                                      </a:lnTo>
                                      <a:lnTo>
                                        <a:pt x="4965192" y="170688"/>
                                      </a:lnTo>
                                      <a:lnTo>
                                        <a:pt x="4849368" y="170688"/>
                                      </a:lnTo>
                                      <a:lnTo>
                                        <a:pt x="4837176" y="167640"/>
                                      </a:lnTo>
                                      <a:lnTo>
                                        <a:pt x="4824984" y="170688"/>
                                      </a:lnTo>
                                      <a:lnTo>
                                        <a:pt x="4809745" y="170688"/>
                                      </a:lnTo>
                                      <a:lnTo>
                                        <a:pt x="4797552" y="167640"/>
                                      </a:lnTo>
                                      <a:lnTo>
                                        <a:pt x="4785360" y="167640"/>
                                      </a:lnTo>
                                      <a:lnTo>
                                        <a:pt x="4773169" y="170688"/>
                                      </a:lnTo>
                                      <a:lnTo>
                                        <a:pt x="4745736" y="170688"/>
                                      </a:lnTo>
                                      <a:lnTo>
                                        <a:pt x="4733545" y="167640"/>
                                      </a:lnTo>
                                      <a:lnTo>
                                        <a:pt x="4642104" y="167640"/>
                                      </a:lnTo>
                                      <a:lnTo>
                                        <a:pt x="4629912" y="164592"/>
                                      </a:lnTo>
                                      <a:lnTo>
                                        <a:pt x="4617720" y="167640"/>
                                      </a:lnTo>
                                      <a:lnTo>
                                        <a:pt x="4565904" y="167640"/>
                                      </a:lnTo>
                                      <a:lnTo>
                                        <a:pt x="4553712" y="164592"/>
                                      </a:lnTo>
                                      <a:lnTo>
                                        <a:pt x="4526281" y="164592"/>
                                      </a:lnTo>
                                      <a:lnTo>
                                        <a:pt x="4514088" y="167640"/>
                                      </a:lnTo>
                                      <a:lnTo>
                                        <a:pt x="4501896" y="167640"/>
                                      </a:lnTo>
                                      <a:lnTo>
                                        <a:pt x="4489704" y="164592"/>
                                      </a:lnTo>
                                      <a:lnTo>
                                        <a:pt x="4450081" y="164592"/>
                                      </a:lnTo>
                                      <a:lnTo>
                                        <a:pt x="4437888" y="167640"/>
                                      </a:lnTo>
                                      <a:lnTo>
                                        <a:pt x="4425696" y="167640"/>
                                      </a:lnTo>
                                      <a:lnTo>
                                        <a:pt x="4410457" y="164592"/>
                                      </a:lnTo>
                                      <a:lnTo>
                                        <a:pt x="4386072" y="164592"/>
                                      </a:lnTo>
                                      <a:lnTo>
                                        <a:pt x="4373881" y="167640"/>
                                      </a:lnTo>
                                      <a:lnTo>
                                        <a:pt x="4361688" y="167640"/>
                                      </a:lnTo>
                                      <a:lnTo>
                                        <a:pt x="4346448" y="164592"/>
                                      </a:lnTo>
                                      <a:lnTo>
                                        <a:pt x="4334257" y="164592"/>
                                      </a:lnTo>
                                      <a:lnTo>
                                        <a:pt x="4322064" y="167640"/>
                                      </a:lnTo>
                                      <a:lnTo>
                                        <a:pt x="4309872" y="164592"/>
                                      </a:lnTo>
                                      <a:lnTo>
                                        <a:pt x="4294632" y="167640"/>
                                      </a:lnTo>
                                      <a:lnTo>
                                        <a:pt x="4282440" y="167640"/>
                                      </a:lnTo>
                                      <a:lnTo>
                                        <a:pt x="4270248" y="170688"/>
                                      </a:lnTo>
                                      <a:lnTo>
                                        <a:pt x="4258057" y="173736"/>
                                      </a:lnTo>
                                      <a:lnTo>
                                        <a:pt x="4230624" y="173736"/>
                                      </a:lnTo>
                                      <a:lnTo>
                                        <a:pt x="4218432" y="176784"/>
                                      </a:lnTo>
                                      <a:lnTo>
                                        <a:pt x="4194048" y="176784"/>
                                      </a:lnTo>
                                      <a:lnTo>
                                        <a:pt x="4178808" y="179832"/>
                                      </a:lnTo>
                                      <a:lnTo>
                                        <a:pt x="4166616" y="176784"/>
                                      </a:lnTo>
                                      <a:lnTo>
                                        <a:pt x="4154424" y="176784"/>
                                      </a:lnTo>
                                      <a:lnTo>
                                        <a:pt x="4142232" y="179832"/>
                                      </a:lnTo>
                                      <a:lnTo>
                                        <a:pt x="4102608" y="179832"/>
                                      </a:lnTo>
                                      <a:lnTo>
                                        <a:pt x="4090416" y="188976"/>
                                      </a:lnTo>
                                      <a:lnTo>
                                        <a:pt x="4078224" y="179832"/>
                                      </a:lnTo>
                                      <a:lnTo>
                                        <a:pt x="4066032" y="182880"/>
                                      </a:lnTo>
                                      <a:lnTo>
                                        <a:pt x="4050792" y="185928"/>
                                      </a:lnTo>
                                      <a:lnTo>
                                        <a:pt x="4026408" y="185928"/>
                                      </a:lnTo>
                                      <a:lnTo>
                                        <a:pt x="4014216" y="188976"/>
                                      </a:lnTo>
                                      <a:lnTo>
                                        <a:pt x="3998976" y="185928"/>
                                      </a:lnTo>
                                      <a:lnTo>
                                        <a:pt x="3986784" y="188976"/>
                                      </a:lnTo>
                                      <a:lnTo>
                                        <a:pt x="3962400" y="188976"/>
                                      </a:lnTo>
                                      <a:lnTo>
                                        <a:pt x="3950208" y="192024"/>
                                      </a:lnTo>
                                      <a:lnTo>
                                        <a:pt x="3910584" y="192024"/>
                                      </a:lnTo>
                                      <a:lnTo>
                                        <a:pt x="3898392" y="195072"/>
                                      </a:lnTo>
                                      <a:lnTo>
                                        <a:pt x="3883152" y="192024"/>
                                      </a:lnTo>
                                      <a:lnTo>
                                        <a:pt x="3870960" y="192024"/>
                                      </a:lnTo>
                                      <a:lnTo>
                                        <a:pt x="3858768" y="195072"/>
                                      </a:lnTo>
                                      <a:lnTo>
                                        <a:pt x="3846576" y="198120"/>
                                      </a:lnTo>
                                      <a:lnTo>
                                        <a:pt x="3834384" y="195072"/>
                                      </a:lnTo>
                                      <a:lnTo>
                                        <a:pt x="3806952" y="195072"/>
                                      </a:lnTo>
                                      <a:lnTo>
                                        <a:pt x="3794760" y="192024"/>
                                      </a:lnTo>
                                      <a:lnTo>
                                        <a:pt x="3782568" y="195072"/>
                                      </a:lnTo>
                                      <a:lnTo>
                                        <a:pt x="3755136" y="195072"/>
                                      </a:lnTo>
                                      <a:lnTo>
                                        <a:pt x="3742945" y="192024"/>
                                      </a:lnTo>
                                      <a:lnTo>
                                        <a:pt x="3730752" y="195072"/>
                                      </a:lnTo>
                                      <a:lnTo>
                                        <a:pt x="3718560" y="192024"/>
                                      </a:lnTo>
                                      <a:lnTo>
                                        <a:pt x="3703320" y="188976"/>
                                      </a:lnTo>
                                      <a:lnTo>
                                        <a:pt x="3691128" y="192024"/>
                                      </a:lnTo>
                                      <a:lnTo>
                                        <a:pt x="3678936" y="192024"/>
                                      </a:lnTo>
                                      <a:lnTo>
                                        <a:pt x="3666745" y="188976"/>
                                      </a:lnTo>
                                      <a:lnTo>
                                        <a:pt x="3614928" y="188976"/>
                                      </a:lnTo>
                                      <a:lnTo>
                                        <a:pt x="3602736" y="185928"/>
                                      </a:lnTo>
                                      <a:lnTo>
                                        <a:pt x="3587496" y="188976"/>
                                      </a:lnTo>
                                      <a:lnTo>
                                        <a:pt x="3575304" y="185928"/>
                                      </a:lnTo>
                                      <a:lnTo>
                                        <a:pt x="3523488" y="185928"/>
                                      </a:lnTo>
                                      <a:lnTo>
                                        <a:pt x="3511296" y="182880"/>
                                      </a:lnTo>
                                      <a:lnTo>
                                        <a:pt x="3499104" y="185928"/>
                                      </a:lnTo>
                                      <a:lnTo>
                                        <a:pt x="3486912" y="185928"/>
                                      </a:lnTo>
                                      <a:lnTo>
                                        <a:pt x="3471672" y="182880"/>
                                      </a:lnTo>
                                      <a:lnTo>
                                        <a:pt x="3459480" y="179832"/>
                                      </a:lnTo>
                                      <a:lnTo>
                                        <a:pt x="3447288" y="179832"/>
                                      </a:lnTo>
                                      <a:lnTo>
                                        <a:pt x="3435096" y="176784"/>
                                      </a:lnTo>
                                      <a:lnTo>
                                        <a:pt x="3371088" y="176784"/>
                                      </a:lnTo>
                                      <a:lnTo>
                                        <a:pt x="3355848" y="173736"/>
                                      </a:lnTo>
                                      <a:lnTo>
                                        <a:pt x="3291840" y="173736"/>
                                      </a:lnTo>
                                      <a:lnTo>
                                        <a:pt x="3279648" y="170688"/>
                                      </a:lnTo>
                                      <a:lnTo>
                                        <a:pt x="3240024" y="170688"/>
                                      </a:lnTo>
                                      <a:lnTo>
                                        <a:pt x="3227832" y="167640"/>
                                      </a:lnTo>
                                      <a:lnTo>
                                        <a:pt x="3124200" y="167640"/>
                                      </a:lnTo>
                                      <a:lnTo>
                                        <a:pt x="3112008" y="164592"/>
                                      </a:lnTo>
                                      <a:lnTo>
                                        <a:pt x="3099816" y="167640"/>
                                      </a:lnTo>
                                      <a:lnTo>
                                        <a:pt x="3087624" y="164592"/>
                                      </a:lnTo>
                                      <a:lnTo>
                                        <a:pt x="3075432" y="164592"/>
                                      </a:lnTo>
                                      <a:lnTo>
                                        <a:pt x="3060192" y="161544"/>
                                      </a:lnTo>
                                      <a:lnTo>
                                        <a:pt x="3048000" y="164592"/>
                                      </a:lnTo>
                                      <a:lnTo>
                                        <a:pt x="3035808" y="164592"/>
                                      </a:lnTo>
                                      <a:lnTo>
                                        <a:pt x="3023616" y="161544"/>
                                      </a:lnTo>
                                      <a:lnTo>
                                        <a:pt x="3008376" y="164592"/>
                                      </a:lnTo>
                                      <a:lnTo>
                                        <a:pt x="2996184" y="161544"/>
                                      </a:lnTo>
                                      <a:lnTo>
                                        <a:pt x="2983992" y="158496"/>
                                      </a:lnTo>
                                      <a:lnTo>
                                        <a:pt x="2932176" y="158496"/>
                                      </a:lnTo>
                                      <a:lnTo>
                                        <a:pt x="2919984" y="155448"/>
                                      </a:lnTo>
                                      <a:lnTo>
                                        <a:pt x="2880360" y="155448"/>
                                      </a:lnTo>
                                      <a:lnTo>
                                        <a:pt x="2868168" y="152400"/>
                                      </a:lnTo>
                                      <a:lnTo>
                                        <a:pt x="2843784" y="152400"/>
                                      </a:lnTo>
                                      <a:lnTo>
                                        <a:pt x="2828544" y="149352"/>
                                      </a:lnTo>
                                      <a:lnTo>
                                        <a:pt x="2816352" y="146304"/>
                                      </a:lnTo>
                                      <a:lnTo>
                                        <a:pt x="2804160" y="146304"/>
                                      </a:lnTo>
                                      <a:lnTo>
                                        <a:pt x="2791968" y="143256"/>
                                      </a:lnTo>
                                      <a:lnTo>
                                        <a:pt x="2779776" y="143256"/>
                                      </a:lnTo>
                                      <a:lnTo>
                                        <a:pt x="2764536" y="140208"/>
                                      </a:lnTo>
                                      <a:lnTo>
                                        <a:pt x="2740152" y="140208"/>
                                      </a:lnTo>
                                      <a:lnTo>
                                        <a:pt x="2727960" y="137160"/>
                                      </a:lnTo>
                                      <a:lnTo>
                                        <a:pt x="2712720" y="134112"/>
                                      </a:lnTo>
                                      <a:lnTo>
                                        <a:pt x="2700528" y="131064"/>
                                      </a:lnTo>
                                      <a:lnTo>
                                        <a:pt x="2688336" y="128016"/>
                                      </a:lnTo>
                                      <a:lnTo>
                                        <a:pt x="2676144" y="128016"/>
                                      </a:lnTo>
                                      <a:lnTo>
                                        <a:pt x="2663952" y="124968"/>
                                      </a:lnTo>
                                      <a:lnTo>
                                        <a:pt x="2648712" y="121920"/>
                                      </a:lnTo>
                                      <a:lnTo>
                                        <a:pt x="2636520" y="118872"/>
                                      </a:lnTo>
                                      <a:lnTo>
                                        <a:pt x="2624328" y="115824"/>
                                      </a:lnTo>
                                      <a:lnTo>
                                        <a:pt x="2612136" y="112776"/>
                                      </a:lnTo>
                                      <a:lnTo>
                                        <a:pt x="2596896" y="109728"/>
                                      </a:lnTo>
                                      <a:lnTo>
                                        <a:pt x="2584704" y="106680"/>
                                      </a:lnTo>
                                      <a:lnTo>
                                        <a:pt x="2572512" y="106680"/>
                                      </a:lnTo>
                                      <a:lnTo>
                                        <a:pt x="2560320" y="100584"/>
                                      </a:lnTo>
                                      <a:lnTo>
                                        <a:pt x="2548128" y="100584"/>
                                      </a:lnTo>
                                      <a:lnTo>
                                        <a:pt x="2532888" y="97536"/>
                                      </a:lnTo>
                                      <a:lnTo>
                                        <a:pt x="2520696" y="91440"/>
                                      </a:lnTo>
                                      <a:lnTo>
                                        <a:pt x="2508504" y="91440"/>
                                      </a:lnTo>
                                      <a:lnTo>
                                        <a:pt x="2496312" y="88392"/>
                                      </a:lnTo>
                                      <a:lnTo>
                                        <a:pt x="2481072" y="82296"/>
                                      </a:lnTo>
                                      <a:lnTo>
                                        <a:pt x="2468880" y="79248"/>
                                      </a:lnTo>
                                      <a:lnTo>
                                        <a:pt x="2456688" y="79248"/>
                                      </a:lnTo>
                                      <a:lnTo>
                                        <a:pt x="2444496" y="73152"/>
                                      </a:lnTo>
                                      <a:lnTo>
                                        <a:pt x="2432304" y="73152"/>
                                      </a:lnTo>
                                      <a:lnTo>
                                        <a:pt x="2417064" y="70104"/>
                                      </a:lnTo>
                                      <a:lnTo>
                                        <a:pt x="2404872" y="67056"/>
                                      </a:lnTo>
                                      <a:lnTo>
                                        <a:pt x="2392680" y="64008"/>
                                      </a:lnTo>
                                      <a:lnTo>
                                        <a:pt x="2380488" y="64008"/>
                                      </a:lnTo>
                                      <a:lnTo>
                                        <a:pt x="2365248" y="60960"/>
                                      </a:lnTo>
                                      <a:lnTo>
                                        <a:pt x="2353056" y="54864"/>
                                      </a:lnTo>
                                      <a:lnTo>
                                        <a:pt x="2340864" y="54864"/>
                                      </a:lnTo>
                                      <a:lnTo>
                                        <a:pt x="2328672" y="48768"/>
                                      </a:lnTo>
                                      <a:lnTo>
                                        <a:pt x="2316480" y="48768"/>
                                      </a:lnTo>
                                      <a:lnTo>
                                        <a:pt x="2301240" y="45720"/>
                                      </a:lnTo>
                                      <a:lnTo>
                                        <a:pt x="2289048" y="39624"/>
                                      </a:lnTo>
                                      <a:lnTo>
                                        <a:pt x="2264664" y="39624"/>
                                      </a:lnTo>
                                      <a:lnTo>
                                        <a:pt x="2252472" y="36576"/>
                                      </a:lnTo>
                                      <a:lnTo>
                                        <a:pt x="2237232" y="33528"/>
                                      </a:lnTo>
                                      <a:lnTo>
                                        <a:pt x="2225040" y="30480"/>
                                      </a:lnTo>
                                      <a:lnTo>
                                        <a:pt x="2212848" y="30480"/>
                                      </a:lnTo>
                                      <a:lnTo>
                                        <a:pt x="2200656" y="27432"/>
                                      </a:lnTo>
                                      <a:lnTo>
                                        <a:pt x="2173224" y="27432"/>
                                      </a:lnTo>
                                      <a:lnTo>
                                        <a:pt x="2161032" y="18288"/>
                                      </a:lnTo>
                                      <a:lnTo>
                                        <a:pt x="2148840" y="18288"/>
                                      </a:lnTo>
                                      <a:lnTo>
                                        <a:pt x="2136648" y="15240"/>
                                      </a:lnTo>
                                      <a:lnTo>
                                        <a:pt x="2109216" y="15240"/>
                                      </a:lnTo>
                                      <a:lnTo>
                                        <a:pt x="2097024" y="12192"/>
                                      </a:lnTo>
                                      <a:lnTo>
                                        <a:pt x="2084832" y="9144"/>
                                      </a:lnTo>
                                      <a:lnTo>
                                        <a:pt x="2033016" y="9144"/>
                                      </a:lnTo>
                                      <a:lnTo>
                                        <a:pt x="2020824" y="6096"/>
                                      </a:lnTo>
                                      <a:lnTo>
                                        <a:pt x="2005584" y="3048"/>
                                      </a:lnTo>
                                      <a:lnTo>
                                        <a:pt x="1993392" y="3048"/>
                                      </a:lnTo>
                                      <a:lnTo>
                                        <a:pt x="1981200" y="6096"/>
                                      </a:lnTo>
                                      <a:lnTo>
                                        <a:pt x="1969008" y="3048"/>
                                      </a:lnTo>
                                      <a:lnTo>
                                        <a:pt x="1929384" y="3048"/>
                                      </a:lnTo>
                                      <a:lnTo>
                                        <a:pt x="1917192" y="0"/>
                                      </a:lnTo>
                                      <a:lnTo>
                                        <a:pt x="1877568" y="0"/>
                                      </a:lnTo>
                                      <a:lnTo>
                                        <a:pt x="1865376" y="3048"/>
                                      </a:lnTo>
                                      <a:lnTo>
                                        <a:pt x="1853184" y="3048"/>
                                      </a:lnTo>
                                      <a:lnTo>
                                        <a:pt x="1837944" y="0"/>
                                      </a:lnTo>
                                      <a:lnTo>
                                        <a:pt x="1825752" y="3048"/>
                                      </a:lnTo>
                                      <a:lnTo>
                                        <a:pt x="1813560" y="3048"/>
                                      </a:lnTo>
                                      <a:lnTo>
                                        <a:pt x="1801368" y="0"/>
                                      </a:lnTo>
                                      <a:lnTo>
                                        <a:pt x="1789176" y="3048"/>
                                      </a:lnTo>
                                      <a:lnTo>
                                        <a:pt x="1773936" y="3048"/>
                                      </a:lnTo>
                                      <a:lnTo>
                                        <a:pt x="1761744" y="0"/>
                                      </a:lnTo>
                                      <a:lnTo>
                                        <a:pt x="1749552" y="3048"/>
                                      </a:lnTo>
                                      <a:lnTo>
                                        <a:pt x="1673352" y="3048"/>
                                      </a:lnTo>
                                      <a:lnTo>
                                        <a:pt x="1658112" y="6096"/>
                                      </a:lnTo>
                                      <a:lnTo>
                                        <a:pt x="1594104" y="6096"/>
                                      </a:lnTo>
                                      <a:lnTo>
                                        <a:pt x="1581912" y="9144"/>
                                      </a:lnTo>
                                      <a:lnTo>
                                        <a:pt x="1569720" y="6096"/>
                                      </a:lnTo>
                                      <a:lnTo>
                                        <a:pt x="1557528" y="9144"/>
                                      </a:lnTo>
                                      <a:lnTo>
                                        <a:pt x="1517904" y="9144"/>
                                      </a:lnTo>
                                      <a:lnTo>
                                        <a:pt x="1505712" y="12192"/>
                                      </a:lnTo>
                                      <a:lnTo>
                                        <a:pt x="1478280" y="12192"/>
                                      </a:lnTo>
                                      <a:lnTo>
                                        <a:pt x="1466088" y="15240"/>
                                      </a:lnTo>
                                      <a:lnTo>
                                        <a:pt x="1426464" y="15240"/>
                                      </a:lnTo>
                                      <a:lnTo>
                                        <a:pt x="1414272" y="18288"/>
                                      </a:lnTo>
                                      <a:lnTo>
                                        <a:pt x="1402080" y="15240"/>
                                      </a:lnTo>
                                      <a:lnTo>
                                        <a:pt x="1389888" y="15240"/>
                                      </a:lnTo>
                                      <a:lnTo>
                                        <a:pt x="1377696" y="18288"/>
                                      </a:lnTo>
                                      <a:lnTo>
                                        <a:pt x="1362456" y="18288"/>
                                      </a:lnTo>
                                      <a:lnTo>
                                        <a:pt x="1350264" y="21336"/>
                                      </a:lnTo>
                                      <a:lnTo>
                                        <a:pt x="1325880" y="21336"/>
                                      </a:lnTo>
                                      <a:lnTo>
                                        <a:pt x="1310640" y="24384"/>
                                      </a:lnTo>
                                      <a:lnTo>
                                        <a:pt x="1298448" y="27432"/>
                                      </a:lnTo>
                                      <a:lnTo>
                                        <a:pt x="1286256" y="24384"/>
                                      </a:lnTo>
                                      <a:lnTo>
                                        <a:pt x="1274064" y="27432"/>
                                      </a:lnTo>
                                      <a:lnTo>
                                        <a:pt x="1261872" y="30480"/>
                                      </a:lnTo>
                                      <a:lnTo>
                                        <a:pt x="1246632" y="33528"/>
                                      </a:lnTo>
                                      <a:lnTo>
                                        <a:pt x="1222248" y="33528"/>
                                      </a:lnTo>
                                      <a:lnTo>
                                        <a:pt x="1210056" y="36576"/>
                                      </a:lnTo>
                                      <a:lnTo>
                                        <a:pt x="1182624" y="36576"/>
                                      </a:lnTo>
                                      <a:lnTo>
                                        <a:pt x="1170432" y="39624"/>
                                      </a:lnTo>
                                      <a:lnTo>
                                        <a:pt x="1158240" y="42672"/>
                                      </a:lnTo>
                                      <a:lnTo>
                                        <a:pt x="1146048" y="45720"/>
                                      </a:lnTo>
                                      <a:lnTo>
                                        <a:pt x="1118616" y="45720"/>
                                      </a:lnTo>
                                      <a:lnTo>
                                        <a:pt x="1106424" y="48768"/>
                                      </a:lnTo>
                                      <a:lnTo>
                                        <a:pt x="1094232" y="48768"/>
                                      </a:lnTo>
                                      <a:lnTo>
                                        <a:pt x="1078992" y="51816"/>
                                      </a:lnTo>
                                      <a:lnTo>
                                        <a:pt x="1042416" y="51816"/>
                                      </a:lnTo>
                                      <a:lnTo>
                                        <a:pt x="1030224" y="54864"/>
                                      </a:lnTo>
                                      <a:lnTo>
                                        <a:pt x="1002792" y="54864"/>
                                      </a:lnTo>
                                      <a:lnTo>
                                        <a:pt x="990600" y="57912"/>
                                      </a:lnTo>
                                      <a:lnTo>
                                        <a:pt x="978408" y="60960"/>
                                      </a:lnTo>
                                      <a:lnTo>
                                        <a:pt x="950976" y="60960"/>
                                      </a:lnTo>
                                      <a:lnTo>
                                        <a:pt x="938784" y="64008"/>
                                      </a:lnTo>
                                      <a:lnTo>
                                        <a:pt x="926592" y="64008"/>
                                      </a:lnTo>
                                      <a:lnTo>
                                        <a:pt x="914400" y="70104"/>
                                      </a:lnTo>
                                      <a:lnTo>
                                        <a:pt x="899160" y="73152"/>
                                      </a:lnTo>
                                      <a:lnTo>
                                        <a:pt x="886968" y="70104"/>
                                      </a:lnTo>
                                      <a:lnTo>
                                        <a:pt x="874776" y="73152"/>
                                      </a:lnTo>
                                      <a:lnTo>
                                        <a:pt x="862584" y="76200"/>
                                      </a:lnTo>
                                      <a:lnTo>
                                        <a:pt x="835152" y="76200"/>
                                      </a:lnTo>
                                      <a:lnTo>
                                        <a:pt x="822960" y="79248"/>
                                      </a:lnTo>
                                      <a:lnTo>
                                        <a:pt x="810768" y="82296"/>
                                      </a:lnTo>
                                      <a:lnTo>
                                        <a:pt x="798576" y="82296"/>
                                      </a:lnTo>
                                      <a:lnTo>
                                        <a:pt x="783336" y="85344"/>
                                      </a:lnTo>
                                      <a:lnTo>
                                        <a:pt x="758952" y="85344"/>
                                      </a:lnTo>
                                      <a:lnTo>
                                        <a:pt x="746760" y="91440"/>
                                      </a:lnTo>
                                      <a:lnTo>
                                        <a:pt x="719328" y="91440"/>
                                      </a:lnTo>
                                      <a:lnTo>
                                        <a:pt x="707136" y="94488"/>
                                      </a:lnTo>
                                      <a:lnTo>
                                        <a:pt x="643128" y="94488"/>
                                      </a:lnTo>
                                      <a:lnTo>
                                        <a:pt x="630936" y="97536"/>
                                      </a:lnTo>
                                      <a:lnTo>
                                        <a:pt x="603504" y="97536"/>
                                      </a:lnTo>
                                      <a:lnTo>
                                        <a:pt x="591312" y="100584"/>
                                      </a:lnTo>
                                      <a:lnTo>
                                        <a:pt x="566928" y="100584"/>
                                      </a:lnTo>
                                      <a:lnTo>
                                        <a:pt x="551688" y="103632"/>
                                      </a:lnTo>
                                      <a:lnTo>
                                        <a:pt x="527304" y="103632"/>
                                      </a:lnTo>
                                      <a:lnTo>
                                        <a:pt x="515112" y="106680"/>
                                      </a:lnTo>
                                      <a:lnTo>
                                        <a:pt x="502920" y="103632"/>
                                      </a:lnTo>
                                      <a:lnTo>
                                        <a:pt x="487680" y="103632"/>
                                      </a:lnTo>
                                      <a:lnTo>
                                        <a:pt x="475488" y="106680"/>
                                      </a:lnTo>
                                      <a:lnTo>
                                        <a:pt x="463296" y="103632"/>
                                      </a:lnTo>
                                      <a:lnTo>
                                        <a:pt x="451104" y="103632"/>
                                      </a:lnTo>
                                      <a:lnTo>
                                        <a:pt x="435864" y="106680"/>
                                      </a:lnTo>
                                      <a:lnTo>
                                        <a:pt x="295656" y="106680"/>
                                      </a:lnTo>
                                      <a:lnTo>
                                        <a:pt x="283464" y="103632"/>
                                      </a:lnTo>
                                      <a:lnTo>
                                        <a:pt x="271272" y="106680"/>
                                      </a:lnTo>
                                      <a:lnTo>
                                        <a:pt x="256032" y="103632"/>
                                      </a:lnTo>
                                      <a:lnTo>
                                        <a:pt x="167640" y="103632"/>
                                      </a:lnTo>
                                      <a:lnTo>
                                        <a:pt x="155448" y="106680"/>
                                      </a:lnTo>
                                      <a:lnTo>
                                        <a:pt x="140208" y="106680"/>
                                      </a:lnTo>
                                      <a:lnTo>
                                        <a:pt x="128016" y="103632"/>
                                      </a:lnTo>
                                      <a:lnTo>
                                        <a:pt x="115824" y="100584"/>
                                      </a:lnTo>
                                      <a:lnTo>
                                        <a:pt x="76200" y="100584"/>
                                      </a:lnTo>
                                      <a:lnTo>
                                        <a:pt x="64008" y="97536"/>
                                      </a:lnTo>
                                      <a:lnTo>
                                        <a:pt x="39624" y="97536"/>
                                      </a:lnTo>
                                      <a:lnTo>
                                        <a:pt x="24384" y="100584"/>
                                      </a:lnTo>
                                      <a:lnTo>
                                        <a:pt x="12192" y="97536"/>
                                      </a:lnTo>
                                      <a:lnTo>
                                        <a:pt x="0" y="94488"/>
                                      </a:lnTo>
                                    </a:path>
                                  </a:pathLst>
                                </a:custGeom>
                                <a:ln w="3048" cap="flat">
                                  <a:miter lim="100000"/>
                                </a:ln>
                              </wps:spPr>
                              <wps:style>
                                <a:lnRef idx="1">
                                  <a:srgbClr val="FF0000"/>
                                </a:lnRef>
                                <a:fillRef idx="0">
                                  <a:srgbClr val="000000">
                                    <a:alpha val="0"/>
                                  </a:srgbClr>
                                </a:fillRef>
                                <a:effectRef idx="0">
                                  <a:scrgbClr r="0" g="0" b="0"/>
                                </a:effectRef>
                                <a:fontRef idx="none"/>
                              </wps:style>
                              <wps:bodyPr/>
                            </wps:wsp>
                            <wps:wsp>
                              <wps:cNvPr id="568" name="Rectangle 568"/>
                              <wps:cNvSpPr/>
                              <wps:spPr>
                                <a:xfrm rot="-5399999">
                                  <a:off x="2152718" y="1491115"/>
                                  <a:ext cx="746856" cy="110262"/>
                                </a:xfrm>
                                <a:prstGeom prst="rect">
                                  <a:avLst/>
                                </a:prstGeom>
                                <a:ln>
                                  <a:noFill/>
                                </a:ln>
                              </wps:spPr>
                              <wps:txbx>
                                <w:txbxContent>
                                  <w:p w14:paraId="688566E3" w14:textId="77777777" w:rsidR="001764DE" w:rsidRDefault="001764DE" w:rsidP="001764DE">
                                    <w:pPr>
                                      <w:spacing w:after="160" w:line="259" w:lineRule="auto"/>
                                      <w:ind w:left="0" w:firstLine="0"/>
                                    </w:pPr>
                                    <w:r>
                                      <w:rPr>
                                        <w:rFonts w:ascii="Arial" w:eastAsia="Arial" w:hAnsi="Arial" w:cs="Arial"/>
                                        <w:sz w:val="14"/>
                                      </w:rPr>
                                      <w:t>537.00</w:t>
                                    </w:r>
                                  </w:p>
                                </w:txbxContent>
                              </wps:txbx>
                              <wps:bodyPr horzOverflow="overflow" vert="horz" lIns="0" tIns="0" rIns="0" bIns="0" rtlCol="0">
                                <a:noAutofit/>
                              </wps:bodyPr>
                            </wps:wsp>
                            <wps:wsp>
                              <wps:cNvPr id="569" name="Rectangle 569"/>
                              <wps:cNvSpPr/>
                              <wps:spPr>
                                <a:xfrm rot="-5399999">
                                  <a:off x="1835419" y="1173818"/>
                                  <a:ext cx="746857" cy="110262"/>
                                </a:xfrm>
                                <a:prstGeom prst="rect">
                                  <a:avLst/>
                                </a:prstGeom>
                                <a:ln>
                                  <a:noFill/>
                                </a:ln>
                              </wps:spPr>
                              <wps:txbx>
                                <w:txbxContent>
                                  <w:p w14:paraId="1B6B2C7B" w14:textId="77777777" w:rsidR="001764DE" w:rsidRDefault="001764DE" w:rsidP="001764DE">
                                    <w:pPr>
                                      <w:spacing w:after="160" w:line="259" w:lineRule="auto"/>
                                      <w:ind w:left="0" w:firstLine="0"/>
                                    </w:pPr>
                                    <w:r>
                                      <w:rPr>
                                        <w:rFonts w:ascii="Arial" w:eastAsia="Arial" w:hAnsi="Arial" w:cs="Arial"/>
                                        <w:sz w:val="14"/>
                                      </w:rPr>
                                      <w:t>0.084</w:t>
                                    </w:r>
                                  </w:p>
                                </w:txbxContent>
                              </wps:txbx>
                              <wps:bodyPr horzOverflow="overflow" vert="horz" lIns="0" tIns="0" rIns="0" bIns="0" rtlCol="0">
                                <a:noAutofit/>
                              </wps:bodyPr>
                            </wps:wsp>
                            <wps:wsp>
                              <wps:cNvPr id="570" name="Rectangle 570"/>
                              <wps:cNvSpPr/>
                              <wps:spPr>
                                <a:xfrm rot="-5399999">
                                  <a:off x="1981973" y="1320372"/>
                                  <a:ext cx="746857" cy="110262"/>
                                </a:xfrm>
                                <a:prstGeom prst="rect">
                                  <a:avLst/>
                                </a:prstGeom>
                                <a:ln>
                                  <a:noFill/>
                                </a:ln>
                              </wps:spPr>
                              <wps:txbx>
                                <w:txbxContent>
                                  <w:p w14:paraId="0E2CC6C9" w14:textId="77777777" w:rsidR="001764DE" w:rsidRDefault="001764DE" w:rsidP="001764DE">
                                    <w:pPr>
                                      <w:spacing w:after="160" w:line="259" w:lineRule="auto"/>
                                      <w:ind w:left="0" w:firstLine="0"/>
                                    </w:pPr>
                                    <w:r>
                                      <w:rPr>
                                        <w:rFonts w:ascii="Arial" w:eastAsia="Arial" w:hAnsi="Arial" w:cs="Arial"/>
                                        <w:sz w:val="14"/>
                                      </w:rPr>
                                      <w:t xml:space="preserve"> , </w:t>
                                    </w:r>
                                  </w:p>
                                </w:txbxContent>
                              </wps:txbx>
                              <wps:bodyPr horzOverflow="overflow" vert="horz" lIns="0" tIns="0" rIns="0" bIns="0" rtlCol="0">
                                <a:noAutofit/>
                              </wps:bodyPr>
                            </wps:wsp>
                            <wps:wsp>
                              <wps:cNvPr id="37" name="Shape 37"/>
                              <wps:cNvSpPr/>
                              <wps:spPr>
                                <a:xfrm>
                                  <a:off x="2361481" y="1773229"/>
                                  <a:ext cx="3048" cy="1149096"/>
                                </a:xfrm>
                                <a:custGeom>
                                  <a:avLst/>
                                  <a:gdLst/>
                                  <a:ahLst/>
                                  <a:cxnLst/>
                                  <a:rect l="0" t="0" r="0" b="0"/>
                                  <a:pathLst>
                                    <a:path w="3048" h="1149096">
                                      <a:moveTo>
                                        <a:pt x="3048" y="0"/>
                                      </a:moveTo>
                                      <a:lnTo>
                                        <a:pt x="0" y="1149096"/>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0F7D2E" id="Group 573" o:spid="_x0000_s1026" style="width:354.5pt;height:218.25pt;mso-position-horizontal-relative:char;mso-position-vertical-relative:line" coordsize="58853,3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">
                      <v:shape id="Shape 9" o:spid="_x0000_s1027" style="position:absolute;left:5997;top:33399;width:51450;height:0;visibility:visible;mso-wrap-style:square;v-text-anchor:top" coordsize="514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" path="m,l5145024,e" filled="f" strokeweight=".24pt">
                        <v:stroke miterlimit="1" joinstyle="miter"/>
                        <v:path arrowok="t" textboxrect="0,0,5145024,0"/>
                      </v:shape>
                      <v:shape id="Shape 10" o:spid="_x0000_s1028" style="position:absolute;left:5997;top:663;width:0;height:32736;visibility:visible;mso-wrap-style:square;v-text-anchor:top" coordsize="0,327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" path="m,3273552l,e" filled="f" strokeweight=".24pt">
                        <v:stroke miterlimit="1" joinstyle="miter"/>
                        <v:path arrowok="t" textboxrect="0,0,0,3273552"/>
                      </v:shape>
                      <v:shape id="Shape 11" o:spid="_x0000_s1029" style="position:absolute;left:5997;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" path="m,64008l,e" filled="f" strokeweight=".24pt">
                        <v:stroke miterlimit="1" joinstyle="miter"/>
                        <v:path arrowok="t" textboxrect="0,0,0,64008"/>
                      </v:shape>
                      <v:shape id="Shape 12" o:spid="_x0000_s1030" style="position:absolute;left:18859;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" path="m,64008l,e" filled="f" strokeweight=".24pt">
                        <v:stroke miterlimit="1" joinstyle="miter"/>
                        <v:path arrowok="t" textboxrect="0,0,0,64008"/>
                      </v:shape>
                      <v:shape id="Shape 13" o:spid="_x0000_s1031" style="position:absolute;left:31722;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" path="m,64008l,e" filled="f" strokeweight=".24pt">
                        <v:stroke miterlimit="1" joinstyle="miter"/>
                        <v:path arrowok="t" textboxrect="0,0,0,64008"/>
                      </v:shape>
                      <v:shape id="Shape 14" o:spid="_x0000_s1032" style="position:absolute;left:44585;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" path="m,64008l,e" filled="f" strokeweight=".24pt">
                        <v:stroke miterlimit="1" joinstyle="miter"/>
                        <v:path arrowok="t" textboxrect="0,0,0,64008"/>
                      </v:shape>
                      <v:shape id="Shape 15" o:spid="_x0000_s1033" style="position:absolute;left:57447;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" path="m,64008l,e" filled="f" strokeweight=".24pt">
                        <v:stroke miterlimit="1" joinstyle="miter"/>
                        <v:path arrowok="t" textboxrect="0,0,0,64008"/>
                      </v:shape>
                      <v:shape id="Shape 16" o:spid="_x0000_s1034" style="position:absolute;left:5326;top:31844;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" path="m,l67056,e" filled="f" strokeweight=".24pt">
                        <v:stroke miterlimit="1" joinstyle="miter"/>
                        <v:path arrowok="t" textboxrect="0,0,67056,0"/>
                      </v:shape>
                      <v:shape id="Shape 17" o:spid="_x0000_s1035" style="position:absolute;left:5326;top:25596;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" path="m,l67056,e" filled="f" strokeweight=".24pt">
                        <v:stroke miterlimit="1" joinstyle="miter"/>
                        <v:path arrowok="t" textboxrect="0,0,67056,0"/>
                      </v:shape>
                      <v:shape id="Shape 18" o:spid="_x0000_s1036" style="position:absolute;left:5326;top:19378;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" path="m,l67056,e" filled="f" strokeweight=".24pt">
                        <v:stroke miterlimit="1" joinstyle="miter"/>
                        <v:path arrowok="t" textboxrect="0,0,67056,0"/>
                      </v:shape>
                      <v:shape id="Shape 19" o:spid="_x0000_s1037" style="position:absolute;left:5326;top:13129;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" path="m,l67056,e" filled="f" strokeweight=".24pt">
                        <v:stroke miterlimit="1" joinstyle="miter"/>
                        <v:path arrowok="t" textboxrect="0,0,67056,0"/>
                      </v:shape>
                      <v:shape id="Shape 20" o:spid="_x0000_s1038" style="position:absolute;left:5326;top:6911;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" path="m,l67056,e" filled="f" strokeweight=".24pt">
                        <v:stroke miterlimit="1" joinstyle="miter"/>
                        <v:path arrowok="t" textboxrect="0,0,67056,0"/>
                      </v:shape>
                      <v:shape id="Shape 21" o:spid="_x0000_s1039" style="position:absolute;left:5326;top:663;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" path="m,l67056,e" filled="f" strokeweight=".24pt">
                        <v:stroke miterlimit="1" joinstyle="miter"/>
                        <v:path arrowok="t" textboxrect="0,0,67056,0"/>
                      </v:shape>
                      <v:rect id="Rectangle 22" o:spid="_x0000_s1040" style="position:absolute;left:4564;top:34716;width:3776;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AC21B4F" w14:textId="77777777" w:rsidR="001764DE" w:rsidRDefault="001764DE" w:rsidP="001764DE">
                              <w:pPr>
                                <w:spacing w:after="160" w:line="259" w:lineRule="auto"/>
                                <w:ind w:left="0" w:firstLine="0"/>
                              </w:pPr>
                              <w:r>
                                <w:rPr>
                                  <w:rFonts w:ascii="Arial" w:eastAsia="Arial" w:hAnsi="Arial" w:cs="Arial"/>
                                  <w:b/>
                                  <w:sz w:val="27"/>
                                </w:rPr>
                                <w:t>400</w:t>
                              </w:r>
                            </w:p>
                          </w:txbxContent>
                        </v:textbox>
                      </v:rect>
                      <v:rect id="Rectangle 23" o:spid="_x0000_s1041" style="position:absolute;left:17427;top:34716;width:377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4950B86" w14:textId="77777777" w:rsidR="001764DE" w:rsidRDefault="001764DE" w:rsidP="001764DE">
                              <w:pPr>
                                <w:spacing w:after="160" w:line="259" w:lineRule="auto"/>
                                <w:ind w:left="0" w:firstLine="0"/>
                              </w:pPr>
                              <w:r>
                                <w:rPr>
                                  <w:rFonts w:ascii="Arial" w:eastAsia="Arial" w:hAnsi="Arial" w:cs="Arial"/>
                                  <w:b/>
                                  <w:sz w:val="27"/>
                                </w:rPr>
                                <w:t>500</w:t>
                              </w:r>
                            </w:p>
                          </w:txbxContent>
                        </v:textbox>
                      </v:rect>
                      <v:rect id="Rectangle 24" o:spid="_x0000_s1042" style="position:absolute;left:30289;top:34716;width:3776;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44FEDCC" w14:textId="77777777" w:rsidR="001764DE" w:rsidRDefault="001764DE" w:rsidP="001764DE">
                              <w:pPr>
                                <w:spacing w:after="160" w:line="259" w:lineRule="auto"/>
                                <w:ind w:left="0" w:firstLine="0"/>
                              </w:pPr>
                              <w:r>
                                <w:rPr>
                                  <w:rFonts w:ascii="Arial" w:eastAsia="Arial" w:hAnsi="Arial" w:cs="Arial"/>
                                  <w:b/>
                                  <w:sz w:val="27"/>
                                </w:rPr>
                                <w:t>600</w:t>
                              </w:r>
                            </w:p>
                          </w:txbxContent>
                        </v:textbox>
                      </v:rect>
                      <v:rect id="Rectangle 25" o:spid="_x0000_s1043" style="position:absolute;left:43152;top:34716;width:377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E746AEC" w14:textId="77777777" w:rsidR="001764DE" w:rsidRDefault="001764DE" w:rsidP="001764DE">
                              <w:pPr>
                                <w:spacing w:after="160" w:line="259" w:lineRule="auto"/>
                                <w:ind w:left="0" w:firstLine="0"/>
                              </w:pPr>
                              <w:r>
                                <w:rPr>
                                  <w:rFonts w:ascii="Arial" w:eastAsia="Arial" w:hAnsi="Arial" w:cs="Arial"/>
                                  <w:b/>
                                  <w:sz w:val="27"/>
                                </w:rPr>
                                <w:t>700</w:t>
                              </w:r>
                            </w:p>
                          </w:txbxContent>
                        </v:textbox>
                      </v:rect>
                      <v:rect id="Rectangle 26" o:spid="_x0000_s1044" style="position:absolute;left:56015;top:34716;width:377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551CFE3" w14:textId="77777777" w:rsidR="001764DE" w:rsidRDefault="001764DE" w:rsidP="001764DE">
                              <w:pPr>
                                <w:spacing w:after="160" w:line="259" w:lineRule="auto"/>
                                <w:ind w:left="0" w:firstLine="0"/>
                              </w:pPr>
                              <w:r>
                                <w:rPr>
                                  <w:rFonts w:ascii="Arial" w:eastAsia="Arial" w:hAnsi="Arial" w:cs="Arial"/>
                                  <w:b/>
                                  <w:sz w:val="27"/>
                                </w:rPr>
                                <w:t>800</w:t>
                              </w:r>
                            </w:p>
                          </w:txbxContent>
                        </v:textbox>
                      </v:rect>
                      <v:rect id="Rectangle 27" o:spid="_x0000_s1045" style="position:absolute;left:2644;top:31181;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13650A3" w14:textId="77777777" w:rsidR="001764DE" w:rsidRDefault="001764DE" w:rsidP="001764DE">
                              <w:pPr>
                                <w:spacing w:after="160" w:line="259" w:lineRule="auto"/>
                                <w:ind w:left="0" w:firstLine="0"/>
                              </w:pPr>
                              <w:r>
                                <w:rPr>
                                  <w:rFonts w:ascii="Arial" w:eastAsia="Arial" w:hAnsi="Arial" w:cs="Arial"/>
                                  <w:b/>
                                  <w:sz w:val="27"/>
                                </w:rPr>
                                <w:t>0.0</w:t>
                              </w:r>
                            </w:p>
                          </w:txbxContent>
                        </v:textbox>
                      </v:rect>
                      <v:rect id="Rectangle 28" o:spid="_x0000_s1046" style="position:absolute;left:2644;top:24932;width:316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6A00D67" w14:textId="77777777" w:rsidR="001764DE" w:rsidRDefault="001764DE" w:rsidP="001764DE">
                              <w:pPr>
                                <w:spacing w:after="160" w:line="259" w:lineRule="auto"/>
                                <w:ind w:left="0" w:firstLine="0"/>
                              </w:pPr>
                              <w:r>
                                <w:rPr>
                                  <w:rFonts w:ascii="Arial" w:eastAsia="Arial" w:hAnsi="Arial" w:cs="Arial"/>
                                  <w:b/>
                                  <w:sz w:val="27"/>
                                </w:rPr>
                                <w:t>0.2</w:t>
                              </w:r>
                            </w:p>
                          </w:txbxContent>
                        </v:textbox>
                      </v:rect>
                      <v:rect id="Rectangle 29" o:spid="_x0000_s1047" style="position:absolute;left:2644;top:18714;width:316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A564E8A" w14:textId="77777777" w:rsidR="001764DE" w:rsidRDefault="001764DE" w:rsidP="001764DE">
                              <w:pPr>
                                <w:spacing w:after="160" w:line="259" w:lineRule="auto"/>
                                <w:ind w:left="0" w:firstLine="0"/>
                              </w:pPr>
                              <w:r>
                                <w:rPr>
                                  <w:rFonts w:ascii="Arial" w:eastAsia="Arial" w:hAnsi="Arial" w:cs="Arial"/>
                                  <w:b/>
                                  <w:sz w:val="27"/>
                                </w:rPr>
                                <w:t>0.4</w:t>
                              </w:r>
                            </w:p>
                          </w:txbxContent>
                        </v:textbox>
                      </v:rect>
                      <v:rect id="Rectangle 30" o:spid="_x0000_s1048" style="position:absolute;left:2644;top:12466;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A920ADF" w14:textId="77777777" w:rsidR="001764DE" w:rsidRDefault="001764DE" w:rsidP="001764DE">
                              <w:pPr>
                                <w:spacing w:after="160" w:line="259" w:lineRule="auto"/>
                                <w:ind w:left="0" w:firstLine="0"/>
                              </w:pPr>
                              <w:r>
                                <w:rPr>
                                  <w:rFonts w:ascii="Arial" w:eastAsia="Arial" w:hAnsi="Arial" w:cs="Arial"/>
                                  <w:b/>
                                  <w:sz w:val="27"/>
                                </w:rPr>
                                <w:t>0.6</w:t>
                              </w:r>
                            </w:p>
                          </w:txbxContent>
                        </v:textbox>
                      </v:rect>
                      <v:rect id="Rectangle 31" o:spid="_x0000_s1049" style="position:absolute;left:2644;top:6248;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EEED60C" w14:textId="77777777" w:rsidR="001764DE" w:rsidRDefault="001764DE" w:rsidP="001764DE">
                              <w:pPr>
                                <w:spacing w:after="160" w:line="259" w:lineRule="auto"/>
                                <w:ind w:left="0" w:firstLine="0"/>
                              </w:pPr>
                              <w:r>
                                <w:rPr>
                                  <w:rFonts w:ascii="Arial" w:eastAsia="Arial" w:hAnsi="Arial" w:cs="Arial"/>
                                  <w:b/>
                                  <w:sz w:val="27"/>
                                </w:rPr>
                                <w:t>0.8</w:t>
                              </w:r>
                            </w:p>
                          </w:txbxContent>
                        </v:textbox>
                      </v:rect>
                      <v:rect id="Rectangle 32" o:spid="_x0000_s1050" style="position:absolute;left:2644;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CE5E61" w14:textId="77777777" w:rsidR="001764DE" w:rsidRDefault="001764DE" w:rsidP="001764DE">
                              <w:pPr>
                                <w:spacing w:after="160" w:line="259" w:lineRule="auto"/>
                                <w:ind w:left="0" w:firstLine="0"/>
                              </w:pPr>
                              <w:r>
                                <w:rPr>
                                  <w:rFonts w:ascii="Arial" w:eastAsia="Arial" w:hAnsi="Arial" w:cs="Arial"/>
                                  <w:b/>
                                  <w:sz w:val="27"/>
                                </w:rPr>
                                <w:t>1.0</w:t>
                              </w:r>
                            </w:p>
                          </w:txbxContent>
                        </v:textbox>
                      </v:rect>
                      <v:rect id="Rectangle 34" o:spid="_x0000_s1051" style="position:absolute;left:-1066;top:15450;width:4262;height:21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" filled="f" stroked="f">
                        <v:textbox inset="0,0,0,0">
                          <w:txbxContent>
                            <w:p w14:paraId="75ED28F6" w14:textId="77777777" w:rsidR="001764DE" w:rsidRDefault="001764DE" w:rsidP="001764DE">
                              <w:pPr>
                                <w:spacing w:after="160" w:line="259" w:lineRule="auto"/>
                                <w:ind w:left="0" w:firstLine="0"/>
                              </w:pPr>
                              <w:r>
                                <w:rPr>
                                  <w:rFonts w:ascii="Arial" w:eastAsia="Arial" w:hAnsi="Arial" w:cs="Arial"/>
                                  <w:b/>
                                  <w:sz w:val="27"/>
                                </w:rPr>
                                <w:t>Abs</w:t>
                              </w:r>
                            </w:p>
                          </w:txbxContent>
                        </v:textbox>
                      </v:rect>
                      <v:shape id="Shape 35" o:spid="_x0000_s1052" style="position:absolute;left:5997;top:29223;width:51450;height:1981;visibility:visible;mso-wrap-style:square;v-text-anchor:top" coordsize="514502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" path="m5145024,179832r-12192,-3048l5093208,176784r-12192,-3048l5004816,173736r-15240,-3048l4977384,173736r-12192,-3048l4849368,170688r-12192,-3048l4824984,170688r-15239,l4797552,167640r-12192,l4773169,170688r-27433,l4733545,167640r-91441,l4629912,164592r-12192,3048l4565904,167640r-12192,-3048l4526281,164592r-12193,3048l4501896,167640r-12192,-3048l4450081,164592r-12193,3048l4425696,167640r-15239,-3048l4386072,164592r-12191,3048l4361688,167640r-15240,-3048l4334257,164592r-12193,3048l4309872,164592r-15240,3048l4282440,167640r-12192,3048l4258057,173736r-27433,l4218432,176784r-24384,l4178808,179832r-12192,-3048l4154424,176784r-12192,3048l4102608,179832r-12192,9144l4078224,179832r-12192,3048l4050792,185928r-24384,l4014216,188976r-15240,-3048l3986784,188976r-24384,l3950208,192024r-39624,l3898392,195072r-15240,-3048l3870960,192024r-12192,3048l3846576,198120r-12192,-3048l3806952,195072r-12192,-3048l3782568,195072r-27432,l3742945,192024r-12193,3048l3718560,192024r-15240,-3048l3691128,192024r-12192,l3666745,188976r-51817,l3602736,185928r-15240,3048l3575304,185928r-51816,l3511296,182880r-12192,3048l3486912,185928r-15240,-3048l3459480,179832r-12192,l3435096,176784r-64008,l3355848,173736r-64008,l3279648,170688r-39624,l3227832,167640r-103632,l3112008,164592r-12192,3048l3087624,164592r-12192,l3060192,161544r-12192,3048l3035808,164592r-12192,-3048l3008376,164592r-12192,-3048l2983992,158496r-51816,l2919984,155448r-39624,l2868168,152400r-24384,l2828544,149352r-12192,-3048l2804160,146304r-12192,-3048l2779776,143256r-15240,-3048l2740152,140208r-12192,-3048l2712720,134112r-12192,-3048l2688336,128016r-12192,l2663952,124968r-15240,-3048l2636520,118872r-12192,-3048l2612136,112776r-15240,-3048l2584704,106680r-12192,l2560320,100584r-12192,l2532888,97536r-12192,-6096l2508504,91440r-12192,-3048l2481072,82296r-12192,-3048l2456688,79248r-12192,-6096l2432304,73152r-15240,-3048l2404872,67056r-12192,-3048l2380488,64008r-15240,-3048l2353056,54864r-12192,l2328672,48768r-12192,l2301240,45720r-12192,-6096l2264664,39624r-12192,-3048l2237232,33528r-12192,-3048l2212848,30480r-12192,-3048l2173224,27432r-12192,-9144l2148840,18288r-12192,-3048l2109216,15240r-12192,-3048l2084832,9144r-51816,l2020824,6096,2005584,3048r-12192,l1981200,6096,1969008,3048r-39624,l1917192,r-39624,l1865376,3048r-12192,l1837944,r-12192,3048l1813560,3048,1801368,r-12192,3048l1773936,3048,1761744,r-12192,3048l1673352,3048r-15240,3048l1594104,6096r-12192,3048l1569720,6096r-12192,3048l1517904,9144r-12192,3048l1478280,12192r-12192,3048l1426464,15240r-12192,3048l1402080,15240r-12192,l1377696,18288r-15240,l1350264,21336r-24384,l1310640,24384r-12192,3048l1286256,24384r-12192,3048l1261872,30480r-15240,3048l1222248,33528r-12192,3048l1182624,36576r-12192,3048l1158240,42672r-12192,3048l1118616,45720r-12192,3048l1094232,48768r-15240,3048l1042416,51816r-12192,3048l1002792,54864r-12192,3048l978408,60960r-27432,l938784,64008r-12192,l914400,70104r-15240,3048l886968,70104r-12192,3048l862584,76200r-27432,l822960,79248r-12192,3048l798576,82296r-15240,3048l758952,85344r-12192,6096l719328,91440r-12192,3048l643128,94488r-12192,3048l603504,97536r-12192,3048l566928,100584r-15240,3048l527304,103632r-12192,3048l502920,103632r-15240,l475488,106680r-12192,-3048l451104,103632r-15240,3048l295656,106680r-12192,-3048l271272,106680r-15240,-3048l167640,103632r-12192,3048l140208,106680r-12192,-3048l115824,100584r-39624,l64008,97536r-24384,l24384,100584,12192,97536,,94488e" filled="f" strokecolor="red" strokeweight=".24pt">
                        <v:stroke miterlimit="1" joinstyle="miter"/>
                        <v:path arrowok="t" textboxrect="0,0,5145024,198120"/>
                      </v:shape>
                      <v:rect id="Rectangle 568" o:spid="_x0000_s1053" style="position:absolute;left:21527;top:14911;width:7468;height:11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" filled="f" stroked="f">
                        <v:textbox inset="0,0,0,0">
                          <w:txbxContent>
                            <w:p w14:paraId="688566E3" w14:textId="77777777" w:rsidR="001764DE" w:rsidRDefault="001764DE" w:rsidP="001764DE">
                              <w:pPr>
                                <w:spacing w:after="160" w:line="259" w:lineRule="auto"/>
                                <w:ind w:left="0" w:firstLine="0"/>
                              </w:pPr>
                              <w:r>
                                <w:rPr>
                                  <w:rFonts w:ascii="Arial" w:eastAsia="Arial" w:hAnsi="Arial" w:cs="Arial"/>
                                  <w:sz w:val="14"/>
                                </w:rPr>
                                <w:t>537.00</w:t>
                              </w:r>
                            </w:p>
                          </w:txbxContent>
                        </v:textbox>
                      </v:rect>
                      <v:rect id="Rectangle 569" o:spid="_x0000_s1054" style="position:absolute;left:18354;top:11738;width:7468;height:11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" filled="f" stroked="f">
                        <v:textbox inset="0,0,0,0">
                          <w:txbxContent>
                            <w:p w14:paraId="1B6B2C7B" w14:textId="77777777" w:rsidR="001764DE" w:rsidRDefault="001764DE" w:rsidP="001764DE">
                              <w:pPr>
                                <w:spacing w:after="160" w:line="259" w:lineRule="auto"/>
                                <w:ind w:left="0" w:firstLine="0"/>
                              </w:pPr>
                              <w:r>
                                <w:rPr>
                                  <w:rFonts w:ascii="Arial" w:eastAsia="Arial" w:hAnsi="Arial" w:cs="Arial"/>
                                  <w:sz w:val="14"/>
                                </w:rPr>
                                <w:t>0.084</w:t>
                              </w:r>
                            </w:p>
                          </w:txbxContent>
                        </v:textbox>
                      </v:rect>
                      <v:rect id="Rectangle 570" o:spid="_x0000_s1055" style="position:absolute;left:19819;top:13203;width:7469;height: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" filled="f" stroked="f">
                        <v:textbox inset="0,0,0,0">
                          <w:txbxContent>
                            <w:p w14:paraId="0E2CC6C9" w14:textId="77777777" w:rsidR="001764DE" w:rsidRDefault="001764DE" w:rsidP="001764DE">
                              <w:pPr>
                                <w:spacing w:after="160" w:line="259" w:lineRule="auto"/>
                                <w:ind w:left="0" w:firstLine="0"/>
                              </w:pPr>
                              <w:r>
                                <w:rPr>
                                  <w:rFonts w:ascii="Arial" w:eastAsia="Arial" w:hAnsi="Arial" w:cs="Arial"/>
                                  <w:sz w:val="14"/>
                                </w:rPr>
                                <w:t xml:space="preserve"> , </w:t>
                              </w:r>
                            </w:p>
                          </w:txbxContent>
                        </v:textbox>
                      </v:rect>
                      <v:shape id="Shape 37" o:spid="_x0000_s1056" style="position:absolute;left:23614;top:17732;width:31;height:11491;visibility:visible;mso-wrap-style:square;v-text-anchor:top" coordsize="3048,11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" path="m3048,l,1149096e" filled="f" strokeweight=".24pt">
                        <v:stroke miterlimit="1" joinstyle="miter"/>
                        <v:path arrowok="t" textboxrect="0,0,3048,1149096"/>
                      </v:shape>
                      <w10:anchorlock/>
                    </v:group>
                  </w:pict>
                </mc:Fallback>
              </mc:AlternateContent>
            </w:r>
          </w:p>
        </w:tc>
      </w:tr>
    </w:tbl>
    <w:p w14:paraId="3BA633CA" w14:textId="77777777" w:rsidR="001764DE" w:rsidRPr="00EB1704" w:rsidRDefault="001764DE" w:rsidP="001764DE">
      <w:pPr>
        <w:spacing w:line="480" w:lineRule="auto"/>
        <w:ind w:left="0" w:firstLine="0"/>
        <w:rPr>
          <w:color w:val="000000" w:themeColor="text1"/>
          <w:sz w:val="24"/>
        </w:rPr>
      </w:pPr>
      <w:r w:rsidRPr="00EB1704">
        <w:rPr>
          <w:color w:val="000000" w:themeColor="text1"/>
          <w:sz w:val="24"/>
        </w:rPr>
        <w:tab/>
      </w:r>
      <w:r w:rsidRPr="00EB1704">
        <w:rPr>
          <w:color w:val="4472C4" w:themeColor="accent1"/>
          <w:sz w:val="24"/>
        </w:rPr>
        <w:t>Figure 2</w:t>
      </w:r>
      <w:r w:rsidRPr="00EB1704">
        <w:rPr>
          <w:color w:val="000000" w:themeColor="text1"/>
          <w:sz w:val="24"/>
        </w:rPr>
        <w:t>: Spectrum of 9.6 ×10</w:t>
      </w:r>
      <w:r w:rsidRPr="00EB1704">
        <w:rPr>
          <w:color w:val="000000" w:themeColor="text1"/>
          <w:sz w:val="24"/>
          <w:vertAlign w:val="superscript"/>
        </w:rPr>
        <w:t>-6</w:t>
      </w:r>
      <w:r w:rsidRPr="00EB1704">
        <w:rPr>
          <w:color w:val="000000" w:themeColor="text1"/>
          <w:sz w:val="24"/>
        </w:rPr>
        <w:t xml:space="preserve"> M EBBR in aqueous solution</w:t>
      </w:r>
    </w:p>
    <w:p w14:paraId="721DA279" w14:textId="77777777" w:rsidR="001764DE" w:rsidRPr="00EB1704" w:rsidRDefault="001764DE" w:rsidP="001764DE">
      <w:pPr>
        <w:spacing w:before="120" w:after="120" w:line="480" w:lineRule="auto"/>
        <w:ind w:left="0" w:firstLine="0"/>
        <w:rPr>
          <w:i/>
          <w:iCs/>
          <w:color w:val="000000" w:themeColor="text1"/>
          <w:sz w:val="24"/>
        </w:rPr>
      </w:pPr>
      <w:r w:rsidRPr="00EB1704">
        <w:rPr>
          <w:i/>
          <w:iCs/>
          <w:color w:val="000000" w:themeColor="text1"/>
          <w:sz w:val="24"/>
        </w:rPr>
        <w:t>3.1. UV-Vis absorption spectra recorded for a single micellar environment</w:t>
      </w:r>
    </w:p>
    <w:p w14:paraId="75EEF0D8" w14:textId="1FA8148E" w:rsidR="001764DE" w:rsidRPr="00EB1704" w:rsidRDefault="001764DE" w:rsidP="001764DE">
      <w:pPr>
        <w:spacing w:line="480" w:lineRule="auto"/>
        <w:ind w:left="0" w:firstLine="0"/>
        <w:rPr>
          <w:b/>
          <w:bCs/>
          <w:color w:val="4472C4" w:themeColor="accent1"/>
          <w:sz w:val="24"/>
        </w:rPr>
      </w:pPr>
      <w:r w:rsidRPr="00EB1704">
        <w:rPr>
          <w:color w:val="000000" w:themeColor="text1"/>
          <w:sz w:val="24"/>
        </w:rPr>
        <w:t>Spectra of 9.6 ×10</w:t>
      </w:r>
      <w:r w:rsidRPr="00EB1704">
        <w:rPr>
          <w:color w:val="000000" w:themeColor="text1"/>
          <w:sz w:val="24"/>
          <w:vertAlign w:val="superscript"/>
        </w:rPr>
        <w:t>-6</w:t>
      </w:r>
      <w:r w:rsidRPr="00EB1704">
        <w:rPr>
          <w:color w:val="000000" w:themeColor="text1"/>
          <w:sz w:val="24"/>
        </w:rPr>
        <w:t xml:space="preserve"> M EBBR in varying concentrations of CTAB, CAPB, and TX-100 from (0.2 mM - 9.5 mM) were plotted. A maximum absorbance of dye was registered at 537 nm, which shifted to 661 nm for the dye/CTAB system, 546 nm for the dye/TX-100 system, and 568 nm for the dye/CAPB system. Bathochromic shifts were noted for dye/surfactants interaction compared with the pure dye solution, this demonstrates a host-guest association and the influence of hydrophobic and electrostatic interactions [2</w:t>
      </w:r>
      <w:r w:rsidR="00042ED8" w:rsidRPr="00EB1704">
        <w:rPr>
          <w:color w:val="000000" w:themeColor="text1"/>
          <w:sz w:val="24"/>
        </w:rPr>
        <w:t>6</w:t>
      </w:r>
      <w:r w:rsidRPr="00EB1704">
        <w:rPr>
          <w:color w:val="000000" w:themeColor="text1"/>
          <w:sz w:val="24"/>
        </w:rPr>
        <w:t xml:space="preserve">]. Larger shifts were observed in the case of CTAB due to the strong electrostatic interaction with EBBR. In addition to this shift, </w:t>
      </w:r>
      <w:proofErr w:type="spellStart"/>
      <w:r w:rsidRPr="00EB1704">
        <w:rPr>
          <w:color w:val="000000" w:themeColor="text1"/>
          <w:sz w:val="24"/>
        </w:rPr>
        <w:t>hypsochromic</w:t>
      </w:r>
      <w:proofErr w:type="spellEnd"/>
      <w:r w:rsidRPr="00EB1704">
        <w:rPr>
          <w:color w:val="000000" w:themeColor="text1"/>
          <w:sz w:val="24"/>
        </w:rPr>
        <w:t xml:space="preserve"> shifts were also observed for TX-100 due to its nonionic nature. Shifts to larger wavelengths were also observed for the dye/CAPB system.</w:t>
      </w:r>
      <w:r w:rsidRPr="00EB1704">
        <w:rPr>
          <w:sz w:val="24"/>
        </w:rPr>
        <w:t xml:space="preserve"> </w:t>
      </w:r>
      <w:r w:rsidRPr="00EB1704">
        <w:rPr>
          <w:color w:val="000000" w:themeColor="text1"/>
          <w:sz w:val="24"/>
        </w:rPr>
        <w:t>This wavelength shift reflects alterations in the microenvironment surrounding EBBR molecules as they transition from the polar to the less polar regions of the micelles. EBBR molecules undergo redistribution and re-stabilization as surfactants participate at varying energy levels [2</w:t>
      </w:r>
      <w:r w:rsidR="00042ED8" w:rsidRPr="00EB1704">
        <w:rPr>
          <w:color w:val="000000" w:themeColor="text1"/>
          <w:sz w:val="24"/>
        </w:rPr>
        <w:t>7</w:t>
      </w:r>
      <w:r w:rsidRPr="00EB1704">
        <w:rPr>
          <w:color w:val="000000" w:themeColor="text1"/>
          <w:sz w:val="24"/>
        </w:rPr>
        <w:t>]</w:t>
      </w:r>
      <w:r w:rsidRPr="00EB1704">
        <w:rPr>
          <w:color w:val="4472C4" w:themeColor="accent1"/>
          <w:sz w:val="24"/>
        </w:rPr>
        <w:t xml:space="preserve">. </w:t>
      </w:r>
      <w:r w:rsidRPr="00EB1704">
        <w:rPr>
          <w:color w:val="000000" w:themeColor="text1"/>
          <w:sz w:val="24"/>
        </w:rPr>
        <w:t>Polar orbitals exhibit enhanced stability in polar environments; thus, the observed bathochromic shifts may be attributed to n→π electronic transitions. Additionally, EBBR molecules engage in electrostatic interactions with each surfactant to varying degrees [2</w:t>
      </w:r>
      <w:r w:rsidR="00042ED8" w:rsidRPr="00EB1704">
        <w:rPr>
          <w:color w:val="000000" w:themeColor="text1"/>
          <w:sz w:val="24"/>
        </w:rPr>
        <w:t>8</w:t>
      </w:r>
      <w:r w:rsidRPr="00EB1704">
        <w:rPr>
          <w:color w:val="000000" w:themeColor="text1"/>
          <w:sz w:val="24"/>
        </w:rPr>
        <w:t>]</w:t>
      </w:r>
      <w:r w:rsidRPr="00EB1704">
        <w:rPr>
          <w:color w:val="4472C4" w:themeColor="accent1"/>
          <w:sz w:val="24"/>
        </w:rPr>
        <w:t>.</w:t>
      </w:r>
    </w:p>
    <w:p w14:paraId="6A9A7618" w14:textId="7A61AA41" w:rsidR="001764DE" w:rsidRPr="00EB1704" w:rsidRDefault="001764DE" w:rsidP="001764DE">
      <w:pPr>
        <w:spacing w:line="480" w:lineRule="auto"/>
        <w:ind w:left="0" w:firstLine="0"/>
        <w:rPr>
          <w:color w:val="000000" w:themeColor="text1"/>
          <w:sz w:val="24"/>
        </w:rPr>
      </w:pPr>
      <w:r w:rsidRPr="00EB1704">
        <w:rPr>
          <w:color w:val="4472C4" w:themeColor="accent1"/>
          <w:sz w:val="24"/>
        </w:rPr>
        <w:lastRenderedPageBreak/>
        <w:t xml:space="preserve">Figure 3 (a-c) </w:t>
      </w:r>
      <w:r w:rsidRPr="00EB1704">
        <w:rPr>
          <w:color w:val="000000" w:themeColor="text1"/>
          <w:sz w:val="24"/>
        </w:rPr>
        <w:t>indicates a correlation between absorbance values and the concentrations of CTAB, CAPB, and TX-100, respectively. When surfactant concentrations exceed the critical micelle concentration (CMC), numerous micelles are formed, which encapsulate increasing amounts of dye molecules within their structures [2</w:t>
      </w:r>
      <w:r w:rsidR="00042ED8" w:rsidRPr="00EB1704">
        <w:rPr>
          <w:color w:val="000000" w:themeColor="text1"/>
          <w:sz w:val="24"/>
        </w:rPr>
        <w:t>9</w:t>
      </w:r>
      <w:r w:rsidRPr="00EB1704">
        <w:rPr>
          <w:color w:val="000000" w:themeColor="text1"/>
          <w:sz w:val="24"/>
        </w:rPr>
        <w:t>]</w:t>
      </w:r>
      <w:r w:rsidRPr="00EB1704">
        <w:rPr>
          <w:color w:val="4472C4" w:themeColor="accent1"/>
          <w:sz w:val="24"/>
        </w:rPr>
        <w:t xml:space="preserve">. </w:t>
      </w:r>
      <w:r w:rsidRPr="00EB1704">
        <w:rPr>
          <w:color w:val="000000" w:themeColor="text1"/>
          <w:sz w:val="24"/>
        </w:rPr>
        <w:t>As a result, absorbance intensity continues to rise even beyond the CMC.</w:t>
      </w:r>
    </w:p>
    <w:p w14:paraId="42B158A6" w14:textId="3588A656" w:rsidR="001764DE" w:rsidRPr="00EB1704" w:rsidRDefault="001764DE" w:rsidP="001764DE">
      <w:pPr>
        <w:spacing w:line="480" w:lineRule="auto"/>
        <w:ind w:left="0" w:firstLine="0"/>
        <w:rPr>
          <w:color w:val="000000" w:themeColor="text1"/>
          <w:sz w:val="24"/>
        </w:rPr>
        <w:sectPr w:rsidR="001764DE" w:rsidRPr="00EB1704" w:rsidSect="001764DE">
          <w:type w:val="continuous"/>
          <w:pgSz w:w="11906" w:h="15874"/>
          <w:pgMar w:top="1440" w:right="647" w:bottom="1440" w:left="838" w:header="720" w:footer="720" w:gutter="0"/>
          <w:cols w:space="345"/>
        </w:sectPr>
      </w:pPr>
    </w:p>
    <w:p w14:paraId="28A2C1A8" w14:textId="2A5F110F" w:rsidR="001764DE" w:rsidRPr="00EB1704" w:rsidRDefault="0084111E" w:rsidP="001764DE">
      <w:pPr>
        <w:spacing w:line="480" w:lineRule="auto"/>
        <w:ind w:left="0" w:firstLine="0"/>
        <w:rPr>
          <w:color w:val="000000" w:themeColor="text1"/>
          <w:sz w:val="24"/>
        </w:rPr>
      </w:pPr>
      <w:r w:rsidRPr="00F551FF">
        <w:rPr>
          <w:sz w:val="24"/>
        </w:rPr>
        <w:object w:dxaOrig="4635" w:dyaOrig="3539" w14:anchorId="2CECE62D">
          <v:shape id="_x0000_i1027" type="#_x0000_t75" style="width:249pt;height:233.25pt" o:ole="">
            <v:imagedata r:id="rId19" o:title=""/>
          </v:shape>
          <o:OLEObject Type="Embed" ProgID="Origin95.Graph" ShapeID="_x0000_i1027" DrawAspect="Content" ObjectID="_1808905081" r:id="rId20"/>
        </w:object>
      </w:r>
    </w:p>
    <w:p w14:paraId="06EC0C59" w14:textId="7C283CCB" w:rsidR="001764DE" w:rsidRPr="00EB1704" w:rsidRDefault="0084111E" w:rsidP="001764DE">
      <w:pPr>
        <w:spacing w:line="480" w:lineRule="auto"/>
        <w:ind w:left="0" w:firstLine="0"/>
        <w:rPr>
          <w:sz w:val="24"/>
        </w:rPr>
        <w:sectPr w:rsidR="001764DE" w:rsidRPr="00EB1704" w:rsidSect="001764DE">
          <w:type w:val="continuous"/>
          <w:pgSz w:w="11906" w:h="15874"/>
          <w:pgMar w:top="1440" w:right="647" w:bottom="1440" w:left="838" w:header="720" w:footer="720" w:gutter="0"/>
          <w:cols w:num="2" w:space="345"/>
        </w:sectPr>
      </w:pPr>
      <w:r w:rsidRPr="00F551FF">
        <w:rPr>
          <w:sz w:val="24"/>
        </w:rPr>
        <w:object w:dxaOrig="4635" w:dyaOrig="3539" w14:anchorId="1ACCB92A">
          <v:shape id="_x0000_i1028" type="#_x0000_t75" style="width:231.75pt;height:229.5pt" o:ole="">
            <v:imagedata r:id="rId21" o:title=""/>
          </v:shape>
          <o:OLEObject Type="Embed" ProgID="Origin95.Graph" ShapeID="_x0000_i1028" DrawAspect="Content" ObjectID="_1808905082" r:id="rId22"/>
        </w:object>
      </w:r>
    </w:p>
    <w:p w14:paraId="4AA48EBC" w14:textId="77777777" w:rsidR="00FE6081" w:rsidRDefault="00FE6081" w:rsidP="001764DE">
      <w:pPr>
        <w:spacing w:line="480" w:lineRule="auto"/>
        <w:ind w:left="0" w:firstLine="0"/>
        <w:rPr>
          <w:color w:val="4472C4" w:themeColor="accent1"/>
          <w:sz w:val="24"/>
        </w:rPr>
      </w:pPr>
    </w:p>
    <w:p w14:paraId="70FA94D4" w14:textId="46325BB6" w:rsidR="00FE6081" w:rsidRDefault="00F551FF" w:rsidP="0084111E">
      <w:pPr>
        <w:spacing w:line="480" w:lineRule="auto"/>
        <w:ind w:left="0" w:firstLine="0"/>
        <w:jc w:val="center"/>
        <w:rPr>
          <w:color w:val="4472C4" w:themeColor="accent1"/>
          <w:sz w:val="24"/>
        </w:rPr>
      </w:pPr>
      <w:r w:rsidRPr="00F551FF">
        <w:rPr>
          <w:sz w:val="32"/>
          <w:szCs w:val="32"/>
        </w:rPr>
        <w:object w:dxaOrig="4635" w:dyaOrig="3539" w14:anchorId="20C2376E">
          <v:shape id="_x0000_i1029" type="#_x0000_t75" style="width:319.5pt;height:199.5pt" o:ole="">
            <v:imagedata r:id="rId23" o:title=""/>
          </v:shape>
          <o:OLEObject Type="Embed" ProgID="Origin95.Graph" ShapeID="_x0000_i1029" DrawAspect="Content" ObjectID="_1808905083" r:id="rId24"/>
        </w:object>
      </w:r>
    </w:p>
    <w:p w14:paraId="28A25C4B" w14:textId="582C8835" w:rsidR="001764DE" w:rsidRPr="00EB1704" w:rsidRDefault="001764DE" w:rsidP="001764DE">
      <w:pPr>
        <w:spacing w:line="480" w:lineRule="auto"/>
        <w:ind w:left="0" w:firstLine="0"/>
        <w:rPr>
          <w:color w:val="000000" w:themeColor="text1"/>
          <w:sz w:val="24"/>
        </w:rPr>
      </w:pPr>
      <w:r w:rsidRPr="00EB1704">
        <w:rPr>
          <w:color w:val="4472C4" w:themeColor="accent1"/>
          <w:sz w:val="24"/>
        </w:rPr>
        <w:t>Figure 3</w:t>
      </w:r>
      <w:r w:rsidRPr="00EB1704">
        <w:rPr>
          <w:color w:val="000000" w:themeColor="text1"/>
          <w:sz w:val="24"/>
        </w:rPr>
        <w:t>: UV-Vis absorption spectra of EBBR</w:t>
      </w:r>
      <w:r w:rsidRPr="00EB1704">
        <w:rPr>
          <w:i/>
          <w:iCs/>
          <w:color w:val="000000" w:themeColor="text1"/>
          <w:sz w:val="24"/>
        </w:rPr>
        <w:t xml:space="preserve"> </w:t>
      </w:r>
      <w:r w:rsidRPr="00EB1704">
        <w:rPr>
          <w:color w:val="000000" w:themeColor="text1"/>
          <w:sz w:val="24"/>
        </w:rPr>
        <w:t>dye as a function of (a) CTAB (b) CAPB (c) TX-100 concentration.</w:t>
      </w:r>
    </w:p>
    <w:p w14:paraId="77BB784B" w14:textId="77777777" w:rsidR="001764DE" w:rsidRPr="00EB1704" w:rsidRDefault="001764DE" w:rsidP="001764DE">
      <w:pPr>
        <w:pStyle w:val="ListParagraph"/>
        <w:numPr>
          <w:ilvl w:val="1"/>
          <w:numId w:val="11"/>
        </w:numPr>
        <w:spacing w:before="120" w:after="120" w:line="480" w:lineRule="auto"/>
        <w:ind w:left="0"/>
        <w:rPr>
          <w:i/>
          <w:iCs/>
          <w:color w:val="000000" w:themeColor="text1"/>
          <w:sz w:val="24"/>
        </w:rPr>
      </w:pPr>
      <w:r w:rsidRPr="00EB1704">
        <w:rPr>
          <w:i/>
          <w:iCs/>
          <w:color w:val="000000" w:themeColor="text1"/>
          <w:sz w:val="24"/>
        </w:rPr>
        <w:lastRenderedPageBreak/>
        <w:t>Variation in absorption spectra within an individual micellar system.</w:t>
      </w:r>
    </w:p>
    <w:p w14:paraId="6E02C749" w14:textId="15C0159B" w:rsidR="001764DE" w:rsidRPr="00EB1704" w:rsidRDefault="001764DE" w:rsidP="001764DE">
      <w:pPr>
        <w:spacing w:line="480" w:lineRule="auto"/>
        <w:ind w:left="0" w:firstLine="0"/>
        <w:rPr>
          <w:color w:val="4472C4" w:themeColor="accent1"/>
          <w:sz w:val="24"/>
        </w:rPr>
      </w:pPr>
      <w:r w:rsidRPr="00EB1704">
        <w:rPr>
          <w:color w:val="4472C4" w:themeColor="accent1"/>
          <w:sz w:val="24"/>
        </w:rPr>
        <w:t>Figure 4 (</w:t>
      </w:r>
      <w:proofErr w:type="spellStart"/>
      <w:proofErr w:type="gramStart"/>
      <w:r w:rsidRPr="00EB1704">
        <w:rPr>
          <w:color w:val="4472C4" w:themeColor="accent1"/>
          <w:sz w:val="24"/>
        </w:rPr>
        <w:t>a,b</w:t>
      </w:r>
      <w:proofErr w:type="gramEnd"/>
      <w:r w:rsidRPr="00EB1704">
        <w:rPr>
          <w:color w:val="4472C4" w:themeColor="accent1"/>
          <w:sz w:val="24"/>
        </w:rPr>
        <w:t>,c</w:t>
      </w:r>
      <w:proofErr w:type="spellEnd"/>
      <w:r w:rsidRPr="00EB1704">
        <w:rPr>
          <w:color w:val="4472C4" w:themeColor="accent1"/>
          <w:sz w:val="24"/>
        </w:rPr>
        <w:t>)</w:t>
      </w:r>
      <w:r w:rsidRPr="00EB1704">
        <w:rPr>
          <w:color w:val="000000" w:themeColor="text1"/>
          <w:sz w:val="24"/>
        </w:rPr>
        <w:t xml:space="preserve"> illustrates that the observed rise in differential absorbance </w:t>
      </w:r>
      <m:oMath>
        <m:r>
          <w:rPr>
            <w:rFonts w:ascii="Cambria Math" w:hAnsi="Cambria Math"/>
            <w:color w:val="000000" w:themeColor="text1"/>
            <w:sz w:val="24"/>
          </w:rPr>
          <m:t>(ΔA)</m:t>
        </m:r>
      </m:oMath>
      <w:r w:rsidRPr="00EB1704">
        <w:rPr>
          <w:color w:val="000000" w:themeColor="text1"/>
          <w:sz w:val="24"/>
        </w:rPr>
        <w:t xml:space="preserve"> reflects the ongoing incorporation of dye molecules into the micellar structures. Depending on the polarity gradient within the micelle, the dye molecules may localize at various depths from the outer layer to the core. Their movement is limited by noncovalent interactions, primarily hydrophobic attraction and electrostatic forces. The process of solubilizing the dye within the micelles is dynamic and actively driven [</w:t>
      </w:r>
      <w:r w:rsidR="00042ED8" w:rsidRPr="00EB1704">
        <w:rPr>
          <w:color w:val="000000" w:themeColor="text1"/>
          <w:sz w:val="24"/>
        </w:rPr>
        <w:t>30</w:t>
      </w:r>
      <w:r w:rsidRPr="00EB1704">
        <w:rPr>
          <w:color w:val="000000" w:themeColor="text1"/>
          <w:sz w:val="24"/>
        </w:rPr>
        <w:t>].</w:t>
      </w:r>
    </w:p>
    <w:p w14:paraId="637A9DA5" w14:textId="46B90BE9" w:rsidR="001764DE" w:rsidRPr="00F551FF" w:rsidRDefault="00F551FF" w:rsidP="00F551FF">
      <w:pPr>
        <w:spacing w:line="480" w:lineRule="auto"/>
        <w:ind w:left="0" w:firstLine="0"/>
        <w:rPr>
          <w:color w:val="000000" w:themeColor="text1"/>
          <w:sz w:val="24"/>
        </w:rPr>
      </w:pPr>
      <w:r w:rsidRPr="00F551FF">
        <w:rPr>
          <w:sz w:val="24"/>
        </w:rPr>
        <w:object w:dxaOrig="4635" w:dyaOrig="3539" w14:anchorId="0A80CDFD">
          <v:shape id="_x0000_i1030" type="#_x0000_t75" style="width:231.75pt;height:197.25pt" o:ole="">
            <v:imagedata r:id="rId25" o:title=""/>
          </v:shape>
          <o:OLEObject Type="Embed" ProgID="Origin95.Graph" ShapeID="_x0000_i1030" DrawAspect="Content" ObjectID="_1808905084" r:id="rId26"/>
        </w:object>
      </w:r>
      <w:r w:rsidR="0062595D" w:rsidRPr="00F551FF">
        <w:rPr>
          <w:sz w:val="24"/>
        </w:rPr>
        <w:object w:dxaOrig="4635" w:dyaOrig="3539" w14:anchorId="0827A757">
          <v:shape id="_x0000_i1031" type="#_x0000_t75" style="width:270pt;height:211.5pt" o:ole="">
            <v:imagedata r:id="rId27" o:title=""/>
          </v:shape>
          <o:OLEObject Type="Embed" ProgID="Origin95.Graph" ShapeID="_x0000_i1031" DrawAspect="Content" ObjectID="_1808905085" r:id="rId28"/>
        </w:object>
      </w:r>
    </w:p>
    <w:p w14:paraId="5CF9C6D9" w14:textId="6857F3E2" w:rsidR="0084111E" w:rsidRPr="00EB1704" w:rsidRDefault="00F551FF" w:rsidP="0084111E">
      <w:pPr>
        <w:spacing w:line="480" w:lineRule="auto"/>
        <w:ind w:left="0" w:firstLine="0"/>
        <w:jc w:val="center"/>
        <w:rPr>
          <w:sz w:val="24"/>
        </w:rPr>
      </w:pPr>
      <w:r w:rsidRPr="00F551FF">
        <w:rPr>
          <w:sz w:val="24"/>
        </w:rPr>
        <w:object w:dxaOrig="4635" w:dyaOrig="3539" w14:anchorId="2F40F4ED">
          <v:shape id="_x0000_i1032" type="#_x0000_t75" style="width:276pt;height:188.25pt" o:ole="">
            <v:imagedata r:id="rId29" o:title=""/>
          </v:shape>
          <o:OLEObject Type="Embed" ProgID="Origin95.Graph" ShapeID="_x0000_i1032" DrawAspect="Content" ObjectID="_1808905086" r:id="rId30"/>
        </w:object>
      </w:r>
    </w:p>
    <w:p w14:paraId="71FEBC3F" w14:textId="77777777" w:rsidR="001764DE" w:rsidRPr="00EB1704" w:rsidRDefault="001764DE" w:rsidP="001764DE">
      <w:pPr>
        <w:spacing w:line="480" w:lineRule="auto"/>
        <w:ind w:left="0" w:firstLine="0"/>
        <w:rPr>
          <w:color w:val="000000" w:themeColor="text1"/>
          <w:sz w:val="24"/>
        </w:rPr>
      </w:pPr>
      <w:r w:rsidRPr="00EB1704">
        <w:rPr>
          <w:color w:val="4472C4" w:themeColor="accent1"/>
          <w:sz w:val="24"/>
        </w:rPr>
        <w:t>Figure 4</w:t>
      </w:r>
      <w:r w:rsidRPr="00EB1704">
        <w:rPr>
          <w:color w:val="000000" w:themeColor="text1"/>
          <w:sz w:val="24"/>
        </w:rPr>
        <w:t xml:space="preserve">: Absorbance change spectra of EBBR dye as a function of (a) CTAB (b) CAPB (c) TX-100 concentration. </w:t>
      </w:r>
    </w:p>
    <w:p w14:paraId="5488C003" w14:textId="6261C615" w:rsidR="001764DE" w:rsidRPr="00EB1704" w:rsidRDefault="001764DE" w:rsidP="001764DE">
      <w:pPr>
        <w:spacing w:line="480" w:lineRule="auto"/>
        <w:ind w:left="0" w:firstLine="0"/>
        <w:rPr>
          <w:sz w:val="24"/>
        </w:rPr>
      </w:pPr>
      <w:r w:rsidRPr="00EB1704">
        <w:rPr>
          <w:color w:val="000000" w:themeColor="text1"/>
          <w:sz w:val="24"/>
        </w:rPr>
        <w:lastRenderedPageBreak/>
        <w:t>Individual surfactant systems’ differential absorbance spectra were employed in studying the binding and partitioning behavior of interactions between surfactant micelles and EBBR</w:t>
      </w:r>
      <w:r w:rsidRPr="00EB1704">
        <w:rPr>
          <w:sz w:val="24"/>
        </w:rPr>
        <w:t>. </w:t>
      </w:r>
      <w:proofErr w:type="spellStart"/>
      <w:r w:rsidRPr="00EB1704">
        <w:rPr>
          <w:sz w:val="24"/>
        </w:rPr>
        <w:t>Benesi</w:t>
      </w:r>
      <w:proofErr w:type="spellEnd"/>
      <w:r w:rsidRPr="00EB1704">
        <w:rPr>
          <w:sz w:val="24"/>
        </w:rPr>
        <w:t xml:space="preserve">-Hildebrand equation (Eq. 5) was applied to measure dye/surfactant binding interaction in terms of the binding constant </w:t>
      </w:r>
      <m:oMath>
        <m:sSub>
          <m:sSubPr>
            <m:ctrlPr>
              <w:rPr>
                <w:rFonts w:ascii="Cambria Math" w:hAnsi="Cambria Math"/>
                <w:i/>
                <w:sz w:val="24"/>
                <w:vertAlign w:val="subscript"/>
              </w:rPr>
            </m:ctrlPr>
          </m:sSubPr>
          <m:e>
            <m:r>
              <w:rPr>
                <w:rFonts w:ascii="Cambria Math" w:hAnsi="Cambria Math"/>
                <w:sz w:val="24"/>
                <w:vertAlign w:val="subscript"/>
              </w:rPr>
              <m:t>K</m:t>
            </m:r>
          </m:e>
          <m:sub>
            <m:r>
              <w:rPr>
                <w:rFonts w:ascii="Cambria Math" w:hAnsi="Cambria Math"/>
                <w:sz w:val="24"/>
                <w:vertAlign w:val="subscript"/>
              </w:rPr>
              <m:t>b</m:t>
            </m:r>
          </m:sub>
        </m:sSub>
      </m:oMath>
      <w:r w:rsidRPr="00EB1704">
        <w:rPr>
          <w:sz w:val="24"/>
        </w:rPr>
        <w:t>. Differential spectra for varying concentrations of the micelles are depicted in Fig. 4. To determine the linearity of the data, a plot of</w:t>
      </w:r>
      <w:r w:rsidRPr="00EB1704">
        <w:rPr>
          <w:color w:val="000000" w:themeColor="text1"/>
          <w:sz w:val="24"/>
        </w:rPr>
        <w:t xml:space="preserve"> </w:t>
      </w:r>
      <m:oMath>
        <m:f>
          <m:fPr>
            <m:ctrlPr>
              <w:rPr>
                <w:rFonts w:ascii="Cambria Math" w:hAnsi="Cambria Math"/>
                <w:i/>
                <w:sz w:val="24"/>
              </w:rPr>
            </m:ctrlPr>
          </m:fPr>
          <m:num>
            <m:r>
              <w:rPr>
                <w:rFonts w:ascii="Cambria Math" w:hAnsi="Cambria Math"/>
                <w:sz w:val="24"/>
              </w:rPr>
              <m:t>dCd</m:t>
            </m:r>
          </m:num>
          <m:den>
            <m:r>
              <w:rPr>
                <w:rFonts w:ascii="Cambria Math" w:hAnsi="Cambria Math"/>
                <w:sz w:val="24"/>
              </w:rPr>
              <m:t>∆A</m:t>
            </m:r>
          </m:den>
        </m:f>
        <m:r>
          <w:rPr>
            <w:rFonts w:ascii="Cambria Math" w:hAnsi="Cambria Math"/>
            <w:color w:val="000000" w:themeColor="text1"/>
            <w:sz w:val="24"/>
          </w:rPr>
          <m:t xml:space="preserve"> and </m:t>
        </m:r>
        <m:f>
          <m:fPr>
            <m:ctrlPr>
              <w:rPr>
                <w:rFonts w:ascii="Cambria Math" w:hAnsi="Cambria Math"/>
                <w:i/>
                <w:sz w:val="24"/>
              </w:rPr>
            </m:ctrlPr>
          </m:fPr>
          <m:num>
            <m:r>
              <w:rPr>
                <w:rFonts w:ascii="Cambria Math" w:hAnsi="Cambria Math"/>
                <w:sz w:val="24"/>
              </w:rPr>
              <m:t>1</m:t>
            </m:r>
          </m:num>
          <m:den>
            <m:r>
              <w:rPr>
                <w:rFonts w:ascii="Cambria Math" w:hAnsi="Cambria Math"/>
                <w:sz w:val="24"/>
              </w:rPr>
              <m:t>(Cₛ-CMCₒ)</m:t>
            </m:r>
          </m:den>
        </m:f>
      </m:oMath>
      <w:r w:rsidRPr="00EB1704">
        <w:rPr>
          <w:color w:val="000000" w:themeColor="text1"/>
          <w:sz w:val="24"/>
        </w:rPr>
        <w:t>was prepared. The binding constants were determined from the above analysis</w:t>
      </w:r>
      <w:r w:rsidRPr="00EB1704">
        <w:rPr>
          <w:sz w:val="24"/>
        </w:rPr>
        <w:t xml:space="preserve">, which were then used to estimate the Gibbs free energy of binding </w:t>
      </w:r>
      <m:oMath>
        <m:r>
          <w:rPr>
            <w:rFonts w:ascii="Cambria Math" w:hAnsi="Cambria Math"/>
            <w:sz w:val="24"/>
          </w:rPr>
          <m:t>(Δ</m:t>
        </m:r>
        <m:sSub>
          <m:sSubPr>
            <m:ctrlPr>
              <w:rPr>
                <w:rFonts w:ascii="Cambria Math" w:hAnsi="Cambria Math"/>
                <w:i/>
                <w:sz w:val="24"/>
                <w:vertAlign w:val="subscript"/>
              </w:rPr>
            </m:ctrlPr>
          </m:sSubPr>
          <m:e>
            <m:r>
              <w:rPr>
                <w:rFonts w:ascii="Cambria Math" w:hAnsi="Cambria Math"/>
                <w:sz w:val="24"/>
                <w:vertAlign w:val="subscript"/>
              </w:rPr>
              <m:t>G</m:t>
            </m:r>
          </m:e>
          <m:sub>
            <m:r>
              <w:rPr>
                <w:rFonts w:ascii="Cambria Math" w:hAnsi="Cambria Math"/>
                <w:sz w:val="24"/>
                <w:vertAlign w:val="subscript"/>
              </w:rPr>
              <m:t>b</m:t>
            </m:r>
          </m:sub>
        </m:sSub>
        <m:r>
          <w:rPr>
            <w:rFonts w:ascii="Cambria Math" w:hAnsi="Cambria Math"/>
            <w:sz w:val="24"/>
          </w:rPr>
          <m:t xml:space="preserve">). </m:t>
        </m:r>
      </m:oMath>
    </w:p>
    <w:p w14:paraId="770DA199" w14:textId="1C3D6F67" w:rsidR="00F551FF" w:rsidRDefault="0062595D" w:rsidP="0062595D">
      <w:pPr>
        <w:spacing w:line="480" w:lineRule="auto"/>
        <w:ind w:left="0" w:firstLine="0"/>
        <w:jc w:val="left"/>
        <w:rPr>
          <w:color w:val="000000" w:themeColor="text1"/>
          <w:sz w:val="24"/>
        </w:rPr>
      </w:pPr>
      <w:r w:rsidRPr="0062595D">
        <w:rPr>
          <w:sz w:val="24"/>
        </w:rPr>
        <w:object w:dxaOrig="4635" w:dyaOrig="3539" w14:anchorId="19C3070A">
          <v:shape id="_x0000_i1033" type="#_x0000_t75" style="width:252pt;height:195pt" o:ole="">
            <v:imagedata r:id="rId31" o:title=""/>
          </v:shape>
          <o:OLEObject Type="Embed" ProgID="Origin95.Graph" ShapeID="_x0000_i1033" DrawAspect="Content" ObjectID="_1808905087" r:id="rId32"/>
        </w:object>
      </w:r>
      <w:r w:rsidRPr="00F551FF">
        <w:rPr>
          <w:sz w:val="24"/>
        </w:rPr>
        <w:object w:dxaOrig="4635" w:dyaOrig="3539" w14:anchorId="4D5727CE">
          <v:shape id="_x0000_i1034" type="#_x0000_t75" style="width:249pt;height:198pt" o:ole="">
            <v:imagedata r:id="rId33" o:title=""/>
          </v:shape>
          <o:OLEObject Type="Embed" ProgID="Origin95.Graph" ShapeID="_x0000_i1034" DrawAspect="Content" ObjectID="_1808905088" r:id="rId34"/>
        </w:object>
      </w:r>
    </w:p>
    <w:p w14:paraId="74B455AA" w14:textId="0AF5201D" w:rsidR="00F551FF" w:rsidRDefault="0062595D" w:rsidP="00F551FF">
      <w:pPr>
        <w:spacing w:line="480" w:lineRule="auto"/>
        <w:ind w:left="0"/>
        <w:jc w:val="center"/>
        <w:rPr>
          <w:color w:val="000000" w:themeColor="text1"/>
          <w:sz w:val="24"/>
        </w:rPr>
      </w:pPr>
      <w:r w:rsidRPr="00F551FF">
        <w:rPr>
          <w:sz w:val="24"/>
        </w:rPr>
        <w:object w:dxaOrig="4635" w:dyaOrig="3539" w14:anchorId="2183F58D">
          <v:shape id="_x0000_i1035" type="#_x0000_t75" style="width:274.5pt;height:204.75pt" o:ole="">
            <v:imagedata r:id="rId35" o:title=""/>
          </v:shape>
          <o:OLEObject Type="Embed" ProgID="Origin95.Graph" ShapeID="_x0000_i1035" DrawAspect="Content" ObjectID="_1808905089" r:id="rId36"/>
        </w:object>
      </w:r>
    </w:p>
    <w:p w14:paraId="7CB3E068" w14:textId="485015C6" w:rsidR="001764DE" w:rsidRPr="00EB1704" w:rsidRDefault="001764DE" w:rsidP="00F551FF">
      <w:pPr>
        <w:spacing w:line="480" w:lineRule="auto"/>
        <w:ind w:left="0" w:firstLine="0"/>
        <w:rPr>
          <w:color w:val="000000" w:themeColor="text1"/>
          <w:sz w:val="24"/>
        </w:rPr>
      </w:pPr>
      <w:r w:rsidRPr="00EB1704">
        <w:rPr>
          <w:color w:val="4472C4" w:themeColor="accent1"/>
          <w:sz w:val="24"/>
        </w:rPr>
        <w:t xml:space="preserve">Figure 5: </w:t>
      </w:r>
      <w:r w:rsidRPr="00EB1704">
        <w:rPr>
          <w:color w:val="000000" w:themeColor="text1"/>
          <w:sz w:val="24"/>
        </w:rPr>
        <w:t xml:space="preserve">Graphical representation of Binding constant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b</m:t>
            </m:r>
          </m:sub>
        </m:sSub>
        <m:r>
          <w:rPr>
            <w:rFonts w:ascii="Cambria Math" w:hAnsi="Cambria Math"/>
            <w:color w:val="000000" w:themeColor="text1"/>
            <w:sz w:val="24"/>
          </w:rPr>
          <m:t>)</m:t>
        </m:r>
      </m:oMath>
      <w:r w:rsidRPr="00EB1704">
        <w:rPr>
          <w:color w:val="000000" w:themeColor="text1"/>
          <w:sz w:val="24"/>
        </w:rPr>
        <w:t xml:space="preserve"> of dye in (a) CTAB (b) CAPB (c) TX-100 micellar media.</w:t>
      </w:r>
    </w:p>
    <w:p w14:paraId="07845F5A" w14:textId="7202C186" w:rsidR="001764DE" w:rsidRPr="00EB1704" w:rsidRDefault="001764DE" w:rsidP="0062595D">
      <w:pPr>
        <w:spacing w:line="480" w:lineRule="auto"/>
        <w:ind w:left="0"/>
        <w:rPr>
          <w:color w:val="000000" w:themeColor="text1"/>
          <w:sz w:val="24"/>
        </w:rPr>
      </w:pPr>
      <w:r w:rsidRPr="00EB1704">
        <w:rPr>
          <w:color w:val="000000" w:themeColor="text1"/>
          <w:sz w:val="24"/>
        </w:rPr>
        <w:lastRenderedPageBreak/>
        <w:t xml:space="preserve">The distribution of the dye between the micellar and aqueous phases was determined using the partition law, following the Kawamura model (Eq. 1), in terms of the partition coefficient </w:t>
      </w:r>
      <m:oMath>
        <m:r>
          <w:rPr>
            <w:rFonts w:ascii="Cambria Math" w:hAnsi="Cambria Math"/>
            <w:color w:val="000000" w:themeColor="text1"/>
            <w:sz w:val="24"/>
          </w:rPr>
          <m:t>(</m:t>
        </m:r>
        <m:sSub>
          <m:sSubPr>
            <m:ctrlPr>
              <w:rPr>
                <w:rFonts w:ascii="Cambria Math" w:hAnsi="Cambria Math"/>
                <w:i/>
                <w:color w:val="000000" w:themeColor="text1"/>
                <w:sz w:val="24"/>
                <w:vertAlign w:val="subscript"/>
              </w:rPr>
            </m:ctrlPr>
          </m:sSubPr>
          <m:e>
            <m:r>
              <w:rPr>
                <w:rFonts w:ascii="Cambria Math" w:hAnsi="Cambria Math"/>
                <w:color w:val="000000" w:themeColor="text1"/>
                <w:sz w:val="24"/>
                <w:vertAlign w:val="subscript"/>
              </w:rPr>
              <m:t>K</m:t>
            </m:r>
          </m:e>
          <m:sub>
            <m:r>
              <w:rPr>
                <w:rFonts w:ascii="Cambria Math" w:hAnsi="Cambria Math"/>
                <w:color w:val="000000" w:themeColor="text1"/>
                <w:sz w:val="24"/>
                <w:vertAlign w:val="subscript"/>
              </w:rPr>
              <m:t>c</m:t>
            </m:r>
          </m:sub>
        </m:sSub>
        <m:r>
          <w:rPr>
            <w:rFonts w:ascii="Cambria Math" w:hAnsi="Cambria Math"/>
            <w:color w:val="000000" w:themeColor="text1"/>
            <w:sz w:val="24"/>
          </w:rPr>
          <m:t>).</m:t>
        </m:r>
      </m:oMath>
      <w:r w:rsidRPr="00EB1704">
        <w:rPr>
          <w:color w:val="000000" w:themeColor="text1"/>
          <w:sz w:val="24"/>
        </w:rPr>
        <w:t xml:space="preserve"> A plot of </w:t>
      </w:r>
      <w:r w:rsidRPr="00EB1704">
        <w:rPr>
          <w:i/>
          <w:sz w:val="24"/>
        </w:rPr>
        <w:br/>
      </w:r>
      <m:oMath>
        <m:f>
          <m:fPr>
            <m:ctrlPr>
              <w:rPr>
                <w:rFonts w:ascii="Cambria Math" w:hAnsi="Cambria Math"/>
                <w:i/>
                <w:sz w:val="24"/>
              </w:rPr>
            </m:ctrlPr>
          </m:fPr>
          <m:num>
            <m:r>
              <w:rPr>
                <w:rFonts w:ascii="Cambria Math" w:hAnsi="Cambria Math"/>
                <w:sz w:val="24"/>
              </w:rPr>
              <m:t>1</m:t>
            </m:r>
          </m:num>
          <m:den>
            <m:r>
              <w:rPr>
                <w:rFonts w:ascii="Cambria Math" w:hAnsi="Cambria Math"/>
                <w:sz w:val="24"/>
              </w:rPr>
              <m:t>ΔA</m:t>
            </m:r>
          </m:den>
        </m:f>
        <m:r>
          <w:rPr>
            <w:rFonts w:ascii="Cambria Math" w:hAnsi="Cambria Math"/>
            <w:sz w:val="24"/>
          </w:rPr>
          <m:t xml:space="preserve"> and </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[Cd+</m:t>
            </m:r>
            <m:d>
              <m:dPr>
                <m:ctrlPr>
                  <w:rPr>
                    <w:rFonts w:ascii="Cambria Math" w:eastAsiaTheme="minorEastAsia" w:hAnsi="Cambria Math"/>
                    <w:i/>
                    <w:sz w:val="24"/>
                  </w:rPr>
                </m:ctrlPr>
              </m:dPr>
              <m:e>
                <m:r>
                  <w:rPr>
                    <w:rFonts w:ascii="Cambria Math" w:eastAsiaTheme="minorEastAsia" w:hAnsi="Cambria Math"/>
                    <w:sz w:val="24"/>
                  </w:rPr>
                  <m:t>Cₛ-CMCₒ</m:t>
                </m:r>
              </m:e>
            </m:d>
            <m:r>
              <w:rPr>
                <w:rFonts w:ascii="Cambria Math" w:eastAsiaTheme="minorEastAsia" w:hAnsi="Cambria Math"/>
                <w:sz w:val="24"/>
              </w:rPr>
              <m:t>]</m:t>
            </m:r>
          </m:den>
        </m:f>
      </m:oMath>
      <w:r w:rsidRPr="00EB1704">
        <w:rPr>
          <w:color w:val="000000" w:themeColor="text1"/>
          <w:sz w:val="24"/>
        </w:rPr>
        <w:t xml:space="preserve">was constructed (Fig. 6), and the slope and intercept of the plot were employed to calculate </w:t>
      </w:r>
      <m:oMath>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C</m:t>
            </m:r>
          </m:sub>
        </m:sSub>
      </m:oMath>
      <w:r w:rsidRPr="00EB1704">
        <w:rPr>
          <w:color w:val="000000" w:themeColor="text1"/>
          <w:sz w:val="24"/>
        </w:rPr>
        <w:t>. Subsequently, the distribution coefficient</w:t>
      </w:r>
      <m:oMath>
        <m:sSub>
          <m:sSubPr>
            <m:ctrlPr>
              <w:rPr>
                <w:rFonts w:ascii="Cambria Math" w:hAnsi="Cambria Math"/>
                <w:i/>
                <w:color w:val="000000" w:themeColor="text1"/>
                <w:sz w:val="24"/>
              </w:rPr>
            </m:ctrlPr>
          </m:sSubPr>
          <m:e>
            <m:r>
              <w:rPr>
                <w:rFonts w:ascii="Cambria Math" w:hAnsi="Cambria Math"/>
                <w:color w:val="000000" w:themeColor="text1"/>
                <w:sz w:val="24"/>
              </w:rPr>
              <m:t xml:space="preserve"> K</m:t>
            </m:r>
          </m:e>
          <m:sub>
            <m:r>
              <w:rPr>
                <w:rFonts w:ascii="Cambria Math" w:hAnsi="Cambria Math"/>
                <w:color w:val="000000" w:themeColor="text1"/>
                <w:sz w:val="24"/>
              </w:rPr>
              <m:t>X</m:t>
            </m:r>
          </m:sub>
        </m:sSub>
      </m:oMath>
      <w:r w:rsidRPr="00EB1704">
        <w:rPr>
          <w:color w:val="000000" w:themeColor="text1"/>
          <w:sz w:val="24"/>
        </w:rPr>
        <w:t xml:space="preserve">was calculated from Eq. (3), and the Gibbs free energy of partitioning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r>
          <w:rPr>
            <w:rFonts w:ascii="Cambria Math" w:hAnsi="Cambria Math"/>
            <w:color w:val="000000" w:themeColor="text1"/>
            <w:sz w:val="24"/>
          </w:rPr>
          <m:t>)</m:t>
        </m:r>
      </m:oMath>
      <w:r w:rsidRPr="00EB1704">
        <w:rPr>
          <w:color w:val="000000" w:themeColor="text1"/>
          <w:sz w:val="24"/>
        </w:rPr>
        <w:t xml:space="preserve"> was calculated from Eq. (4). Values of the binding constant </w:t>
      </w:r>
      <m:oMath>
        <m:r>
          <w:rPr>
            <w:rFonts w:ascii="Cambria Math" w:hAnsi="Cambria Math"/>
            <w:color w:val="000000" w:themeColor="text1"/>
            <w:sz w:val="24"/>
          </w:rPr>
          <m:t>(</m:t>
        </m:r>
        <m:sSub>
          <m:sSubPr>
            <m:ctrlPr>
              <w:rPr>
                <w:rFonts w:ascii="Cambria Math" w:hAnsi="Cambria Math"/>
                <w:i/>
                <w:color w:val="000000" w:themeColor="text1"/>
                <w:sz w:val="24"/>
                <w:vertAlign w:val="subscript"/>
              </w:rPr>
            </m:ctrlPr>
          </m:sSubPr>
          <m:e>
            <m:r>
              <w:rPr>
                <w:rFonts w:ascii="Cambria Math" w:hAnsi="Cambria Math"/>
                <w:color w:val="000000" w:themeColor="text1"/>
                <w:sz w:val="24"/>
                <w:vertAlign w:val="subscript"/>
              </w:rPr>
              <m:t>K</m:t>
            </m:r>
          </m:e>
          <m:sub>
            <m:r>
              <w:rPr>
                <w:rFonts w:ascii="Cambria Math" w:hAnsi="Cambria Math"/>
                <w:color w:val="000000" w:themeColor="text1"/>
                <w:sz w:val="24"/>
                <w:vertAlign w:val="subscript"/>
              </w:rPr>
              <m:t>b</m:t>
            </m:r>
          </m:sub>
        </m:sSub>
        <m:r>
          <w:rPr>
            <w:rFonts w:ascii="Cambria Math" w:hAnsi="Cambria Math"/>
            <w:color w:val="000000" w:themeColor="text1"/>
            <w:sz w:val="24"/>
          </w:rPr>
          <m:t>)</m:t>
        </m:r>
      </m:oMath>
      <w:r w:rsidRPr="00EB1704">
        <w:rPr>
          <w:color w:val="000000" w:themeColor="text1"/>
          <w:sz w:val="24"/>
        </w:rPr>
        <w:t xml:space="preserve"> and distribution coefficient </w:t>
      </w:r>
      <m:oMath>
        <m:sSub>
          <m:sSubPr>
            <m:ctrlPr>
              <w:rPr>
                <w:rFonts w:ascii="Cambria Math" w:hAnsi="Cambria Math"/>
                <w:i/>
                <w:color w:val="000000" w:themeColor="text1"/>
                <w:sz w:val="24"/>
                <w:vertAlign w:val="subscript"/>
              </w:rPr>
            </m:ctrlPr>
          </m:sSubPr>
          <m:e>
            <m:r>
              <w:rPr>
                <w:rFonts w:ascii="Cambria Math" w:hAnsi="Cambria Math"/>
                <w:color w:val="000000" w:themeColor="text1"/>
                <w:sz w:val="24"/>
                <w:vertAlign w:val="subscript"/>
              </w:rPr>
              <m:t>K</m:t>
            </m:r>
          </m:e>
          <m:sub>
            <m:r>
              <w:rPr>
                <w:rFonts w:ascii="Cambria Math" w:hAnsi="Cambria Math"/>
                <w:color w:val="000000" w:themeColor="text1"/>
                <w:sz w:val="24"/>
                <w:vertAlign w:val="subscript"/>
              </w:rPr>
              <m:t>X</m:t>
            </m:r>
          </m:sub>
        </m:sSub>
      </m:oMath>
      <w:r w:rsidRPr="00EB1704">
        <w:rPr>
          <w:color w:val="000000" w:themeColor="text1"/>
          <w:sz w:val="24"/>
        </w:rPr>
        <w:t xml:space="preserve">for the EBBR-Surfactant systems are listed in </w:t>
      </w:r>
      <w:r w:rsidRPr="00EB1704">
        <w:rPr>
          <w:b/>
          <w:bCs/>
          <w:color w:val="000000" w:themeColor="text1"/>
          <w:sz w:val="24"/>
        </w:rPr>
        <w:t>Table 1</w:t>
      </w:r>
      <w:r w:rsidRPr="00EB1704">
        <w:rPr>
          <w:color w:val="000000" w:themeColor="text1"/>
          <w:sz w:val="24"/>
        </w:rPr>
        <w:t>.</w:t>
      </w:r>
      <w:r w:rsidRPr="00EB1704">
        <w:rPr>
          <w:sz w:val="24"/>
        </w:rPr>
        <w:t xml:space="preserve"> Whereas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EB1704">
        <w:rPr>
          <w:sz w:val="24"/>
        </w:rPr>
        <w:t xml:space="preserve"> indicates the strength of binding of dyes to micelles, the partition coefficient </w:t>
      </w:r>
      <m:oMath>
        <m:r>
          <w:rPr>
            <w:rFonts w:ascii="Cambria Math" w:hAnsi="Cambria Math"/>
            <w:sz w:val="24"/>
          </w:rPr>
          <m:t>(Kₓ)</m:t>
        </m:r>
      </m:oMath>
      <w:r w:rsidRPr="00EB1704">
        <w:rPr>
          <w:sz w:val="24"/>
        </w:rPr>
        <w:t xml:space="preserve"> quantifies the relative distribution of the dye between the aqueous phase and the micellar phase [</w:t>
      </w:r>
      <w:r w:rsidR="00636D65" w:rsidRPr="00EB1704">
        <w:rPr>
          <w:sz w:val="24"/>
        </w:rPr>
        <w:t>3</w:t>
      </w:r>
      <w:r w:rsidR="00042ED8" w:rsidRPr="00EB1704">
        <w:rPr>
          <w:sz w:val="24"/>
        </w:rPr>
        <w:t>1</w:t>
      </w:r>
      <w:r w:rsidRPr="00EB1704">
        <w:rPr>
          <w:sz w:val="24"/>
        </w:rPr>
        <w:t>]</w:t>
      </w:r>
      <w:r w:rsidRPr="00EB1704">
        <w:rPr>
          <w:color w:val="000000" w:themeColor="text1"/>
          <w:sz w:val="24"/>
        </w:rPr>
        <w:t>.</w:t>
      </w:r>
      <w:r w:rsidRPr="00EB1704">
        <w:rPr>
          <w:sz w:val="24"/>
        </w:rPr>
        <w:t xml:space="preserve"> </w:t>
      </w:r>
      <w:r w:rsidRPr="00EB1704">
        <w:rPr>
          <w:color w:val="000000" w:themeColor="text1"/>
          <w:sz w:val="24"/>
        </w:rPr>
        <w:t>Elevated</w:t>
      </w:r>
      <m:oMath>
        <m:r>
          <w:rPr>
            <w:rFonts w:ascii="Cambria Math" w:hAnsi="Cambria Math"/>
            <w:color w:val="000000" w:themeColor="text1"/>
            <w:sz w:val="24"/>
          </w:rPr>
          <m:t xml:space="preserve"> </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b</m:t>
            </m:r>
          </m:sub>
        </m:sSub>
      </m:oMath>
      <w:r w:rsidRPr="00EB1704">
        <w:rPr>
          <w:color w:val="000000" w:themeColor="text1"/>
          <w:sz w:val="24"/>
        </w:rPr>
        <w:t xml:space="preserve"> and</w:t>
      </w:r>
      <m:oMath>
        <m:r>
          <w:rPr>
            <w:rFonts w:ascii="Cambria Math" w:hAnsi="Cambria Math"/>
            <w:color w:val="000000" w:themeColor="text1"/>
            <w:sz w:val="24"/>
          </w:rPr>
          <m:t xml:space="preserve"> </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X</m:t>
            </m:r>
          </m:sub>
        </m:sSub>
      </m:oMath>
      <w:r w:rsidRPr="00EB1704">
        <w:rPr>
          <w:color w:val="000000" w:themeColor="text1"/>
          <w:sz w:val="24"/>
        </w:rPr>
        <w:t xml:space="preserve"> values point to strong dye-micelle interactions and efficient solubilization. The observed negative free energy changes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b</m:t>
            </m:r>
          </m:sub>
        </m:sSub>
      </m:oMath>
      <w:r w:rsidRPr="00EB1704">
        <w:rPr>
          <w:color w:val="000000" w:themeColor="text1"/>
          <w:sz w:val="24"/>
        </w:rPr>
        <w:t xml:space="preserve"> and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oMath>
      <w:r w:rsidRPr="00EB1704">
        <w:rPr>
          <w:color w:val="000000" w:themeColor="text1"/>
          <w:sz w:val="24"/>
        </w:rPr>
        <w:t>) reflect the thermodynamically favorable and spontaneous interaction of the dye with the micellar systems [3</w:t>
      </w:r>
      <w:r w:rsidR="00042ED8" w:rsidRPr="00EB1704">
        <w:rPr>
          <w:color w:val="000000" w:themeColor="text1"/>
          <w:sz w:val="24"/>
        </w:rPr>
        <w:t>2</w:t>
      </w:r>
      <w:r w:rsidRPr="00EB1704">
        <w:rPr>
          <w:color w:val="000000" w:themeColor="text1"/>
          <w:sz w:val="24"/>
        </w:rPr>
        <w:t xml:space="preserve">]. </w:t>
      </w:r>
      <w:r w:rsidRPr="00EB1704">
        <w:rPr>
          <w:color w:val="4472C4" w:themeColor="accent1"/>
          <w:sz w:val="24"/>
        </w:rPr>
        <w:t>Figures 5 and 6 </w:t>
      </w:r>
      <w:r w:rsidRPr="00EB1704">
        <w:rPr>
          <w:color w:val="000000" w:themeColor="text1"/>
          <w:sz w:val="24"/>
        </w:rPr>
        <w:t xml:space="preserve">illustrate the plots used in calculating the partition constant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c</m:t>
            </m:r>
          </m:sub>
        </m:sSub>
        <m:r>
          <w:rPr>
            <w:rFonts w:ascii="Cambria Math" w:hAnsi="Cambria Math"/>
            <w:color w:val="000000" w:themeColor="text1"/>
            <w:sz w:val="24"/>
          </w:rPr>
          <m:t>),</m:t>
        </m:r>
      </m:oMath>
      <w:r w:rsidRPr="00EB1704">
        <w:rPr>
          <w:color w:val="000000" w:themeColor="text1"/>
          <w:sz w:val="24"/>
        </w:rPr>
        <w:t xml:space="preserve"> binding constant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b</m:t>
            </m:r>
          </m:sub>
        </m:sSub>
        <m:r>
          <w:rPr>
            <w:rFonts w:ascii="Cambria Math" w:hAnsi="Cambria Math"/>
            <w:color w:val="000000" w:themeColor="text1"/>
            <w:sz w:val="24"/>
          </w:rPr>
          <m:t>)</m:t>
        </m:r>
      </m:oMath>
      <w:r w:rsidRPr="00EB1704">
        <w:rPr>
          <w:color w:val="000000" w:themeColor="text1"/>
          <w:sz w:val="24"/>
        </w:rPr>
        <w:t xml:space="preserve">, partition coefficient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X</m:t>
            </m:r>
          </m:sub>
        </m:sSub>
        <m:r>
          <w:rPr>
            <w:rFonts w:ascii="Cambria Math" w:hAnsi="Cambria Math"/>
            <w:color w:val="000000" w:themeColor="text1"/>
            <w:sz w:val="24"/>
          </w:rPr>
          <m:t>),</m:t>
        </m:r>
      </m:oMath>
      <w:r w:rsidRPr="00EB1704">
        <w:rPr>
          <w:color w:val="000000" w:themeColor="text1"/>
          <w:sz w:val="24"/>
        </w:rPr>
        <w:t xml:space="preserve"> Gibbs free energy of binding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b</m:t>
            </m:r>
          </m:sub>
        </m:sSub>
        <m:r>
          <w:rPr>
            <w:rFonts w:ascii="Cambria Math" w:hAnsi="Cambria Math"/>
            <w:color w:val="000000" w:themeColor="text1"/>
            <w:sz w:val="24"/>
          </w:rPr>
          <m:t>)</m:t>
        </m:r>
      </m:oMath>
      <w:r w:rsidRPr="00EB1704">
        <w:rPr>
          <w:color w:val="000000" w:themeColor="text1"/>
          <w:sz w:val="24"/>
        </w:rPr>
        <w:t xml:space="preserve">, and Gibbs free energy of partitioning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r>
          <w:rPr>
            <w:rFonts w:ascii="Cambria Math" w:hAnsi="Cambria Math"/>
            <w:color w:val="000000" w:themeColor="text1"/>
            <w:sz w:val="24"/>
          </w:rPr>
          <m:t>)</m:t>
        </m:r>
      </m:oMath>
      <w:r w:rsidRPr="00EB1704">
        <w:rPr>
          <w:color w:val="000000" w:themeColor="text1"/>
          <w:sz w:val="24"/>
        </w:rPr>
        <w:t xml:space="preserve"> for the EBBR/CTAB, EBBR/CAPB, and EBBR/TX-100 systems, and the corresponding values are presented in Table 1.</w:t>
      </w:r>
    </w:p>
    <w:p w14:paraId="7C4AA741" w14:textId="264E1257" w:rsidR="001764DE" w:rsidRPr="00EB1704" w:rsidRDefault="0062595D" w:rsidP="0062595D">
      <w:pPr>
        <w:spacing w:line="480" w:lineRule="auto"/>
        <w:ind w:left="0"/>
        <w:jc w:val="left"/>
        <w:rPr>
          <w:color w:val="000000" w:themeColor="text1"/>
          <w:sz w:val="24"/>
        </w:rPr>
      </w:pPr>
      <w:r w:rsidRPr="00AB1E2B">
        <w:rPr>
          <w:sz w:val="24"/>
        </w:rPr>
        <w:object w:dxaOrig="4635" w:dyaOrig="3539" w14:anchorId="5BC29881">
          <v:shape id="_x0000_i1036" type="#_x0000_t75" style="width:246pt;height:222pt" o:ole="">
            <v:imagedata r:id="rId37" o:title=""/>
          </v:shape>
          <o:OLEObject Type="Embed" ProgID="Origin95.Graph" ShapeID="_x0000_i1036" DrawAspect="Content" ObjectID="_1808905090" r:id="rId38"/>
        </w:object>
      </w:r>
      <w:r w:rsidRPr="00AB1E2B">
        <w:rPr>
          <w:sz w:val="24"/>
        </w:rPr>
        <w:object w:dxaOrig="4635" w:dyaOrig="3539" w14:anchorId="62738ACB">
          <v:shape id="_x0000_i1037" type="#_x0000_t75" style="width:249.75pt;height:224.25pt" o:ole="">
            <v:imagedata r:id="rId39" o:title=""/>
          </v:shape>
          <o:OLEObject Type="Embed" ProgID="Origin95.Graph" ShapeID="_x0000_i1037" DrawAspect="Content" ObjectID="_1808905091" r:id="rId40"/>
        </w:object>
      </w:r>
    </w:p>
    <w:p w14:paraId="6BC86E62" w14:textId="3BDCC797" w:rsidR="0062595D" w:rsidRDefault="00AB1E2B" w:rsidP="00AB1E2B">
      <w:pPr>
        <w:spacing w:line="480" w:lineRule="auto"/>
        <w:ind w:left="0"/>
        <w:jc w:val="center"/>
        <w:rPr>
          <w:color w:val="4472C4" w:themeColor="accent1"/>
          <w:sz w:val="24"/>
        </w:rPr>
      </w:pPr>
      <w:r w:rsidRPr="00AB1E2B">
        <w:rPr>
          <w:sz w:val="24"/>
        </w:rPr>
        <w:object w:dxaOrig="4635" w:dyaOrig="3539" w14:anchorId="43D729E9">
          <v:shape id="_x0000_i1038" type="#_x0000_t75" style="width:309pt;height:270pt" o:ole="">
            <v:imagedata r:id="rId41" o:title=""/>
          </v:shape>
          <o:OLEObject Type="Embed" ProgID="Origin95.Graph" ShapeID="_x0000_i1038" DrawAspect="Content" ObjectID="_1808905092" r:id="rId42"/>
        </w:object>
      </w:r>
    </w:p>
    <w:p w14:paraId="56FF6538" w14:textId="17A84201" w:rsidR="001764DE" w:rsidRPr="00EB1704" w:rsidRDefault="001764DE" w:rsidP="001764DE">
      <w:pPr>
        <w:spacing w:line="480" w:lineRule="auto"/>
        <w:ind w:left="0"/>
        <w:rPr>
          <w:color w:val="auto"/>
          <w:sz w:val="24"/>
        </w:rPr>
      </w:pPr>
      <w:r w:rsidRPr="00EB1704">
        <w:rPr>
          <w:color w:val="4472C4" w:themeColor="accent1"/>
          <w:sz w:val="24"/>
        </w:rPr>
        <w:t>Figure 6</w:t>
      </w:r>
      <w:r w:rsidRPr="00EB1704">
        <w:rPr>
          <w:color w:val="auto"/>
          <w:sz w:val="24"/>
        </w:rPr>
        <w:t xml:space="preserve">: Variation in the partition constant </w:t>
      </w:r>
      <m:oMath>
        <m:r>
          <w:rPr>
            <w:rFonts w:ascii="Cambria Math" w:hAnsi="Cambria Math"/>
            <w:color w:val="auto"/>
            <w:sz w:val="24"/>
          </w:rPr>
          <m:t>(</m:t>
        </m:r>
        <m:sSub>
          <m:sSubPr>
            <m:ctrlPr>
              <w:rPr>
                <w:rFonts w:ascii="Cambria Math" w:hAnsi="Cambria Math"/>
                <w:i/>
                <w:color w:val="auto"/>
                <w:sz w:val="24"/>
              </w:rPr>
            </m:ctrlPr>
          </m:sSubPr>
          <m:e>
            <m:r>
              <w:rPr>
                <w:rFonts w:ascii="Cambria Math" w:hAnsi="Cambria Math"/>
                <w:color w:val="auto"/>
                <w:sz w:val="24"/>
              </w:rPr>
              <m:t>K</m:t>
            </m:r>
          </m:e>
          <m:sub>
            <m:r>
              <w:rPr>
                <w:rFonts w:ascii="Cambria Math" w:hAnsi="Cambria Math"/>
                <w:color w:val="auto"/>
                <w:sz w:val="24"/>
              </w:rPr>
              <m:t>c</m:t>
            </m:r>
          </m:sub>
        </m:sSub>
        <m:r>
          <w:rPr>
            <w:rFonts w:ascii="Cambria Math" w:hAnsi="Cambria Math"/>
            <w:color w:val="auto"/>
            <w:sz w:val="24"/>
          </w:rPr>
          <m:t>)</m:t>
        </m:r>
      </m:oMath>
      <w:r w:rsidRPr="00EB1704">
        <w:rPr>
          <w:color w:val="auto"/>
          <w:sz w:val="24"/>
        </w:rPr>
        <w:t xml:space="preserve"> of the dye across (a) CTAB, (b) CAPB, and (c) TX-100 micelles.</w:t>
      </w:r>
    </w:p>
    <w:p w14:paraId="1EDAF1E2" w14:textId="77777777" w:rsidR="001764DE" w:rsidRPr="00EB1704" w:rsidRDefault="001764DE" w:rsidP="001764DE">
      <w:pPr>
        <w:spacing w:before="120" w:after="120" w:line="480" w:lineRule="auto"/>
        <w:ind w:left="0" w:hanging="14"/>
        <w:jc w:val="center"/>
        <w:rPr>
          <w:sz w:val="24"/>
        </w:rPr>
      </w:pPr>
      <w:r w:rsidRPr="00EB1704">
        <w:rPr>
          <w:b/>
          <w:bCs/>
          <w:sz w:val="24"/>
        </w:rPr>
        <w:t>TABLE 1</w:t>
      </w:r>
      <w:r w:rsidRPr="00EB1704">
        <w:rPr>
          <w:sz w:val="24"/>
        </w:rPr>
        <w:t>: Partitioning and Binding Characteristics of the Dye in Individual Surfactant Systems.</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1855"/>
        <w:gridCol w:w="1532"/>
        <w:gridCol w:w="1411"/>
        <w:gridCol w:w="1282"/>
        <w:gridCol w:w="1411"/>
        <w:gridCol w:w="1715"/>
        <w:gridCol w:w="1215"/>
      </w:tblGrid>
      <w:tr w:rsidR="001764DE" w:rsidRPr="00EB1704" w14:paraId="6B82C6B9" w14:textId="77777777" w:rsidTr="00AB1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pct"/>
            <w:tcBorders>
              <w:top w:val="single" w:sz="4" w:space="0" w:color="auto"/>
              <w:bottom w:val="single" w:sz="4" w:space="0" w:color="auto"/>
            </w:tcBorders>
            <w:shd w:val="clear" w:color="auto" w:fill="auto"/>
          </w:tcPr>
          <w:p w14:paraId="507E2B17" w14:textId="77777777" w:rsidR="001764DE" w:rsidRPr="00EB1704" w:rsidRDefault="001764DE" w:rsidP="005B33C3">
            <w:pPr>
              <w:spacing w:line="240" w:lineRule="auto"/>
              <w:ind w:left="0" w:firstLine="0"/>
              <w:rPr>
                <w:sz w:val="24"/>
              </w:rPr>
            </w:pPr>
            <w:r w:rsidRPr="00EB1704">
              <w:rPr>
                <w:sz w:val="24"/>
              </w:rPr>
              <w:t>System</w:t>
            </w:r>
          </w:p>
        </w:tc>
        <w:tc>
          <w:tcPr>
            <w:tcW w:w="735" w:type="pct"/>
            <w:tcBorders>
              <w:top w:val="single" w:sz="4" w:space="0" w:color="auto"/>
              <w:bottom w:val="single" w:sz="4" w:space="0" w:color="auto"/>
            </w:tcBorders>
            <w:shd w:val="clear" w:color="auto" w:fill="auto"/>
          </w:tcPr>
          <w:p w14:paraId="1347EFD8" w14:textId="77777777" w:rsidR="001764DE" w:rsidRPr="00EB1704"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rFonts w:ascii="Cambria Math" w:hAnsi="Cambria Math"/>
                <w:sz w:val="24"/>
                <w:oMath/>
              </w:rPr>
            </w:pPr>
            <m:oMathPara>
              <m:oMath>
                <m:r>
                  <m:rPr>
                    <m:sty m:val="bi"/>
                  </m:rPr>
                  <w:rPr>
                    <w:rFonts w:ascii="Cambria Math" w:hAnsi="Cambria Math"/>
                    <w:sz w:val="24"/>
                  </w:rPr>
                  <m:t xml:space="preserve">CMC </m:t>
                </m:r>
              </m:oMath>
            </m:oMathPara>
          </w:p>
          <w:p w14:paraId="49C8E6D1" w14:textId="77777777" w:rsidR="001764DE" w:rsidRPr="00EB1704"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m:oMathPara>
              <m:oMath>
                <m:r>
                  <m:rPr>
                    <m:sty m:val="bi"/>
                  </m:rPr>
                  <w:rPr>
                    <w:rFonts w:ascii="Cambria Math" w:hAnsi="Cambria Math"/>
                    <w:sz w:val="24"/>
                  </w:rPr>
                  <m:t>(moldm</m:t>
                </m:r>
                <m:r>
                  <m:rPr>
                    <m:sty m:val="bi"/>
                  </m:rPr>
                  <w:rPr>
                    <w:rFonts w:ascii="Cambria Math" w:hAnsi="Cambria Math"/>
                    <w:sz w:val="24"/>
                    <w:vertAlign w:val="superscript"/>
                  </w:rPr>
                  <m:t>-3</m:t>
                </m:r>
                <m:r>
                  <m:rPr>
                    <m:sty m:val="bi"/>
                  </m:rPr>
                  <w:rPr>
                    <w:rFonts w:ascii="Cambria Math" w:hAnsi="Cambria Math"/>
                    <w:sz w:val="24"/>
                  </w:rPr>
                  <m:t>)</m:t>
                </m:r>
              </m:oMath>
            </m:oMathPara>
          </w:p>
        </w:tc>
        <w:tc>
          <w:tcPr>
            <w:tcW w:w="677" w:type="pct"/>
            <w:tcBorders>
              <w:top w:val="single" w:sz="4" w:space="0" w:color="auto"/>
              <w:bottom w:val="single" w:sz="4" w:space="0" w:color="auto"/>
            </w:tcBorders>
            <w:shd w:val="clear" w:color="auto" w:fill="auto"/>
          </w:tcPr>
          <w:p w14:paraId="3B4BC65A" w14:textId="77777777" w:rsidR="001764DE" w:rsidRPr="00EB1704" w:rsidRDefault="00745463"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m:oMathPara>
              <m:oMath>
                <m:sSub>
                  <m:sSubPr>
                    <m:ctrlPr>
                      <w:rPr>
                        <w:rFonts w:ascii="Cambria Math" w:hAnsi="Cambria Math"/>
                        <w:i/>
                        <w:sz w:val="24"/>
                      </w:rPr>
                    </m:ctrlPr>
                  </m:sSubPr>
                  <m:e>
                    <m:r>
                      <m:rPr>
                        <m:sty m:val="bi"/>
                      </m:rPr>
                      <w:rPr>
                        <w:rFonts w:ascii="Cambria Math" w:hAnsi="Cambria Math"/>
                        <w:sz w:val="24"/>
                      </w:rPr>
                      <m:t>K</m:t>
                    </m:r>
                  </m:e>
                  <m:sub>
                    <m:r>
                      <m:rPr>
                        <m:sty m:val="bi"/>
                      </m:rPr>
                      <w:rPr>
                        <w:rFonts w:ascii="Cambria Math" w:hAnsi="Cambria Math"/>
                        <w:sz w:val="24"/>
                      </w:rPr>
                      <m:t>C</m:t>
                    </m:r>
                  </m:sub>
                </m:sSub>
              </m:oMath>
            </m:oMathPara>
          </w:p>
          <w:p w14:paraId="65055025" w14:textId="77777777" w:rsidR="001764DE" w:rsidRPr="00EB1704"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w:r w:rsidRPr="00EB1704">
              <w:rPr>
                <w:sz w:val="24"/>
              </w:rPr>
              <w:t>(dm</w:t>
            </w:r>
            <w:r w:rsidRPr="00EB1704">
              <w:rPr>
                <w:sz w:val="24"/>
                <w:vertAlign w:val="superscript"/>
              </w:rPr>
              <w:t>3</w:t>
            </w:r>
            <w:r w:rsidRPr="00EB1704">
              <w:rPr>
                <w:sz w:val="24"/>
              </w:rPr>
              <w:t>mol</w:t>
            </w:r>
            <w:r w:rsidRPr="00EB1704">
              <w:rPr>
                <w:sz w:val="24"/>
                <w:vertAlign w:val="superscript"/>
              </w:rPr>
              <w:t>-1</w:t>
            </w:r>
            <w:r w:rsidRPr="00EB1704">
              <w:rPr>
                <w:sz w:val="24"/>
              </w:rPr>
              <w:t>)</w:t>
            </w:r>
          </w:p>
        </w:tc>
        <w:tc>
          <w:tcPr>
            <w:tcW w:w="615" w:type="pct"/>
            <w:tcBorders>
              <w:top w:val="single" w:sz="4" w:space="0" w:color="auto"/>
              <w:bottom w:val="single" w:sz="4" w:space="0" w:color="auto"/>
            </w:tcBorders>
            <w:shd w:val="clear" w:color="auto" w:fill="auto"/>
          </w:tcPr>
          <w:p w14:paraId="17E09966" w14:textId="77777777" w:rsidR="001764DE" w:rsidRPr="00EB1704" w:rsidRDefault="00745463"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m:oMath>
              <m:sSub>
                <m:sSubPr>
                  <m:ctrlPr>
                    <w:rPr>
                      <w:rFonts w:ascii="Cambria Math" w:hAnsi="Cambria Math"/>
                      <w:i/>
                      <w:sz w:val="24"/>
                      <w:vertAlign w:val="subscript"/>
                    </w:rPr>
                  </m:ctrlPr>
                </m:sSubPr>
                <m:e>
                  <m:r>
                    <m:rPr>
                      <m:sty m:val="bi"/>
                    </m:rPr>
                    <w:rPr>
                      <w:rFonts w:ascii="Cambria Math" w:hAnsi="Cambria Math"/>
                      <w:sz w:val="24"/>
                      <w:vertAlign w:val="subscript"/>
                    </w:rPr>
                    <m:t>K</m:t>
                  </m:r>
                </m:e>
                <m:sub>
                  <m:r>
                    <m:rPr>
                      <m:sty m:val="bi"/>
                    </m:rPr>
                    <w:rPr>
                      <w:rFonts w:ascii="Cambria Math" w:hAnsi="Cambria Math"/>
                      <w:sz w:val="24"/>
                      <w:vertAlign w:val="subscript"/>
                    </w:rPr>
                    <m:t>X</m:t>
                  </m:r>
                </m:sub>
              </m:sSub>
            </m:oMath>
            <w:r w:rsidR="001764DE" w:rsidRPr="00EB1704">
              <w:rPr>
                <w:sz w:val="24"/>
                <w:vertAlign w:val="subscript"/>
              </w:rPr>
              <w:t xml:space="preserve">  </w:t>
            </w:r>
            <w:r w:rsidR="001764DE" w:rsidRPr="00EB1704">
              <w:rPr>
                <w:sz w:val="24"/>
              </w:rPr>
              <w:t>× 10</w:t>
            </w:r>
            <w:r w:rsidR="001764DE" w:rsidRPr="00EB1704">
              <w:rPr>
                <w:sz w:val="24"/>
                <w:vertAlign w:val="superscript"/>
              </w:rPr>
              <w:t>-4</w:t>
            </w:r>
          </w:p>
        </w:tc>
        <w:tc>
          <w:tcPr>
            <w:tcW w:w="677" w:type="pct"/>
            <w:tcBorders>
              <w:top w:val="single" w:sz="4" w:space="0" w:color="auto"/>
              <w:bottom w:val="single" w:sz="4" w:space="0" w:color="auto"/>
            </w:tcBorders>
            <w:shd w:val="clear" w:color="auto" w:fill="auto"/>
          </w:tcPr>
          <w:p w14:paraId="1E699E7F" w14:textId="77777777" w:rsidR="001764DE" w:rsidRPr="00EB1704" w:rsidRDefault="00745463"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m:oMathPara>
              <m:oMath>
                <m:sSub>
                  <m:sSubPr>
                    <m:ctrlPr>
                      <w:rPr>
                        <w:rFonts w:ascii="Cambria Math" w:hAnsi="Cambria Math"/>
                        <w:i/>
                        <w:sz w:val="24"/>
                      </w:rPr>
                    </m:ctrlPr>
                  </m:sSubPr>
                  <m:e>
                    <m:r>
                      <m:rPr>
                        <m:sty m:val="bi"/>
                      </m:rPr>
                      <w:rPr>
                        <w:rFonts w:ascii="Cambria Math" w:hAnsi="Cambria Math"/>
                        <w:sz w:val="24"/>
                      </w:rPr>
                      <m:t>K</m:t>
                    </m:r>
                  </m:e>
                  <m:sub>
                    <m:r>
                      <m:rPr>
                        <m:sty m:val="bi"/>
                      </m:rPr>
                      <w:rPr>
                        <w:rFonts w:ascii="Cambria Math" w:hAnsi="Cambria Math"/>
                        <w:sz w:val="24"/>
                      </w:rPr>
                      <m:t>b</m:t>
                    </m:r>
                  </m:sub>
                </m:sSub>
              </m:oMath>
            </m:oMathPara>
          </w:p>
          <w:p w14:paraId="54F229B4" w14:textId="77777777" w:rsidR="001764DE" w:rsidRPr="00EB1704"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w:r w:rsidRPr="00EB1704">
              <w:rPr>
                <w:sz w:val="24"/>
              </w:rPr>
              <w:t>(dm</w:t>
            </w:r>
            <w:r w:rsidRPr="00EB1704">
              <w:rPr>
                <w:sz w:val="24"/>
                <w:vertAlign w:val="superscript"/>
              </w:rPr>
              <w:t>3</w:t>
            </w:r>
            <w:r w:rsidRPr="00EB1704">
              <w:rPr>
                <w:sz w:val="24"/>
              </w:rPr>
              <w:t>mol</w:t>
            </w:r>
            <w:r w:rsidRPr="00EB1704">
              <w:rPr>
                <w:sz w:val="24"/>
                <w:vertAlign w:val="superscript"/>
              </w:rPr>
              <w:t>-1</w:t>
            </w:r>
            <w:r w:rsidRPr="00EB1704">
              <w:rPr>
                <w:sz w:val="24"/>
              </w:rPr>
              <w:t>)</w:t>
            </w:r>
          </w:p>
        </w:tc>
        <w:tc>
          <w:tcPr>
            <w:tcW w:w="823" w:type="pct"/>
            <w:tcBorders>
              <w:top w:val="single" w:sz="4" w:space="0" w:color="auto"/>
              <w:bottom w:val="single" w:sz="4" w:space="0" w:color="auto"/>
            </w:tcBorders>
            <w:shd w:val="clear" w:color="auto" w:fill="auto"/>
          </w:tcPr>
          <w:p w14:paraId="6936C7BD" w14:textId="77777777" w:rsidR="001764DE" w:rsidRPr="00EB1704" w:rsidRDefault="001764DE" w:rsidP="005B33C3">
            <w:pPr>
              <w:spacing w:line="240" w:lineRule="auto"/>
              <w:ind w:left="0"/>
              <w:cnfStyle w:val="100000000000" w:firstRow="1" w:lastRow="0" w:firstColumn="0" w:lastColumn="0" w:oddVBand="0" w:evenVBand="0" w:oddHBand="0" w:evenHBand="0" w:firstRowFirstColumn="0" w:firstRowLastColumn="0" w:lastRowFirstColumn="0" w:lastRowLastColumn="0"/>
              <w:rPr>
                <w:sz w:val="24"/>
                <w:vertAlign w:val="subscript"/>
              </w:rPr>
            </w:pPr>
            <m:oMath>
              <m:r>
                <m:rPr>
                  <m:sty m:val="b"/>
                </m:rPr>
                <w:rPr>
                  <w:rFonts w:ascii="Cambria Math" w:hAnsi="Cambria Math"/>
                  <w:sz w:val="24"/>
                </w:rPr>
                <m:t>Δ</m:t>
              </m:r>
              <m:sSub>
                <m:sSubPr>
                  <m:ctrlPr>
                    <w:rPr>
                      <w:rFonts w:ascii="Cambria Math" w:hAnsi="Cambria Math"/>
                      <w:sz w:val="24"/>
                    </w:rPr>
                  </m:ctrlPr>
                </m:sSubPr>
                <m:e>
                  <m:r>
                    <m:rPr>
                      <m:sty m:val="bi"/>
                    </m:rPr>
                    <w:rPr>
                      <w:rFonts w:ascii="Cambria Math" w:hAnsi="Cambria Math"/>
                      <w:sz w:val="24"/>
                    </w:rPr>
                    <m:t>G</m:t>
                  </m:r>
                </m:e>
                <m:sub>
                  <m:r>
                    <m:rPr>
                      <m:sty m:val="bi"/>
                    </m:rPr>
                    <w:rPr>
                      <w:rFonts w:ascii="Cambria Math" w:hAnsi="Cambria Math"/>
                      <w:sz w:val="24"/>
                    </w:rPr>
                    <m:t>P</m:t>
                  </m:r>
                </m:sub>
              </m:sSub>
            </m:oMath>
            <w:r w:rsidRPr="00EB1704">
              <w:rPr>
                <w:sz w:val="24"/>
              </w:rPr>
              <w:t>(kJmol</w:t>
            </w:r>
            <w:r w:rsidRPr="00EB1704">
              <w:rPr>
                <w:sz w:val="24"/>
                <w:vertAlign w:val="superscript"/>
              </w:rPr>
              <w:t>-1</w:t>
            </w:r>
            <w:r w:rsidRPr="00EB1704">
              <w:rPr>
                <w:sz w:val="24"/>
              </w:rPr>
              <w:t>)</w:t>
            </w:r>
          </w:p>
        </w:tc>
        <w:tc>
          <w:tcPr>
            <w:tcW w:w="584" w:type="pct"/>
            <w:tcBorders>
              <w:top w:val="single" w:sz="4" w:space="0" w:color="auto"/>
              <w:bottom w:val="single" w:sz="4" w:space="0" w:color="auto"/>
            </w:tcBorders>
            <w:shd w:val="clear" w:color="auto" w:fill="auto"/>
          </w:tcPr>
          <w:p w14:paraId="75998655" w14:textId="77777777" w:rsidR="001764DE" w:rsidRPr="00EB1704"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vertAlign w:val="subscript"/>
              </w:rPr>
            </w:pPr>
            <w:r w:rsidRPr="00EB1704">
              <w:rPr>
                <w:sz w:val="24"/>
              </w:rPr>
              <w:t>Δ</w:t>
            </w:r>
            <m:oMath>
              <m:sSub>
                <m:sSubPr>
                  <m:ctrlPr>
                    <w:rPr>
                      <w:rFonts w:ascii="Cambria Math" w:hAnsi="Cambria Math"/>
                      <w:i/>
                      <w:sz w:val="24"/>
                    </w:rPr>
                  </m:ctrlPr>
                </m:sSubPr>
                <m:e>
                  <m:r>
                    <m:rPr>
                      <m:sty m:val="bi"/>
                    </m:rPr>
                    <w:rPr>
                      <w:rFonts w:ascii="Cambria Math" w:hAnsi="Cambria Math"/>
                      <w:sz w:val="24"/>
                    </w:rPr>
                    <m:t>G</m:t>
                  </m:r>
                </m:e>
                <m:sub>
                  <m:r>
                    <m:rPr>
                      <m:sty m:val="bi"/>
                    </m:rPr>
                    <w:rPr>
                      <w:rFonts w:ascii="Cambria Math" w:hAnsi="Cambria Math"/>
                      <w:sz w:val="24"/>
                    </w:rPr>
                    <m:t>b</m:t>
                  </m:r>
                </m:sub>
              </m:sSub>
            </m:oMath>
            <w:r w:rsidRPr="00EB1704">
              <w:rPr>
                <w:sz w:val="24"/>
                <w:vertAlign w:val="subscript"/>
              </w:rPr>
              <w:t xml:space="preserve"> </w:t>
            </w:r>
          </w:p>
          <w:p w14:paraId="1DC36191" w14:textId="77777777" w:rsidR="001764DE" w:rsidRPr="00EB1704"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4"/>
              </w:rPr>
            </w:pPr>
            <w:r w:rsidRPr="00EB1704">
              <w:rPr>
                <w:sz w:val="24"/>
              </w:rPr>
              <w:t>(kJmol</w:t>
            </w:r>
            <w:r w:rsidRPr="00EB1704">
              <w:rPr>
                <w:sz w:val="24"/>
                <w:vertAlign w:val="superscript"/>
              </w:rPr>
              <w:t>-1</w:t>
            </w:r>
            <w:r w:rsidRPr="00EB1704">
              <w:rPr>
                <w:sz w:val="24"/>
              </w:rPr>
              <w:t>)</w:t>
            </w:r>
          </w:p>
        </w:tc>
      </w:tr>
      <w:tr w:rsidR="001764DE" w:rsidRPr="00EB1704" w14:paraId="00E425DE" w14:textId="77777777" w:rsidTr="00AB1E2B">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890" w:type="pct"/>
            <w:tcBorders>
              <w:top w:val="single" w:sz="4" w:space="0" w:color="auto"/>
              <w:bottom w:val="none" w:sz="0" w:space="0" w:color="auto"/>
            </w:tcBorders>
            <w:shd w:val="clear" w:color="auto" w:fill="auto"/>
          </w:tcPr>
          <w:p w14:paraId="130E9940" w14:textId="77777777" w:rsidR="001764DE" w:rsidRPr="00EB1704" w:rsidRDefault="001764DE" w:rsidP="005B33C3">
            <w:pPr>
              <w:spacing w:line="240" w:lineRule="auto"/>
              <w:ind w:left="0" w:firstLine="0"/>
              <w:rPr>
                <w:b w:val="0"/>
                <w:bCs w:val="0"/>
                <w:sz w:val="24"/>
              </w:rPr>
            </w:pPr>
            <w:r w:rsidRPr="00EB1704">
              <w:rPr>
                <w:b w:val="0"/>
                <w:bCs w:val="0"/>
                <w:sz w:val="24"/>
              </w:rPr>
              <w:t>EBBR/CTAB</w:t>
            </w:r>
          </w:p>
        </w:tc>
        <w:tc>
          <w:tcPr>
            <w:tcW w:w="735" w:type="pct"/>
            <w:tcBorders>
              <w:top w:val="single" w:sz="4" w:space="0" w:color="auto"/>
              <w:bottom w:val="none" w:sz="0" w:space="0" w:color="auto"/>
            </w:tcBorders>
            <w:shd w:val="clear" w:color="auto" w:fill="auto"/>
          </w:tcPr>
          <w:p w14:paraId="3219F169"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 0.00065</w:t>
            </w:r>
          </w:p>
        </w:tc>
        <w:tc>
          <w:tcPr>
            <w:tcW w:w="677" w:type="pct"/>
            <w:tcBorders>
              <w:top w:val="single" w:sz="4" w:space="0" w:color="auto"/>
              <w:bottom w:val="none" w:sz="0" w:space="0" w:color="auto"/>
            </w:tcBorders>
            <w:shd w:val="clear" w:color="auto" w:fill="auto"/>
          </w:tcPr>
          <w:p w14:paraId="284F15B9"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2271</w:t>
            </w:r>
          </w:p>
        </w:tc>
        <w:tc>
          <w:tcPr>
            <w:tcW w:w="615" w:type="pct"/>
            <w:tcBorders>
              <w:top w:val="single" w:sz="4" w:space="0" w:color="auto"/>
              <w:bottom w:val="none" w:sz="0" w:space="0" w:color="auto"/>
            </w:tcBorders>
            <w:shd w:val="clear" w:color="auto" w:fill="auto"/>
          </w:tcPr>
          <w:p w14:paraId="7D01261B"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12.60</w:t>
            </w:r>
          </w:p>
        </w:tc>
        <w:tc>
          <w:tcPr>
            <w:tcW w:w="677" w:type="pct"/>
            <w:tcBorders>
              <w:top w:val="single" w:sz="4" w:space="0" w:color="auto"/>
              <w:bottom w:val="none" w:sz="0" w:space="0" w:color="auto"/>
            </w:tcBorders>
            <w:shd w:val="clear" w:color="auto" w:fill="auto"/>
          </w:tcPr>
          <w:p w14:paraId="301FDA16"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2000</w:t>
            </w:r>
          </w:p>
        </w:tc>
        <w:tc>
          <w:tcPr>
            <w:tcW w:w="823" w:type="pct"/>
            <w:tcBorders>
              <w:top w:val="single" w:sz="4" w:space="0" w:color="auto"/>
              <w:bottom w:val="none" w:sz="0" w:space="0" w:color="auto"/>
            </w:tcBorders>
            <w:shd w:val="clear" w:color="auto" w:fill="auto"/>
          </w:tcPr>
          <w:p w14:paraId="50FE56A2"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-29.10</w:t>
            </w:r>
          </w:p>
        </w:tc>
        <w:tc>
          <w:tcPr>
            <w:tcW w:w="584" w:type="pct"/>
            <w:tcBorders>
              <w:top w:val="single" w:sz="4" w:space="0" w:color="auto"/>
              <w:bottom w:val="none" w:sz="0" w:space="0" w:color="auto"/>
            </w:tcBorders>
            <w:shd w:val="clear" w:color="auto" w:fill="auto"/>
          </w:tcPr>
          <w:p w14:paraId="484E5A1F"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-18.83</w:t>
            </w:r>
          </w:p>
        </w:tc>
      </w:tr>
      <w:tr w:rsidR="001764DE" w:rsidRPr="00EB1704" w14:paraId="3DB4ECCA" w14:textId="77777777" w:rsidTr="00AB1E2B">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14:paraId="4B8D5784" w14:textId="77777777" w:rsidR="001764DE" w:rsidRPr="00EB1704" w:rsidRDefault="001764DE" w:rsidP="005B33C3">
            <w:pPr>
              <w:spacing w:line="240" w:lineRule="auto"/>
              <w:ind w:left="0" w:firstLine="0"/>
              <w:rPr>
                <w:b w:val="0"/>
                <w:bCs w:val="0"/>
                <w:sz w:val="24"/>
              </w:rPr>
            </w:pPr>
            <w:r w:rsidRPr="00EB1704">
              <w:rPr>
                <w:b w:val="0"/>
                <w:bCs w:val="0"/>
                <w:sz w:val="24"/>
              </w:rPr>
              <w:t>EBBR/TX-100</w:t>
            </w:r>
          </w:p>
        </w:tc>
        <w:tc>
          <w:tcPr>
            <w:tcW w:w="735" w:type="pct"/>
            <w:shd w:val="clear" w:color="auto" w:fill="auto"/>
          </w:tcPr>
          <w:p w14:paraId="086340B1" w14:textId="77777777" w:rsidR="001764DE" w:rsidRPr="00EB1704"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4"/>
              </w:rPr>
            </w:pPr>
            <w:r w:rsidRPr="00EB1704">
              <w:rPr>
                <w:sz w:val="24"/>
              </w:rPr>
              <w:t>0.00022</w:t>
            </w:r>
          </w:p>
        </w:tc>
        <w:tc>
          <w:tcPr>
            <w:tcW w:w="677" w:type="pct"/>
            <w:shd w:val="clear" w:color="auto" w:fill="auto"/>
          </w:tcPr>
          <w:p w14:paraId="62B58E28" w14:textId="77777777" w:rsidR="001764DE" w:rsidRPr="00EB1704"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4"/>
              </w:rPr>
            </w:pPr>
            <w:r w:rsidRPr="00EB1704">
              <w:rPr>
                <w:sz w:val="24"/>
              </w:rPr>
              <w:t>913</w:t>
            </w:r>
          </w:p>
        </w:tc>
        <w:tc>
          <w:tcPr>
            <w:tcW w:w="615" w:type="pct"/>
            <w:shd w:val="clear" w:color="auto" w:fill="auto"/>
          </w:tcPr>
          <w:p w14:paraId="6A1B75C9" w14:textId="77777777" w:rsidR="001764DE" w:rsidRPr="00EB1704"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4"/>
              </w:rPr>
            </w:pPr>
            <w:r w:rsidRPr="00EB1704">
              <w:rPr>
                <w:sz w:val="24"/>
              </w:rPr>
              <w:t>5.06</w:t>
            </w:r>
          </w:p>
        </w:tc>
        <w:tc>
          <w:tcPr>
            <w:tcW w:w="677" w:type="pct"/>
            <w:shd w:val="clear" w:color="auto" w:fill="auto"/>
          </w:tcPr>
          <w:p w14:paraId="3A829762" w14:textId="77777777" w:rsidR="001764DE" w:rsidRPr="00EB1704"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4"/>
              </w:rPr>
            </w:pPr>
            <w:r w:rsidRPr="00EB1704">
              <w:rPr>
                <w:sz w:val="24"/>
              </w:rPr>
              <w:t>857</w:t>
            </w:r>
          </w:p>
        </w:tc>
        <w:tc>
          <w:tcPr>
            <w:tcW w:w="823" w:type="pct"/>
            <w:shd w:val="clear" w:color="auto" w:fill="auto"/>
          </w:tcPr>
          <w:p w14:paraId="3EF64BA4" w14:textId="77777777" w:rsidR="001764DE" w:rsidRPr="00EB1704"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4"/>
              </w:rPr>
            </w:pPr>
            <w:r w:rsidRPr="00EB1704">
              <w:rPr>
                <w:sz w:val="24"/>
              </w:rPr>
              <w:t>-26.84</w:t>
            </w:r>
          </w:p>
        </w:tc>
        <w:tc>
          <w:tcPr>
            <w:tcW w:w="584" w:type="pct"/>
            <w:shd w:val="clear" w:color="auto" w:fill="auto"/>
          </w:tcPr>
          <w:p w14:paraId="09C09F88" w14:textId="77777777" w:rsidR="001764DE" w:rsidRPr="00EB1704"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4"/>
              </w:rPr>
            </w:pPr>
            <w:r w:rsidRPr="00EB1704">
              <w:rPr>
                <w:sz w:val="24"/>
              </w:rPr>
              <w:t>-16.73</w:t>
            </w:r>
          </w:p>
        </w:tc>
      </w:tr>
      <w:tr w:rsidR="001764DE" w:rsidRPr="00EB1704" w14:paraId="55AAD2CC" w14:textId="77777777" w:rsidTr="00AB1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pct"/>
            <w:tcBorders>
              <w:top w:val="none" w:sz="0" w:space="0" w:color="auto"/>
              <w:bottom w:val="none" w:sz="0" w:space="0" w:color="auto"/>
            </w:tcBorders>
            <w:shd w:val="clear" w:color="auto" w:fill="auto"/>
          </w:tcPr>
          <w:p w14:paraId="60ECC6B1" w14:textId="77777777" w:rsidR="001764DE" w:rsidRPr="00EB1704" w:rsidRDefault="001764DE" w:rsidP="005B33C3">
            <w:pPr>
              <w:spacing w:line="240" w:lineRule="auto"/>
              <w:ind w:left="0" w:firstLine="0"/>
              <w:rPr>
                <w:b w:val="0"/>
                <w:bCs w:val="0"/>
                <w:sz w:val="24"/>
              </w:rPr>
            </w:pPr>
            <w:r w:rsidRPr="00EB1704">
              <w:rPr>
                <w:b w:val="0"/>
                <w:bCs w:val="0"/>
                <w:sz w:val="24"/>
              </w:rPr>
              <w:t>EBBR/CAPB</w:t>
            </w:r>
          </w:p>
        </w:tc>
        <w:tc>
          <w:tcPr>
            <w:tcW w:w="735" w:type="pct"/>
            <w:tcBorders>
              <w:top w:val="none" w:sz="0" w:space="0" w:color="auto"/>
              <w:bottom w:val="none" w:sz="0" w:space="0" w:color="auto"/>
            </w:tcBorders>
            <w:shd w:val="clear" w:color="auto" w:fill="auto"/>
          </w:tcPr>
          <w:p w14:paraId="768F4ED0"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0.000881</w:t>
            </w:r>
          </w:p>
        </w:tc>
        <w:tc>
          <w:tcPr>
            <w:tcW w:w="677" w:type="pct"/>
            <w:tcBorders>
              <w:top w:val="none" w:sz="0" w:space="0" w:color="auto"/>
              <w:bottom w:val="none" w:sz="0" w:space="0" w:color="auto"/>
            </w:tcBorders>
            <w:shd w:val="clear" w:color="auto" w:fill="auto"/>
          </w:tcPr>
          <w:p w14:paraId="72CF6B95"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580</w:t>
            </w:r>
          </w:p>
        </w:tc>
        <w:tc>
          <w:tcPr>
            <w:tcW w:w="615" w:type="pct"/>
            <w:tcBorders>
              <w:top w:val="none" w:sz="0" w:space="0" w:color="auto"/>
              <w:bottom w:val="none" w:sz="0" w:space="0" w:color="auto"/>
            </w:tcBorders>
            <w:shd w:val="clear" w:color="auto" w:fill="auto"/>
          </w:tcPr>
          <w:p w14:paraId="1A5F343C"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3.22</w:t>
            </w:r>
          </w:p>
        </w:tc>
        <w:tc>
          <w:tcPr>
            <w:tcW w:w="677" w:type="pct"/>
            <w:tcBorders>
              <w:top w:val="none" w:sz="0" w:space="0" w:color="auto"/>
              <w:bottom w:val="none" w:sz="0" w:space="0" w:color="auto"/>
            </w:tcBorders>
            <w:shd w:val="clear" w:color="auto" w:fill="auto"/>
          </w:tcPr>
          <w:p w14:paraId="51639413"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700</w:t>
            </w:r>
          </w:p>
        </w:tc>
        <w:tc>
          <w:tcPr>
            <w:tcW w:w="823" w:type="pct"/>
            <w:tcBorders>
              <w:top w:val="none" w:sz="0" w:space="0" w:color="auto"/>
              <w:bottom w:val="none" w:sz="0" w:space="0" w:color="auto"/>
            </w:tcBorders>
            <w:shd w:val="clear" w:color="auto" w:fill="auto"/>
          </w:tcPr>
          <w:p w14:paraId="7434722B"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-25.71</w:t>
            </w:r>
          </w:p>
        </w:tc>
        <w:tc>
          <w:tcPr>
            <w:tcW w:w="584" w:type="pct"/>
            <w:tcBorders>
              <w:top w:val="none" w:sz="0" w:space="0" w:color="auto"/>
              <w:bottom w:val="none" w:sz="0" w:space="0" w:color="auto"/>
            </w:tcBorders>
            <w:shd w:val="clear" w:color="auto" w:fill="auto"/>
          </w:tcPr>
          <w:p w14:paraId="1B0CD096" w14:textId="77777777" w:rsidR="001764DE" w:rsidRPr="00EB1704"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4"/>
              </w:rPr>
            </w:pPr>
            <w:r w:rsidRPr="00EB1704">
              <w:rPr>
                <w:sz w:val="24"/>
              </w:rPr>
              <w:t>-16.23</w:t>
            </w:r>
          </w:p>
        </w:tc>
      </w:tr>
    </w:tbl>
    <w:p w14:paraId="1565C0D1" w14:textId="77777777" w:rsidR="001764DE" w:rsidRPr="00EB1704" w:rsidRDefault="001764DE" w:rsidP="001764DE">
      <w:pPr>
        <w:spacing w:line="480" w:lineRule="auto"/>
        <w:ind w:left="0" w:firstLine="0"/>
        <w:rPr>
          <w:color w:val="auto"/>
          <w:sz w:val="24"/>
        </w:rPr>
      </w:pPr>
    </w:p>
    <w:p w14:paraId="7BA2CA32" w14:textId="288FC060" w:rsidR="001764DE" w:rsidRPr="00EB1704" w:rsidRDefault="001764DE" w:rsidP="001764DE">
      <w:pPr>
        <w:tabs>
          <w:tab w:val="center" w:pos="5220"/>
        </w:tabs>
        <w:spacing w:after="259" w:line="480" w:lineRule="auto"/>
        <w:ind w:left="0" w:firstLine="0"/>
        <w:rPr>
          <w:color w:val="181717"/>
          <w:sz w:val="24"/>
        </w:rPr>
      </w:pPr>
      <w:r w:rsidRPr="00EB1704">
        <w:rPr>
          <w:color w:val="181717"/>
          <w:sz w:val="24"/>
        </w:rPr>
        <w:t>High binding and partition constant values confirm that micelles significantly enhance the solubility of dyes. EBBR, among the studied systems, binds strongest with CTAB</w:t>
      </w:r>
      <w:r w:rsidR="00B94822" w:rsidRPr="00B94822">
        <w:rPr>
          <w:color w:val="181717"/>
          <w:sz w:val="24"/>
        </w:rPr>
        <w:t xml:space="preserve">. This configuration aligns with the findings of Kumar </w:t>
      </w:r>
      <w:r w:rsidR="00B94822" w:rsidRPr="00B94822">
        <w:rPr>
          <w:i/>
          <w:iCs/>
          <w:color w:val="181717"/>
          <w:sz w:val="24"/>
        </w:rPr>
        <w:t>et al</w:t>
      </w:r>
      <w:r w:rsidR="00B94822" w:rsidRPr="00EB1704">
        <w:rPr>
          <w:color w:val="181717"/>
          <w:sz w:val="24"/>
        </w:rPr>
        <w:t xml:space="preserve"> [33]</w:t>
      </w:r>
      <w:r w:rsidR="00B94822" w:rsidRPr="00B94822">
        <w:rPr>
          <w:color w:val="181717"/>
          <w:sz w:val="24"/>
        </w:rPr>
        <w:t>, who reported that the presence of cationic surfactants promotes strong electrostatic interactions between anionic dye molecules and cationic micelle surfaces [3</w:t>
      </w:r>
      <w:r w:rsidR="00B94822" w:rsidRPr="00EB1704">
        <w:rPr>
          <w:color w:val="181717"/>
          <w:sz w:val="24"/>
        </w:rPr>
        <w:t>4</w:t>
      </w:r>
      <w:r w:rsidR="00B94822" w:rsidRPr="00B94822">
        <w:rPr>
          <w:color w:val="181717"/>
          <w:sz w:val="24"/>
        </w:rPr>
        <w:t xml:space="preserve">]. This interaction localizes the dye within the palisade layer, consistent with our observation of a higher partition coefficient </w:t>
      </w:r>
      <m:oMath>
        <m:r>
          <w:rPr>
            <w:rFonts w:ascii="Cambria Math" w:hAnsi="Cambria Math"/>
            <w:color w:val="181717"/>
            <w:sz w:val="24"/>
          </w:rPr>
          <w:lastRenderedPageBreak/>
          <m:t>(</m:t>
        </m:r>
        <m:sSub>
          <m:sSubPr>
            <m:ctrlPr>
              <w:rPr>
                <w:rFonts w:ascii="Cambria Math" w:hAnsi="Cambria Math"/>
                <w:i/>
                <w:color w:val="181717"/>
                <w:sz w:val="24"/>
                <w:vertAlign w:val="subscript"/>
              </w:rPr>
            </m:ctrlPr>
          </m:sSubPr>
          <m:e>
            <m:r>
              <w:rPr>
                <w:rFonts w:ascii="Cambria Math" w:hAnsi="Cambria Math"/>
                <w:color w:val="181717"/>
                <w:sz w:val="24"/>
                <w:vertAlign w:val="subscript"/>
              </w:rPr>
              <m:t>K</m:t>
            </m:r>
          </m:e>
          <m:sub>
            <m:r>
              <w:rPr>
                <w:rFonts w:ascii="Cambria Math" w:hAnsi="Cambria Math"/>
                <w:color w:val="181717"/>
                <w:sz w:val="24"/>
                <w:vertAlign w:val="subscript"/>
              </w:rPr>
              <m:t>C</m:t>
            </m:r>
          </m:sub>
        </m:sSub>
        <m:r>
          <w:rPr>
            <w:rFonts w:ascii="Cambria Math" w:hAnsi="Cambria Math"/>
            <w:color w:val="181717"/>
            <w:sz w:val="24"/>
          </w:rPr>
          <m:t>)</m:t>
        </m:r>
      </m:oMath>
      <w:r w:rsidR="00B94822" w:rsidRPr="00B94822">
        <w:rPr>
          <w:color w:val="181717"/>
          <w:sz w:val="24"/>
        </w:rPr>
        <w:t xml:space="preserve"> indicating strong binding. The highest binding constant (2.0 × 10</w:t>
      </w:r>
      <w:r w:rsidR="00B94822" w:rsidRPr="00EB1704">
        <w:rPr>
          <w:color w:val="181717"/>
          <w:sz w:val="24"/>
          <w:vertAlign w:val="superscript"/>
        </w:rPr>
        <w:t>3</w:t>
      </w:r>
      <w:r w:rsidR="00B94822" w:rsidRPr="00B94822">
        <w:rPr>
          <w:color w:val="181717"/>
          <w:sz w:val="24"/>
        </w:rPr>
        <w:t xml:space="preserve"> dm</w:t>
      </w:r>
      <w:r w:rsidR="00B94822" w:rsidRPr="00EB1704">
        <w:rPr>
          <w:color w:val="181717"/>
          <w:sz w:val="24"/>
          <w:vertAlign w:val="superscript"/>
        </w:rPr>
        <w:t>3</w:t>
      </w:r>
      <w:r w:rsidR="00B94822" w:rsidRPr="00B94822">
        <w:rPr>
          <w:color w:val="181717"/>
          <w:sz w:val="24"/>
        </w:rPr>
        <w:t xml:space="preserve"> mol</w:t>
      </w:r>
      <w:r w:rsidR="00B94822" w:rsidRPr="00EB1704">
        <w:rPr>
          <w:color w:val="181717"/>
          <w:sz w:val="24"/>
          <w:vertAlign w:val="superscript"/>
        </w:rPr>
        <w:t>-1</w:t>
      </w:r>
      <w:r w:rsidR="00B94822" w:rsidRPr="00B94822">
        <w:rPr>
          <w:color w:val="181717"/>
          <w:sz w:val="24"/>
        </w:rPr>
        <w:t>) and partition coefficient (2.271 × 10</w:t>
      </w:r>
      <w:r w:rsidR="00B94822" w:rsidRPr="00EB1704">
        <w:rPr>
          <w:color w:val="181717"/>
          <w:sz w:val="24"/>
          <w:vertAlign w:val="superscript"/>
        </w:rPr>
        <w:t>3</w:t>
      </w:r>
      <w:r w:rsidR="00B94822" w:rsidRPr="00B94822">
        <w:rPr>
          <w:color w:val="181717"/>
          <w:sz w:val="24"/>
        </w:rPr>
        <w:t>) observed for the EBBR/CTAB system are consistent with reports that cationic surfactants exhibit stronger interactions with anionic dyes due to electrostatic attraction [3</w:t>
      </w:r>
      <w:r w:rsidR="00B94822" w:rsidRPr="00EB1704">
        <w:rPr>
          <w:color w:val="181717"/>
          <w:sz w:val="24"/>
        </w:rPr>
        <w:t>5</w:t>
      </w:r>
      <w:r w:rsidR="00B94822" w:rsidRPr="00B94822">
        <w:rPr>
          <w:color w:val="181717"/>
          <w:sz w:val="24"/>
        </w:rPr>
        <w:t xml:space="preserve">]. The negative values of </w:t>
      </w:r>
      <m:oMath>
        <m:r>
          <w:rPr>
            <w:rFonts w:ascii="Cambria Math" w:hAnsi="Cambria Math"/>
            <w:color w:val="181717"/>
            <w:sz w:val="24"/>
          </w:rPr>
          <m:t>Δ</m:t>
        </m:r>
        <m:sSub>
          <m:sSubPr>
            <m:ctrlPr>
              <w:rPr>
                <w:rFonts w:ascii="Cambria Math" w:hAnsi="Cambria Math"/>
                <w:i/>
                <w:color w:val="181717"/>
                <w:sz w:val="24"/>
                <w:vertAlign w:val="subscript"/>
              </w:rPr>
            </m:ctrlPr>
          </m:sSubPr>
          <m:e>
            <m:r>
              <w:rPr>
                <w:rFonts w:ascii="Cambria Math" w:hAnsi="Cambria Math"/>
                <w:color w:val="181717"/>
                <w:sz w:val="24"/>
                <w:vertAlign w:val="subscript"/>
              </w:rPr>
              <m:t>G</m:t>
            </m:r>
          </m:e>
          <m:sub>
            <m:r>
              <w:rPr>
                <w:rFonts w:ascii="Cambria Math" w:hAnsi="Cambria Math"/>
                <w:color w:val="181717"/>
                <w:sz w:val="24"/>
                <w:vertAlign w:val="subscript"/>
              </w:rPr>
              <m:t>b</m:t>
            </m:r>
          </m:sub>
        </m:sSub>
      </m:oMath>
      <w:r w:rsidR="00B94822" w:rsidRPr="00B94822">
        <w:rPr>
          <w:color w:val="181717"/>
          <w:sz w:val="24"/>
        </w:rPr>
        <w:t xml:space="preserve"> (−18.83 kJ mol</w:t>
      </w:r>
      <w:r w:rsidR="00DE28DC" w:rsidRPr="00EB1704">
        <w:rPr>
          <w:color w:val="181717"/>
          <w:sz w:val="24"/>
          <w:vertAlign w:val="superscript"/>
        </w:rPr>
        <w:t>-1</w:t>
      </w:r>
      <w:r w:rsidR="00B94822" w:rsidRPr="00B94822">
        <w:rPr>
          <w:color w:val="181717"/>
          <w:sz w:val="24"/>
        </w:rPr>
        <w:t xml:space="preserve">) and </w:t>
      </w:r>
      <m:oMath>
        <m:r>
          <w:rPr>
            <w:rFonts w:ascii="Cambria Math" w:hAnsi="Cambria Math"/>
            <w:color w:val="181717"/>
            <w:sz w:val="24"/>
          </w:rPr>
          <m:t>Δ</m:t>
        </m:r>
        <m:sSub>
          <m:sSubPr>
            <m:ctrlPr>
              <w:rPr>
                <w:rFonts w:ascii="Cambria Math" w:hAnsi="Cambria Math"/>
                <w:i/>
                <w:color w:val="181717"/>
                <w:sz w:val="24"/>
              </w:rPr>
            </m:ctrlPr>
          </m:sSubPr>
          <m:e>
            <m:r>
              <w:rPr>
                <w:rFonts w:ascii="Cambria Math" w:hAnsi="Cambria Math"/>
                <w:color w:val="181717"/>
                <w:sz w:val="24"/>
              </w:rPr>
              <m:t>G</m:t>
            </m:r>
          </m:e>
          <m:sub>
            <m:r>
              <w:rPr>
                <w:rFonts w:ascii="Cambria Math" w:hAnsi="Cambria Math"/>
                <w:color w:val="181717"/>
                <w:sz w:val="24"/>
              </w:rPr>
              <m:t>P</m:t>
            </m:r>
          </m:sub>
        </m:sSub>
      </m:oMath>
      <w:r w:rsidR="00B94822" w:rsidRPr="00B94822">
        <w:rPr>
          <w:color w:val="181717"/>
          <w:sz w:val="24"/>
        </w:rPr>
        <w:t xml:space="preserve"> (−29.10 kJ mol</w:t>
      </w:r>
      <w:r w:rsidR="00DE28DC" w:rsidRPr="00EB1704">
        <w:rPr>
          <w:color w:val="181717"/>
          <w:sz w:val="24"/>
          <w:vertAlign w:val="superscript"/>
        </w:rPr>
        <w:t>-1</w:t>
      </w:r>
      <w:r w:rsidR="00B94822" w:rsidRPr="00B94822">
        <w:rPr>
          <w:color w:val="181717"/>
          <w:sz w:val="24"/>
        </w:rPr>
        <w:t>) further indicate the spontaneity and thermodynamic stability of the binding and partitioning processes</w:t>
      </w:r>
      <w:r w:rsidR="00DE28DC" w:rsidRPr="00EB1704">
        <w:rPr>
          <w:color w:val="181717"/>
          <w:sz w:val="24"/>
        </w:rPr>
        <w:t xml:space="preserve">. </w:t>
      </w:r>
      <w:r w:rsidR="00B94822" w:rsidRPr="00B94822">
        <w:rPr>
          <w:color w:val="181717"/>
          <w:sz w:val="24"/>
        </w:rPr>
        <w:t xml:space="preserve">In contrast, the nonionic surfactant TX-100 interacts differently. The hydrophobic aromatic regions of EBBR associate with the hydrophobic tails of TX-100. As described by Li </w:t>
      </w:r>
      <w:r w:rsidR="00B94822" w:rsidRPr="00B94822">
        <w:rPr>
          <w:i/>
          <w:iCs/>
          <w:color w:val="181717"/>
          <w:sz w:val="24"/>
        </w:rPr>
        <w:t>et al</w:t>
      </w:r>
      <w:r w:rsidR="00DE28DC" w:rsidRPr="00EB1704">
        <w:rPr>
          <w:color w:val="181717"/>
          <w:sz w:val="24"/>
        </w:rPr>
        <w:t xml:space="preserve"> [36]</w:t>
      </w:r>
      <w:r w:rsidR="00B94822" w:rsidRPr="00B94822">
        <w:rPr>
          <w:color w:val="181717"/>
          <w:sz w:val="24"/>
        </w:rPr>
        <w:t>, nonionic surfactants solubilize hydrophobic dye molecules within the micellar core, with weaker electrostatic interactions compared to cationic systems [3</w:t>
      </w:r>
      <w:r w:rsidR="00DE28DC" w:rsidRPr="00EB1704">
        <w:rPr>
          <w:color w:val="181717"/>
          <w:sz w:val="24"/>
        </w:rPr>
        <w:t>7</w:t>
      </w:r>
      <w:r w:rsidR="00B94822" w:rsidRPr="00B94822">
        <w:rPr>
          <w:color w:val="181717"/>
          <w:sz w:val="24"/>
        </w:rPr>
        <w:t>]. The moderate binding constant (8.57 × 10</w:t>
      </w:r>
      <w:r w:rsidR="00DE28DC" w:rsidRPr="00EB1704">
        <w:rPr>
          <w:color w:val="181717"/>
          <w:sz w:val="24"/>
          <w:vertAlign w:val="superscript"/>
        </w:rPr>
        <w:t>2</w:t>
      </w:r>
      <w:r w:rsidR="00B94822" w:rsidRPr="00B94822">
        <w:rPr>
          <w:color w:val="181717"/>
          <w:sz w:val="24"/>
        </w:rPr>
        <w:t xml:space="preserve"> dm</w:t>
      </w:r>
      <w:r w:rsidR="00DE28DC" w:rsidRPr="00EB1704">
        <w:rPr>
          <w:color w:val="181717"/>
          <w:sz w:val="24"/>
          <w:vertAlign w:val="superscript"/>
        </w:rPr>
        <w:t>3</w:t>
      </w:r>
      <w:r w:rsidR="00DE28DC" w:rsidRPr="00EB1704">
        <w:rPr>
          <w:color w:val="181717"/>
          <w:sz w:val="24"/>
        </w:rPr>
        <w:t xml:space="preserve"> </w:t>
      </w:r>
      <w:r w:rsidR="00B94822" w:rsidRPr="00B94822">
        <w:rPr>
          <w:color w:val="181717"/>
          <w:sz w:val="24"/>
        </w:rPr>
        <w:t>mol</w:t>
      </w:r>
      <w:r w:rsidR="00DE28DC" w:rsidRPr="00EB1704">
        <w:rPr>
          <w:color w:val="181717"/>
          <w:sz w:val="24"/>
          <w:vertAlign w:val="superscript"/>
        </w:rPr>
        <w:t>-1</w:t>
      </w:r>
      <w:r w:rsidR="00B94822" w:rsidRPr="00B94822">
        <w:rPr>
          <w:color w:val="181717"/>
          <w:sz w:val="24"/>
        </w:rPr>
        <w:t>) and partition coefficient (</w:t>
      </w:r>
      <w:r w:rsidR="00DE28DC" w:rsidRPr="00EB1704">
        <w:rPr>
          <w:color w:val="181717"/>
          <w:sz w:val="24"/>
        </w:rPr>
        <w:t>9.13</w:t>
      </w:r>
      <w:r w:rsidR="00B94822" w:rsidRPr="00B94822">
        <w:rPr>
          <w:color w:val="181717"/>
          <w:sz w:val="24"/>
        </w:rPr>
        <w:t xml:space="preserve"> × 10</w:t>
      </w:r>
      <w:r w:rsidR="00DE28DC" w:rsidRPr="00EB1704">
        <w:rPr>
          <w:color w:val="181717"/>
          <w:sz w:val="24"/>
          <w:vertAlign w:val="superscript"/>
        </w:rPr>
        <w:t>2</w:t>
      </w:r>
      <w:r w:rsidR="00B94822" w:rsidRPr="00B94822">
        <w:rPr>
          <w:color w:val="181717"/>
          <w:sz w:val="24"/>
        </w:rPr>
        <w:t xml:space="preserve">) observed in our study correlate with findings by Wang </w:t>
      </w:r>
      <w:r w:rsidR="00B94822" w:rsidRPr="00B94822">
        <w:rPr>
          <w:i/>
          <w:iCs/>
          <w:color w:val="181717"/>
          <w:sz w:val="24"/>
        </w:rPr>
        <w:t>et al</w:t>
      </w:r>
      <w:r w:rsidR="00DE28DC" w:rsidRPr="00EB1704">
        <w:rPr>
          <w:color w:val="181717"/>
          <w:sz w:val="24"/>
        </w:rPr>
        <w:t xml:space="preserve"> [38]</w:t>
      </w:r>
      <w:r w:rsidR="00B94822" w:rsidRPr="00B94822">
        <w:rPr>
          <w:color w:val="181717"/>
          <w:sz w:val="24"/>
        </w:rPr>
        <w:t xml:space="preserve">, who noted that nonionic micelles typically exhibit moderate dye binding. The negative values of </w:t>
      </w:r>
      <m:oMath>
        <m:r>
          <w:rPr>
            <w:rFonts w:ascii="Cambria Math" w:hAnsi="Cambria Math"/>
            <w:color w:val="181717"/>
            <w:sz w:val="24"/>
          </w:rPr>
          <m:t>Δ</m:t>
        </m:r>
        <m:sSub>
          <m:sSubPr>
            <m:ctrlPr>
              <w:rPr>
                <w:rFonts w:ascii="Cambria Math" w:hAnsi="Cambria Math"/>
                <w:i/>
                <w:color w:val="181717"/>
                <w:sz w:val="24"/>
              </w:rPr>
            </m:ctrlPr>
          </m:sSubPr>
          <m:e>
            <m:r>
              <w:rPr>
                <w:rFonts w:ascii="Cambria Math" w:hAnsi="Cambria Math"/>
                <w:color w:val="181717"/>
                <w:sz w:val="24"/>
              </w:rPr>
              <m:t>G</m:t>
            </m:r>
          </m:e>
          <m:sub>
            <m:r>
              <w:rPr>
                <w:rFonts w:ascii="Cambria Math" w:hAnsi="Cambria Math"/>
                <w:color w:val="181717"/>
                <w:sz w:val="24"/>
              </w:rPr>
              <m:t>b</m:t>
            </m:r>
          </m:sub>
        </m:sSub>
      </m:oMath>
      <w:r w:rsidR="00B94822" w:rsidRPr="00B94822">
        <w:rPr>
          <w:color w:val="181717"/>
          <w:sz w:val="24"/>
        </w:rPr>
        <w:t xml:space="preserve"> (−16.73 kJ mol⁻¹) and </w:t>
      </w:r>
      <m:oMath>
        <m:r>
          <w:rPr>
            <w:rFonts w:ascii="Cambria Math" w:hAnsi="Cambria Math"/>
            <w:color w:val="181717"/>
            <w:sz w:val="24"/>
          </w:rPr>
          <m:t>Δ</m:t>
        </m:r>
        <m:sSub>
          <m:sSubPr>
            <m:ctrlPr>
              <w:rPr>
                <w:rFonts w:ascii="Cambria Math" w:hAnsi="Cambria Math"/>
                <w:i/>
                <w:color w:val="181717"/>
                <w:sz w:val="24"/>
              </w:rPr>
            </m:ctrlPr>
          </m:sSubPr>
          <m:e>
            <m:r>
              <w:rPr>
                <w:rFonts w:ascii="Cambria Math" w:hAnsi="Cambria Math"/>
                <w:color w:val="181717"/>
                <w:sz w:val="24"/>
              </w:rPr>
              <m:t>G</m:t>
            </m:r>
          </m:e>
          <m:sub>
            <m:r>
              <w:rPr>
                <w:rFonts w:ascii="Cambria Math" w:hAnsi="Cambria Math"/>
                <w:color w:val="181717"/>
                <w:sz w:val="24"/>
              </w:rPr>
              <m:t>p</m:t>
            </m:r>
          </m:sub>
        </m:sSub>
      </m:oMath>
      <w:r w:rsidR="00B94822" w:rsidRPr="00B94822">
        <w:rPr>
          <w:color w:val="181717"/>
          <w:sz w:val="24"/>
        </w:rPr>
        <w:t xml:space="preserve"> (−26.84 kJ mol⁻¹) confirm spontaneous binding and partitioning</w:t>
      </w:r>
      <w:r w:rsidR="00F8676D" w:rsidRPr="00EB1704">
        <w:rPr>
          <w:color w:val="181717"/>
          <w:sz w:val="24"/>
        </w:rPr>
        <w:t xml:space="preserve"> [39]</w:t>
      </w:r>
      <w:r w:rsidR="00B94822" w:rsidRPr="00B94822">
        <w:rPr>
          <w:color w:val="181717"/>
          <w:sz w:val="24"/>
        </w:rPr>
        <w:t>.</w:t>
      </w:r>
      <w:r w:rsidR="00BB24DB" w:rsidRPr="00EB1704">
        <w:rPr>
          <w:color w:val="181717"/>
          <w:sz w:val="24"/>
        </w:rPr>
        <w:t xml:space="preserve"> </w:t>
      </w:r>
      <w:r w:rsidR="00B94822" w:rsidRPr="00B94822">
        <w:rPr>
          <w:color w:val="181717"/>
          <w:sz w:val="24"/>
        </w:rPr>
        <w:t>For the zwitterionic surfactant CAPB, the dual charge nature introduces both electrostatic attraction and repulsion</w:t>
      </w:r>
      <w:r w:rsidR="00745DC0" w:rsidRPr="00EB1704">
        <w:rPr>
          <w:color w:val="181717"/>
          <w:sz w:val="24"/>
        </w:rPr>
        <w:t xml:space="preserve"> [40]</w:t>
      </w:r>
      <w:r w:rsidR="00B94822" w:rsidRPr="00B94822">
        <w:rPr>
          <w:color w:val="181717"/>
          <w:sz w:val="24"/>
        </w:rPr>
        <w:t>. The binding constant (</w:t>
      </w:r>
      <w:r w:rsidR="00BB24DB" w:rsidRPr="00EB1704">
        <w:rPr>
          <w:color w:val="181717"/>
          <w:sz w:val="24"/>
        </w:rPr>
        <w:t xml:space="preserve">7.0 </w:t>
      </w:r>
      <w:r w:rsidR="00B94822" w:rsidRPr="00B94822">
        <w:rPr>
          <w:color w:val="181717"/>
          <w:sz w:val="24"/>
        </w:rPr>
        <w:t>× 10</w:t>
      </w:r>
      <w:r w:rsidR="00BB24DB" w:rsidRPr="00EB1704">
        <w:rPr>
          <w:color w:val="181717"/>
          <w:sz w:val="24"/>
          <w:vertAlign w:val="superscript"/>
        </w:rPr>
        <w:t>2</w:t>
      </w:r>
      <w:r w:rsidR="00B94822" w:rsidRPr="00B94822">
        <w:rPr>
          <w:color w:val="181717"/>
          <w:sz w:val="24"/>
        </w:rPr>
        <w:t xml:space="preserve"> dm</w:t>
      </w:r>
      <w:r w:rsidR="00BB24DB" w:rsidRPr="00EB1704">
        <w:rPr>
          <w:color w:val="181717"/>
          <w:sz w:val="24"/>
          <w:vertAlign w:val="superscript"/>
        </w:rPr>
        <w:t>3</w:t>
      </w:r>
      <w:r w:rsidR="00BB24DB" w:rsidRPr="00EB1704">
        <w:rPr>
          <w:color w:val="181717"/>
          <w:sz w:val="24"/>
        </w:rPr>
        <w:t xml:space="preserve"> </w:t>
      </w:r>
      <w:r w:rsidR="00B94822" w:rsidRPr="00B94822">
        <w:rPr>
          <w:color w:val="181717"/>
          <w:sz w:val="24"/>
        </w:rPr>
        <w:t>mol</w:t>
      </w:r>
      <w:r w:rsidR="00BB24DB" w:rsidRPr="00EB1704">
        <w:rPr>
          <w:color w:val="181717"/>
          <w:sz w:val="24"/>
          <w:vertAlign w:val="superscript"/>
        </w:rPr>
        <w:t>-1</w:t>
      </w:r>
      <w:r w:rsidR="00B94822" w:rsidRPr="00B94822">
        <w:rPr>
          <w:color w:val="181717"/>
          <w:sz w:val="24"/>
        </w:rPr>
        <w:t>) and partition coefficient (</w:t>
      </w:r>
      <w:r w:rsidR="00BB24DB" w:rsidRPr="00EB1704">
        <w:rPr>
          <w:color w:val="181717"/>
          <w:sz w:val="24"/>
        </w:rPr>
        <w:t>5.80</w:t>
      </w:r>
      <w:r w:rsidR="00B94822" w:rsidRPr="00B94822">
        <w:rPr>
          <w:color w:val="181717"/>
          <w:sz w:val="24"/>
        </w:rPr>
        <w:t xml:space="preserve"> × 10</w:t>
      </w:r>
      <w:r w:rsidR="00BB24DB" w:rsidRPr="00EB1704">
        <w:rPr>
          <w:color w:val="181717"/>
          <w:sz w:val="24"/>
          <w:vertAlign w:val="superscript"/>
        </w:rPr>
        <w:t>2</w:t>
      </w:r>
      <w:r w:rsidR="00B94822" w:rsidRPr="00B94822">
        <w:rPr>
          <w:color w:val="181717"/>
          <w:sz w:val="24"/>
        </w:rPr>
        <w:t xml:space="preserve">) reported in </w:t>
      </w:r>
      <w:r w:rsidR="00BB24DB" w:rsidRPr="00EB1704">
        <w:rPr>
          <w:color w:val="181717"/>
          <w:sz w:val="24"/>
        </w:rPr>
        <w:t>this</w:t>
      </w:r>
      <w:r w:rsidR="00B94822" w:rsidRPr="00B94822">
        <w:rPr>
          <w:color w:val="181717"/>
          <w:sz w:val="24"/>
        </w:rPr>
        <w:t xml:space="preserve"> study reflect CAPB's </w:t>
      </w:r>
      <w:r w:rsidR="00BB24DB" w:rsidRPr="00EB1704">
        <w:rPr>
          <w:color w:val="181717"/>
          <w:sz w:val="24"/>
        </w:rPr>
        <w:t>less effective</w:t>
      </w:r>
      <w:r w:rsidR="00B94822" w:rsidRPr="00B94822">
        <w:rPr>
          <w:color w:val="181717"/>
          <w:sz w:val="24"/>
        </w:rPr>
        <w:t xml:space="preserve"> behavior. Negative </w:t>
      </w:r>
      <m:oMath>
        <m:r>
          <w:rPr>
            <w:rFonts w:ascii="Cambria Math" w:hAnsi="Cambria Math"/>
            <w:color w:val="181717"/>
            <w:sz w:val="24"/>
          </w:rPr>
          <m:t>Δ</m:t>
        </m:r>
        <m:sSub>
          <m:sSubPr>
            <m:ctrlPr>
              <w:rPr>
                <w:rFonts w:ascii="Cambria Math" w:hAnsi="Cambria Math"/>
                <w:i/>
                <w:color w:val="181717"/>
                <w:sz w:val="24"/>
              </w:rPr>
            </m:ctrlPr>
          </m:sSubPr>
          <m:e>
            <m:r>
              <w:rPr>
                <w:rFonts w:ascii="Cambria Math" w:hAnsi="Cambria Math"/>
                <w:color w:val="181717"/>
                <w:sz w:val="24"/>
              </w:rPr>
              <m:t>G</m:t>
            </m:r>
          </m:e>
          <m:sub>
            <m:r>
              <w:rPr>
                <w:rFonts w:ascii="Cambria Math" w:hAnsi="Cambria Math"/>
                <w:color w:val="181717"/>
                <w:sz w:val="24"/>
              </w:rPr>
              <m:t>b</m:t>
            </m:r>
          </m:sub>
        </m:sSub>
      </m:oMath>
      <w:r w:rsidR="00B94822" w:rsidRPr="00B94822">
        <w:rPr>
          <w:color w:val="181717"/>
          <w:sz w:val="24"/>
        </w:rPr>
        <w:t xml:space="preserve"> (−16.23 kJ mol⁻¹) and </w:t>
      </w:r>
      <m:oMath>
        <m:sSub>
          <m:sSubPr>
            <m:ctrlPr>
              <w:rPr>
                <w:rFonts w:ascii="Cambria Math" w:hAnsi="Cambria Math"/>
                <w:i/>
                <w:color w:val="181717"/>
                <w:sz w:val="24"/>
              </w:rPr>
            </m:ctrlPr>
          </m:sSubPr>
          <m:e>
            <m:r>
              <w:rPr>
                <w:rFonts w:ascii="Cambria Math" w:hAnsi="Cambria Math"/>
                <w:color w:val="181717"/>
                <w:sz w:val="24"/>
              </w:rPr>
              <m:t>ΔG</m:t>
            </m:r>
          </m:e>
          <m:sub>
            <m:r>
              <w:rPr>
                <w:rFonts w:ascii="Cambria Math" w:hAnsi="Cambria Math"/>
                <w:color w:val="181717"/>
                <w:sz w:val="24"/>
              </w:rPr>
              <m:t>P</m:t>
            </m:r>
          </m:sub>
        </m:sSub>
      </m:oMath>
      <w:r w:rsidR="00B94822" w:rsidRPr="00B94822">
        <w:rPr>
          <w:color w:val="181717"/>
          <w:sz w:val="24"/>
        </w:rPr>
        <w:t xml:space="preserve"> (−25.71 kJ mol⁻¹) values indicate spontaneity.</w:t>
      </w:r>
      <w:r w:rsidR="007A0A25" w:rsidRPr="00EB1704">
        <w:rPr>
          <w:color w:val="181717"/>
          <w:sz w:val="24"/>
        </w:rPr>
        <w:t xml:space="preserve"> The negative values of </w:t>
      </w:r>
      <m:oMath>
        <m:r>
          <w:rPr>
            <w:rFonts w:ascii="Cambria Math" w:hAnsi="Cambria Math"/>
            <w:color w:val="181717"/>
            <w:sz w:val="24"/>
          </w:rPr>
          <m:t>Δ</m:t>
        </m:r>
        <m:sSub>
          <m:sSubPr>
            <m:ctrlPr>
              <w:rPr>
                <w:rFonts w:ascii="Cambria Math" w:hAnsi="Cambria Math"/>
                <w:i/>
                <w:color w:val="181717"/>
                <w:sz w:val="24"/>
                <w:vertAlign w:val="subscript"/>
              </w:rPr>
            </m:ctrlPr>
          </m:sSubPr>
          <m:e>
            <m:r>
              <w:rPr>
                <w:rFonts w:ascii="Cambria Math" w:hAnsi="Cambria Math"/>
                <w:color w:val="181717"/>
                <w:sz w:val="24"/>
                <w:vertAlign w:val="subscript"/>
              </w:rPr>
              <m:t>G</m:t>
            </m:r>
          </m:e>
          <m:sub>
            <m:r>
              <w:rPr>
                <w:rFonts w:ascii="Cambria Math" w:hAnsi="Cambria Math"/>
                <w:color w:val="181717"/>
                <w:sz w:val="24"/>
                <w:vertAlign w:val="subscript"/>
              </w:rPr>
              <m:t>b</m:t>
            </m:r>
          </m:sub>
        </m:sSub>
      </m:oMath>
      <w:r w:rsidR="007A0A25" w:rsidRPr="00EB1704">
        <w:rPr>
          <w:color w:val="181717"/>
          <w:sz w:val="24"/>
        </w:rPr>
        <w:t xml:space="preserve"> and </w:t>
      </w:r>
      <m:oMath>
        <m:r>
          <w:rPr>
            <w:rFonts w:ascii="Cambria Math" w:hAnsi="Cambria Math"/>
            <w:color w:val="181717"/>
            <w:sz w:val="24"/>
          </w:rPr>
          <m:t>ΔGₚ</m:t>
        </m:r>
      </m:oMath>
      <w:r w:rsidR="007A0A25" w:rsidRPr="00EB1704">
        <w:rPr>
          <w:color w:val="181717"/>
          <w:sz w:val="24"/>
        </w:rPr>
        <w:t xml:space="preserve"> across all systems indicate that both the binding and partitioning processes are spontaneous. </w:t>
      </w:r>
      <w:r w:rsidR="007A0A25" w:rsidRPr="007A0A25">
        <w:rPr>
          <w:color w:val="181717"/>
          <w:sz w:val="24"/>
        </w:rPr>
        <w:t>The more negative the value, the more thermodynamically favorable the interaction</w:t>
      </w:r>
      <w:r w:rsidR="00523581" w:rsidRPr="00EB1704">
        <w:rPr>
          <w:color w:val="181717"/>
          <w:sz w:val="24"/>
        </w:rPr>
        <w:t xml:space="preserve"> [41]</w:t>
      </w:r>
      <w:r w:rsidR="007A0A25" w:rsidRPr="00EB1704">
        <w:rPr>
          <w:color w:val="181717"/>
          <w:sz w:val="24"/>
        </w:rPr>
        <w:t xml:space="preserve">. In this study, the EBBR/CTAB system exhibits the most negative </w:t>
      </w:r>
      <m:oMath>
        <m:sSub>
          <m:sSubPr>
            <m:ctrlPr>
              <w:rPr>
                <w:rFonts w:ascii="Cambria Math" w:hAnsi="Cambria Math"/>
                <w:i/>
                <w:color w:val="181717"/>
                <w:sz w:val="24"/>
              </w:rPr>
            </m:ctrlPr>
          </m:sSubPr>
          <m:e>
            <m:r>
              <w:rPr>
                <w:rFonts w:ascii="Cambria Math" w:hAnsi="Cambria Math"/>
                <w:color w:val="181717"/>
                <w:sz w:val="24"/>
              </w:rPr>
              <m:t>ΔG</m:t>
            </m:r>
          </m:e>
          <m:sub>
            <m:r>
              <w:rPr>
                <w:rFonts w:ascii="Cambria Math" w:hAnsi="Cambria Math"/>
                <w:color w:val="181717"/>
                <w:sz w:val="24"/>
              </w:rPr>
              <m:t>b</m:t>
            </m:r>
          </m:sub>
        </m:sSub>
      </m:oMath>
      <w:r w:rsidR="007A0A25" w:rsidRPr="00EB1704">
        <w:rPr>
          <w:color w:val="181717"/>
          <w:sz w:val="24"/>
        </w:rPr>
        <w:t xml:space="preserve"> and </w:t>
      </w:r>
      <m:oMath>
        <m:sSub>
          <m:sSubPr>
            <m:ctrlPr>
              <w:rPr>
                <w:rFonts w:ascii="Cambria Math" w:hAnsi="Cambria Math"/>
                <w:i/>
                <w:color w:val="181717"/>
                <w:sz w:val="24"/>
              </w:rPr>
            </m:ctrlPr>
          </m:sSubPr>
          <m:e>
            <m:r>
              <w:rPr>
                <w:rFonts w:ascii="Cambria Math" w:hAnsi="Cambria Math"/>
                <w:color w:val="181717"/>
                <w:sz w:val="24"/>
              </w:rPr>
              <m:t>ΔG</m:t>
            </m:r>
          </m:e>
          <m:sub>
            <m:r>
              <w:rPr>
                <w:rFonts w:ascii="Cambria Math" w:hAnsi="Cambria Math"/>
                <w:color w:val="181717"/>
                <w:sz w:val="24"/>
              </w:rPr>
              <m:t>p</m:t>
            </m:r>
          </m:sub>
        </m:sSub>
      </m:oMath>
      <w:r w:rsidR="007A0A25" w:rsidRPr="00EB1704">
        <w:rPr>
          <w:color w:val="181717"/>
          <w:sz w:val="24"/>
        </w:rPr>
        <w:t xml:space="preserve"> suggesting the highest spontaneity and stability among the systems.</w:t>
      </w:r>
      <w:r w:rsidR="004307DF" w:rsidRPr="00EB1704">
        <w:rPr>
          <w:color w:val="181717"/>
          <w:sz w:val="24"/>
        </w:rPr>
        <w:t xml:space="preserve"> Stability is directly linked to the magnitude of the negative </w:t>
      </w:r>
      <m:oMath>
        <m:r>
          <w:rPr>
            <w:rFonts w:ascii="Cambria Math" w:hAnsi="Cambria Math"/>
            <w:color w:val="181717"/>
            <w:sz w:val="24"/>
          </w:rPr>
          <m:t>ΔG</m:t>
        </m:r>
      </m:oMath>
      <w:r w:rsidR="004307DF" w:rsidRPr="00EB1704">
        <w:rPr>
          <w:color w:val="181717"/>
          <w:sz w:val="24"/>
        </w:rPr>
        <w:t xml:space="preserve"> values</w:t>
      </w:r>
      <w:r w:rsidR="00523581" w:rsidRPr="00EB1704">
        <w:rPr>
          <w:color w:val="181717"/>
          <w:sz w:val="24"/>
        </w:rPr>
        <w:t xml:space="preserve"> [42]</w:t>
      </w:r>
      <w:r w:rsidR="004307DF" w:rsidRPr="00EB1704">
        <w:rPr>
          <w:color w:val="181717"/>
          <w:sz w:val="24"/>
        </w:rPr>
        <w:t xml:space="preserve">. The EBBR/CTAB system, with the most negative </w:t>
      </w:r>
      <m:oMath>
        <m:r>
          <w:rPr>
            <w:rFonts w:ascii="Cambria Math" w:hAnsi="Cambria Math"/>
            <w:color w:val="181717"/>
            <w:sz w:val="24"/>
          </w:rPr>
          <m:t>ΔG</m:t>
        </m:r>
      </m:oMath>
      <w:r w:rsidR="004307DF" w:rsidRPr="00EB1704">
        <w:rPr>
          <w:color w:val="181717"/>
          <w:sz w:val="24"/>
        </w:rPr>
        <w:t xml:space="preserve"> values, indicates the strongest electrostatic attraction and most stable micellar complex.</w:t>
      </w:r>
      <w:r w:rsidR="004307DF" w:rsidRPr="00EB1704">
        <w:rPr>
          <w:sz w:val="24"/>
        </w:rPr>
        <w:t xml:space="preserve"> </w:t>
      </w:r>
      <w:r w:rsidR="004307DF" w:rsidRPr="00EB1704">
        <w:rPr>
          <w:color w:val="181717"/>
          <w:sz w:val="24"/>
        </w:rPr>
        <w:t xml:space="preserve">The difference in </w:t>
      </w:r>
      <m:oMath>
        <m:r>
          <w:rPr>
            <w:rFonts w:ascii="Cambria Math" w:hAnsi="Cambria Math"/>
            <w:color w:val="181717"/>
            <w:sz w:val="24"/>
          </w:rPr>
          <m:t>ΔG</m:t>
        </m:r>
      </m:oMath>
      <w:r w:rsidR="004307DF" w:rsidRPr="00EB1704">
        <w:rPr>
          <w:color w:val="181717"/>
          <w:sz w:val="24"/>
        </w:rPr>
        <w:t xml:space="preserve"> values among systems reflects the nature of dye-surfactant interactions.</w:t>
      </w:r>
      <w:r w:rsidR="00BF3619" w:rsidRPr="00EB1704">
        <w:rPr>
          <w:color w:val="181717"/>
          <w:sz w:val="24"/>
        </w:rPr>
        <w:t xml:space="preserve"> The high</w:t>
      </w:r>
      <w:r w:rsidR="00AA4C3A" w:rsidRPr="00EB1704">
        <w:rPr>
          <w:color w:val="181717"/>
          <w:sz w:val="24"/>
        </w:rPr>
        <w:t>er</w:t>
      </w:r>
      <w:r w:rsidR="00BF3619" w:rsidRPr="00EB1704">
        <w:rPr>
          <w:color w:val="181717"/>
          <w:sz w:val="24"/>
        </w:rPr>
        <w:t xml:space="preserve"> binding constant and negative </w:t>
      </w:r>
      <m:oMath>
        <m:r>
          <w:rPr>
            <w:rFonts w:ascii="Cambria Math" w:hAnsi="Cambria Math"/>
            <w:color w:val="181717"/>
            <w:sz w:val="24"/>
          </w:rPr>
          <m:t>ΔG</m:t>
        </m:r>
      </m:oMath>
      <w:r w:rsidR="00BF3619" w:rsidRPr="00EB1704">
        <w:rPr>
          <w:color w:val="181717"/>
          <w:sz w:val="24"/>
        </w:rPr>
        <w:t xml:space="preserve"> values for CTAB system highlight that the dye-surfactant interactions are not only spontaneous but also more energetically favorable, suggesting the potential for practical application in dye removal from wastewater</w:t>
      </w:r>
      <w:r w:rsidR="00523581" w:rsidRPr="00EB1704">
        <w:rPr>
          <w:color w:val="181717"/>
          <w:sz w:val="24"/>
        </w:rPr>
        <w:t xml:space="preserve"> [43]</w:t>
      </w:r>
      <w:r w:rsidR="00BF3619" w:rsidRPr="00EB1704">
        <w:rPr>
          <w:color w:val="181717"/>
          <w:sz w:val="24"/>
        </w:rPr>
        <w:t xml:space="preserve">. The more </w:t>
      </w:r>
      <w:r w:rsidR="00BF3619" w:rsidRPr="00EB1704">
        <w:rPr>
          <w:color w:val="181717"/>
          <w:sz w:val="24"/>
        </w:rPr>
        <w:lastRenderedPageBreak/>
        <w:t xml:space="preserve">negative the </w:t>
      </w:r>
      <m:oMath>
        <m:r>
          <w:rPr>
            <w:rFonts w:ascii="Cambria Math" w:hAnsi="Cambria Math"/>
            <w:color w:val="181717"/>
            <w:sz w:val="24"/>
          </w:rPr>
          <m:t>ΔG</m:t>
        </m:r>
      </m:oMath>
      <w:r w:rsidR="00BF3619" w:rsidRPr="00EB1704">
        <w:rPr>
          <w:color w:val="181717"/>
          <w:sz w:val="24"/>
        </w:rPr>
        <w:t xml:space="preserve"> value, the more likely the dye will associate with the surfactant micelles rather than remaining in the aqueous phase. This translates to efficient dye capture and removal</w:t>
      </w:r>
      <w:r w:rsidR="00230E69" w:rsidRPr="00EB1704">
        <w:rPr>
          <w:color w:val="181717"/>
          <w:sz w:val="24"/>
        </w:rPr>
        <w:t xml:space="preserve"> [44]</w:t>
      </w:r>
      <w:r w:rsidR="00BF3619" w:rsidRPr="00EB1704">
        <w:rPr>
          <w:color w:val="181717"/>
          <w:sz w:val="24"/>
        </w:rPr>
        <w:t>.</w:t>
      </w:r>
      <w:r w:rsidR="00AA4C3A" w:rsidRPr="00EB1704">
        <w:rPr>
          <w:color w:val="181717"/>
          <w:sz w:val="24"/>
        </w:rPr>
        <w:t xml:space="preserve"> Understanding the spontaneity of interactions helps in predicting how efficiently a particular surfactant can capture dyes, which is crucial when selecting surfactants for specific dye removal process</w:t>
      </w:r>
      <w:r w:rsidR="00230E69" w:rsidRPr="00EB1704">
        <w:rPr>
          <w:color w:val="181717"/>
          <w:sz w:val="24"/>
        </w:rPr>
        <w:t xml:space="preserve"> [45]</w:t>
      </w:r>
      <w:r w:rsidR="00AA4C3A" w:rsidRPr="00EB1704">
        <w:rPr>
          <w:color w:val="181717"/>
          <w:sz w:val="24"/>
        </w:rPr>
        <w:t xml:space="preserve">. The stability implied by negative </w:t>
      </w:r>
      <m:oMath>
        <m:r>
          <w:rPr>
            <w:rFonts w:ascii="Cambria Math" w:hAnsi="Cambria Math"/>
            <w:color w:val="181717"/>
            <w:sz w:val="24"/>
          </w:rPr>
          <m:t>ΔG</m:t>
        </m:r>
      </m:oMath>
      <w:r w:rsidR="00AA4C3A" w:rsidRPr="00EB1704">
        <w:rPr>
          <w:color w:val="181717"/>
          <w:sz w:val="24"/>
        </w:rPr>
        <w:t xml:space="preserve"> values ensures that the captured dyes remain bound, allowing for more consistent and prolonged dye removal during wastewater treatment processes</w:t>
      </w:r>
      <w:r w:rsidR="00230E69" w:rsidRPr="00EB1704">
        <w:rPr>
          <w:color w:val="181717"/>
          <w:sz w:val="24"/>
        </w:rPr>
        <w:t xml:space="preserve"> [46]</w:t>
      </w:r>
      <w:r w:rsidR="00AA4C3A" w:rsidRPr="00EB1704">
        <w:rPr>
          <w:color w:val="181717"/>
          <w:sz w:val="24"/>
        </w:rPr>
        <w:t>.</w:t>
      </w:r>
    </w:p>
    <w:p w14:paraId="2F33C9D0" w14:textId="77777777" w:rsidR="001764DE" w:rsidRPr="00EB1704" w:rsidRDefault="001764DE" w:rsidP="001764DE">
      <w:pPr>
        <w:pStyle w:val="ListParagraph"/>
        <w:numPr>
          <w:ilvl w:val="1"/>
          <w:numId w:val="11"/>
        </w:numPr>
        <w:tabs>
          <w:tab w:val="center" w:pos="5220"/>
        </w:tabs>
        <w:spacing w:before="120" w:after="120" w:line="480" w:lineRule="auto"/>
        <w:ind w:left="0"/>
        <w:rPr>
          <w:i/>
          <w:iCs/>
          <w:color w:val="181717"/>
          <w:sz w:val="24"/>
        </w:rPr>
      </w:pPr>
      <w:r w:rsidRPr="00EB1704">
        <w:rPr>
          <w:i/>
          <w:iCs/>
          <w:color w:val="181717"/>
          <w:sz w:val="24"/>
        </w:rPr>
        <w:t>Comparison between the interaction of CTAB, TX-100, and CAPB with EBBR.</w:t>
      </w:r>
    </w:p>
    <w:p w14:paraId="70D20EE5" w14:textId="07F72FD7" w:rsidR="001764DE" w:rsidRPr="00EB1704" w:rsidRDefault="001764DE" w:rsidP="001764DE">
      <w:pPr>
        <w:tabs>
          <w:tab w:val="center" w:pos="5220"/>
        </w:tabs>
        <w:spacing w:after="259" w:line="480" w:lineRule="auto"/>
        <w:ind w:left="0" w:firstLine="0"/>
        <w:rPr>
          <w:color w:val="181717"/>
          <w:sz w:val="24"/>
        </w:rPr>
      </w:pPr>
      <w:r w:rsidRPr="00EB1704">
        <w:rPr>
          <w:color w:val="181717"/>
          <w:sz w:val="24"/>
        </w:rPr>
        <w:t>How the EBBR micellar system behaves is, to a great extent, controlled by its molecular structure. The extent of dissociation and the number of charged groups within the molecules of EBBR control the size of its solubilization and positioning in the micellar structure [</w:t>
      </w:r>
      <w:r w:rsidR="00FC47D8" w:rsidRPr="00EB1704">
        <w:rPr>
          <w:color w:val="181717"/>
          <w:sz w:val="24"/>
        </w:rPr>
        <w:t>47</w:t>
      </w:r>
      <w:r w:rsidRPr="00EB1704">
        <w:rPr>
          <w:color w:val="181717"/>
          <w:sz w:val="24"/>
        </w:rPr>
        <w:t>]</w:t>
      </w:r>
      <w:r w:rsidRPr="00EB1704">
        <w:rPr>
          <w:color w:val="4472C4" w:themeColor="accent1"/>
          <w:sz w:val="24"/>
        </w:rPr>
        <w:t xml:space="preserve">. </w:t>
      </w:r>
      <w:r w:rsidRPr="00EB1704">
        <w:rPr>
          <w:color w:val="181717"/>
          <w:sz w:val="24"/>
        </w:rPr>
        <w:t>In CTAB, the anionic functional groups of EBBR point toward the hydrophilic ends of the surfactant molecules and away from the organic part of the dye, which is pointing toward the hydrophobic core. The Structure of EBBR shows that</w:t>
      </w:r>
      <w:r w:rsidRPr="00EB1704">
        <w:rPr>
          <w:sz w:val="24"/>
        </w:rPr>
        <w:t xml:space="preserve"> </w:t>
      </w:r>
      <w:r w:rsidRPr="00EB1704">
        <w:rPr>
          <w:color w:val="181717"/>
          <w:sz w:val="24"/>
        </w:rPr>
        <w:t>it possesses anionic groups with high dissociation capability, which are strongly bound to the cationic groups of CTAB [</w:t>
      </w:r>
      <w:r w:rsidR="00FC47D8" w:rsidRPr="00EB1704">
        <w:rPr>
          <w:color w:val="181717"/>
          <w:sz w:val="24"/>
        </w:rPr>
        <w:t>48</w:t>
      </w:r>
      <w:r w:rsidRPr="00EB1704">
        <w:rPr>
          <w:color w:val="181717"/>
          <w:sz w:val="24"/>
        </w:rPr>
        <w:t>]</w:t>
      </w:r>
      <w:r w:rsidRPr="00EB1704">
        <w:rPr>
          <w:color w:val="4472C4" w:themeColor="accent1"/>
          <w:sz w:val="24"/>
        </w:rPr>
        <w:t>. </w:t>
      </w:r>
      <w:r w:rsidRPr="00EB1704">
        <w:rPr>
          <w:color w:val="000000" w:themeColor="text1"/>
          <w:sz w:val="24"/>
        </w:rPr>
        <w:t>Therefore, the dye molecules are localized within the palisade layer of the micelle, near its surface</w:t>
      </w:r>
      <w:r w:rsidRPr="00EB1704">
        <w:rPr>
          <w:color w:val="181717"/>
          <w:sz w:val="24"/>
        </w:rPr>
        <w:t>.</w:t>
      </w:r>
      <w:r w:rsidRPr="00EB1704">
        <w:rPr>
          <w:color w:val="181717"/>
          <w:sz w:val="24"/>
        </w:rPr>
        <w:br/>
        <w:t>This layer provides enough space to accommodate several dye molecules, as seen in the larger value of the partition coefficient (</w:t>
      </w:r>
      <m:oMath>
        <m:sSub>
          <m:sSubPr>
            <m:ctrlPr>
              <w:rPr>
                <w:rFonts w:ascii="Cambria Math" w:hAnsi="Cambria Math"/>
                <w:i/>
                <w:color w:val="181717"/>
                <w:sz w:val="24"/>
              </w:rPr>
            </m:ctrlPr>
          </m:sSubPr>
          <m:e>
            <m:r>
              <w:rPr>
                <w:rFonts w:ascii="Cambria Math" w:hAnsi="Cambria Math"/>
                <w:color w:val="181717"/>
                <w:sz w:val="24"/>
              </w:rPr>
              <m:t>K</m:t>
            </m:r>
          </m:e>
          <m:sub>
            <m:r>
              <w:rPr>
                <w:rFonts w:ascii="Cambria Math" w:hAnsi="Cambria Math"/>
                <w:color w:val="181717"/>
                <w:sz w:val="24"/>
              </w:rPr>
              <m:t>X</m:t>
            </m:r>
          </m:sub>
        </m:sSub>
      </m:oMath>
      <w:r w:rsidRPr="00EB1704">
        <w:rPr>
          <w:color w:val="181717"/>
          <w:sz w:val="24"/>
        </w:rPr>
        <w:t>) [</w:t>
      </w:r>
      <w:r w:rsidR="00FC47D8" w:rsidRPr="00EB1704">
        <w:rPr>
          <w:color w:val="181717"/>
          <w:sz w:val="24"/>
        </w:rPr>
        <w:t>49</w:t>
      </w:r>
      <w:r w:rsidRPr="00EB1704">
        <w:rPr>
          <w:color w:val="181717"/>
          <w:sz w:val="24"/>
        </w:rPr>
        <w:t>]</w:t>
      </w:r>
      <w:r w:rsidRPr="00EB1704">
        <w:rPr>
          <w:color w:val="4472C4" w:themeColor="accent1"/>
          <w:sz w:val="24"/>
        </w:rPr>
        <w:t xml:space="preserve">. </w:t>
      </w:r>
      <w:r w:rsidRPr="00EB1704">
        <w:rPr>
          <w:color w:val="181717"/>
          <w:sz w:val="24"/>
        </w:rPr>
        <w:t xml:space="preserve">In the case of the EBBR/TX-100 system, the hydrophobic aromatic regions of </w:t>
      </w:r>
      <w:r w:rsidRPr="00EB1704">
        <w:rPr>
          <w:sz w:val="24"/>
        </w:rPr>
        <w:t>the dye get associated with the hydrophobic tails of TX-100 surfactant molecules. This supports micelle formation,</w:t>
      </w:r>
      <w:r w:rsidR="00B17D87">
        <w:rPr>
          <w:sz w:val="24"/>
        </w:rPr>
        <w:t xml:space="preserve"> where the dye gets dispersed in the hydrophobic interior and is properly solubilized in the aqueous environment. While TX-100 is nonionic and doesn’t carry a charge, the sulfonic acid group in</w:t>
      </w:r>
      <w:r w:rsidRPr="00EB1704">
        <w:rPr>
          <w:sz w:val="24"/>
        </w:rPr>
        <w:t xml:space="preserve"> EBBR still influences the interaction. At certain pH levels, the sulfonic acid group becomes deprotonated and negatively charged. This leads to electrostatic interactions between the negatively charged dye and the polar head groups of the surfactant, potentially influencing the solubility and behavior of the dye in the presence of TX-100. As TX-100 forms micelles, the dye can be solubilized within the hydrophobic core </w:t>
      </w:r>
      <w:r w:rsidRPr="00EB1704">
        <w:rPr>
          <w:sz w:val="24"/>
        </w:rPr>
        <w:lastRenderedPageBreak/>
        <w:t>of the micelles. This changes the local environment of the dye, shifting its electronic structure and potentially causing a shift in the absorption wavelength (also known as a bathochromic shift, where the maximum absorbance wavelength shifts to longer wavelengths). The hydrophobic environment in the micelle lowers the energy required for electronic transitions, which affects the absorption properties of the dye. In solution, the dye interacts with water molecules and other solutes [</w:t>
      </w:r>
      <w:r w:rsidR="00FC47D8" w:rsidRPr="00EB1704">
        <w:rPr>
          <w:sz w:val="24"/>
        </w:rPr>
        <w:t>50</w:t>
      </w:r>
      <w:r w:rsidRPr="00EB1704">
        <w:rPr>
          <w:sz w:val="24"/>
        </w:rPr>
        <w:t>].</w:t>
      </w:r>
      <w:r w:rsidRPr="00EB1704">
        <w:rPr>
          <w:color w:val="4472C4" w:themeColor="accent1"/>
          <w:sz w:val="24"/>
        </w:rPr>
        <w:t xml:space="preserve"> </w:t>
      </w:r>
      <w:r w:rsidRPr="00EB1704">
        <w:rPr>
          <w:sz w:val="24"/>
        </w:rPr>
        <w:t>When incorporated into the surfactant micelles, the dye is placed in a much less polar environment (the hydrophobic core of the micelle). This leads to changes in the dye's electronic structure, altering the absorption</w:t>
      </w:r>
      <w:r w:rsidRPr="00EB1704">
        <w:rPr>
          <w:b/>
          <w:bCs/>
          <w:sz w:val="24"/>
        </w:rPr>
        <w:t xml:space="preserve"> </w:t>
      </w:r>
      <w:r w:rsidRPr="00EB1704">
        <w:rPr>
          <w:sz w:val="24"/>
        </w:rPr>
        <w:t>spectrum. The shift to longer wavelengths is due to the reduced polarity and interactions with water molecules when the dye is surrounded by the surfactant’s hydrophobic region [</w:t>
      </w:r>
      <w:r w:rsidR="00FC47D8" w:rsidRPr="00EB1704">
        <w:rPr>
          <w:sz w:val="24"/>
        </w:rPr>
        <w:t>51</w:t>
      </w:r>
      <w:r w:rsidRPr="00EB1704">
        <w:rPr>
          <w:sz w:val="24"/>
        </w:rPr>
        <w:t xml:space="preserve">]. The formation of dye-surfactant complexes or micelles causes a broadening of the absorption peaks, as the environment is not homogeneous and causes slight variations in the dye's behavior. </w:t>
      </w:r>
    </w:p>
    <w:p w14:paraId="39771683" w14:textId="59E8B013" w:rsidR="00154853" w:rsidRDefault="001764DE" w:rsidP="00154853">
      <w:pPr>
        <w:spacing w:line="480" w:lineRule="auto"/>
        <w:ind w:left="0"/>
        <w:rPr>
          <w:sz w:val="24"/>
        </w:rPr>
      </w:pPr>
      <w:r w:rsidRPr="00EB1704">
        <w:rPr>
          <w:sz w:val="24"/>
        </w:rPr>
        <w:t>A reduced partition coefficient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X</m:t>
            </m:r>
          </m:sub>
        </m:sSub>
      </m:oMath>
      <w:r w:rsidRPr="00EB1704">
        <w:rPr>
          <w:sz w:val="24"/>
        </w:rPr>
        <w:t xml:space="preserve">) suggests that comparatively fewer dye molecules are transferred to the TX-100 micellar phase than to the CTAB phase. For the EBBR/CAPB system. The long hydrophobic alkyl chain of CAPB interacts with the hydrophobic regions of EBBR (the aromatic rings and hydrophobic moieties in the dye structure). The zwitterionic nature of CAPB allows for both positive and negative charge interactions with the dye. The hydrophobic portions of EBBR partition into the hydrophobic tail regions of CAPB </w:t>
      </w:r>
      <w:r w:rsidR="00FC47D8" w:rsidRPr="00EB1704">
        <w:rPr>
          <w:sz w:val="24"/>
        </w:rPr>
        <w:t>[52</w:t>
      </w:r>
      <w:r w:rsidRPr="00EB1704">
        <w:rPr>
          <w:sz w:val="24"/>
        </w:rPr>
        <w:t>]. These hydrophobic interactions are similar to what happens with nonionic surfactants, but the interaction is stronger and more structured due to the zwitterionic nature of CAPB, which can more easily accommodate both hydrophobic and electrostatic forces. CAPB has both positively charged (amine) and negatively charged (carboxylate) groups. These charges interact with the negatively charged sulfonic acid group in EBBR (if deprotonated), leading to electrostatic attractions. However, these interactions are weaker than those found in CTAB and TX-100 [</w:t>
      </w:r>
      <w:r w:rsidR="00FC47D8" w:rsidRPr="00EB1704">
        <w:rPr>
          <w:sz w:val="24"/>
        </w:rPr>
        <w:t>53</w:t>
      </w:r>
      <w:r w:rsidRPr="00EB1704">
        <w:rPr>
          <w:sz w:val="24"/>
        </w:rPr>
        <w:t>]. since CAPB is zwitterionic and the net charge is balanced, electrostatic attraction occurs between the negatively charged sulfonate group in EBBR and the positively charged amine group of CAPB, leading to more pronounced binding [</w:t>
      </w:r>
      <w:r w:rsidR="00FC47D8" w:rsidRPr="00EB1704">
        <w:rPr>
          <w:sz w:val="24"/>
        </w:rPr>
        <w:t>54</w:t>
      </w:r>
      <w:r w:rsidRPr="00EB1704">
        <w:rPr>
          <w:sz w:val="24"/>
        </w:rPr>
        <w:t xml:space="preserve">]. Electrostatic repulsion also occurs </w:t>
      </w:r>
      <w:r w:rsidRPr="00EB1704">
        <w:rPr>
          <w:sz w:val="24"/>
        </w:rPr>
        <w:lastRenderedPageBreak/>
        <w:t>between the negatively charged carboxylate group of CAPB and the negatively charged sulfonate group of EBBR. This repulsion does not favor the binding interaction and, therefore, leads to a relatively weaker binding and partitioning of the dye in the CAPB micelles compared to the cationic and nonionic surfactant. The absorption properties of EBBR dye in CAPB micelle are affected and lead to a shift in wavelength due to changes in the electronic environment around the dye molecule [</w:t>
      </w:r>
      <w:r w:rsidR="00FC47D8" w:rsidRPr="00EB1704">
        <w:rPr>
          <w:sz w:val="24"/>
        </w:rPr>
        <w:t>55</w:t>
      </w:r>
      <w:r w:rsidRPr="00EB1704">
        <w:rPr>
          <w:sz w:val="24"/>
        </w:rPr>
        <w:t>]</w:t>
      </w:r>
      <w:r w:rsidRPr="00EB1704">
        <w:rPr>
          <w:color w:val="4472C4" w:themeColor="accent1"/>
          <w:sz w:val="24"/>
        </w:rPr>
        <w:t xml:space="preserve">. </w:t>
      </w:r>
      <w:r w:rsidRPr="00EB1704">
        <w:rPr>
          <w:sz w:val="24"/>
        </w:rPr>
        <w:t xml:space="preserve">This micellar environment is less polar than water and leads to a bathochromic shift (shift to longer wavelengths) in the absorption spectrum of EBBR. </w:t>
      </w:r>
    </w:p>
    <w:p w14:paraId="35559939" w14:textId="77777777" w:rsidR="00AB1E2B" w:rsidRDefault="00AB1E2B" w:rsidP="00154853">
      <w:pPr>
        <w:spacing w:line="480" w:lineRule="auto"/>
        <w:ind w:left="0"/>
        <w:rPr>
          <w:sz w:val="24"/>
        </w:rPr>
      </w:pPr>
    </w:p>
    <w:p w14:paraId="3B96E662" w14:textId="0723AE54" w:rsidR="00154853" w:rsidRDefault="00A0090E" w:rsidP="00AB1E2B">
      <w:pPr>
        <w:spacing w:line="480" w:lineRule="auto"/>
        <w:ind w:left="0"/>
        <w:jc w:val="center"/>
        <w:rPr>
          <w:sz w:val="24"/>
        </w:rPr>
      </w:pPr>
      <w:r>
        <w:object w:dxaOrig="7186" w:dyaOrig="6736" w14:anchorId="1405ED0E">
          <v:shape id="_x0000_i1039" type="#_x0000_t75" style="width:462.75pt;height:424.5pt" o:ole="" o:bordertopcolor="this" o:borderleftcolor="this" o:borderbottomcolor="this" o:borderrightcolor="this">
            <v:imagedata r:id="rId43" o:title=""/>
          </v:shape>
          <o:OLEObject Type="Embed" ProgID="ACD.ChemSketch.20" ShapeID="_x0000_i1039" DrawAspect="Content" ObjectID="_1808905093" r:id="rId44"/>
        </w:object>
      </w:r>
    </w:p>
    <w:p w14:paraId="565574DE" w14:textId="4CD518BC" w:rsidR="00154853" w:rsidRDefault="00A0090E" w:rsidP="00A0090E">
      <w:pPr>
        <w:spacing w:line="480" w:lineRule="auto"/>
        <w:ind w:left="0"/>
        <w:jc w:val="center"/>
        <w:rPr>
          <w:sz w:val="24"/>
        </w:rPr>
      </w:pPr>
      <w:r>
        <w:object w:dxaOrig="7486" w:dyaOrig="7305" w14:anchorId="2D7DDD89">
          <v:shape id="_x0000_i1040" type="#_x0000_t75" style="width:444pt;height:303.75pt" o:ole="" o:bordertopcolor="this" o:borderleftcolor="this" o:borderbottomcolor="this" o:borderrightcolor="this">
            <v:imagedata r:id="rId45" o:title=""/>
          </v:shape>
          <o:OLEObject Type="Embed" ProgID="ACD.ChemSketch.20" ShapeID="_x0000_i1040" DrawAspect="Content" ObjectID="_1808905094" r:id="rId46"/>
        </w:object>
      </w:r>
    </w:p>
    <w:p w14:paraId="40C2938E" w14:textId="6E58FCD4" w:rsidR="00154853" w:rsidRDefault="00A0090E" w:rsidP="00AB1E2B">
      <w:pPr>
        <w:spacing w:line="480" w:lineRule="auto"/>
        <w:ind w:left="0"/>
        <w:jc w:val="center"/>
        <w:rPr>
          <w:sz w:val="24"/>
        </w:rPr>
      </w:pPr>
      <w:r>
        <w:object w:dxaOrig="6166" w:dyaOrig="6060" w14:anchorId="162F76E1">
          <v:shape id="_x0000_i1041" type="#_x0000_t75" style="width:447.75pt;height:303pt" o:ole="" o:bordertopcolor="this" o:borderleftcolor="this" o:borderbottomcolor="this" o:borderrightcolor="this">
            <v:imagedata r:id="rId47" o:title=""/>
          </v:shape>
          <o:OLEObject Type="Embed" ProgID="ACD.ChemSketch.20" ShapeID="_x0000_i1041" DrawAspect="Content" ObjectID="_1808905095" r:id="rId48"/>
        </w:object>
      </w:r>
    </w:p>
    <w:p w14:paraId="325F7EA9" w14:textId="59306F6F" w:rsidR="00154853" w:rsidRPr="00DC564F" w:rsidRDefault="00A0090E" w:rsidP="00DC564F">
      <w:pPr>
        <w:spacing w:line="269" w:lineRule="auto"/>
        <w:ind w:left="-15" w:firstLine="0"/>
      </w:pPr>
      <w:r w:rsidRPr="00A0090E">
        <w:rPr>
          <w:color w:val="4472C4" w:themeColor="accent1"/>
          <w:sz w:val="24"/>
        </w:rPr>
        <w:t>Figure 7</w:t>
      </w:r>
      <w:r>
        <w:rPr>
          <w:sz w:val="24"/>
        </w:rPr>
        <w:t xml:space="preserve">: </w:t>
      </w:r>
      <w:r w:rsidRPr="00A0090E">
        <w:rPr>
          <w:sz w:val="24"/>
        </w:rPr>
        <w:t xml:space="preserve">Binding interactions between </w:t>
      </w:r>
      <w:r>
        <w:rPr>
          <w:sz w:val="24"/>
        </w:rPr>
        <w:t>EBBR</w:t>
      </w:r>
      <w:r w:rsidRPr="00A0090E">
        <w:rPr>
          <w:sz w:val="24"/>
        </w:rPr>
        <w:t xml:space="preserve"> and (a) </w:t>
      </w:r>
      <w:r>
        <w:rPr>
          <w:sz w:val="24"/>
        </w:rPr>
        <w:t>CTAB</w:t>
      </w:r>
      <w:r w:rsidRPr="00A0090E">
        <w:rPr>
          <w:sz w:val="24"/>
        </w:rPr>
        <w:t xml:space="preserve"> (b) </w:t>
      </w:r>
      <w:r>
        <w:rPr>
          <w:sz w:val="24"/>
        </w:rPr>
        <w:t>CAPB (c) TX-100.</w:t>
      </w:r>
    </w:p>
    <w:p w14:paraId="4F357385" w14:textId="77777777" w:rsidR="001764DE" w:rsidRPr="00EB1704" w:rsidRDefault="001764DE" w:rsidP="001764DE">
      <w:pPr>
        <w:pStyle w:val="ListParagraph"/>
        <w:numPr>
          <w:ilvl w:val="0"/>
          <w:numId w:val="11"/>
        </w:numPr>
        <w:spacing w:line="480" w:lineRule="auto"/>
        <w:ind w:left="0"/>
        <w:rPr>
          <w:sz w:val="24"/>
        </w:rPr>
      </w:pPr>
      <w:r w:rsidRPr="00EB1704">
        <w:rPr>
          <w:b/>
          <w:bCs/>
          <w:sz w:val="24"/>
        </w:rPr>
        <w:lastRenderedPageBreak/>
        <w:t>Conclusion</w:t>
      </w:r>
    </w:p>
    <w:p w14:paraId="47058927" w14:textId="036B1EE9" w:rsidR="001764DE" w:rsidRPr="00EB1704" w:rsidRDefault="001764DE" w:rsidP="0060769F">
      <w:pPr>
        <w:spacing w:line="480" w:lineRule="auto"/>
        <w:ind w:left="0"/>
        <w:rPr>
          <w:sz w:val="24"/>
        </w:rPr>
      </w:pPr>
      <w:r w:rsidRPr="00EB1704">
        <w:rPr>
          <w:sz w:val="24"/>
        </w:rPr>
        <w:t>UV-visible spectroscopy was employed to study the interaction of EBBR dye with CTAB, TX-100, and CAPB. Using the differential absorbance data of the respective systems, the partition coefficient (K</w:t>
      </w:r>
      <w:r w:rsidRPr="00EB1704">
        <w:rPr>
          <w:sz w:val="24"/>
          <w:vertAlign w:val="subscript"/>
        </w:rPr>
        <w:t>c</w:t>
      </w:r>
      <w:r w:rsidRPr="00EB1704">
        <w:rPr>
          <w:sz w:val="24"/>
        </w:rPr>
        <w:t xml:space="preserve">) and binding constant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EB1704">
        <w:rPr>
          <w:sz w:val="24"/>
        </w:rPr>
        <w:t xml:space="preserve"> were determined.  Value of</w:t>
      </w:r>
      <m:oMath>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Pr="00EB1704">
        <w:rPr>
          <w:sz w:val="24"/>
        </w:rPr>
        <w:t xml:space="preserve"> for EBBR/CTAB system (2.271 × 10</w:t>
      </w:r>
      <w:r w:rsidRPr="00EB1704">
        <w:rPr>
          <w:sz w:val="24"/>
          <w:vertAlign w:val="superscript"/>
        </w:rPr>
        <w:t>3</w:t>
      </w:r>
      <w:r w:rsidRPr="00EB1704">
        <w:rPr>
          <w:sz w:val="24"/>
        </w:rPr>
        <w:t xml:space="preserve"> dm</w:t>
      </w:r>
      <w:r w:rsidRPr="00EB1704">
        <w:rPr>
          <w:sz w:val="24"/>
          <w:vertAlign w:val="superscript"/>
        </w:rPr>
        <w:t>3</w:t>
      </w:r>
      <w:r w:rsidRPr="00EB1704">
        <w:rPr>
          <w:sz w:val="24"/>
        </w:rPr>
        <w:t>mol</w:t>
      </w:r>
      <w:r w:rsidRPr="00EB1704">
        <w:rPr>
          <w:sz w:val="24"/>
          <w:vertAlign w:val="superscript"/>
        </w:rPr>
        <w:t>-1</w:t>
      </w:r>
      <w:r w:rsidRPr="00EB1704">
        <w:rPr>
          <w:sz w:val="24"/>
        </w:rPr>
        <w:t>) is higher than that of EBBR/TX-100 system (9.13 × 10</w:t>
      </w:r>
      <w:r w:rsidRPr="00EB1704">
        <w:rPr>
          <w:sz w:val="24"/>
          <w:vertAlign w:val="superscript"/>
        </w:rPr>
        <w:t>2</w:t>
      </w:r>
      <w:r w:rsidRPr="00EB1704">
        <w:rPr>
          <w:sz w:val="24"/>
        </w:rPr>
        <w:t xml:space="preserve"> dm</w:t>
      </w:r>
      <w:r w:rsidRPr="00EB1704">
        <w:rPr>
          <w:sz w:val="24"/>
          <w:vertAlign w:val="superscript"/>
        </w:rPr>
        <w:t>3</w:t>
      </w:r>
      <w:r w:rsidRPr="00EB1704">
        <w:rPr>
          <w:sz w:val="24"/>
        </w:rPr>
        <w:t>mol</w:t>
      </w:r>
      <w:r w:rsidRPr="00EB1704">
        <w:rPr>
          <w:sz w:val="24"/>
          <w:vertAlign w:val="superscript"/>
        </w:rPr>
        <w:t>-1</w:t>
      </w:r>
      <w:r w:rsidRPr="00EB1704">
        <w:rPr>
          <w:sz w:val="24"/>
        </w:rPr>
        <w:t>), and EBBR/CAPB system (5.8 × 10</w:t>
      </w:r>
      <w:r w:rsidRPr="00EB1704">
        <w:rPr>
          <w:sz w:val="24"/>
          <w:vertAlign w:val="superscript"/>
        </w:rPr>
        <w:t>2</w:t>
      </w:r>
      <w:r w:rsidRPr="00EB1704">
        <w:rPr>
          <w:sz w:val="24"/>
        </w:rPr>
        <w:t xml:space="preserve"> dm</w:t>
      </w:r>
      <w:r w:rsidRPr="00EB1704">
        <w:rPr>
          <w:sz w:val="24"/>
          <w:vertAlign w:val="superscript"/>
        </w:rPr>
        <w:t>3</w:t>
      </w:r>
      <w:r w:rsidRPr="00EB1704">
        <w:rPr>
          <w:sz w:val="24"/>
        </w:rPr>
        <w:t>mol</w:t>
      </w:r>
      <w:r w:rsidRPr="00EB1704">
        <w:rPr>
          <w:sz w:val="24"/>
          <w:vertAlign w:val="superscript"/>
        </w:rPr>
        <w:t>-1</w:t>
      </w:r>
      <w:r w:rsidRPr="00EB1704">
        <w:rPr>
          <w:sz w:val="24"/>
        </w:rPr>
        <w:t>), indicating that compared to EBBR/TX-100 system and EBBR-CAPB system, the presence of the cationic surfactant CTAB markedly improved the solubilization of EBBR dye, owing to intensified electrostatic attraction between the dye and the micellar interface. The lower values of K</w:t>
      </w:r>
      <w:r w:rsidRPr="00EB1704">
        <w:rPr>
          <w:sz w:val="24"/>
          <w:vertAlign w:val="subscript"/>
        </w:rPr>
        <w:t>c</w:t>
      </w:r>
      <w:r w:rsidRPr="00EB1704">
        <w:rPr>
          <w:sz w:val="24"/>
        </w:rPr>
        <w:t xml:space="preserve"> in TX-100 and CAPB are partly due to the absence of electrostatic interaction and electrostatic repulsion, respectively. Similarly, the dye bound better with the micelles of CTAB with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EB1704">
        <w:rPr>
          <w:sz w:val="24"/>
          <w:vertAlign w:val="subscript"/>
        </w:rPr>
        <w:t xml:space="preserve"> </w:t>
      </w:r>
      <w:r w:rsidRPr="00EB1704">
        <w:rPr>
          <w:sz w:val="24"/>
        </w:rPr>
        <w:t xml:space="preserve">value of </w:t>
      </w:r>
      <w:r w:rsidRPr="00EB1704">
        <w:rPr>
          <w:color w:val="181717"/>
          <w:sz w:val="24"/>
        </w:rPr>
        <w:t>(2.0 × 10</w:t>
      </w:r>
      <w:r w:rsidRPr="00EB1704">
        <w:rPr>
          <w:color w:val="181717"/>
          <w:sz w:val="24"/>
          <w:vertAlign w:val="superscript"/>
        </w:rPr>
        <w:t>3</w:t>
      </w:r>
      <w:r w:rsidRPr="00EB1704">
        <w:rPr>
          <w:color w:val="181717"/>
          <w:sz w:val="24"/>
        </w:rPr>
        <w:t xml:space="preserve"> dm</w:t>
      </w:r>
      <w:r w:rsidRPr="00EB1704">
        <w:rPr>
          <w:color w:val="181717"/>
          <w:sz w:val="24"/>
          <w:vertAlign w:val="superscript"/>
        </w:rPr>
        <w:t>3</w:t>
      </w:r>
      <w:r w:rsidRPr="00EB1704">
        <w:rPr>
          <w:color w:val="181717"/>
          <w:sz w:val="24"/>
        </w:rPr>
        <w:t xml:space="preserve"> mol</w:t>
      </w:r>
      <w:r w:rsidRPr="00EB1704">
        <w:rPr>
          <w:color w:val="181717"/>
          <w:sz w:val="24"/>
          <w:vertAlign w:val="superscript"/>
        </w:rPr>
        <w:t>−1</w:t>
      </w:r>
      <w:r w:rsidRPr="00EB1704">
        <w:rPr>
          <w:color w:val="181717"/>
          <w:sz w:val="24"/>
        </w:rPr>
        <w:t>), as compared to that of TX-100 (8.57× 10</w:t>
      </w:r>
      <w:r w:rsidRPr="00EB1704">
        <w:rPr>
          <w:color w:val="181717"/>
          <w:sz w:val="24"/>
          <w:vertAlign w:val="superscript"/>
        </w:rPr>
        <w:t xml:space="preserve">2 </w:t>
      </w:r>
      <w:r w:rsidRPr="00EB1704">
        <w:rPr>
          <w:color w:val="181717"/>
          <w:sz w:val="24"/>
        </w:rPr>
        <w:t>dm</w:t>
      </w:r>
      <w:r w:rsidRPr="00EB1704">
        <w:rPr>
          <w:color w:val="181717"/>
          <w:sz w:val="24"/>
          <w:vertAlign w:val="superscript"/>
        </w:rPr>
        <w:t>3</w:t>
      </w:r>
      <w:r w:rsidRPr="00EB1704">
        <w:rPr>
          <w:color w:val="181717"/>
          <w:sz w:val="24"/>
        </w:rPr>
        <w:t xml:space="preserve"> mol</w:t>
      </w:r>
      <w:r w:rsidRPr="00EB1704">
        <w:rPr>
          <w:color w:val="181717"/>
          <w:sz w:val="24"/>
          <w:vertAlign w:val="superscript"/>
        </w:rPr>
        <w:t>−1</w:t>
      </w:r>
      <w:r w:rsidRPr="00EB1704">
        <w:rPr>
          <w:color w:val="181717"/>
          <w:sz w:val="24"/>
        </w:rPr>
        <w:t>) and CAPB (7.0 × 10</w:t>
      </w:r>
      <w:r w:rsidRPr="00EB1704">
        <w:rPr>
          <w:color w:val="181717"/>
          <w:sz w:val="24"/>
          <w:vertAlign w:val="superscript"/>
        </w:rPr>
        <w:t xml:space="preserve">2 </w:t>
      </w:r>
      <w:r w:rsidRPr="00EB1704">
        <w:rPr>
          <w:color w:val="181717"/>
          <w:sz w:val="24"/>
        </w:rPr>
        <w:t>dm</w:t>
      </w:r>
      <w:r w:rsidRPr="00EB1704">
        <w:rPr>
          <w:color w:val="181717"/>
          <w:sz w:val="24"/>
          <w:vertAlign w:val="superscript"/>
        </w:rPr>
        <w:t>3</w:t>
      </w:r>
      <w:r w:rsidRPr="00EB1704">
        <w:rPr>
          <w:color w:val="181717"/>
          <w:sz w:val="24"/>
        </w:rPr>
        <w:t xml:space="preserve"> mol</w:t>
      </w:r>
      <w:r w:rsidRPr="00EB1704">
        <w:rPr>
          <w:color w:val="181717"/>
          <w:sz w:val="24"/>
          <w:vertAlign w:val="superscript"/>
        </w:rPr>
        <w:t>−1</w:t>
      </w:r>
      <w:r w:rsidRPr="00EB1704">
        <w:rPr>
          <w:color w:val="181717"/>
          <w:sz w:val="24"/>
        </w:rPr>
        <w:t xml:space="preserve">). </w:t>
      </w:r>
      <w:r w:rsidRPr="00EB1704">
        <w:rPr>
          <w:sz w:val="24"/>
        </w:rPr>
        <w:t xml:space="preserve">The value of </w:t>
      </w:r>
      <w:r w:rsidRPr="00EB1704">
        <w:rPr>
          <w:color w:val="000000" w:themeColor="text1"/>
          <w:sz w:val="24"/>
        </w:rPr>
        <w:t>Δ</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b</m:t>
            </m:r>
          </m:sub>
        </m:sSub>
      </m:oMath>
      <w:r w:rsidRPr="00EB1704">
        <w:rPr>
          <w:color w:val="000000" w:themeColor="text1"/>
          <w:sz w:val="24"/>
        </w:rPr>
        <w:t xml:space="preserve"> and Δ</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oMath>
      <w:r w:rsidRPr="00EB1704">
        <w:rPr>
          <w:color w:val="000000" w:themeColor="text1"/>
          <w:sz w:val="24"/>
          <w:vertAlign w:val="subscript"/>
        </w:rPr>
        <w:t xml:space="preserve"> </w:t>
      </w:r>
      <w:r w:rsidRPr="00EB1704">
        <w:rPr>
          <w:sz w:val="24"/>
        </w:rPr>
        <w:t>for CTAB are higher than that of TX-100 and CAPB, suggesting that the EBBR/CTAB system is thermodynamically more stable than the EBBR/ TX-100 system, which is also more thermodynamically stable than the EBBR/CAPB system. Therefore, CTAB is a more effective surfactant at solubilizing EBBR dye than TX-100 and CAPB.</w:t>
      </w:r>
      <w:r w:rsidR="00243B57" w:rsidRPr="00EB1704">
        <w:rPr>
          <w:color w:val="101112"/>
          <w:kern w:val="0"/>
          <w:sz w:val="24"/>
          <w14:ligatures w14:val="none"/>
        </w:rPr>
        <w:t xml:space="preserve"> </w:t>
      </w:r>
      <w:r w:rsidR="00243B57" w:rsidRPr="00243B57">
        <w:rPr>
          <w:sz w:val="24"/>
        </w:rPr>
        <w:t xml:space="preserve">The use of CTAB as a solubilizing agent for EBBR dye </w:t>
      </w:r>
      <w:r w:rsidR="004307DF" w:rsidRPr="00EB1704">
        <w:rPr>
          <w:sz w:val="24"/>
        </w:rPr>
        <w:t>will</w:t>
      </w:r>
      <w:r w:rsidR="00243B57" w:rsidRPr="00243B57">
        <w:rPr>
          <w:sz w:val="24"/>
        </w:rPr>
        <w:t xml:space="preserve"> improve dyeing processes and reduce environmental impact</w:t>
      </w:r>
      <w:r w:rsidR="00243B57" w:rsidRPr="00EB1704">
        <w:rPr>
          <w:sz w:val="24"/>
        </w:rPr>
        <w:t xml:space="preserve"> in the textile industry, and also</w:t>
      </w:r>
      <w:r w:rsidR="00243B57" w:rsidRPr="00243B57">
        <w:rPr>
          <w:sz w:val="24"/>
        </w:rPr>
        <w:t xml:space="preserve"> inform the design of drug delivery systems</w:t>
      </w:r>
      <w:r w:rsidR="00243B57" w:rsidRPr="00EB1704">
        <w:rPr>
          <w:sz w:val="24"/>
        </w:rPr>
        <w:t xml:space="preserve"> in the pharmaceutical industry</w:t>
      </w:r>
      <w:r w:rsidR="00243B57" w:rsidRPr="00243B57">
        <w:rPr>
          <w:sz w:val="24"/>
        </w:rPr>
        <w:t>.</w:t>
      </w:r>
      <w:r w:rsidR="00243B57" w:rsidRPr="00EB1704">
        <w:rPr>
          <w:color w:val="101112"/>
          <w:kern w:val="0"/>
          <w:sz w:val="24"/>
          <w14:ligatures w14:val="none"/>
        </w:rPr>
        <w:t xml:space="preserve"> </w:t>
      </w:r>
      <w:r w:rsidR="00243B57" w:rsidRPr="00EB1704">
        <w:rPr>
          <w:sz w:val="24"/>
        </w:rPr>
        <w:t xml:space="preserve">Future research directions should focus on </w:t>
      </w:r>
      <w:r w:rsidR="00465075" w:rsidRPr="00465075">
        <w:rPr>
          <w:sz w:val="24"/>
        </w:rPr>
        <w:t>Investigating the toxicity and biodegradability of surfactant</w:t>
      </w:r>
      <w:r w:rsidR="00465075" w:rsidRPr="00EB1704">
        <w:rPr>
          <w:sz w:val="24"/>
        </w:rPr>
        <w:t>-</w:t>
      </w:r>
      <w:r w:rsidR="00465075" w:rsidRPr="00465075">
        <w:rPr>
          <w:sz w:val="24"/>
        </w:rPr>
        <w:t>dye complexes to assess their environmental impact.</w:t>
      </w:r>
    </w:p>
    <w:p w14:paraId="7A4B7582" w14:textId="77777777" w:rsidR="006C2B2B" w:rsidRPr="00EB1704" w:rsidRDefault="006C2B2B" w:rsidP="002E573D">
      <w:pPr>
        <w:rPr>
          <w:rFonts w:eastAsia="Calibri"/>
          <w:b/>
          <w:bCs/>
          <w:color w:val="000000" w:themeColor="text1"/>
          <w:sz w:val="24"/>
        </w:rPr>
      </w:pPr>
      <w:r w:rsidRPr="00EB1704">
        <w:rPr>
          <w:rFonts w:eastAsia="Calibri"/>
          <w:b/>
          <w:bCs/>
          <w:color w:val="000000" w:themeColor="text1"/>
          <w:sz w:val="24"/>
        </w:rPr>
        <w:t>Disclaimer (Artificial intelligence)</w:t>
      </w:r>
    </w:p>
    <w:p w14:paraId="6A68C005" w14:textId="322FE0D9" w:rsidR="0060769F" w:rsidRPr="00DC564F" w:rsidRDefault="00D2700C" w:rsidP="00DC564F">
      <w:pPr>
        <w:rPr>
          <w:rFonts w:eastAsia="Calibri"/>
          <w:color w:val="000000" w:themeColor="text1"/>
          <w:sz w:val="24"/>
        </w:rPr>
      </w:pPr>
      <w:r w:rsidRPr="00EB1704">
        <w:rPr>
          <w:rFonts w:eastAsia="Calibri"/>
          <w:color w:val="000000" w:themeColor="text1"/>
          <w:sz w:val="24"/>
        </w:rPr>
        <w:t>We</w:t>
      </w:r>
      <w:r w:rsidR="006C2B2B" w:rsidRPr="00EB1704">
        <w:rPr>
          <w:rFonts w:eastAsia="Calibri"/>
          <w:color w:val="000000" w:themeColor="text1"/>
          <w:sz w:val="24"/>
        </w:rPr>
        <w:t xml:space="preserve"> hereby declare that NO generative AI technologies such as Large Language Models (ChatGPT, COPILOT, etc.) and text-to-image generators have been used during the writing or editing of this manuscript. </w:t>
      </w:r>
    </w:p>
    <w:p w14:paraId="790FD2ED" w14:textId="77777777" w:rsidR="006C2B2B" w:rsidRPr="00EB1704" w:rsidRDefault="006C2B2B" w:rsidP="002212FE">
      <w:pPr>
        <w:ind w:left="0" w:firstLine="0"/>
        <w:rPr>
          <w:sz w:val="24"/>
        </w:rPr>
      </w:pPr>
    </w:p>
    <w:p w14:paraId="13463D57" w14:textId="77777777" w:rsidR="001764DE" w:rsidRPr="00EB1704" w:rsidRDefault="001764DE" w:rsidP="001764DE">
      <w:pPr>
        <w:spacing w:line="480" w:lineRule="auto"/>
        <w:ind w:left="0"/>
        <w:rPr>
          <w:b/>
          <w:bCs/>
          <w:sz w:val="24"/>
        </w:rPr>
      </w:pPr>
      <w:r w:rsidRPr="00EB1704">
        <w:rPr>
          <w:b/>
          <w:bCs/>
          <w:sz w:val="24"/>
        </w:rPr>
        <w:t>References</w:t>
      </w:r>
    </w:p>
    <w:p w14:paraId="08ABFBF7"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[1] </w:t>
      </w:r>
      <w:r w:rsidRPr="00EB1704">
        <w:rPr>
          <w:color w:val="222222"/>
          <w:sz w:val="24"/>
          <w:shd w:val="clear" w:color="auto" w:fill="FFFFFF"/>
        </w:rPr>
        <w:t>Raj S, Ramamurthy K. Classification of surfactants and admixtures for producing stable aqueous foam. Advances in Colloid and Interface Science. 2024 Jun 14:103234.</w:t>
      </w:r>
    </w:p>
    <w:p w14:paraId="48EDDF8A"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lastRenderedPageBreak/>
        <w:t xml:space="preserve">[2] </w:t>
      </w:r>
      <w:r w:rsidRPr="00EB1704">
        <w:rPr>
          <w:color w:val="000000" w:themeColor="text1"/>
          <w:sz w:val="24"/>
        </w:rPr>
        <w:t xml:space="preserve">Zargar, A. N., &amp; Srivastava, P. (2024). Biosurfactants: sustainable alternatives to chemical </w:t>
      </w:r>
      <w:proofErr w:type="spellStart"/>
      <w:proofErr w:type="gramStart"/>
      <w:r w:rsidRPr="00EB1704">
        <w:rPr>
          <w:color w:val="000000" w:themeColor="text1"/>
          <w:sz w:val="24"/>
        </w:rPr>
        <w:t>surfactants.In</w:t>
      </w:r>
      <w:proofErr w:type="spellEnd"/>
      <w:proofErr w:type="gramEnd"/>
      <w:r w:rsidRPr="00EB1704">
        <w:rPr>
          <w:color w:val="000000" w:themeColor="text1"/>
          <w:sz w:val="24"/>
        </w:rPr>
        <w:t> Industrial Applications of Biosurfactants and Microorganisms (pp. 425-436)</w:t>
      </w:r>
      <w:r w:rsidRPr="00EB1704">
        <w:rPr>
          <w:color w:val="4472C4" w:themeColor="accent1"/>
          <w:sz w:val="24"/>
        </w:rPr>
        <w:t>.</w:t>
      </w:r>
    </w:p>
    <w:p w14:paraId="68A57C6F"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[3] </w:t>
      </w:r>
      <w:r w:rsidRPr="00EB1704">
        <w:rPr>
          <w:color w:val="222222"/>
          <w:sz w:val="24"/>
          <w:shd w:val="clear" w:color="auto" w:fill="FFFFFF"/>
        </w:rPr>
        <w:t xml:space="preserve">Khan SI, </w:t>
      </w:r>
      <w:proofErr w:type="spellStart"/>
      <w:r w:rsidRPr="00EB1704">
        <w:rPr>
          <w:color w:val="222222"/>
          <w:sz w:val="24"/>
          <w:shd w:val="clear" w:color="auto" w:fill="FFFFFF"/>
        </w:rPr>
        <w:t>Kosurkar</w:t>
      </w:r>
      <w:proofErr w:type="spellEnd"/>
      <w:r w:rsidRPr="00EB1704">
        <w:rPr>
          <w:color w:val="222222"/>
          <w:sz w:val="24"/>
          <w:shd w:val="clear" w:color="auto" w:fill="FFFFFF"/>
        </w:rPr>
        <w:t xml:space="preserve"> UB, </w:t>
      </w:r>
      <w:proofErr w:type="spellStart"/>
      <w:r w:rsidRPr="00EB1704">
        <w:rPr>
          <w:color w:val="222222"/>
          <w:sz w:val="24"/>
          <w:shd w:val="clear" w:color="auto" w:fill="FFFFFF"/>
        </w:rPr>
        <w:t>Yetre</w:t>
      </w:r>
      <w:proofErr w:type="spellEnd"/>
      <w:r w:rsidRPr="00EB1704">
        <w:rPr>
          <w:color w:val="222222"/>
          <w:sz w:val="24"/>
          <w:shd w:val="clear" w:color="auto" w:fill="FFFFFF"/>
        </w:rPr>
        <w:t xml:space="preserve"> UK, </w:t>
      </w:r>
      <w:proofErr w:type="spellStart"/>
      <w:r w:rsidRPr="00EB1704">
        <w:rPr>
          <w:color w:val="222222"/>
          <w:sz w:val="24"/>
          <w:shd w:val="clear" w:color="auto" w:fill="FFFFFF"/>
        </w:rPr>
        <w:t>Tembhare</w:t>
      </w:r>
      <w:proofErr w:type="spellEnd"/>
      <w:r w:rsidRPr="00EB1704">
        <w:rPr>
          <w:color w:val="222222"/>
          <w:sz w:val="24"/>
          <w:shd w:val="clear" w:color="auto" w:fill="FFFFFF"/>
        </w:rPr>
        <w:t xml:space="preserve"> KO. Surface Active Agents: Key Ingredients in Detergents and Soaps. EUREKA NEXUS CONNECTING THE DOTS OF SCIENCE.:65.</w:t>
      </w:r>
    </w:p>
    <w:p w14:paraId="2FA39D38"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[4] </w:t>
      </w:r>
      <w:r w:rsidRPr="00EB1704">
        <w:rPr>
          <w:color w:val="222222"/>
          <w:sz w:val="24"/>
          <w:shd w:val="clear" w:color="auto" w:fill="FFFFFF"/>
        </w:rPr>
        <w:t>Moulik SP, Rakshit AK, Naskar B. Physical chemical properties of surfactants in solution and their applications: A comprehensive account. Journal of Surfactants and Detergents. 2024 Nov;27(6):895-925.</w:t>
      </w:r>
    </w:p>
    <w:p w14:paraId="32D34097"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[5] </w:t>
      </w:r>
      <w:proofErr w:type="spellStart"/>
      <w:r w:rsidRPr="00EB1704">
        <w:rPr>
          <w:color w:val="222222"/>
          <w:sz w:val="24"/>
          <w:shd w:val="clear" w:color="auto" w:fill="FFFFFF"/>
        </w:rPr>
        <w:t>Mitrinova</w:t>
      </w:r>
      <w:proofErr w:type="spellEnd"/>
      <w:r w:rsidRPr="00EB1704">
        <w:rPr>
          <w:color w:val="222222"/>
          <w:sz w:val="24"/>
          <w:shd w:val="clear" w:color="auto" w:fill="FFFFFF"/>
        </w:rPr>
        <w:t xml:space="preserve"> Z, </w:t>
      </w:r>
      <w:proofErr w:type="spellStart"/>
      <w:r w:rsidRPr="00EB1704">
        <w:rPr>
          <w:color w:val="222222"/>
          <w:sz w:val="24"/>
          <w:shd w:val="clear" w:color="auto" w:fill="FFFFFF"/>
        </w:rPr>
        <w:t>Valkova</w:t>
      </w:r>
      <w:proofErr w:type="spellEnd"/>
      <w:r w:rsidRPr="00EB1704">
        <w:rPr>
          <w:color w:val="222222"/>
          <w:sz w:val="24"/>
          <w:shd w:val="clear" w:color="auto" w:fill="FFFFFF"/>
        </w:rPr>
        <w:t xml:space="preserve"> Z, </w:t>
      </w:r>
      <w:proofErr w:type="spellStart"/>
      <w:r w:rsidRPr="00EB1704">
        <w:rPr>
          <w:color w:val="222222"/>
          <w:sz w:val="24"/>
          <w:shd w:val="clear" w:color="auto" w:fill="FFFFFF"/>
        </w:rPr>
        <w:t>Tcholakova</w:t>
      </w:r>
      <w:proofErr w:type="spellEnd"/>
      <w:r w:rsidRPr="00EB1704">
        <w:rPr>
          <w:color w:val="222222"/>
          <w:sz w:val="24"/>
          <w:shd w:val="clear" w:color="auto" w:fill="FFFFFF"/>
        </w:rPr>
        <w:t xml:space="preserve"> S. Interplay between cosurfactants and electrolytes for worm-like micelles formation. Colloids and Surfaces A: Physicochemical and Engineering Aspects. 2025 Feb </w:t>
      </w:r>
      <w:proofErr w:type="gramStart"/>
      <w:r w:rsidRPr="00EB1704">
        <w:rPr>
          <w:color w:val="222222"/>
          <w:sz w:val="24"/>
          <w:shd w:val="clear" w:color="auto" w:fill="FFFFFF"/>
        </w:rPr>
        <w:t>20;707:135943</w:t>
      </w:r>
      <w:proofErr w:type="gramEnd"/>
      <w:r w:rsidRPr="00EB1704">
        <w:rPr>
          <w:color w:val="222222"/>
          <w:sz w:val="24"/>
          <w:shd w:val="clear" w:color="auto" w:fill="FFFFFF"/>
        </w:rPr>
        <w:t>.</w:t>
      </w:r>
    </w:p>
    <w:p w14:paraId="6D61B320"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[6] </w:t>
      </w:r>
      <w:r w:rsidRPr="00EB1704">
        <w:rPr>
          <w:color w:val="222222"/>
          <w:sz w:val="24"/>
          <w:shd w:val="clear" w:color="auto" w:fill="FFFFFF"/>
        </w:rPr>
        <w:t>Zheng G, Zhang B, Yu H, Song Z, Xu X, Zheng Z, Zhao K, Zhao J, Zhao Y. Therapeutic applications and potential biological barriers of nano-delivery systems in common gastrointestinal disorders: a comprehensive review. Advanced Composites and Hybrid Materials. 2025 Apr;8(2):1-22.</w:t>
      </w:r>
    </w:p>
    <w:p w14:paraId="5821BD66"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[7] </w:t>
      </w:r>
      <w:r w:rsidRPr="00EB1704">
        <w:rPr>
          <w:color w:val="222222"/>
          <w:sz w:val="24"/>
          <w:shd w:val="clear" w:color="auto" w:fill="FFFFFF"/>
        </w:rPr>
        <w:t>Zheng G, Zhang B, Yu H, Song Z, Xu X, Zheng Z, Zhao K, Zhao J, Zhao Y. Therapeutic applications and potential biological barriers of nano-delivery systems in common gastrointestinal disorders: a comprehensive review. Advanced Composites and Hybrid Materials. 2025 Apr;8(2):1-22.</w:t>
      </w:r>
    </w:p>
    <w:p w14:paraId="216BC5C0"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[8] </w:t>
      </w:r>
      <w:r w:rsidRPr="00EB1704">
        <w:rPr>
          <w:color w:val="222222"/>
          <w:sz w:val="24"/>
          <w:shd w:val="clear" w:color="auto" w:fill="FFFFFF"/>
        </w:rPr>
        <w:t>Sharma V, Manchester L, Holstein M, Xu X, Ghose S, Heldt CL. Impact of Eco‐Friendly Surfactant Structure and Class on Enveloped Virus Inactivation. Biotechnology Journal. 2025 Apr;20(4</w:t>
      </w:r>
      <w:proofErr w:type="gramStart"/>
      <w:r w:rsidRPr="00EB1704">
        <w:rPr>
          <w:color w:val="222222"/>
          <w:sz w:val="24"/>
          <w:shd w:val="clear" w:color="auto" w:fill="FFFFFF"/>
        </w:rPr>
        <w:t>):e</w:t>
      </w:r>
      <w:proofErr w:type="gramEnd"/>
      <w:r w:rsidRPr="00EB1704">
        <w:rPr>
          <w:color w:val="222222"/>
          <w:sz w:val="24"/>
          <w:shd w:val="clear" w:color="auto" w:fill="FFFFFF"/>
        </w:rPr>
        <w:t>70023.</w:t>
      </w:r>
    </w:p>
    <w:p w14:paraId="3E8E2C78"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[9] </w:t>
      </w:r>
      <w:r w:rsidRPr="00EB1704">
        <w:rPr>
          <w:color w:val="222222"/>
          <w:sz w:val="24"/>
          <w:shd w:val="clear" w:color="auto" w:fill="FFFFFF"/>
        </w:rPr>
        <w:t>Srivastava A, Parida VK, Majumder A, Gupta B, Gupta AK. Treatment of saline wastewater using physicochemical, biological, and hybrid processes: Insights into inhibition mechanisms, treatment efficiencies and performance enhancement. Journal of environmental chemical engineering. 2021 Aug 1;9(4):105775.</w:t>
      </w:r>
    </w:p>
    <w:p w14:paraId="6F4CC9A3" w14:textId="28DDACDF"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[10] </w:t>
      </w:r>
      <w:proofErr w:type="spellStart"/>
      <w:r w:rsidRPr="00EB1704">
        <w:rPr>
          <w:color w:val="222222"/>
          <w:sz w:val="24"/>
          <w:shd w:val="clear" w:color="auto" w:fill="FFFFFF"/>
        </w:rPr>
        <w:t>Narukulla</w:t>
      </w:r>
      <w:proofErr w:type="spellEnd"/>
      <w:r w:rsidRPr="00EB1704">
        <w:rPr>
          <w:color w:val="222222"/>
          <w:sz w:val="24"/>
          <w:shd w:val="clear" w:color="auto" w:fill="FFFFFF"/>
        </w:rPr>
        <w:t xml:space="preserve"> R, Singh A, Chaturvedi KR, Sharma T. Surfactants in EOR. In</w:t>
      </w:r>
      <w:r w:rsidR="00604834" w:rsidRPr="00EB1704">
        <w:rPr>
          <w:color w:val="222222"/>
          <w:sz w:val="24"/>
          <w:shd w:val="clear" w:color="auto" w:fill="FFFFFF"/>
        </w:rPr>
        <w:t xml:space="preserve"> </w:t>
      </w:r>
      <w:r w:rsidRPr="00EB1704">
        <w:rPr>
          <w:color w:val="222222"/>
          <w:sz w:val="24"/>
          <w:shd w:val="clear" w:color="auto" w:fill="FFFFFF"/>
        </w:rPr>
        <w:t>Advancements in Chemical Enhanced Oil Recovery 2025 (pp. 85-104). Apple Academic Press.</w:t>
      </w:r>
    </w:p>
    <w:p w14:paraId="6FE06E72"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lastRenderedPageBreak/>
        <w:t xml:space="preserve">[11] </w:t>
      </w:r>
      <w:r w:rsidRPr="00EB1704">
        <w:rPr>
          <w:color w:val="222222"/>
          <w:sz w:val="24"/>
          <w:shd w:val="clear" w:color="auto" w:fill="FFFFFF"/>
        </w:rPr>
        <w:t>Negi A. Environmental Impact of Textile Materials: Challenges in Fiber–Dye Chemistry and Implication of Microbial Biodegradation. Polymers. 2025 Mar 24;17(7):871.</w:t>
      </w:r>
    </w:p>
    <w:p w14:paraId="0FF9EB8D"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[12] </w:t>
      </w:r>
      <w:r w:rsidRPr="00EB1704">
        <w:rPr>
          <w:color w:val="222222"/>
          <w:sz w:val="24"/>
          <w:shd w:val="clear" w:color="auto" w:fill="FFFFFF"/>
        </w:rPr>
        <w:t xml:space="preserve">Sarkar B. Micellar enhanced ultrafiltration in the treatment of dye wastewater: Fundamentals, state-of-the-art and future perspectives. Groundwater for Sustainable Development. 2022 May </w:t>
      </w:r>
      <w:proofErr w:type="gramStart"/>
      <w:r w:rsidRPr="00EB1704">
        <w:rPr>
          <w:color w:val="222222"/>
          <w:sz w:val="24"/>
          <w:shd w:val="clear" w:color="auto" w:fill="FFFFFF"/>
        </w:rPr>
        <w:t>1;17:100730</w:t>
      </w:r>
      <w:proofErr w:type="gramEnd"/>
      <w:r w:rsidRPr="00EB1704">
        <w:rPr>
          <w:color w:val="222222"/>
          <w:sz w:val="24"/>
          <w:shd w:val="clear" w:color="auto" w:fill="FFFFFF"/>
        </w:rPr>
        <w:t>.</w:t>
      </w:r>
    </w:p>
    <w:p w14:paraId="01CE3580" w14:textId="6D47181D"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[13] </w:t>
      </w:r>
      <w:r w:rsidRPr="00EB1704">
        <w:rPr>
          <w:color w:val="222222"/>
          <w:sz w:val="24"/>
          <w:shd w:val="clear" w:color="auto" w:fill="FFFFFF"/>
        </w:rPr>
        <w:t>Singh AK, Keshari P. Analytical Methods for Electrochemical Sensors. In</w:t>
      </w:r>
      <w:r w:rsidR="00934BE6" w:rsidRPr="00EB1704">
        <w:rPr>
          <w:color w:val="222222"/>
          <w:sz w:val="24"/>
          <w:shd w:val="clear" w:color="auto" w:fill="FFFFFF"/>
        </w:rPr>
        <w:t xml:space="preserve"> </w:t>
      </w:r>
      <w:r w:rsidRPr="00EB1704">
        <w:rPr>
          <w:color w:val="222222"/>
          <w:sz w:val="24"/>
          <w:shd w:val="clear" w:color="auto" w:fill="FFFFFF"/>
        </w:rPr>
        <w:t>Nanomaterials for Electrochemical Sensing (pp. 49-66). CRC Press.</w:t>
      </w:r>
    </w:p>
    <w:p w14:paraId="5EE72898" w14:textId="77777777" w:rsidR="001764DE" w:rsidRPr="00EB1704" w:rsidRDefault="001764DE" w:rsidP="001764DE">
      <w:pPr>
        <w:pStyle w:val="NoSpacing"/>
        <w:spacing w:line="480" w:lineRule="auto"/>
        <w:ind w:left="0"/>
        <w:rPr>
          <w:color w:val="4472C4" w:themeColor="accent1"/>
          <w:sz w:val="24"/>
        </w:rPr>
      </w:pPr>
      <w:r w:rsidRPr="00EB1704">
        <w:rPr>
          <w:color w:val="auto"/>
          <w:sz w:val="24"/>
        </w:rPr>
        <w:t xml:space="preserve">[14] </w:t>
      </w:r>
      <w:proofErr w:type="spellStart"/>
      <w:r w:rsidRPr="00EB1704">
        <w:rPr>
          <w:color w:val="222222"/>
          <w:sz w:val="24"/>
          <w:shd w:val="clear" w:color="auto" w:fill="FFFFFF"/>
        </w:rPr>
        <w:t>Onder</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Begar</w:t>
      </w:r>
      <w:proofErr w:type="spellEnd"/>
      <w:r w:rsidRPr="00EB1704">
        <w:rPr>
          <w:color w:val="222222"/>
          <w:sz w:val="24"/>
          <w:shd w:val="clear" w:color="auto" w:fill="FFFFFF"/>
        </w:rPr>
        <w:t xml:space="preserve"> F, </w:t>
      </w:r>
      <w:proofErr w:type="spellStart"/>
      <w:r w:rsidRPr="00EB1704">
        <w:rPr>
          <w:color w:val="222222"/>
          <w:sz w:val="24"/>
          <w:shd w:val="clear" w:color="auto" w:fill="FFFFFF"/>
        </w:rPr>
        <w:t>Kibris</w:t>
      </w:r>
      <w:proofErr w:type="spellEnd"/>
      <w:r w:rsidRPr="00EB1704">
        <w:rPr>
          <w:color w:val="222222"/>
          <w:sz w:val="24"/>
          <w:shd w:val="clear" w:color="auto" w:fill="FFFFFF"/>
        </w:rPr>
        <w:t xml:space="preserve"> E, </w:t>
      </w:r>
      <w:proofErr w:type="spellStart"/>
      <w:r w:rsidRPr="00EB1704">
        <w:rPr>
          <w:color w:val="222222"/>
          <w:sz w:val="24"/>
          <w:shd w:val="clear" w:color="auto" w:fill="FFFFFF"/>
        </w:rPr>
        <w:t>Buyukcakir</w:t>
      </w:r>
      <w:proofErr w:type="spellEnd"/>
      <w:r w:rsidRPr="00EB1704">
        <w:rPr>
          <w:color w:val="222222"/>
          <w:sz w:val="24"/>
          <w:shd w:val="clear" w:color="auto" w:fill="FFFFFF"/>
        </w:rPr>
        <w:t xml:space="preserve"> O, </w:t>
      </w:r>
      <w:proofErr w:type="spellStart"/>
      <w:r w:rsidRPr="00EB1704">
        <w:rPr>
          <w:color w:val="222222"/>
          <w:sz w:val="24"/>
          <w:shd w:val="clear" w:color="auto" w:fill="FFFFFF"/>
        </w:rPr>
        <w:t>Yildiz</w:t>
      </w:r>
      <w:proofErr w:type="spellEnd"/>
      <w:r w:rsidRPr="00EB1704">
        <w:rPr>
          <w:color w:val="222222"/>
          <w:sz w:val="24"/>
          <w:shd w:val="clear" w:color="auto" w:fill="FFFFFF"/>
        </w:rPr>
        <w:t xml:space="preserve"> UH. Nitrate sensing with molecular cage ionophores: a potentiometric approach. Sensors &amp; Diagnostics. 2025.</w:t>
      </w:r>
    </w:p>
    <w:p w14:paraId="650D38CB" w14:textId="77777777" w:rsidR="001764DE" w:rsidRPr="00EB1704" w:rsidRDefault="001764DE" w:rsidP="001764DE">
      <w:pPr>
        <w:pStyle w:val="NoSpacing"/>
        <w:spacing w:line="480" w:lineRule="auto"/>
        <w:ind w:left="0"/>
        <w:rPr>
          <w:color w:val="222222"/>
          <w:sz w:val="24"/>
          <w:shd w:val="clear" w:color="auto" w:fill="FFFFFF"/>
        </w:rPr>
      </w:pPr>
      <w:r w:rsidRPr="00EB1704">
        <w:rPr>
          <w:color w:val="auto"/>
          <w:sz w:val="24"/>
        </w:rPr>
        <w:t xml:space="preserve">[15] </w:t>
      </w:r>
      <w:r w:rsidRPr="00EB1704">
        <w:rPr>
          <w:color w:val="222222"/>
          <w:sz w:val="24"/>
          <w:shd w:val="clear" w:color="auto" w:fill="FFFFFF"/>
        </w:rPr>
        <w:t>Malik NA, Fatma I, Din MA, Ahmad H, Lubna S, Ashraf M. The Dynamic Impact of Synthetic Dyes on the Physicochemical Parameters of Cationic and Anionic Surfactants. Current Physical Chemistry. 2024 Oct 9.</w:t>
      </w:r>
    </w:p>
    <w:p w14:paraId="6A430A32" w14:textId="1B64CA0A" w:rsidR="00A22CC2" w:rsidRPr="00EB1704" w:rsidRDefault="00A22CC2" w:rsidP="001764DE">
      <w:pPr>
        <w:pStyle w:val="NoSpacing"/>
        <w:spacing w:line="480" w:lineRule="auto"/>
        <w:ind w:left="0"/>
        <w:rPr>
          <w:color w:val="000000" w:themeColor="text1"/>
          <w:sz w:val="24"/>
        </w:rPr>
      </w:pPr>
      <w:r w:rsidRPr="00EB1704">
        <w:rPr>
          <w:color w:val="000000" w:themeColor="text1"/>
          <w:sz w:val="24"/>
        </w:rPr>
        <w:t>[16] Kumari KA, Shyamala P. A micellar based preconcentration method for the extraction of Eriochrome Blue Black R dye using an adsorptive micellar flocculation technique and determination of thermodynamic parameters. Int J Eng Res Technol. 2022;11(7):78.</w:t>
      </w:r>
    </w:p>
    <w:p w14:paraId="4748B1F7" w14:textId="44212018" w:rsidR="001764DE" w:rsidRPr="00EB1704" w:rsidRDefault="001764DE" w:rsidP="001764DE">
      <w:pPr>
        <w:pStyle w:val="NoSpacing"/>
        <w:spacing w:line="480" w:lineRule="auto"/>
        <w:ind w:left="0"/>
        <w:rPr>
          <w:color w:val="222222"/>
          <w:sz w:val="24"/>
          <w:shd w:val="clear" w:color="auto" w:fill="FFFFFF"/>
        </w:rPr>
      </w:pPr>
      <w:r w:rsidRPr="00EB1704">
        <w:rPr>
          <w:color w:val="auto"/>
          <w:sz w:val="24"/>
        </w:rPr>
        <w:t>[1</w:t>
      </w:r>
      <w:r w:rsidR="00934BE6" w:rsidRPr="00EB1704">
        <w:rPr>
          <w:color w:val="auto"/>
          <w:sz w:val="24"/>
        </w:rPr>
        <w:t>7</w:t>
      </w:r>
      <w:r w:rsidRPr="00EB1704">
        <w:rPr>
          <w:color w:val="auto"/>
          <w:sz w:val="24"/>
        </w:rPr>
        <w:t xml:space="preserve">] </w:t>
      </w:r>
      <w:r w:rsidRPr="00EB1704">
        <w:rPr>
          <w:color w:val="222222"/>
          <w:sz w:val="24"/>
          <w:shd w:val="clear" w:color="auto" w:fill="FFFFFF"/>
        </w:rPr>
        <w:t xml:space="preserve">Nazar MF, Shah SS, Khosa MA. Interaction of azo dye with cationic surfactant under different pH conditions. Journal of surfactants and detergents. 2010 </w:t>
      </w:r>
      <w:proofErr w:type="gramStart"/>
      <w:r w:rsidRPr="00EB1704">
        <w:rPr>
          <w:color w:val="222222"/>
          <w:sz w:val="24"/>
          <w:shd w:val="clear" w:color="auto" w:fill="FFFFFF"/>
        </w:rPr>
        <w:t>Oct;13:529</w:t>
      </w:r>
      <w:proofErr w:type="gramEnd"/>
      <w:r w:rsidRPr="00EB1704">
        <w:rPr>
          <w:color w:val="222222"/>
          <w:sz w:val="24"/>
          <w:shd w:val="clear" w:color="auto" w:fill="FFFFFF"/>
        </w:rPr>
        <w:t>-37.</w:t>
      </w:r>
    </w:p>
    <w:p w14:paraId="5CD8B7FE" w14:textId="46610232" w:rsidR="002E488D" w:rsidRPr="00EB1704" w:rsidRDefault="002E488D" w:rsidP="001764DE">
      <w:pPr>
        <w:pStyle w:val="NoSpacing"/>
        <w:spacing w:line="480" w:lineRule="auto"/>
        <w:ind w:left="0"/>
        <w:rPr>
          <w:color w:val="4472C4" w:themeColor="accent1"/>
          <w:sz w:val="24"/>
        </w:rPr>
      </w:pPr>
      <w:r w:rsidRPr="00EB1704">
        <w:rPr>
          <w:color w:val="222222"/>
          <w:sz w:val="24"/>
          <w:shd w:val="clear" w:color="auto" w:fill="FFFFFF"/>
        </w:rPr>
        <w:t>[1</w:t>
      </w:r>
      <w:r w:rsidR="00DB215E" w:rsidRPr="00EB1704">
        <w:rPr>
          <w:color w:val="222222"/>
          <w:sz w:val="24"/>
          <w:shd w:val="clear" w:color="auto" w:fill="FFFFFF"/>
        </w:rPr>
        <w:t>8</w:t>
      </w:r>
      <w:r w:rsidRPr="00EB1704">
        <w:rPr>
          <w:color w:val="222222"/>
          <w:sz w:val="24"/>
          <w:shd w:val="clear" w:color="auto" w:fill="FFFFFF"/>
        </w:rPr>
        <w:t>] Ladhe AR. Surfactant and Metal Sorption Studies by functionalized membranes and quartz crystal microbalance.</w:t>
      </w:r>
    </w:p>
    <w:p w14:paraId="4AE031FD" w14:textId="45F5DA5A" w:rsidR="001764DE" w:rsidRPr="00EB1704" w:rsidRDefault="001764DE" w:rsidP="001764DE">
      <w:pPr>
        <w:pStyle w:val="NoSpacing"/>
        <w:spacing w:line="480" w:lineRule="auto"/>
        <w:ind w:left="0"/>
        <w:rPr>
          <w:color w:val="4472C4" w:themeColor="accent1"/>
          <w:sz w:val="24"/>
        </w:rPr>
      </w:pPr>
      <w:r w:rsidRPr="00EB1704">
        <w:rPr>
          <w:color w:val="auto"/>
          <w:sz w:val="24"/>
        </w:rPr>
        <w:t>[</w:t>
      </w:r>
      <w:r w:rsidR="002E488D" w:rsidRPr="00EB1704">
        <w:rPr>
          <w:color w:val="auto"/>
          <w:sz w:val="24"/>
        </w:rPr>
        <w:t>1</w:t>
      </w:r>
      <w:r w:rsidR="00DB215E" w:rsidRPr="00EB1704">
        <w:rPr>
          <w:color w:val="auto"/>
          <w:sz w:val="24"/>
        </w:rPr>
        <w:t>9</w:t>
      </w:r>
      <w:r w:rsidRPr="00EB1704">
        <w:rPr>
          <w:color w:val="auto"/>
          <w:sz w:val="24"/>
        </w:rPr>
        <w:t xml:space="preserve">] </w:t>
      </w:r>
      <w:r w:rsidRPr="00EB1704">
        <w:rPr>
          <w:color w:val="222222"/>
          <w:sz w:val="24"/>
          <w:shd w:val="clear" w:color="auto" w:fill="FFFFFF"/>
        </w:rPr>
        <w:t>Yadav CK, Bhattarai A, Niraula TP, Yadav AP, Adhikari MK, Yadav YP, Yadav D, Singh S. Critical analysis of surfactant-dye Interaction: A review. Amrit Journal. 2023 Dec 31;3(1):66-77.</w:t>
      </w:r>
    </w:p>
    <w:p w14:paraId="15EA87E9" w14:textId="1FC2B178" w:rsidR="001764DE" w:rsidRPr="00EB1704" w:rsidRDefault="001764DE" w:rsidP="001764DE">
      <w:pPr>
        <w:pStyle w:val="NoSpacing"/>
        <w:spacing w:line="480" w:lineRule="auto"/>
        <w:ind w:left="0"/>
        <w:rPr>
          <w:color w:val="4472C4" w:themeColor="accent1"/>
          <w:sz w:val="24"/>
        </w:rPr>
      </w:pPr>
      <w:r w:rsidRPr="00EB1704">
        <w:rPr>
          <w:color w:val="auto"/>
          <w:sz w:val="24"/>
        </w:rPr>
        <w:t>[</w:t>
      </w:r>
      <w:r w:rsidR="00DB215E" w:rsidRPr="00EB1704">
        <w:rPr>
          <w:color w:val="auto"/>
          <w:sz w:val="24"/>
        </w:rPr>
        <w:t>20</w:t>
      </w:r>
      <w:r w:rsidRPr="00EB1704">
        <w:rPr>
          <w:color w:val="auto"/>
          <w:sz w:val="24"/>
        </w:rPr>
        <w:t xml:space="preserve">] </w:t>
      </w:r>
      <w:proofErr w:type="spellStart"/>
      <w:r w:rsidRPr="00EB1704">
        <w:rPr>
          <w:color w:val="222222"/>
          <w:sz w:val="24"/>
          <w:shd w:val="clear" w:color="auto" w:fill="FFFFFF"/>
        </w:rPr>
        <w:t>Saranjam</w:t>
      </w:r>
      <w:proofErr w:type="spellEnd"/>
      <w:r w:rsidRPr="00EB1704">
        <w:rPr>
          <w:color w:val="222222"/>
          <w:sz w:val="24"/>
          <w:shd w:val="clear" w:color="auto" w:fill="FFFFFF"/>
        </w:rPr>
        <w:t xml:space="preserve"> L. Prediction of partition coefficients for systems of micelles using DFT.</w:t>
      </w:r>
    </w:p>
    <w:p w14:paraId="616CB6AE" w14:textId="477E75B5" w:rsidR="001764DE" w:rsidRPr="00EB1704" w:rsidRDefault="001764DE" w:rsidP="001764DE">
      <w:pPr>
        <w:pStyle w:val="NoSpacing"/>
        <w:spacing w:line="480" w:lineRule="auto"/>
        <w:ind w:left="0"/>
        <w:rPr>
          <w:color w:val="4472C4" w:themeColor="accent1"/>
          <w:sz w:val="24"/>
        </w:rPr>
      </w:pPr>
      <w:r w:rsidRPr="00EB1704">
        <w:rPr>
          <w:color w:val="auto"/>
          <w:sz w:val="24"/>
        </w:rPr>
        <w:t>[</w:t>
      </w:r>
      <w:r w:rsidR="002E488D" w:rsidRPr="00EB1704">
        <w:rPr>
          <w:color w:val="auto"/>
          <w:sz w:val="24"/>
        </w:rPr>
        <w:t>2</w:t>
      </w:r>
      <w:r w:rsidR="00042ED8" w:rsidRPr="00EB1704">
        <w:rPr>
          <w:color w:val="auto"/>
          <w:sz w:val="24"/>
        </w:rPr>
        <w:t>1</w:t>
      </w:r>
      <w:r w:rsidRPr="00EB1704">
        <w:rPr>
          <w:color w:val="auto"/>
          <w:sz w:val="24"/>
        </w:rPr>
        <w:t xml:space="preserve">] </w:t>
      </w:r>
      <w:r w:rsidRPr="00EB1704">
        <w:rPr>
          <w:color w:val="222222"/>
          <w:sz w:val="24"/>
          <w:shd w:val="clear" w:color="auto" w:fill="FFFFFF"/>
        </w:rPr>
        <w:t>Taj MB, Noor S, Javed T, Ihsan A, Sarwari G, Jabeen S, Sharif T, Naseem Z, Naz I, Iqbal H, Ghani N. Effect of nonionic surfactant on micellization thermodynamics and spectroscopic profile of dye-surfactant aggregation. Journal of Dispersion Science and Technology. 2023 Mar 22;44(4):669-78.</w:t>
      </w:r>
    </w:p>
    <w:p w14:paraId="22A92487" w14:textId="32AB7AFC" w:rsidR="001764DE" w:rsidRPr="00EB1704" w:rsidRDefault="001764DE" w:rsidP="001764DE">
      <w:pPr>
        <w:pStyle w:val="NoSpacing"/>
        <w:spacing w:line="480" w:lineRule="auto"/>
        <w:ind w:left="0"/>
        <w:rPr>
          <w:color w:val="4472C4" w:themeColor="accent1"/>
          <w:sz w:val="24"/>
        </w:rPr>
      </w:pPr>
      <w:r w:rsidRPr="00EB1704">
        <w:rPr>
          <w:color w:val="auto"/>
          <w:sz w:val="24"/>
        </w:rPr>
        <w:lastRenderedPageBreak/>
        <w:t>[2</w:t>
      </w:r>
      <w:r w:rsidR="00042ED8" w:rsidRPr="00EB1704">
        <w:rPr>
          <w:color w:val="auto"/>
          <w:sz w:val="24"/>
        </w:rPr>
        <w:t>2</w:t>
      </w:r>
      <w:r w:rsidRPr="00EB1704">
        <w:rPr>
          <w:color w:val="auto"/>
          <w:sz w:val="24"/>
        </w:rPr>
        <w:t xml:space="preserve">] </w:t>
      </w:r>
      <w:proofErr w:type="spellStart"/>
      <w:r w:rsidRPr="00EB1704">
        <w:rPr>
          <w:color w:val="222222"/>
          <w:sz w:val="24"/>
          <w:shd w:val="clear" w:color="auto" w:fill="FFFFFF"/>
        </w:rPr>
        <w:t>Saranjam</w:t>
      </w:r>
      <w:proofErr w:type="spellEnd"/>
      <w:r w:rsidRPr="00EB1704">
        <w:rPr>
          <w:color w:val="222222"/>
          <w:sz w:val="24"/>
          <w:shd w:val="clear" w:color="auto" w:fill="FFFFFF"/>
        </w:rPr>
        <w:t xml:space="preserve"> L. Prediction of partition coefficients for systems of micelles using DFT.</w:t>
      </w:r>
    </w:p>
    <w:p w14:paraId="4DEB176C" w14:textId="57A45B38" w:rsidR="001764DE" w:rsidRPr="00EB1704" w:rsidRDefault="001764DE" w:rsidP="001764DE">
      <w:pPr>
        <w:pStyle w:val="NoSpacing"/>
        <w:spacing w:line="480" w:lineRule="auto"/>
        <w:ind w:left="0"/>
        <w:rPr>
          <w:color w:val="4472C4" w:themeColor="accent1"/>
          <w:sz w:val="24"/>
        </w:rPr>
      </w:pPr>
      <w:r w:rsidRPr="00EB1704">
        <w:rPr>
          <w:color w:val="auto"/>
          <w:sz w:val="24"/>
        </w:rPr>
        <w:t>[2</w:t>
      </w:r>
      <w:r w:rsidR="00042ED8" w:rsidRPr="00EB1704">
        <w:rPr>
          <w:color w:val="auto"/>
          <w:sz w:val="24"/>
        </w:rPr>
        <w:t>3</w:t>
      </w:r>
      <w:r w:rsidRPr="00EB1704">
        <w:rPr>
          <w:color w:val="auto"/>
          <w:sz w:val="24"/>
        </w:rPr>
        <w:t xml:space="preserve">] </w:t>
      </w:r>
      <w:proofErr w:type="spellStart"/>
      <w:r w:rsidRPr="00EB1704">
        <w:rPr>
          <w:color w:val="222222"/>
          <w:sz w:val="24"/>
          <w:shd w:val="clear" w:color="auto" w:fill="FFFFFF"/>
        </w:rPr>
        <w:t>Farkaš</w:t>
      </w:r>
      <w:proofErr w:type="spellEnd"/>
      <w:r w:rsidRPr="00EB1704">
        <w:rPr>
          <w:color w:val="222222"/>
          <w:sz w:val="24"/>
          <w:shd w:val="clear" w:color="auto" w:fill="FFFFFF"/>
        </w:rPr>
        <w:t xml:space="preserve"> </w:t>
      </w:r>
      <w:proofErr w:type="spellStart"/>
      <w:r w:rsidRPr="00EB1704">
        <w:rPr>
          <w:color w:val="222222"/>
          <w:sz w:val="24"/>
          <w:shd w:val="clear" w:color="auto" w:fill="FFFFFF"/>
        </w:rPr>
        <w:t>Agatić</w:t>
      </w:r>
      <w:proofErr w:type="spellEnd"/>
      <w:r w:rsidRPr="00EB1704">
        <w:rPr>
          <w:color w:val="222222"/>
          <w:sz w:val="24"/>
          <w:shd w:val="clear" w:color="auto" w:fill="FFFFFF"/>
        </w:rPr>
        <w:t xml:space="preserve"> Z, </w:t>
      </w:r>
      <w:proofErr w:type="spellStart"/>
      <w:r w:rsidRPr="00EB1704">
        <w:rPr>
          <w:color w:val="222222"/>
          <w:sz w:val="24"/>
          <w:shd w:val="clear" w:color="auto" w:fill="FFFFFF"/>
        </w:rPr>
        <w:t>Tepavčević</w:t>
      </w:r>
      <w:proofErr w:type="spellEnd"/>
      <w:r w:rsidRPr="00EB1704">
        <w:rPr>
          <w:color w:val="222222"/>
          <w:sz w:val="24"/>
          <w:shd w:val="clear" w:color="auto" w:fill="FFFFFF"/>
        </w:rPr>
        <w:t xml:space="preserve"> V, Lalić-Popović M, </w:t>
      </w:r>
      <w:proofErr w:type="spellStart"/>
      <w:r w:rsidRPr="00EB1704">
        <w:rPr>
          <w:color w:val="222222"/>
          <w:sz w:val="24"/>
          <w:shd w:val="clear" w:color="auto" w:fill="FFFFFF"/>
        </w:rPr>
        <w:t>Todorović</w:t>
      </w:r>
      <w:proofErr w:type="spellEnd"/>
      <w:r w:rsidRPr="00EB1704">
        <w:rPr>
          <w:color w:val="222222"/>
          <w:sz w:val="24"/>
          <w:shd w:val="clear" w:color="auto" w:fill="FFFFFF"/>
        </w:rPr>
        <w:t xml:space="preserve"> N, </w:t>
      </w:r>
      <w:proofErr w:type="spellStart"/>
      <w:r w:rsidRPr="00EB1704">
        <w:rPr>
          <w:color w:val="222222"/>
          <w:sz w:val="24"/>
          <w:shd w:val="clear" w:color="auto" w:fill="FFFFFF"/>
        </w:rPr>
        <w:t>Stijepanović</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Poša</w:t>
      </w:r>
      <w:proofErr w:type="spellEnd"/>
      <w:r w:rsidRPr="00EB1704">
        <w:rPr>
          <w:color w:val="222222"/>
          <w:sz w:val="24"/>
          <w:shd w:val="clear" w:color="auto" w:fill="FFFFFF"/>
        </w:rPr>
        <w:t xml:space="preserve"> M. A </w:t>
      </w:r>
      <w:proofErr w:type="spellStart"/>
      <w:r w:rsidRPr="00EB1704">
        <w:rPr>
          <w:color w:val="222222"/>
          <w:sz w:val="24"/>
          <w:shd w:val="clear" w:color="auto" w:fill="FFFFFF"/>
        </w:rPr>
        <w:t>Preformulation</w:t>
      </w:r>
      <w:proofErr w:type="spellEnd"/>
      <w:r w:rsidRPr="00EB1704">
        <w:rPr>
          <w:color w:val="222222"/>
          <w:sz w:val="24"/>
          <w:shd w:val="clear" w:color="auto" w:fill="FFFFFF"/>
        </w:rPr>
        <w:t xml:space="preserve"> Experiment: The Influence of Poloxamer 188 and Poloxamer 407 on the Binding Coefficients (Single Molecule) and the Partitioning Coefficients (Micelle) of Ketoprofen (Probe Molecule) with Sodium Cholate, Dodecyl Trimethylammonium Bromide and BrijC10 Surfactants. Pharmaceutical Research. 2025 Apr 4:1-4.</w:t>
      </w:r>
    </w:p>
    <w:p w14:paraId="4EEE75E8" w14:textId="266D67E9" w:rsidR="001764DE" w:rsidRPr="00EB1704" w:rsidRDefault="001764DE" w:rsidP="001764DE">
      <w:pPr>
        <w:pStyle w:val="NoSpacing"/>
        <w:spacing w:line="480" w:lineRule="auto"/>
        <w:ind w:left="0"/>
        <w:rPr>
          <w:color w:val="4472C4" w:themeColor="accent1"/>
          <w:sz w:val="24"/>
        </w:rPr>
      </w:pPr>
      <w:r w:rsidRPr="00EB1704">
        <w:rPr>
          <w:color w:val="auto"/>
          <w:sz w:val="24"/>
        </w:rPr>
        <w:t>[2</w:t>
      </w:r>
      <w:r w:rsidR="00042ED8" w:rsidRPr="00EB1704">
        <w:rPr>
          <w:color w:val="auto"/>
          <w:sz w:val="24"/>
        </w:rPr>
        <w:t>4</w:t>
      </w:r>
      <w:r w:rsidRPr="00EB1704">
        <w:rPr>
          <w:color w:val="auto"/>
          <w:sz w:val="24"/>
        </w:rPr>
        <w:t xml:space="preserve">] </w:t>
      </w:r>
      <w:r w:rsidRPr="00EB1704">
        <w:rPr>
          <w:color w:val="222222"/>
          <w:sz w:val="24"/>
          <w:shd w:val="clear" w:color="auto" w:fill="FFFFFF"/>
        </w:rPr>
        <w:t xml:space="preserve">Jamir N, </w:t>
      </w:r>
      <w:proofErr w:type="spellStart"/>
      <w:r w:rsidRPr="00EB1704">
        <w:rPr>
          <w:color w:val="222222"/>
          <w:sz w:val="24"/>
          <w:shd w:val="clear" w:color="auto" w:fill="FFFFFF"/>
        </w:rPr>
        <w:t>Sangtam</w:t>
      </w:r>
      <w:proofErr w:type="spellEnd"/>
      <w:r w:rsidRPr="00EB1704">
        <w:rPr>
          <w:color w:val="222222"/>
          <w:sz w:val="24"/>
          <w:shd w:val="clear" w:color="auto" w:fill="FFFFFF"/>
        </w:rPr>
        <w:t xml:space="preserve"> T, </w:t>
      </w:r>
      <w:proofErr w:type="spellStart"/>
      <w:r w:rsidRPr="00EB1704">
        <w:rPr>
          <w:color w:val="222222"/>
          <w:sz w:val="24"/>
          <w:shd w:val="clear" w:color="auto" w:fill="FFFFFF"/>
        </w:rPr>
        <w:t>Naorem</w:t>
      </w:r>
      <w:proofErr w:type="spellEnd"/>
      <w:r w:rsidRPr="00EB1704">
        <w:rPr>
          <w:color w:val="222222"/>
          <w:sz w:val="24"/>
          <w:shd w:val="clear" w:color="auto" w:fill="FFFFFF"/>
        </w:rPr>
        <w:t xml:space="preserve"> H, Devi SD. Spectrophotometric studies on merocyanine dye-surfactant interactions in mixed aqueous organic solvent media containing alkyl substituted ethylene/diethylene glycol. Journal of Molecular Liquids. 2025 Feb 11:127137.</w:t>
      </w:r>
    </w:p>
    <w:p w14:paraId="2D2E1FCC" w14:textId="5999FB36" w:rsidR="001764DE" w:rsidRPr="00EB1704" w:rsidRDefault="001764DE" w:rsidP="001764DE">
      <w:pPr>
        <w:pStyle w:val="NoSpacing"/>
        <w:spacing w:line="480" w:lineRule="auto"/>
        <w:ind w:left="0"/>
        <w:rPr>
          <w:color w:val="4472C4" w:themeColor="accent1"/>
          <w:sz w:val="24"/>
        </w:rPr>
      </w:pPr>
      <w:r w:rsidRPr="00EB1704">
        <w:rPr>
          <w:color w:val="auto"/>
          <w:sz w:val="24"/>
        </w:rPr>
        <w:t>[2</w:t>
      </w:r>
      <w:r w:rsidR="00042ED8" w:rsidRPr="00EB1704">
        <w:rPr>
          <w:color w:val="auto"/>
          <w:sz w:val="24"/>
        </w:rPr>
        <w:t>5</w:t>
      </w:r>
      <w:r w:rsidRPr="00EB1704">
        <w:rPr>
          <w:color w:val="auto"/>
          <w:sz w:val="24"/>
        </w:rPr>
        <w:t xml:space="preserve">] </w:t>
      </w:r>
      <w:proofErr w:type="spellStart"/>
      <w:r w:rsidRPr="00EB1704">
        <w:rPr>
          <w:color w:val="222222"/>
          <w:sz w:val="24"/>
          <w:shd w:val="clear" w:color="auto" w:fill="FFFFFF"/>
        </w:rPr>
        <w:t>Edbey</w:t>
      </w:r>
      <w:proofErr w:type="spellEnd"/>
      <w:r w:rsidRPr="00EB1704">
        <w:rPr>
          <w:color w:val="222222"/>
          <w:sz w:val="24"/>
          <w:shd w:val="clear" w:color="auto" w:fill="FFFFFF"/>
        </w:rPr>
        <w:t xml:space="preserve"> K, Kumar M, El-</w:t>
      </w:r>
      <w:proofErr w:type="spellStart"/>
      <w:r w:rsidRPr="00EB1704">
        <w:rPr>
          <w:color w:val="222222"/>
          <w:sz w:val="24"/>
          <w:shd w:val="clear" w:color="auto" w:fill="FFFFFF"/>
        </w:rPr>
        <w:t>Hashani</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Alarfi</w:t>
      </w:r>
      <w:proofErr w:type="spellEnd"/>
      <w:r w:rsidRPr="00EB1704">
        <w:rPr>
          <w:color w:val="222222"/>
          <w:sz w:val="24"/>
          <w:shd w:val="clear" w:color="auto" w:fill="FFFFFF"/>
        </w:rPr>
        <w:t xml:space="preserve"> H, Kumar D, Bhattarai A. Interaction of anionic dye ethyl orange and cationic </w:t>
      </w:r>
      <w:proofErr w:type="spellStart"/>
      <w:r w:rsidRPr="00EB1704">
        <w:rPr>
          <w:color w:val="222222"/>
          <w:sz w:val="24"/>
          <w:shd w:val="clear" w:color="auto" w:fill="FFFFFF"/>
        </w:rPr>
        <w:t>CnTAC</w:t>
      </w:r>
      <w:proofErr w:type="spellEnd"/>
      <w:r w:rsidRPr="00EB1704">
        <w:rPr>
          <w:color w:val="222222"/>
          <w:sz w:val="24"/>
          <w:shd w:val="clear" w:color="auto" w:fill="FFFFFF"/>
        </w:rPr>
        <w:t xml:space="preserve"> surfactants: a multi technique investigation. Journal of Molecular Liquids. 2024 Aug </w:t>
      </w:r>
      <w:proofErr w:type="gramStart"/>
      <w:r w:rsidRPr="00EB1704">
        <w:rPr>
          <w:color w:val="222222"/>
          <w:sz w:val="24"/>
          <w:shd w:val="clear" w:color="auto" w:fill="FFFFFF"/>
        </w:rPr>
        <w:t>1;407:125166</w:t>
      </w:r>
      <w:proofErr w:type="gramEnd"/>
      <w:r w:rsidRPr="00EB1704">
        <w:rPr>
          <w:color w:val="222222"/>
          <w:sz w:val="24"/>
          <w:shd w:val="clear" w:color="auto" w:fill="FFFFFF"/>
        </w:rPr>
        <w:t>.</w:t>
      </w:r>
    </w:p>
    <w:p w14:paraId="5D8698C5" w14:textId="5F5DE481" w:rsidR="001764DE" w:rsidRPr="00EB1704" w:rsidRDefault="001764DE" w:rsidP="001764DE">
      <w:pPr>
        <w:pStyle w:val="NoSpacing"/>
        <w:spacing w:line="480" w:lineRule="auto"/>
        <w:ind w:left="0"/>
        <w:rPr>
          <w:color w:val="4472C4" w:themeColor="accent1"/>
          <w:sz w:val="24"/>
        </w:rPr>
      </w:pPr>
      <w:r w:rsidRPr="00EB1704">
        <w:rPr>
          <w:color w:val="auto"/>
          <w:sz w:val="24"/>
        </w:rPr>
        <w:t>[2</w:t>
      </w:r>
      <w:r w:rsidR="00042ED8" w:rsidRPr="00EB1704">
        <w:rPr>
          <w:color w:val="auto"/>
          <w:sz w:val="24"/>
        </w:rPr>
        <w:t>6</w:t>
      </w:r>
      <w:r w:rsidRPr="00EB1704">
        <w:rPr>
          <w:color w:val="auto"/>
          <w:sz w:val="24"/>
        </w:rPr>
        <w:t xml:space="preserve">] </w:t>
      </w:r>
      <w:r w:rsidRPr="00EB1704">
        <w:rPr>
          <w:color w:val="222222"/>
          <w:sz w:val="24"/>
          <w:shd w:val="clear" w:color="auto" w:fill="FFFFFF"/>
        </w:rPr>
        <w:t xml:space="preserve">Shapovalov SA. The first century of successful applications of </w:t>
      </w:r>
      <w:proofErr w:type="spellStart"/>
      <w:r w:rsidRPr="00EB1704">
        <w:rPr>
          <w:color w:val="222222"/>
          <w:sz w:val="24"/>
          <w:shd w:val="clear" w:color="auto" w:fill="FFFFFF"/>
        </w:rPr>
        <w:t>pinacyanol</w:t>
      </w:r>
      <w:proofErr w:type="spellEnd"/>
      <w:r w:rsidRPr="00EB1704">
        <w:rPr>
          <w:color w:val="222222"/>
          <w:sz w:val="24"/>
          <w:shd w:val="clear" w:color="auto" w:fill="FFFFFF"/>
        </w:rPr>
        <w:t>: some noteworthy results. Colorants. 2022 Apr 17;1(2):165-92.</w:t>
      </w:r>
    </w:p>
    <w:p w14:paraId="0F9F983C" w14:textId="0D11610A" w:rsidR="001764DE" w:rsidRPr="00EB1704" w:rsidRDefault="001764DE" w:rsidP="001764DE">
      <w:pPr>
        <w:pStyle w:val="NoSpacing"/>
        <w:spacing w:line="480" w:lineRule="auto"/>
        <w:ind w:left="0"/>
        <w:rPr>
          <w:color w:val="4472C4" w:themeColor="accent1"/>
          <w:sz w:val="24"/>
        </w:rPr>
      </w:pPr>
      <w:r w:rsidRPr="00EB1704">
        <w:rPr>
          <w:color w:val="auto"/>
          <w:sz w:val="24"/>
        </w:rPr>
        <w:t>[2</w:t>
      </w:r>
      <w:r w:rsidR="00042ED8" w:rsidRPr="00EB1704">
        <w:rPr>
          <w:color w:val="auto"/>
          <w:sz w:val="24"/>
        </w:rPr>
        <w:t>7</w:t>
      </w:r>
      <w:r w:rsidRPr="00EB1704">
        <w:rPr>
          <w:color w:val="auto"/>
          <w:sz w:val="24"/>
        </w:rPr>
        <w:t>]</w:t>
      </w:r>
      <w:r w:rsidRPr="00EB1704">
        <w:rPr>
          <w:color w:val="222222"/>
          <w:sz w:val="24"/>
          <w:shd w:val="clear" w:color="auto" w:fill="FFFFFF"/>
        </w:rPr>
        <w:t xml:space="preserve"> Tonoyan L, </w:t>
      </w:r>
      <w:proofErr w:type="spellStart"/>
      <w:r w:rsidRPr="00EB1704">
        <w:rPr>
          <w:color w:val="222222"/>
          <w:sz w:val="24"/>
          <w:shd w:val="clear" w:color="auto" w:fill="FFFFFF"/>
        </w:rPr>
        <w:t>Munira</w:t>
      </w:r>
      <w:proofErr w:type="spellEnd"/>
      <w:r w:rsidRPr="00EB1704">
        <w:rPr>
          <w:color w:val="222222"/>
          <w:sz w:val="24"/>
          <w:shd w:val="clear" w:color="auto" w:fill="FFFFFF"/>
        </w:rPr>
        <w:t xml:space="preserve"> S, </w:t>
      </w:r>
      <w:proofErr w:type="spellStart"/>
      <w:r w:rsidRPr="00EB1704">
        <w:rPr>
          <w:color w:val="222222"/>
          <w:sz w:val="24"/>
          <w:shd w:val="clear" w:color="auto" w:fill="FFFFFF"/>
        </w:rPr>
        <w:t>Lavasanifar</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Siraki</w:t>
      </w:r>
      <w:proofErr w:type="spellEnd"/>
      <w:r w:rsidRPr="00EB1704">
        <w:rPr>
          <w:color w:val="222222"/>
          <w:sz w:val="24"/>
          <w:shd w:val="clear" w:color="auto" w:fill="FFFFFF"/>
        </w:rPr>
        <w:t xml:space="preserve"> AG. Application of electron paramagnetic resonance spectroscopy for determining the relative </w:t>
      </w:r>
      <w:proofErr w:type="spellStart"/>
      <w:r w:rsidRPr="00EB1704">
        <w:rPr>
          <w:color w:val="222222"/>
          <w:sz w:val="24"/>
          <w:shd w:val="clear" w:color="auto" w:fill="FFFFFF"/>
        </w:rPr>
        <w:t>nanoenvironment</w:t>
      </w:r>
      <w:proofErr w:type="spellEnd"/>
      <w:r w:rsidRPr="00EB1704">
        <w:rPr>
          <w:color w:val="222222"/>
          <w:sz w:val="24"/>
          <w:shd w:val="clear" w:color="auto" w:fill="FFFFFF"/>
        </w:rPr>
        <w:t xml:space="preserve"> fluidity of polymeric micelles. European Biophysics Journal. 2024 May;53(4):171-81.</w:t>
      </w:r>
    </w:p>
    <w:p w14:paraId="789FE107" w14:textId="02C85FEE" w:rsidR="001764DE" w:rsidRPr="00EB1704" w:rsidRDefault="001764DE" w:rsidP="001764DE">
      <w:pPr>
        <w:pStyle w:val="NoSpacing"/>
        <w:spacing w:line="480" w:lineRule="auto"/>
        <w:ind w:left="0"/>
        <w:rPr>
          <w:color w:val="4472C4" w:themeColor="accent1"/>
          <w:sz w:val="24"/>
        </w:rPr>
      </w:pPr>
      <w:r w:rsidRPr="00EB1704">
        <w:rPr>
          <w:color w:val="auto"/>
          <w:sz w:val="24"/>
        </w:rPr>
        <w:t>[2</w:t>
      </w:r>
      <w:r w:rsidR="00042ED8" w:rsidRPr="00EB1704">
        <w:rPr>
          <w:color w:val="auto"/>
          <w:sz w:val="24"/>
        </w:rPr>
        <w:t>8</w:t>
      </w:r>
      <w:r w:rsidRPr="00EB1704">
        <w:rPr>
          <w:color w:val="auto"/>
          <w:sz w:val="24"/>
        </w:rPr>
        <w:t xml:space="preserve">] </w:t>
      </w:r>
      <w:r w:rsidRPr="00EB1704">
        <w:rPr>
          <w:color w:val="222222"/>
          <w:sz w:val="24"/>
          <w:shd w:val="clear" w:color="auto" w:fill="FFFFFF"/>
        </w:rPr>
        <w:t xml:space="preserve">Yang L, Feng L, Wang M, Zhao J, Li X, Hou M. Theoretical exploring effects of solvent polarity and atomic electronegativity on excited state </w:t>
      </w:r>
      <w:proofErr w:type="spellStart"/>
      <w:r w:rsidRPr="00EB1704">
        <w:rPr>
          <w:color w:val="222222"/>
          <w:sz w:val="24"/>
          <w:shd w:val="clear" w:color="auto" w:fill="FFFFFF"/>
        </w:rPr>
        <w:t>behaviour</w:t>
      </w:r>
      <w:proofErr w:type="spellEnd"/>
      <w:r w:rsidRPr="00EB1704">
        <w:rPr>
          <w:color w:val="222222"/>
          <w:sz w:val="24"/>
          <w:shd w:val="clear" w:color="auto" w:fill="FFFFFF"/>
        </w:rPr>
        <w:t xml:space="preserve"> for BY4TP fluorophore. Molecular Physics. 2024 Dec 1;122(23</w:t>
      </w:r>
      <w:proofErr w:type="gramStart"/>
      <w:r w:rsidRPr="00EB1704">
        <w:rPr>
          <w:color w:val="222222"/>
          <w:sz w:val="24"/>
          <w:shd w:val="clear" w:color="auto" w:fill="FFFFFF"/>
        </w:rPr>
        <w:t>):e</w:t>
      </w:r>
      <w:proofErr w:type="gramEnd"/>
      <w:r w:rsidRPr="00EB1704">
        <w:rPr>
          <w:color w:val="222222"/>
          <w:sz w:val="24"/>
          <w:shd w:val="clear" w:color="auto" w:fill="FFFFFF"/>
        </w:rPr>
        <w:t>2326574.</w:t>
      </w:r>
    </w:p>
    <w:p w14:paraId="2888C254" w14:textId="2A958B61" w:rsidR="001764DE" w:rsidRPr="00EB1704" w:rsidRDefault="001764DE" w:rsidP="001764DE">
      <w:pPr>
        <w:pStyle w:val="NoSpacing"/>
        <w:spacing w:line="480" w:lineRule="auto"/>
        <w:ind w:left="0"/>
        <w:rPr>
          <w:i/>
          <w:iCs/>
          <w:color w:val="4472C4" w:themeColor="accent1"/>
          <w:sz w:val="24"/>
        </w:rPr>
      </w:pPr>
      <w:r w:rsidRPr="00EB1704">
        <w:rPr>
          <w:color w:val="auto"/>
          <w:sz w:val="24"/>
        </w:rPr>
        <w:t>[2</w:t>
      </w:r>
      <w:r w:rsidR="00042ED8" w:rsidRPr="00EB1704">
        <w:rPr>
          <w:color w:val="auto"/>
          <w:sz w:val="24"/>
        </w:rPr>
        <w:t>9</w:t>
      </w:r>
      <w:r w:rsidRPr="00EB1704">
        <w:rPr>
          <w:color w:val="auto"/>
          <w:sz w:val="24"/>
        </w:rPr>
        <w:t xml:space="preserve">] </w:t>
      </w:r>
      <w:r w:rsidRPr="00EB1704">
        <w:rPr>
          <w:color w:val="222222"/>
          <w:sz w:val="24"/>
          <w:shd w:val="clear" w:color="auto" w:fill="FFFFFF"/>
        </w:rPr>
        <w:t xml:space="preserve">Pal A, Karmakar K, Sarkar R, Rahaman SM, Patra A, Saha B. A comprehensive spectral study of dye-surfactant complex formation by Xylenol Orange with selective aqueous micellar media of CPC, rhamnolipids and saponin. </w:t>
      </w:r>
      <w:proofErr w:type="spellStart"/>
      <w:r w:rsidRPr="00EB1704">
        <w:rPr>
          <w:color w:val="222222"/>
          <w:sz w:val="24"/>
          <w:shd w:val="clear" w:color="auto" w:fill="FFFFFF"/>
        </w:rPr>
        <w:t>Tenside</w:t>
      </w:r>
      <w:proofErr w:type="spellEnd"/>
      <w:r w:rsidRPr="00EB1704">
        <w:rPr>
          <w:color w:val="222222"/>
          <w:sz w:val="24"/>
          <w:shd w:val="clear" w:color="auto" w:fill="FFFFFF"/>
        </w:rPr>
        <w:t xml:space="preserve"> Surfactants Detergents. 2025 Mar 28(0).</w:t>
      </w:r>
    </w:p>
    <w:p w14:paraId="2193E2DD" w14:textId="3498381C" w:rsidR="001764DE" w:rsidRPr="00EB1704" w:rsidRDefault="001764DE" w:rsidP="001764DE">
      <w:pPr>
        <w:pStyle w:val="NoSpacing"/>
        <w:spacing w:line="480" w:lineRule="auto"/>
        <w:ind w:left="0"/>
        <w:rPr>
          <w:color w:val="4472C4" w:themeColor="accent1"/>
          <w:sz w:val="24"/>
        </w:rPr>
      </w:pPr>
      <w:r w:rsidRPr="00EB1704">
        <w:rPr>
          <w:color w:val="auto"/>
          <w:sz w:val="24"/>
        </w:rPr>
        <w:lastRenderedPageBreak/>
        <w:t>[</w:t>
      </w:r>
      <w:r w:rsidR="00042ED8" w:rsidRPr="00EB1704">
        <w:rPr>
          <w:color w:val="auto"/>
          <w:sz w:val="24"/>
        </w:rPr>
        <w:t>30</w:t>
      </w:r>
      <w:r w:rsidRPr="00EB1704">
        <w:rPr>
          <w:color w:val="auto"/>
          <w:sz w:val="24"/>
        </w:rPr>
        <w:t xml:space="preserve">] </w:t>
      </w:r>
      <w:r w:rsidRPr="00EB1704">
        <w:rPr>
          <w:color w:val="222222"/>
          <w:sz w:val="24"/>
          <w:shd w:val="clear" w:color="auto" w:fill="FFFFFF"/>
        </w:rPr>
        <w:t xml:space="preserve">Irshad S, Sultana H, Usman M, Ahmad M, Al-Hussain SA, Zaki ME. Enhanced solubilization and encapsulation of direct dyes through self-assembled single and mixed micellar nanocarriers. Environmental Technology &amp; Innovation. 2023 May </w:t>
      </w:r>
      <w:proofErr w:type="gramStart"/>
      <w:r w:rsidRPr="00EB1704">
        <w:rPr>
          <w:color w:val="222222"/>
          <w:sz w:val="24"/>
          <w:shd w:val="clear" w:color="auto" w:fill="FFFFFF"/>
        </w:rPr>
        <w:t>1;30:103061</w:t>
      </w:r>
      <w:proofErr w:type="gramEnd"/>
      <w:r w:rsidRPr="00EB1704">
        <w:rPr>
          <w:color w:val="222222"/>
          <w:sz w:val="24"/>
          <w:shd w:val="clear" w:color="auto" w:fill="FFFFFF"/>
        </w:rPr>
        <w:t>.</w:t>
      </w:r>
    </w:p>
    <w:p w14:paraId="417303AA" w14:textId="6DABCFB5" w:rsidR="001764DE" w:rsidRPr="00EB1704" w:rsidRDefault="001764DE" w:rsidP="001764DE">
      <w:pPr>
        <w:pStyle w:val="NoSpacing"/>
        <w:spacing w:line="480" w:lineRule="auto"/>
        <w:ind w:left="0"/>
        <w:rPr>
          <w:color w:val="4472C4" w:themeColor="accent1"/>
          <w:sz w:val="24"/>
        </w:rPr>
      </w:pPr>
      <w:r w:rsidRPr="00EB1704">
        <w:rPr>
          <w:color w:val="auto"/>
          <w:sz w:val="24"/>
        </w:rPr>
        <w:t>[</w:t>
      </w:r>
      <w:r w:rsidR="002E488D" w:rsidRPr="00EB1704">
        <w:rPr>
          <w:color w:val="auto"/>
          <w:sz w:val="24"/>
        </w:rPr>
        <w:t>3</w:t>
      </w:r>
      <w:r w:rsidR="00042ED8" w:rsidRPr="00EB1704">
        <w:rPr>
          <w:color w:val="auto"/>
          <w:sz w:val="24"/>
        </w:rPr>
        <w:t>1</w:t>
      </w:r>
      <w:r w:rsidRPr="00EB1704">
        <w:rPr>
          <w:color w:val="auto"/>
          <w:sz w:val="24"/>
        </w:rPr>
        <w:t xml:space="preserve">] </w:t>
      </w:r>
      <w:r w:rsidRPr="00EB1704">
        <w:rPr>
          <w:color w:val="222222"/>
          <w:sz w:val="24"/>
          <w:shd w:val="clear" w:color="auto" w:fill="FFFFFF"/>
        </w:rPr>
        <w:t xml:space="preserve">Irshad S, Sultana H, Usman M, Ahmad M, Al-Hussain SA, Zaki ME. Enhanced solubilization and encapsulation of direct dyes through self-assembled single and mixed micellar nanocarriers. Environmental Technology &amp; Innovation. 2023 May </w:t>
      </w:r>
      <w:proofErr w:type="gramStart"/>
      <w:r w:rsidRPr="00EB1704">
        <w:rPr>
          <w:color w:val="222222"/>
          <w:sz w:val="24"/>
          <w:shd w:val="clear" w:color="auto" w:fill="FFFFFF"/>
        </w:rPr>
        <w:t>1;30:103061</w:t>
      </w:r>
      <w:proofErr w:type="gramEnd"/>
      <w:r w:rsidRPr="00EB1704">
        <w:rPr>
          <w:color w:val="222222"/>
          <w:sz w:val="24"/>
          <w:shd w:val="clear" w:color="auto" w:fill="FFFFFF"/>
        </w:rPr>
        <w:t>.</w:t>
      </w:r>
    </w:p>
    <w:p w14:paraId="74606041" w14:textId="4F0975ED" w:rsidR="001764DE" w:rsidRPr="00EB1704" w:rsidRDefault="001764DE" w:rsidP="001764DE">
      <w:pPr>
        <w:pStyle w:val="NoSpacing"/>
        <w:spacing w:line="480" w:lineRule="auto"/>
        <w:ind w:left="0"/>
        <w:rPr>
          <w:color w:val="222222"/>
          <w:sz w:val="24"/>
          <w:shd w:val="clear" w:color="auto" w:fill="FFFFFF"/>
        </w:rPr>
      </w:pPr>
      <w:r w:rsidRPr="00EB1704">
        <w:rPr>
          <w:color w:val="auto"/>
          <w:sz w:val="24"/>
        </w:rPr>
        <w:t>[3</w:t>
      </w:r>
      <w:r w:rsidR="00042ED8" w:rsidRPr="00EB1704">
        <w:rPr>
          <w:color w:val="auto"/>
          <w:sz w:val="24"/>
        </w:rPr>
        <w:t>2</w:t>
      </w:r>
      <w:r w:rsidRPr="00EB1704">
        <w:rPr>
          <w:color w:val="auto"/>
          <w:sz w:val="24"/>
        </w:rPr>
        <w:t xml:space="preserve">] </w:t>
      </w:r>
      <w:r w:rsidRPr="00EB1704">
        <w:rPr>
          <w:color w:val="222222"/>
          <w:sz w:val="24"/>
          <w:shd w:val="clear" w:color="auto" w:fill="FFFFFF"/>
        </w:rPr>
        <w:t xml:space="preserve">Zafar MM, Yusaf A, Usman M, Rauf A, Rasool N, Nawaz S, Rasool L. Effect of TX-100 on solubilizing power of CTAB and CPC for H Acid: An experimental and computational analysis. Journal of Molecular Liquids. 2024 May </w:t>
      </w:r>
      <w:proofErr w:type="gramStart"/>
      <w:r w:rsidRPr="00EB1704">
        <w:rPr>
          <w:color w:val="222222"/>
          <w:sz w:val="24"/>
          <w:shd w:val="clear" w:color="auto" w:fill="FFFFFF"/>
        </w:rPr>
        <w:t>15;402:124779</w:t>
      </w:r>
      <w:proofErr w:type="gramEnd"/>
      <w:r w:rsidRPr="00EB1704">
        <w:rPr>
          <w:color w:val="222222"/>
          <w:sz w:val="24"/>
          <w:shd w:val="clear" w:color="auto" w:fill="FFFFFF"/>
        </w:rPr>
        <w:t>.</w:t>
      </w:r>
    </w:p>
    <w:p w14:paraId="4B9BEAFD" w14:textId="59CB4181" w:rsidR="00284C76" w:rsidRPr="00EB1704" w:rsidRDefault="00284C76" w:rsidP="001764DE">
      <w:pPr>
        <w:pStyle w:val="NoSpacing"/>
        <w:spacing w:line="480" w:lineRule="auto"/>
        <w:ind w:left="0"/>
        <w:rPr>
          <w:color w:val="auto"/>
          <w:sz w:val="24"/>
        </w:rPr>
      </w:pPr>
      <w:r w:rsidRPr="00EB1704">
        <w:rPr>
          <w:color w:val="auto"/>
          <w:sz w:val="24"/>
        </w:rPr>
        <w:t xml:space="preserve">[33] </w:t>
      </w:r>
      <w:r w:rsidR="00F8676D" w:rsidRPr="00EB1704">
        <w:rPr>
          <w:color w:val="auto"/>
          <w:sz w:val="24"/>
        </w:rPr>
        <w:t xml:space="preserve">Kumar Sanjay, Singh Anil, Mishra Rajesh. Interaction of anionic dyes with cationic micelles. </w:t>
      </w:r>
      <w:r w:rsidR="00F8676D" w:rsidRPr="00EB1704">
        <w:rPr>
          <w:i/>
          <w:iCs/>
          <w:color w:val="auto"/>
          <w:sz w:val="24"/>
        </w:rPr>
        <w:t>Journal of Colloid and Interface Science.</w:t>
      </w:r>
      <w:r w:rsidR="00F8676D" w:rsidRPr="00EB1704">
        <w:rPr>
          <w:color w:val="auto"/>
          <w:sz w:val="24"/>
        </w:rPr>
        <w:t xml:space="preserve"> </w:t>
      </w:r>
      <w:proofErr w:type="gramStart"/>
      <w:r w:rsidR="00F8676D" w:rsidRPr="00EB1704">
        <w:rPr>
          <w:color w:val="auto"/>
          <w:sz w:val="24"/>
        </w:rPr>
        <w:t>2022;605:456</w:t>
      </w:r>
      <w:proofErr w:type="gramEnd"/>
      <w:r w:rsidR="00F8676D" w:rsidRPr="00EB1704">
        <w:rPr>
          <w:color w:val="auto"/>
          <w:sz w:val="24"/>
        </w:rPr>
        <w:t>-464.</w:t>
      </w:r>
    </w:p>
    <w:p w14:paraId="3059931A" w14:textId="6EC559AC" w:rsidR="001764DE" w:rsidRPr="00EB1704" w:rsidRDefault="001764DE" w:rsidP="001764DE">
      <w:pPr>
        <w:pStyle w:val="NoSpacing"/>
        <w:spacing w:line="480" w:lineRule="auto"/>
        <w:ind w:left="0"/>
        <w:rPr>
          <w:color w:val="4472C4" w:themeColor="accent1"/>
          <w:sz w:val="24"/>
        </w:rPr>
      </w:pPr>
      <w:r w:rsidRPr="00EB1704">
        <w:rPr>
          <w:color w:val="auto"/>
          <w:sz w:val="24"/>
        </w:rPr>
        <w:t>[3</w:t>
      </w:r>
      <w:r w:rsidR="00284C76" w:rsidRPr="00EB1704">
        <w:rPr>
          <w:color w:val="auto"/>
          <w:sz w:val="24"/>
        </w:rPr>
        <w:t>4</w:t>
      </w:r>
      <w:r w:rsidRPr="00EB1704">
        <w:rPr>
          <w:color w:val="auto"/>
          <w:sz w:val="24"/>
        </w:rPr>
        <w:t xml:space="preserve">] </w:t>
      </w:r>
      <w:r w:rsidRPr="00EB1704">
        <w:rPr>
          <w:color w:val="222222"/>
          <w:sz w:val="24"/>
          <w:shd w:val="clear" w:color="auto" w:fill="FFFFFF"/>
        </w:rPr>
        <w:t xml:space="preserve">Yusaf A, Usman M, Ibrahim M, Mansha A, ul Haq A, Rehman HF, Ali M. Mixed micellar solubilization for </w:t>
      </w:r>
      <w:proofErr w:type="spellStart"/>
      <w:r w:rsidRPr="00EB1704">
        <w:rPr>
          <w:color w:val="222222"/>
          <w:sz w:val="24"/>
          <w:shd w:val="clear" w:color="auto" w:fill="FFFFFF"/>
        </w:rPr>
        <w:t>procion</w:t>
      </w:r>
      <w:proofErr w:type="spellEnd"/>
      <w:r w:rsidRPr="00EB1704">
        <w:rPr>
          <w:color w:val="222222"/>
          <w:sz w:val="24"/>
          <w:shd w:val="clear" w:color="auto" w:fill="FFFFFF"/>
        </w:rPr>
        <w:t xml:space="preserve"> blue </w:t>
      </w:r>
      <w:proofErr w:type="spellStart"/>
      <w:r w:rsidRPr="00EB1704">
        <w:rPr>
          <w:color w:val="222222"/>
          <w:sz w:val="24"/>
          <w:shd w:val="clear" w:color="auto" w:fill="FFFFFF"/>
        </w:rPr>
        <w:t>MxR</w:t>
      </w:r>
      <w:proofErr w:type="spellEnd"/>
      <w:r w:rsidRPr="00EB1704">
        <w:rPr>
          <w:color w:val="222222"/>
          <w:sz w:val="24"/>
          <w:shd w:val="clear" w:color="auto" w:fill="FFFFFF"/>
        </w:rPr>
        <w:t xml:space="preserve"> entrapment and optimization of necessary parameters for micellar enhanced ultrafiltration. Chemosphere. 2023 Feb </w:t>
      </w:r>
      <w:proofErr w:type="gramStart"/>
      <w:r w:rsidRPr="00EB1704">
        <w:rPr>
          <w:color w:val="222222"/>
          <w:sz w:val="24"/>
          <w:shd w:val="clear" w:color="auto" w:fill="FFFFFF"/>
        </w:rPr>
        <w:t>1;313:137320</w:t>
      </w:r>
      <w:proofErr w:type="gramEnd"/>
      <w:r w:rsidRPr="00EB1704">
        <w:rPr>
          <w:color w:val="222222"/>
          <w:sz w:val="24"/>
          <w:shd w:val="clear" w:color="auto" w:fill="FFFFFF"/>
        </w:rPr>
        <w:t>.</w:t>
      </w:r>
    </w:p>
    <w:p w14:paraId="776D1F17" w14:textId="493B23DC" w:rsidR="001764DE" w:rsidRPr="00EB1704" w:rsidRDefault="001764DE" w:rsidP="001764DE">
      <w:pPr>
        <w:pStyle w:val="NoSpacing"/>
        <w:spacing w:line="480" w:lineRule="auto"/>
        <w:ind w:left="0"/>
        <w:rPr>
          <w:color w:val="222222"/>
          <w:sz w:val="24"/>
          <w:shd w:val="clear" w:color="auto" w:fill="FFFFFF"/>
        </w:rPr>
      </w:pPr>
      <w:r w:rsidRPr="00EB1704">
        <w:rPr>
          <w:color w:val="auto"/>
          <w:sz w:val="24"/>
        </w:rPr>
        <w:t>[3</w:t>
      </w:r>
      <w:r w:rsidR="00284C76" w:rsidRPr="00EB1704">
        <w:rPr>
          <w:color w:val="auto"/>
          <w:sz w:val="24"/>
        </w:rPr>
        <w:t>5</w:t>
      </w:r>
      <w:r w:rsidRPr="00EB1704">
        <w:rPr>
          <w:color w:val="auto"/>
          <w:sz w:val="24"/>
        </w:rPr>
        <w:t xml:space="preserve">] </w:t>
      </w:r>
      <w:proofErr w:type="spellStart"/>
      <w:r w:rsidRPr="00EB1704">
        <w:rPr>
          <w:color w:val="222222"/>
          <w:sz w:val="24"/>
          <w:shd w:val="clear" w:color="auto" w:fill="FFFFFF"/>
        </w:rPr>
        <w:t>Edbey</w:t>
      </w:r>
      <w:proofErr w:type="spellEnd"/>
      <w:r w:rsidRPr="00EB1704">
        <w:rPr>
          <w:color w:val="222222"/>
          <w:sz w:val="24"/>
          <w:shd w:val="clear" w:color="auto" w:fill="FFFFFF"/>
        </w:rPr>
        <w:t xml:space="preserve"> K, Kumar M, El-</w:t>
      </w:r>
      <w:proofErr w:type="spellStart"/>
      <w:r w:rsidRPr="00EB1704">
        <w:rPr>
          <w:color w:val="222222"/>
          <w:sz w:val="24"/>
          <w:shd w:val="clear" w:color="auto" w:fill="FFFFFF"/>
        </w:rPr>
        <w:t>Hashani</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Alarfi</w:t>
      </w:r>
      <w:proofErr w:type="spellEnd"/>
      <w:r w:rsidRPr="00EB1704">
        <w:rPr>
          <w:color w:val="222222"/>
          <w:sz w:val="24"/>
          <w:shd w:val="clear" w:color="auto" w:fill="FFFFFF"/>
        </w:rPr>
        <w:t xml:space="preserve"> H, Kumar D, Bhattarai A. Interaction of anionic dye ethyl orange and cationic </w:t>
      </w:r>
      <w:proofErr w:type="spellStart"/>
      <w:r w:rsidRPr="00EB1704">
        <w:rPr>
          <w:color w:val="222222"/>
          <w:sz w:val="24"/>
          <w:shd w:val="clear" w:color="auto" w:fill="FFFFFF"/>
        </w:rPr>
        <w:t>CnTAC</w:t>
      </w:r>
      <w:proofErr w:type="spellEnd"/>
      <w:r w:rsidRPr="00EB1704">
        <w:rPr>
          <w:color w:val="222222"/>
          <w:sz w:val="24"/>
          <w:shd w:val="clear" w:color="auto" w:fill="FFFFFF"/>
        </w:rPr>
        <w:t xml:space="preserve"> surfactants: a multi technique investigation. Journal of Molecular Liquids. 2024 Aug </w:t>
      </w:r>
      <w:proofErr w:type="gramStart"/>
      <w:r w:rsidRPr="00EB1704">
        <w:rPr>
          <w:color w:val="222222"/>
          <w:sz w:val="24"/>
          <w:shd w:val="clear" w:color="auto" w:fill="FFFFFF"/>
        </w:rPr>
        <w:t>1;407:125166</w:t>
      </w:r>
      <w:proofErr w:type="gramEnd"/>
      <w:r w:rsidRPr="00EB1704">
        <w:rPr>
          <w:color w:val="222222"/>
          <w:sz w:val="24"/>
          <w:shd w:val="clear" w:color="auto" w:fill="FFFFFF"/>
        </w:rPr>
        <w:t>.</w:t>
      </w:r>
    </w:p>
    <w:p w14:paraId="0364354D" w14:textId="0CB9B737" w:rsidR="00284C76" w:rsidRPr="00EB1704" w:rsidRDefault="00284C76" w:rsidP="001764DE">
      <w:pPr>
        <w:pStyle w:val="NoSpacing"/>
        <w:spacing w:line="480" w:lineRule="auto"/>
        <w:ind w:left="0"/>
        <w:rPr>
          <w:color w:val="auto"/>
          <w:sz w:val="24"/>
        </w:rPr>
      </w:pPr>
      <w:r w:rsidRPr="00EB1704">
        <w:rPr>
          <w:color w:val="auto"/>
          <w:sz w:val="24"/>
        </w:rPr>
        <w:t xml:space="preserve">[36] </w:t>
      </w:r>
      <w:r w:rsidR="00F8676D" w:rsidRPr="00EB1704">
        <w:rPr>
          <w:color w:val="auto"/>
          <w:sz w:val="24"/>
        </w:rPr>
        <w:t xml:space="preserve">Li Yan, Zhang Wei, Chen Hui. Solubilization of hydrophobic dyes in nonionic surfactant micelles. </w:t>
      </w:r>
      <w:r w:rsidR="00F8676D" w:rsidRPr="00EB1704">
        <w:rPr>
          <w:i/>
          <w:iCs/>
          <w:color w:val="auto"/>
          <w:sz w:val="24"/>
        </w:rPr>
        <w:t>Langmuir.</w:t>
      </w:r>
      <w:r w:rsidR="00F8676D" w:rsidRPr="00EB1704">
        <w:rPr>
          <w:color w:val="auto"/>
          <w:sz w:val="24"/>
        </w:rPr>
        <w:t xml:space="preserve"> 2021;37(14):4098-4105.</w:t>
      </w:r>
    </w:p>
    <w:p w14:paraId="304E9C9C" w14:textId="56F528D5" w:rsidR="001764DE" w:rsidRPr="00EB1704" w:rsidRDefault="001764DE" w:rsidP="001764DE">
      <w:pPr>
        <w:pStyle w:val="NoSpacing"/>
        <w:spacing w:line="480" w:lineRule="auto"/>
        <w:ind w:left="0"/>
        <w:rPr>
          <w:color w:val="222222"/>
          <w:sz w:val="24"/>
          <w:shd w:val="clear" w:color="auto" w:fill="FFFFFF"/>
        </w:rPr>
      </w:pPr>
      <w:r w:rsidRPr="00EB1704">
        <w:rPr>
          <w:color w:val="auto"/>
          <w:sz w:val="24"/>
        </w:rPr>
        <w:t>[3</w:t>
      </w:r>
      <w:r w:rsidR="00284C76" w:rsidRPr="00EB1704">
        <w:rPr>
          <w:color w:val="auto"/>
          <w:sz w:val="24"/>
        </w:rPr>
        <w:t>7</w:t>
      </w:r>
      <w:r w:rsidRPr="00EB1704">
        <w:rPr>
          <w:color w:val="auto"/>
          <w:sz w:val="24"/>
        </w:rPr>
        <w:t xml:space="preserve">] </w:t>
      </w:r>
      <w:r w:rsidRPr="00EB1704">
        <w:rPr>
          <w:color w:val="222222"/>
          <w:sz w:val="24"/>
          <w:shd w:val="clear" w:color="auto" w:fill="FFFFFF"/>
        </w:rPr>
        <w:t>Wang S, Zhang X, Chen X, Yang D, Zhong Z, Zhao Y, Wang D, He Z, Miao Z, Luan Y. Dual-Layer Polymer-Dispersed Liquid Crystals Doped with Thermochromic Microcapsules for Information Encryption and Visible Light Camouflage. ACS Applied Materials &amp; Interfaces. 2025 Apr 7.</w:t>
      </w:r>
    </w:p>
    <w:p w14:paraId="1555136A" w14:textId="52667A7C" w:rsidR="00F8676D" w:rsidRPr="00EB1704" w:rsidRDefault="00F8676D" w:rsidP="001764DE">
      <w:pPr>
        <w:pStyle w:val="NoSpacing"/>
        <w:spacing w:line="480" w:lineRule="auto"/>
        <w:ind w:left="0"/>
        <w:rPr>
          <w:color w:val="4472C4" w:themeColor="accent1"/>
          <w:sz w:val="24"/>
        </w:rPr>
      </w:pPr>
      <w:r w:rsidRPr="00EB1704">
        <w:rPr>
          <w:color w:val="222222"/>
          <w:sz w:val="24"/>
          <w:shd w:val="clear" w:color="auto" w:fill="FFFFFF"/>
        </w:rPr>
        <w:t>[38] Wang Xiaoming, Liu Jia, Sun Qiang</w:t>
      </w:r>
      <w:r w:rsidRPr="00EB1704">
        <w:rPr>
          <w:b/>
          <w:bCs/>
          <w:color w:val="222222"/>
          <w:sz w:val="24"/>
          <w:shd w:val="clear" w:color="auto" w:fill="FFFFFF"/>
        </w:rPr>
        <w:t>.</w:t>
      </w:r>
      <w:r w:rsidRPr="00EB1704">
        <w:rPr>
          <w:color w:val="222222"/>
          <w:sz w:val="24"/>
          <w:shd w:val="clear" w:color="auto" w:fill="FFFFFF"/>
        </w:rPr>
        <w:t xml:space="preserve"> Spectroscopic analysis of dye-surfactant interactions. </w:t>
      </w:r>
      <w:r w:rsidRPr="00EB1704">
        <w:rPr>
          <w:i/>
          <w:iCs/>
          <w:color w:val="222222"/>
          <w:sz w:val="24"/>
          <w:shd w:val="clear" w:color="auto" w:fill="FFFFFF"/>
        </w:rPr>
        <w:t>Dyes and Pigments.</w:t>
      </w:r>
      <w:r w:rsidRPr="00EB1704">
        <w:rPr>
          <w:color w:val="222222"/>
          <w:sz w:val="24"/>
          <w:shd w:val="clear" w:color="auto" w:fill="FFFFFF"/>
        </w:rPr>
        <w:t xml:space="preserve"> </w:t>
      </w:r>
      <w:proofErr w:type="gramStart"/>
      <w:r w:rsidRPr="00EB1704">
        <w:rPr>
          <w:color w:val="222222"/>
          <w:sz w:val="24"/>
          <w:shd w:val="clear" w:color="auto" w:fill="FFFFFF"/>
        </w:rPr>
        <w:t>2020;174:108055</w:t>
      </w:r>
      <w:proofErr w:type="gramEnd"/>
      <w:r w:rsidRPr="00EB1704">
        <w:rPr>
          <w:color w:val="222222"/>
          <w:sz w:val="24"/>
          <w:shd w:val="clear" w:color="auto" w:fill="FFFFFF"/>
        </w:rPr>
        <w:t>.</w:t>
      </w:r>
    </w:p>
    <w:p w14:paraId="52DACBD6" w14:textId="5F1A8168" w:rsidR="001764DE" w:rsidRPr="00EB1704" w:rsidRDefault="001764DE" w:rsidP="001764DE">
      <w:pPr>
        <w:pStyle w:val="NoSpacing"/>
        <w:spacing w:line="480" w:lineRule="auto"/>
        <w:ind w:left="0"/>
        <w:rPr>
          <w:color w:val="222222"/>
          <w:sz w:val="24"/>
          <w:shd w:val="clear" w:color="auto" w:fill="FFFFFF"/>
        </w:rPr>
      </w:pPr>
      <w:r w:rsidRPr="00EB1704">
        <w:rPr>
          <w:color w:val="auto"/>
          <w:sz w:val="24"/>
        </w:rPr>
        <w:lastRenderedPageBreak/>
        <w:t>[3</w:t>
      </w:r>
      <w:r w:rsidR="00F8676D" w:rsidRPr="00EB1704">
        <w:rPr>
          <w:color w:val="auto"/>
          <w:sz w:val="24"/>
        </w:rPr>
        <w:t>9</w:t>
      </w:r>
      <w:r w:rsidRPr="00EB1704">
        <w:rPr>
          <w:color w:val="auto"/>
          <w:sz w:val="24"/>
        </w:rPr>
        <w:t xml:space="preserve">] </w:t>
      </w:r>
      <w:r w:rsidRPr="00EB1704">
        <w:rPr>
          <w:color w:val="222222"/>
          <w:sz w:val="24"/>
          <w:shd w:val="clear" w:color="auto" w:fill="FFFFFF"/>
        </w:rPr>
        <w:t xml:space="preserve">Das A, </w:t>
      </w:r>
      <w:proofErr w:type="spellStart"/>
      <w:r w:rsidRPr="00EB1704">
        <w:rPr>
          <w:color w:val="222222"/>
          <w:sz w:val="24"/>
          <w:shd w:val="clear" w:color="auto" w:fill="FFFFFF"/>
        </w:rPr>
        <w:t>Guchhait</w:t>
      </w:r>
      <w:proofErr w:type="spellEnd"/>
      <w:r w:rsidRPr="00EB1704">
        <w:rPr>
          <w:color w:val="222222"/>
          <w:sz w:val="24"/>
          <w:shd w:val="clear" w:color="auto" w:fill="FFFFFF"/>
        </w:rPr>
        <w:t xml:space="preserve"> N. Design and synthesis of a </w:t>
      </w:r>
      <w:proofErr w:type="gramStart"/>
      <w:r w:rsidRPr="00EB1704">
        <w:rPr>
          <w:color w:val="222222"/>
          <w:sz w:val="24"/>
          <w:shd w:val="clear" w:color="auto" w:fill="FFFFFF"/>
        </w:rPr>
        <w:t>water soluble</w:t>
      </w:r>
      <w:proofErr w:type="gramEnd"/>
      <w:r w:rsidRPr="00EB1704">
        <w:rPr>
          <w:color w:val="222222"/>
          <w:sz w:val="24"/>
          <w:shd w:val="clear" w:color="auto" w:fill="FFFFFF"/>
        </w:rPr>
        <w:t xml:space="preserve"> charge transfer fluorescent dye and its multifaceted sensing properties towards different microenvironments. Journal of Photochemistry and Photobiology A: Chemistry. 2025 May </w:t>
      </w:r>
      <w:proofErr w:type="gramStart"/>
      <w:r w:rsidRPr="00EB1704">
        <w:rPr>
          <w:color w:val="222222"/>
          <w:sz w:val="24"/>
          <w:shd w:val="clear" w:color="auto" w:fill="FFFFFF"/>
        </w:rPr>
        <w:t>1;462:116261</w:t>
      </w:r>
      <w:proofErr w:type="gramEnd"/>
      <w:r w:rsidRPr="00EB1704">
        <w:rPr>
          <w:color w:val="222222"/>
          <w:sz w:val="24"/>
          <w:shd w:val="clear" w:color="auto" w:fill="FFFFFF"/>
        </w:rPr>
        <w:t>.</w:t>
      </w:r>
    </w:p>
    <w:p w14:paraId="3247273D" w14:textId="63E7FF4F" w:rsidR="002F58C8" w:rsidRPr="00EB1704" w:rsidRDefault="002F58C8" w:rsidP="001764DE">
      <w:pPr>
        <w:pStyle w:val="NoSpacing"/>
        <w:spacing w:line="480" w:lineRule="auto"/>
        <w:ind w:left="0"/>
        <w:rPr>
          <w:color w:val="222222"/>
          <w:sz w:val="24"/>
          <w:shd w:val="clear" w:color="auto" w:fill="FFFFFF"/>
        </w:rPr>
      </w:pPr>
      <w:r w:rsidRPr="00EB1704">
        <w:rPr>
          <w:color w:val="222222"/>
          <w:sz w:val="24"/>
          <w:shd w:val="clear" w:color="auto" w:fill="FFFFFF"/>
        </w:rPr>
        <w:t xml:space="preserve">[40] </w:t>
      </w:r>
      <w:proofErr w:type="spellStart"/>
      <w:r w:rsidRPr="00EB1704">
        <w:rPr>
          <w:color w:val="222222"/>
          <w:sz w:val="24"/>
          <w:shd w:val="clear" w:color="auto" w:fill="FFFFFF"/>
        </w:rPr>
        <w:t>Durán-Álvarez</w:t>
      </w:r>
      <w:proofErr w:type="spellEnd"/>
      <w:r w:rsidRPr="00EB1704">
        <w:rPr>
          <w:color w:val="222222"/>
          <w:sz w:val="24"/>
          <w:shd w:val="clear" w:color="auto" w:fill="FFFFFF"/>
        </w:rPr>
        <w:t xml:space="preserve"> A, Maldonado-Domínguez M, </w:t>
      </w:r>
      <w:proofErr w:type="spellStart"/>
      <w:r w:rsidRPr="00EB1704">
        <w:rPr>
          <w:color w:val="222222"/>
          <w:sz w:val="24"/>
          <w:shd w:val="clear" w:color="auto" w:fill="FFFFFF"/>
        </w:rPr>
        <w:t>González-Antonio</w:t>
      </w:r>
      <w:proofErr w:type="spellEnd"/>
      <w:r w:rsidRPr="00EB1704">
        <w:rPr>
          <w:color w:val="222222"/>
          <w:sz w:val="24"/>
          <w:shd w:val="clear" w:color="auto" w:fill="FFFFFF"/>
        </w:rPr>
        <w:t xml:space="preserve"> O, </w:t>
      </w:r>
      <w:proofErr w:type="spellStart"/>
      <w:r w:rsidRPr="00EB1704">
        <w:rPr>
          <w:color w:val="222222"/>
          <w:sz w:val="24"/>
          <w:shd w:val="clear" w:color="auto" w:fill="FFFFFF"/>
        </w:rPr>
        <w:t>Durán-Valencia</w:t>
      </w:r>
      <w:proofErr w:type="spellEnd"/>
      <w:r w:rsidRPr="00EB1704">
        <w:rPr>
          <w:color w:val="222222"/>
          <w:sz w:val="24"/>
          <w:shd w:val="clear" w:color="auto" w:fill="FFFFFF"/>
        </w:rPr>
        <w:t xml:space="preserve"> C, </w:t>
      </w:r>
      <w:proofErr w:type="spellStart"/>
      <w:r w:rsidRPr="00EB1704">
        <w:rPr>
          <w:color w:val="222222"/>
          <w:sz w:val="24"/>
          <w:shd w:val="clear" w:color="auto" w:fill="FFFFFF"/>
        </w:rPr>
        <w:t>Romero-Ávila</w:t>
      </w:r>
      <w:proofErr w:type="spellEnd"/>
      <w:r w:rsidRPr="00EB1704">
        <w:rPr>
          <w:color w:val="222222"/>
          <w:sz w:val="24"/>
          <w:shd w:val="clear" w:color="auto" w:fill="FFFFFF"/>
        </w:rPr>
        <w:t xml:space="preserve"> M, </w:t>
      </w:r>
      <w:proofErr w:type="spellStart"/>
      <w:r w:rsidRPr="00EB1704">
        <w:rPr>
          <w:color w:val="222222"/>
          <w:sz w:val="24"/>
          <w:shd w:val="clear" w:color="auto" w:fill="FFFFFF"/>
        </w:rPr>
        <w:t>Barragán-Aroche</w:t>
      </w:r>
      <w:proofErr w:type="spellEnd"/>
      <w:r w:rsidRPr="00EB1704">
        <w:rPr>
          <w:color w:val="222222"/>
          <w:sz w:val="24"/>
          <w:shd w:val="clear" w:color="auto" w:fill="FFFFFF"/>
        </w:rPr>
        <w:t xml:space="preserve"> F, </w:t>
      </w:r>
      <w:proofErr w:type="spellStart"/>
      <w:r w:rsidRPr="00EB1704">
        <w:rPr>
          <w:color w:val="222222"/>
          <w:sz w:val="24"/>
          <w:shd w:val="clear" w:color="auto" w:fill="FFFFFF"/>
        </w:rPr>
        <w:t>López-Ramírez</w:t>
      </w:r>
      <w:proofErr w:type="spellEnd"/>
      <w:r w:rsidRPr="00EB1704">
        <w:rPr>
          <w:color w:val="222222"/>
          <w:sz w:val="24"/>
          <w:shd w:val="clear" w:color="auto" w:fill="FFFFFF"/>
        </w:rPr>
        <w:t xml:space="preserve"> S. Experimental–theoretical approach to the adsorption mechanisms for anionic, cationic, and zwitterionic surfactants at the calcite–water interface. Langmuir. 2016 Mar 22;32(11):2608-16.</w:t>
      </w:r>
    </w:p>
    <w:p w14:paraId="0AB20454" w14:textId="11C257EF" w:rsidR="002F58C8" w:rsidRPr="00EB1704" w:rsidRDefault="002F58C8" w:rsidP="001764DE">
      <w:pPr>
        <w:pStyle w:val="NoSpacing"/>
        <w:spacing w:line="480" w:lineRule="auto"/>
        <w:ind w:left="0"/>
        <w:rPr>
          <w:color w:val="222222"/>
          <w:sz w:val="24"/>
          <w:shd w:val="clear" w:color="auto" w:fill="FFFFFF"/>
        </w:rPr>
      </w:pPr>
      <w:r w:rsidRPr="00EB1704">
        <w:rPr>
          <w:color w:val="222222"/>
          <w:sz w:val="24"/>
          <w:shd w:val="clear" w:color="auto" w:fill="FFFFFF"/>
        </w:rPr>
        <w:t xml:space="preserve">[41] </w:t>
      </w:r>
      <w:r w:rsidR="00523581" w:rsidRPr="00EB1704">
        <w:rPr>
          <w:color w:val="222222"/>
          <w:sz w:val="24"/>
          <w:shd w:val="clear" w:color="auto" w:fill="FFFFFF"/>
        </w:rPr>
        <w:t xml:space="preserve">Bronowska AK. Thermodynamics of ligand-protein interactions: implications for molecular design. </w:t>
      </w:r>
      <w:proofErr w:type="spellStart"/>
      <w:r w:rsidR="00523581" w:rsidRPr="00EB1704">
        <w:rPr>
          <w:color w:val="222222"/>
          <w:sz w:val="24"/>
          <w:shd w:val="clear" w:color="auto" w:fill="FFFFFF"/>
        </w:rPr>
        <w:t>InThermodynamics</w:t>
      </w:r>
      <w:proofErr w:type="spellEnd"/>
      <w:r w:rsidR="00523581" w:rsidRPr="00EB1704">
        <w:rPr>
          <w:color w:val="222222"/>
          <w:sz w:val="24"/>
          <w:shd w:val="clear" w:color="auto" w:fill="FFFFFF"/>
        </w:rPr>
        <w:t xml:space="preserve">-interaction studies-solids, liquids and gases 2011 Nov 2. </w:t>
      </w:r>
      <w:proofErr w:type="spellStart"/>
      <w:r w:rsidR="00523581" w:rsidRPr="00EB1704">
        <w:rPr>
          <w:color w:val="222222"/>
          <w:sz w:val="24"/>
          <w:shd w:val="clear" w:color="auto" w:fill="FFFFFF"/>
        </w:rPr>
        <w:t>IntechOpen</w:t>
      </w:r>
      <w:proofErr w:type="spellEnd"/>
      <w:r w:rsidR="00523581" w:rsidRPr="00EB1704">
        <w:rPr>
          <w:color w:val="222222"/>
          <w:sz w:val="24"/>
          <w:shd w:val="clear" w:color="auto" w:fill="FFFFFF"/>
        </w:rPr>
        <w:t>.</w:t>
      </w:r>
    </w:p>
    <w:p w14:paraId="4EC1083A" w14:textId="415312B1" w:rsidR="00523581" w:rsidRPr="00EB1704" w:rsidRDefault="00523581" w:rsidP="001764DE">
      <w:pPr>
        <w:pStyle w:val="NoSpacing"/>
        <w:spacing w:line="480" w:lineRule="auto"/>
        <w:ind w:left="0"/>
        <w:rPr>
          <w:color w:val="222222"/>
          <w:sz w:val="24"/>
          <w:shd w:val="clear" w:color="auto" w:fill="FFFFFF"/>
        </w:rPr>
      </w:pPr>
      <w:r w:rsidRPr="00EB1704">
        <w:rPr>
          <w:color w:val="222222"/>
          <w:sz w:val="24"/>
          <w:shd w:val="clear" w:color="auto" w:fill="FFFFFF"/>
        </w:rPr>
        <w:t>[42] Xu L, Liang HW, Yang Y, Yu SH. Stability and reactivity: positive and negative aspects for nanoparticle processing. Chemical reviews. 2018 Mar 8;118(7):3209-50.</w:t>
      </w:r>
    </w:p>
    <w:p w14:paraId="4C6B0367" w14:textId="0DB8A3F0" w:rsidR="00523581" w:rsidRPr="00EB1704" w:rsidRDefault="00523581" w:rsidP="001764DE">
      <w:pPr>
        <w:pStyle w:val="NoSpacing"/>
        <w:spacing w:line="480" w:lineRule="auto"/>
        <w:ind w:left="0"/>
        <w:rPr>
          <w:color w:val="4472C4" w:themeColor="accent1"/>
          <w:sz w:val="24"/>
        </w:rPr>
      </w:pPr>
      <w:r w:rsidRPr="00EB1704">
        <w:rPr>
          <w:color w:val="222222"/>
          <w:sz w:val="24"/>
          <w:shd w:val="clear" w:color="auto" w:fill="FFFFFF"/>
        </w:rPr>
        <w:t>[43] Rashid TU, Kabir SF, Biswas MC, Bhuiyan MR. Sustainable wastewater treatment via dye–surfactant interaction: a critical review. Industrial &amp; Engineering Chemistry Research. 2020 Apr 30;59(21):9719-45.</w:t>
      </w:r>
    </w:p>
    <w:p w14:paraId="7131E921" w14:textId="0468AB17" w:rsidR="001764DE" w:rsidRPr="00EB1704" w:rsidRDefault="00230E69" w:rsidP="00230E69">
      <w:pPr>
        <w:spacing w:line="480" w:lineRule="auto"/>
        <w:rPr>
          <w:sz w:val="24"/>
        </w:rPr>
      </w:pPr>
      <w:r w:rsidRPr="00EB1704">
        <w:rPr>
          <w:sz w:val="24"/>
        </w:rPr>
        <w:t xml:space="preserve">[44] Irshad S, Sultana H, Usman M, Ahmad M, Al-Hussain SA, Zaki ME. Enhanced solubilization and encapsulation of direct dyes through self-assembled single and mixed micellar nanocarriers. Environmental Technology &amp; Innovation. 2023 May </w:t>
      </w:r>
      <w:proofErr w:type="gramStart"/>
      <w:r w:rsidRPr="00EB1704">
        <w:rPr>
          <w:sz w:val="24"/>
        </w:rPr>
        <w:t>1;30:103061</w:t>
      </w:r>
      <w:proofErr w:type="gramEnd"/>
      <w:r w:rsidRPr="00EB1704">
        <w:rPr>
          <w:sz w:val="24"/>
        </w:rPr>
        <w:t>.</w:t>
      </w:r>
    </w:p>
    <w:p w14:paraId="6FFF20E3" w14:textId="4CE3A28D" w:rsidR="00230E69" w:rsidRPr="00EB1704" w:rsidRDefault="00230E69" w:rsidP="00230E69">
      <w:pPr>
        <w:spacing w:line="480" w:lineRule="auto"/>
        <w:rPr>
          <w:sz w:val="24"/>
        </w:rPr>
      </w:pPr>
      <w:r w:rsidRPr="00EB1704">
        <w:rPr>
          <w:sz w:val="24"/>
        </w:rPr>
        <w:t>[45] Yadav CK, Bhattarai A, Niraula TP, Yadav AP, Adhikari MK, Yadav YP, Yadav D, Singh S. Critical analysis of surfactant-dye Interaction: A review. Amrit Journal. 2023 Dec 31;3(1):66-77.</w:t>
      </w:r>
    </w:p>
    <w:p w14:paraId="05CCE871" w14:textId="1FCF9BA7" w:rsidR="00230E69" w:rsidRPr="00EB1704" w:rsidRDefault="00230E69" w:rsidP="00230E69">
      <w:pPr>
        <w:spacing w:line="480" w:lineRule="auto"/>
        <w:rPr>
          <w:sz w:val="24"/>
        </w:rPr>
      </w:pPr>
      <w:r w:rsidRPr="00EB1704">
        <w:rPr>
          <w:sz w:val="24"/>
        </w:rPr>
        <w:t xml:space="preserve">[46] Shaikh WA, Kumar A, Chakraborty S, Naushad M, Islam RU, Bhattacharya T, Datta S. Removal of toxic dye from dye-laden wastewater using a new nanocomposite material: Isotherm, kinetics and adsorption mechanism. Chemosphere. 2022 Dec </w:t>
      </w:r>
      <w:proofErr w:type="gramStart"/>
      <w:r w:rsidRPr="00EB1704">
        <w:rPr>
          <w:sz w:val="24"/>
        </w:rPr>
        <w:t>1;308:136413</w:t>
      </w:r>
      <w:proofErr w:type="gramEnd"/>
      <w:r w:rsidRPr="00EB1704">
        <w:rPr>
          <w:sz w:val="24"/>
        </w:rPr>
        <w:t>.</w:t>
      </w:r>
    </w:p>
    <w:p w14:paraId="53C3C0A1" w14:textId="4D876E32"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[47] </w:t>
      </w:r>
      <w:r w:rsidRPr="00EB1704">
        <w:rPr>
          <w:color w:val="222222"/>
          <w:sz w:val="24"/>
          <w:shd w:val="clear" w:color="auto" w:fill="FFFFFF"/>
        </w:rPr>
        <w:t xml:space="preserve">Yusaf A, Usman M, Ibrahim M, Mansha A, ul Haq A, Rehman HF, Ali M. Mixed micellar solubilization for </w:t>
      </w:r>
      <w:proofErr w:type="spellStart"/>
      <w:r w:rsidRPr="00EB1704">
        <w:rPr>
          <w:color w:val="222222"/>
          <w:sz w:val="24"/>
          <w:shd w:val="clear" w:color="auto" w:fill="FFFFFF"/>
        </w:rPr>
        <w:t>procion</w:t>
      </w:r>
      <w:proofErr w:type="spellEnd"/>
      <w:r w:rsidRPr="00EB1704">
        <w:rPr>
          <w:color w:val="222222"/>
          <w:sz w:val="24"/>
          <w:shd w:val="clear" w:color="auto" w:fill="FFFFFF"/>
        </w:rPr>
        <w:t xml:space="preserve"> blue </w:t>
      </w:r>
      <w:proofErr w:type="spellStart"/>
      <w:r w:rsidRPr="00EB1704">
        <w:rPr>
          <w:color w:val="222222"/>
          <w:sz w:val="24"/>
          <w:shd w:val="clear" w:color="auto" w:fill="FFFFFF"/>
        </w:rPr>
        <w:t>MxR</w:t>
      </w:r>
      <w:proofErr w:type="spellEnd"/>
      <w:r w:rsidRPr="00EB1704">
        <w:rPr>
          <w:color w:val="222222"/>
          <w:sz w:val="24"/>
          <w:shd w:val="clear" w:color="auto" w:fill="FFFFFF"/>
        </w:rPr>
        <w:t xml:space="preserve"> entrapment and optimization of necessary parameters for micellar enhanced ultrafiltration. Chemosphere. 2023 Feb </w:t>
      </w:r>
      <w:proofErr w:type="gramStart"/>
      <w:r w:rsidRPr="00EB1704">
        <w:rPr>
          <w:color w:val="222222"/>
          <w:sz w:val="24"/>
          <w:shd w:val="clear" w:color="auto" w:fill="FFFFFF"/>
        </w:rPr>
        <w:t>1;313:137320</w:t>
      </w:r>
      <w:proofErr w:type="gramEnd"/>
      <w:r w:rsidRPr="00EB1704">
        <w:rPr>
          <w:color w:val="222222"/>
          <w:sz w:val="24"/>
          <w:shd w:val="clear" w:color="auto" w:fill="FFFFFF"/>
        </w:rPr>
        <w:t>.</w:t>
      </w:r>
    </w:p>
    <w:p w14:paraId="17C1D455" w14:textId="57CA0812" w:rsidR="003B3576" w:rsidRPr="00EB1704" w:rsidRDefault="003B3576" w:rsidP="003B3576">
      <w:pPr>
        <w:pStyle w:val="NoSpacing"/>
        <w:spacing w:line="480" w:lineRule="auto"/>
        <w:ind w:left="0"/>
        <w:rPr>
          <w:color w:val="4472C4" w:themeColor="accent1"/>
          <w:sz w:val="24"/>
        </w:rPr>
      </w:pPr>
      <w:r w:rsidRPr="00EB1704">
        <w:rPr>
          <w:color w:val="auto"/>
          <w:sz w:val="24"/>
        </w:rPr>
        <w:lastRenderedPageBreak/>
        <w:t xml:space="preserve">[48] </w:t>
      </w:r>
      <w:proofErr w:type="spellStart"/>
      <w:r w:rsidRPr="00EB1704">
        <w:rPr>
          <w:color w:val="222222"/>
          <w:sz w:val="24"/>
          <w:shd w:val="clear" w:color="auto" w:fill="FFFFFF"/>
        </w:rPr>
        <w:t>Edbey</w:t>
      </w:r>
      <w:proofErr w:type="spellEnd"/>
      <w:r w:rsidRPr="00EB1704">
        <w:rPr>
          <w:color w:val="222222"/>
          <w:sz w:val="24"/>
          <w:shd w:val="clear" w:color="auto" w:fill="FFFFFF"/>
        </w:rPr>
        <w:t xml:space="preserve"> K, Kumar M, El-</w:t>
      </w:r>
      <w:proofErr w:type="spellStart"/>
      <w:r w:rsidRPr="00EB1704">
        <w:rPr>
          <w:color w:val="222222"/>
          <w:sz w:val="24"/>
          <w:shd w:val="clear" w:color="auto" w:fill="FFFFFF"/>
        </w:rPr>
        <w:t>Hashani</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Alarfi</w:t>
      </w:r>
      <w:proofErr w:type="spellEnd"/>
      <w:r w:rsidRPr="00EB1704">
        <w:rPr>
          <w:color w:val="222222"/>
          <w:sz w:val="24"/>
          <w:shd w:val="clear" w:color="auto" w:fill="FFFFFF"/>
        </w:rPr>
        <w:t xml:space="preserve"> H, Kumar D, Bhattarai A. Interaction of anionic dye ethyl orange and cationic </w:t>
      </w:r>
      <w:proofErr w:type="spellStart"/>
      <w:r w:rsidRPr="00EB1704">
        <w:rPr>
          <w:color w:val="222222"/>
          <w:sz w:val="24"/>
          <w:shd w:val="clear" w:color="auto" w:fill="FFFFFF"/>
        </w:rPr>
        <w:t>CnTAC</w:t>
      </w:r>
      <w:proofErr w:type="spellEnd"/>
      <w:r w:rsidRPr="00EB1704">
        <w:rPr>
          <w:color w:val="222222"/>
          <w:sz w:val="24"/>
          <w:shd w:val="clear" w:color="auto" w:fill="FFFFFF"/>
        </w:rPr>
        <w:t xml:space="preserve"> surfactants: a multi technique investigation. Journal of Molecular Liquids. 2024 Aug </w:t>
      </w:r>
      <w:proofErr w:type="gramStart"/>
      <w:r w:rsidRPr="00EB1704">
        <w:rPr>
          <w:color w:val="222222"/>
          <w:sz w:val="24"/>
          <w:shd w:val="clear" w:color="auto" w:fill="FFFFFF"/>
        </w:rPr>
        <w:t>1;407:125166</w:t>
      </w:r>
      <w:proofErr w:type="gramEnd"/>
      <w:r w:rsidRPr="00EB1704">
        <w:rPr>
          <w:color w:val="222222"/>
          <w:sz w:val="24"/>
          <w:shd w:val="clear" w:color="auto" w:fill="FFFFFF"/>
        </w:rPr>
        <w:t>.</w:t>
      </w:r>
    </w:p>
    <w:p w14:paraId="01FB6D51" w14:textId="1721AE8C"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[49] </w:t>
      </w:r>
      <w:r w:rsidRPr="00EB1704">
        <w:rPr>
          <w:color w:val="222222"/>
          <w:sz w:val="24"/>
          <w:shd w:val="clear" w:color="auto" w:fill="FFFFFF"/>
        </w:rPr>
        <w:t>Wang S, Zhang X, Chen X, Yang D, Zhong Z, Zhao Y, Wang D, He Z, Miao Z, Luan Y. Dual-Layer Polymer-Dispersed Liquid Crystals Doped with Thermochromic Microcapsules for Information Encryption and Visible Light Camouflage. ACS Applied Materials &amp; Interfaces. 2025 Apr 7.</w:t>
      </w:r>
    </w:p>
    <w:p w14:paraId="259D64E4" w14:textId="10E88F08"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[50] </w:t>
      </w:r>
      <w:r w:rsidRPr="00EB1704">
        <w:rPr>
          <w:color w:val="222222"/>
          <w:sz w:val="24"/>
          <w:shd w:val="clear" w:color="auto" w:fill="FFFFFF"/>
        </w:rPr>
        <w:t xml:space="preserve">Das A, </w:t>
      </w:r>
      <w:proofErr w:type="spellStart"/>
      <w:r w:rsidRPr="00EB1704">
        <w:rPr>
          <w:color w:val="222222"/>
          <w:sz w:val="24"/>
          <w:shd w:val="clear" w:color="auto" w:fill="FFFFFF"/>
        </w:rPr>
        <w:t>Guchhait</w:t>
      </w:r>
      <w:proofErr w:type="spellEnd"/>
      <w:r w:rsidRPr="00EB1704">
        <w:rPr>
          <w:color w:val="222222"/>
          <w:sz w:val="24"/>
          <w:shd w:val="clear" w:color="auto" w:fill="FFFFFF"/>
        </w:rPr>
        <w:t xml:space="preserve"> N. Design and synthesis of a </w:t>
      </w:r>
      <w:proofErr w:type="gramStart"/>
      <w:r w:rsidRPr="00EB1704">
        <w:rPr>
          <w:color w:val="222222"/>
          <w:sz w:val="24"/>
          <w:shd w:val="clear" w:color="auto" w:fill="FFFFFF"/>
        </w:rPr>
        <w:t>water soluble</w:t>
      </w:r>
      <w:proofErr w:type="gramEnd"/>
      <w:r w:rsidRPr="00EB1704">
        <w:rPr>
          <w:color w:val="222222"/>
          <w:sz w:val="24"/>
          <w:shd w:val="clear" w:color="auto" w:fill="FFFFFF"/>
        </w:rPr>
        <w:t xml:space="preserve"> charge transfer fluorescent dye and its multifaceted sensing properties towards different microenvironments. Journal of Photochemistry and Photobiology A: Chemistry. 2025 May </w:t>
      </w:r>
      <w:proofErr w:type="gramStart"/>
      <w:r w:rsidRPr="00EB1704">
        <w:rPr>
          <w:color w:val="222222"/>
          <w:sz w:val="24"/>
          <w:shd w:val="clear" w:color="auto" w:fill="FFFFFF"/>
        </w:rPr>
        <w:t>1;462:116261</w:t>
      </w:r>
      <w:proofErr w:type="gramEnd"/>
      <w:r w:rsidRPr="00EB1704">
        <w:rPr>
          <w:color w:val="222222"/>
          <w:sz w:val="24"/>
          <w:shd w:val="clear" w:color="auto" w:fill="FFFFFF"/>
        </w:rPr>
        <w:t>.</w:t>
      </w:r>
    </w:p>
    <w:p w14:paraId="2234359B" w14:textId="1740AD62"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[51] </w:t>
      </w:r>
      <w:r w:rsidRPr="00EB1704">
        <w:rPr>
          <w:color w:val="222222"/>
          <w:sz w:val="24"/>
          <w:shd w:val="clear" w:color="auto" w:fill="FFFFFF"/>
        </w:rPr>
        <w:t xml:space="preserve">Pal A, Karmakar K, Sarkar R, Rahaman SM, Patra A, Saha B. A comprehensive spectral study of dye-surfactant complex formation by Xylenol Orange with selective aqueous micellar media of CPC, rhamnolipids and saponin. </w:t>
      </w:r>
      <w:proofErr w:type="spellStart"/>
      <w:r w:rsidRPr="00EB1704">
        <w:rPr>
          <w:color w:val="222222"/>
          <w:sz w:val="24"/>
          <w:shd w:val="clear" w:color="auto" w:fill="FFFFFF"/>
        </w:rPr>
        <w:t>Tenside</w:t>
      </w:r>
      <w:proofErr w:type="spellEnd"/>
      <w:r w:rsidRPr="00EB1704">
        <w:rPr>
          <w:color w:val="222222"/>
          <w:sz w:val="24"/>
          <w:shd w:val="clear" w:color="auto" w:fill="FFFFFF"/>
        </w:rPr>
        <w:t xml:space="preserve"> Surfactants Detergents. 2025 Mar 28(0).</w:t>
      </w:r>
    </w:p>
    <w:p w14:paraId="47F93D52" w14:textId="2A438248"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[52] </w:t>
      </w:r>
      <w:proofErr w:type="spellStart"/>
      <w:r w:rsidRPr="00EB1704">
        <w:rPr>
          <w:color w:val="222222"/>
          <w:sz w:val="24"/>
          <w:shd w:val="clear" w:color="auto" w:fill="FFFFFF"/>
        </w:rPr>
        <w:t>Arbuzova</w:t>
      </w:r>
      <w:proofErr w:type="spellEnd"/>
      <w:r w:rsidRPr="00EB1704">
        <w:rPr>
          <w:color w:val="222222"/>
          <w:sz w:val="24"/>
          <w:shd w:val="clear" w:color="auto" w:fill="FFFFFF"/>
        </w:rPr>
        <w:t xml:space="preserve"> A, Wang L, Wang J, </w:t>
      </w:r>
      <w:proofErr w:type="spellStart"/>
      <w:r w:rsidRPr="00EB1704">
        <w:rPr>
          <w:color w:val="222222"/>
          <w:sz w:val="24"/>
          <w:shd w:val="clear" w:color="auto" w:fill="FFFFFF"/>
        </w:rPr>
        <w:t>Hangyás-Mihályné</w:t>
      </w:r>
      <w:proofErr w:type="spellEnd"/>
      <w:r w:rsidRPr="00EB1704">
        <w:rPr>
          <w:color w:val="222222"/>
          <w:sz w:val="24"/>
          <w:shd w:val="clear" w:color="auto" w:fill="FFFFFF"/>
        </w:rPr>
        <w:t xml:space="preserve"> G, Murray D, Honig B, McLaughlin S. Membrane binding of peptides containing both basic and aromatic residues. Experimental studies with peptides corresponding to the scaffolding region of caveolin and the effector region of MARCKS. Biochemistry. 2000 Aug 22;39(33):10330-9.</w:t>
      </w:r>
    </w:p>
    <w:p w14:paraId="3FB24D9A" w14:textId="4C5F38E1"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[53] </w:t>
      </w:r>
      <w:proofErr w:type="spellStart"/>
      <w:r w:rsidRPr="00EB1704">
        <w:rPr>
          <w:color w:val="222222"/>
          <w:sz w:val="24"/>
          <w:shd w:val="clear" w:color="auto" w:fill="FFFFFF"/>
        </w:rPr>
        <w:t>Edbey</w:t>
      </w:r>
      <w:proofErr w:type="spellEnd"/>
      <w:r w:rsidRPr="00EB1704">
        <w:rPr>
          <w:color w:val="222222"/>
          <w:sz w:val="24"/>
          <w:shd w:val="clear" w:color="auto" w:fill="FFFFFF"/>
        </w:rPr>
        <w:t xml:space="preserve"> K, Kumar M, El-</w:t>
      </w:r>
      <w:proofErr w:type="spellStart"/>
      <w:r w:rsidRPr="00EB1704">
        <w:rPr>
          <w:color w:val="222222"/>
          <w:sz w:val="24"/>
          <w:shd w:val="clear" w:color="auto" w:fill="FFFFFF"/>
        </w:rPr>
        <w:t>Hashani</w:t>
      </w:r>
      <w:proofErr w:type="spellEnd"/>
      <w:r w:rsidRPr="00EB1704">
        <w:rPr>
          <w:color w:val="222222"/>
          <w:sz w:val="24"/>
          <w:shd w:val="clear" w:color="auto" w:fill="FFFFFF"/>
        </w:rPr>
        <w:t xml:space="preserve"> A, </w:t>
      </w:r>
      <w:proofErr w:type="spellStart"/>
      <w:r w:rsidRPr="00EB1704">
        <w:rPr>
          <w:color w:val="222222"/>
          <w:sz w:val="24"/>
          <w:shd w:val="clear" w:color="auto" w:fill="FFFFFF"/>
        </w:rPr>
        <w:t>Alarfi</w:t>
      </w:r>
      <w:proofErr w:type="spellEnd"/>
      <w:r w:rsidRPr="00EB1704">
        <w:rPr>
          <w:color w:val="222222"/>
          <w:sz w:val="24"/>
          <w:shd w:val="clear" w:color="auto" w:fill="FFFFFF"/>
        </w:rPr>
        <w:t xml:space="preserve"> H, Kumar D, Bhattarai A. Interaction of anionic dye ethyl orange and cationic </w:t>
      </w:r>
      <w:proofErr w:type="spellStart"/>
      <w:r w:rsidRPr="00EB1704">
        <w:rPr>
          <w:color w:val="222222"/>
          <w:sz w:val="24"/>
          <w:shd w:val="clear" w:color="auto" w:fill="FFFFFF"/>
        </w:rPr>
        <w:t>CnTAC</w:t>
      </w:r>
      <w:proofErr w:type="spellEnd"/>
      <w:r w:rsidRPr="00EB1704">
        <w:rPr>
          <w:color w:val="222222"/>
          <w:sz w:val="24"/>
          <w:shd w:val="clear" w:color="auto" w:fill="FFFFFF"/>
        </w:rPr>
        <w:t xml:space="preserve"> surfactants: a multi technique investigation. Journal of Molecular Liquids. 2024 Aug </w:t>
      </w:r>
      <w:proofErr w:type="gramStart"/>
      <w:r w:rsidRPr="00EB1704">
        <w:rPr>
          <w:color w:val="222222"/>
          <w:sz w:val="24"/>
          <w:shd w:val="clear" w:color="auto" w:fill="FFFFFF"/>
        </w:rPr>
        <w:t>1;407:125166</w:t>
      </w:r>
      <w:proofErr w:type="gramEnd"/>
      <w:r w:rsidRPr="00EB1704">
        <w:rPr>
          <w:color w:val="222222"/>
          <w:sz w:val="24"/>
          <w:shd w:val="clear" w:color="auto" w:fill="FFFFFF"/>
        </w:rPr>
        <w:t>.</w:t>
      </w:r>
    </w:p>
    <w:p w14:paraId="3657EC7B" w14:textId="0B4F4DEE" w:rsidR="003B3576" w:rsidRPr="00EB1704" w:rsidRDefault="003B3576" w:rsidP="003B3576">
      <w:pPr>
        <w:pStyle w:val="NoSpacing"/>
        <w:spacing w:line="480" w:lineRule="auto"/>
        <w:ind w:left="0"/>
        <w:rPr>
          <w:color w:val="4472C4" w:themeColor="accent1"/>
          <w:sz w:val="24"/>
        </w:rPr>
      </w:pPr>
      <w:r w:rsidRPr="00EB1704">
        <w:rPr>
          <w:color w:val="auto"/>
          <w:sz w:val="24"/>
        </w:rPr>
        <w:t xml:space="preserve">[54] </w:t>
      </w:r>
      <w:r w:rsidRPr="00EB1704">
        <w:rPr>
          <w:color w:val="222222"/>
          <w:sz w:val="24"/>
          <w:shd w:val="clear" w:color="auto" w:fill="FFFFFF"/>
        </w:rPr>
        <w:t>Abdel-</w:t>
      </w:r>
      <w:proofErr w:type="spellStart"/>
      <w:r w:rsidRPr="00EB1704">
        <w:rPr>
          <w:color w:val="222222"/>
          <w:sz w:val="24"/>
          <w:shd w:val="clear" w:color="auto" w:fill="FFFFFF"/>
        </w:rPr>
        <w:t>Rahem</w:t>
      </w:r>
      <w:proofErr w:type="spellEnd"/>
      <w:r w:rsidRPr="00EB1704">
        <w:rPr>
          <w:color w:val="222222"/>
          <w:sz w:val="24"/>
          <w:shd w:val="clear" w:color="auto" w:fill="FFFFFF"/>
        </w:rPr>
        <w:t xml:space="preserve"> RA, </w:t>
      </w:r>
      <w:proofErr w:type="spellStart"/>
      <w:r w:rsidRPr="00EB1704">
        <w:rPr>
          <w:color w:val="222222"/>
          <w:sz w:val="24"/>
          <w:shd w:val="clear" w:color="auto" w:fill="FFFFFF"/>
        </w:rPr>
        <w:t>Esaifan</w:t>
      </w:r>
      <w:proofErr w:type="spellEnd"/>
      <w:r w:rsidRPr="00EB1704">
        <w:rPr>
          <w:color w:val="222222"/>
          <w:sz w:val="24"/>
          <w:shd w:val="clear" w:color="auto" w:fill="FFFFFF"/>
        </w:rPr>
        <w:t xml:space="preserve"> M, </w:t>
      </w:r>
      <w:proofErr w:type="spellStart"/>
      <w:r w:rsidRPr="00EB1704">
        <w:rPr>
          <w:color w:val="222222"/>
          <w:sz w:val="24"/>
          <w:shd w:val="clear" w:color="auto" w:fill="FFFFFF"/>
        </w:rPr>
        <w:t>Altwaiq</w:t>
      </w:r>
      <w:proofErr w:type="spellEnd"/>
      <w:r w:rsidRPr="00EB1704">
        <w:rPr>
          <w:color w:val="222222"/>
          <w:sz w:val="24"/>
          <w:shd w:val="clear" w:color="auto" w:fill="FFFFFF"/>
        </w:rPr>
        <w:t xml:space="preserve"> A, Gayathri Ganesan N, Al-</w:t>
      </w:r>
      <w:proofErr w:type="spellStart"/>
      <w:r w:rsidRPr="00EB1704">
        <w:rPr>
          <w:color w:val="222222"/>
          <w:sz w:val="24"/>
          <w:shd w:val="clear" w:color="auto" w:fill="FFFFFF"/>
        </w:rPr>
        <w:t>Remawi</w:t>
      </w:r>
      <w:proofErr w:type="spellEnd"/>
      <w:r w:rsidRPr="00EB1704">
        <w:rPr>
          <w:color w:val="222222"/>
          <w:sz w:val="24"/>
          <w:shd w:val="clear" w:color="auto" w:fill="FFFFFF"/>
        </w:rPr>
        <w:t xml:space="preserve"> M. Adsorption of single and mixed surfactants consisting of </w:t>
      </w:r>
      <w:proofErr w:type="spellStart"/>
      <w:r w:rsidRPr="00EB1704">
        <w:rPr>
          <w:color w:val="222222"/>
          <w:sz w:val="24"/>
          <w:shd w:val="clear" w:color="auto" w:fill="FFFFFF"/>
        </w:rPr>
        <w:t>cocoamidopropyl</w:t>
      </w:r>
      <w:proofErr w:type="spellEnd"/>
      <w:r w:rsidRPr="00EB1704">
        <w:rPr>
          <w:color w:val="222222"/>
          <w:sz w:val="24"/>
          <w:shd w:val="clear" w:color="auto" w:fill="FFFFFF"/>
        </w:rPr>
        <w:t xml:space="preserve"> betaine (CAPB) and sodium dodecyl benzene sulfonate (SDBS) onto zinc surface. </w:t>
      </w:r>
      <w:proofErr w:type="spellStart"/>
      <w:r w:rsidRPr="00EB1704">
        <w:rPr>
          <w:color w:val="222222"/>
          <w:sz w:val="24"/>
          <w:shd w:val="clear" w:color="auto" w:fill="FFFFFF"/>
        </w:rPr>
        <w:t>Tenside</w:t>
      </w:r>
      <w:proofErr w:type="spellEnd"/>
      <w:r w:rsidRPr="00EB1704">
        <w:rPr>
          <w:color w:val="222222"/>
          <w:sz w:val="24"/>
          <w:shd w:val="clear" w:color="auto" w:fill="FFFFFF"/>
        </w:rPr>
        <w:t xml:space="preserve"> Surfactants Detergents. 2024 Jul 26;61(4):310-20.</w:t>
      </w:r>
    </w:p>
    <w:p w14:paraId="6617F4DC" w14:textId="1A1A2E8C" w:rsidR="003B3576" w:rsidRPr="00EB1704" w:rsidRDefault="003B3576" w:rsidP="003B3576">
      <w:pPr>
        <w:pStyle w:val="NoSpacing"/>
        <w:spacing w:line="480" w:lineRule="auto"/>
        <w:ind w:left="0"/>
        <w:rPr>
          <w:color w:val="4472C4" w:themeColor="accent1"/>
          <w:sz w:val="24"/>
        </w:rPr>
      </w:pPr>
      <w:r w:rsidRPr="00EB1704">
        <w:rPr>
          <w:color w:val="auto"/>
          <w:sz w:val="24"/>
        </w:rPr>
        <w:lastRenderedPageBreak/>
        <w:t xml:space="preserve">[55] </w:t>
      </w:r>
      <w:r w:rsidRPr="00EB1704">
        <w:rPr>
          <w:color w:val="222222"/>
          <w:sz w:val="24"/>
          <w:shd w:val="clear" w:color="auto" w:fill="FFFFFF"/>
        </w:rPr>
        <w:t xml:space="preserve">Irshad S, Sultana H, Usman M, Ahmad M, Al-Hussain SA, Zaki ME. Enhanced solubilization and encapsulation of direct dyes through self-assembled single and mixed micellar nanocarriers. Environmental Technology &amp; Innovation. 2023 May </w:t>
      </w:r>
      <w:proofErr w:type="gramStart"/>
      <w:r w:rsidRPr="00EB1704">
        <w:rPr>
          <w:color w:val="222222"/>
          <w:sz w:val="24"/>
          <w:shd w:val="clear" w:color="auto" w:fill="FFFFFF"/>
        </w:rPr>
        <w:t>1;30:103061</w:t>
      </w:r>
      <w:proofErr w:type="gramEnd"/>
      <w:r w:rsidRPr="00EB1704">
        <w:rPr>
          <w:color w:val="222222"/>
          <w:sz w:val="24"/>
          <w:shd w:val="clear" w:color="auto" w:fill="FFFFFF"/>
        </w:rPr>
        <w:t>.</w:t>
      </w:r>
    </w:p>
    <w:p w14:paraId="40199562" w14:textId="77777777" w:rsidR="003B3576" w:rsidRPr="00EB1704" w:rsidRDefault="003B3576" w:rsidP="003B3576">
      <w:pPr>
        <w:pStyle w:val="NoSpacing"/>
        <w:spacing w:line="480" w:lineRule="auto"/>
        <w:ind w:left="0"/>
        <w:rPr>
          <w:color w:val="4472C4" w:themeColor="accent1"/>
          <w:sz w:val="24"/>
        </w:rPr>
      </w:pPr>
    </w:p>
    <w:p w14:paraId="24866B01" w14:textId="77777777" w:rsidR="003B3576" w:rsidRPr="00EB1704" w:rsidRDefault="003B3576" w:rsidP="00230E69">
      <w:pPr>
        <w:spacing w:line="480" w:lineRule="auto"/>
        <w:rPr>
          <w:sz w:val="24"/>
        </w:rPr>
      </w:pPr>
    </w:p>
    <w:sectPr w:rsidR="003B3576" w:rsidRPr="00EB1704" w:rsidSect="001764DE">
      <w:headerReference w:type="even" r:id="rId49"/>
      <w:headerReference w:type="default" r:id="rId50"/>
      <w:footerReference w:type="default" r:id="rId51"/>
      <w:headerReference w:type="first" r:id="rId52"/>
      <w:type w:val="continuous"/>
      <w:pgSz w:w="11906" w:h="15874"/>
      <w:pgMar w:top="1440" w:right="647" w:bottom="1440" w:left="838" w:header="720" w:footer="720" w:gutter="0"/>
      <w:cols w:space="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B1D25" w14:textId="77777777" w:rsidR="00745463" w:rsidRDefault="00745463">
      <w:pPr>
        <w:spacing w:after="0" w:line="240" w:lineRule="auto"/>
      </w:pPr>
      <w:r>
        <w:separator/>
      </w:r>
    </w:p>
  </w:endnote>
  <w:endnote w:type="continuationSeparator" w:id="0">
    <w:p w14:paraId="03DCEE6E" w14:textId="77777777" w:rsidR="00745463" w:rsidRDefault="0074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7918" w14:textId="77777777" w:rsidR="005E1B7C" w:rsidRDefault="005E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79079"/>
      <w:docPartObj>
        <w:docPartGallery w:val="Page Numbers (Bottom of Page)"/>
        <w:docPartUnique/>
      </w:docPartObj>
    </w:sdtPr>
    <w:sdtEndPr>
      <w:rPr>
        <w:noProof/>
      </w:rPr>
    </w:sdtEndPr>
    <w:sdtContent>
      <w:p w14:paraId="37552B88" w14:textId="74FEDB08" w:rsidR="00F6487C" w:rsidRDefault="00710174">
        <w:pPr>
          <w:pStyle w:val="Footer"/>
          <w:jc w:val="right"/>
        </w:pPr>
        <w:r>
          <w:fldChar w:fldCharType="begin"/>
        </w:r>
        <w:r>
          <w:instrText xml:space="preserve"> PAGE   \* MERGEFORMAT </w:instrText>
        </w:r>
        <w:r>
          <w:fldChar w:fldCharType="separate"/>
        </w:r>
        <w:r w:rsidR="00513835">
          <w:rPr>
            <w:noProof/>
          </w:rPr>
          <w:t>7</w:t>
        </w:r>
        <w:r>
          <w:rPr>
            <w:noProof/>
          </w:rPr>
          <w:fldChar w:fldCharType="end"/>
        </w:r>
      </w:p>
    </w:sdtContent>
  </w:sdt>
  <w:p w14:paraId="5973E4CF" w14:textId="77777777" w:rsidR="00F6487C" w:rsidRDefault="00F64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E106" w14:textId="77777777" w:rsidR="005E1B7C" w:rsidRDefault="005E1B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108526"/>
      <w:docPartObj>
        <w:docPartGallery w:val="Page Numbers (Bottom of Page)"/>
        <w:docPartUnique/>
      </w:docPartObj>
    </w:sdtPr>
    <w:sdtEndPr>
      <w:rPr>
        <w:noProof/>
      </w:rPr>
    </w:sdtEndPr>
    <w:sdtContent>
      <w:p w14:paraId="66B4BDEC" w14:textId="17ACC157" w:rsidR="00F6487C" w:rsidRDefault="00710174">
        <w:pPr>
          <w:pStyle w:val="Footer"/>
          <w:jc w:val="right"/>
        </w:pPr>
        <w:r>
          <w:fldChar w:fldCharType="begin"/>
        </w:r>
        <w:r>
          <w:instrText xml:space="preserve"> PAGE   \* MERGEFORMAT </w:instrText>
        </w:r>
        <w:r>
          <w:fldChar w:fldCharType="separate"/>
        </w:r>
        <w:r w:rsidR="00513835">
          <w:rPr>
            <w:noProof/>
          </w:rPr>
          <w:t>20</w:t>
        </w:r>
        <w:r>
          <w:rPr>
            <w:noProof/>
          </w:rPr>
          <w:fldChar w:fldCharType="end"/>
        </w:r>
      </w:p>
    </w:sdtContent>
  </w:sdt>
  <w:p w14:paraId="3EE6E36C" w14:textId="77777777" w:rsidR="00F6487C" w:rsidRDefault="00F6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A1CD" w14:textId="77777777" w:rsidR="00745463" w:rsidRDefault="00745463">
      <w:pPr>
        <w:spacing w:after="0" w:line="240" w:lineRule="auto"/>
      </w:pPr>
      <w:r>
        <w:separator/>
      </w:r>
    </w:p>
  </w:footnote>
  <w:footnote w:type="continuationSeparator" w:id="0">
    <w:p w14:paraId="67DBB195" w14:textId="77777777" w:rsidR="00745463" w:rsidRDefault="00745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DD29" w14:textId="64388B79" w:rsidR="005E1B7C" w:rsidRDefault="00745463">
    <w:pPr>
      <w:pStyle w:val="Header"/>
    </w:pPr>
    <w:r>
      <w:rPr>
        <w:noProof/>
      </w:rPr>
      <w:pict w14:anchorId="1B3BE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2" o:spid="_x0000_s2050" type="#_x0000_t136" style="position:absolute;left:0;text-align:left;margin-left:0;margin-top:0;width:661.05pt;height:73.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84EA9" w14:textId="4FD0FA97" w:rsidR="005E1B7C" w:rsidRDefault="00745463">
    <w:pPr>
      <w:pStyle w:val="Header"/>
    </w:pPr>
    <w:r>
      <w:rPr>
        <w:noProof/>
      </w:rPr>
      <w:pict w14:anchorId="5CB2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3" o:spid="_x0000_s2051" type="#_x0000_t136" style="position:absolute;left:0;text-align:left;margin-left:0;margin-top:0;width:661.05pt;height:73.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8E94" w14:textId="5CDEA0F3" w:rsidR="005E1B7C" w:rsidRDefault="00745463">
    <w:pPr>
      <w:pStyle w:val="Header"/>
    </w:pPr>
    <w:r>
      <w:rPr>
        <w:noProof/>
      </w:rPr>
      <w:pict w14:anchorId="25EBA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1" o:spid="_x0000_s2049" type="#_x0000_t136" style="position:absolute;left:0;text-align:left;margin-left:0;margin-top:0;width:661.05pt;height:73.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D3ED" w14:textId="1C120029" w:rsidR="005E1B7C" w:rsidRDefault="00745463">
    <w:pPr>
      <w:pStyle w:val="Header"/>
    </w:pPr>
    <w:r>
      <w:rPr>
        <w:noProof/>
      </w:rPr>
      <w:pict w14:anchorId="1B4AB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5" o:spid="_x0000_s2053" type="#_x0000_t136" style="position:absolute;left:0;text-align:left;margin-left:0;margin-top:0;width:661.05pt;height:73.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DA29" w14:textId="5A31A137" w:rsidR="005E1B7C" w:rsidRDefault="00745463">
    <w:pPr>
      <w:pStyle w:val="Header"/>
    </w:pPr>
    <w:r>
      <w:rPr>
        <w:noProof/>
      </w:rPr>
      <w:pict w14:anchorId="53CF7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6" o:spid="_x0000_s2054" type="#_x0000_t136" style="position:absolute;left:0;text-align:left;margin-left:0;margin-top:0;width:661.05pt;height:73.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28E1" w14:textId="3F8DA5AC" w:rsidR="005E1B7C" w:rsidRDefault="00745463">
    <w:pPr>
      <w:pStyle w:val="Header"/>
    </w:pPr>
    <w:r>
      <w:rPr>
        <w:noProof/>
      </w:rPr>
      <w:pict w14:anchorId="5F5E4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4" o:spid="_x0000_s2052" type="#_x0000_t136" style="position:absolute;left:0;text-align:left;margin-left:0;margin-top:0;width:661.05pt;height:73.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297"/>
    <w:multiLevelType w:val="hybridMultilevel"/>
    <w:tmpl w:val="5D4A6B90"/>
    <w:lvl w:ilvl="0" w:tplc="407A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0509F"/>
    <w:multiLevelType w:val="multilevel"/>
    <w:tmpl w:val="4DF29A3C"/>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3A16512"/>
    <w:multiLevelType w:val="multilevel"/>
    <w:tmpl w:val="6C4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D4537"/>
    <w:multiLevelType w:val="hybridMultilevel"/>
    <w:tmpl w:val="2438D100"/>
    <w:lvl w:ilvl="0" w:tplc="DC8EB2F0">
      <w:start w:val="10"/>
      <w:numFmt w:val="bullet"/>
      <w:lvlText w:val=""/>
      <w:lvlJc w:val="left"/>
      <w:pPr>
        <w:ind w:left="346" w:hanging="360"/>
      </w:pPr>
      <w:rPr>
        <w:rFonts w:ascii="Symbol" w:eastAsia="Times New Roman" w:hAnsi="Symbol" w:cs="Times New Roman" w:hint="default"/>
        <w:color w:val="181717"/>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4" w15:restartNumberingAfterBreak="0">
    <w:nsid w:val="39D6791A"/>
    <w:multiLevelType w:val="hybridMultilevel"/>
    <w:tmpl w:val="36F825AE"/>
    <w:lvl w:ilvl="0" w:tplc="C7629B36">
      <w:start w:val="1"/>
      <w:numFmt w:val="decimal"/>
      <w:lvlText w:val="[%1]"/>
      <w:lvlJc w:val="left"/>
      <w:pPr>
        <w:ind w:left="33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FEC2F46">
      <w:start w:val="1"/>
      <w:numFmt w:val="lowerLetter"/>
      <w:lvlText w:val="%2"/>
      <w:lvlJc w:val="left"/>
      <w:pPr>
        <w:ind w:left="111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0400BB9C">
      <w:start w:val="1"/>
      <w:numFmt w:val="lowerRoman"/>
      <w:lvlText w:val="%3"/>
      <w:lvlJc w:val="left"/>
      <w:pPr>
        <w:ind w:left="183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5FC77EE">
      <w:start w:val="1"/>
      <w:numFmt w:val="decimal"/>
      <w:lvlText w:val="%4"/>
      <w:lvlJc w:val="left"/>
      <w:pPr>
        <w:ind w:left="255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44E43B14">
      <w:start w:val="1"/>
      <w:numFmt w:val="lowerLetter"/>
      <w:lvlText w:val="%5"/>
      <w:lvlJc w:val="left"/>
      <w:pPr>
        <w:ind w:left="327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6BCBCF6">
      <w:start w:val="1"/>
      <w:numFmt w:val="lowerRoman"/>
      <w:lvlText w:val="%6"/>
      <w:lvlJc w:val="left"/>
      <w:pPr>
        <w:ind w:left="399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A68ACA0">
      <w:start w:val="1"/>
      <w:numFmt w:val="decimal"/>
      <w:lvlText w:val="%7"/>
      <w:lvlJc w:val="left"/>
      <w:pPr>
        <w:ind w:left="471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E6387EDC">
      <w:start w:val="1"/>
      <w:numFmt w:val="lowerLetter"/>
      <w:lvlText w:val="%8"/>
      <w:lvlJc w:val="left"/>
      <w:pPr>
        <w:ind w:left="543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35AA2C78">
      <w:start w:val="1"/>
      <w:numFmt w:val="lowerRoman"/>
      <w:lvlText w:val="%9"/>
      <w:lvlJc w:val="left"/>
      <w:pPr>
        <w:ind w:left="615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44455D5A"/>
    <w:multiLevelType w:val="hybridMultilevel"/>
    <w:tmpl w:val="85B2A7D2"/>
    <w:lvl w:ilvl="0" w:tplc="6B7CFB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46C41E68"/>
    <w:multiLevelType w:val="hybridMultilevel"/>
    <w:tmpl w:val="1AF6A4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A239F8"/>
    <w:multiLevelType w:val="multilevel"/>
    <w:tmpl w:val="D67A8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59BE091A"/>
    <w:multiLevelType w:val="hybridMultilevel"/>
    <w:tmpl w:val="5B8A0ECE"/>
    <w:lvl w:ilvl="0" w:tplc="70DE5F1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9" w15:restartNumberingAfterBreak="0">
    <w:nsid w:val="60BA0AD4"/>
    <w:multiLevelType w:val="hybridMultilevel"/>
    <w:tmpl w:val="1AF6A4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68557B"/>
    <w:multiLevelType w:val="multilevel"/>
    <w:tmpl w:val="103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787AA4"/>
    <w:multiLevelType w:val="multilevel"/>
    <w:tmpl w:val="79BA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6352B8"/>
    <w:multiLevelType w:val="hybridMultilevel"/>
    <w:tmpl w:val="1AF6A4BE"/>
    <w:lvl w:ilvl="0" w:tplc="74AC4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7633C"/>
    <w:multiLevelType w:val="hybridMultilevel"/>
    <w:tmpl w:val="E31C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75CF3"/>
    <w:multiLevelType w:val="hybridMultilevel"/>
    <w:tmpl w:val="418ACF00"/>
    <w:lvl w:ilvl="0" w:tplc="E7B25A5A">
      <w:start w:val="1"/>
      <w:numFmt w:val="lowerLetter"/>
      <w:lvlText w:val="%1"/>
      <w:lvlJc w:val="left"/>
      <w:pPr>
        <w:ind w:left="3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1" w:tplc="BEB6030E">
      <w:start w:val="1"/>
      <w:numFmt w:val="lowerLetter"/>
      <w:lvlText w:val="%2"/>
      <w:lvlJc w:val="left"/>
      <w:pPr>
        <w:ind w:left="171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2" w:tplc="9E88507A">
      <w:start w:val="1"/>
      <w:numFmt w:val="lowerRoman"/>
      <w:lvlText w:val="%3"/>
      <w:lvlJc w:val="left"/>
      <w:pPr>
        <w:ind w:left="243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3" w:tplc="E432FDDA">
      <w:start w:val="1"/>
      <w:numFmt w:val="decimal"/>
      <w:lvlText w:val="%4"/>
      <w:lvlJc w:val="left"/>
      <w:pPr>
        <w:ind w:left="315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4" w:tplc="21C27A84">
      <w:start w:val="1"/>
      <w:numFmt w:val="lowerLetter"/>
      <w:lvlText w:val="%5"/>
      <w:lvlJc w:val="left"/>
      <w:pPr>
        <w:ind w:left="387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5" w:tplc="BBD09172">
      <w:start w:val="1"/>
      <w:numFmt w:val="lowerRoman"/>
      <w:lvlText w:val="%6"/>
      <w:lvlJc w:val="left"/>
      <w:pPr>
        <w:ind w:left="459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6" w:tplc="4EFC7348">
      <w:start w:val="1"/>
      <w:numFmt w:val="decimal"/>
      <w:lvlText w:val="%7"/>
      <w:lvlJc w:val="left"/>
      <w:pPr>
        <w:ind w:left="531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7" w:tplc="0A023F6A">
      <w:start w:val="1"/>
      <w:numFmt w:val="lowerLetter"/>
      <w:lvlText w:val="%8"/>
      <w:lvlJc w:val="left"/>
      <w:pPr>
        <w:ind w:left="603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8" w:tplc="5A68D780">
      <w:start w:val="1"/>
      <w:numFmt w:val="lowerRoman"/>
      <w:lvlText w:val="%9"/>
      <w:lvlJc w:val="left"/>
      <w:pPr>
        <w:ind w:left="675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abstractNum>
  <w:num w:numId="1">
    <w:abstractNumId w:val="14"/>
  </w:num>
  <w:num w:numId="2">
    <w:abstractNumId w:val="4"/>
  </w:num>
  <w:num w:numId="3">
    <w:abstractNumId w:val="5"/>
  </w:num>
  <w:num w:numId="4">
    <w:abstractNumId w:val="12"/>
  </w:num>
  <w:num w:numId="5">
    <w:abstractNumId w:val="6"/>
  </w:num>
  <w:num w:numId="6">
    <w:abstractNumId w:val="8"/>
  </w:num>
  <w:num w:numId="7">
    <w:abstractNumId w:val="9"/>
  </w:num>
  <w:num w:numId="8">
    <w:abstractNumId w:val="13"/>
  </w:num>
  <w:num w:numId="9">
    <w:abstractNumId w:val="0"/>
  </w:num>
  <w:num w:numId="10">
    <w:abstractNumId w:val="7"/>
  </w:num>
  <w:num w:numId="11">
    <w:abstractNumId w:val="1"/>
  </w:num>
  <w:num w:numId="12">
    <w:abstractNumId w:val="3"/>
  </w:num>
  <w:num w:numId="13">
    <w:abstractNumId w:val="1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TAxNTG2MDY0NbdU0lEKTi0uzszPAykwrAUAcpmXriwAAAA="/>
  </w:docVars>
  <w:rsids>
    <w:rsidRoot w:val="001764DE"/>
    <w:rsid w:val="00015822"/>
    <w:rsid w:val="000245F8"/>
    <w:rsid w:val="00042ED8"/>
    <w:rsid w:val="000664E7"/>
    <w:rsid w:val="00072A54"/>
    <w:rsid w:val="000833AE"/>
    <w:rsid w:val="000A0D2D"/>
    <w:rsid w:val="00154853"/>
    <w:rsid w:val="00156E81"/>
    <w:rsid w:val="001764DE"/>
    <w:rsid w:val="00181D4F"/>
    <w:rsid w:val="001C2070"/>
    <w:rsid w:val="001C39C1"/>
    <w:rsid w:val="001F4D37"/>
    <w:rsid w:val="002212FE"/>
    <w:rsid w:val="00230E69"/>
    <w:rsid w:val="0023150A"/>
    <w:rsid w:val="00243B57"/>
    <w:rsid w:val="00264ACF"/>
    <w:rsid w:val="00284C76"/>
    <w:rsid w:val="002E488D"/>
    <w:rsid w:val="002E573D"/>
    <w:rsid w:val="002F08FB"/>
    <w:rsid w:val="002F58C8"/>
    <w:rsid w:val="00326510"/>
    <w:rsid w:val="00374AE6"/>
    <w:rsid w:val="0039761C"/>
    <w:rsid w:val="003B3576"/>
    <w:rsid w:val="003B6270"/>
    <w:rsid w:val="00410B5E"/>
    <w:rsid w:val="004307DF"/>
    <w:rsid w:val="00465075"/>
    <w:rsid w:val="004874F1"/>
    <w:rsid w:val="004F0119"/>
    <w:rsid w:val="004F1482"/>
    <w:rsid w:val="00513835"/>
    <w:rsid w:val="00523581"/>
    <w:rsid w:val="005E1B7C"/>
    <w:rsid w:val="00604834"/>
    <w:rsid w:val="0060769F"/>
    <w:rsid w:val="0062595D"/>
    <w:rsid w:val="00636D65"/>
    <w:rsid w:val="00694200"/>
    <w:rsid w:val="006B68C9"/>
    <w:rsid w:val="006C2B2B"/>
    <w:rsid w:val="006E2206"/>
    <w:rsid w:val="006F7503"/>
    <w:rsid w:val="00710174"/>
    <w:rsid w:val="00745463"/>
    <w:rsid w:val="00745DC0"/>
    <w:rsid w:val="007579B3"/>
    <w:rsid w:val="007811B7"/>
    <w:rsid w:val="00787033"/>
    <w:rsid w:val="007A0A25"/>
    <w:rsid w:val="007B08A8"/>
    <w:rsid w:val="00811F6F"/>
    <w:rsid w:val="0084111E"/>
    <w:rsid w:val="008471D1"/>
    <w:rsid w:val="008471F2"/>
    <w:rsid w:val="00865E5A"/>
    <w:rsid w:val="008E7020"/>
    <w:rsid w:val="00921FE9"/>
    <w:rsid w:val="00934BE6"/>
    <w:rsid w:val="009E0800"/>
    <w:rsid w:val="00A0090E"/>
    <w:rsid w:val="00A22ABB"/>
    <w:rsid w:val="00A22CC2"/>
    <w:rsid w:val="00AA4C3A"/>
    <w:rsid w:val="00AB1E2B"/>
    <w:rsid w:val="00B17D87"/>
    <w:rsid w:val="00B94822"/>
    <w:rsid w:val="00BB24DB"/>
    <w:rsid w:val="00BF3619"/>
    <w:rsid w:val="00C003FE"/>
    <w:rsid w:val="00C1711C"/>
    <w:rsid w:val="00C3544A"/>
    <w:rsid w:val="00C521EA"/>
    <w:rsid w:val="00C53042"/>
    <w:rsid w:val="00CE6888"/>
    <w:rsid w:val="00CF2B8F"/>
    <w:rsid w:val="00D13BD7"/>
    <w:rsid w:val="00D2700C"/>
    <w:rsid w:val="00D80730"/>
    <w:rsid w:val="00DB215E"/>
    <w:rsid w:val="00DC564F"/>
    <w:rsid w:val="00DE28DC"/>
    <w:rsid w:val="00E0003A"/>
    <w:rsid w:val="00E03B38"/>
    <w:rsid w:val="00E84E06"/>
    <w:rsid w:val="00EB1704"/>
    <w:rsid w:val="00ED1965"/>
    <w:rsid w:val="00ED627A"/>
    <w:rsid w:val="00F165C9"/>
    <w:rsid w:val="00F551FF"/>
    <w:rsid w:val="00F63C16"/>
    <w:rsid w:val="00F6487C"/>
    <w:rsid w:val="00F8676D"/>
    <w:rsid w:val="00F90267"/>
    <w:rsid w:val="00F95E7B"/>
    <w:rsid w:val="00FA19E8"/>
    <w:rsid w:val="00FC47D8"/>
    <w:rsid w:val="00FE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7BC297"/>
  <w15:chartTrackingRefBased/>
  <w15:docId w15:val="{E9D83384-D187-4233-8A22-6265F713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DE"/>
    <w:pPr>
      <w:spacing w:after="5" w:line="281" w:lineRule="auto"/>
      <w:ind w:left="10" w:hanging="10"/>
      <w:jc w:val="both"/>
    </w:pPr>
    <w:rPr>
      <w:rFonts w:ascii="Times New Roman" w:eastAsia="Times New Roman" w:hAnsi="Times New Roman" w:cs="Times New Roman"/>
      <w:color w:val="000000"/>
      <w:sz w:val="16"/>
    </w:rPr>
  </w:style>
  <w:style w:type="paragraph" w:styleId="Heading1">
    <w:name w:val="heading 1"/>
    <w:basedOn w:val="Normal"/>
    <w:next w:val="Normal"/>
    <w:link w:val="Heading1Char"/>
    <w:uiPriority w:val="9"/>
    <w:qFormat/>
    <w:rsid w:val="00176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6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64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4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4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64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64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4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4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4DE"/>
    <w:rPr>
      <w:rFonts w:eastAsiaTheme="majorEastAsia" w:cstheme="majorBidi"/>
      <w:color w:val="272727" w:themeColor="text1" w:themeTint="D8"/>
    </w:rPr>
  </w:style>
  <w:style w:type="paragraph" w:styleId="Title">
    <w:name w:val="Title"/>
    <w:basedOn w:val="Normal"/>
    <w:next w:val="Normal"/>
    <w:link w:val="TitleChar"/>
    <w:uiPriority w:val="10"/>
    <w:qFormat/>
    <w:rsid w:val="0017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4D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4DE"/>
    <w:pPr>
      <w:spacing w:before="160"/>
      <w:jc w:val="center"/>
    </w:pPr>
    <w:rPr>
      <w:i/>
      <w:iCs/>
      <w:color w:val="404040" w:themeColor="text1" w:themeTint="BF"/>
    </w:rPr>
  </w:style>
  <w:style w:type="character" w:customStyle="1" w:styleId="QuoteChar">
    <w:name w:val="Quote Char"/>
    <w:basedOn w:val="DefaultParagraphFont"/>
    <w:link w:val="Quote"/>
    <w:uiPriority w:val="29"/>
    <w:rsid w:val="001764DE"/>
    <w:rPr>
      <w:i/>
      <w:iCs/>
      <w:color w:val="404040" w:themeColor="text1" w:themeTint="BF"/>
    </w:rPr>
  </w:style>
  <w:style w:type="paragraph" w:styleId="ListParagraph">
    <w:name w:val="List Paragraph"/>
    <w:basedOn w:val="Normal"/>
    <w:uiPriority w:val="34"/>
    <w:qFormat/>
    <w:rsid w:val="001764DE"/>
    <w:pPr>
      <w:ind w:left="720"/>
      <w:contextualSpacing/>
    </w:pPr>
  </w:style>
  <w:style w:type="character" w:styleId="IntenseEmphasis">
    <w:name w:val="Intense Emphasis"/>
    <w:basedOn w:val="DefaultParagraphFont"/>
    <w:uiPriority w:val="21"/>
    <w:qFormat/>
    <w:rsid w:val="001764DE"/>
    <w:rPr>
      <w:i/>
      <w:iCs/>
      <w:color w:val="2F5496" w:themeColor="accent1" w:themeShade="BF"/>
    </w:rPr>
  </w:style>
  <w:style w:type="paragraph" w:styleId="IntenseQuote">
    <w:name w:val="Intense Quote"/>
    <w:basedOn w:val="Normal"/>
    <w:next w:val="Normal"/>
    <w:link w:val="IntenseQuoteChar"/>
    <w:uiPriority w:val="30"/>
    <w:qFormat/>
    <w:rsid w:val="00176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4DE"/>
    <w:rPr>
      <w:i/>
      <w:iCs/>
      <w:color w:val="2F5496" w:themeColor="accent1" w:themeShade="BF"/>
    </w:rPr>
  </w:style>
  <w:style w:type="character" w:styleId="IntenseReference">
    <w:name w:val="Intense Reference"/>
    <w:basedOn w:val="DefaultParagraphFont"/>
    <w:uiPriority w:val="32"/>
    <w:qFormat/>
    <w:rsid w:val="001764DE"/>
    <w:rPr>
      <w:b/>
      <w:bCs/>
      <w:smallCaps/>
      <w:color w:val="2F5496" w:themeColor="accent1" w:themeShade="BF"/>
      <w:spacing w:val="5"/>
    </w:rPr>
  </w:style>
  <w:style w:type="table" w:customStyle="1" w:styleId="TableGrid">
    <w:name w:val="TableGrid"/>
    <w:rsid w:val="001764D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1764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4DE"/>
    <w:rPr>
      <w:color w:val="666666"/>
    </w:rPr>
  </w:style>
  <w:style w:type="table" w:styleId="PlainTable2">
    <w:name w:val="Plain Table 2"/>
    <w:basedOn w:val="TableNormal"/>
    <w:uiPriority w:val="42"/>
    <w:rsid w:val="001764DE"/>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7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4DE"/>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17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4DE"/>
    <w:rPr>
      <w:rFonts w:ascii="Times New Roman" w:eastAsia="Times New Roman" w:hAnsi="Times New Roman" w:cs="Times New Roman"/>
      <w:color w:val="000000"/>
      <w:sz w:val="16"/>
    </w:rPr>
  </w:style>
  <w:style w:type="paragraph" w:styleId="NormalWeb">
    <w:name w:val="Normal (Web)"/>
    <w:basedOn w:val="Normal"/>
    <w:uiPriority w:val="99"/>
    <w:semiHidden/>
    <w:unhideWhenUsed/>
    <w:rsid w:val="001764DE"/>
    <w:rPr>
      <w:sz w:val="24"/>
    </w:rPr>
  </w:style>
  <w:style w:type="paragraph" w:styleId="NoSpacing">
    <w:name w:val="No Spacing"/>
    <w:uiPriority w:val="1"/>
    <w:qFormat/>
    <w:rsid w:val="001764DE"/>
    <w:pPr>
      <w:spacing w:after="0" w:line="240" w:lineRule="auto"/>
      <w:ind w:left="10" w:hanging="10"/>
      <w:jc w:val="both"/>
    </w:pPr>
    <w:rPr>
      <w:rFonts w:ascii="Times New Roman" w:eastAsia="Times New Roman" w:hAnsi="Times New Roman" w:cs="Times New Roman"/>
      <w:color w:val="000000"/>
      <w:sz w:val="16"/>
    </w:rPr>
  </w:style>
  <w:style w:type="character" w:styleId="CommentReference">
    <w:name w:val="annotation reference"/>
    <w:basedOn w:val="DefaultParagraphFont"/>
    <w:uiPriority w:val="99"/>
    <w:semiHidden/>
    <w:unhideWhenUsed/>
    <w:rsid w:val="001764DE"/>
    <w:rPr>
      <w:sz w:val="16"/>
      <w:szCs w:val="16"/>
    </w:rPr>
  </w:style>
  <w:style w:type="paragraph" w:styleId="CommentText">
    <w:name w:val="annotation text"/>
    <w:basedOn w:val="Normal"/>
    <w:link w:val="CommentTextChar"/>
    <w:uiPriority w:val="99"/>
    <w:semiHidden/>
    <w:unhideWhenUsed/>
    <w:rsid w:val="001764DE"/>
    <w:pPr>
      <w:spacing w:line="240" w:lineRule="auto"/>
    </w:pPr>
    <w:rPr>
      <w:sz w:val="20"/>
      <w:szCs w:val="20"/>
    </w:rPr>
  </w:style>
  <w:style w:type="character" w:customStyle="1" w:styleId="CommentTextChar">
    <w:name w:val="Comment Text Char"/>
    <w:basedOn w:val="DefaultParagraphFont"/>
    <w:link w:val="CommentText"/>
    <w:uiPriority w:val="99"/>
    <w:semiHidden/>
    <w:rsid w:val="001764D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764DE"/>
    <w:rPr>
      <w:b/>
      <w:bCs/>
    </w:rPr>
  </w:style>
  <w:style w:type="character" w:customStyle="1" w:styleId="CommentSubjectChar">
    <w:name w:val="Comment Subject Char"/>
    <w:basedOn w:val="CommentTextChar"/>
    <w:link w:val="CommentSubject"/>
    <w:uiPriority w:val="99"/>
    <w:semiHidden/>
    <w:rsid w:val="001764DE"/>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1764DE"/>
    <w:rPr>
      <w:color w:val="0563C1" w:themeColor="hyperlink"/>
      <w:u w:val="single"/>
    </w:rPr>
  </w:style>
  <w:style w:type="character" w:customStyle="1" w:styleId="UnresolvedMention1">
    <w:name w:val="Unresolved Mention1"/>
    <w:basedOn w:val="DefaultParagraphFont"/>
    <w:uiPriority w:val="99"/>
    <w:semiHidden/>
    <w:unhideWhenUsed/>
    <w:rsid w:val="001764DE"/>
    <w:rPr>
      <w:color w:val="605E5C"/>
      <w:shd w:val="clear" w:color="auto" w:fill="E1DFDD"/>
    </w:rPr>
  </w:style>
  <w:style w:type="character" w:styleId="UnresolvedMention">
    <w:name w:val="Unresolved Mention"/>
    <w:basedOn w:val="DefaultParagraphFont"/>
    <w:uiPriority w:val="99"/>
    <w:semiHidden/>
    <w:unhideWhenUsed/>
    <w:rsid w:val="00264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008">
      <w:bodyDiv w:val="1"/>
      <w:marLeft w:val="0"/>
      <w:marRight w:val="0"/>
      <w:marTop w:val="0"/>
      <w:marBottom w:val="0"/>
      <w:divBdr>
        <w:top w:val="none" w:sz="0" w:space="0" w:color="auto"/>
        <w:left w:val="none" w:sz="0" w:space="0" w:color="auto"/>
        <w:bottom w:val="none" w:sz="0" w:space="0" w:color="auto"/>
        <w:right w:val="none" w:sz="0" w:space="0" w:color="auto"/>
      </w:divBdr>
    </w:div>
    <w:div w:id="246354350">
      <w:bodyDiv w:val="1"/>
      <w:marLeft w:val="0"/>
      <w:marRight w:val="0"/>
      <w:marTop w:val="0"/>
      <w:marBottom w:val="0"/>
      <w:divBdr>
        <w:top w:val="none" w:sz="0" w:space="0" w:color="auto"/>
        <w:left w:val="none" w:sz="0" w:space="0" w:color="auto"/>
        <w:bottom w:val="none" w:sz="0" w:space="0" w:color="auto"/>
        <w:right w:val="none" w:sz="0" w:space="0" w:color="auto"/>
      </w:divBdr>
      <w:divsChild>
        <w:div w:id="671642502">
          <w:marLeft w:val="0"/>
          <w:marRight w:val="0"/>
          <w:marTop w:val="0"/>
          <w:marBottom w:val="0"/>
          <w:divBdr>
            <w:top w:val="none" w:sz="0" w:space="0" w:color="auto"/>
            <w:left w:val="none" w:sz="0" w:space="0" w:color="auto"/>
            <w:bottom w:val="none" w:sz="0" w:space="0" w:color="auto"/>
            <w:right w:val="none" w:sz="0" w:space="0" w:color="auto"/>
          </w:divBdr>
          <w:divsChild>
            <w:div w:id="1557743659">
              <w:marLeft w:val="0"/>
              <w:marRight w:val="0"/>
              <w:marTop w:val="120"/>
              <w:marBottom w:val="120"/>
              <w:divBdr>
                <w:top w:val="none" w:sz="0" w:space="0" w:color="auto"/>
                <w:left w:val="none" w:sz="0" w:space="0" w:color="auto"/>
                <w:bottom w:val="none" w:sz="0" w:space="0" w:color="auto"/>
                <w:right w:val="none" w:sz="0" w:space="0" w:color="auto"/>
              </w:divBdr>
            </w:div>
          </w:divsChild>
        </w:div>
        <w:div w:id="255334992">
          <w:marLeft w:val="0"/>
          <w:marRight w:val="0"/>
          <w:marTop w:val="0"/>
          <w:marBottom w:val="0"/>
          <w:divBdr>
            <w:top w:val="none" w:sz="0" w:space="0" w:color="auto"/>
            <w:left w:val="none" w:sz="0" w:space="0" w:color="auto"/>
            <w:bottom w:val="none" w:sz="0" w:space="0" w:color="auto"/>
            <w:right w:val="none" w:sz="0" w:space="0" w:color="auto"/>
          </w:divBdr>
          <w:divsChild>
            <w:div w:id="1933659539">
              <w:marLeft w:val="0"/>
              <w:marRight w:val="0"/>
              <w:marTop w:val="120"/>
              <w:marBottom w:val="120"/>
              <w:divBdr>
                <w:top w:val="none" w:sz="0" w:space="0" w:color="auto"/>
                <w:left w:val="none" w:sz="0" w:space="0" w:color="auto"/>
                <w:bottom w:val="none" w:sz="0" w:space="0" w:color="auto"/>
                <w:right w:val="none" w:sz="0" w:space="0" w:color="auto"/>
              </w:divBdr>
            </w:div>
          </w:divsChild>
        </w:div>
        <w:div w:id="93864128">
          <w:marLeft w:val="0"/>
          <w:marRight w:val="0"/>
          <w:marTop w:val="0"/>
          <w:marBottom w:val="0"/>
          <w:divBdr>
            <w:top w:val="none" w:sz="0" w:space="0" w:color="auto"/>
            <w:left w:val="none" w:sz="0" w:space="0" w:color="auto"/>
            <w:bottom w:val="none" w:sz="0" w:space="0" w:color="auto"/>
            <w:right w:val="none" w:sz="0" w:space="0" w:color="auto"/>
          </w:divBdr>
          <w:divsChild>
            <w:div w:id="20817141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04826145">
      <w:bodyDiv w:val="1"/>
      <w:marLeft w:val="0"/>
      <w:marRight w:val="0"/>
      <w:marTop w:val="0"/>
      <w:marBottom w:val="0"/>
      <w:divBdr>
        <w:top w:val="none" w:sz="0" w:space="0" w:color="auto"/>
        <w:left w:val="none" w:sz="0" w:space="0" w:color="auto"/>
        <w:bottom w:val="none" w:sz="0" w:space="0" w:color="auto"/>
        <w:right w:val="none" w:sz="0" w:space="0" w:color="auto"/>
      </w:divBdr>
    </w:div>
    <w:div w:id="634260450">
      <w:bodyDiv w:val="1"/>
      <w:marLeft w:val="0"/>
      <w:marRight w:val="0"/>
      <w:marTop w:val="0"/>
      <w:marBottom w:val="0"/>
      <w:divBdr>
        <w:top w:val="none" w:sz="0" w:space="0" w:color="auto"/>
        <w:left w:val="none" w:sz="0" w:space="0" w:color="auto"/>
        <w:bottom w:val="none" w:sz="0" w:space="0" w:color="auto"/>
        <w:right w:val="none" w:sz="0" w:space="0" w:color="auto"/>
      </w:divBdr>
    </w:div>
    <w:div w:id="698553133">
      <w:bodyDiv w:val="1"/>
      <w:marLeft w:val="0"/>
      <w:marRight w:val="0"/>
      <w:marTop w:val="0"/>
      <w:marBottom w:val="0"/>
      <w:divBdr>
        <w:top w:val="none" w:sz="0" w:space="0" w:color="auto"/>
        <w:left w:val="none" w:sz="0" w:space="0" w:color="auto"/>
        <w:bottom w:val="none" w:sz="0" w:space="0" w:color="auto"/>
        <w:right w:val="none" w:sz="0" w:space="0" w:color="auto"/>
      </w:divBdr>
    </w:div>
    <w:div w:id="712577107">
      <w:bodyDiv w:val="1"/>
      <w:marLeft w:val="0"/>
      <w:marRight w:val="0"/>
      <w:marTop w:val="0"/>
      <w:marBottom w:val="0"/>
      <w:divBdr>
        <w:top w:val="none" w:sz="0" w:space="0" w:color="auto"/>
        <w:left w:val="none" w:sz="0" w:space="0" w:color="auto"/>
        <w:bottom w:val="none" w:sz="0" w:space="0" w:color="auto"/>
        <w:right w:val="none" w:sz="0" w:space="0" w:color="auto"/>
      </w:divBdr>
    </w:div>
    <w:div w:id="943270472">
      <w:bodyDiv w:val="1"/>
      <w:marLeft w:val="0"/>
      <w:marRight w:val="0"/>
      <w:marTop w:val="0"/>
      <w:marBottom w:val="0"/>
      <w:divBdr>
        <w:top w:val="none" w:sz="0" w:space="0" w:color="auto"/>
        <w:left w:val="none" w:sz="0" w:space="0" w:color="auto"/>
        <w:bottom w:val="none" w:sz="0" w:space="0" w:color="auto"/>
        <w:right w:val="none" w:sz="0" w:space="0" w:color="auto"/>
      </w:divBdr>
    </w:div>
    <w:div w:id="995649582">
      <w:bodyDiv w:val="1"/>
      <w:marLeft w:val="0"/>
      <w:marRight w:val="0"/>
      <w:marTop w:val="0"/>
      <w:marBottom w:val="0"/>
      <w:divBdr>
        <w:top w:val="none" w:sz="0" w:space="0" w:color="auto"/>
        <w:left w:val="none" w:sz="0" w:space="0" w:color="auto"/>
        <w:bottom w:val="none" w:sz="0" w:space="0" w:color="auto"/>
        <w:right w:val="none" w:sz="0" w:space="0" w:color="auto"/>
      </w:divBdr>
    </w:div>
    <w:div w:id="1005092558">
      <w:bodyDiv w:val="1"/>
      <w:marLeft w:val="0"/>
      <w:marRight w:val="0"/>
      <w:marTop w:val="0"/>
      <w:marBottom w:val="0"/>
      <w:divBdr>
        <w:top w:val="none" w:sz="0" w:space="0" w:color="auto"/>
        <w:left w:val="none" w:sz="0" w:space="0" w:color="auto"/>
        <w:bottom w:val="none" w:sz="0" w:space="0" w:color="auto"/>
        <w:right w:val="none" w:sz="0" w:space="0" w:color="auto"/>
      </w:divBdr>
    </w:div>
    <w:div w:id="1061294598">
      <w:bodyDiv w:val="1"/>
      <w:marLeft w:val="0"/>
      <w:marRight w:val="0"/>
      <w:marTop w:val="0"/>
      <w:marBottom w:val="0"/>
      <w:divBdr>
        <w:top w:val="none" w:sz="0" w:space="0" w:color="auto"/>
        <w:left w:val="none" w:sz="0" w:space="0" w:color="auto"/>
        <w:bottom w:val="none" w:sz="0" w:space="0" w:color="auto"/>
        <w:right w:val="none" w:sz="0" w:space="0" w:color="auto"/>
      </w:divBdr>
    </w:div>
    <w:div w:id="1074550228">
      <w:bodyDiv w:val="1"/>
      <w:marLeft w:val="0"/>
      <w:marRight w:val="0"/>
      <w:marTop w:val="0"/>
      <w:marBottom w:val="0"/>
      <w:divBdr>
        <w:top w:val="none" w:sz="0" w:space="0" w:color="auto"/>
        <w:left w:val="none" w:sz="0" w:space="0" w:color="auto"/>
        <w:bottom w:val="none" w:sz="0" w:space="0" w:color="auto"/>
        <w:right w:val="none" w:sz="0" w:space="0" w:color="auto"/>
      </w:divBdr>
      <w:divsChild>
        <w:div w:id="652834312">
          <w:marLeft w:val="0"/>
          <w:marRight w:val="0"/>
          <w:marTop w:val="0"/>
          <w:marBottom w:val="0"/>
          <w:divBdr>
            <w:top w:val="none" w:sz="0" w:space="0" w:color="auto"/>
            <w:left w:val="none" w:sz="0" w:space="0" w:color="auto"/>
            <w:bottom w:val="none" w:sz="0" w:space="0" w:color="auto"/>
            <w:right w:val="none" w:sz="0" w:space="0" w:color="auto"/>
          </w:divBdr>
          <w:divsChild>
            <w:div w:id="125404475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96100554">
      <w:bodyDiv w:val="1"/>
      <w:marLeft w:val="0"/>
      <w:marRight w:val="0"/>
      <w:marTop w:val="0"/>
      <w:marBottom w:val="0"/>
      <w:divBdr>
        <w:top w:val="none" w:sz="0" w:space="0" w:color="auto"/>
        <w:left w:val="none" w:sz="0" w:space="0" w:color="auto"/>
        <w:bottom w:val="none" w:sz="0" w:space="0" w:color="auto"/>
        <w:right w:val="none" w:sz="0" w:space="0" w:color="auto"/>
      </w:divBdr>
      <w:divsChild>
        <w:div w:id="1769617947">
          <w:marLeft w:val="0"/>
          <w:marRight w:val="0"/>
          <w:marTop w:val="0"/>
          <w:marBottom w:val="0"/>
          <w:divBdr>
            <w:top w:val="none" w:sz="0" w:space="0" w:color="auto"/>
            <w:left w:val="none" w:sz="0" w:space="0" w:color="auto"/>
            <w:bottom w:val="none" w:sz="0" w:space="0" w:color="auto"/>
            <w:right w:val="none" w:sz="0" w:space="0" w:color="auto"/>
          </w:divBdr>
          <w:divsChild>
            <w:div w:id="78905374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60656132">
      <w:bodyDiv w:val="1"/>
      <w:marLeft w:val="0"/>
      <w:marRight w:val="0"/>
      <w:marTop w:val="0"/>
      <w:marBottom w:val="0"/>
      <w:divBdr>
        <w:top w:val="none" w:sz="0" w:space="0" w:color="auto"/>
        <w:left w:val="none" w:sz="0" w:space="0" w:color="auto"/>
        <w:bottom w:val="none" w:sz="0" w:space="0" w:color="auto"/>
        <w:right w:val="none" w:sz="0" w:space="0" w:color="auto"/>
      </w:divBdr>
      <w:divsChild>
        <w:div w:id="1576742086">
          <w:marLeft w:val="0"/>
          <w:marRight w:val="0"/>
          <w:marTop w:val="0"/>
          <w:marBottom w:val="0"/>
          <w:divBdr>
            <w:top w:val="none" w:sz="0" w:space="0" w:color="auto"/>
            <w:left w:val="none" w:sz="0" w:space="0" w:color="auto"/>
            <w:bottom w:val="none" w:sz="0" w:space="0" w:color="auto"/>
            <w:right w:val="none" w:sz="0" w:space="0" w:color="auto"/>
          </w:divBdr>
          <w:divsChild>
            <w:div w:id="14491998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06859416">
      <w:bodyDiv w:val="1"/>
      <w:marLeft w:val="0"/>
      <w:marRight w:val="0"/>
      <w:marTop w:val="0"/>
      <w:marBottom w:val="0"/>
      <w:divBdr>
        <w:top w:val="none" w:sz="0" w:space="0" w:color="auto"/>
        <w:left w:val="none" w:sz="0" w:space="0" w:color="auto"/>
        <w:bottom w:val="none" w:sz="0" w:space="0" w:color="auto"/>
        <w:right w:val="none" w:sz="0" w:space="0" w:color="auto"/>
      </w:divBdr>
      <w:divsChild>
        <w:div w:id="840310911">
          <w:marLeft w:val="0"/>
          <w:marRight w:val="0"/>
          <w:marTop w:val="0"/>
          <w:marBottom w:val="0"/>
          <w:divBdr>
            <w:top w:val="none" w:sz="0" w:space="0" w:color="auto"/>
            <w:left w:val="none" w:sz="0" w:space="0" w:color="auto"/>
            <w:bottom w:val="none" w:sz="0" w:space="0" w:color="auto"/>
            <w:right w:val="none" w:sz="0" w:space="0" w:color="auto"/>
          </w:divBdr>
          <w:divsChild>
            <w:div w:id="1942562349">
              <w:marLeft w:val="0"/>
              <w:marRight w:val="0"/>
              <w:marTop w:val="120"/>
              <w:marBottom w:val="120"/>
              <w:divBdr>
                <w:top w:val="none" w:sz="0" w:space="0" w:color="auto"/>
                <w:left w:val="none" w:sz="0" w:space="0" w:color="auto"/>
                <w:bottom w:val="none" w:sz="0" w:space="0" w:color="auto"/>
                <w:right w:val="none" w:sz="0" w:space="0" w:color="auto"/>
              </w:divBdr>
            </w:div>
          </w:divsChild>
        </w:div>
        <w:div w:id="977494050">
          <w:marLeft w:val="0"/>
          <w:marRight w:val="0"/>
          <w:marTop w:val="0"/>
          <w:marBottom w:val="0"/>
          <w:divBdr>
            <w:top w:val="none" w:sz="0" w:space="0" w:color="auto"/>
            <w:left w:val="none" w:sz="0" w:space="0" w:color="auto"/>
            <w:bottom w:val="none" w:sz="0" w:space="0" w:color="auto"/>
            <w:right w:val="none" w:sz="0" w:space="0" w:color="auto"/>
          </w:divBdr>
          <w:divsChild>
            <w:div w:id="1806268362">
              <w:marLeft w:val="0"/>
              <w:marRight w:val="0"/>
              <w:marTop w:val="120"/>
              <w:marBottom w:val="120"/>
              <w:divBdr>
                <w:top w:val="none" w:sz="0" w:space="0" w:color="auto"/>
                <w:left w:val="none" w:sz="0" w:space="0" w:color="auto"/>
                <w:bottom w:val="none" w:sz="0" w:space="0" w:color="auto"/>
                <w:right w:val="none" w:sz="0" w:space="0" w:color="auto"/>
              </w:divBdr>
            </w:div>
          </w:divsChild>
        </w:div>
        <w:div w:id="547034722">
          <w:marLeft w:val="0"/>
          <w:marRight w:val="0"/>
          <w:marTop w:val="0"/>
          <w:marBottom w:val="0"/>
          <w:divBdr>
            <w:top w:val="none" w:sz="0" w:space="0" w:color="auto"/>
            <w:left w:val="none" w:sz="0" w:space="0" w:color="auto"/>
            <w:bottom w:val="none" w:sz="0" w:space="0" w:color="auto"/>
            <w:right w:val="none" w:sz="0" w:space="0" w:color="auto"/>
          </w:divBdr>
          <w:divsChild>
            <w:div w:id="7920980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49591347">
      <w:bodyDiv w:val="1"/>
      <w:marLeft w:val="0"/>
      <w:marRight w:val="0"/>
      <w:marTop w:val="0"/>
      <w:marBottom w:val="0"/>
      <w:divBdr>
        <w:top w:val="none" w:sz="0" w:space="0" w:color="auto"/>
        <w:left w:val="none" w:sz="0" w:space="0" w:color="auto"/>
        <w:bottom w:val="none" w:sz="0" w:space="0" w:color="auto"/>
        <w:right w:val="none" w:sz="0" w:space="0" w:color="auto"/>
      </w:divBdr>
    </w:div>
    <w:div w:id="1510216461">
      <w:bodyDiv w:val="1"/>
      <w:marLeft w:val="0"/>
      <w:marRight w:val="0"/>
      <w:marTop w:val="0"/>
      <w:marBottom w:val="0"/>
      <w:divBdr>
        <w:top w:val="none" w:sz="0" w:space="0" w:color="auto"/>
        <w:left w:val="none" w:sz="0" w:space="0" w:color="auto"/>
        <w:bottom w:val="none" w:sz="0" w:space="0" w:color="auto"/>
        <w:right w:val="none" w:sz="0" w:space="0" w:color="auto"/>
      </w:divBdr>
      <w:divsChild>
        <w:div w:id="1185704673">
          <w:marLeft w:val="0"/>
          <w:marRight w:val="0"/>
          <w:marTop w:val="0"/>
          <w:marBottom w:val="0"/>
          <w:divBdr>
            <w:top w:val="none" w:sz="0" w:space="0" w:color="auto"/>
            <w:left w:val="none" w:sz="0" w:space="0" w:color="auto"/>
            <w:bottom w:val="none" w:sz="0" w:space="0" w:color="auto"/>
            <w:right w:val="none" w:sz="0" w:space="0" w:color="auto"/>
          </w:divBdr>
          <w:divsChild>
            <w:div w:id="1265266391">
              <w:marLeft w:val="0"/>
              <w:marRight w:val="0"/>
              <w:marTop w:val="120"/>
              <w:marBottom w:val="120"/>
              <w:divBdr>
                <w:top w:val="none" w:sz="0" w:space="0" w:color="auto"/>
                <w:left w:val="none" w:sz="0" w:space="0" w:color="auto"/>
                <w:bottom w:val="none" w:sz="0" w:space="0" w:color="auto"/>
                <w:right w:val="none" w:sz="0" w:space="0" w:color="auto"/>
              </w:divBdr>
            </w:div>
          </w:divsChild>
        </w:div>
        <w:div w:id="1911191680">
          <w:marLeft w:val="0"/>
          <w:marRight w:val="0"/>
          <w:marTop w:val="0"/>
          <w:marBottom w:val="0"/>
          <w:divBdr>
            <w:top w:val="none" w:sz="0" w:space="0" w:color="auto"/>
            <w:left w:val="none" w:sz="0" w:space="0" w:color="auto"/>
            <w:bottom w:val="none" w:sz="0" w:space="0" w:color="auto"/>
            <w:right w:val="none" w:sz="0" w:space="0" w:color="auto"/>
          </w:divBdr>
          <w:divsChild>
            <w:div w:id="1220753368">
              <w:marLeft w:val="0"/>
              <w:marRight w:val="0"/>
              <w:marTop w:val="120"/>
              <w:marBottom w:val="120"/>
              <w:divBdr>
                <w:top w:val="none" w:sz="0" w:space="0" w:color="auto"/>
                <w:left w:val="none" w:sz="0" w:space="0" w:color="auto"/>
                <w:bottom w:val="none" w:sz="0" w:space="0" w:color="auto"/>
                <w:right w:val="none" w:sz="0" w:space="0" w:color="auto"/>
              </w:divBdr>
            </w:div>
          </w:divsChild>
        </w:div>
        <w:div w:id="1891110582">
          <w:marLeft w:val="0"/>
          <w:marRight w:val="0"/>
          <w:marTop w:val="0"/>
          <w:marBottom w:val="0"/>
          <w:divBdr>
            <w:top w:val="none" w:sz="0" w:space="0" w:color="auto"/>
            <w:left w:val="none" w:sz="0" w:space="0" w:color="auto"/>
            <w:bottom w:val="none" w:sz="0" w:space="0" w:color="auto"/>
            <w:right w:val="none" w:sz="0" w:space="0" w:color="auto"/>
          </w:divBdr>
          <w:divsChild>
            <w:div w:id="17153533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44191927">
      <w:bodyDiv w:val="1"/>
      <w:marLeft w:val="0"/>
      <w:marRight w:val="0"/>
      <w:marTop w:val="0"/>
      <w:marBottom w:val="0"/>
      <w:divBdr>
        <w:top w:val="none" w:sz="0" w:space="0" w:color="auto"/>
        <w:left w:val="none" w:sz="0" w:space="0" w:color="auto"/>
        <w:bottom w:val="none" w:sz="0" w:space="0" w:color="auto"/>
        <w:right w:val="none" w:sz="0" w:space="0" w:color="auto"/>
      </w:divBdr>
      <w:divsChild>
        <w:div w:id="2081948775">
          <w:marLeft w:val="0"/>
          <w:marRight w:val="0"/>
          <w:marTop w:val="0"/>
          <w:marBottom w:val="0"/>
          <w:divBdr>
            <w:top w:val="none" w:sz="0" w:space="0" w:color="auto"/>
            <w:left w:val="none" w:sz="0" w:space="0" w:color="auto"/>
            <w:bottom w:val="none" w:sz="0" w:space="0" w:color="auto"/>
            <w:right w:val="none" w:sz="0" w:space="0" w:color="auto"/>
          </w:divBdr>
          <w:divsChild>
            <w:div w:id="2136560152">
              <w:marLeft w:val="0"/>
              <w:marRight w:val="0"/>
              <w:marTop w:val="120"/>
              <w:marBottom w:val="120"/>
              <w:divBdr>
                <w:top w:val="none" w:sz="0" w:space="0" w:color="auto"/>
                <w:left w:val="none" w:sz="0" w:space="0" w:color="auto"/>
                <w:bottom w:val="none" w:sz="0" w:space="0" w:color="auto"/>
                <w:right w:val="none" w:sz="0" w:space="0" w:color="auto"/>
              </w:divBdr>
            </w:div>
          </w:divsChild>
        </w:div>
        <w:div w:id="243954403">
          <w:marLeft w:val="0"/>
          <w:marRight w:val="0"/>
          <w:marTop w:val="0"/>
          <w:marBottom w:val="0"/>
          <w:divBdr>
            <w:top w:val="none" w:sz="0" w:space="0" w:color="auto"/>
            <w:left w:val="none" w:sz="0" w:space="0" w:color="auto"/>
            <w:bottom w:val="none" w:sz="0" w:space="0" w:color="auto"/>
            <w:right w:val="none" w:sz="0" w:space="0" w:color="auto"/>
          </w:divBdr>
          <w:divsChild>
            <w:div w:id="1899903047">
              <w:marLeft w:val="0"/>
              <w:marRight w:val="0"/>
              <w:marTop w:val="120"/>
              <w:marBottom w:val="120"/>
              <w:divBdr>
                <w:top w:val="none" w:sz="0" w:space="0" w:color="auto"/>
                <w:left w:val="none" w:sz="0" w:space="0" w:color="auto"/>
                <w:bottom w:val="none" w:sz="0" w:space="0" w:color="auto"/>
                <w:right w:val="none" w:sz="0" w:space="0" w:color="auto"/>
              </w:divBdr>
            </w:div>
          </w:divsChild>
        </w:div>
        <w:div w:id="1712414229">
          <w:marLeft w:val="0"/>
          <w:marRight w:val="0"/>
          <w:marTop w:val="0"/>
          <w:marBottom w:val="0"/>
          <w:divBdr>
            <w:top w:val="none" w:sz="0" w:space="0" w:color="auto"/>
            <w:left w:val="none" w:sz="0" w:space="0" w:color="auto"/>
            <w:bottom w:val="none" w:sz="0" w:space="0" w:color="auto"/>
            <w:right w:val="none" w:sz="0" w:space="0" w:color="auto"/>
          </w:divBdr>
          <w:divsChild>
            <w:div w:id="60523311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77484191">
      <w:bodyDiv w:val="1"/>
      <w:marLeft w:val="0"/>
      <w:marRight w:val="0"/>
      <w:marTop w:val="0"/>
      <w:marBottom w:val="0"/>
      <w:divBdr>
        <w:top w:val="none" w:sz="0" w:space="0" w:color="auto"/>
        <w:left w:val="none" w:sz="0" w:space="0" w:color="auto"/>
        <w:bottom w:val="none" w:sz="0" w:space="0" w:color="auto"/>
        <w:right w:val="none" w:sz="0" w:space="0" w:color="auto"/>
      </w:divBdr>
    </w:div>
    <w:div w:id="1877309844">
      <w:bodyDiv w:val="1"/>
      <w:marLeft w:val="0"/>
      <w:marRight w:val="0"/>
      <w:marTop w:val="0"/>
      <w:marBottom w:val="0"/>
      <w:divBdr>
        <w:top w:val="none" w:sz="0" w:space="0" w:color="auto"/>
        <w:left w:val="none" w:sz="0" w:space="0" w:color="auto"/>
        <w:bottom w:val="none" w:sz="0" w:space="0" w:color="auto"/>
        <w:right w:val="none" w:sz="0" w:space="0" w:color="auto"/>
      </w:divBdr>
    </w:div>
    <w:div w:id="1899170960">
      <w:bodyDiv w:val="1"/>
      <w:marLeft w:val="0"/>
      <w:marRight w:val="0"/>
      <w:marTop w:val="0"/>
      <w:marBottom w:val="0"/>
      <w:divBdr>
        <w:top w:val="none" w:sz="0" w:space="0" w:color="auto"/>
        <w:left w:val="none" w:sz="0" w:space="0" w:color="auto"/>
        <w:bottom w:val="none" w:sz="0" w:space="0" w:color="auto"/>
        <w:right w:val="none" w:sz="0" w:space="0" w:color="auto"/>
      </w:divBdr>
    </w:div>
    <w:div w:id="2049337413">
      <w:bodyDiv w:val="1"/>
      <w:marLeft w:val="0"/>
      <w:marRight w:val="0"/>
      <w:marTop w:val="0"/>
      <w:marBottom w:val="0"/>
      <w:divBdr>
        <w:top w:val="none" w:sz="0" w:space="0" w:color="auto"/>
        <w:left w:val="none" w:sz="0" w:space="0" w:color="auto"/>
        <w:bottom w:val="none" w:sz="0" w:space="0" w:color="auto"/>
        <w:right w:val="none" w:sz="0" w:space="0" w:color="auto"/>
      </w:divBdr>
      <w:divsChild>
        <w:div w:id="360515484">
          <w:marLeft w:val="0"/>
          <w:marRight w:val="0"/>
          <w:marTop w:val="0"/>
          <w:marBottom w:val="0"/>
          <w:divBdr>
            <w:top w:val="none" w:sz="0" w:space="0" w:color="auto"/>
            <w:left w:val="none" w:sz="0" w:space="0" w:color="auto"/>
            <w:bottom w:val="none" w:sz="0" w:space="0" w:color="auto"/>
            <w:right w:val="none" w:sz="0" w:space="0" w:color="auto"/>
          </w:divBdr>
          <w:divsChild>
            <w:div w:id="5260241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oleObject" Target="embeddings/oleObject6.bin"/><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emf"/><Relationship Id="rId50" Type="http://schemas.openxmlformats.org/officeDocument/2006/relationships/header" Target="head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0.emf"/><Relationship Id="rId11" Type="http://schemas.openxmlformats.org/officeDocument/2006/relationships/header" Target="header3.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oleObject" Target="embeddings/oleObject13.bin"/><Relationship Id="rId45" Type="http://schemas.openxmlformats.org/officeDocument/2006/relationships/image" Target="media/image18.e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oleObject" Target="embeddings/oleObject15.bin"/><Relationship Id="rId52"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oleObject" Target="embeddings/oleObject17.bin"/><Relationship Id="rId8" Type="http://schemas.openxmlformats.org/officeDocument/2006/relationships/header" Target="header2.xm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6.e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emf"/><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26</Pages>
  <Words>6138</Words>
  <Characters>34989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OYEKANMI</dc:creator>
  <cp:keywords/>
  <dc:description/>
  <cp:lastModifiedBy>SDI 1183</cp:lastModifiedBy>
  <cp:revision>58</cp:revision>
  <dcterms:created xsi:type="dcterms:W3CDTF">2025-05-05T09:56:00Z</dcterms:created>
  <dcterms:modified xsi:type="dcterms:W3CDTF">2025-05-16T07:20:00Z</dcterms:modified>
</cp:coreProperties>
</file>