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6915B" w14:textId="77777777" w:rsidR="005F09B5" w:rsidRDefault="005F09B5" w:rsidP="005F09B5">
      <w:pPr>
        <w:pStyle w:val="Title"/>
        <w:spacing w:after="0"/>
        <w:jc w:val="both"/>
        <w:rPr>
          <w:rFonts w:ascii="Arial" w:hAnsi="Arial" w:cs="Arial"/>
        </w:rPr>
      </w:pPr>
    </w:p>
    <w:p w14:paraId="628316A4" w14:textId="5742C9D1" w:rsidR="005F09B5" w:rsidRPr="00163BC4" w:rsidRDefault="00820902" w:rsidP="005F09B5">
      <w:pPr>
        <w:pStyle w:val="Author"/>
        <w:spacing w:line="240" w:lineRule="auto"/>
        <w:rPr>
          <w:rFonts w:ascii="Arial" w:hAnsi="Arial" w:cs="Arial"/>
          <w:bCs/>
          <w:iCs/>
          <w:kern w:val="28"/>
          <w:sz w:val="36"/>
        </w:rPr>
      </w:pPr>
      <w:r>
        <w:rPr>
          <w:rFonts w:ascii="Arial" w:hAnsi="Arial" w:cs="Arial"/>
          <w:bCs/>
          <w:iCs/>
          <w:kern w:val="28"/>
          <w:sz w:val="36"/>
        </w:rPr>
        <w:t>Phytochemistry of Yam Bean (</w:t>
      </w:r>
      <w:proofErr w:type="spellStart"/>
      <w:r w:rsidRPr="005F09B5">
        <w:rPr>
          <w:rFonts w:ascii="Arial" w:hAnsi="Arial" w:cs="Arial"/>
          <w:bCs/>
          <w:i/>
          <w:kern w:val="28"/>
          <w:sz w:val="36"/>
        </w:rPr>
        <w:t>Pachyrhizus</w:t>
      </w:r>
      <w:proofErr w:type="spellEnd"/>
      <w:r w:rsidRPr="005F09B5">
        <w:rPr>
          <w:rFonts w:ascii="Arial" w:hAnsi="Arial" w:cs="Arial"/>
          <w:bCs/>
          <w:i/>
          <w:kern w:val="28"/>
          <w:sz w:val="36"/>
        </w:rPr>
        <w:t xml:space="preserve"> </w:t>
      </w:r>
      <w:proofErr w:type="spellStart"/>
      <w:r w:rsidRPr="005F09B5">
        <w:rPr>
          <w:rFonts w:ascii="Arial" w:hAnsi="Arial" w:cs="Arial"/>
          <w:bCs/>
          <w:i/>
          <w:kern w:val="28"/>
          <w:sz w:val="36"/>
        </w:rPr>
        <w:t>Erosus</w:t>
      </w:r>
      <w:proofErr w:type="spellEnd"/>
      <w:r w:rsidRPr="005F09B5">
        <w:rPr>
          <w:rFonts w:ascii="Arial" w:hAnsi="Arial" w:cs="Arial"/>
          <w:bCs/>
          <w:i/>
          <w:kern w:val="28"/>
          <w:sz w:val="36"/>
        </w:rPr>
        <w:t>)</w:t>
      </w:r>
      <w:r>
        <w:rPr>
          <w:rFonts w:ascii="Arial" w:hAnsi="Arial" w:cs="Arial"/>
          <w:bCs/>
          <w:iCs/>
          <w:kern w:val="28"/>
          <w:sz w:val="36"/>
        </w:rPr>
        <w:t xml:space="preserve"> and its Potential on </w:t>
      </w:r>
      <w:proofErr w:type="spellStart"/>
      <w:r w:rsidRPr="00D615B3">
        <w:rPr>
          <w:rFonts w:ascii="Arial" w:hAnsi="Arial" w:cs="Arial"/>
          <w:bCs/>
          <w:iCs/>
          <w:kern w:val="28"/>
          <w:sz w:val="36"/>
          <w:highlight w:val="yellow"/>
        </w:rPr>
        <w:t>Folliculogenesis</w:t>
      </w:r>
      <w:proofErr w:type="spellEnd"/>
      <w:r>
        <w:rPr>
          <w:rFonts w:ascii="Arial" w:hAnsi="Arial" w:cs="Arial"/>
          <w:bCs/>
          <w:iCs/>
          <w:kern w:val="28"/>
          <w:sz w:val="36"/>
        </w:rPr>
        <w:t xml:space="preserve"> in Female Rats Ovaries</w:t>
      </w:r>
    </w:p>
    <w:p w14:paraId="19D6B3B5" w14:textId="77777777" w:rsidR="005F09B5" w:rsidRDefault="005F09B5" w:rsidP="005F09B5">
      <w:pPr>
        <w:pStyle w:val="Affiliation"/>
        <w:spacing w:after="0" w:line="240" w:lineRule="auto"/>
        <w:jc w:val="both"/>
        <w:rPr>
          <w:rFonts w:ascii="Arial" w:hAnsi="Arial" w:cs="Arial"/>
        </w:rPr>
      </w:pPr>
    </w:p>
    <w:p w14:paraId="5CB8D5E2" w14:textId="77777777" w:rsidR="005F09B5" w:rsidRPr="00FB3A86" w:rsidRDefault="005F09B5" w:rsidP="005F09B5">
      <w:pPr>
        <w:pStyle w:val="Affiliation"/>
        <w:spacing w:after="0" w:line="240" w:lineRule="auto"/>
        <w:jc w:val="both"/>
        <w:rPr>
          <w:rFonts w:ascii="Arial" w:hAnsi="Arial" w:cs="Arial"/>
        </w:rPr>
      </w:pPr>
    </w:p>
    <w:p w14:paraId="39F2229B" w14:textId="62040ED2" w:rsidR="005F09B5" w:rsidRPr="00FB3A86" w:rsidRDefault="005F09B5" w:rsidP="005F09B5">
      <w:pPr>
        <w:pStyle w:val="Copyright"/>
        <w:spacing w:after="0" w:line="240" w:lineRule="auto"/>
        <w:jc w:val="both"/>
        <w:rPr>
          <w:rFonts w:ascii="Arial" w:hAnsi="Arial" w:cs="Arial"/>
        </w:rPr>
        <w:sectPr w:rsidR="005F09B5" w:rsidRPr="00FB3A86" w:rsidSect="000B697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709" w:header="720" w:footer="1296" w:gutter="0"/>
          <w:cols w:space="720"/>
          <w:docGrid w:linePitch="272"/>
        </w:sectPr>
      </w:pPr>
      <w:r>
        <w:rPr>
          <w:rFonts w:ascii="Arial" w:hAnsi="Arial" w:cs="Arial"/>
          <w:noProof/>
        </w:rPr>
        <mc:AlternateContent>
          <mc:Choice Requires="wps">
            <w:drawing>
              <wp:inline distT="0" distB="0" distL="0" distR="0" wp14:anchorId="668F9664" wp14:editId="14D59D66">
                <wp:extent cx="5303520" cy="635"/>
                <wp:effectExtent l="13335" t="13970" r="17145" b="14605"/>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5F625D3C" id="_x0000_t32" coordsize="21600,21600" o:spt="32" o:oned="t" path="m,l21600,21600e" filled="f">
                <v:path arrowok="t" fillok="f" o:connecttype="none"/>
                <o:lock v:ext="edit" shapetype="t"/>
              </v:shapetype>
              <v:shape id="Straight Arrow Connector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1926768B" w14:textId="0B264B84" w:rsidR="005F09B5" w:rsidRDefault="005F09B5" w:rsidP="005F09B5">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739E6AFD" w14:textId="77777777" w:rsidR="005F09B5" w:rsidRPr="00FB3A86" w:rsidRDefault="005F09B5" w:rsidP="005F09B5">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5F09B5" w:rsidRPr="001E44FE" w14:paraId="33F84FAE" w14:textId="77777777" w:rsidTr="006F3F9B">
        <w:tc>
          <w:tcPr>
            <w:tcW w:w="9576" w:type="dxa"/>
            <w:shd w:val="clear" w:color="auto" w:fill="F2F2F2"/>
          </w:tcPr>
          <w:p w14:paraId="1F7B6A77" w14:textId="2C81313F" w:rsidR="005F09B5" w:rsidRPr="0083001F" w:rsidRDefault="005F09B5" w:rsidP="006F3F9B">
            <w:pPr>
              <w:pStyle w:val="Body"/>
              <w:spacing w:after="0"/>
              <w:rPr>
                <w:rFonts w:ascii="Arial" w:eastAsia="Calibri" w:hAnsi="Arial" w:cs="Arial"/>
              </w:rPr>
            </w:pPr>
            <w:r w:rsidRPr="0083001F">
              <w:rPr>
                <w:rFonts w:ascii="Arial" w:eastAsia="Calibri" w:hAnsi="Arial" w:cs="Arial"/>
                <w:b/>
              </w:rPr>
              <w:t xml:space="preserve">Aims: </w:t>
            </w:r>
            <w:r w:rsidR="00C629AC" w:rsidRPr="00C629AC">
              <w:rPr>
                <w:rFonts w:ascii="Arial" w:eastAsia="Calibri" w:hAnsi="Arial" w:cs="Arial"/>
                <w:bCs/>
                <w:highlight w:val="yellow"/>
              </w:rPr>
              <w:t xml:space="preserve">Menopause is a natural phase that occurs due to the decline of the </w:t>
            </w:r>
            <w:proofErr w:type="spellStart"/>
            <w:r w:rsidR="00C629AC" w:rsidRPr="00C629AC">
              <w:rPr>
                <w:rFonts w:ascii="Arial" w:eastAsia="Calibri" w:hAnsi="Arial" w:cs="Arial"/>
                <w:bCs/>
                <w:highlight w:val="yellow"/>
              </w:rPr>
              <w:t>oestrogen</w:t>
            </w:r>
            <w:proofErr w:type="spellEnd"/>
            <w:r w:rsidR="00C629AC" w:rsidRPr="00C629AC">
              <w:rPr>
                <w:rFonts w:ascii="Arial" w:eastAsia="Calibri" w:hAnsi="Arial" w:cs="Arial"/>
                <w:bCs/>
                <w:highlight w:val="yellow"/>
              </w:rPr>
              <w:t xml:space="preserve"> hormone, and is </w:t>
            </w:r>
            <w:proofErr w:type="spellStart"/>
            <w:r w:rsidR="00C629AC" w:rsidRPr="00C629AC">
              <w:rPr>
                <w:rFonts w:ascii="Arial" w:eastAsia="Calibri" w:hAnsi="Arial" w:cs="Arial"/>
                <w:bCs/>
                <w:highlight w:val="yellow"/>
              </w:rPr>
              <w:t>characterised</w:t>
            </w:r>
            <w:proofErr w:type="spellEnd"/>
            <w:r w:rsidR="00C629AC" w:rsidRPr="00C629AC">
              <w:rPr>
                <w:rFonts w:ascii="Arial" w:eastAsia="Calibri" w:hAnsi="Arial" w:cs="Arial"/>
                <w:bCs/>
                <w:highlight w:val="yellow"/>
              </w:rPr>
              <w:t xml:space="preserve"> by physical and psychological decline. Hormone replacement therapy (HRT) is a widely </w:t>
            </w:r>
            <w:proofErr w:type="spellStart"/>
            <w:r w:rsidR="00C629AC" w:rsidRPr="00C629AC">
              <w:rPr>
                <w:rFonts w:ascii="Arial" w:eastAsia="Calibri" w:hAnsi="Arial" w:cs="Arial"/>
                <w:bCs/>
                <w:highlight w:val="yellow"/>
              </w:rPr>
              <w:t>utilised</w:t>
            </w:r>
            <w:proofErr w:type="spellEnd"/>
            <w:r w:rsidR="00C629AC" w:rsidRPr="00C629AC">
              <w:rPr>
                <w:rFonts w:ascii="Arial" w:eastAsia="Calibri" w:hAnsi="Arial" w:cs="Arial"/>
                <w:bCs/>
                <w:highlight w:val="yellow"/>
              </w:rPr>
              <w:t xml:space="preserve"> treatment for the management of menopausal symptoms. The </w:t>
            </w:r>
            <w:proofErr w:type="spellStart"/>
            <w:r w:rsidR="00C629AC" w:rsidRPr="00C629AC">
              <w:rPr>
                <w:rFonts w:ascii="Arial" w:eastAsia="Calibri" w:hAnsi="Arial" w:cs="Arial"/>
                <w:bCs/>
                <w:highlight w:val="yellow"/>
              </w:rPr>
              <w:t>utilisation</w:t>
            </w:r>
            <w:proofErr w:type="spellEnd"/>
            <w:r w:rsidR="00C629AC" w:rsidRPr="00C629AC">
              <w:rPr>
                <w:rFonts w:ascii="Arial" w:eastAsia="Calibri" w:hAnsi="Arial" w:cs="Arial"/>
                <w:bCs/>
                <w:highlight w:val="yellow"/>
              </w:rPr>
              <w:t xml:space="preserve"> of natural ingredients, particularly yam beans, in the management of menopause symptoms is minimal.</w:t>
            </w:r>
            <w:r w:rsidR="00C629AC">
              <w:rPr>
                <w:rFonts w:ascii="Arial" w:eastAsia="Calibri" w:hAnsi="Arial" w:cs="Arial"/>
                <w:bCs/>
              </w:rPr>
              <w:t xml:space="preserve"> </w:t>
            </w:r>
            <w:r w:rsidRPr="0083001F">
              <w:rPr>
                <w:rFonts w:ascii="Arial" w:hAnsi="Arial" w:cs="Arial"/>
              </w:rPr>
              <w:t>The objective of the present study was to examine the effect of yam bean on ovarian follicles in preclinical studies of female rats</w:t>
            </w:r>
          </w:p>
          <w:p w14:paraId="5CB02920" w14:textId="57098A86" w:rsidR="005F09B5" w:rsidRPr="0083001F" w:rsidRDefault="005F09B5" w:rsidP="006F3F9B">
            <w:pPr>
              <w:pStyle w:val="Body"/>
              <w:spacing w:after="0"/>
              <w:rPr>
                <w:rFonts w:ascii="Arial" w:eastAsia="Calibri" w:hAnsi="Arial" w:cs="Arial"/>
              </w:rPr>
            </w:pPr>
            <w:r w:rsidRPr="0083001F">
              <w:rPr>
                <w:rFonts w:ascii="Arial" w:eastAsia="Calibri" w:hAnsi="Arial" w:cs="Arial"/>
                <w:b/>
              </w:rPr>
              <w:t>Study design:</w:t>
            </w:r>
            <w:r w:rsidRPr="0083001F">
              <w:rPr>
                <w:rFonts w:ascii="Arial" w:eastAsia="Calibri" w:hAnsi="Arial" w:cs="Arial"/>
              </w:rPr>
              <w:t xml:space="preserve">  </w:t>
            </w:r>
            <w:r w:rsidR="00D615B3" w:rsidRPr="00D615B3">
              <w:rPr>
                <w:rFonts w:ascii="Arial" w:eastAsia="Calibri" w:hAnsi="Arial" w:cs="Arial"/>
                <w:highlight w:val="yellow"/>
              </w:rPr>
              <w:t xml:space="preserve">The research design employed a laboratory experimental design. The test material employed was yam bean, which was </w:t>
            </w:r>
            <w:proofErr w:type="spellStart"/>
            <w:r w:rsidR="00D615B3" w:rsidRPr="00D615B3">
              <w:rPr>
                <w:rFonts w:ascii="Arial" w:eastAsia="Calibri" w:hAnsi="Arial" w:cs="Arial"/>
                <w:highlight w:val="yellow"/>
              </w:rPr>
              <w:t>utilised</w:t>
            </w:r>
            <w:proofErr w:type="spellEnd"/>
            <w:r w:rsidR="00D615B3" w:rsidRPr="00D615B3">
              <w:rPr>
                <w:rFonts w:ascii="Arial" w:eastAsia="Calibri" w:hAnsi="Arial" w:cs="Arial"/>
                <w:highlight w:val="yellow"/>
              </w:rPr>
              <w:t xml:space="preserve"> to produce a 96% ethanol extract for the purpose of GC</w:t>
            </w:r>
            <w:r w:rsidR="001E51B8">
              <w:rPr>
                <w:rFonts w:ascii="Arial" w:eastAsia="Calibri" w:hAnsi="Arial" w:cs="Arial"/>
                <w:highlight w:val="yellow"/>
              </w:rPr>
              <w:t>-</w:t>
            </w:r>
            <w:r w:rsidR="00D615B3" w:rsidRPr="00D615B3">
              <w:rPr>
                <w:rFonts w:ascii="Arial" w:eastAsia="Calibri" w:hAnsi="Arial" w:cs="Arial"/>
                <w:highlight w:val="yellow"/>
              </w:rPr>
              <w:t xml:space="preserve">MS method analysis. The experimental animals </w:t>
            </w:r>
            <w:proofErr w:type="spellStart"/>
            <w:r w:rsidR="00D615B3" w:rsidRPr="00D615B3">
              <w:rPr>
                <w:rFonts w:ascii="Arial" w:eastAsia="Calibri" w:hAnsi="Arial" w:cs="Arial"/>
                <w:highlight w:val="yellow"/>
              </w:rPr>
              <w:t>utilised</w:t>
            </w:r>
            <w:proofErr w:type="spellEnd"/>
            <w:r w:rsidR="00D615B3" w:rsidRPr="00D615B3">
              <w:rPr>
                <w:rFonts w:ascii="Arial" w:eastAsia="Calibri" w:hAnsi="Arial" w:cs="Arial"/>
                <w:highlight w:val="yellow"/>
              </w:rPr>
              <w:t xml:space="preserve"> were premenopausal female Sprague Dawley rats.</w:t>
            </w:r>
          </w:p>
          <w:p w14:paraId="6D269EEB" w14:textId="356CF3AA" w:rsidR="005F09B5" w:rsidRPr="0083001F" w:rsidRDefault="005F09B5" w:rsidP="006F3F9B">
            <w:pPr>
              <w:pStyle w:val="Body"/>
              <w:spacing w:after="0"/>
              <w:rPr>
                <w:rFonts w:ascii="Arial" w:eastAsia="Calibri" w:hAnsi="Arial" w:cs="Arial"/>
              </w:rPr>
            </w:pPr>
            <w:r w:rsidRPr="0083001F">
              <w:rPr>
                <w:rFonts w:ascii="Arial" w:eastAsia="Calibri" w:hAnsi="Arial" w:cs="Arial"/>
                <w:b/>
              </w:rPr>
              <w:t>Place and Duration of Study:</w:t>
            </w:r>
            <w:r w:rsidRPr="0083001F">
              <w:rPr>
                <w:rFonts w:ascii="Arial" w:eastAsia="Calibri" w:hAnsi="Arial" w:cs="Arial"/>
              </w:rPr>
              <w:t xml:space="preserve"> </w:t>
            </w:r>
            <w:r w:rsidR="00002B8A" w:rsidRPr="00002B8A">
              <w:rPr>
                <w:rFonts w:ascii="Arial" w:eastAsia="Calibri" w:hAnsi="Arial" w:cs="Arial"/>
                <w:highlight w:val="yellow"/>
              </w:rPr>
              <w:t xml:space="preserve">The research was conducted at two locations: </w:t>
            </w:r>
            <w:proofErr w:type="gramStart"/>
            <w:r w:rsidR="00002B8A" w:rsidRPr="00002B8A">
              <w:rPr>
                <w:rFonts w:ascii="Arial" w:eastAsia="Calibri" w:hAnsi="Arial" w:cs="Arial"/>
                <w:highlight w:val="yellow"/>
              </w:rPr>
              <w:t>the</w:t>
            </w:r>
            <w:proofErr w:type="gramEnd"/>
            <w:r w:rsidR="00002B8A" w:rsidRPr="00002B8A">
              <w:rPr>
                <w:rFonts w:ascii="Arial" w:eastAsia="Calibri" w:hAnsi="Arial" w:cs="Arial"/>
                <w:highlight w:val="yellow"/>
              </w:rPr>
              <w:t xml:space="preserve"> Pharmaceutical Chemistry Laboratory for GCMS analysis and the Animal Physiology Laboratory of PGRI </w:t>
            </w:r>
            <w:proofErr w:type="spellStart"/>
            <w:r w:rsidR="00002B8A" w:rsidRPr="00002B8A">
              <w:rPr>
                <w:rFonts w:ascii="Arial" w:eastAsia="Calibri" w:hAnsi="Arial" w:cs="Arial"/>
                <w:highlight w:val="yellow"/>
              </w:rPr>
              <w:t>Madiun</w:t>
            </w:r>
            <w:proofErr w:type="spellEnd"/>
            <w:r w:rsidR="00002B8A" w:rsidRPr="00002B8A">
              <w:rPr>
                <w:rFonts w:ascii="Arial" w:eastAsia="Calibri" w:hAnsi="Arial" w:cs="Arial"/>
                <w:highlight w:val="yellow"/>
              </w:rPr>
              <w:t xml:space="preserve"> University. The research was conducted over the period from February to August 2020.</w:t>
            </w:r>
          </w:p>
          <w:p w14:paraId="7DAB8598" w14:textId="6DB0DA9D" w:rsidR="005F09B5" w:rsidRPr="0083001F" w:rsidRDefault="005F09B5" w:rsidP="006F3F9B">
            <w:pPr>
              <w:pStyle w:val="Body"/>
              <w:spacing w:after="0"/>
              <w:rPr>
                <w:rFonts w:ascii="Arial" w:eastAsia="Calibri" w:hAnsi="Arial" w:cs="Arial"/>
              </w:rPr>
            </w:pPr>
            <w:r w:rsidRPr="0083001F">
              <w:rPr>
                <w:rFonts w:ascii="Arial" w:eastAsia="Calibri" w:hAnsi="Arial" w:cs="Arial"/>
                <w:b/>
                <w:bCs/>
              </w:rPr>
              <w:t>Methodology:</w:t>
            </w:r>
            <w:r w:rsidRPr="0083001F">
              <w:rPr>
                <w:rFonts w:ascii="Arial" w:eastAsia="Calibri" w:hAnsi="Arial" w:cs="Arial"/>
              </w:rPr>
              <w:t xml:space="preserve"> </w:t>
            </w:r>
            <w:r w:rsidRPr="0083001F">
              <w:rPr>
                <w:rFonts w:ascii="Arial" w:hAnsi="Arial" w:cs="Arial"/>
              </w:rPr>
              <w:t xml:space="preserve">The present study employs an experimental approach as a research method. An experiment was conducted in which phytoestrogen compounds present in a 96% ethanol extract of yam bean powder were </w:t>
            </w:r>
            <w:proofErr w:type="spellStart"/>
            <w:r w:rsidRPr="0083001F">
              <w:rPr>
                <w:rFonts w:ascii="Arial" w:hAnsi="Arial" w:cs="Arial"/>
              </w:rPr>
              <w:t>analysed</w:t>
            </w:r>
            <w:proofErr w:type="spellEnd"/>
            <w:r w:rsidRPr="0083001F">
              <w:rPr>
                <w:rFonts w:ascii="Arial" w:hAnsi="Arial" w:cs="Arial"/>
              </w:rPr>
              <w:t xml:space="preserve"> using a gas chromatography-mass spectrometry (GC-MS) method. Female Sprague-Dawley rats aged between 12 and 13 months, with a body weight range of 170-200 grams. The experiment involved 24 rats, which were grouped into three distinct treatment groups. The control group (P</w:t>
            </w:r>
            <w:r w:rsidRPr="0083001F">
              <w:rPr>
                <w:rFonts w:ascii="Arial" w:hAnsi="Arial" w:cs="Arial"/>
                <w:vertAlign w:val="subscript"/>
              </w:rPr>
              <w:t>0</w:t>
            </w:r>
            <w:r w:rsidRPr="0083001F">
              <w:rPr>
                <w:rFonts w:ascii="Arial" w:hAnsi="Arial" w:cs="Arial"/>
              </w:rPr>
              <w:t>) received a placebo, while the treatment groups (P</w:t>
            </w:r>
            <w:r w:rsidRPr="0083001F">
              <w:rPr>
                <w:rFonts w:ascii="Arial" w:hAnsi="Arial" w:cs="Arial"/>
                <w:vertAlign w:val="subscript"/>
              </w:rPr>
              <w:t>1</w:t>
            </w:r>
            <w:r w:rsidRPr="0083001F">
              <w:rPr>
                <w:rFonts w:ascii="Arial" w:hAnsi="Arial" w:cs="Arial"/>
              </w:rPr>
              <w:t xml:space="preserve"> and P</w:t>
            </w:r>
            <w:r w:rsidRPr="0083001F">
              <w:rPr>
                <w:rFonts w:ascii="Arial" w:hAnsi="Arial" w:cs="Arial"/>
                <w:vertAlign w:val="subscript"/>
              </w:rPr>
              <w:t>2</w:t>
            </w:r>
            <w:r w:rsidRPr="0083001F">
              <w:rPr>
                <w:rFonts w:ascii="Arial" w:hAnsi="Arial" w:cs="Arial"/>
              </w:rPr>
              <w:t xml:space="preserve">) received 2 g/kg and 2.8 g/kg of yam bean powder, respectively. The subject was administered powder for a period of 36 days. On the 37th day, dislocation surgery was performed, and the ovary was removed. The ovary was then subjected to HE staining. </w:t>
            </w:r>
            <w:r w:rsidR="00EE6A5F" w:rsidRPr="00EE6A5F">
              <w:rPr>
                <w:rFonts w:ascii="Arial" w:hAnsi="Arial" w:cs="Arial"/>
                <w:highlight w:val="yellow"/>
              </w:rPr>
              <w:t xml:space="preserve">The analysis of data was conducted on the basis of the results of gas chromatography-mass spectrometry (GCMS) chromatograms of isoflavone compounds and alterations in ovarian tissue structure, which were carried out using an </w:t>
            </w:r>
            <w:proofErr w:type="spellStart"/>
            <w:r w:rsidR="00EE6A5F" w:rsidRPr="00EE6A5F">
              <w:rPr>
                <w:rFonts w:ascii="Arial" w:hAnsi="Arial" w:cs="Arial"/>
                <w:highlight w:val="yellow"/>
              </w:rPr>
              <w:t>optileb</w:t>
            </w:r>
            <w:proofErr w:type="spellEnd"/>
            <w:r w:rsidR="00EE6A5F" w:rsidRPr="00EE6A5F">
              <w:rPr>
                <w:rFonts w:ascii="Arial" w:hAnsi="Arial" w:cs="Arial"/>
                <w:highlight w:val="yellow"/>
              </w:rPr>
              <w:t xml:space="preserve"> microscope.</w:t>
            </w:r>
          </w:p>
          <w:p w14:paraId="38310B89" w14:textId="43EEE4AD" w:rsidR="005F09B5" w:rsidRPr="0083001F" w:rsidRDefault="005F09B5" w:rsidP="006F3F9B">
            <w:pPr>
              <w:pStyle w:val="Body"/>
              <w:spacing w:after="0"/>
              <w:rPr>
                <w:rFonts w:ascii="Arial" w:eastAsia="Calibri" w:hAnsi="Arial" w:cs="Arial"/>
                <w:b/>
                <w:bCs/>
              </w:rPr>
            </w:pPr>
            <w:r w:rsidRPr="0083001F">
              <w:rPr>
                <w:rFonts w:ascii="Arial" w:eastAsia="Calibri" w:hAnsi="Arial" w:cs="Arial"/>
                <w:b/>
                <w:bCs/>
              </w:rPr>
              <w:t>Results:</w:t>
            </w:r>
            <w:r w:rsidRPr="0083001F">
              <w:rPr>
                <w:rFonts w:ascii="Arial" w:eastAsia="Calibri" w:hAnsi="Arial" w:cs="Arial"/>
              </w:rPr>
              <w:t xml:space="preserve"> </w:t>
            </w:r>
            <w:r w:rsidR="00FA005D" w:rsidRPr="00FA005D">
              <w:rPr>
                <w:rFonts w:ascii="Arial" w:eastAsia="Calibri" w:hAnsi="Arial" w:cs="Arial"/>
              </w:rPr>
              <w:t>The results of the gas chromatography-mass spectrometry (GCMS) analysis of yam bean powder revealed the presence of isoflavone compounds, specifically daidzein, genistein, and quercetin.</w:t>
            </w:r>
            <w:r w:rsidR="006F2A92">
              <w:rPr>
                <w:rFonts w:ascii="Arial" w:eastAsia="Calibri" w:hAnsi="Arial" w:cs="Arial"/>
              </w:rPr>
              <w:t xml:space="preserve"> </w:t>
            </w:r>
            <w:r w:rsidR="006F2A92" w:rsidRPr="006F2A92">
              <w:rPr>
                <w:rFonts w:ascii="Arial" w:eastAsia="Calibri" w:hAnsi="Arial" w:cs="Arial"/>
              </w:rPr>
              <w:t>The administration of 2.8 g/kg of yam bean powder (P</w:t>
            </w:r>
            <w:r w:rsidR="006F2A92" w:rsidRPr="00345129">
              <w:rPr>
                <w:rFonts w:ascii="Arial" w:eastAsia="Calibri" w:hAnsi="Arial" w:cs="Arial"/>
                <w:vertAlign w:val="subscript"/>
              </w:rPr>
              <w:t>2</w:t>
            </w:r>
            <w:r w:rsidR="006F2A92" w:rsidRPr="006F2A92">
              <w:rPr>
                <w:rFonts w:ascii="Arial" w:eastAsia="Calibri" w:hAnsi="Arial" w:cs="Arial"/>
              </w:rPr>
              <w:t xml:space="preserve">) resulted in the observation of </w:t>
            </w:r>
            <w:proofErr w:type="spellStart"/>
            <w:r w:rsidR="006F2A92" w:rsidRPr="006F2A92">
              <w:rPr>
                <w:rFonts w:ascii="Arial" w:eastAsia="Calibri" w:hAnsi="Arial" w:cs="Arial"/>
              </w:rPr>
              <w:t>folliculogenesis</w:t>
            </w:r>
            <w:proofErr w:type="spellEnd"/>
            <w:r w:rsidR="006F2A92" w:rsidRPr="006F2A92">
              <w:rPr>
                <w:rFonts w:ascii="Arial" w:eastAsia="Calibri" w:hAnsi="Arial" w:cs="Arial"/>
              </w:rPr>
              <w:t xml:space="preserve"> in the ovaries. The presence of tertiary follicles was identified, and granulosa cells that exhibited responsiveness to follicular fluid production were observed, filling the follicle antrum.</w:t>
            </w:r>
          </w:p>
          <w:p w14:paraId="4C944F3A" w14:textId="77777777" w:rsidR="005F09B5" w:rsidRPr="0083001F" w:rsidRDefault="005F09B5" w:rsidP="006F3F9B">
            <w:pPr>
              <w:jc w:val="both"/>
              <w:rPr>
                <w:rFonts w:ascii="Arial" w:hAnsi="Arial" w:cs="Arial"/>
              </w:rPr>
            </w:pPr>
            <w:r w:rsidRPr="0083001F">
              <w:rPr>
                <w:rFonts w:ascii="Arial" w:eastAsia="Calibri" w:hAnsi="Arial" w:cs="Arial"/>
                <w:b/>
                <w:bCs/>
              </w:rPr>
              <w:t>Conclusion:</w:t>
            </w:r>
            <w:r w:rsidRPr="0083001F">
              <w:rPr>
                <w:rFonts w:ascii="Arial" w:eastAsia="Calibri" w:hAnsi="Arial" w:cs="Arial"/>
              </w:rPr>
              <w:t xml:space="preserve"> </w:t>
            </w:r>
            <w:r w:rsidRPr="0083001F">
              <w:rPr>
                <w:rFonts w:ascii="Arial" w:hAnsi="Arial" w:cs="Arial"/>
              </w:rPr>
              <w:t xml:space="preserve">The conclusion drawn from the present study is that yam bean powder contains phytochemicals daidzein, genistein and </w:t>
            </w:r>
            <w:proofErr w:type="spellStart"/>
            <w:r w:rsidRPr="0083001F">
              <w:rPr>
                <w:rFonts w:ascii="Arial" w:hAnsi="Arial" w:cs="Arial"/>
              </w:rPr>
              <w:t>quercetine</w:t>
            </w:r>
            <w:proofErr w:type="spellEnd"/>
            <w:r w:rsidRPr="0083001F">
              <w:rPr>
                <w:rFonts w:ascii="Arial" w:hAnsi="Arial" w:cs="Arial"/>
              </w:rPr>
              <w:t xml:space="preserve">, which have been demonstrated to be capable of increasing ovarian </w:t>
            </w:r>
            <w:proofErr w:type="spellStart"/>
            <w:r w:rsidRPr="0083001F">
              <w:rPr>
                <w:rFonts w:ascii="Arial" w:hAnsi="Arial" w:cs="Arial"/>
              </w:rPr>
              <w:t>folliculogenesis</w:t>
            </w:r>
            <w:proofErr w:type="spellEnd"/>
            <w:r w:rsidRPr="0083001F">
              <w:rPr>
                <w:rFonts w:ascii="Arial" w:hAnsi="Arial" w:cs="Arial"/>
              </w:rPr>
              <w:t xml:space="preserve"> in female rats.</w:t>
            </w:r>
          </w:p>
          <w:p w14:paraId="323B9CBA" w14:textId="1961A448" w:rsidR="005F09B5" w:rsidRPr="0083001F" w:rsidRDefault="005F09B5" w:rsidP="006F3F9B">
            <w:pPr>
              <w:pStyle w:val="Body"/>
              <w:spacing w:after="0"/>
              <w:rPr>
                <w:rFonts w:ascii="Arial" w:eastAsia="Calibri" w:hAnsi="Arial" w:cs="Arial"/>
              </w:rPr>
            </w:pPr>
          </w:p>
        </w:tc>
      </w:tr>
    </w:tbl>
    <w:p w14:paraId="5815A452" w14:textId="77777777" w:rsidR="005F09B5" w:rsidRDefault="005F09B5" w:rsidP="005F09B5">
      <w:pPr>
        <w:pStyle w:val="Body"/>
        <w:spacing w:after="0"/>
        <w:rPr>
          <w:rFonts w:ascii="Arial" w:hAnsi="Arial" w:cs="Arial"/>
          <w:i/>
        </w:rPr>
      </w:pPr>
    </w:p>
    <w:p w14:paraId="514DBD06" w14:textId="3FE0D48F" w:rsidR="005F09B5" w:rsidRDefault="005F09B5" w:rsidP="005F09B5">
      <w:pPr>
        <w:jc w:val="both"/>
        <w:rPr>
          <w:rFonts w:ascii="Times New Roman" w:hAnsi="Times New Roman"/>
          <w:sz w:val="24"/>
          <w:szCs w:val="24"/>
        </w:rPr>
      </w:pPr>
      <w:r>
        <w:rPr>
          <w:rFonts w:ascii="Arial" w:hAnsi="Arial" w:cs="Arial"/>
          <w:i/>
        </w:rPr>
        <w:t>Keywords</w:t>
      </w:r>
      <w:r w:rsidRPr="0083001F">
        <w:rPr>
          <w:rFonts w:ascii="Arial" w:hAnsi="Arial" w:cs="Arial"/>
          <w:i/>
        </w:rPr>
        <w:t xml:space="preserve">: </w:t>
      </w:r>
      <w:proofErr w:type="spellStart"/>
      <w:r w:rsidR="002443A6" w:rsidRPr="0083001F">
        <w:rPr>
          <w:rFonts w:ascii="Arial" w:hAnsi="Arial" w:cs="Arial"/>
        </w:rPr>
        <w:t>folliculogenesis</w:t>
      </w:r>
      <w:proofErr w:type="spellEnd"/>
      <w:r w:rsidR="00CD3D11">
        <w:rPr>
          <w:rFonts w:ascii="Arial" w:hAnsi="Arial" w:cs="Arial"/>
        </w:rPr>
        <w:t xml:space="preserve">, </w:t>
      </w:r>
      <w:r w:rsidR="00CD3D11" w:rsidRPr="0083001F">
        <w:rPr>
          <w:rFonts w:ascii="Arial" w:hAnsi="Arial" w:cs="Arial"/>
        </w:rPr>
        <w:t>ovary</w:t>
      </w:r>
      <w:r w:rsidR="00CD3D11">
        <w:rPr>
          <w:rFonts w:ascii="Arial" w:hAnsi="Arial" w:cs="Arial"/>
        </w:rPr>
        <w:t xml:space="preserve">, </w:t>
      </w:r>
      <w:r w:rsidR="00CD3D11" w:rsidRPr="0083001F">
        <w:rPr>
          <w:rFonts w:ascii="Arial" w:hAnsi="Arial" w:cs="Arial"/>
        </w:rPr>
        <w:t xml:space="preserve">phytoestrogen </w:t>
      </w:r>
      <w:r w:rsidRPr="0083001F">
        <w:rPr>
          <w:rFonts w:ascii="Arial" w:hAnsi="Arial" w:cs="Arial"/>
        </w:rPr>
        <w:t>yam bea</w:t>
      </w:r>
      <w:r w:rsidR="00820902">
        <w:rPr>
          <w:rFonts w:ascii="Arial" w:hAnsi="Arial" w:cs="Arial"/>
        </w:rPr>
        <w:t xml:space="preserve">n, </w:t>
      </w:r>
      <w:r w:rsidR="00820902" w:rsidRPr="00820902">
        <w:rPr>
          <w:rFonts w:ascii="Arial" w:hAnsi="Arial" w:cs="Arial"/>
        </w:rPr>
        <w:t>Menopause</w:t>
      </w:r>
    </w:p>
    <w:p w14:paraId="2E5963DA" w14:textId="77777777" w:rsidR="005F09B5" w:rsidRDefault="005F09B5" w:rsidP="005F09B5">
      <w:pPr>
        <w:pStyle w:val="Body"/>
        <w:spacing w:after="0"/>
        <w:rPr>
          <w:rFonts w:ascii="Arial" w:hAnsi="Arial" w:cs="Arial"/>
          <w:i/>
        </w:rPr>
      </w:pPr>
    </w:p>
    <w:p w14:paraId="121AB20A" w14:textId="77777777" w:rsidR="005F09B5" w:rsidRDefault="005F09B5" w:rsidP="005F09B5">
      <w:pPr>
        <w:pStyle w:val="Body"/>
        <w:spacing w:after="0"/>
        <w:rPr>
          <w:rFonts w:ascii="Arial" w:hAnsi="Arial" w:cs="Arial"/>
          <w:i/>
          <w:sz w:val="18"/>
        </w:rPr>
      </w:pPr>
    </w:p>
    <w:p w14:paraId="252CD8D7" w14:textId="77777777" w:rsidR="005F09B5" w:rsidRPr="00A24E7E" w:rsidRDefault="005F09B5" w:rsidP="005F09B5">
      <w:pPr>
        <w:pStyle w:val="Body"/>
        <w:spacing w:after="0"/>
        <w:rPr>
          <w:rFonts w:ascii="Arial" w:hAnsi="Arial" w:cs="Arial"/>
          <w:i/>
        </w:rPr>
      </w:pPr>
    </w:p>
    <w:p w14:paraId="44877437" w14:textId="12BEE357" w:rsidR="005F09B5" w:rsidRDefault="005F09B5" w:rsidP="005F09B5">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1B824018" w14:textId="77777777" w:rsidR="005F09B5" w:rsidRPr="00FB3A86" w:rsidRDefault="005F09B5" w:rsidP="005F09B5">
      <w:pPr>
        <w:pStyle w:val="AbstHead"/>
        <w:spacing w:after="0"/>
        <w:jc w:val="both"/>
        <w:rPr>
          <w:rFonts w:ascii="Arial" w:hAnsi="Arial" w:cs="Arial"/>
        </w:rPr>
      </w:pPr>
    </w:p>
    <w:p w14:paraId="6EE19196" w14:textId="3A9FD8D1" w:rsidR="005F09B5" w:rsidRPr="00563654" w:rsidRDefault="005F09B5" w:rsidP="005F09B5">
      <w:pPr>
        <w:ind w:firstLine="720"/>
        <w:jc w:val="both"/>
        <w:rPr>
          <w:rFonts w:ascii="Arial" w:hAnsi="Arial" w:cs="Arial"/>
          <w:b/>
          <w:bCs/>
        </w:rPr>
      </w:pPr>
      <w:r w:rsidRPr="00563654">
        <w:rPr>
          <w:rFonts w:ascii="Arial" w:hAnsi="Arial" w:cs="Arial"/>
        </w:rPr>
        <w:t xml:space="preserve">Menopause is a natural phase in a woman's life which is </w:t>
      </w:r>
      <w:proofErr w:type="spellStart"/>
      <w:r w:rsidRPr="00563654">
        <w:rPr>
          <w:rFonts w:ascii="Arial" w:hAnsi="Arial" w:cs="Arial"/>
        </w:rPr>
        <w:t>characterised</w:t>
      </w:r>
      <w:proofErr w:type="spellEnd"/>
      <w:r w:rsidRPr="00563654">
        <w:rPr>
          <w:rFonts w:ascii="Arial" w:hAnsi="Arial" w:cs="Arial"/>
        </w:rPr>
        <w:t xml:space="preserve"> by the permanent cessation of the menstrual cycle due to decreased ovarian function and </w:t>
      </w:r>
      <w:proofErr w:type="spellStart"/>
      <w:r w:rsidRPr="00563654">
        <w:rPr>
          <w:rFonts w:ascii="Arial" w:hAnsi="Arial" w:cs="Arial"/>
        </w:rPr>
        <w:t>oestrogen</w:t>
      </w:r>
      <w:proofErr w:type="spellEnd"/>
      <w:r w:rsidRPr="00563654">
        <w:rPr>
          <w:rFonts w:ascii="Arial" w:hAnsi="Arial" w:cs="Arial"/>
        </w:rPr>
        <w:t xml:space="preserve"> hormone production</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{"citationItems":[{"id":"ITEM-1","itemData":{"DOI":"10.1210/clinem/dgaa764","ISSN":"19457197","PMID":"33095879","abstract":"Context: Menopause, the permanent cessation of menses, reflects oocyte depletion and loss of gonadal steroids. It is preceded by a transition state, the perimenopause, which is characterized by the gradual loss of oocytes, altered responsiveness to gonadal steroid feedback, wide hormonal fluctuations, and irregular menstrual patterns. The goal of this mini-review is to discuss the basic pathophysiology of the menopausal transition and the hormonal and nonhormonal management of clinicopathology attributed to it. Evidence Acquisition: A Medline search of epidemiologic, population-based studies, and studies of reproductive physiology was conducted. A total of 758 publications were screened. Evidence Synthesis: The reproductive hormonal milieu of the menopausal transition precipitates bothersome vasomotor symptoms, mood disruption, temporary cognitive dysfunction, genitourinary symptoms, and other disease processes that reduce the quality of life of affected women. The endocrine tumult of the menopause transition also exposes racial and socioeconomic disparities in the onset, severity, and frequency of symptoms. Hormone therapy (HT) treatment can be effective for perimenopausal symptoms but its use has been stymied by concerns about health risks observed in postmenopausal HT users who are older than 60 and/or women who have been postmenopausal for greater than 10 years. Conclusions: The menopause transition is a disruptive process that can last for over a decade and causes symptoms in a majority of women. It is important for clinicians to recognize early signs and symptoms of the transition and be prepared to offer treatment to mitigate these symptoms. Many safe and effective options, including HT, are available.","author":[{"dropping-particle":"","family":"Santoro","given":"Nanette","non-dropping-particle":"","parse-names":false,"suffix":""},{"dropping-particle":"","family":"Roeca","given":"Cassandra","non-dropping-particle":"","parse-names":false,"suffix":""},{"dropping-particle":"","family":"Peters","given":"Brandilyn A.","non-dropping-particle":"","parse-names":false,"suffix":""},{"dropping-particle":"","family":"Neal-Perry","given":"Genevieve","non-dropping-particle":"","parse-names":false,"suffix":""}],"container-title":"Journal of Clinical Endocrinology and Metabolism","id":"ITEM-1","issue":"1","issued":{"date-parts":[["2021"]]},"page":"1-15","title":"The Menopause Transition: Signs, Symptoms, and Management Options","type":"article-journal","volume":"106"},"uris":["http://www.mendeley.com/documents/?uuid=ec901e3b-e48f-4604-a617-4e92934422e0"]},{"id":"ITEM-2","itemData":{"DOI":"10.47957/ijpda.v9i2.473","abstract":"Menopause is a commonly occurring transition that all women go through with advancing age. The permanent cessation of menstruation is defined as natural menopause it happens with the termination of a woman’s final menstrual period. Variations in race and ethnicity may be a reason for different menopausal onsets in women which may also be affected by lifestyle and demographic factors. A negative effect on the common health and quality of life (QOL) as well as the contentment of middle-aged women may occur due to Menopause and associated biological changes. From one individual to another, symptoms of menopause and their severity differ due to the effects of different factors such as social status, lifestyle, psychological status, and body composition. QOL in women may be diminished due to Menopausal symptoms, mostly sexual and vasomotor symptoms.","author":[{"dropping-particle":"","family":"Timmana","given":"V.S. Geethika","non-dropping-particle":"","parse-names":false,"suffix":""},{"dropping-particle":"","family":"Mattapalli","given":"Glory","non-dropping-particle":"","parse-names":false,"suffix":""},{"dropping-particle":"","family":"Gujju","given":"Emmanuel","non-dropping-particle":"","parse-names":false,"suffix":""},{"dropping-particle":"","family":"Boddu","given":"Priyanka","non-dropping-particle":"","parse-names":false,"suffix":""}],"container-title":"International Journal of Pharmaceutics and Drug Analysis","id":"ITEM-2","issued":{"date-parts":[["2021"]]},"page":"109-125","title":"Understanding menopause-postmenopausal complications, management and quality of life","type":"article-journal"},"uris":["http://www.mendeley.com/documents/?uuid=707955ec-27c4-4f49-9478-e8e6736eb3ac"]},{"id":"ITEM-3","itemData":{"DOI":"10.31893/MULTIREV.2025057","ISSN":"25953982","abstract":"The article delves deeply into the nature and process of menopause through which women undergo, which comprises profound transitions that occur during all menopausal stages. These findings emphasize the critical importance of comprehending and effectively addressing the diverse array of menopausal symptoms. The profound decline in progesterone and estrogen levels has been identified as the catalyst for triggering a spectrum of symptoms, which include but are not limited to hot flashes, mood swings, sleep disturbances, and genitourinary issues. These symptoms are noted to have a tangible impact on the daily functioning and overall well-being of women. This article underscores the pivotal role played by hormonal shifts in the manifestation of these symptoms and highlights the pressing need for the development of robust management strategies. Furthermore, hormone replacement therapy (HRT) is a well-researched treatment option, albeit with the caveat that its potential risks necessitate a personalized and nuanced approach. It also emphasizes the importance of lifestyle modifications, such as engaging in regular physical activity, adopting a balanced diet, and considering cognitive behavioral therapy, as pivotal elements in mitigating certain menopausal symptoms while concurrently enhancing overall health. The article also underscores the importance of addressing sexual health through therapeutic interventions, acknowledging their potential to significantly ameliorate vaginal symptoms and enhance sexual function, thereby fostering greater intimacy and relational satisfaction. Additionally, it highlights the profound psychosocial adjustments that women undergo during menopause, which are intrinsically intertwined with sociocultural factors. A holistic approach to menopause management is advised, which encompasses psychological support, medical treatments, and social interventions, underscoring their collective importance in effectively supporting women through this important life transition.","author":[{"dropping-particle":"","family":"Bagga","given":"Simerjeet Singh","non-dropping-particle":"","parse-names":false,"suffix":""},{"dropping-particle":"","family":"Tayade","given":"Surekha","non-dropping-particle":"","parse-names":false,"suffix":""},{"dropping-particle":"","family":"Lohiya","given":"Nilesh","non-dropping-particle":"","parse-names":false,"suffix":""},{"dropping-particle":"","family":"Tyagi","given":"Archana","non-dropping-particle":"","parse-names":false,"suffix":""},{"dropping-particle":"","family":"Chauhan","given":"Ditya","non-dropping-particle":"","parse-names":false,"suffix":""}],"container-title":"Multidisciplinary Reviews","id":"ITEM-3","issue":"2","issued":{"date-parts":[["2025"]]},"title":"Menopause dynamics: From symptoms to quality of life, unraveling the complexities of the hormonal shift","type":"article-journal","volume":"8"},"uris":["http://www.mendeley.com/documents/?uuid=5db0b169-6bb1-4a89-9b07-808cab3ce916"]}],"mendeley":{"formattedCitation":"(Bagga et al., 2025; Santoro et al., 2021; Timmana et al., 2021)","plainTextFormattedCitation":"(Bagga et al., 2025; Santoro et al., 2021; Timmana et al., 2021)","previouslyFormattedCitation":"(Santoro &lt;i&gt;et al.&lt;/i&gt;, 2021; Timmana &lt;i&gt;et al.&lt;/i&gt;, 2021; Bagga &lt;i&gt;et al.&lt;/i&gt;, 2025)"},"properties":{"noteIndex":0},"schema":"https://github.com/citation-style-language/schema/raw/master/csl-citation.json"}</w:instrText>
      </w:r>
      <w:r>
        <w:rPr>
          <w:rFonts w:ascii="Arial" w:hAnsi="Arial" w:cs="Arial"/>
        </w:rPr>
        <w:fldChar w:fldCharType="separate"/>
      </w:r>
      <w:r w:rsidRPr="005F09B5">
        <w:rPr>
          <w:rFonts w:ascii="Arial" w:hAnsi="Arial" w:cs="Arial"/>
          <w:noProof/>
        </w:rPr>
        <w:t>(Bagga et al., 2025; Santoro et al., 2021; Timmana et al., 2021)</w:t>
      </w:r>
      <w:r>
        <w:rPr>
          <w:rFonts w:ascii="Arial" w:hAnsi="Arial" w:cs="Arial"/>
        </w:rPr>
        <w:fldChar w:fldCharType="end"/>
      </w:r>
      <w:r>
        <w:rPr>
          <w:rFonts w:ascii="Arial" w:hAnsi="Arial" w:cs="Arial"/>
        </w:rPr>
        <w:t xml:space="preserve">. </w:t>
      </w:r>
      <w:r w:rsidRPr="00563654">
        <w:rPr>
          <w:rFonts w:ascii="Arial" w:hAnsi="Arial" w:cs="Arial"/>
        </w:rPr>
        <w:t xml:space="preserve">This condition arises due to diminished oogenesis, resulting in a decline of female reproductive </w:t>
      </w:r>
      <w:r w:rsidRPr="00563654">
        <w:rPr>
          <w:rFonts w:ascii="Arial" w:hAnsi="Arial" w:cs="Arial"/>
        </w:rPr>
        <w:lastRenderedPageBreak/>
        <w:t>hormones</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{"citationItems":[{"id":"ITEM-1","itemData":{"author":[{"dropping-particle":"","family":"Burger","given":"H. G.","non-dropping-particle":"","parse-names":false,"suffix":""},{"dropping-particle":"","family":"Hale","given":"G. E.","non-dropping-particle":"","parse-names":false,"suffix":""},{"dropping-particle":"","family":"Dennerstein","given":"L.","non-dropping-particle":"","parse-names":false,"suffix":""},{"dropping-particle":"","family":"Robertson","given":"D. M","non-dropping-particle":"","parse-names":false,"suffix":""}],"container-title":"Menopause","id":"ITEM-1","issue":"4","issued":{"date-parts":[["2008"]]},"page":"603-612","title":"Cycle and hormone changes during perimenopause: the key role of ovarian function","type":"article-journal","volume":"15"},"uris":["http://www.mendeley.com/documents/?uuid=3fa77acd-25c1-4917-a29e-c805041686ec"]},{"id":"ITEM-2","itemData":{"author":[{"dropping-particle":"","family":"Ma","given":"L.","non-dropping-particle":"","parse-names":false,"suffix":""},{"dropping-particle":"","family":"Shen","given":"W.","non-dropping-particle":"","parse-names":false,"suffix":""},{"dropping-particle":"","family":"Zhang","given":"J.","non-dropping-particle":"","parse-names":false,"suffix":""},{"dropping-particle":"","family":"Ma","given":"L.","non-dropping-particle":"","parse-names":false,"suffix":""},{"dropping-particle":"","family":"Shen","given":"W.","non-dropping-particle":"","parse-names":false,"suffix":""},{"dropping-particle":"","family":"Shen","given":"W.","non-dropping-particle":"","parse-names":false,"suffix":""},{"dropping-particle":"","family":"Zhang","given":"J.","non-dropping-particle":"","parse-names":false,"suffix":""}],"container-title":"Ovarian aging","id":"ITEM-2","issued":{"date-parts":[["2023"]]},"page":"7-33","title":"The life cycle of the ovary","type":"chapter"},"uris":["http://www.mendeley.com/documents/?uuid=1b5d5154-ee63-48f7-ab2b-5f77cf783f9d"]},{"id":"ITEM-3","itemData":{"author":[{"dropping-particle":"","family":"Das","given":"P. K.","non-dropping-particle":"","parse-names":false,"suffix":""},{"dropping-particle":"","family":"Mukherjee","given":"J.","non-dropping-particle":"","parse-names":false,"suffix":""},{"dropping-particle":"","family":"Banerjee","given":"D","non-dropping-particle":"","parse-names":false,"suffix":""}],"container-title":"Textbook of veterinary physiology","id":"ITEM-3","issued":{"date-parts":[["2023"]]},"page":"513-568","title":"Female reproductive physiology","type":"chapter"},"uris":["http://www.mendeley.com/documents/?uuid=787edecc-8a66-41b7-9d41-b2f494794f2e"]}],"mendeley":{"formattedCitation":"(Burger et al., 2008; Das et al., 2023; Ma et al., 2023)","plainTextFormattedCitation":"(Burger et al., 2008; Das et al., 2023; Ma et al., 2023)","previouslyFormattedCitation":"(Burger &lt;i&gt;et al.&lt;/i&gt;, 2008; Das, Mukherjee and Banerjee, 2023; Ma &lt;i&gt;et al.&lt;/i&gt;, 2023)"},"properties":{"noteIndex":0},"schema":"https://github.com/citation-style-language/schema/raw/master/csl-citation.json"}</w:instrText>
      </w:r>
      <w:r>
        <w:rPr>
          <w:rFonts w:ascii="Arial" w:hAnsi="Arial" w:cs="Arial"/>
        </w:rPr>
        <w:fldChar w:fldCharType="separate"/>
      </w:r>
      <w:r w:rsidRPr="005F09B5">
        <w:rPr>
          <w:rFonts w:ascii="Arial" w:hAnsi="Arial" w:cs="Arial"/>
          <w:noProof/>
        </w:rPr>
        <w:t>(Burger et al., 2008; Das et al., 2023; Ma et al., 2023)</w:t>
      </w:r>
      <w:r>
        <w:rPr>
          <w:rFonts w:ascii="Arial" w:hAnsi="Arial" w:cs="Arial"/>
        </w:rPr>
        <w:fldChar w:fldCharType="end"/>
      </w:r>
      <w:r w:rsidRPr="00563654">
        <w:rPr>
          <w:rFonts w:ascii="Arial" w:hAnsi="Arial" w:cs="Arial"/>
          <w:b/>
          <w:bCs/>
        </w:rPr>
        <w:t>.</w:t>
      </w:r>
      <w:r w:rsidRPr="00563654">
        <w:rPr>
          <w:rFonts w:ascii="Arial" w:hAnsi="Arial" w:cs="Arial"/>
        </w:rPr>
        <w:t xml:space="preserve"> In Indonesia, this phase typically manifests in women aged 45-55 years </w:t>
      </w:r>
      <w:r>
        <w:rPr>
          <w:rFonts w:ascii="Arial" w:hAnsi="Arial" w:cs="Arial"/>
        </w:rPr>
        <w:fldChar w:fldCharType="begin" w:fldLock="1"/>
      </w:r>
      <w:r>
        <w:rPr>
          <w:rFonts w:ascii="Arial" w:hAnsi="Arial" w:cs="Arial"/>
        </w:rPr>
        <w:instrText>ADDIN CSL_CITATION {"citationItems":[{"id":"ITEM-1","itemData":{"DOI":"10.29303/jppipa.v10i12.8782","author":[{"dropping-particle":"","family":"Anggraini","given":"Nofa","non-dropping-particle":"","parse-names":false,"suffix":""},{"dropping-particle":"","family":"Sari","given":"Rosita","non-dropping-particle":"","parse-names":false,"suffix":""},{"dropping-particle":"","family":"Hartiningsih","given":"Sri","non-dropping-particle":"","parse-names":false,"suffix":""},{"dropping-particle":"","family":"Maria","given":"Nursanti","non-dropping-particle":"","parse-names":false,"suffix":""},{"dropping-particle":"","family":"Dewi","given":"Yuliawati","non-dropping-particle":"","parse-names":false,"suffix":""},{"dropping-particle":"","family":"Octavia","given":"Vera","non-dropping-particle":"","parse-names":false,"suffix":""},{"dropping-particle":"","family":"Anggraeni","given":"Arindi","non-dropping-particle":"","parse-names":false,"suffix":""},{"dropping-particle":"","family":"Riyanti","given":"Rina","non-dropping-particle":"","parse-names":false,"suffix":""}],"id":"ITEM-1","issue":"12","issued":{"date-parts":[["2024"]]},"page":"9926-9937","title":"Factors Affecting Menopause Quality of Life in the 45-55 Years Age Group in Indonesia","type":"article-journal","volume":"10"},"uris":["http://www.mendeley.com/documents/?uuid=f451cc23-be11-4de5-8ee7-9e5189578741"]}],"mendeley":{"formattedCitation":"(Anggraini et al., 2024)","plainTextFormattedCitation":"(Anggraini et al., 2024)","previouslyFormattedCitation":"(Anggraini &lt;i&gt;et al.&lt;/i&gt;, 2024)"},"properties":{"noteIndex":0},"schema":"https://github.com/citation-style-language/schema/raw/master/csl-citation.json"}</w:instrText>
      </w:r>
      <w:r>
        <w:rPr>
          <w:rFonts w:ascii="Arial" w:hAnsi="Arial" w:cs="Arial"/>
        </w:rPr>
        <w:fldChar w:fldCharType="separate"/>
      </w:r>
      <w:r w:rsidRPr="005F09B5">
        <w:rPr>
          <w:rFonts w:ascii="Arial" w:hAnsi="Arial" w:cs="Arial"/>
          <w:noProof/>
        </w:rPr>
        <w:t>(Anggraini et al., 2024)</w:t>
      </w:r>
      <w:r>
        <w:rPr>
          <w:rFonts w:ascii="Arial" w:hAnsi="Arial" w:cs="Arial"/>
        </w:rPr>
        <w:fldChar w:fldCharType="end"/>
      </w:r>
      <w:r>
        <w:rPr>
          <w:rFonts w:ascii="Arial" w:hAnsi="Arial" w:cs="Arial"/>
          <w:b/>
          <w:bCs/>
        </w:rPr>
        <w:t>.</w:t>
      </w:r>
      <w:r w:rsidRPr="00563654">
        <w:rPr>
          <w:rFonts w:ascii="Arial" w:hAnsi="Arial" w:cs="Arial"/>
        </w:rPr>
        <w:t xml:space="preserve"> The onset of menopause frequently precipitates a plethora of physical and psychological symptoms, including hot flushes (sudden hot sensations), sleep disturbances, mood swings, and decreased bone mass (osteopenia/osteoporosis). These symptoms are associated with an elevated risk of cardiovascular disease</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{"citationItems":[{"id":"ITEM-1","itemData":{"DOI":"10.1136/bmj-2022-072612","ISSN":"17561833","PMID":"37553173","abstract":"Most women worldwide experience menopausal symptoms during the menopause transition or postmenopause. Vasomotor symptoms are most pronounced during the first four to seven years but can persist for more than a decade, and genitourinary symptoms tend to be progressive. Although the hallmark symptoms are hot flashes, night sweats, disrupted sleep, and genitourinary discomfort, other common symptoms and conditions are mood fluctuations, cognitive changes, low sexual desire, bone loss, increase in abdominal fat, and adverse changes in metabolic health. These symptoms and signs can occur in any combination or sequence, and the link to menopause may even be elusive. Estrogen based hormonal therapies are the most effective treatments for many of the symptoms and, in the absence of contraindications to treatment, have a generally favorable benefit:risk ratio for women below age 60 and within 10 years of the onset of menopause. Non-hormonal treatment options are also available. Although a symptom driven treatment approach with individualized decision making can improve health and quality of life for midlife women, menopausal symptoms remain substantially undertreated by healthcare providers.","author":[{"dropping-particle":"","family":"Duralde","given":"Erin R.","non-dropping-particle":"","parse-names":false,"suffix":""},{"dropping-particle":"","family":"Sobel","given":"Talia H.","non-dropping-particle":"","parse-names":false,"suffix":""},{"dropping-particle":"","family":"Manson","given":"Jo Ann E.","non-dropping-particle":"","parse-names":false,"suffix":""}],"container-title":"Bmj","id":"ITEM-1","issued":{"date-parts":[["2023"]]},"title":"Management of perimenopausal and menopausal symptoms","type":"article-journal"},"uris":["http://www.mendeley.com/documents/?uuid=c4d86143-c7e8-4c74-8062-2585e1a14b8c"]},{"id":"ITEM-2","itemData":{"DOI":"10.3389/fphar.2017.00605","ISBN":"4159802184","ISSN":"16639812","abstract":"Menopause is associated with increased risk to develop obesity but the mechanisms involved are not fully understood. We have shown that Ginkgo biloba extract (GbE) improved diet-induced obesity. Since GbE might be effective in the treatment of obesity related to menopause, avoiding the side effects of hormone replacement therapy, we investigated the effect of GbE on hypothalamic systems controlling energy homeostasis. Wistar rats were either ovariectomized (OVX) or Sham-operated. After 2 months, either 500 mg:kg-1 of GbE or vehicle were administered daily by gavage for 14 days. A subset of animals received an intracerebroventricular (i.c.v.) injection of serotonin (300 mg) or vehicle and food intake was measured after 12 and 24 h. Another subset was submitted to in vivo microdialysis and 5-HT levels of the medial hypothalamus were measured by high performance liquid chromatography, before and up to 2 h after the administration of 500 mg:kg-1 of GbE. Additional animals were used for quantification of 5-HT1A, 5-HT1B, 5-HT2C, 5-HTT, and pro-opiomelanocortin hypothalamic protein levels by Western blotting. OVX increased food intake and body weight and adiposity while GbE attenuated these alterations. i.c.v. serotonin significantly reduced food intake in Sham, Sham C GbE, and OVX C GbE groups while it failed to do so in the OVX group. In the OVX rats, GbE stimulated 5-HT microdialysate levels while it reduced hypothalamic 5-HTT protein levels. The results indicate that GbE improved the ovariectomy-induced resistance to serotonin hypophagia, at least in part through stimulation of the hypothalamic serotonergic activity. Since body weight gain is one of the most important consequences of menopause, the stimulation of the serotonergic transmission by GbE may represent a potential alternative therapy for menopause-related obesity.","author":[{"dropping-particle":"","family":"Banin","given":"Renata M.","non-dropping-particle":"","parse-names":false,"suffix":""},{"dropping-particle":"","family":"Andrade","given":"Iracema S.","non-dropping-particle":"de","parse-names":false,"suffix":""},{"dropping-particle":"","family":"Cerutti","given":"Suzete M.","non-dropping-particle":"","parse-names":false,"suffix":""},{"dropping-particle":"","family":"Oyama","given":"Lila M.","non-dropping-particle":"","parse-names":false,"suffix":""},{"dropping-particle":"","family":"Telles","given":"Mǒnica M.","non-dropping-particle":"","parse-names":false,"suffix":""},{"dropping-particle":"","family":"Ribeiro","given":"Eliane B.","non-dropping-particle":"","parse-names":false,"suffix":""}],"container-title":"Frontiers in Pharmacology","id":"ITEM-2","issue":"SEP","issued":{"date-parts":[["2017"]]},"page":"10-11","title":"Ginkgo biloba Extract (GbE) stimulates the hypothalamic serotonergic system and attenuates obesity in ovariectomized rats","type":"article-journal","volume":"8"},"uris":["http://www.mendeley.com/documents/?uuid=884be95a-f22d-4c3e-b5d1-006ff17b6dfb"]},{"id":"ITEM-3","itemData":{"author":[{"dropping-particle":"","family":"Sharma, S., Krishnan, A., Mukherjee, A., &amp; Kumar","given":"V","non-dropping-particle":"","parse-names":false,"suffix":""}],"container-title":"Management of Menopause: A Guide for Practitioners","id":"ITEM-3","issued":{"date-parts":[["2025"]]},"page":"73-88","title":"Menopause and Oral Health","type":"article-journal"},"uris":["http://www.mendeley.com/documents/?uuid=3dc9e99b-2944-4ade-bb62-91ffea29ed47"]}],"mendeley":{"formattedCitation":"(Banin et al., 2017; Duralde et al., 2023; Sharma, S., Krishnan, A., Mukherjee, A., &amp; Kumar, 2025)","plainTextFormattedCitation":"(Banin et al., 2017; Duralde et al., 2023; Sharma, S., Krishnan, A., Mukherjee, A., &amp; Kumar, 2025)","previouslyFormattedCitation":"(Banin &lt;i&gt;et al.&lt;/i&gt;, 2017; Duralde, Sobel and Manson, 2023; Sharma, S., Krishnan, A., Mukherjee, A., &amp; Kumar, 2025)"},"properties":{"noteIndex":0},"schema":"https://github.com/citation-style-language/schema/raw/master/csl-citation.json"}</w:instrText>
      </w:r>
      <w:r>
        <w:rPr>
          <w:rFonts w:ascii="Arial" w:hAnsi="Arial" w:cs="Arial"/>
        </w:rPr>
        <w:fldChar w:fldCharType="separate"/>
      </w:r>
      <w:r w:rsidRPr="005F09B5">
        <w:rPr>
          <w:rFonts w:ascii="Arial" w:hAnsi="Arial" w:cs="Arial"/>
          <w:noProof/>
        </w:rPr>
        <w:t>(Banin et al., 2017; Duralde et al., 2023; Sharma, S., Krishnan, A., Mukherjee, A., &amp; Kumar, 2025)</w:t>
      </w:r>
      <w:r>
        <w:rPr>
          <w:rFonts w:ascii="Arial" w:hAnsi="Arial" w:cs="Arial"/>
        </w:rPr>
        <w:fldChar w:fldCharType="end"/>
      </w:r>
      <w:r>
        <w:rPr>
          <w:rFonts w:ascii="Arial" w:hAnsi="Arial" w:cs="Arial"/>
        </w:rPr>
        <w:t xml:space="preserve">. </w:t>
      </w:r>
      <w:r w:rsidRPr="00563654">
        <w:rPr>
          <w:rFonts w:ascii="Arial" w:hAnsi="Arial" w:cs="Arial"/>
        </w:rPr>
        <w:t>This menopausal condition has been demonstrated to exert an impact on reproductive health and quality of life</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Sun","given":"N.","non-dropping-particle":"","parse-names":false,"suffix":""},{"dropping-particle":"","family":"Xing","given":"J.","non-dropping-particle":"","parse-names":false,"suffix":""},{"dropping-particle":"","family":"Li","given":"L.","non-dropping-particle":"","parse-names":false,"suffix":""},{"dropping-particle":"","family":"Han","given":"X. Y.","non-dropping-particle":"","parse-names":false,"suffix":""},{"dropping-particle":"","family":"Man","given":"J.","non-dropping-particle":"","parse-names":false,"suffix":""},{"dropping-particle":"","family":"Wang","given":"H. Y.","non-dropping-particle":"","parse-names":false,"suffix":""},{"dropping-particle":"","family":"Lv","given":"D. M.","non-dropping-particle":"","parse-names":false,"suffix":""}],"container-title":"Archives of Psychiatric Nursing","id":"ITEM-1","issue":"2","issued":{"date-parts":[["2018"]]},"page":"224-228","title":"Impact of menopause on quality of life in community-based women in china: 1 year follow-up","type":"article-journal","volume":"32"},"uris":["http://www.mendeley.com/documents/?uuid=a39b27fb-f10d-4771-9ef9-1a7e17957271"]},{"id":"ITEM-2","itemData":{"author":[{"dropping-particle":"","family":"Cea García","given":"J.","non-dropping-particle":"","parse-names":false,"suffix":""},{"dropping-particle":"","family":"Márquez Maraver","given":"F.","non-dropping-particle":"","parse-names":false,"suffix":""},{"dropping-particle":"","family":"Rubio Rodríguez","given":"M. C","non-dropping-particle":"","parse-names":false,"suffix":""}],"container-title":"Journal of Obstetrics and Gynaecology","id":"ITEM-2","issue":"5","issued":{"date-parts":[["2022"]]},"page":"1225-1232","title":"Cross-sectional study on the impact of age, menopause and quality of life on female sexual function","type":"article-journal","volume":"42"},"uris":["http://www.mendeley.com/documents/?uuid=1be4511a-a938-4073-bf38-f9af6ff203a1"]}],"mendeley":{"formattedCitation":"(Cea García et al., 2022; Sun et al., 2018)","plainTextFormattedCitation":"(Cea García et al., 2022; Sun et al., 2018)","previouslyFormattedCitation":"(Sun &lt;i&gt;et al.&lt;/i&gt;, 2018; Cea García, Márquez Maraver and Rubio Rodríguez, 2022)"},"properties":{"noteIndex":0},"schema":"https://github.com/citation-style-language/schema/raw/master/csl-citation.json"}</w:instrText>
      </w:r>
      <w:r>
        <w:rPr>
          <w:rFonts w:ascii="Arial" w:hAnsi="Arial" w:cs="Arial"/>
        </w:rPr>
        <w:fldChar w:fldCharType="separate"/>
      </w:r>
      <w:r w:rsidRPr="005F09B5">
        <w:rPr>
          <w:rFonts w:ascii="Arial" w:hAnsi="Arial" w:cs="Arial"/>
          <w:noProof/>
        </w:rPr>
        <w:t>(Cea García et al., 2022; Sun et al., 2018)</w:t>
      </w:r>
      <w:r>
        <w:rPr>
          <w:rFonts w:ascii="Arial" w:hAnsi="Arial" w:cs="Arial"/>
        </w:rPr>
        <w:fldChar w:fldCharType="end"/>
      </w:r>
      <w:r>
        <w:rPr>
          <w:rFonts w:ascii="Arial" w:hAnsi="Arial" w:cs="Arial"/>
        </w:rPr>
        <w:t>.</w:t>
      </w:r>
    </w:p>
    <w:p w14:paraId="5E9B2286" w14:textId="18A18B9B" w:rsidR="005F09B5" w:rsidRPr="00563654" w:rsidRDefault="005F09B5" w:rsidP="005F09B5">
      <w:pPr>
        <w:ind w:firstLine="720"/>
        <w:jc w:val="both"/>
        <w:rPr>
          <w:rFonts w:ascii="Arial" w:hAnsi="Arial" w:cs="Arial"/>
          <w:b/>
          <w:bCs/>
        </w:rPr>
      </w:pPr>
      <w:r w:rsidRPr="00563654">
        <w:rPr>
          <w:rFonts w:ascii="Arial" w:hAnsi="Arial" w:cs="Arial"/>
        </w:rPr>
        <w:t>Concurrent with the advancement of science and technology, a range of methodologies have emerged to address the adverse effects of menopause, including hormone therapy (Hormone Replacement Therapy</w:t>
      </w:r>
      <w:r>
        <w:rPr>
          <w:rFonts w:ascii="Arial" w:hAnsi="Arial" w:cs="Arial"/>
        </w:rPr>
        <w:t>)</w:t>
      </w:r>
      <w:r>
        <w:rPr>
          <w:rFonts w:ascii="Arial" w:hAnsi="Arial" w:cs="Arial"/>
          <w:b/>
          <w:bCs/>
        </w:rPr>
        <w:t xml:space="preserve"> </w:t>
      </w:r>
      <w:r>
        <w:rPr>
          <w:rFonts w:ascii="Arial" w:hAnsi="Arial" w:cs="Arial"/>
          <w:b/>
          <w:bCs/>
        </w:rPr>
        <w:fldChar w:fldCharType="begin" w:fldLock="1"/>
      </w:r>
      <w:r>
        <w:rPr>
          <w:rFonts w:ascii="Arial" w:hAnsi="Arial" w:cs="Arial"/>
          <w:b/>
          <w:bCs/>
        </w:rPr>
        <w:instrText>ADDIN CSL_CITATION {"citationItems":[{"id":"ITEM-1","itemData":{"DOI":"10.3390/medicina55090544","ISSN":"1010660X","PMID":"31466381","abstract":"The menopausal transition, or perimenopause, is characterized by menstrual irregularities, vasomotor symptoms, sleep disturbances, mood symptoms, and urogenital tract atrophy. These changes can also affect the quality of life and one’s self-esteem. Hormone replacement therapy (HRT) is considered the best option to achieve therapeutic relief of different menopausal symptoms but is usually restricted to moderate or severe symptoms. Moreover, many women refuse HRT for a variety of reasons concerning the fear of cancer and other adverse effects. According to these considerations, new topics are emerging: Dissatisfaction with drug costs and conventional healthcare, desire for personalized medicines, and the public perception that “natural is good”. In this context, nonhormonal therapies are mostly evolving, and it is not unusual that women often request a “natural” approach for their symptoms. The aim of this study is to investigate nonhormonal therapies that have been identified to reduce the menopausal symptoms.","author":[{"dropping-particle":"","family":"Franciscis","given":"Pasquale","non-dropping-particle":"De","parse-names":false,"suffix":""},{"dropping-particle":"","family":"Colacurci","given":"Nicola","non-dropping-particle":"","parse-names":false,"suffix":""},{"dropping-particle":"","family":"Riemma","given":"Gaetano","non-dropping-particle":"","parse-names":false,"suffix":""},{"dropping-particle":"","family":"Conte","given":"Anna","non-dropping-particle":"","parse-names":false,"suffix":""},{"dropping-particle":"","family":"Pittana","given":"Erika","non-dropping-particle":"","parse-names":false,"suffix":""},{"dropping-particle":"","family":"Guida","given":"Maurizio","non-dropping-particle":"","parse-names":false,"suffix":""},{"dropping-particle":"","family":"Schiattarella","given":"Antonio","non-dropping-particle":"","parse-names":false,"suffix":""}],"container-title":"Medicina (Lithuania)","id":"ITEM-1","issue":"9","issued":{"date-parts":[["2019"]]},"page":"16-18","title":"A nutraceutical approach to menopausal complaints","type":"article-journal","volume":"55"},"uris":["http://www.mendeley.com/documents/?uuid=f4bfee5c-ef50-4881-8f0e-d319ccd9bdda"]},{"id":"ITEM-2","itemData":{"DOI":"10.1093/humupd/dmab026","ISSN":"14602369","PMID":"34432008","abstract":"BACKGROUND: Menopausal symptoms can be very distressing and considerably affect a woman's personal and social life. It is becoming more and more evident that leaving bothersome symptoms untreated in midlife may lead to altered quality of life, reduced work productivity and, possibly, overall impaired health. Hormone therapy (HT) for the relief of menopausal symptoms has been the object of much controversy over the past two decades. At the beginning of the century, a shadow was cast on the use of HT owing to the concern for cardiovascular and cerebrovascular risks, and breast cancer, arising following publication of a large randomized placebo-controlled trial. Findings of a subanalysis of the trial data and extended follow-up studies, along with other more modern clinical trials and observational studies, have provided new evidence on the effects of HT. OBJECTIVE AND RATIONALE: The goal of the following paper is to appraise the most significant clinical literature on the effects of hormones in postmenopausal women, and to report the benefits and risks of HT for the relief of menopausal symptoms. SEARCH METHODS: A Pubmed search of clinical trials was performed using the following terms: estrogens, progestogens, bazedoxifene, tibolone, selective estrogen receptor modulators, tissue-selective estrogen complex, androgens, and menopause. OUTCOMES: HT is an effective treatment for bothersome menopausal vasomotor symptoms, genitourinary syndrome, and prevention of osteoporotic fractures. Women should be made aware that there is a small increased risk of stroke that tends to persist over the years as well as breast cancer risk with long-term estrogen-progestin use. However, healthy women who begin HT soon after menopause will probably earn more benefit than harm from the treatment. HT can improve bothersome symptoms, all the while conferring offset benefits such as cardiovascular risk reduction, an increase in bone mineral density and a reduction in bone fracture risk. Moreover, a decrease in colorectal cancer risk is obtainable in women treated with estrogen-progestin therapy, and an overall but nonsignificant reduction in mortality has been observed in women treated with conjugated equine estrogens alone or combined with estrogen-progestin therapy. Where possible, transdermal routes of HT administration should be preferred as they have the least impact on coagulation. With combined treatment, natural progesterone should be favored as it is devoid of the antiap…","author":[{"dropping-particle":"","family":"Genazzani","given":"Andrea R.","non-dropping-particle":"","parse-names":false,"suffix":""},{"dropping-particle":"","family":"Monteleone","given":"Patrizia","non-dropping-particle":"","parse-names":false,"suffix":""},{"dropping-particle":"","family":"Giannini","given":"Andrea","non-dropping-particle":"","parse-names":false,"suffix":""},{"dropping-particle":"","family":"Simoncini","given":"Tommaso","non-dropping-particle":"","parse-names":false,"suffix":""}],"container-title":"Human Reproduction Update","id":"ITEM-2","issue":"6","issued":{"date-parts":[["2021"]]},"page":"1115-1150","title":"Hormone therapy in the postmenopausal years: Considering benefits and risks in clinical practice","type":"article-journal","volume":"27"},"uris":["http://www.mendeley.com/documents/?uuid=9059db9a-0d4c-4918-97c9-af86f3329c56"]},{"id":"ITEM-3","itemData":{"DOI":"10.3390/nu13072363","ISSN":"20726643","PMID":"34371873","abstract":"Menopause, probably the most important natural change in a woman’s life and a major component of female senescence, is characterized, inter alia, by cessation of ovarian estrogen and progesterone production, resulting in a gradual deterioration of the female immune system. Hormone replacement therapy (HRT) is used in postmenopausal women to relieve some of the peri-and postmenopausal symptoms, while there is also evidence that the therapy may additionally partially reverse menopausal immune senescence. Flavonoids, and especially isoflavones, are widely used for the treatment of menopausal symptoms, although it is not at present clear whether they can reverse or alleviate other menopausal changes. HRT reverses the menopausal CD4/CD8 ratio and also limits the general peri-and postmenopausal inflammatory state. Moreover, the increased levels of interleukins (IL)-1β, IL-6, and IL-8, as well as of tumor necrosis factor-α (TNF-α) are decreased after the initiation of HRT. However, some reports show no effect of HRT on IL-4, IL-10, and IL-12. It is thus evident that the molecular pathways connecting HRT and female immune senescence need to be clarified. Interestingly, recent studies have suggested that the anti-inflammatory properties of isoflavones possibly interact with inflammatory cytokines when applied in menopause treatments, thereby potentially reversing immune senescence. This narrative review presents the latest data on the effect of menopausal therapies, including administration of flavonoid-rich products, on age-associated immune senescence reversal with the aim of revealing possible directions for future research and treatment development.","author":[{"dropping-particle":"","family":"Vrachnis","given":"Nikolaos","non-dropping-particle":"","parse-names":false,"suffix":""},{"dropping-particle":"","family":"Zygouris","given":"Dimitrios","non-dropping-particle":"","parse-names":false,"suffix":""},{"dropping-particle":"","family":"Vrachnis","given":"Dionysios","non-dropping-particle":"","parse-names":false,"suffix":""},{"dropping-particle":"","family":"Antonakopoulos","given":"Nikolaos","non-dropping-particle":"","parse-names":false,"suffix":""},{"dropping-particle":"","family":"Fotiou","given":"Alexandros","non-dropping-particle":"","parse-names":false,"suffix":""},{"dropping-particle":"","family":"Panagopoulos","given":"Periklis","non-dropping-particle":"","parse-names":false,"suffix":""},{"dropping-particle":"","family":"Kolialexi","given":"Aggeliki","non-dropping-particle":"","parse-names":false,"suffix":""},{"dropping-particle":"","family":"Pappa","given":"Kalliopi","non-dropping-particle":"","parse-names":false,"suffix":""},{"dropping-particle":"","family":"Mastorakos","given":"George","non-dropping-particle":"","parse-names":false,"suffix":""},{"dropping-particle":"","family":"Iliodromiti","given":"Zoi","non-dropping-particle":"","parse-names":false,"suffix":""}],"container-title":"Nutrients","id":"ITEM-3","issue":"7","issued":{"date-parts":[["2021"]]},"page":"1-13","title":"Effects of hormone therapy and flavonoids capable on reversal of menopausal immune senescence","type":"article-journal","volume":"13"},"uris":["http://www.mendeley.com/documents/?uuid=f23404fe-3149-4ed4-aece-0f57e63b9f56"]}],"mendeley":{"formattedCitation":"(De Franciscis et al., 2019; Genazzani et al., 2021; Vrachnis et al., 2021)","plainTextFormattedCitation":"(De Franciscis et al., 2019; Genazzani et al., 2021; Vrachnis et al., 2021)","previouslyFormattedCitation":"(De Franciscis &lt;i&gt;et al.&lt;/i&gt;, 2019; Genazzani &lt;i&gt;et al.&lt;/i&gt;, 2021; Vrachnis &lt;i&gt;et al.&lt;/i&gt;, 2021)"},"properties":{"noteIndex":0},"schema":"https://github.com/citation-style-language/schema/raw/master/csl-citation.json"}</w:instrText>
      </w:r>
      <w:r>
        <w:rPr>
          <w:rFonts w:ascii="Arial" w:hAnsi="Arial" w:cs="Arial"/>
          <w:b/>
          <w:bCs/>
        </w:rPr>
        <w:fldChar w:fldCharType="separate"/>
      </w:r>
      <w:r w:rsidRPr="005F09B5">
        <w:rPr>
          <w:rFonts w:ascii="Arial" w:hAnsi="Arial" w:cs="Arial"/>
          <w:bCs/>
          <w:noProof/>
        </w:rPr>
        <w:t>(De Franciscis et al., 2019; Genazzani et al., 2021; Vrachnis et al., 2021)</w:t>
      </w:r>
      <w:r>
        <w:rPr>
          <w:rFonts w:ascii="Arial" w:hAnsi="Arial" w:cs="Arial"/>
          <w:b/>
          <w:bCs/>
        </w:rPr>
        <w:fldChar w:fldCharType="end"/>
      </w:r>
      <w:r>
        <w:rPr>
          <w:rFonts w:ascii="Arial" w:hAnsi="Arial" w:cs="Arial"/>
          <w:b/>
          <w:bCs/>
        </w:rPr>
        <w:t xml:space="preserve">. </w:t>
      </w:r>
      <w:r w:rsidRPr="00563654">
        <w:rPr>
          <w:rFonts w:ascii="Arial" w:hAnsi="Arial" w:cs="Arial"/>
        </w:rPr>
        <w:t xml:space="preserve">The </w:t>
      </w:r>
      <w:proofErr w:type="spellStart"/>
      <w:r w:rsidRPr="00563654">
        <w:rPr>
          <w:rFonts w:ascii="Arial" w:hAnsi="Arial" w:cs="Arial"/>
        </w:rPr>
        <w:t>utilisation</w:t>
      </w:r>
      <w:proofErr w:type="spellEnd"/>
      <w:r w:rsidRPr="00563654">
        <w:rPr>
          <w:rFonts w:ascii="Arial" w:hAnsi="Arial" w:cs="Arial"/>
        </w:rPr>
        <w:t xml:space="preserve"> of synthetic hormones can be readily obtained at a minimal cost. A substantial corpus of research has been published on the subject of the long-term side effects of synthetic hormones, including an increased risk of breast cancer and cardiovascular disease</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{"citationItems":[{"id":"ITEM-1","itemData":{"ISBN":"0002-838X\\r1532-0650","ISSN":"1532-0650","PMID":"613570644","abstract":"Naturalistic decision making (NDM) describes how people make decisions with time pressure and other complexities in familiar and meaningful environments. The complexities of NDM, while essential for a thorough understanding of experts, have limited the use of NDM in decision support system (DSS) design and decision analysis. There have been attempts to computationally model NDM theories, however, to do so has required significant programming skill, resulting in opaque models, while still leaving significant portions of the theories unrepresented. To provide a path toward simple, representative, mathematical models of NDM, we present a general mathematical form that can model most of the components of the judgment and decision making strategies from the fast-and-frugal heuristics (FFH) program. As a case study, the NDM Quick Test Process was transformed into representative FFH components and then into mathematical form. The results show that the Quick Test Process is similar to the FFH strategy, Tallying, which itself is a type of fast-and-frugal tree. While the mathematical form does not capture all the cognitive processes at work, it does provide a simple, representative form for use in DSS design and decision analysis. Moreover, the model{\\textquoteright}s basis in the extensive human-subjects, mathematical, and computational analyses completed by the FFH program provides another method for integrating FFH and NDM by providing: (1) a framework for generating constructive questions about how NDM theories account for FFH components, (2) a basis for prescriptive NDM decision support tools which are easy to communicate, understand, and apply, and (3) a method for approximating experience and expertise, and time pressure. \\n","author":[{"dropping-particle":"","family":"Hill","given":"Ashley","non-dropping-particle":"","parse-names":false,"suffix":""},{"dropping-particle":"","family":"Crider","given":"Mark","non-dropping-particle":"","parse-names":false,"suffix":""},{"dropping-particle":"","family":"Hill","given":"Susan","non-dropping-particle":"","parse-names":false,"suffix":""}],"container-title":"American Family Physician","id":"ITEM-1","issue":"11","issued":{"date-parts":[["2016"]]},"page":"884-889","title":"Hormone therapy and other treatments for symptoms of menopause: Discovery Service for Endeavour College of Natural Health Library","type":"article-journal","volume":"94"},"uris":["http://www.mendeley.com/documents/?uuid=306475ef-3839-4595-b8ab-ca29c99eb088"]},{"id":"ITEM-2","itemData":{"DOI":"10.1161/HCG.0000000000000082","ISBN":"0000000000000","ISSN":"25748300","PMID":"33896190","abstract":"Cardiovascular disease and cancer are the leading causes of death in the United States, and hormone-dependent cancers (breast and prostate cancer) are the most common noncutaneous malignancies in women and men, respectively. The hormonal (endocrine-related) therapies that serve as a backbone for treatment of both cancers improve survival but also increase cardiovascular morbidity and mortality among survivors. This consensus statement describes the risks associated with specific hormonal therapies used to treat breast and prostate cancer and provides an evidence-based approach to prevent and detect adverse cardiovascular outcomes. Areas of uncertainty are highlighted, including the cardiovascular effects of different durations of hormonal therapy, the cardiovascular risks associated with combinations of newer generations of more intensive hormonal treatments, and the specific cardiovascular risks that affect individuals of various races/ethnicities. Finally, there is an emphasis on the use of a multidisciplinary approach to the implementation of lifestyle and pharmacological strategies for management and risk reduction both during and after active treatment.","author":[{"dropping-particle":"","family":"Okwuosa","given":"Tochi M.","non-dropping-particle":"","parse-names":false,"suffix":""},{"dropping-particle":"","family":"Morgans","given":"Alicia","non-dropping-particle":"","parse-names":false,"suffix":""},{"dropping-particle":"","family":"Rhee","given":"June Wha","non-dropping-particle":"","parse-names":false,"suffix":""},{"dropping-particle":"","family":"Reding","given":"Kerryn W.","non-dropping-particle":"","parse-names":false,"suffix":""},{"dropping-particle":"","family":"Maliski","given":"Sally","non-dropping-particle":"","parse-names":false,"suffix":""},{"dropping-particle":"","family":"Plana","given":"Juan Carlos","non-dropping-particle":"","parse-names":false,"suffix":""},{"dropping-particle":"","family":"Volgman","given":"Annabelle Santos","non-dropping-particle":"","parse-names":false,"suffix":""},{"dropping-particle":"","family":"Moseley","given":"Kendall F.","non-dropping-particle":"","parse-names":false,"suffix":""},{"dropping-particle":"","family":"Porter","given":"Charles B.","non-dropping-particle":"","parse-names":false,"suffix":""},{"dropping-particle":"","family":"Ismail-Khan","given":"Roohi","non-dropping-particle":"","parse-names":false,"suffix":""}],"container-title":"Circulation: Genomic and Precision Medicine","id":"ITEM-2","issue":"3","issued":{"date-parts":[["2021"]]},"page":"E000082","title":"Impact of Hormonal Therapies for Treatment of Hormone-Dependent Cancers (Breast and Prostate) on the Cardiovascular System: Effects and Modifications: A Scientific Statement From the American Heart Association","type":"article-journal","volume":"14"},"uris":["http://www.mendeley.com/documents/?uuid=8b18490a-8d6c-4e18-8c8c-a398293687b8"]},{"id":"ITEM-3","itemData":{"DOI":"10.1210/clinem/dgab042","ISSN":"19457197","PMID":"33506261","abstract":"Context: This mini-review provides an overview of menopausal hormone therapy (HT) and cardiovascular disease (CVD) risk, with a focus on the role of hormone formulation, dose, and route of delivery. Methods: This summary is based on authors' knowledge in the field of menopausal HT and supplemented by a PubMed search using the terms \"menopause hormone therapy,\"\"transdermal,\"\"estradiol,\"\"conjugated estrogens,\"\"bioidentical,\"\"cardiovascular disease,\"\"lipoproteins,\"\"glucose,\"\"progestogens,\"\"low dose.\"Results: Available evidence indicates that oral unopposed estrogens have a favorable effect on lipoprotein levels, glycemia, insulin, and CVD risk; however, the addition of progestogens blunts the lipid-related effects. The progestogen with the smallest attenuating effect is micronized progesterone. Transdermal estrogens have less effect on coagulation, inflammation, and lipids than oral estrogens and observational studies suggest they pose a lower risk of venous thromboembolism and stroke than oral estrogens. Clinical effects of hormones were not consistently dose dependent. Conclusions: Although HT continues to have an important role in menopause management, it is not recommended for primary or secondary CVD prevention. Different formulations, doses, and routes of delivery of HT have different effects on cardiometabolic markers and risks of clinical CVD events. However, long-Term trials evaluating clinical outcomes with transdermal and other alternate HT regimens are limited.","author":[{"dropping-particle":"","family":"Shufelt","given":"Chrisandra L.","non-dropping-particle":"","parse-names":false,"suffix":""},{"dropping-particle":"","family":"Manson","given":"Jo Ann E.","non-dropping-particle":"","parse-names":false,"suffix":""}],"container-title":"Journal of Clinical Endocrinology and Metabolism","id":"ITEM-3","issue":"5","issued":{"date-parts":[["2021"]]},"page":"1245-1254","title":"Menopausal Hormone Therapy and Cardiovascular Disease: The Role of Formulation, Dose, and Route of Delivery","type":"article-journal","volume":"106"},"uris":["http://www.mendeley.com/documents/?uuid=62156b84-755a-450c-b96a-af99037cc8cb"]},{"id":"ITEM-4","itemData":{"DOI":"10.1016/j.mce.2021.111180","ISSN":"18728057","PMID":"33508379","abstract":"Over nine million breast cancer survivors worldwide suffer compromised quality of life attributable to estrogen depletion related symptoms of menopause and side effects of cancer therapy. Hormone Replacement Therapy (HRT) is very effective in managing these symptoms in general population and in breast cancer survivors. However, the concern of breast cancer recurrence as a result of HRT use keeps many oncologists from using this approach in symptom management. Evidence from randomized trials, observational studies and met-analyses on the impact of HRT use on breast cancer recurrence and survival remains controversial. Climacteric symptoms in breast cancer survivors should be delineated for type and severity for methodical management. Lifestyle modifications are effective for mild symptoms, while non-hormonal pharmaceutical approaches can be used as second-line therapy for control of hot flashes, vulvo-vaginal atrophy, arthralgia, mood swings, sleep disturbance, and depression. Evidence does not conclusively render HRT, as a contraindicated approach for these patients; informed consent and shared-decision-making is a reasonable approach for HRT use in symptomatic breast cancer survivors.","author":[{"dropping-particle":"","family":"Ugras","given":"Stacy K.","non-dropping-particle":"","parse-names":false,"suffix":""},{"dropping-particle":"","family":"Layeequr Rahman","given":"Rakhshanda","non-dropping-particle":"","parse-names":false,"suffix":""}],"container-title":"Molecular and Cellular Endocrinology","id":"ITEM-4","issue":"January","issued":{"date-parts":[["2021"]]},"page":"111180","publisher":"Elsevier B.V.","title":"Hormone replacement therapy after breast cancer: Yes, No or maybe?","type":"article-journal","volume":"525"},"uris":["http://www.mendeley.com/documents/?uuid=b3fa89a2-d50b-43b5-b7d0-1eb96a0c43ae"]}],"mendeley":{"formattedCitation":"(Hill et al., 2016; Okwuosa et al., 2021; Shufelt &amp; Manson, 2021; Ugras &amp; Layeequr Rahman, 2021)","plainTextFormattedCitation":"(Hill et al., 2016; Okwuosa et al., 2021; Shufelt &amp; Manson, 2021; Ugras &amp; Layeequr Rahman, 2021)","previouslyFormattedCitation":"(Hill, Crider and Hill, 2016; Okwuosa &lt;i&gt;et al.&lt;/i&gt;, 2021; Shufelt and Manson, 2021; Ugras and Layeequr Rahman, 2021)"},"properties":{"noteIndex":0},"schema":"https://github.com/citation-style-language/schema/raw/master/csl-citation.json"}</w:instrText>
      </w:r>
      <w:r>
        <w:rPr>
          <w:rFonts w:ascii="Arial" w:hAnsi="Arial" w:cs="Arial"/>
        </w:rPr>
        <w:fldChar w:fldCharType="separate"/>
      </w:r>
      <w:r w:rsidRPr="005F09B5">
        <w:rPr>
          <w:rFonts w:ascii="Arial" w:hAnsi="Arial" w:cs="Arial"/>
          <w:noProof/>
        </w:rPr>
        <w:t>(Hill et al., 2016; Okwuosa et al., 2021; Shufelt &amp; Manson, 2021; Ugras &amp; Layeequr Rahman, 2021)</w:t>
      </w:r>
      <w:r>
        <w:rPr>
          <w:rFonts w:ascii="Arial" w:hAnsi="Arial" w:cs="Arial"/>
        </w:rPr>
        <w:fldChar w:fldCharType="end"/>
      </w:r>
      <w:r>
        <w:rPr>
          <w:rFonts w:ascii="Arial" w:hAnsi="Arial" w:cs="Arial"/>
        </w:rPr>
        <w:t>.</w:t>
      </w:r>
    </w:p>
    <w:p w14:paraId="0088526A" w14:textId="3FF82ABA" w:rsidR="005F09B5" w:rsidRPr="00563654" w:rsidRDefault="005F09B5" w:rsidP="005F09B5">
      <w:pPr>
        <w:ind w:firstLine="720"/>
        <w:jc w:val="both"/>
        <w:rPr>
          <w:rFonts w:ascii="Arial" w:hAnsi="Arial" w:cs="Arial"/>
          <w:b/>
          <w:bCs/>
        </w:rPr>
      </w:pPr>
      <w:r w:rsidRPr="00563654">
        <w:rPr>
          <w:rFonts w:ascii="Arial" w:hAnsi="Arial" w:cs="Arial"/>
        </w:rPr>
        <w:t xml:space="preserve">The present study investigates the increasing use of hormone therapy and the side effects it causes. It also examines the current development of natural ingredients as hormones by the pharmaceutical industry. The </w:t>
      </w:r>
      <w:proofErr w:type="spellStart"/>
      <w:r w:rsidRPr="00563654">
        <w:rPr>
          <w:rFonts w:ascii="Arial" w:hAnsi="Arial" w:cs="Arial"/>
        </w:rPr>
        <w:t>utilisation</w:t>
      </w:r>
      <w:proofErr w:type="spellEnd"/>
      <w:r w:rsidRPr="00563654">
        <w:rPr>
          <w:rFonts w:ascii="Arial" w:hAnsi="Arial" w:cs="Arial"/>
        </w:rPr>
        <w:t xml:space="preserve"> of natural ingredients as hormone therapy constitutes a safer, more effective and efficient alternative </w:t>
      </w:r>
      <w:r>
        <w:rPr>
          <w:rFonts w:ascii="Arial" w:hAnsi="Arial" w:cs="Arial"/>
        </w:rPr>
        <w:fldChar w:fldCharType="begin" w:fldLock="1"/>
      </w:r>
      <w:r>
        <w:rPr>
          <w:rFonts w:ascii="Arial" w:hAnsi="Arial" w:cs="Arial"/>
        </w:rPr>
        <w:instrText>ADDIN CSL_CITATION {"citationItems":[{"id":"ITEM-1","itemData":{"DOI":"10.1177/2515690X19829380","ISSN":"2515690X","PMID":"30868921","abstract":"Menopause is associated with problematic symptoms, including hot flashes, sleep problems, mood disorders, sexual dysfunction, weight gain, and declines in cognitive functioning. Many women seek complementary and alternative medicine (CAM) for symptom management. This article critically reviews the existing literature on CAM treatments most commonly used for menopausal symptoms. Electronic searches were conducted to identify relevant, English-language literature published through March 2017. Results indicate that mind and body practices may be of benefit in reducing stress and bothersomeness of some menopausal symptoms. In particular, hypnosis is a mind-body intervention that has consistently shown to have a clinically significant effect on reducing hot flashes. Evidence is mixed in regard to the efficacy of natural products and there are some safety concerns. Health care providers should consider the evidence on CAM in providing an integrative health approach to menopausal symptom management.","author":[{"dropping-particle":"","family":"Johnson","given":"Alisa","non-dropping-particle":"","parse-names":false,"suffix":""},{"dropping-particle":"","family":"Roberts","given":"Lynae","non-dropping-particle":"","parse-names":false,"suffix":""},{"dropping-particle":"","family":"Elkins","given":"Gary","non-dropping-particle":"","parse-names":false,"suffix":""}],"container-title":"Journal of Evidence-Based Integrative Medicine","id":"ITEM-1","issued":{"date-parts":[["2019"]]},"page":"1-14","title":"Complementary and Alternative Medicine for Menopause","type":"article-journal","volume":"24"},"uris":["http://www.mendeley.com/documents/?uuid=5de7abb7-fb52-4d8c-be2f-5ed0142e68d6"]},{"id":"ITEM-2","itemData":{"DOI":"10.5582/bst.2021.01418","ISSN":"18817823","PMID":"35013031","abstract":"Hormone therapy (HT) has been used in postmenopausal women for decades in clinical practice. With further analysis and newer studies, the benefits and risks of HT have been repeatedly verified and discussed. HT is recommended for the treatment of vasomotor symptoms (VMS), genitourinary syndrome of menopause (GSM) and the prevention of osteoporosis. However, the precise association between HT and the risks of cardiovascular diseases, venous thromboembolism, neurodegenerative diseases, breast cancer, and endometrial cancer remains controversial. Therefore, determining how to take advantage of and control the risks of HT by adjusting the initiation time, regimen, and duration is crucial. Recent studies have indicated that HT is not related to the risk of all-cause, cardiovascular, or breast cancer mortality although it might increase the incidence of some chronic diseases. For symptomatic postmenopausal women under the age of 60 without contraindications, early initiation of HT is safe and probably has a mortality benefit over the long term. Initiating HT close to menopause at the lowest effective dose is more likely to have maximal benefits and the lowest risks. Transdermal and vaginal HT may have a lower risk, but recent evidence suggests additional clinical benefits of oral HT formulations in relieving VMS and preventing osteoporosis. The pooled cohort risk equation for atherosclerotic cardiovascular disease (ASCVD) and the free app named Menopro can be used to perform individual risk assessments. In addition, Chinese herbal medicines have benefits in alleviating hot flashes, depression, and menopausal symptoms, although further data are needed to strongly support their efficacy. Acupuncture and electroacupuncture have definite efficacy in the treatment of postmenopausal symptoms with few adverse effects, so they are a reasonable option as an alternative therapy for high-risk women. This review discusses the history of, guidelines on, and strategies for HT in order to make suggestions based on the most up-to-date evidence for the management of postmenopausal women","author":[{"dropping-particle":"","family":"Pan","given":"Meijun","non-dropping-particle":"","parse-names":false,"suffix":""},{"dropping-particle":"","family":"Pan","given":"Xinyao","non-dropping-particle":"","parse-names":false,"suffix":""},{"dropping-particle":"","family":"Zhou","given":"Jing","non-dropping-particle":"","parse-names":false,"suffix":""},{"dropping-particle":"","family":"Wang","given":"Jing","non-dropping-particle":"","parse-names":false,"suffix":""},{"dropping-particle":"","family":"Qi","given":"Qing","non-dropping-particle":"","parse-names":false,"suffix":""},{"dropping-particle":"","family":"Wang","given":"Ling","non-dropping-particle":"","parse-names":false,"suffix":""}],"container-title":"BioScience Trends","id":"ITEM-2","issue":"1","issued":{"date-parts":[["2022"]]},"page":"46-57","title":"Update on hormone therapy for the management of postmenopausal women","type":"article-journal","volume":"16"},"uris":["http://www.mendeley.com/documents/?uuid=4bdc38ef-2256-47dc-ba5b-045299be2393"]},{"id":"ITEM-3","itemData":{"DOI":"10.1088/1755-1315/1259/1/012110","ISSN":"17551315","abstract":"Intense research continues by researchers to find safe alternatives to chemical pesticides and synthetic fertilizers, and its frequent use without correct programming and guiding awareness, which has caused many environmental problems, poisoning, destruction of the ecosystem, and pollution of water, air, and agricultural soils. The use of these chemicals has also affected many living organisms, including them Humans, which motivated researchers to study and re-introduce the natural elements and beneficial microorganisms into agricultural production so that the consumer can obtain safe and healthy food free from the accumulation of harmful chemical residues. Inside the soil, which can carry out the process of converting nitrogen while it is in the state of being a gas to a state of solubility. Through this process, plants can obtain the benefit from it through the stabilization process that occurs. These bacteria perform a major work, as they work to fix nitrogen in the air This is because the plant finds it difficult to use it in its form as a gas, so it makes it in the soil in a form ready for the plant. Studies have also shown that this bacteria has many beneficial properties for the growth and protection of the plant from pathogens and the importance of this bacteria and to try to shed light on its beneficial activities for the plant. The importance of this bacteria and the role of Azotobacter chroococcum in protecting plants from root rot diseases.","author":[{"dropping-particle":"","family":"Al-Baldawy","given":"Muneer Saeed M.","non-dropping-particle":"","parse-names":false,"suffix":""},{"dropping-particle":"","family":"Matloob","given":"Ahed A.A.H.","non-dropping-particle":"","parse-names":false,"suffix":""},{"dropping-particle":"","family":"Almammory","given":"Mohammed K.N.","non-dropping-particle":"","parse-names":false,"suffix":""}],"container-title":"IOP Conference Series: Earth and Environmental Science","id":"ITEM-3","issue":"1","issued":{"date-parts":[["2023"]]},"title":"The Importance of Nitrogen-Fixing Bacteria Azotobacter chroococcum in Biological Control to Root Rot Pathogens (Review)","type":"article-journal","volume":"1259"},"uris":["http://www.mendeley.com/documents/?uuid=59d4c53a-8014-401e-b921-4a38e8ef3e35"]}],"mendeley":{"formattedCitation":"(Al-Baldawy et al., 2023; Johnson et al., 2019; Pan et al., 2022)","plainTextFormattedCitation":"(Al-Baldawy et al., 2023; Johnson et al., 2019; Pan et al., 2022)","previouslyFormattedCitation":"(Johnson, Roberts and Elkins, 2019; Pan &lt;i&gt;et al.&lt;/i&gt;, 2022; Al-Baldawy, Matloob and Almammory, 2023)"},"properties":{"noteIndex":0},"schema":"https://github.com/citation-style-language/schema/raw/master/csl-citation.json"}</w:instrText>
      </w:r>
      <w:r>
        <w:rPr>
          <w:rFonts w:ascii="Arial" w:hAnsi="Arial" w:cs="Arial"/>
        </w:rPr>
        <w:fldChar w:fldCharType="separate"/>
      </w:r>
      <w:r w:rsidRPr="005F09B5">
        <w:rPr>
          <w:rFonts w:ascii="Arial" w:hAnsi="Arial" w:cs="Arial"/>
          <w:noProof/>
        </w:rPr>
        <w:t>(Al-Baldawy et al., 2023; Johnson et al., 2019; Pan et al., 2022)</w:t>
      </w:r>
      <w:r>
        <w:rPr>
          <w:rFonts w:ascii="Arial" w:hAnsi="Arial" w:cs="Arial"/>
        </w:rPr>
        <w:fldChar w:fldCharType="end"/>
      </w:r>
      <w:r w:rsidRPr="00563654">
        <w:rPr>
          <w:rFonts w:ascii="Arial" w:hAnsi="Arial" w:cs="Arial"/>
          <w:b/>
          <w:bCs/>
        </w:rPr>
        <w:t xml:space="preserve">. </w:t>
      </w:r>
      <w:r w:rsidRPr="00563654">
        <w:rPr>
          <w:rFonts w:ascii="Arial" w:hAnsi="Arial" w:cs="Arial"/>
        </w:rPr>
        <w:t>One of the natural ingredients that has been posited as an alternative to hormone therapy is yam bean (</w:t>
      </w:r>
      <w:proofErr w:type="spellStart"/>
      <w:r w:rsidRPr="00563654">
        <w:rPr>
          <w:rFonts w:ascii="Arial" w:hAnsi="Arial" w:cs="Arial"/>
          <w:i/>
          <w:iCs/>
        </w:rPr>
        <w:t>Pachyrhizus</w:t>
      </w:r>
      <w:proofErr w:type="spellEnd"/>
      <w:r w:rsidRPr="00563654">
        <w:rPr>
          <w:rFonts w:ascii="Arial" w:hAnsi="Arial" w:cs="Arial"/>
          <w:i/>
          <w:iCs/>
        </w:rPr>
        <w:t xml:space="preserve"> </w:t>
      </w:r>
      <w:proofErr w:type="spellStart"/>
      <w:r w:rsidRPr="00563654">
        <w:rPr>
          <w:rFonts w:ascii="Arial" w:hAnsi="Arial" w:cs="Arial"/>
          <w:i/>
          <w:iCs/>
        </w:rPr>
        <w:t>erosus</w:t>
      </w:r>
      <w:proofErr w:type="spellEnd"/>
      <w:r w:rsidRPr="00563654">
        <w:rPr>
          <w:rFonts w:ascii="Arial" w:hAnsi="Arial" w:cs="Arial"/>
        </w:rPr>
        <w:t>)</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{"citationItems":[{"id":"ITEM-1","itemData":{"author":[{"dropping-particle":"","family":"Primiani","given":"Cicilia Novi","non-dropping-particle":"","parse-names":false,"suffix":""}],"container-title":"Biology, Medicine, &amp; Natural Product Chemistry","id":"ITEM-1","issue":"1","issued":{"date-parts":[["2015"]]},"page":"5-9","title":"The phytoestrogenic potential of yam bean (Pachyrhizus erosus) on ovarian and uterine tissue structure of premenopausal mice","type":"article-journal","volume":"4"},"uris":["http://www.mendeley.com/documents/?uuid=efa9a0fc-6aa6-397a-8a8f-96938e248eb3"]},{"id":"ITEM-2","itemData":{"author":[{"dropping-particle":"","family":"Ardela","given":"Mayasari Putri","non-dropping-particle":"","parse-names":false,"suffix":""},{"dropping-particle":"","family":"Fitriasnani","given":"Meirna Eka","non-dropping-particle":"","parse-names":false,"suffix":""},{"dropping-particle":"","family":"Kulistiyani","given":"Putri Erika","non-dropping-particle":"","parse-names":false,"suffix":""}],"id":"ITEM-2","issue":"2","issued":{"date-parts":[["2025"]]},"page":"282-291","title":"Bengkuang as an Alternative for Hypoestrogen Problems in the Reproductive System","type":"article-journal","volume":"8"},"uris":["http://www.mendeley.com/documents/?uuid=b6b43111-d368-4ca1-bfde-e8a51ac654a6"]}],"mendeley":{"formattedCitation":"(Ardela et al., 2025; Primiani, 2015)","plainTextFormattedCitation":"(Ardela et al., 2025; Primiani, 2015)","previouslyFormattedCitation":"(Primiani, 2015; Ardela, Fitriasnani and Kulistiyani, 2025)"},"properties":{"noteIndex":0},"schema":"https://github.com/citation-style-language/schema/raw/master/csl-citation.json"}</w:instrText>
      </w:r>
      <w:r>
        <w:rPr>
          <w:rFonts w:ascii="Arial" w:hAnsi="Arial" w:cs="Arial"/>
        </w:rPr>
        <w:fldChar w:fldCharType="separate"/>
      </w:r>
      <w:r w:rsidRPr="005F09B5">
        <w:rPr>
          <w:rFonts w:ascii="Arial" w:hAnsi="Arial" w:cs="Arial"/>
          <w:noProof/>
        </w:rPr>
        <w:t>(Ardela et al., 2025; Primiani, 2015)</w:t>
      </w:r>
      <w:r>
        <w:rPr>
          <w:rFonts w:ascii="Arial" w:hAnsi="Arial" w:cs="Arial"/>
        </w:rPr>
        <w:fldChar w:fldCharType="end"/>
      </w:r>
      <w:r>
        <w:rPr>
          <w:rFonts w:ascii="Arial" w:hAnsi="Arial" w:cs="Arial"/>
        </w:rPr>
        <w:t>.</w:t>
      </w:r>
    </w:p>
    <w:p w14:paraId="08CE56EC" w14:textId="6560F212" w:rsidR="005F09B5" w:rsidRPr="00563654" w:rsidRDefault="005F09B5" w:rsidP="005F09B5">
      <w:pPr>
        <w:ind w:firstLine="720"/>
        <w:jc w:val="both"/>
        <w:rPr>
          <w:rFonts w:ascii="Arial" w:hAnsi="Arial" w:cs="Arial"/>
        </w:rPr>
      </w:pPr>
      <w:r w:rsidRPr="00563654">
        <w:rPr>
          <w:rFonts w:ascii="Arial" w:hAnsi="Arial" w:cs="Arial"/>
        </w:rPr>
        <w:t>Yam bean (</w:t>
      </w:r>
      <w:proofErr w:type="spellStart"/>
      <w:r w:rsidRPr="00563654">
        <w:rPr>
          <w:rFonts w:ascii="Arial" w:hAnsi="Arial" w:cs="Arial"/>
          <w:i/>
          <w:iCs/>
        </w:rPr>
        <w:t>Pachyrhizus</w:t>
      </w:r>
      <w:proofErr w:type="spellEnd"/>
      <w:r w:rsidRPr="00563654">
        <w:rPr>
          <w:rFonts w:ascii="Arial" w:hAnsi="Arial" w:cs="Arial"/>
          <w:i/>
          <w:iCs/>
        </w:rPr>
        <w:t xml:space="preserve"> </w:t>
      </w:r>
      <w:proofErr w:type="spellStart"/>
      <w:r w:rsidRPr="00563654">
        <w:rPr>
          <w:rFonts w:ascii="Arial" w:hAnsi="Arial" w:cs="Arial"/>
          <w:i/>
          <w:iCs/>
        </w:rPr>
        <w:t>erosus</w:t>
      </w:r>
      <w:proofErr w:type="spellEnd"/>
      <w:r w:rsidRPr="00563654">
        <w:rPr>
          <w:rFonts w:ascii="Arial" w:hAnsi="Arial" w:cs="Arial"/>
        </w:rPr>
        <w:t xml:space="preserve">) is a local plant in Indonesia with the local name </w:t>
      </w:r>
      <w:proofErr w:type="spellStart"/>
      <w:r w:rsidRPr="00563654">
        <w:rPr>
          <w:rFonts w:ascii="Arial" w:hAnsi="Arial" w:cs="Arial"/>
        </w:rPr>
        <w:t>bengkuang</w:t>
      </w:r>
      <w:proofErr w:type="spellEnd"/>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{"citationItems":[{"id":"ITEM-1","itemData":{"DOI":"10.13057/asianjethnobiol/y050106","ISSN":"25804510","abstract":"Abstract. Nurshillah C, Anggorowati D, Putri ER, Balgis M, Nurwulandari M, Murtiningsih, Agustina N, Wulandari P, Liza N, Himawan W, Setyawan AD. 2022. Diversity of edible plants traded in Legi Traditional Market, Surakarta, Indonesia. Asian J Ethnobiol 5: 52-61. A traditional market is used to conduct buying and selling transactions conducted by direct bargaining. The market is used as a center of socioeconomic activities and a social heritage representation. Many commodities are commonly traded in traditional markets, such as staple foods and other edible plant products such as vegetables, spices, tubers, and fruits. Some of them also have additional functions as herbal remedies. This research aims to inventory edible and medicinal plant species traded in the traditional market in Surakarta, Central Java, Indonesia, namely Legi Market. The method used in this research is the qualitative descriptive method. Direct research observations, including plant surveys and in-depth interviews with Legi Market traders, are used to collect the data. The results showed that the Legi market plays a vital role in the availability of the crops produced by village farmers. There are 92 species of edible plants recorded in the Legi Market, predominately with the Fabaceae group. Furthermore, leaf products were identified as the most commercialized plant parts. In terms of medicinal purposes, 17 species were listed to be used as treatment agents, with the rhizome being the most functioned part.","author":[{"dropping-particle":"","family":"NURSHILLAH","given":"CINDY","non-dropping-particle":"","parse-names":false,"suffix":""},{"dropping-particle":"","family":"ANGGOROWATI","given":"DARAVITA","non-dropping-particle":"","parse-names":false,"suffix":""},{"dropping-particle":"","family":"PUTRI","given":"EKA RACHMA","non-dropping-particle":"","parse-names":false,"suffix":""},{"dropping-particle":"","family":"BALGIS","given":"MALIKA","non-dropping-particle":"","parse-names":false,"suffix":""},{"dropping-particle":"","family":"NURWULANDARI","given":"MURNI","non-dropping-particle":"","parse-names":false,"suffix":""},{"dropping-particle":"","family":"MURTININGSIH","given":"MURTININGSIH","non-dropping-particle":"","parse-names":false,"suffix":""},{"dropping-particle":"","family":"AGUSTINA","given":"NIA","non-dropping-particle":"","parse-names":false,"suffix":""},{"dropping-particle":"","family":"WULANDARI","given":"PUTRI","non-dropping-particle":"","parse-names":false,"suffix":""},{"dropping-particle":"","family":"LIZA","given":"NOR","non-dropping-particle":"","parse-names":false,"suffix":""},{"dropping-particle":"","family":"HIMAWAN","given":"WHIDI","non-dropping-particle":"","parse-names":false,"suffix":""},{"dropping-particle":"","family":"SETYAWAN","given":"AHMAD DWI","non-dropping-particle":"","parse-names":false,"suffix":""}],"container-title":"Asian Journal of Ethnobiology","id":"ITEM-1","issue":"1","issued":{"date-parts":[["2022"]]},"page":"52-61","title":"Diversity of edible plants traded in Legi Traditional Market, Surakarta, Indonesia","type":"article-journal","volume":"5"},"uris":["http://www.mendeley.com/documents/?uuid=80d68061-d23d-4481-b140-3bb8425bec0d"]},{"id":"ITEM-2","itemData":{"author":[{"dropping-particle":"","family":"Mahmood","given":"K","non-dropping-particle":"","parse-names":false,"suffix":""},{"dropping-particle":"","family":"Zia","given":"K. M","non-dropping-particle":"","parse-names":false,"suffix":""},{"dropping-particle":"","family":"Zuber","given":"M","non-dropping-particle":"","parse-names":false,"suffix":""},{"dropping-particle":"","family":"Salman","given":"M","non-dropping-particle":"","parse-names":false,"suffix":""},{"dropping-particle":"","family":"Anjum","given":"M. N.","non-dropping-particle":"","parse-names":false,"suffix":""}],"container-title":"International Journal of Biological Macromolecules","id":"ITEM-2","issue":"1","issued":{"date-parts":[["2015"]]},"page":"877-890","title":"Recent developments in curcumin and curcumin based polymeric materials for biomedical applications: A review","type":"article-journal","volume":"81"},"uris":["http://www.mendeley.com/documents/?uuid=f76edb14-1052-4a44-8113-4a22cbcaf024"]}],"mendeley":{"formattedCitation":"(Mahmood et al., 2015; NURSHILLAH et al., 2022)","plainTextFormattedCitation":"(Mahmood et al., 2015; NURSHILLAH et al., 2022)","previouslyFormattedCitation":"(Mahmood &lt;i&gt;et al.&lt;/i&gt;, 2015; NURSHILLAH &lt;i&gt;et al.&lt;/i&gt;, 2022)"},"properties":{"noteIndex":0},"schema":"https://github.com/citation-style-language/schema/raw/master/csl-citation.json"}</w:instrText>
      </w:r>
      <w:r>
        <w:rPr>
          <w:rFonts w:ascii="Arial" w:hAnsi="Arial" w:cs="Arial"/>
        </w:rPr>
        <w:fldChar w:fldCharType="separate"/>
      </w:r>
      <w:r w:rsidRPr="005F09B5">
        <w:rPr>
          <w:rFonts w:ascii="Arial" w:hAnsi="Arial" w:cs="Arial"/>
          <w:noProof/>
        </w:rPr>
        <w:t>(Mahmood et al., 2015; NURSHILLAH et al., 2022)</w:t>
      </w:r>
      <w:r>
        <w:rPr>
          <w:rFonts w:ascii="Arial" w:hAnsi="Arial" w:cs="Arial"/>
        </w:rPr>
        <w:fldChar w:fldCharType="end"/>
      </w:r>
      <w:r>
        <w:rPr>
          <w:rFonts w:ascii="Arial" w:hAnsi="Arial" w:cs="Arial"/>
        </w:rPr>
        <w:t xml:space="preserve">. </w:t>
      </w:r>
      <w:r w:rsidRPr="00563654">
        <w:rPr>
          <w:rFonts w:ascii="Arial" w:hAnsi="Arial" w:cs="Arial"/>
        </w:rPr>
        <w:t xml:space="preserve">This plant is indigenous to tropical regions and is extensively cultivated in Central Java, East Java, and West Sumatra. </w:t>
      </w:r>
      <w:proofErr w:type="spellStart"/>
      <w:r w:rsidRPr="00563654">
        <w:rPr>
          <w:rFonts w:ascii="Arial" w:hAnsi="Arial" w:cs="Arial"/>
        </w:rPr>
        <w:t>Bengkuang</w:t>
      </w:r>
      <w:proofErr w:type="spellEnd"/>
      <w:r w:rsidRPr="00563654">
        <w:rPr>
          <w:rFonts w:ascii="Arial" w:hAnsi="Arial" w:cs="Arial"/>
        </w:rPr>
        <w:t xml:space="preserve"> is a versatile ingredient in the beauty industry, where it is employed in various forms, including body lotion, masks, and powders. In addition to its use in beauty products, it is also consumed as a fresh food, commonly found in dishes such as </w:t>
      </w:r>
      <w:proofErr w:type="spellStart"/>
      <w:r w:rsidRPr="00563654">
        <w:rPr>
          <w:rFonts w:ascii="Arial" w:hAnsi="Arial" w:cs="Arial"/>
        </w:rPr>
        <w:t>rujak</w:t>
      </w:r>
      <w:proofErr w:type="spellEnd"/>
      <w:r w:rsidRPr="00563654">
        <w:rPr>
          <w:rFonts w:ascii="Arial" w:hAnsi="Arial" w:cs="Arial"/>
        </w:rPr>
        <w:t xml:space="preserve"> and pickles.</w:t>
      </w:r>
    </w:p>
    <w:p w14:paraId="6EE947DE" w14:textId="75657A10" w:rsidR="005F09B5" w:rsidRPr="00563654" w:rsidRDefault="005F09B5" w:rsidP="005F09B5">
      <w:pPr>
        <w:ind w:firstLine="720"/>
        <w:jc w:val="both"/>
        <w:rPr>
          <w:rFonts w:ascii="Arial" w:hAnsi="Arial" w:cs="Arial"/>
          <w:b/>
          <w:bCs/>
        </w:rPr>
      </w:pPr>
      <w:r w:rsidRPr="00563654">
        <w:rPr>
          <w:rFonts w:ascii="Arial" w:hAnsi="Arial" w:cs="Arial"/>
        </w:rPr>
        <w:t>Yam bean (</w:t>
      </w:r>
      <w:proofErr w:type="spellStart"/>
      <w:r w:rsidRPr="00563654">
        <w:rPr>
          <w:rFonts w:ascii="Arial" w:hAnsi="Arial" w:cs="Arial"/>
          <w:i/>
          <w:iCs/>
        </w:rPr>
        <w:t>Pachyrhizus</w:t>
      </w:r>
      <w:proofErr w:type="spellEnd"/>
      <w:r w:rsidRPr="00563654">
        <w:rPr>
          <w:rFonts w:ascii="Arial" w:hAnsi="Arial" w:cs="Arial"/>
          <w:i/>
          <w:iCs/>
        </w:rPr>
        <w:t xml:space="preserve"> </w:t>
      </w:r>
      <w:proofErr w:type="spellStart"/>
      <w:r w:rsidRPr="00563654">
        <w:rPr>
          <w:rFonts w:ascii="Arial" w:hAnsi="Arial" w:cs="Arial"/>
          <w:i/>
          <w:iCs/>
        </w:rPr>
        <w:t>erosus</w:t>
      </w:r>
      <w:proofErr w:type="spellEnd"/>
      <w:r w:rsidRPr="00563654">
        <w:rPr>
          <w:rFonts w:ascii="Arial" w:hAnsi="Arial" w:cs="Arial"/>
        </w:rPr>
        <w:t xml:space="preserve">) is a plant that belongs to the </w:t>
      </w:r>
      <w:proofErr w:type="spellStart"/>
      <w:r w:rsidRPr="00563654">
        <w:rPr>
          <w:rFonts w:ascii="Arial" w:hAnsi="Arial" w:cs="Arial"/>
        </w:rPr>
        <w:t>Leguminoceae</w:t>
      </w:r>
      <w:proofErr w:type="spellEnd"/>
      <w:r w:rsidRPr="00563654">
        <w:rPr>
          <w:rFonts w:ascii="Arial" w:hAnsi="Arial" w:cs="Arial"/>
        </w:rPr>
        <w:t xml:space="preserve"> family. Research results have indicated that this family is frequently referred to as a phytoestrogen, due to the presence of phytochemical components that exhibit a structural similarity to the hormone estrogen</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{"citationItems":[{"id":"ITEM-1","itemData":{"author":[{"dropping-particle":"","family":"Whitten, P. L., Kudo, S., &amp; Okubo","given":"K. K","non-dropping-particle":"","parse-names":false,"suffix":""}],"container-title":"Handbook of plant and fungal toxicants","id":"ITEM-1","issued":{"date-parts":[["2020"]]},"page":"117-137","title":"Isoflavonoids","type":"chapter"},"uris":["http://www.mendeley.com/documents/?uuid=7e0323fe-8ee2-4bd0-9eaf-bf6802f44c97"]},{"id":"ITEM-2","itemData":{"author":[{"dropping-particle":"","family":"Dias","given":"Maria Celeste","non-dropping-particle":"","parse-names":false,"suffix":""},{"dropping-particle":"","family":"Pinto","given":"Diana C. G. A","non-dropping-particle":"","parse-names":false,"suffix":""},{"dropping-particle":"","family":"Silva","given":"Artur M. S","non-dropping-particle":"","parse-names":false,"suffix":""}],"container-title":"Flavonoids from Plants to Foods: From Green Extraction to Healthy Food Ingredient","id":"ITEM-2","issue":"17","issued":{"date-parts":[["2021"]]},"page":"5377","title":"Plant Flavonoids: Chemical Characteristics and Biological Activity","type":"article-journal","volume":"26"},"uris":["http://www.mendeley.com/documents/?uuid=70555e8e-6ec4-42df-b247-9deda42d9243"]},{"id":"ITEM-3","itemData":{"DOI":"10.1002/ptr.8196","ISSN":"10991573","PMID":"38602108","abstract":"Phytoestrogens, also known as xenoestrogens, are secondary metabolites derived from plants that have similar structures and biological effects as human estrogens. These compounds do not directly affect biological functions but can act as agonists or antagonists depending on the level of endogenous estrogen in the body. Phytoestrogens may have an epigenetic mechanism of action independent of estrogen receptors. These compounds are found in more than 300 plant species and are synthesized through the phenylpropanoid pathway, with specific enzymes leading to various chemical structures. Phytoestrogens, primarily phenolic compounds, include isoflavonoids, flavonoids, stilbenes, and lignans. Extensive research in animals and humans has demonstrated the protective effects of phytoestrogens on estrogen-dependent diseases. Clinical trials have also shown their potential benefits in conditions such as osteoporosis, Parkinson's disease, and certain types of cancer. This review provides a concise overview of phytoestrogen classification, chemical diversity, and biosynthesis and discusses the potential therapeutic effects of phytoestrogens, as well as their preclinical and clinical development.","author":[{"dropping-particle":"","family":"Chavda","given":"Vivek P.","non-dropping-particle":"","parse-names":false,"suffix":""},{"dropping-particle":"","family":"Chaudhari","given":"Amit Z.","non-dropping-particle":"","parse-names":false,"suffix":""},{"dropping-particle":"","family":"Balar","given":"Pankti C.","non-dropping-particle":"","parse-names":false,"suffix":""},{"dropping-particle":"","family":"Gholap","given":"Amol","non-dropping-particle":"","parse-names":false,"suffix":""},{"dropping-particle":"","family":"Vora","given":"Lalitkumar K.","non-dropping-particle":"","parse-names":false,"suffix":""}],"container-title":"Phytotherapy Research","id":"ITEM-3","issue":"6","issued":{"date-parts":[["2024"]]},"page":"3060-3079","title":"Phytoestrogens: Chemistry, potential health benefits, and their medicinal importance","type":"article-journal","volume":"38"},"uris":["http://www.mendeley.com/documents/?uuid=f7fe97df-d4fc-4f4f-b882-becbe08fb6f0"]}],"mendeley":{"formattedCitation":"(Chavda et al., 2024; Dias et al., 2021; Whitten, P. L., Kudo, S., &amp; Okubo, 2020)","plainTextFormattedCitation":"(Chavda et al., 2024; Dias et al., 2021; Whitten, P. L., Kudo, S., &amp; Okubo, 2020)","previouslyFormattedCitation":"(Whitten, P. L., Kudo, S., &amp; Okubo, 2020; Dias, Pinto and Silva, 2021; Chavda &lt;i&gt;et al.&lt;/i&gt;, 2024)"},"properties":{"noteIndex":0},"schema":"https://github.com/citation-style-language/schema/raw/master/csl-citation.json"}</w:instrText>
      </w:r>
      <w:r>
        <w:rPr>
          <w:rFonts w:ascii="Arial" w:hAnsi="Arial" w:cs="Arial"/>
        </w:rPr>
        <w:fldChar w:fldCharType="separate"/>
      </w:r>
      <w:r w:rsidRPr="005F09B5">
        <w:rPr>
          <w:rFonts w:ascii="Arial" w:hAnsi="Arial" w:cs="Arial"/>
          <w:noProof/>
        </w:rPr>
        <w:t>(Chavda et al., 2024; Dias et al., 2021; Whitten, P. L., Kudo, S., &amp; Okubo, 2020)</w:t>
      </w:r>
      <w:r>
        <w:rPr>
          <w:rFonts w:ascii="Arial" w:hAnsi="Arial" w:cs="Arial"/>
        </w:rPr>
        <w:fldChar w:fldCharType="end"/>
      </w:r>
      <w:r>
        <w:rPr>
          <w:rFonts w:ascii="Arial" w:hAnsi="Arial" w:cs="Arial"/>
        </w:rPr>
        <w:t>,</w:t>
      </w:r>
      <w:r w:rsidRPr="00563654">
        <w:rPr>
          <w:rFonts w:ascii="Arial" w:hAnsi="Arial" w:cs="Arial"/>
        </w:rPr>
        <w:t xml:space="preserve"> certain groups of phytoestrogen compounds include isoflavones, lignans, </w:t>
      </w:r>
      <w:proofErr w:type="spellStart"/>
      <w:r w:rsidRPr="00563654">
        <w:rPr>
          <w:rFonts w:ascii="Arial" w:hAnsi="Arial" w:cs="Arial"/>
        </w:rPr>
        <w:t>coumestans</w:t>
      </w:r>
      <w:proofErr w:type="spellEnd"/>
      <w:r w:rsidRPr="00563654">
        <w:rPr>
          <w:rFonts w:ascii="Arial" w:hAnsi="Arial" w:cs="Arial"/>
        </w:rPr>
        <w:t xml:space="preserve"> and </w:t>
      </w:r>
      <w:proofErr w:type="spellStart"/>
      <w:r w:rsidRPr="00563654">
        <w:rPr>
          <w:rFonts w:ascii="Arial" w:hAnsi="Arial" w:cs="Arial"/>
        </w:rPr>
        <w:t>stilbenoids</w:t>
      </w:r>
      <w:proofErr w:type="spellEnd"/>
      <w:r w:rsidR="00283978">
        <w:rPr>
          <w:rFonts w:ascii="Arial" w:hAnsi="Arial" w:cs="Arial"/>
        </w:rPr>
        <w:t xml:space="preserve"> and protein (Inyang et al., 2018).</w:t>
      </w:r>
      <w:r w:rsidRPr="00563654">
        <w:rPr>
          <w:rFonts w:ascii="Arial" w:hAnsi="Arial" w:cs="Arial"/>
        </w:rPr>
        <w:t xml:space="preserve"> The chemical structure of this group of phytoestrogen compounds has been shown to resemble the estrogen hormone (17β-estradiol) </w:t>
      </w:r>
      <w:r>
        <w:rPr>
          <w:rFonts w:ascii="Arial" w:hAnsi="Arial" w:cs="Arial"/>
        </w:rPr>
        <w:fldChar w:fldCharType="begin" w:fldLock="1"/>
      </w:r>
      <w:r>
        <w:rPr>
          <w:rFonts w:ascii="Arial" w:hAnsi="Arial" w:cs="Arial"/>
        </w:rPr>
        <w:instrText>ADDIN CSL_CITATION {"citationItems":[{"id":"ITEM-1","itemData":{"DOI":"10.1016/j.jnutbio.2022.109250","ISSN":"18734847","PMID":"36509337","abstract":"Flavonoids are a major group of phytoestrogens associated with physiological effects, and ecological and social impacts. Although the estrogenic activity of flavonoids was reported by researchers in the fields of medical, environmental and food studies, their molecular mechanisms of action have not been comprehensively reviewed. The estrogenic activity of the respective classes of flavonoids, anthocyanidins/anthocyanins, 2-arylbenzofurans/3-arylcoumarins/α-methyldeoxybenzoins, aurones/chalcones/dihydrochalcones, coumaronochromones, coumestans, flavans/flavan-3-ols/flavan-4-ols, flavanones/dihydroflavonols, flavones/flavonols, homoisoflavonoids, isoflavans, isoflavanones, isoflavenes, isoflavones, neoflavonoids, oligoflavonoids, pterocarpans/pterocarpenes, and rotenone/rotenoids, was summarized through a comprehensive literature search, and their structure-activity relationship, biological activities, signaling pathways, and applications were discussed. Although the respective classes of flavonoids contained at least one chemical mimicking estrogen, the mechanisms varied, such as those with estrogenic, anti-estrogenic, non-estrogenic, and biphasic activities, and additional activities through crosstalk/bypassing, which exert biological activities through cell signaling pathways. Such mechanistic variations of estrogen action are not limited to flavonoids and are observed among other broad categories of chemicals, thus this group of chemicals can be termed as the “estrogenome”. This review article focuses on the connection of estrogen action mainly between the outer and the inner environments, which represent variations of chemicals and biological activities/signaling pathways, respectively, and form the basis to understand their applications. The applications of chemicals will markedly progress due to emerging technologies, such as artificial intelligence for precision medicine, which is also true of the study of the estrogenome including estrogenic flavonoids.","author":[{"dropping-particle":"","family":"Kiyama","given":"Ryoiti","non-dropping-particle":"","parse-names":false,"suffix":""}],"container-title":"Journal of Nutritional Biochemistry","id":"ITEM-1","issued":{"date-parts":[["2023"]]},"page":"109250","publisher":"Elsevier Inc.","title":"Estrogenic flavonoids and their molecular mechanisms of action","type":"article-journal","volume":"114"},"uris":["http://www.mendeley.com/documents/?uuid=b620a973-98bd-4ed2-a773-d604804497dd"]}],"mendeley":{"formattedCitation":"(Kiyama, 2023)","plainTextFormattedCitation":"(Kiyama, 2023)","previouslyFormattedCitation":"(Kiyama, 2023)"},"properties":{"noteIndex":0},"schema":"https://github.com/citation-style-language/schema/raw/master/csl-citation.json"}</w:instrText>
      </w:r>
      <w:r>
        <w:rPr>
          <w:rFonts w:ascii="Arial" w:hAnsi="Arial" w:cs="Arial"/>
        </w:rPr>
        <w:fldChar w:fldCharType="separate"/>
      </w:r>
      <w:r w:rsidRPr="00350A7B">
        <w:rPr>
          <w:rFonts w:ascii="Arial" w:hAnsi="Arial" w:cs="Arial"/>
          <w:noProof/>
        </w:rPr>
        <w:t>(Kiyama, 2023)</w:t>
      </w:r>
      <w:r>
        <w:rPr>
          <w:rFonts w:ascii="Arial" w:hAnsi="Arial" w:cs="Arial"/>
        </w:rPr>
        <w:fldChar w:fldCharType="end"/>
      </w:r>
      <w:r w:rsidRPr="00563654">
        <w:rPr>
          <w:rFonts w:ascii="Arial" w:hAnsi="Arial" w:cs="Arial"/>
        </w:rPr>
        <w:t xml:space="preserve">, and therefore, these phytoestrogen compounds have been found to exhibit physiological properties similar to the estrogen hormone </w:t>
      </w:r>
      <w:r>
        <w:rPr>
          <w:rFonts w:ascii="Arial" w:hAnsi="Arial" w:cs="Arial"/>
        </w:rPr>
        <w:fldChar w:fldCharType="begin" w:fldLock="1"/>
      </w:r>
      <w:r>
        <w:rPr>
          <w:rFonts w:ascii="Arial" w:hAnsi="Arial" w:cs="Arial"/>
        </w:rPr>
        <w:instrText>ADDIN CSL_CITATION {"citationItems":[{"id":"ITEM-1","itemData":{"author":[{"dropping-particle":"","family":"Fuentes, N., &amp; Silveyra","given":"P","non-dropping-particle":"","parse-names":false,"suffix":""}],"container-title":"Advances in protein chemistry and structural biology","id":"ITEM-1","issued":{"date-parts":[["2019"]]},"page":"135-170","title":"Estrogen receptor signaling mechanisms","type":"chapter"},"uris":["http://www.mendeley.com/documents/?uuid=d366d81b-281e-46de-91c3-1708235032c2"]},{"id":"ITEM-2","itemData":{"author":[{"dropping-particle":"","family":"Whitten, P. L., Kudo, S., &amp; Okubo","given":"K. K","non-dropping-particle":"","parse-names":false,"suffix":""}],"container-title":"Handbook of plant and fungal toxicants","id":"ITEM-2","issued":{"date-parts":[["2020"]]},"page":"117-137","title":"Isoflavonoids","type":"chapter"},"uris":["http://www.mendeley.com/documents/?uuid=7e0323fe-8ee2-4bd0-9eaf-bf6802f44c97"]},{"id":"ITEM-3","itemData":{"DOI":"10.1016/j.jnutbio.2022.109250","ISSN":"18734847","PMID":"36509337","abstract":"Flavonoids are a major group of phytoestrogens associated with physiological effects, and ecological and social impacts. Although the estrogenic activity of flavonoids was reported by researchers in the fields of medical, environmental and food studies, their molecular mechanisms of action have not been comprehensively reviewed. The estrogenic activity of the respective classes of flavonoids, anthocyanidins/anthocyanins, 2-arylbenzofurans/3-arylcoumarins/α-methyldeoxybenzoins, aurones/chalcones/dihydrochalcones, coumaronochromones, coumestans, flavans/flavan-3-ols/flavan-4-ols, flavanones/dihydroflavonols, flavones/flavonols, homoisoflavonoids, isoflavans, isoflavanones, isoflavenes, isoflavones, neoflavonoids, oligoflavonoids, pterocarpans/pterocarpenes, and rotenone/rotenoids, was summarized through a comprehensive literature search, and their structure-activity relationship, biological activities, signaling pathways, and applications were discussed. Although the respective classes of flavonoids contained at least one chemical mimicking estrogen, the mechanisms varied, such as those with estrogenic, anti-estrogenic, non-estrogenic, and biphasic activities, and additional activities through crosstalk/bypassing, which exert biological activities through cell signaling pathways. Such mechanistic variations of estrogen action are not limited to flavonoids and are observed among other broad categories of chemicals, thus this group of chemicals can be termed as the “estrogenome”. This review article focuses on the connection of estrogen action mainly between the outer and the inner environments, which represent variations of chemicals and biological activities/signaling pathways, respectively, and form the basis to understand their applications. The applications of chemicals will markedly progress due to emerging technologies, such as artificial intelligence for precision medicine, which is also true of the study of the estrogenome including estrogenic flavonoids.","author":[{"dropping-particle":"","family":"Kiyama","given":"Ryoiti","non-dropping-particle":"","parse-names":false,"suffix":""}],"container-title":"Journal of Nutritional Biochemistry","id":"ITEM-3","issued":{"date-parts":[["2023"]]},"page":"109250","publisher":"Elsevier Inc.","title":"Estrogenic flavonoids and their molecular mechanisms of action","type":"article-journal","volume":"114"},"uris":["http://www.mendeley.com/documents/?uuid=b620a973-98bd-4ed2-a773-d604804497dd"]}],"mendeley":{"formattedCitation":"(Fuentes, N., &amp; Silveyra, 2019; Kiyama, 2023; Whitten, P. L., Kudo, S., &amp; Okubo, 2020)","plainTextFormattedCitation":"(Fuentes, N., &amp; Silveyra, 2019; Kiyama, 2023; Whitten, P. L., Kudo, S., &amp; Okubo, 2020)","previouslyFormattedCitation":"(Fuentes, N., &amp; Silveyra, 2019; Whitten, P. L., Kudo, S., &amp; Okubo, 2020; Kiyama, 2023)"},"properties":{"noteIndex":0},"schema":"https://github.com/citation-style-language/schema/raw/master/csl-citation.json"}</w:instrText>
      </w:r>
      <w:r>
        <w:rPr>
          <w:rFonts w:ascii="Arial" w:hAnsi="Arial" w:cs="Arial"/>
        </w:rPr>
        <w:fldChar w:fldCharType="separate"/>
      </w:r>
      <w:r w:rsidRPr="005F09B5">
        <w:rPr>
          <w:rFonts w:ascii="Arial" w:hAnsi="Arial" w:cs="Arial"/>
          <w:noProof/>
        </w:rPr>
        <w:t>(Fuentes, N., &amp; Silveyra, 2019; Kiyama, 2023; Whitten, P. L., Kudo, S., &amp; Okubo, 2020)</w:t>
      </w:r>
      <w:r>
        <w:rPr>
          <w:rFonts w:ascii="Arial" w:hAnsi="Arial" w:cs="Arial"/>
        </w:rPr>
        <w:fldChar w:fldCharType="end"/>
      </w:r>
      <w:r>
        <w:rPr>
          <w:rFonts w:ascii="Arial" w:hAnsi="Arial" w:cs="Arial"/>
          <w:b/>
          <w:bCs/>
        </w:rPr>
        <w:t>.</w:t>
      </w:r>
    </w:p>
    <w:p w14:paraId="0676F478" w14:textId="16AE53A6" w:rsidR="005F09B5" w:rsidRPr="00563654" w:rsidRDefault="005F09B5" w:rsidP="005F09B5">
      <w:pPr>
        <w:ind w:firstLine="720"/>
        <w:jc w:val="both"/>
        <w:rPr>
          <w:rFonts w:ascii="Arial" w:hAnsi="Arial" w:cs="Arial"/>
          <w:b/>
          <w:bCs/>
        </w:rPr>
      </w:pPr>
      <w:r w:rsidRPr="00563654">
        <w:rPr>
          <w:rFonts w:ascii="Arial" w:hAnsi="Arial" w:cs="Arial"/>
        </w:rPr>
        <w:t xml:space="preserve">Genistein and daidzein are isoflavone compounds that have been identified in the </w:t>
      </w:r>
      <w:proofErr w:type="spellStart"/>
      <w:r w:rsidRPr="00563654">
        <w:rPr>
          <w:rFonts w:ascii="Arial" w:hAnsi="Arial" w:cs="Arial"/>
        </w:rPr>
        <w:t>Leguminoceae</w:t>
      </w:r>
      <w:proofErr w:type="spellEnd"/>
      <w:r w:rsidRPr="00563654">
        <w:rPr>
          <w:rFonts w:ascii="Arial" w:hAnsi="Arial" w:cs="Arial"/>
        </w:rPr>
        <w:t xml:space="preserve"> family</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{"citationItems":[{"id":"ITEM-1","itemData":{"DOI":"10.1002/ptr.8196","ISSN":"10991573","PMID":"38602108","abstract":"Phytoestrogens, also known as xenoestrogens, are secondary metabolites derived from plants that have similar structures and biological effects as human estrogens. These compounds do not directly affect biological functions but can act as agonists or antagonists depending on the level of endogenous estrogen in the body. Phytoestrogens may have an epigenetic mechanism of action independent of estrogen receptors. These compounds are found in more than 300 plant species and are synthesized through the phenylpropanoid pathway, with specific enzymes leading to various chemical structures. Phytoestrogens, primarily phenolic compounds, include isoflavonoids, flavonoids, stilbenes, and lignans. Extensive research in animals and humans has demonstrated the protective effects of phytoestrogens on estrogen-dependent diseases. Clinical trials have also shown their potential benefits in conditions such as osteoporosis, Parkinson's disease, and certain types of cancer. This review provides a concise overview of phytoestrogen classification, chemical diversity, and biosynthesis and discusses the potential therapeutic effects of phytoestrogens, as well as their preclinical and clinical development.","author":[{"dropping-particle":"","family":"Chavda","given":"Vivek P.","non-dropping-particle":"","parse-names":false,"suffix":""},{"dropping-particle":"","family":"Chaudhari","given":"Amit Z.","non-dropping-particle":"","parse-names":false,"suffix":""},{"dropping-particle":"","family":"Balar","given":"Pankti C.","non-dropping-particle":"","parse-names":false,"suffix":""},{"dropping-particle":"","family":"Gholap","given":"Amol","non-dropping-particle":"","parse-names":false,"suffix":""},{"dropping-particle":"","family":"Vora","given":"Lalitkumar K.","non-dropping-particle":"","parse-names":false,"suffix":""}],"container-title":"Phytotherapy Research","id":"ITEM-1","issue":"6","issued":{"date-parts":[["2024"]]},"page":"3060-3079","title":"Phytoestrogens: Chemistry, potential health benefits, and their medicinal importance","type":"article-journal","volume":"38"},"uris":["http://www.mendeley.com/documents/?uuid=f7fe97df-d4fc-4f4f-b882-becbe08fb6f0"]}],"mendeley":{"formattedCitation":"(Chavda et al., 2024)","plainTextFormattedCitation":"(Chavda et al., 2024)","previouslyFormattedCitation":"(Chavda &lt;i&gt;et al.&lt;/i&gt;, 2024)"},"properties":{"noteIndex":0},"schema":"https://github.com/citation-style-language/schema/raw/master/csl-citation.json"}</w:instrText>
      </w:r>
      <w:r>
        <w:rPr>
          <w:rFonts w:ascii="Arial" w:hAnsi="Arial" w:cs="Arial"/>
        </w:rPr>
        <w:fldChar w:fldCharType="separate"/>
      </w:r>
      <w:r w:rsidRPr="005F09B5">
        <w:rPr>
          <w:rFonts w:ascii="Arial" w:hAnsi="Arial" w:cs="Arial"/>
          <w:noProof/>
        </w:rPr>
        <w:t>(Chavda et al., 2024)</w:t>
      </w:r>
      <w:r>
        <w:rPr>
          <w:rFonts w:ascii="Arial" w:hAnsi="Arial" w:cs="Arial"/>
        </w:rPr>
        <w:fldChar w:fldCharType="end"/>
      </w:r>
      <w:r w:rsidRPr="00563654">
        <w:rPr>
          <w:rFonts w:ascii="Arial" w:hAnsi="Arial" w:cs="Arial"/>
          <w:b/>
          <w:bCs/>
        </w:rPr>
        <w:t>.</w:t>
      </w:r>
      <w:r w:rsidRPr="00563654">
        <w:rPr>
          <w:rFonts w:ascii="Arial" w:hAnsi="Arial" w:cs="Arial"/>
        </w:rPr>
        <w:t xml:space="preserve"> Research findings demonstrate the affinity of isoflavones for estrogen receptors within the body </w:t>
      </w:r>
      <w:r w:rsidRPr="00563654">
        <w:rPr>
          <w:rFonts w:ascii="Arial" w:hAnsi="Arial" w:cs="Arial"/>
          <w:b/>
          <w:bCs/>
        </w:rPr>
        <w:t>(</w:t>
      </w:r>
      <w:r>
        <w:rPr>
          <w:rFonts w:ascii="Arial" w:hAnsi="Arial" w:cs="Arial"/>
          <w:b/>
          <w:bCs/>
        </w:rPr>
        <w:fldChar w:fldCharType="begin" w:fldLock="1"/>
      </w:r>
      <w:r>
        <w:rPr>
          <w:rFonts w:ascii="Arial" w:hAnsi="Arial" w:cs="Arial"/>
          <w:b/>
          <w:bCs/>
        </w:rPr>
        <w:instrText>ADDIN CSL_CITATION {"citationItems":[{"id":"ITEM-1","itemData":{"DOI":"10.3390/molecules24061076","ISSN":"14203049","PMID":"30893792","abstract":"Phytoestrogens are naturally occurring nonsteroidal phenolic plant compounds that, due to their molecular structure and size, resemble vertebrate steroids estrogens. This review is focused on plant flavonoids isoflavones, which are ranked among the most estrogenic compounds. The main dietary sources of isoflavones for humans are soybean and soybean products, which contain mainly daidzein and genistein. When they are consumed, they exert estrogenic and/or antiestrogenic effects. Isoflavones are considered chemoprotective and can be used as an alternative therapy for a wide range of hormonal disorders, including several cancer types, namely breast cancer and prostate cancer, cardiovascular diseases, osteoporosis, or menopausal symptoms. On the other hand, isoflavones may also be considered endocrine disruptors with possible negative influences on the state of health in a certain part of the population or on the environment. This review deals with isoflavone classification, structure, and occurrence, with their metabolism, biological, and health effects in humans and animals, and with their utilization and potential risks.","author":[{"dropping-particle":"","family":"Křížová","given":"Ludmila","non-dropping-particle":"","parse-names":false,"suffix":""},{"dropping-particle":"","family":"Dadáková","given":"Kateřina","non-dropping-particle":"","parse-names":false,"suffix":""},{"dropping-particle":"","family":"Kašparovská","given":"Jitka","non-dropping-particle":"","parse-names":false,"suffix":""},{"dropping-particle":"","family":"Kašparovský","given":"Tomáš","non-dropping-particle":"","parse-names":false,"suffix":""}],"container-title":"Molecules","id":"ITEM-1","issue":"6","issued":{"date-parts":[["2019"]]},"title":"Isoflavones","type":"article-journal","volume":"24"},"uris":["http://www.mendeley.com/documents/?uuid=9723d474-0cc0-47a8-9a7c-d4fbbfd1cb4c"]},{"id":"ITEM-2","itemData":{"author":[{"dropping-particle":"","family":"Fuentes, N., &amp; Silveyra","given":"P","non-dropping-particle":"","parse-names":false,"suffix":""}],"container-title":"Advances in protein chemistry and structural biology","id":"ITEM-2","issued":{"date-parts":[["2019"]]},"page":"135-170","title":"Estrogen receptor signaling mechanisms","type":"chapter"},"uris":["http://www.mendeley.com/documents/?uuid=d366d81b-281e-46de-91c3-1708235032c2"]}],"mendeley":{"formattedCitation":"(Fuentes, N., &amp; Silveyra, 2019; Křížová et al., 2019)","plainTextFormattedCitation":"(Fuentes, N., &amp; Silveyra, 2019; Křížová et al., 2019)","previouslyFormattedCitation":"(Fuentes, N., &amp; Silveyra, 2019; Křížová &lt;i&gt;et al.&lt;/i&gt;, 2019)"},"properties":{"noteIndex":0},"schema":"https://github.com/citation-style-language/schema/raw/master/csl-citation.json"}</w:instrText>
      </w:r>
      <w:r>
        <w:rPr>
          <w:rFonts w:ascii="Arial" w:hAnsi="Arial" w:cs="Arial"/>
          <w:b/>
          <w:bCs/>
        </w:rPr>
        <w:fldChar w:fldCharType="separate"/>
      </w:r>
      <w:r w:rsidRPr="005F09B5">
        <w:rPr>
          <w:rFonts w:ascii="Arial" w:hAnsi="Arial" w:cs="Arial"/>
          <w:bCs/>
          <w:noProof/>
        </w:rPr>
        <w:t>(Fuentes, N., &amp; Silveyra, 2019; Křížová et al., 2019)</w:t>
      </w:r>
      <w:r>
        <w:rPr>
          <w:rFonts w:ascii="Arial" w:hAnsi="Arial" w:cs="Arial"/>
          <w:b/>
          <w:bCs/>
        </w:rPr>
        <w:fldChar w:fldCharType="end"/>
      </w:r>
      <w:r>
        <w:rPr>
          <w:rFonts w:ascii="Arial" w:hAnsi="Arial" w:cs="Arial"/>
          <w:b/>
          <w:bCs/>
        </w:rPr>
        <w:t xml:space="preserve">. </w:t>
      </w:r>
      <w:r w:rsidRPr="00563654">
        <w:rPr>
          <w:rFonts w:ascii="Arial" w:hAnsi="Arial" w:cs="Arial"/>
        </w:rPr>
        <w:t xml:space="preserve">This receptor affinity has been demonstrated to engender </w:t>
      </w:r>
      <w:proofErr w:type="spellStart"/>
      <w:r w:rsidRPr="00563654">
        <w:rPr>
          <w:rFonts w:ascii="Arial" w:hAnsi="Arial" w:cs="Arial"/>
        </w:rPr>
        <w:t>oestrogenic</w:t>
      </w:r>
      <w:proofErr w:type="spellEnd"/>
      <w:r w:rsidRPr="00563654">
        <w:rPr>
          <w:rFonts w:ascii="Arial" w:hAnsi="Arial" w:cs="Arial"/>
        </w:rPr>
        <w:t xml:space="preserve"> effects, thereby aiding in the alleviation of menopausal symptoms and the maintenance of physiological function</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{"citationItems":[{"id":"ITEM-1","itemData":{"author":[{"dropping-particle":"","family":"Fuentes, N., &amp; Silveyra","given":"P","non-dropping-particle":"","parse-names":false,"suffix":""}],"container-title":"Advances in protein chemistry and structural biology","id":"ITEM-1","issued":{"date-parts":[["2019"]]},"page":"135-170","title":"Estrogen receptor signaling mechanisms","type":"chapter"},"uris":["http://www.mendeley.com/documents/?uuid=d366d81b-281e-46de-91c3-1708235032c2"]}],"mendeley":{"formattedCitation":"(Fuentes, N., &amp; Silveyra, 2019)","plainTextFormattedCitation":"(Fuentes, N., &amp; Silveyra, 2019)","previouslyFormattedCitation":"(Fuentes, N., &amp; Silveyra, 2019)"},"properties":{"noteIndex":0},"schema":"https://github.com/citation-style-language/schema/raw/master/csl-citation.json"}</w:instrText>
      </w:r>
      <w:r>
        <w:rPr>
          <w:rFonts w:ascii="Arial" w:hAnsi="Arial" w:cs="Arial"/>
        </w:rPr>
        <w:fldChar w:fldCharType="separate"/>
      </w:r>
      <w:r w:rsidRPr="00350A7B">
        <w:rPr>
          <w:rFonts w:ascii="Arial" w:hAnsi="Arial" w:cs="Arial"/>
          <w:noProof/>
        </w:rPr>
        <w:t>(Fuentes, N., &amp; Silveyra, 2019)</w:t>
      </w:r>
      <w:r>
        <w:rPr>
          <w:rFonts w:ascii="Arial" w:hAnsi="Arial" w:cs="Arial"/>
        </w:rPr>
        <w:fldChar w:fldCharType="end"/>
      </w:r>
      <w:r w:rsidRPr="00563654">
        <w:rPr>
          <w:rFonts w:ascii="Arial" w:hAnsi="Arial" w:cs="Arial"/>
          <w:b/>
          <w:bCs/>
        </w:rPr>
        <w:t>.</w:t>
      </w:r>
      <w:r w:rsidRPr="00563654">
        <w:rPr>
          <w:rFonts w:ascii="Arial" w:hAnsi="Arial" w:cs="Arial"/>
        </w:rPr>
        <w:t xml:space="preserve"> As demonstrated by several studies, the consumption of phytoestrogens has been shown to selectively stimulate endogenous hormone activity, with the potential to extend the fertile period or delay the onset of menopause when administered appropriately before or during the premenopausal phase </w:t>
      </w:r>
      <w:r>
        <w:rPr>
          <w:rFonts w:ascii="Arial" w:hAnsi="Arial" w:cs="Arial"/>
        </w:rPr>
        <w:fldChar w:fldCharType="begin" w:fldLock="1"/>
      </w:r>
      <w:r>
        <w:rPr>
          <w:rFonts w:ascii="Arial" w:hAnsi="Arial" w:cs="Arial"/>
        </w:rPr>
        <w:instrText>ADDIN CSL_CITATION {"citationItems":[{"id":"ITEM-1","itemData":{"DOI":"10.3390/nu15020317","ISSN":"20726643","PMID":"36678189","abstract":"Phytoestrogens are literally estrogenic substances of plant origin. Although these substances are useful for plants in many aspects, their estrogenic properties are essentially relevant to their predators. As such, phytoestrogens can be considered to be substances potentially dedicated to plant–predator interaction. Therefore, it is not surprising to note that the word phytoestrogen comes from the early discovery of estrogenic effects in grazing animals and humans. Here, several compounds whose activities have been discovered at nutritional concentrations in animals and humans are examined. The substances analyzed belong to several chemical families, i.e., the flavanones, the coumestans, the resorcylic acid lactones, the isoflavones, and the enterolignans. Following their definition and the evocation of their role in plants, their metabolic transformations and bioavailabilities are discussed. A point is then made regarding their health effects, which can either be beneficial or adverse depending on the subject studied, the sex, the age, and the physiological status. Toxicological information is given based on official data. The effects are first presented in humans. Animal models are evoked when no data are available in humans. The effects are presented with a constant reference to doses and plausible exposure.","author":[{"dropping-particle":"","family":"Canivenc-Lavier","given":"Marie Chantal","non-dropping-particle":"","parse-names":false,"suffix":""},{"dropping-particle":"","family":"Bennetau-Pelissero","given":"Catherine","non-dropping-particle":"","parse-names":false,"suffix":""}],"container-title":"Nutrients","id":"ITEM-1","issue":"2","issued":{"date-parts":[["2023"]]},"page":"1-44","title":"Phytoestrogens and Health Effects","type":"article-journal","volume":"15"},"uris":["http://www.mendeley.com/documents/?uuid=d0b26013-1efb-472f-9373-65cd8309f540"]},{"id":"ITEM-2","itemData":{"author":[{"dropping-particle":"","family":"Whitten, P. L., Kudo, S., &amp; Okubo","given":"K. K","non-dropping-particle":"","parse-names":false,"suffix":""}],"container-title":"Handbook of plant and fungal toxicants","id":"ITEM-2","issued":{"date-parts":[["2020"]]},"page":"117-137","title":"Isoflavonoids","type":"chapter"},"uris":["http://www.mendeley.com/documents/?uuid=7e0323fe-8ee2-4bd0-9eaf-bf6802f44c97"]},{"id":"ITEM-3","itemData":{"DOI":"10.1016/j.jnutbio.2022.109250","ISSN":"18734847","PMID":"36509337","abstract":"Flavonoids are a major group of phytoestrogens associated with physiological effects, and ecological and social impacts. Although the estrogenic activity of flavonoids was reported by researchers in the fields of medical, environmental and food studies, their molecular mechanisms of action have not been comprehensively reviewed. The estrogenic activity of the respective classes of flavonoids, anthocyanidins/anthocyanins, 2-arylbenzofurans/3-arylcoumarins/α-methyldeoxybenzoins, aurones/chalcones/dihydrochalcones, coumaronochromones, coumestans, flavans/flavan-3-ols/flavan-4-ols, flavanones/dihydroflavonols, flavones/flavonols, homoisoflavonoids, isoflavans, isoflavanones, isoflavenes, isoflavones, neoflavonoids, oligoflavonoids, pterocarpans/pterocarpenes, and rotenone/rotenoids, was summarized through a comprehensive literature search, and their structure-activity relationship, biological activities, signaling pathways, and applications were discussed. Although the respective classes of flavonoids contained at least one chemical mimicking estrogen, the mechanisms varied, such as those with estrogenic, anti-estrogenic, non-estrogenic, and biphasic activities, and additional activities through crosstalk/bypassing, which exert biological activities through cell signaling pathways. Such mechanistic variations of estrogen action are not limited to flavonoids and are observed among other broad categories of chemicals, thus this group of chemicals can be termed as the “estrogenome”. This review article focuses on the connection of estrogen action mainly between the outer and the inner environments, which represent variations of chemicals and biological activities/signaling pathways, respectively, and form the basis to understand their applications. The applications of chemicals will markedly progress due to emerging technologies, such as artificial intelligence for precision medicine, which is also true of the study of the estrogenome including estrogenic flavonoids.","author":[{"dropping-particle":"","family":"Kiyama","given":"Ryoiti","non-dropping-particle":"","parse-names":false,"suffix":""}],"container-title":"Journal of Nutritional Biochemistry","id":"ITEM-3","issued":{"date-parts":[["2023"]]},"page":"109250","publisher":"Elsevier Inc.","title":"Estrogenic flavonoids and their molecular mechanisms of action","type":"article-journal","volume":"114"},"uris":["http://www.mendeley.com/documents/?uuid=b620a973-98bd-4ed2-a773-d604804497dd"]}],"mendeley":{"formattedCitation":"(Canivenc-Lavier &amp; Bennetau-Pelissero, 2023; Kiyama, 2023; Whitten, P. L., Kudo, S., &amp; Okubo, 2020)","plainTextFormattedCitation":"(Canivenc-Lavier &amp; Bennetau-Pelissero, 2023; Kiyama, 2023; Whitten, P. L., Kudo, S., &amp; Okubo, 2020)","previouslyFormattedCitation":"(Whitten, P. L., Kudo, S., &amp; Okubo, 2020; Canivenc-Lavier and Bennetau-Pelissero, 2023; Kiyama, 2023)"},"properties":{"noteIndex":0},"schema":"https://github.com/citation-style-language/schema/raw/master/csl-citation.json"}</w:instrText>
      </w:r>
      <w:r>
        <w:rPr>
          <w:rFonts w:ascii="Arial" w:hAnsi="Arial" w:cs="Arial"/>
        </w:rPr>
        <w:fldChar w:fldCharType="separate"/>
      </w:r>
      <w:r w:rsidRPr="005F09B5">
        <w:rPr>
          <w:rFonts w:ascii="Arial" w:hAnsi="Arial" w:cs="Arial"/>
          <w:noProof/>
        </w:rPr>
        <w:t>(Canivenc-Lavier &amp; Bennetau-Pelissero, 2023; Kiyama, 2023; Whitten, P. L., Kudo, S., &amp; Okubo, 2020)</w:t>
      </w:r>
      <w:r>
        <w:rPr>
          <w:rFonts w:ascii="Arial" w:hAnsi="Arial" w:cs="Arial"/>
        </w:rPr>
        <w:fldChar w:fldCharType="end"/>
      </w:r>
      <w:r>
        <w:rPr>
          <w:rFonts w:ascii="Arial" w:hAnsi="Arial" w:cs="Arial"/>
          <w:b/>
          <w:bCs/>
        </w:rPr>
        <w:t>.</w:t>
      </w:r>
    </w:p>
    <w:p w14:paraId="1C8D4F2D" w14:textId="0F1CABA2" w:rsidR="005F09B5" w:rsidRPr="00563654" w:rsidRDefault="005F09B5" w:rsidP="005F09B5">
      <w:pPr>
        <w:ind w:firstLine="720"/>
        <w:jc w:val="both"/>
        <w:rPr>
          <w:rFonts w:ascii="Arial" w:hAnsi="Arial" w:cs="Arial"/>
        </w:rPr>
      </w:pPr>
      <w:r w:rsidRPr="00563654">
        <w:rPr>
          <w:rFonts w:ascii="Arial" w:hAnsi="Arial" w:cs="Arial"/>
        </w:rPr>
        <w:t xml:space="preserve">Research results have been published that demonstrate the extensive </w:t>
      </w:r>
      <w:proofErr w:type="spellStart"/>
      <w:r w:rsidRPr="00563654">
        <w:rPr>
          <w:rFonts w:ascii="Arial" w:hAnsi="Arial" w:cs="Arial"/>
        </w:rPr>
        <w:t>utilisation</w:t>
      </w:r>
      <w:proofErr w:type="spellEnd"/>
      <w:r w:rsidRPr="00563654">
        <w:rPr>
          <w:rFonts w:ascii="Arial" w:hAnsi="Arial" w:cs="Arial"/>
        </w:rPr>
        <w:t xml:space="preserve"> of yam beans in the cosmetics industry. The development and consumption of hand body products, lotions and facial masks has been extensively embraced by the public </w:t>
      </w:r>
      <w:r>
        <w:rPr>
          <w:rFonts w:ascii="Arial" w:hAnsi="Arial" w:cs="Arial"/>
        </w:rPr>
        <w:fldChar w:fldCharType="begin" w:fldLock="1"/>
      </w:r>
      <w:r>
        <w:rPr>
          <w:rFonts w:ascii="Arial" w:hAnsi="Arial" w:cs="Arial"/>
        </w:rPr>
        <w:instrText>ADDIN CSL_CITATION {"citationItems":[{"id":"ITEM-1","itemData":{"DOI":"10.20402/ajbc.2016.0123","ISSN":"2466-2046","author":[{"dropping-particle":"","family":"Lee","given":"Ah Reum","non-dropping-particle":"","parse-names":false,"suffix":""},{"dropping-particle":"","family":"Kim","given":"Hae-Ok","non-dropping-particle":"","parse-names":false,"suffix":""},{"dropping-particle":"","family":"Song","given":"Weon Jung","non-dropping-particle":"","parse-names":false,"suffix":""},{"dropping-particle":"","family":"Min","given":"Yu-Hong","non-dropping-particle":"","parse-names":false,"suffix":""},{"dropping-particle":"","family":"Roh","given":"Seong-Soo","non-dropping-particle":"","parse-names":false,"suffix":""}],"container-title":"Asian Journal of Beauty and Cosmetology","id":"ITEM-1","issue":"2","issued":{"date-parts":[["2017"]]},"page":"180-190","title":"Effects of Mask Pack Containing Yam Bean (Pachyrhizus erosus) Extracts on Skin Improvement","type":"article-journal","volume":"15"},"uris":["http://www.mendeley.com/documents/?uuid=53856072-c073-41ce-bb4a-f10975b1deda"]},{"id":"ITEM-2","itemData":{"DOI":"10.15294/biosaintifika.v10i2.14272","ISSN":"23387610","abstract":"Yam bean is legume with tuberous root originated from the semiarid tropics of Central America, and has been widely spread in several regions in Indonesia. Research on characterization of tuber yam bean was conducted in Kendalpayak Research Station (Malang, Indonesia) from May to October 2016. A total of 73 local yam bean cultivars originated from eight provinces were characterized based on their tuber characteristics. The sensory evaluation was also conducted to evaluate the tuber sweetness, fiber intensity, and texture crunchiness. The average tuber weight was 455.2 g/plant, with the average tuber length and width were 10.78 cm and 8.17 cm, respectively. The ratio of tuber length and width was 1.42, indicates that yam bean tuber in Indonesia tend to be in spherical shape. The average tuber water content was 83.87% (wet basis), showed that the water content was quite high. Based on cluster analysis, 74 local cultivars of yam bean were grouped into five clusters. The tuber weight varied among cultivars and become the distinguishing factor between local cultivars. Local variety of yam beans in Indonesia tend to have sweet taste and crunchy texture. So far, the study on characterization of tuber diversity in Indonesian local cultivar of yam bean is still limited. Thus, these results provide important information to optimize the tuber yam utilization as industrial raw materials.","author":[{"dropping-particle":"","family":"Krisnawati","given":"Ayda","non-dropping-particle":"","parse-names":false,"suffix":""},{"dropping-particle":"","family":"Sutrisno","given":"","non-dropping-particle":"","parse-names":false,"suffix":""},{"dropping-particle":"","family":"Adien","given":"Mochammad Muchlish","non-dropping-particle":"","parse-names":false,"suffix":""}],"container-title":"Biosaintifika","id":"ITEM-2","issue":"2","issued":{"date-parts":[["2018"]]},"page":"267-274","title":"Diversity in Tuber Characteristics of Local Cultivars of Yam Bean (Pachyrhizus erosus) in Indonesia","type":"article-journal","volume":"10"},"uris":["http://www.mendeley.com/documents/?uuid=14d78697-b1ae-466d-9ca9-9de991efb8e2"]},{"id":"ITEM-3","itemData":{"author":[{"dropping-particle":"","family":"Kusnandar, M. R., Wibowo, I., &amp; Barlian","given":"A.","non-dropping-particle":"","parse-names":false,"suffix":""}],"container-title":"Pharmaceutical Nanotechnology","id":"ITEM-3","issue":"2","issued":{"date-parts":[["2025"]]},"page":"341-357","title":"Characterizing Nanoparticle Isolated by Yam Bean (Pachyrhizus erosus) as a Potential Agent for Nanocosmetics: An in vitro and in vivo Approaches","type":"article-journal","volume":"13"},"uris":["http://www.mendeley.com/documents/?uuid=7c10f4a2-80d3-47d7-a073-2f18f092bf90"]}],"mendeley":{"formattedCitation":"(Krisnawati et al., 2018; Kusnandar, M. R., Wibowo, I., &amp; Barlian, 2025; Lee et al., 2017)","plainTextFormattedCitation":"(Krisnawati et al., 2018; Kusnandar, M. R., Wibowo, I., &amp; Barlian, 2025; Lee et al., 2017)","previouslyFormattedCitation":"(Lee &lt;i&gt;et al.&lt;/i&gt;, 2017; Krisnawati, Sutrisno and Adien, 2018; Kusnandar, M. R., Wibowo, I., &amp; Barlian, 2025)"},"properties":{"noteIndex":0},"schema":"https://github.com/citation-style-language/schema/raw/master/csl-citation.json"}</w:instrText>
      </w:r>
      <w:r>
        <w:rPr>
          <w:rFonts w:ascii="Arial" w:hAnsi="Arial" w:cs="Arial"/>
        </w:rPr>
        <w:fldChar w:fldCharType="separate"/>
      </w:r>
      <w:r w:rsidRPr="005F09B5">
        <w:rPr>
          <w:rFonts w:ascii="Arial" w:hAnsi="Arial" w:cs="Arial"/>
          <w:noProof/>
        </w:rPr>
        <w:t>(Krisnawati et al., 2018; Kusnandar, M. R., Wibowo, I., &amp; Barlian, 2025; Lee et al., 2017)</w:t>
      </w:r>
      <w:r>
        <w:rPr>
          <w:rFonts w:ascii="Arial" w:hAnsi="Arial" w:cs="Arial"/>
        </w:rPr>
        <w:fldChar w:fldCharType="end"/>
      </w:r>
      <w:r>
        <w:rPr>
          <w:rFonts w:ascii="Arial" w:hAnsi="Arial" w:cs="Arial"/>
        </w:rPr>
        <w:t xml:space="preserve">. </w:t>
      </w:r>
      <w:r w:rsidRPr="00563654">
        <w:rPr>
          <w:rFonts w:ascii="Arial" w:hAnsi="Arial" w:cs="Arial"/>
        </w:rPr>
        <w:t xml:space="preserve">These cosmetic products are formulated for topical application on external body parts. The development of natural cosmetic products derived from the yam bean has been limited. The potential of yam bean as an oral natural </w:t>
      </w:r>
      <w:proofErr w:type="spellStart"/>
      <w:r w:rsidRPr="00563654">
        <w:rPr>
          <w:rFonts w:ascii="Arial" w:hAnsi="Arial" w:cs="Arial"/>
        </w:rPr>
        <w:t>oestrogenic</w:t>
      </w:r>
      <w:proofErr w:type="spellEnd"/>
      <w:r w:rsidRPr="00563654">
        <w:rPr>
          <w:rFonts w:ascii="Arial" w:hAnsi="Arial" w:cs="Arial"/>
        </w:rPr>
        <w:t xml:space="preserve"> agent for the detection of </w:t>
      </w:r>
      <w:proofErr w:type="spellStart"/>
      <w:r w:rsidRPr="00563654">
        <w:rPr>
          <w:rFonts w:ascii="Arial" w:hAnsi="Arial" w:cs="Arial"/>
        </w:rPr>
        <w:t>oestrogenic</w:t>
      </w:r>
      <w:proofErr w:type="spellEnd"/>
      <w:r w:rsidRPr="00563654">
        <w:rPr>
          <w:rFonts w:ascii="Arial" w:hAnsi="Arial" w:cs="Arial"/>
        </w:rPr>
        <w:t xml:space="preserve"> effects on the ovaries has not been extensively explored. The present study is predicated on the hypothesis that yam bean, a natural hormone therapy, exerts an effect on the development of follicles in the ovaries, thereby counteracting the adverse effects of menopause. The objective of the present study was to examine the effect of yam bean on ovarian follicles in preclinical studies of female rats.</w:t>
      </w:r>
    </w:p>
    <w:p w14:paraId="742331EF" w14:textId="77777777" w:rsidR="005F09B5" w:rsidRPr="00563654" w:rsidRDefault="005F09B5" w:rsidP="005F09B5">
      <w:pPr>
        <w:pStyle w:val="Body"/>
        <w:spacing w:after="0"/>
        <w:rPr>
          <w:rFonts w:ascii="Arial" w:hAnsi="Arial" w:cs="Arial"/>
        </w:rPr>
      </w:pPr>
    </w:p>
    <w:p w14:paraId="053F8DB2" w14:textId="77777777" w:rsidR="005F09B5" w:rsidRDefault="005F09B5" w:rsidP="005F09B5">
      <w:pPr>
        <w:pStyle w:val="AbstHead"/>
        <w:spacing w:after="0"/>
        <w:jc w:val="both"/>
        <w:rPr>
          <w:rFonts w:ascii="Arial" w:hAnsi="Arial" w:cs="Arial"/>
        </w:rPr>
      </w:pPr>
      <w:r>
        <w:rPr>
          <w:rFonts w:ascii="Arial" w:hAnsi="Arial" w:cs="Arial"/>
        </w:rPr>
        <w:t xml:space="preserve">2. material and methods </w:t>
      </w:r>
    </w:p>
    <w:p w14:paraId="722BA07B" w14:textId="77777777" w:rsidR="005F09B5" w:rsidRPr="00FB3A86" w:rsidRDefault="005F09B5" w:rsidP="005F09B5">
      <w:pPr>
        <w:pStyle w:val="AbstHead"/>
        <w:spacing w:after="0"/>
        <w:jc w:val="both"/>
        <w:rPr>
          <w:rFonts w:ascii="Arial" w:hAnsi="Arial" w:cs="Arial"/>
        </w:rPr>
      </w:pPr>
    </w:p>
    <w:p w14:paraId="0EB87F14" w14:textId="49B6A7FF" w:rsidR="005F09B5" w:rsidRPr="0083001F" w:rsidRDefault="005F09B5" w:rsidP="005F09B5">
      <w:pPr>
        <w:ind w:firstLine="720"/>
        <w:jc w:val="both"/>
        <w:rPr>
          <w:rFonts w:ascii="Arial" w:hAnsi="Arial" w:cs="Arial"/>
        </w:rPr>
      </w:pPr>
      <w:r w:rsidRPr="0083001F">
        <w:rPr>
          <w:rFonts w:ascii="Arial" w:hAnsi="Arial" w:cs="Arial"/>
        </w:rPr>
        <w:t>Yam bean species were obtained from yam bean plantations in Kediri, East Java, Indonesia. The identification of the specimen was conducted using the reference number 0011</w:t>
      </w:r>
      <w:r w:rsidR="00DD54FC">
        <w:rPr>
          <w:rFonts w:ascii="Arial" w:hAnsi="Arial" w:cs="Arial"/>
        </w:rPr>
        <w:t>9</w:t>
      </w:r>
      <w:r w:rsidRPr="0083001F">
        <w:rPr>
          <w:rFonts w:ascii="Arial" w:hAnsi="Arial" w:cs="Arial"/>
        </w:rPr>
        <w:t>/</w:t>
      </w:r>
      <w:proofErr w:type="spellStart"/>
      <w:r w:rsidRPr="0083001F">
        <w:rPr>
          <w:rFonts w:ascii="Arial" w:hAnsi="Arial" w:cs="Arial"/>
        </w:rPr>
        <w:t>Taxo</w:t>
      </w:r>
      <w:proofErr w:type="spellEnd"/>
      <w:r w:rsidRPr="0083001F">
        <w:rPr>
          <w:rFonts w:ascii="Arial" w:hAnsi="Arial" w:cs="Arial"/>
        </w:rPr>
        <w:t>-Plant/Biology/III/20</w:t>
      </w:r>
      <w:r w:rsidR="00DD54FC">
        <w:rPr>
          <w:rFonts w:ascii="Arial" w:hAnsi="Arial" w:cs="Arial"/>
        </w:rPr>
        <w:t>20</w:t>
      </w:r>
      <w:r w:rsidRPr="0083001F">
        <w:rPr>
          <w:rFonts w:ascii="Arial" w:hAnsi="Arial" w:cs="Arial"/>
        </w:rPr>
        <w:t>.</w:t>
      </w:r>
    </w:p>
    <w:p w14:paraId="56EFE76C" w14:textId="77777777" w:rsidR="005F09B5" w:rsidRPr="0083001F" w:rsidRDefault="005F09B5" w:rsidP="005F09B5">
      <w:pPr>
        <w:jc w:val="both"/>
        <w:rPr>
          <w:rFonts w:ascii="Arial" w:hAnsi="Arial" w:cs="Arial"/>
          <w:b/>
          <w:bCs/>
          <w:sz w:val="22"/>
          <w:szCs w:val="22"/>
        </w:rPr>
      </w:pPr>
      <w:r w:rsidRPr="0083001F">
        <w:rPr>
          <w:rFonts w:ascii="Arial" w:hAnsi="Arial" w:cs="Arial"/>
          <w:b/>
          <w:bCs/>
          <w:sz w:val="22"/>
          <w:szCs w:val="22"/>
        </w:rPr>
        <w:t>2.1. Yam bean powder production</w:t>
      </w:r>
    </w:p>
    <w:p w14:paraId="4C8E0D2D" w14:textId="77777777" w:rsidR="005F09B5" w:rsidRPr="0083001F" w:rsidRDefault="005F09B5" w:rsidP="005F09B5">
      <w:pPr>
        <w:ind w:firstLine="720"/>
        <w:jc w:val="both"/>
        <w:rPr>
          <w:rFonts w:ascii="Arial" w:hAnsi="Arial" w:cs="Arial"/>
        </w:rPr>
      </w:pPr>
      <w:r w:rsidRPr="0083001F">
        <w:rPr>
          <w:rFonts w:ascii="Arial" w:hAnsi="Arial" w:cs="Arial"/>
        </w:rPr>
        <w:t>The quantity of yam beans required is 1000 grams. The skin should be left intact, and the beans should be washed, sliced into a fine gauge, and dried in an incubator at a temperature of 50-60°C for a period of 3-4 days. Following this, the beans should be ground using a blender, and then a 60-mesh sieve should be used to separate the fragments.</w:t>
      </w:r>
    </w:p>
    <w:p w14:paraId="009C4341" w14:textId="77777777" w:rsidR="005F09B5" w:rsidRDefault="005F09B5" w:rsidP="005F0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lang w:val="en" w:eastAsia="en-ID"/>
        </w:rPr>
      </w:pPr>
    </w:p>
    <w:p w14:paraId="05CCC82B" w14:textId="77777777" w:rsidR="005F09B5" w:rsidRPr="0083001F" w:rsidRDefault="005F09B5" w:rsidP="005F0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sz w:val="22"/>
          <w:szCs w:val="22"/>
          <w:lang w:val="en" w:eastAsia="en-ID"/>
        </w:rPr>
      </w:pPr>
      <w:r w:rsidRPr="0083001F">
        <w:rPr>
          <w:rFonts w:ascii="Arial" w:hAnsi="Arial" w:cs="Arial"/>
          <w:b/>
          <w:bCs/>
          <w:sz w:val="22"/>
          <w:szCs w:val="22"/>
          <w:lang w:val="en" w:eastAsia="en-ID"/>
        </w:rPr>
        <w:t>2.2. Yam bean extract preparation</w:t>
      </w:r>
    </w:p>
    <w:p w14:paraId="1C27CBE7" w14:textId="77777777" w:rsidR="005F09B5" w:rsidRDefault="005F09B5" w:rsidP="005F09B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Arial" w:hAnsi="Arial" w:cs="Arial"/>
          <w:lang w:eastAsia="en-ID"/>
        </w:rPr>
      </w:pPr>
      <w:r w:rsidRPr="0083001F">
        <w:rPr>
          <w:rFonts w:ascii="Arial" w:hAnsi="Arial" w:cs="Arial"/>
          <w:lang w:eastAsia="en-ID"/>
        </w:rPr>
        <w:lastRenderedPageBreak/>
        <w:t xml:space="preserve">A quantity of 1000 grams of yam bean powder was dissolved in 96% ethanol. The solution was then </w:t>
      </w:r>
      <w:proofErr w:type="spellStart"/>
      <w:r w:rsidRPr="0083001F">
        <w:rPr>
          <w:rFonts w:ascii="Arial" w:hAnsi="Arial" w:cs="Arial"/>
          <w:lang w:eastAsia="en-ID"/>
        </w:rPr>
        <w:t>homogenised</w:t>
      </w:r>
      <w:proofErr w:type="spellEnd"/>
      <w:r w:rsidRPr="0083001F">
        <w:rPr>
          <w:rFonts w:ascii="Arial" w:hAnsi="Arial" w:cs="Arial"/>
          <w:lang w:eastAsia="en-ID"/>
        </w:rPr>
        <w:t xml:space="preserve"> using a vortex for a period of 10-15 minutes. Following this, the solution was left in a container for 30 minutes. Thereafter, the solution was filtered using filter paper, and the filtrate was collected. This process was repeated on three occasions. The filtrate is then concentrated using a rotary vacuum evaporator at a temperature of 50°C at a speed of 60 rpm. Subsequently, the extract should be subjected to a heating process in an oven at a temperature of 50°C for a period of 10 days with a view to achieving a thickening of the extract. The yield of this extract can be continued for Gas Chromatography Mass Spectrometry (GCMS) testing.</w:t>
      </w:r>
    </w:p>
    <w:p w14:paraId="3DC61752" w14:textId="77777777" w:rsidR="005F09B5" w:rsidRPr="0083001F" w:rsidRDefault="005F09B5" w:rsidP="005F09B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Arial" w:hAnsi="Arial" w:cs="Arial"/>
          <w:sz w:val="22"/>
          <w:szCs w:val="22"/>
          <w:lang w:eastAsia="en-ID"/>
        </w:rPr>
      </w:pPr>
    </w:p>
    <w:p w14:paraId="73797A64" w14:textId="77777777" w:rsidR="005F09B5" w:rsidRPr="0083001F" w:rsidRDefault="005F09B5" w:rsidP="005F09B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2"/>
          <w:szCs w:val="22"/>
          <w:lang w:eastAsia="en-ID"/>
        </w:rPr>
      </w:pPr>
      <w:r w:rsidRPr="0083001F">
        <w:rPr>
          <w:rFonts w:ascii="Arial" w:hAnsi="Arial" w:cs="Arial"/>
          <w:b/>
          <w:bCs/>
          <w:sz w:val="22"/>
          <w:szCs w:val="22"/>
          <w:lang w:eastAsia="en-ID"/>
        </w:rPr>
        <w:t>2.3. GCMS analysis of yam bean</w:t>
      </w:r>
    </w:p>
    <w:p w14:paraId="16594F82" w14:textId="77777777" w:rsidR="005F09B5" w:rsidRPr="0083001F" w:rsidRDefault="005F09B5" w:rsidP="005F09B5">
      <w:p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ID"/>
        </w:rPr>
      </w:pPr>
      <w:r w:rsidRPr="0083001F">
        <w:rPr>
          <w:rFonts w:ascii="Arial" w:hAnsi="Arial" w:cs="Arial"/>
          <w:lang w:eastAsia="en-ID"/>
        </w:rPr>
        <w:tab/>
        <w:t xml:space="preserve">Conditions for GCMS testing of yam bean extract with stages: The procedure is initiated with the preparation of the sample, followed by </w:t>
      </w:r>
      <w:proofErr w:type="spellStart"/>
      <w:r w:rsidRPr="0083001F">
        <w:rPr>
          <w:rFonts w:ascii="Arial" w:hAnsi="Arial" w:cs="Arial"/>
          <w:lang w:eastAsia="en-ID"/>
        </w:rPr>
        <w:t>derivatisation</w:t>
      </w:r>
      <w:proofErr w:type="spellEnd"/>
      <w:r w:rsidRPr="0083001F">
        <w:rPr>
          <w:rFonts w:ascii="Arial" w:hAnsi="Arial" w:cs="Arial"/>
          <w:lang w:eastAsia="en-ID"/>
        </w:rPr>
        <w:t xml:space="preserve">. The next step involves the injection of the sample into the system, which is then separated using gas chromatography (GC). The mass spectrometer (MS) detector is then </w:t>
      </w:r>
      <w:proofErr w:type="spellStart"/>
      <w:r w:rsidRPr="0083001F">
        <w:rPr>
          <w:rFonts w:ascii="Arial" w:hAnsi="Arial" w:cs="Arial"/>
          <w:lang w:eastAsia="en-ID"/>
        </w:rPr>
        <w:t>utilised</w:t>
      </w:r>
      <w:proofErr w:type="spellEnd"/>
      <w:r w:rsidRPr="0083001F">
        <w:rPr>
          <w:rFonts w:ascii="Arial" w:hAnsi="Arial" w:cs="Arial"/>
          <w:lang w:eastAsia="en-ID"/>
        </w:rPr>
        <w:t xml:space="preserve"> for detection. The column oven temperature is set at 70.0°C, the injection mode is set to split, the flow control mode is pressure-based, and the total flow rate is determined. 80.5 </w:t>
      </w:r>
      <w:proofErr w:type="spellStart"/>
      <w:r w:rsidRPr="0083001F">
        <w:rPr>
          <w:rFonts w:ascii="Arial" w:hAnsi="Arial" w:cs="Arial"/>
          <w:lang w:eastAsia="en-ID"/>
        </w:rPr>
        <w:t>millilitres</w:t>
      </w:r>
      <w:proofErr w:type="spellEnd"/>
      <w:r w:rsidRPr="0083001F">
        <w:rPr>
          <w:rFonts w:ascii="Arial" w:hAnsi="Arial" w:cs="Arial"/>
          <w:lang w:eastAsia="en-ID"/>
        </w:rPr>
        <w:t xml:space="preserve"> per minute; column flow: The flow rate was 0.6 mL/min, the split ratio was 127.5, the ion source temperature was 2500°C, the interface temperature was 3000°C, the solvent cut time was 2 min, the detector gain mode was relative, the detector gain was 0.00 kW, the SCO mode was scan, the start m/z was 40.00, the end m/z was 600, and the sample unit was GC.</w:t>
      </w:r>
    </w:p>
    <w:p w14:paraId="7B4BE765" w14:textId="77777777" w:rsidR="005F09B5" w:rsidRDefault="005F09B5" w:rsidP="005F09B5">
      <w:p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lang w:eastAsia="en-ID"/>
        </w:rPr>
      </w:pPr>
    </w:p>
    <w:p w14:paraId="29F8FE3C" w14:textId="77777777" w:rsidR="005F09B5" w:rsidRPr="0083001F" w:rsidRDefault="005F09B5" w:rsidP="005F09B5">
      <w:p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2"/>
          <w:szCs w:val="22"/>
          <w:lang w:eastAsia="en-ID"/>
        </w:rPr>
      </w:pPr>
      <w:r w:rsidRPr="0083001F">
        <w:rPr>
          <w:rFonts w:ascii="Arial" w:hAnsi="Arial" w:cs="Arial"/>
          <w:b/>
          <w:bCs/>
          <w:sz w:val="22"/>
          <w:szCs w:val="22"/>
          <w:lang w:eastAsia="en-ID"/>
        </w:rPr>
        <w:t>2.4. Grouping of experimental animals</w:t>
      </w:r>
    </w:p>
    <w:p w14:paraId="503E170B" w14:textId="77777777" w:rsidR="005F09B5" w:rsidRPr="0083001F" w:rsidRDefault="005F09B5" w:rsidP="005F09B5">
      <w:p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ID"/>
        </w:rPr>
      </w:pPr>
      <w:r w:rsidRPr="0083001F">
        <w:rPr>
          <w:rFonts w:ascii="Arial" w:hAnsi="Arial" w:cs="Arial"/>
          <w:lang w:eastAsia="en-ID"/>
        </w:rPr>
        <w:tab/>
        <w:t>Female rats were divided into three distinct treatment groups. The first group was designated as the control (P</w:t>
      </w:r>
      <w:r w:rsidRPr="0083001F">
        <w:rPr>
          <w:rFonts w:ascii="Arial" w:hAnsi="Arial" w:cs="Arial"/>
          <w:vertAlign w:val="subscript"/>
          <w:lang w:eastAsia="en-ID"/>
        </w:rPr>
        <w:t>0</w:t>
      </w:r>
      <w:r w:rsidRPr="0083001F">
        <w:rPr>
          <w:rFonts w:ascii="Arial" w:hAnsi="Arial" w:cs="Arial"/>
          <w:lang w:eastAsia="en-ID"/>
        </w:rPr>
        <w:t>), the second group (P</w:t>
      </w:r>
      <w:r w:rsidRPr="0083001F">
        <w:rPr>
          <w:rFonts w:ascii="Arial" w:hAnsi="Arial" w:cs="Arial"/>
          <w:vertAlign w:val="subscript"/>
          <w:lang w:eastAsia="en-ID"/>
        </w:rPr>
        <w:t>1</w:t>
      </w:r>
      <w:r w:rsidRPr="0083001F">
        <w:rPr>
          <w:rFonts w:ascii="Arial" w:hAnsi="Arial" w:cs="Arial"/>
          <w:lang w:eastAsia="en-ID"/>
        </w:rPr>
        <w:t>) was treated with 2 g/kg yam bean powder, and the third group (P</w:t>
      </w:r>
      <w:r w:rsidRPr="0083001F">
        <w:rPr>
          <w:rFonts w:ascii="Arial" w:hAnsi="Arial" w:cs="Arial"/>
          <w:vertAlign w:val="subscript"/>
          <w:lang w:eastAsia="en-ID"/>
        </w:rPr>
        <w:t>2</w:t>
      </w:r>
      <w:r w:rsidRPr="0083001F">
        <w:rPr>
          <w:rFonts w:ascii="Arial" w:hAnsi="Arial" w:cs="Arial"/>
          <w:lang w:eastAsia="en-ID"/>
        </w:rPr>
        <w:t>) was treated with 2.8 g/kg yam bean powder.</w:t>
      </w:r>
    </w:p>
    <w:p w14:paraId="7906D344" w14:textId="77777777" w:rsidR="005F09B5" w:rsidRDefault="005F09B5" w:rsidP="005F09B5">
      <w:p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lang w:eastAsia="en-ID"/>
        </w:rPr>
      </w:pPr>
    </w:p>
    <w:p w14:paraId="15E3C27B" w14:textId="77777777" w:rsidR="005F09B5" w:rsidRPr="0083001F" w:rsidRDefault="005F09B5" w:rsidP="005F09B5">
      <w:p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2"/>
          <w:szCs w:val="22"/>
          <w:lang w:eastAsia="en-ID"/>
        </w:rPr>
      </w:pPr>
      <w:r w:rsidRPr="0083001F">
        <w:rPr>
          <w:rFonts w:ascii="Arial" w:hAnsi="Arial" w:cs="Arial"/>
          <w:b/>
          <w:bCs/>
          <w:sz w:val="22"/>
          <w:szCs w:val="22"/>
          <w:lang w:eastAsia="en-ID"/>
        </w:rPr>
        <w:t>2.5. Experimental animal treatment</w:t>
      </w:r>
    </w:p>
    <w:p w14:paraId="5DA89604" w14:textId="77777777" w:rsidR="005F09B5" w:rsidRPr="0083001F" w:rsidRDefault="005F09B5" w:rsidP="005F09B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Arial" w:hAnsi="Arial" w:cs="Arial"/>
          <w:lang w:eastAsia="en-ID"/>
        </w:rPr>
      </w:pPr>
      <w:r w:rsidRPr="0083001F">
        <w:rPr>
          <w:rFonts w:ascii="Arial" w:hAnsi="Arial" w:cs="Arial"/>
          <w:lang w:eastAsia="en-ID"/>
        </w:rPr>
        <w:t xml:space="preserve">Female white Sprague-Dawley rats, aged between 12 and 13 months and thus premenopausal, were obtained from the Animal Breeding Unit in </w:t>
      </w:r>
      <w:proofErr w:type="spellStart"/>
      <w:r w:rsidRPr="0083001F">
        <w:rPr>
          <w:rFonts w:ascii="Arial" w:hAnsi="Arial" w:cs="Arial"/>
          <w:lang w:eastAsia="en-ID"/>
        </w:rPr>
        <w:t>Blitar</w:t>
      </w:r>
      <w:proofErr w:type="spellEnd"/>
      <w:r w:rsidRPr="0083001F">
        <w:rPr>
          <w:rFonts w:ascii="Arial" w:hAnsi="Arial" w:cs="Arial"/>
          <w:lang w:eastAsia="en-ID"/>
        </w:rPr>
        <w:t xml:space="preserve">, East Java. The rats were initially weighed and found to range from 170 to 200 grams. The animals were then housed in group cages in the Animal Physiology Laboratory at </w:t>
      </w:r>
      <w:proofErr w:type="spellStart"/>
      <w:r w:rsidRPr="0083001F">
        <w:rPr>
          <w:rFonts w:ascii="Arial" w:hAnsi="Arial" w:cs="Arial"/>
          <w:lang w:eastAsia="en-ID"/>
        </w:rPr>
        <w:t>Universitas</w:t>
      </w:r>
      <w:proofErr w:type="spellEnd"/>
      <w:r w:rsidRPr="0083001F">
        <w:rPr>
          <w:rFonts w:ascii="Arial" w:hAnsi="Arial" w:cs="Arial"/>
          <w:lang w:eastAsia="en-ID"/>
        </w:rPr>
        <w:t xml:space="preserve"> PGRI </w:t>
      </w:r>
      <w:proofErr w:type="spellStart"/>
      <w:r w:rsidRPr="0083001F">
        <w:rPr>
          <w:rFonts w:ascii="Arial" w:hAnsi="Arial" w:cs="Arial"/>
          <w:lang w:eastAsia="en-ID"/>
        </w:rPr>
        <w:t>Madiun</w:t>
      </w:r>
      <w:proofErr w:type="spellEnd"/>
      <w:r w:rsidRPr="0083001F">
        <w:rPr>
          <w:rFonts w:ascii="Arial" w:hAnsi="Arial" w:cs="Arial"/>
          <w:lang w:eastAsia="en-ID"/>
        </w:rPr>
        <w:t xml:space="preserve">. The rat cage is placed in a room with a temperature of approximately 27-29°C, a humidity level of 55-60%, 12 hours of manual lighting, and standard feed given every morning at 07:00 and afternoon at 16:00. Water for drinking is given ad </w:t>
      </w:r>
      <w:proofErr w:type="spellStart"/>
      <w:proofErr w:type="gramStart"/>
      <w:r w:rsidRPr="0083001F">
        <w:rPr>
          <w:rFonts w:ascii="Arial" w:hAnsi="Arial" w:cs="Arial"/>
          <w:lang w:eastAsia="en-ID"/>
        </w:rPr>
        <w:t>libitum.The</w:t>
      </w:r>
      <w:proofErr w:type="spellEnd"/>
      <w:proofErr w:type="gramEnd"/>
      <w:r w:rsidRPr="0083001F">
        <w:rPr>
          <w:rFonts w:ascii="Arial" w:hAnsi="Arial" w:cs="Arial"/>
          <w:lang w:eastAsia="en-ID"/>
        </w:rPr>
        <w:t xml:space="preserve"> cage was cleaned and the husks replaced on a daily basis. The induction of the Yam bean powder was achieved through the </w:t>
      </w:r>
      <w:proofErr w:type="spellStart"/>
      <w:r w:rsidRPr="0083001F">
        <w:rPr>
          <w:rFonts w:ascii="Arial" w:hAnsi="Arial" w:cs="Arial"/>
          <w:lang w:eastAsia="en-ID"/>
        </w:rPr>
        <w:t>utilisation</w:t>
      </w:r>
      <w:proofErr w:type="spellEnd"/>
      <w:r w:rsidRPr="0083001F">
        <w:rPr>
          <w:rFonts w:ascii="Arial" w:hAnsi="Arial" w:cs="Arial"/>
          <w:lang w:eastAsia="en-ID"/>
        </w:rPr>
        <w:t xml:space="preserve"> of a </w:t>
      </w:r>
      <w:proofErr w:type="spellStart"/>
      <w:r w:rsidRPr="0083001F">
        <w:rPr>
          <w:rFonts w:ascii="Arial" w:hAnsi="Arial" w:cs="Arial"/>
          <w:lang w:eastAsia="en-ID"/>
        </w:rPr>
        <w:t>sonde</w:t>
      </w:r>
      <w:proofErr w:type="spellEnd"/>
      <w:r w:rsidRPr="0083001F">
        <w:rPr>
          <w:rFonts w:ascii="Arial" w:hAnsi="Arial" w:cs="Arial"/>
          <w:lang w:eastAsia="en-ID"/>
        </w:rPr>
        <w:t xml:space="preserve"> (gavage tube) in a morning feeding routine, administered over a period of 36 days. On the 37th day of the experiment, the surgical procedure and removal of the ovary were conducted.</w:t>
      </w:r>
    </w:p>
    <w:p w14:paraId="278FED2C" w14:textId="77777777" w:rsidR="005F09B5" w:rsidRDefault="005F09B5" w:rsidP="005F09B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lang w:eastAsia="en-ID"/>
        </w:rPr>
      </w:pPr>
    </w:p>
    <w:p w14:paraId="578A8308" w14:textId="77777777" w:rsidR="005F09B5" w:rsidRPr="0083001F" w:rsidRDefault="005F09B5" w:rsidP="005F09B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2"/>
          <w:szCs w:val="22"/>
          <w:lang w:eastAsia="en-ID"/>
        </w:rPr>
      </w:pPr>
      <w:r w:rsidRPr="0083001F">
        <w:rPr>
          <w:rFonts w:ascii="Arial" w:hAnsi="Arial" w:cs="Arial"/>
          <w:b/>
          <w:bCs/>
          <w:sz w:val="22"/>
          <w:szCs w:val="22"/>
          <w:lang w:eastAsia="en-ID"/>
        </w:rPr>
        <w:t>2.6. Preparation of histological preparations for HE staining</w:t>
      </w:r>
    </w:p>
    <w:p w14:paraId="77D19FC5" w14:textId="58E598C7" w:rsidR="005F09B5" w:rsidRPr="0083001F" w:rsidRDefault="005F09B5" w:rsidP="005F09B5">
      <w:pPr>
        <w:ind w:left="284" w:firstLine="720"/>
        <w:jc w:val="both"/>
        <w:rPr>
          <w:rFonts w:ascii="Arial" w:hAnsi="Arial" w:cs="Arial"/>
          <w:b/>
          <w:bCs/>
        </w:rPr>
      </w:pPr>
      <w:r w:rsidRPr="0083001F">
        <w:rPr>
          <w:rFonts w:ascii="Arial" w:hAnsi="Arial" w:cs="Arial"/>
        </w:rPr>
        <w:t>The stages of preparation and HE staining are conducted in accordance with standard procedures</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{"citationItems":[{"id":"ITEM-1","itemData":{"DOI":"10.1007/978-1-4939-1050-2","ISBN":"9781493910502","author":[{"dropping-particle":"","family":"Feldman","given":"Ada T","non-dropping-particle":"","parse-names":false,"suffix":""},{"dropping-particle":"","family":"Wolfe","given":"Delia","non-dropping-particle":"","parse-names":false,"suffix":""}],"container-title":"Methods in Molecular Biology","id":"ITEM-1","issued":{"date-parts":[["2014"]]},"page":"31-43","title":"Chapter 3. Tissue Processing and Hematoxylin and Eosin Staining","type":"chapter","volume":"1180"},"uris":["http://www.mendeley.com/documents/?uuid=13aeca82-e570-411e-962a-4f7c0e46a3c8"]},{"id":"ITEM-2","itemData":{"author":[{"dropping-particle":"","family":"Sampedro-Carrillo","given":"E. A","non-dropping-particle":"","parse-names":false,"suffix":""}],"container-title":"Immunohistochemistry and Immunocytochemistry: Methods and Protocols","id":"ITEM-2","issued":{"date-parts":[["2022"]]},"page":"33-45","title":"Sample preparation and fixation for histology and pathology","type":"article-journal"},"uris":["http://www.mendeley.com/documents/?uuid=287e81b5-7698-48a2-ae52-b91c161bce9f"]}],"mendeley":{"formattedCitation":"(Feldman &amp; Wolfe, 2014; Sampedro-Carrillo, 2022)","plainTextFormattedCitation":"(Feldman &amp; Wolfe, 2014; Sampedro-Carrillo, 2022)","previouslyFormattedCitation":"(Feldman and Wolfe, 2014; Sampedro-Carrillo, 2022)"},"properties":{"noteIndex":0},"schema":"https://github.com/citation-style-language/schema/raw/master/csl-citation.json"}</w:instrText>
      </w:r>
      <w:r>
        <w:rPr>
          <w:rFonts w:ascii="Arial" w:hAnsi="Arial" w:cs="Arial"/>
        </w:rPr>
        <w:fldChar w:fldCharType="separate"/>
      </w:r>
      <w:r w:rsidRPr="005F09B5">
        <w:rPr>
          <w:rFonts w:ascii="Arial" w:hAnsi="Arial" w:cs="Arial"/>
          <w:noProof/>
        </w:rPr>
        <w:t>(Feldman &amp; Wolfe, 2014; Sampedro-Carrillo, 2022)</w:t>
      </w:r>
      <w:r>
        <w:rPr>
          <w:rFonts w:ascii="Arial" w:hAnsi="Arial" w:cs="Arial"/>
        </w:rPr>
        <w:fldChar w:fldCharType="end"/>
      </w:r>
      <w:r>
        <w:rPr>
          <w:rFonts w:ascii="Arial" w:hAnsi="Arial" w:cs="Arial"/>
        </w:rPr>
        <w:t>.</w:t>
      </w:r>
    </w:p>
    <w:p w14:paraId="3FEB4EEA" w14:textId="77777777" w:rsidR="005F09B5" w:rsidRDefault="005F09B5" w:rsidP="005F09B5">
      <w:pPr>
        <w:jc w:val="both"/>
        <w:rPr>
          <w:rFonts w:ascii="Arial" w:hAnsi="Arial" w:cs="Arial"/>
          <w:b/>
          <w:bCs/>
        </w:rPr>
      </w:pPr>
    </w:p>
    <w:p w14:paraId="413F34B5" w14:textId="77777777" w:rsidR="005F09B5" w:rsidRPr="0083001F" w:rsidRDefault="005F09B5" w:rsidP="005F09B5">
      <w:pPr>
        <w:jc w:val="both"/>
        <w:rPr>
          <w:rFonts w:ascii="Arial" w:hAnsi="Arial" w:cs="Arial"/>
          <w:b/>
          <w:bCs/>
          <w:sz w:val="22"/>
          <w:szCs w:val="22"/>
        </w:rPr>
      </w:pPr>
      <w:r w:rsidRPr="0083001F">
        <w:rPr>
          <w:rFonts w:ascii="Arial" w:hAnsi="Arial" w:cs="Arial"/>
          <w:b/>
          <w:bCs/>
          <w:sz w:val="22"/>
          <w:szCs w:val="22"/>
        </w:rPr>
        <w:t>2.7. Data analysis</w:t>
      </w:r>
    </w:p>
    <w:p w14:paraId="30D5EB75" w14:textId="77777777" w:rsidR="005F09B5" w:rsidRPr="0083001F" w:rsidRDefault="005F09B5" w:rsidP="005F09B5">
      <w:pPr>
        <w:ind w:firstLine="720"/>
        <w:jc w:val="both"/>
        <w:rPr>
          <w:rFonts w:ascii="Arial" w:hAnsi="Arial" w:cs="Arial"/>
        </w:rPr>
      </w:pPr>
      <w:r w:rsidRPr="0083001F">
        <w:rPr>
          <w:rFonts w:ascii="Arial" w:hAnsi="Arial" w:cs="Arial"/>
        </w:rPr>
        <w:t xml:space="preserve">The data obtained were in the form of a mass spectrum of yam bean isoflavone phytochemistry from GC-MS tests and data on changes in ovarian tissue structure, including the development of primary follicles, secondary follicles, and Graff follicles. The subsequent histopathological data analysis was conducted on the basis of the observations made using the </w:t>
      </w:r>
      <w:proofErr w:type="spellStart"/>
      <w:r w:rsidRPr="0083001F">
        <w:rPr>
          <w:rFonts w:ascii="Arial" w:hAnsi="Arial" w:cs="Arial"/>
        </w:rPr>
        <w:t>optilab</w:t>
      </w:r>
      <w:proofErr w:type="spellEnd"/>
      <w:r w:rsidRPr="0083001F">
        <w:rPr>
          <w:rFonts w:ascii="Arial" w:hAnsi="Arial" w:cs="Arial"/>
        </w:rPr>
        <w:t xml:space="preserve"> microscope.</w:t>
      </w:r>
    </w:p>
    <w:p w14:paraId="19B6A9F8" w14:textId="77777777" w:rsidR="005F09B5" w:rsidRDefault="005F09B5" w:rsidP="005F09B5">
      <w:pPr>
        <w:pStyle w:val="Body"/>
        <w:spacing w:after="0"/>
        <w:rPr>
          <w:rFonts w:ascii="Arial" w:hAnsi="Arial" w:cs="Arial"/>
        </w:rPr>
      </w:pPr>
    </w:p>
    <w:p w14:paraId="71A6019C" w14:textId="77777777" w:rsidR="00657F24" w:rsidRDefault="00657F24" w:rsidP="005F09B5">
      <w:pPr>
        <w:pStyle w:val="Body"/>
        <w:spacing w:after="0"/>
        <w:rPr>
          <w:rFonts w:ascii="Arial" w:hAnsi="Arial" w:cs="Arial"/>
        </w:rPr>
      </w:pPr>
    </w:p>
    <w:p w14:paraId="261143F3" w14:textId="77777777" w:rsidR="00657F24" w:rsidRDefault="00657F24" w:rsidP="005F09B5">
      <w:pPr>
        <w:pStyle w:val="Body"/>
        <w:spacing w:after="0"/>
        <w:rPr>
          <w:rFonts w:ascii="Arial" w:hAnsi="Arial" w:cs="Arial"/>
        </w:rPr>
      </w:pPr>
    </w:p>
    <w:p w14:paraId="0A8A8FC8" w14:textId="77777777" w:rsidR="00657F24" w:rsidRDefault="00657F24" w:rsidP="005F09B5">
      <w:pPr>
        <w:pStyle w:val="Body"/>
        <w:spacing w:after="0"/>
        <w:rPr>
          <w:rFonts w:ascii="Arial" w:hAnsi="Arial" w:cs="Arial"/>
        </w:rPr>
      </w:pPr>
    </w:p>
    <w:p w14:paraId="2B64016D" w14:textId="77777777" w:rsidR="00657F24" w:rsidRPr="00FB3A86" w:rsidRDefault="00657F24" w:rsidP="005F09B5">
      <w:pPr>
        <w:pStyle w:val="Body"/>
        <w:spacing w:after="0"/>
        <w:rPr>
          <w:rFonts w:ascii="Arial" w:hAnsi="Arial" w:cs="Arial"/>
        </w:rPr>
      </w:pPr>
    </w:p>
    <w:p w14:paraId="0FA346FE" w14:textId="77777777" w:rsidR="005F09B5" w:rsidRDefault="005F09B5" w:rsidP="005F09B5">
      <w:pPr>
        <w:pStyle w:val="Head1"/>
        <w:spacing w:after="0"/>
        <w:jc w:val="both"/>
        <w:rPr>
          <w:rFonts w:ascii="Arial" w:hAnsi="Arial" w:cs="Arial"/>
        </w:rPr>
      </w:pPr>
      <w:r>
        <w:rPr>
          <w:rFonts w:ascii="Arial" w:hAnsi="Arial" w:cs="Arial"/>
        </w:rPr>
        <w:t>3. results and discussion</w:t>
      </w:r>
    </w:p>
    <w:p w14:paraId="05E74516" w14:textId="77777777" w:rsidR="005F09B5" w:rsidRPr="00FB3A86" w:rsidRDefault="005F09B5" w:rsidP="005F09B5">
      <w:pPr>
        <w:pStyle w:val="Head1"/>
        <w:spacing w:after="0"/>
        <w:jc w:val="both"/>
        <w:rPr>
          <w:rFonts w:ascii="Arial" w:hAnsi="Arial" w:cs="Arial"/>
        </w:rPr>
      </w:pPr>
    </w:p>
    <w:p w14:paraId="1452030F" w14:textId="77777777" w:rsidR="005F09B5" w:rsidRPr="0083001F" w:rsidRDefault="005F09B5" w:rsidP="005F09B5">
      <w:pPr>
        <w:ind w:firstLine="720"/>
        <w:jc w:val="both"/>
        <w:rPr>
          <w:rFonts w:ascii="Arial" w:hAnsi="Arial" w:cs="Arial"/>
        </w:rPr>
      </w:pPr>
      <w:r w:rsidRPr="0083001F">
        <w:rPr>
          <w:rFonts w:ascii="Arial" w:hAnsi="Arial" w:cs="Arial"/>
        </w:rPr>
        <w:t>The analysis of yam bean powder by gas chromatography-mass spectrometry (GC-MS) has revealed the presence of isoflavone compounds daidzein, genistein and quercetin (Table 1).</w:t>
      </w:r>
    </w:p>
    <w:p w14:paraId="294C146B" w14:textId="77777777" w:rsidR="005F09B5" w:rsidRPr="00563654" w:rsidRDefault="005F09B5" w:rsidP="005F09B5">
      <w:pPr>
        <w:jc w:val="center"/>
        <w:rPr>
          <w:rFonts w:ascii="Arial" w:hAnsi="Arial" w:cs="Arial"/>
          <w:b/>
          <w:bCs/>
        </w:rPr>
      </w:pPr>
      <w:r w:rsidRPr="00563654">
        <w:rPr>
          <w:rFonts w:ascii="Arial" w:hAnsi="Arial" w:cs="Arial"/>
          <w:b/>
          <w:bCs/>
        </w:rPr>
        <w:t>Table 1. Results of GCMS analysis of yam bean powder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417"/>
        <w:gridCol w:w="1134"/>
        <w:gridCol w:w="1560"/>
        <w:gridCol w:w="3492"/>
      </w:tblGrid>
      <w:tr w:rsidR="005F09B5" w:rsidRPr="0083001F" w14:paraId="4FCAA62A" w14:textId="77777777" w:rsidTr="006F3F9B">
        <w:tc>
          <w:tcPr>
            <w:tcW w:w="1413" w:type="dxa"/>
            <w:tcBorders>
              <w:top w:val="single" w:sz="4" w:space="0" w:color="auto"/>
              <w:bottom w:val="single" w:sz="4" w:space="0" w:color="auto"/>
            </w:tcBorders>
          </w:tcPr>
          <w:p w14:paraId="66B808A9" w14:textId="77777777" w:rsidR="005F09B5" w:rsidRPr="0083001F" w:rsidRDefault="005F09B5" w:rsidP="006F3F9B">
            <w:pPr>
              <w:jc w:val="center"/>
              <w:rPr>
                <w:rFonts w:ascii="Arial" w:hAnsi="Arial" w:cs="Arial"/>
                <w:lang w:eastAsia="en-ID"/>
              </w:rPr>
            </w:pPr>
            <w:r w:rsidRPr="0083001F">
              <w:rPr>
                <w:rFonts w:ascii="Arial" w:hAnsi="Arial" w:cs="Arial"/>
                <w:lang w:eastAsia="en-ID"/>
              </w:rPr>
              <w:t>Name</w:t>
            </w:r>
          </w:p>
        </w:tc>
        <w:tc>
          <w:tcPr>
            <w:tcW w:w="1417" w:type="dxa"/>
            <w:tcBorders>
              <w:top w:val="single" w:sz="4" w:space="0" w:color="auto"/>
              <w:bottom w:val="single" w:sz="4" w:space="0" w:color="auto"/>
            </w:tcBorders>
          </w:tcPr>
          <w:p w14:paraId="3D3139A6" w14:textId="77777777" w:rsidR="005F09B5" w:rsidRPr="0083001F" w:rsidRDefault="005F09B5" w:rsidP="006F3F9B">
            <w:pPr>
              <w:jc w:val="center"/>
              <w:rPr>
                <w:rFonts w:ascii="Arial" w:hAnsi="Arial" w:cs="Arial"/>
                <w:lang w:eastAsia="en-ID"/>
              </w:rPr>
            </w:pPr>
            <w:r w:rsidRPr="0083001F">
              <w:rPr>
                <w:rFonts w:ascii="Arial" w:hAnsi="Arial" w:cs="Arial"/>
                <w:lang w:eastAsia="en-ID"/>
              </w:rPr>
              <w:t>Formula</w:t>
            </w:r>
          </w:p>
        </w:tc>
        <w:tc>
          <w:tcPr>
            <w:tcW w:w="1134" w:type="dxa"/>
            <w:tcBorders>
              <w:top w:val="single" w:sz="4" w:space="0" w:color="auto"/>
              <w:bottom w:val="single" w:sz="4" w:space="0" w:color="auto"/>
            </w:tcBorders>
          </w:tcPr>
          <w:p w14:paraId="247D719E" w14:textId="77777777" w:rsidR="005F09B5" w:rsidRPr="0083001F" w:rsidRDefault="005F09B5" w:rsidP="006F3F9B">
            <w:pPr>
              <w:jc w:val="center"/>
              <w:rPr>
                <w:rFonts w:ascii="Arial" w:hAnsi="Arial" w:cs="Arial"/>
                <w:lang w:eastAsia="en-ID"/>
              </w:rPr>
            </w:pPr>
            <w:r w:rsidRPr="0083001F">
              <w:rPr>
                <w:rFonts w:ascii="Arial" w:hAnsi="Arial" w:cs="Arial"/>
              </w:rPr>
              <w:t>RT (min)</w:t>
            </w:r>
          </w:p>
        </w:tc>
        <w:tc>
          <w:tcPr>
            <w:tcW w:w="1560" w:type="dxa"/>
            <w:tcBorders>
              <w:top w:val="single" w:sz="4" w:space="0" w:color="auto"/>
              <w:bottom w:val="single" w:sz="4" w:space="0" w:color="auto"/>
            </w:tcBorders>
          </w:tcPr>
          <w:p w14:paraId="7B7C8BD8" w14:textId="77777777" w:rsidR="005F09B5" w:rsidRPr="0083001F" w:rsidRDefault="005F09B5" w:rsidP="006F3F9B">
            <w:pPr>
              <w:jc w:val="center"/>
              <w:rPr>
                <w:rFonts w:ascii="Arial" w:hAnsi="Arial" w:cs="Arial"/>
                <w:lang w:eastAsia="en-ID"/>
              </w:rPr>
            </w:pPr>
            <w:r w:rsidRPr="0083001F">
              <w:rPr>
                <w:rFonts w:ascii="Arial" w:hAnsi="Arial" w:cs="Arial"/>
                <w:lang w:eastAsia="en-ID"/>
              </w:rPr>
              <w:t>MW (g/mol)</w:t>
            </w:r>
          </w:p>
        </w:tc>
        <w:tc>
          <w:tcPr>
            <w:tcW w:w="3492" w:type="dxa"/>
            <w:tcBorders>
              <w:top w:val="single" w:sz="4" w:space="0" w:color="auto"/>
              <w:bottom w:val="single" w:sz="4" w:space="0" w:color="auto"/>
            </w:tcBorders>
          </w:tcPr>
          <w:p w14:paraId="740DC850" w14:textId="77777777" w:rsidR="005F09B5" w:rsidRPr="0083001F" w:rsidRDefault="005F09B5" w:rsidP="006F3F9B">
            <w:pPr>
              <w:jc w:val="center"/>
              <w:rPr>
                <w:rFonts w:ascii="Arial" w:hAnsi="Arial" w:cs="Arial"/>
                <w:lang w:eastAsia="en-ID"/>
              </w:rPr>
            </w:pPr>
            <w:r w:rsidRPr="0083001F">
              <w:rPr>
                <w:rFonts w:ascii="Arial" w:hAnsi="Arial" w:cs="Arial"/>
                <w:lang w:eastAsia="en-ID"/>
              </w:rPr>
              <w:t>Molecule structure</w:t>
            </w:r>
          </w:p>
        </w:tc>
      </w:tr>
      <w:tr w:rsidR="005F09B5" w:rsidRPr="0083001F" w14:paraId="3697B0A6" w14:textId="77777777" w:rsidTr="006F3F9B">
        <w:tc>
          <w:tcPr>
            <w:tcW w:w="1413" w:type="dxa"/>
            <w:tcBorders>
              <w:top w:val="single" w:sz="4" w:space="0" w:color="auto"/>
              <w:bottom w:val="single" w:sz="4" w:space="0" w:color="auto"/>
            </w:tcBorders>
          </w:tcPr>
          <w:p w14:paraId="2C5571E6" w14:textId="77777777" w:rsidR="005F09B5" w:rsidRPr="0083001F" w:rsidRDefault="005F09B5" w:rsidP="006F3F9B">
            <w:pPr>
              <w:jc w:val="center"/>
              <w:rPr>
                <w:rFonts w:ascii="Arial" w:hAnsi="Arial" w:cs="Arial"/>
                <w:lang w:eastAsia="en-ID"/>
              </w:rPr>
            </w:pPr>
            <w:r w:rsidRPr="0083001F">
              <w:rPr>
                <w:rFonts w:ascii="Arial" w:hAnsi="Arial" w:cs="Arial"/>
                <w:lang w:eastAsia="en-ID"/>
              </w:rPr>
              <w:t>Daidzein</w:t>
            </w:r>
          </w:p>
        </w:tc>
        <w:tc>
          <w:tcPr>
            <w:tcW w:w="1417" w:type="dxa"/>
            <w:tcBorders>
              <w:top w:val="single" w:sz="4" w:space="0" w:color="auto"/>
              <w:bottom w:val="single" w:sz="4" w:space="0" w:color="auto"/>
            </w:tcBorders>
          </w:tcPr>
          <w:p w14:paraId="64FF59D2" w14:textId="77777777" w:rsidR="005F09B5" w:rsidRPr="0083001F" w:rsidRDefault="005F09B5" w:rsidP="006F3F9B">
            <w:pPr>
              <w:jc w:val="center"/>
              <w:rPr>
                <w:rFonts w:ascii="Arial" w:hAnsi="Arial" w:cs="Arial"/>
                <w:lang w:eastAsia="en-ID"/>
              </w:rPr>
            </w:pPr>
            <w:r w:rsidRPr="0083001F">
              <w:rPr>
                <w:rFonts w:ascii="Arial" w:hAnsi="Arial" w:cs="Arial"/>
                <w:lang w:eastAsia="en-ID"/>
              </w:rPr>
              <w:t>C</w:t>
            </w:r>
            <w:r w:rsidRPr="0083001F">
              <w:rPr>
                <w:rFonts w:ascii="Arial" w:hAnsi="Arial" w:cs="Arial"/>
                <w:vertAlign w:val="subscript"/>
                <w:lang w:eastAsia="en-ID"/>
              </w:rPr>
              <w:t>15</w:t>
            </w:r>
            <w:r w:rsidRPr="0083001F">
              <w:rPr>
                <w:rFonts w:ascii="Arial" w:hAnsi="Arial" w:cs="Arial"/>
                <w:lang w:eastAsia="en-ID"/>
              </w:rPr>
              <w:t>H</w:t>
            </w:r>
            <w:r w:rsidRPr="0083001F">
              <w:rPr>
                <w:rFonts w:ascii="Arial" w:hAnsi="Arial" w:cs="Arial"/>
                <w:vertAlign w:val="subscript"/>
                <w:lang w:eastAsia="en-ID"/>
              </w:rPr>
              <w:t>10</w:t>
            </w:r>
            <w:r w:rsidRPr="0083001F">
              <w:rPr>
                <w:rFonts w:ascii="Arial" w:hAnsi="Arial" w:cs="Arial"/>
                <w:lang w:eastAsia="en-ID"/>
              </w:rPr>
              <w:t>O</w:t>
            </w:r>
            <w:r w:rsidRPr="0083001F">
              <w:rPr>
                <w:rFonts w:ascii="Arial" w:hAnsi="Arial" w:cs="Arial"/>
                <w:vertAlign w:val="subscript"/>
                <w:lang w:eastAsia="en-ID"/>
              </w:rPr>
              <w:t>4</w:t>
            </w:r>
          </w:p>
        </w:tc>
        <w:tc>
          <w:tcPr>
            <w:tcW w:w="1134" w:type="dxa"/>
            <w:tcBorders>
              <w:top w:val="single" w:sz="4" w:space="0" w:color="auto"/>
              <w:bottom w:val="single" w:sz="4" w:space="0" w:color="auto"/>
            </w:tcBorders>
          </w:tcPr>
          <w:p w14:paraId="3325C241" w14:textId="77777777" w:rsidR="005F09B5" w:rsidRPr="0083001F" w:rsidRDefault="005F09B5" w:rsidP="006F3F9B">
            <w:pPr>
              <w:jc w:val="center"/>
              <w:rPr>
                <w:rFonts w:ascii="Arial" w:hAnsi="Arial" w:cs="Arial"/>
                <w:lang w:eastAsia="en-ID"/>
              </w:rPr>
            </w:pPr>
            <w:r w:rsidRPr="0083001F">
              <w:rPr>
                <w:rFonts w:ascii="Arial" w:hAnsi="Arial" w:cs="Arial"/>
                <w:lang w:eastAsia="en-ID"/>
              </w:rPr>
              <w:t>81,227</w:t>
            </w:r>
          </w:p>
        </w:tc>
        <w:tc>
          <w:tcPr>
            <w:tcW w:w="1560" w:type="dxa"/>
            <w:tcBorders>
              <w:top w:val="single" w:sz="4" w:space="0" w:color="auto"/>
              <w:bottom w:val="single" w:sz="4" w:space="0" w:color="auto"/>
            </w:tcBorders>
          </w:tcPr>
          <w:p w14:paraId="4A99FFD8" w14:textId="77777777" w:rsidR="005F09B5" w:rsidRPr="0083001F" w:rsidRDefault="005F09B5" w:rsidP="006F3F9B">
            <w:pPr>
              <w:jc w:val="center"/>
              <w:rPr>
                <w:rFonts w:ascii="Arial" w:hAnsi="Arial" w:cs="Arial"/>
                <w:lang w:eastAsia="en-ID"/>
              </w:rPr>
            </w:pPr>
            <w:r w:rsidRPr="0083001F">
              <w:rPr>
                <w:rFonts w:ascii="Arial" w:hAnsi="Arial" w:cs="Arial"/>
                <w:lang w:eastAsia="en-ID"/>
              </w:rPr>
              <w:t>254,23</w:t>
            </w:r>
          </w:p>
        </w:tc>
        <w:tc>
          <w:tcPr>
            <w:tcW w:w="3492" w:type="dxa"/>
            <w:tcBorders>
              <w:top w:val="single" w:sz="4" w:space="0" w:color="auto"/>
              <w:bottom w:val="single" w:sz="4" w:space="0" w:color="auto"/>
            </w:tcBorders>
          </w:tcPr>
          <w:p w14:paraId="10F8DF35" w14:textId="77777777" w:rsidR="005F09B5" w:rsidRPr="0083001F" w:rsidRDefault="005F09B5" w:rsidP="006F3F9B">
            <w:pPr>
              <w:jc w:val="center"/>
              <w:rPr>
                <w:rFonts w:ascii="Arial" w:hAnsi="Arial" w:cs="Arial"/>
                <w:lang w:eastAsia="en-ID"/>
              </w:rPr>
            </w:pPr>
            <w:r w:rsidRPr="0083001F">
              <w:rPr>
                <w:rFonts w:ascii="Arial" w:hAnsi="Arial" w:cs="Arial"/>
              </w:rPr>
              <w:object w:dxaOrig="5121" w:dyaOrig="2258" w14:anchorId="0D039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8.25pt" o:ole="">
                  <v:imagedata r:id="rId14" o:title=""/>
                </v:shape>
                <o:OLEObject Type="Embed" ProgID="ChemDraw.Document.6.0" ShapeID="_x0000_i1025" DrawAspect="Content" ObjectID="_1809855185" r:id="rId15"/>
              </w:object>
            </w:r>
          </w:p>
        </w:tc>
      </w:tr>
      <w:tr w:rsidR="005F09B5" w:rsidRPr="0083001F" w14:paraId="17BC6BA2" w14:textId="77777777" w:rsidTr="006F3F9B">
        <w:tc>
          <w:tcPr>
            <w:tcW w:w="1413" w:type="dxa"/>
            <w:tcBorders>
              <w:top w:val="single" w:sz="4" w:space="0" w:color="auto"/>
              <w:bottom w:val="single" w:sz="4" w:space="0" w:color="auto"/>
            </w:tcBorders>
          </w:tcPr>
          <w:p w14:paraId="74609336" w14:textId="77777777" w:rsidR="005F09B5" w:rsidRPr="0083001F" w:rsidRDefault="005F09B5" w:rsidP="006F3F9B">
            <w:pPr>
              <w:jc w:val="center"/>
              <w:rPr>
                <w:rFonts w:ascii="Arial" w:hAnsi="Arial" w:cs="Arial"/>
                <w:lang w:eastAsia="en-ID"/>
              </w:rPr>
            </w:pPr>
            <w:r w:rsidRPr="0083001F">
              <w:rPr>
                <w:rFonts w:ascii="Arial" w:hAnsi="Arial" w:cs="Arial"/>
                <w:lang w:eastAsia="en-ID"/>
              </w:rPr>
              <w:t>Genistein</w:t>
            </w:r>
          </w:p>
        </w:tc>
        <w:tc>
          <w:tcPr>
            <w:tcW w:w="1417" w:type="dxa"/>
            <w:tcBorders>
              <w:top w:val="single" w:sz="4" w:space="0" w:color="auto"/>
              <w:bottom w:val="single" w:sz="4" w:space="0" w:color="auto"/>
            </w:tcBorders>
          </w:tcPr>
          <w:p w14:paraId="37FC86B0" w14:textId="77777777" w:rsidR="005F09B5" w:rsidRPr="0083001F" w:rsidRDefault="005F09B5" w:rsidP="006F3F9B">
            <w:pPr>
              <w:jc w:val="center"/>
              <w:rPr>
                <w:rFonts w:ascii="Arial" w:hAnsi="Arial" w:cs="Arial"/>
                <w:lang w:eastAsia="en-ID"/>
              </w:rPr>
            </w:pPr>
            <w:r w:rsidRPr="0083001F">
              <w:rPr>
                <w:rFonts w:ascii="Arial" w:hAnsi="Arial" w:cs="Arial"/>
                <w:lang w:eastAsia="en-ID"/>
              </w:rPr>
              <w:t>C</w:t>
            </w:r>
            <w:r w:rsidRPr="0083001F">
              <w:rPr>
                <w:rFonts w:ascii="Arial" w:hAnsi="Arial" w:cs="Arial"/>
                <w:vertAlign w:val="subscript"/>
                <w:lang w:eastAsia="en-ID"/>
              </w:rPr>
              <w:t>15</w:t>
            </w:r>
            <w:r w:rsidRPr="0083001F">
              <w:rPr>
                <w:rFonts w:ascii="Arial" w:hAnsi="Arial" w:cs="Arial"/>
                <w:lang w:eastAsia="en-ID"/>
              </w:rPr>
              <w:t>H</w:t>
            </w:r>
            <w:r w:rsidRPr="0083001F">
              <w:rPr>
                <w:rFonts w:ascii="Arial" w:hAnsi="Arial" w:cs="Arial"/>
                <w:vertAlign w:val="subscript"/>
                <w:lang w:eastAsia="en-ID"/>
              </w:rPr>
              <w:t>10</w:t>
            </w:r>
            <w:r w:rsidRPr="0083001F">
              <w:rPr>
                <w:rFonts w:ascii="Arial" w:hAnsi="Arial" w:cs="Arial"/>
                <w:lang w:eastAsia="en-ID"/>
              </w:rPr>
              <w:t>O</w:t>
            </w:r>
            <w:r w:rsidRPr="0083001F">
              <w:rPr>
                <w:rFonts w:ascii="Arial" w:hAnsi="Arial" w:cs="Arial"/>
                <w:vertAlign w:val="subscript"/>
                <w:lang w:eastAsia="en-ID"/>
              </w:rPr>
              <w:t>5</w:t>
            </w:r>
          </w:p>
        </w:tc>
        <w:tc>
          <w:tcPr>
            <w:tcW w:w="1134" w:type="dxa"/>
            <w:tcBorders>
              <w:top w:val="single" w:sz="4" w:space="0" w:color="auto"/>
              <w:bottom w:val="single" w:sz="4" w:space="0" w:color="auto"/>
            </w:tcBorders>
          </w:tcPr>
          <w:p w14:paraId="6DC7E261" w14:textId="77777777" w:rsidR="005F09B5" w:rsidRPr="0083001F" w:rsidRDefault="005F09B5" w:rsidP="006F3F9B">
            <w:pPr>
              <w:jc w:val="center"/>
              <w:rPr>
                <w:rFonts w:ascii="Arial" w:hAnsi="Arial" w:cs="Arial"/>
                <w:lang w:eastAsia="en-ID"/>
              </w:rPr>
            </w:pPr>
            <w:r w:rsidRPr="0083001F">
              <w:rPr>
                <w:rFonts w:ascii="Arial" w:hAnsi="Arial" w:cs="Arial"/>
                <w:lang w:eastAsia="en-ID"/>
              </w:rPr>
              <w:t>85,289</w:t>
            </w:r>
          </w:p>
        </w:tc>
        <w:tc>
          <w:tcPr>
            <w:tcW w:w="1560" w:type="dxa"/>
            <w:tcBorders>
              <w:top w:val="single" w:sz="4" w:space="0" w:color="auto"/>
              <w:bottom w:val="single" w:sz="4" w:space="0" w:color="auto"/>
            </w:tcBorders>
          </w:tcPr>
          <w:p w14:paraId="28449847" w14:textId="77777777" w:rsidR="005F09B5" w:rsidRPr="0083001F" w:rsidRDefault="005F09B5" w:rsidP="006F3F9B">
            <w:pPr>
              <w:jc w:val="center"/>
              <w:rPr>
                <w:rFonts w:ascii="Arial" w:hAnsi="Arial" w:cs="Arial"/>
                <w:lang w:eastAsia="en-ID"/>
              </w:rPr>
            </w:pPr>
            <w:r w:rsidRPr="0083001F">
              <w:rPr>
                <w:rFonts w:ascii="Arial" w:hAnsi="Arial" w:cs="Arial"/>
                <w:lang w:eastAsia="en-ID"/>
              </w:rPr>
              <w:t>270,24</w:t>
            </w:r>
          </w:p>
        </w:tc>
        <w:tc>
          <w:tcPr>
            <w:tcW w:w="3492" w:type="dxa"/>
            <w:tcBorders>
              <w:top w:val="single" w:sz="4" w:space="0" w:color="auto"/>
              <w:bottom w:val="single" w:sz="4" w:space="0" w:color="auto"/>
            </w:tcBorders>
          </w:tcPr>
          <w:p w14:paraId="6A92AB24" w14:textId="77777777" w:rsidR="005F09B5" w:rsidRPr="0083001F" w:rsidRDefault="005F09B5" w:rsidP="006F3F9B">
            <w:pPr>
              <w:jc w:val="center"/>
              <w:rPr>
                <w:rFonts w:ascii="Arial" w:hAnsi="Arial" w:cs="Arial"/>
                <w:lang w:eastAsia="en-ID"/>
              </w:rPr>
            </w:pPr>
            <w:r w:rsidRPr="0083001F">
              <w:rPr>
                <w:rFonts w:ascii="Arial" w:hAnsi="Arial" w:cs="Arial"/>
              </w:rPr>
              <w:object w:dxaOrig="5121" w:dyaOrig="2258" w14:anchorId="5D192506">
                <v:shape id="_x0000_i1026" type="#_x0000_t75" style="width:82.5pt;height:36.75pt" o:ole="">
                  <v:imagedata r:id="rId16" o:title=""/>
                </v:shape>
                <o:OLEObject Type="Embed" ProgID="ChemDraw.Document.6.0" ShapeID="_x0000_i1026" DrawAspect="Content" ObjectID="_1809855186" r:id="rId17"/>
              </w:object>
            </w:r>
          </w:p>
        </w:tc>
      </w:tr>
      <w:tr w:rsidR="005F09B5" w:rsidRPr="0083001F" w14:paraId="14738077" w14:textId="77777777" w:rsidTr="006F3F9B">
        <w:tc>
          <w:tcPr>
            <w:tcW w:w="1413" w:type="dxa"/>
            <w:tcBorders>
              <w:top w:val="single" w:sz="4" w:space="0" w:color="auto"/>
              <w:bottom w:val="single" w:sz="4" w:space="0" w:color="auto"/>
            </w:tcBorders>
          </w:tcPr>
          <w:p w14:paraId="3279DA61" w14:textId="77777777" w:rsidR="005F09B5" w:rsidRPr="0083001F" w:rsidRDefault="005F09B5" w:rsidP="006F3F9B">
            <w:pPr>
              <w:jc w:val="center"/>
              <w:rPr>
                <w:rFonts w:ascii="Arial" w:hAnsi="Arial" w:cs="Arial"/>
                <w:lang w:eastAsia="en-ID"/>
              </w:rPr>
            </w:pPr>
            <w:r w:rsidRPr="0083001F">
              <w:rPr>
                <w:rFonts w:ascii="Arial" w:hAnsi="Arial" w:cs="Arial"/>
                <w:lang w:eastAsia="en-ID"/>
              </w:rPr>
              <w:lastRenderedPageBreak/>
              <w:t>Quercetin</w:t>
            </w:r>
          </w:p>
        </w:tc>
        <w:tc>
          <w:tcPr>
            <w:tcW w:w="1417" w:type="dxa"/>
            <w:tcBorders>
              <w:top w:val="single" w:sz="4" w:space="0" w:color="auto"/>
              <w:bottom w:val="single" w:sz="4" w:space="0" w:color="auto"/>
            </w:tcBorders>
          </w:tcPr>
          <w:p w14:paraId="07BB7B61" w14:textId="77777777" w:rsidR="005F09B5" w:rsidRPr="0083001F" w:rsidRDefault="005F09B5" w:rsidP="006F3F9B">
            <w:pPr>
              <w:jc w:val="center"/>
              <w:rPr>
                <w:rFonts w:ascii="Arial" w:hAnsi="Arial" w:cs="Arial"/>
                <w:lang w:eastAsia="en-ID"/>
              </w:rPr>
            </w:pPr>
            <w:r w:rsidRPr="0083001F">
              <w:rPr>
                <w:rFonts w:ascii="Arial" w:hAnsi="Arial" w:cs="Arial"/>
                <w:lang w:eastAsia="en-ID"/>
              </w:rPr>
              <w:t>C</w:t>
            </w:r>
            <w:r w:rsidRPr="0083001F">
              <w:rPr>
                <w:rFonts w:ascii="Arial" w:hAnsi="Arial" w:cs="Arial"/>
                <w:vertAlign w:val="subscript"/>
                <w:lang w:eastAsia="en-ID"/>
              </w:rPr>
              <w:t>15</w:t>
            </w:r>
            <w:r w:rsidRPr="0083001F">
              <w:rPr>
                <w:rFonts w:ascii="Arial" w:hAnsi="Arial" w:cs="Arial"/>
                <w:lang w:eastAsia="en-ID"/>
              </w:rPr>
              <w:t>H</w:t>
            </w:r>
            <w:r w:rsidRPr="0083001F">
              <w:rPr>
                <w:rFonts w:ascii="Arial" w:hAnsi="Arial" w:cs="Arial"/>
                <w:vertAlign w:val="subscript"/>
                <w:lang w:eastAsia="en-ID"/>
              </w:rPr>
              <w:t>10</w:t>
            </w:r>
            <w:r w:rsidRPr="0083001F">
              <w:rPr>
                <w:rFonts w:ascii="Arial" w:hAnsi="Arial" w:cs="Arial"/>
                <w:lang w:eastAsia="en-ID"/>
              </w:rPr>
              <w:t>O</w:t>
            </w:r>
            <w:r w:rsidRPr="0083001F">
              <w:rPr>
                <w:rFonts w:ascii="Arial" w:hAnsi="Arial" w:cs="Arial"/>
                <w:vertAlign w:val="subscript"/>
                <w:lang w:eastAsia="en-ID"/>
              </w:rPr>
              <w:t>7</w:t>
            </w:r>
          </w:p>
        </w:tc>
        <w:tc>
          <w:tcPr>
            <w:tcW w:w="1134" w:type="dxa"/>
            <w:tcBorders>
              <w:top w:val="single" w:sz="4" w:space="0" w:color="auto"/>
              <w:bottom w:val="single" w:sz="4" w:space="0" w:color="auto"/>
            </w:tcBorders>
          </w:tcPr>
          <w:p w14:paraId="3E78FE4C" w14:textId="77777777" w:rsidR="005F09B5" w:rsidRPr="0083001F" w:rsidRDefault="005F09B5" w:rsidP="006F3F9B">
            <w:pPr>
              <w:jc w:val="center"/>
              <w:rPr>
                <w:rFonts w:ascii="Arial" w:hAnsi="Arial" w:cs="Arial"/>
                <w:lang w:eastAsia="en-ID"/>
              </w:rPr>
            </w:pPr>
            <w:r w:rsidRPr="0083001F">
              <w:rPr>
                <w:rFonts w:ascii="Arial" w:hAnsi="Arial" w:cs="Arial"/>
                <w:lang w:eastAsia="en-ID"/>
              </w:rPr>
              <w:t>100,228</w:t>
            </w:r>
          </w:p>
        </w:tc>
        <w:tc>
          <w:tcPr>
            <w:tcW w:w="1560" w:type="dxa"/>
            <w:tcBorders>
              <w:top w:val="single" w:sz="4" w:space="0" w:color="auto"/>
              <w:bottom w:val="single" w:sz="4" w:space="0" w:color="auto"/>
            </w:tcBorders>
          </w:tcPr>
          <w:p w14:paraId="42C07D14" w14:textId="77777777" w:rsidR="005F09B5" w:rsidRPr="0083001F" w:rsidRDefault="005F09B5" w:rsidP="006F3F9B">
            <w:pPr>
              <w:jc w:val="center"/>
              <w:rPr>
                <w:rFonts w:ascii="Arial" w:hAnsi="Arial" w:cs="Arial"/>
                <w:lang w:eastAsia="en-ID"/>
              </w:rPr>
            </w:pPr>
            <w:r w:rsidRPr="0083001F">
              <w:rPr>
                <w:rFonts w:ascii="Arial" w:hAnsi="Arial" w:cs="Arial"/>
                <w:lang w:eastAsia="en-ID"/>
              </w:rPr>
              <w:t>302,24</w:t>
            </w:r>
          </w:p>
        </w:tc>
        <w:tc>
          <w:tcPr>
            <w:tcW w:w="3492" w:type="dxa"/>
            <w:tcBorders>
              <w:top w:val="single" w:sz="4" w:space="0" w:color="auto"/>
              <w:bottom w:val="single" w:sz="4" w:space="0" w:color="auto"/>
            </w:tcBorders>
          </w:tcPr>
          <w:p w14:paraId="6D8B4F70" w14:textId="77777777" w:rsidR="005F09B5" w:rsidRPr="0083001F" w:rsidRDefault="005F09B5" w:rsidP="006F3F9B">
            <w:pPr>
              <w:jc w:val="center"/>
              <w:rPr>
                <w:rFonts w:ascii="Arial" w:hAnsi="Arial" w:cs="Arial"/>
                <w:lang w:eastAsia="en-ID"/>
              </w:rPr>
            </w:pPr>
            <w:r w:rsidRPr="0083001F">
              <w:rPr>
                <w:rFonts w:ascii="Arial" w:hAnsi="Arial" w:cs="Arial"/>
              </w:rPr>
              <w:object w:dxaOrig="5120" w:dyaOrig="3458" w14:anchorId="28AE4B2C">
                <v:shape id="_x0000_i1027" type="#_x0000_t75" style="width:90pt;height:60pt" o:ole="">
                  <v:imagedata r:id="rId18" o:title=""/>
                </v:shape>
                <o:OLEObject Type="Embed" ProgID="ChemDraw.Document.6.0" ShapeID="_x0000_i1027" DrawAspect="Content" ObjectID="_1809855187" r:id="rId19"/>
              </w:object>
            </w:r>
          </w:p>
        </w:tc>
      </w:tr>
    </w:tbl>
    <w:p w14:paraId="2E14039D" w14:textId="77777777" w:rsidR="005F09B5" w:rsidRPr="0083001F" w:rsidRDefault="005F09B5" w:rsidP="005F09B5">
      <w:pPr>
        <w:jc w:val="both"/>
        <w:rPr>
          <w:rFonts w:ascii="Arial" w:hAnsi="Arial" w:cs="Arial"/>
        </w:rPr>
      </w:pPr>
    </w:p>
    <w:p w14:paraId="50DB6238" w14:textId="77777777" w:rsidR="005F09B5" w:rsidRPr="0083001F" w:rsidRDefault="005F09B5" w:rsidP="005F09B5">
      <w:pPr>
        <w:jc w:val="both"/>
        <w:rPr>
          <w:rFonts w:ascii="Arial" w:hAnsi="Arial" w:cs="Arial"/>
        </w:rPr>
      </w:pPr>
      <w:r w:rsidRPr="0083001F">
        <w:rPr>
          <w:rFonts w:ascii="Arial" w:hAnsi="Arial" w:cs="Arial"/>
        </w:rPr>
        <w:t>Visualization of mass spectrum of daidzein, genistein and quercetine in Figure 1</w:t>
      </w:r>
    </w:p>
    <w:p w14:paraId="0B53E36D" w14:textId="77777777" w:rsidR="005F09B5" w:rsidRPr="0083001F" w:rsidRDefault="005F09B5" w:rsidP="005F09B5">
      <w:pPr>
        <w:jc w:val="center"/>
        <w:rPr>
          <w:rFonts w:ascii="Arial" w:hAnsi="Arial" w:cs="Arial"/>
        </w:rPr>
      </w:pPr>
      <w:r w:rsidRPr="0083001F">
        <w:rPr>
          <w:rFonts w:ascii="Arial" w:hAnsi="Arial" w:cs="Arial"/>
          <w:noProof/>
        </w:rPr>
        <w:drawing>
          <wp:inline distT="0" distB="0" distL="0" distR="0" wp14:anchorId="76775675" wp14:editId="5B3CCF3F">
            <wp:extent cx="4111142" cy="172347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515" t="33613" r="15560" b="26180"/>
                    <a:stretch/>
                  </pic:blipFill>
                  <pic:spPr bwMode="auto">
                    <a:xfrm>
                      <a:off x="0" y="0"/>
                      <a:ext cx="4148957" cy="1739331"/>
                    </a:xfrm>
                    <a:prstGeom prst="rect">
                      <a:avLst/>
                    </a:prstGeom>
                    <a:ln>
                      <a:noFill/>
                    </a:ln>
                    <a:extLst>
                      <a:ext uri="{53640926-AAD7-44D8-BBD7-CCE9431645EC}">
                        <a14:shadowObscured xmlns:a14="http://schemas.microsoft.com/office/drawing/2010/main"/>
                      </a:ext>
                    </a:extLst>
                  </pic:spPr>
                </pic:pic>
              </a:graphicData>
            </a:graphic>
          </wp:inline>
        </w:drawing>
      </w:r>
    </w:p>
    <w:p w14:paraId="2C488159" w14:textId="77777777" w:rsidR="005F09B5" w:rsidRPr="0083001F" w:rsidRDefault="005F09B5" w:rsidP="005F09B5">
      <w:pPr>
        <w:jc w:val="center"/>
        <w:rPr>
          <w:rFonts w:ascii="Arial" w:hAnsi="Arial" w:cs="Arial"/>
        </w:rPr>
      </w:pPr>
      <w:r w:rsidRPr="0083001F">
        <w:rPr>
          <w:rFonts w:ascii="Arial" w:hAnsi="Arial" w:cs="Arial"/>
          <w:noProof/>
        </w:rPr>
        <w:drawing>
          <wp:inline distT="0" distB="0" distL="0" distR="0" wp14:anchorId="46E790C2" wp14:editId="3CA93965">
            <wp:extent cx="4044062" cy="163129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344" t="32253" r="16226" b="27982"/>
                    <a:stretch/>
                  </pic:blipFill>
                  <pic:spPr bwMode="auto">
                    <a:xfrm>
                      <a:off x="0" y="0"/>
                      <a:ext cx="4086894" cy="1648567"/>
                    </a:xfrm>
                    <a:prstGeom prst="rect">
                      <a:avLst/>
                    </a:prstGeom>
                    <a:ln>
                      <a:noFill/>
                    </a:ln>
                    <a:extLst>
                      <a:ext uri="{53640926-AAD7-44D8-BBD7-CCE9431645EC}">
                        <a14:shadowObscured xmlns:a14="http://schemas.microsoft.com/office/drawing/2010/main"/>
                      </a:ext>
                    </a:extLst>
                  </pic:spPr>
                </pic:pic>
              </a:graphicData>
            </a:graphic>
          </wp:inline>
        </w:drawing>
      </w:r>
    </w:p>
    <w:p w14:paraId="7497085F" w14:textId="77777777" w:rsidR="005F09B5" w:rsidRPr="0083001F" w:rsidRDefault="005F09B5" w:rsidP="005F09B5">
      <w:pPr>
        <w:jc w:val="center"/>
        <w:rPr>
          <w:rFonts w:ascii="Arial" w:hAnsi="Arial" w:cs="Arial"/>
        </w:rPr>
      </w:pPr>
      <w:r w:rsidRPr="0083001F">
        <w:rPr>
          <w:rFonts w:ascii="Arial" w:hAnsi="Arial" w:cs="Arial"/>
          <w:noProof/>
        </w:rPr>
        <w:drawing>
          <wp:inline distT="0" distB="0" distL="0" distR="0" wp14:anchorId="430BA624" wp14:editId="30F193BD">
            <wp:extent cx="4008120" cy="15506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125" t="32469" r="10786" b="26875"/>
                    <a:stretch/>
                  </pic:blipFill>
                  <pic:spPr bwMode="auto">
                    <a:xfrm>
                      <a:off x="0" y="0"/>
                      <a:ext cx="4071426" cy="1575098"/>
                    </a:xfrm>
                    <a:prstGeom prst="rect">
                      <a:avLst/>
                    </a:prstGeom>
                    <a:ln>
                      <a:noFill/>
                    </a:ln>
                    <a:extLst>
                      <a:ext uri="{53640926-AAD7-44D8-BBD7-CCE9431645EC}">
                        <a14:shadowObscured xmlns:a14="http://schemas.microsoft.com/office/drawing/2010/main"/>
                      </a:ext>
                    </a:extLst>
                  </pic:spPr>
                </pic:pic>
              </a:graphicData>
            </a:graphic>
          </wp:inline>
        </w:drawing>
      </w:r>
    </w:p>
    <w:p w14:paraId="61292AEE" w14:textId="77777777" w:rsidR="005F09B5" w:rsidRPr="00563654" w:rsidRDefault="005F09B5" w:rsidP="005F09B5">
      <w:pPr>
        <w:ind w:left="992" w:hanging="992"/>
        <w:jc w:val="center"/>
        <w:rPr>
          <w:rFonts w:ascii="Arial" w:hAnsi="Arial" w:cs="Arial"/>
          <w:b/>
          <w:bCs/>
        </w:rPr>
      </w:pPr>
      <w:r w:rsidRPr="00563654">
        <w:rPr>
          <w:rFonts w:ascii="Arial" w:hAnsi="Arial" w:cs="Arial"/>
          <w:b/>
          <w:bCs/>
        </w:rPr>
        <w:t>Figure 1. Mass spectrum and molecular structure of (A) daidzein, (B) genistein and (C</w:t>
      </w:r>
      <w:proofErr w:type="gramStart"/>
      <w:r w:rsidRPr="00563654">
        <w:rPr>
          <w:rFonts w:ascii="Arial" w:hAnsi="Arial" w:cs="Arial"/>
          <w:b/>
          <w:bCs/>
        </w:rPr>
        <w:t>)  quercetine</w:t>
      </w:r>
      <w:proofErr w:type="gramEnd"/>
    </w:p>
    <w:p w14:paraId="0360E792" w14:textId="77777777" w:rsidR="005F09B5" w:rsidRPr="0083001F" w:rsidRDefault="005F09B5" w:rsidP="005F09B5">
      <w:pPr>
        <w:pStyle w:val="NormalWeb"/>
        <w:jc w:val="center"/>
        <w:rPr>
          <w:rFonts w:ascii="Arial" w:hAnsi="Arial" w:cs="Arial"/>
          <w:sz w:val="20"/>
          <w:szCs w:val="20"/>
        </w:rPr>
      </w:pPr>
      <w:r w:rsidRPr="0083001F">
        <w:rPr>
          <w:rFonts w:ascii="Arial" w:hAnsi="Arial" w:cs="Arial"/>
          <w:noProof/>
          <w:sz w:val="20"/>
          <w:szCs w:val="20"/>
          <w:lang w:val="en-US" w:eastAsia="en-US"/>
        </w:rPr>
        <w:drawing>
          <wp:inline distT="0" distB="0" distL="0" distR="0" wp14:anchorId="3EBD7946" wp14:editId="05E25471">
            <wp:extent cx="1901952" cy="1369008"/>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031" t="32009" r="27861" b="23049"/>
                    <a:stretch/>
                  </pic:blipFill>
                  <pic:spPr bwMode="auto">
                    <a:xfrm>
                      <a:off x="0" y="0"/>
                      <a:ext cx="1914576" cy="1378095"/>
                    </a:xfrm>
                    <a:prstGeom prst="rect">
                      <a:avLst/>
                    </a:prstGeom>
                    <a:ln>
                      <a:noFill/>
                    </a:ln>
                    <a:extLst>
                      <a:ext uri="{53640926-AAD7-44D8-BBD7-CCE9431645EC}">
                        <a14:shadowObscured xmlns:a14="http://schemas.microsoft.com/office/drawing/2010/main"/>
                      </a:ext>
                    </a:extLst>
                  </pic:spPr>
                </pic:pic>
              </a:graphicData>
            </a:graphic>
          </wp:inline>
        </w:drawing>
      </w:r>
      <w:r w:rsidRPr="0083001F">
        <w:rPr>
          <w:rFonts w:ascii="Arial" w:hAnsi="Arial" w:cs="Arial"/>
          <w:sz w:val="20"/>
          <w:szCs w:val="20"/>
        </w:rPr>
        <w:t xml:space="preserve">  </w:t>
      </w:r>
      <w:r w:rsidRPr="0083001F">
        <w:rPr>
          <w:rFonts w:ascii="Arial" w:hAnsi="Arial" w:cs="Arial"/>
          <w:noProof/>
          <w:sz w:val="20"/>
          <w:szCs w:val="20"/>
          <w:lang w:val="en-US" w:eastAsia="en-US"/>
        </w:rPr>
        <w:drawing>
          <wp:inline distT="0" distB="0" distL="0" distR="0" wp14:anchorId="56CE16A4" wp14:editId="3B477622">
            <wp:extent cx="1791925" cy="134839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716" t="36325" r="27213" b="19417"/>
                    <a:stretch/>
                  </pic:blipFill>
                  <pic:spPr bwMode="auto">
                    <a:xfrm>
                      <a:off x="0" y="0"/>
                      <a:ext cx="1799105" cy="1353793"/>
                    </a:xfrm>
                    <a:prstGeom prst="rect">
                      <a:avLst/>
                    </a:prstGeom>
                    <a:ln>
                      <a:noFill/>
                    </a:ln>
                    <a:extLst>
                      <a:ext uri="{53640926-AAD7-44D8-BBD7-CCE9431645EC}">
                        <a14:shadowObscured xmlns:a14="http://schemas.microsoft.com/office/drawing/2010/main"/>
                      </a:ext>
                    </a:extLst>
                  </pic:spPr>
                </pic:pic>
              </a:graphicData>
            </a:graphic>
          </wp:inline>
        </w:drawing>
      </w:r>
      <w:r w:rsidRPr="0083001F">
        <w:rPr>
          <w:rFonts w:ascii="Arial" w:hAnsi="Arial" w:cs="Arial"/>
          <w:sz w:val="20"/>
          <w:szCs w:val="20"/>
        </w:rPr>
        <w:t xml:space="preserve">  </w:t>
      </w:r>
      <w:r w:rsidRPr="0083001F">
        <w:rPr>
          <w:rFonts w:ascii="Arial" w:hAnsi="Arial" w:cs="Arial"/>
          <w:noProof/>
          <w:sz w:val="20"/>
          <w:szCs w:val="20"/>
          <w:lang w:val="en-US" w:eastAsia="en-US"/>
        </w:rPr>
        <w:drawing>
          <wp:inline distT="0" distB="0" distL="0" distR="0" wp14:anchorId="3F8BC70D" wp14:editId="7060093F">
            <wp:extent cx="1781419" cy="13611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498" t="32691" r="27756" b="17373"/>
                    <a:stretch/>
                  </pic:blipFill>
                  <pic:spPr bwMode="auto">
                    <a:xfrm>
                      <a:off x="0" y="0"/>
                      <a:ext cx="1794742" cy="1371332"/>
                    </a:xfrm>
                    <a:prstGeom prst="rect">
                      <a:avLst/>
                    </a:prstGeom>
                    <a:ln>
                      <a:noFill/>
                    </a:ln>
                    <a:extLst>
                      <a:ext uri="{53640926-AAD7-44D8-BBD7-CCE9431645EC}">
                        <a14:shadowObscured xmlns:a14="http://schemas.microsoft.com/office/drawing/2010/main"/>
                      </a:ext>
                    </a:extLst>
                  </pic:spPr>
                </pic:pic>
              </a:graphicData>
            </a:graphic>
          </wp:inline>
        </w:drawing>
      </w:r>
    </w:p>
    <w:p w14:paraId="37A0903A" w14:textId="77777777" w:rsidR="005F09B5" w:rsidRPr="00563654" w:rsidRDefault="005F09B5" w:rsidP="005F09B5">
      <w:pPr>
        <w:pStyle w:val="NormalWeb"/>
        <w:spacing w:before="0" w:beforeAutospacing="0" w:after="0" w:afterAutospacing="0"/>
        <w:ind w:left="992" w:hanging="992"/>
        <w:jc w:val="center"/>
        <w:rPr>
          <w:rFonts w:ascii="Arial" w:hAnsi="Arial" w:cs="Arial"/>
          <w:b/>
          <w:bCs/>
          <w:sz w:val="20"/>
          <w:szCs w:val="20"/>
        </w:rPr>
      </w:pPr>
      <w:r w:rsidRPr="00563654">
        <w:rPr>
          <w:rFonts w:ascii="Arial" w:hAnsi="Arial" w:cs="Arial"/>
          <w:b/>
          <w:bCs/>
          <w:sz w:val="20"/>
          <w:szCs w:val="20"/>
        </w:rPr>
        <w:t>Figure 2.  Development of ovarian follicles in mice treated with P</w:t>
      </w:r>
      <w:r w:rsidRPr="00563654">
        <w:rPr>
          <w:rFonts w:ascii="Arial" w:hAnsi="Arial" w:cs="Arial"/>
          <w:b/>
          <w:bCs/>
          <w:sz w:val="20"/>
          <w:szCs w:val="20"/>
          <w:vertAlign w:val="subscript"/>
        </w:rPr>
        <w:t>0</w:t>
      </w:r>
      <w:r w:rsidRPr="00563654">
        <w:rPr>
          <w:rFonts w:ascii="Arial" w:hAnsi="Arial" w:cs="Arial"/>
          <w:b/>
          <w:bCs/>
          <w:sz w:val="20"/>
          <w:szCs w:val="20"/>
        </w:rPr>
        <w:t>, P</w:t>
      </w:r>
      <w:r w:rsidRPr="00563654">
        <w:rPr>
          <w:rFonts w:ascii="Arial" w:hAnsi="Arial" w:cs="Arial"/>
          <w:b/>
          <w:bCs/>
          <w:sz w:val="20"/>
          <w:szCs w:val="20"/>
          <w:vertAlign w:val="subscript"/>
        </w:rPr>
        <w:t>1</w:t>
      </w:r>
      <w:r w:rsidRPr="00563654">
        <w:rPr>
          <w:rFonts w:ascii="Arial" w:hAnsi="Arial" w:cs="Arial"/>
          <w:b/>
          <w:bCs/>
          <w:sz w:val="20"/>
          <w:szCs w:val="20"/>
        </w:rPr>
        <w:t>, and P</w:t>
      </w:r>
      <w:r w:rsidRPr="00563654">
        <w:rPr>
          <w:rFonts w:ascii="Arial" w:hAnsi="Arial" w:cs="Arial"/>
          <w:b/>
          <w:bCs/>
          <w:sz w:val="20"/>
          <w:szCs w:val="20"/>
          <w:vertAlign w:val="subscript"/>
        </w:rPr>
        <w:t>2</w:t>
      </w:r>
      <w:r w:rsidRPr="00563654">
        <w:rPr>
          <w:rFonts w:ascii="Arial" w:hAnsi="Arial" w:cs="Arial"/>
          <w:b/>
          <w:bCs/>
          <w:sz w:val="20"/>
          <w:szCs w:val="20"/>
        </w:rPr>
        <w:t>, the use of HE staining at 100X magnification</w:t>
      </w:r>
    </w:p>
    <w:p w14:paraId="25C9BFCA" w14:textId="77777777" w:rsidR="005F09B5" w:rsidRPr="00563654" w:rsidRDefault="005F09B5" w:rsidP="005F09B5">
      <w:pPr>
        <w:pStyle w:val="NormalWeb"/>
        <w:numPr>
          <w:ilvl w:val="0"/>
          <w:numId w:val="1"/>
        </w:numPr>
        <w:spacing w:before="0" w:beforeAutospacing="0" w:after="0" w:afterAutospacing="0"/>
        <w:jc w:val="both"/>
        <w:rPr>
          <w:rFonts w:ascii="Arial" w:hAnsi="Arial" w:cs="Arial"/>
          <w:b/>
          <w:bCs/>
          <w:sz w:val="20"/>
          <w:szCs w:val="20"/>
        </w:rPr>
      </w:pPr>
      <w:r w:rsidRPr="00563654">
        <w:rPr>
          <w:rFonts w:ascii="Arial" w:hAnsi="Arial" w:cs="Arial"/>
          <w:b/>
          <w:bCs/>
          <w:sz w:val="20"/>
          <w:szCs w:val="20"/>
        </w:rPr>
        <w:t>The ovaries exhibit the presence of primordial and primary follicles, in addition to flat granulosa cells classified (P</w:t>
      </w:r>
      <w:r w:rsidRPr="00563654">
        <w:rPr>
          <w:rFonts w:ascii="Arial" w:hAnsi="Arial" w:cs="Arial"/>
          <w:b/>
          <w:bCs/>
          <w:sz w:val="20"/>
          <w:szCs w:val="20"/>
          <w:vertAlign w:val="subscript"/>
        </w:rPr>
        <w:t>0</w:t>
      </w:r>
      <w:r w:rsidRPr="00563654">
        <w:rPr>
          <w:rFonts w:ascii="Arial" w:hAnsi="Arial" w:cs="Arial"/>
          <w:b/>
          <w:bCs/>
          <w:sz w:val="20"/>
          <w:szCs w:val="20"/>
        </w:rPr>
        <w:t>)</w:t>
      </w:r>
    </w:p>
    <w:p w14:paraId="47CF5D22" w14:textId="77777777" w:rsidR="005F09B5" w:rsidRPr="00563654" w:rsidRDefault="005F09B5" w:rsidP="005F09B5">
      <w:pPr>
        <w:pStyle w:val="NormalWeb"/>
        <w:numPr>
          <w:ilvl w:val="0"/>
          <w:numId w:val="1"/>
        </w:numPr>
        <w:spacing w:before="0" w:beforeAutospacing="0" w:after="0" w:afterAutospacing="0"/>
        <w:jc w:val="both"/>
        <w:rPr>
          <w:rFonts w:ascii="Arial" w:hAnsi="Arial" w:cs="Arial"/>
          <w:b/>
          <w:bCs/>
          <w:sz w:val="20"/>
          <w:szCs w:val="20"/>
        </w:rPr>
      </w:pPr>
      <w:r w:rsidRPr="00563654">
        <w:rPr>
          <w:rFonts w:ascii="Arial" w:hAnsi="Arial" w:cs="Arial"/>
          <w:b/>
          <w:bCs/>
          <w:sz w:val="20"/>
          <w:szCs w:val="20"/>
        </w:rPr>
        <w:t>The development of primary follicles and cuboidal granuloma cells is indicated here (P1)</w:t>
      </w:r>
    </w:p>
    <w:p w14:paraId="7934B664" w14:textId="77777777" w:rsidR="005F09B5" w:rsidRPr="00563654" w:rsidRDefault="005F09B5" w:rsidP="005F09B5">
      <w:pPr>
        <w:pStyle w:val="NormalWeb"/>
        <w:numPr>
          <w:ilvl w:val="0"/>
          <w:numId w:val="1"/>
        </w:numPr>
        <w:spacing w:before="0" w:beforeAutospacing="0" w:after="0" w:afterAutospacing="0"/>
        <w:jc w:val="both"/>
        <w:rPr>
          <w:rFonts w:ascii="Arial" w:hAnsi="Arial" w:cs="Arial"/>
          <w:b/>
          <w:bCs/>
          <w:sz w:val="20"/>
          <w:szCs w:val="20"/>
        </w:rPr>
      </w:pPr>
      <w:r w:rsidRPr="00563654">
        <w:rPr>
          <w:rFonts w:ascii="Arial" w:hAnsi="Arial" w:cs="Arial"/>
          <w:b/>
          <w:bCs/>
          <w:sz w:val="20"/>
          <w:szCs w:val="20"/>
        </w:rPr>
        <w:lastRenderedPageBreak/>
        <w:t>The presence of tertiary follicles is indicated. Granulosa cells are responsible for the production of follicular fluid, which fills the antrum, and oocytes are present (P</w:t>
      </w:r>
      <w:r w:rsidRPr="00563654">
        <w:rPr>
          <w:rFonts w:ascii="Arial" w:hAnsi="Arial" w:cs="Arial"/>
          <w:b/>
          <w:bCs/>
          <w:sz w:val="20"/>
          <w:szCs w:val="20"/>
          <w:vertAlign w:val="subscript"/>
        </w:rPr>
        <w:t>2</w:t>
      </w:r>
      <w:r w:rsidRPr="00563654">
        <w:rPr>
          <w:rFonts w:ascii="Arial" w:hAnsi="Arial" w:cs="Arial"/>
          <w:b/>
          <w:bCs/>
          <w:sz w:val="20"/>
          <w:szCs w:val="20"/>
        </w:rPr>
        <w:t>)</w:t>
      </w:r>
    </w:p>
    <w:p w14:paraId="764620BF" w14:textId="77777777" w:rsidR="005F09B5" w:rsidRDefault="005F09B5" w:rsidP="005F09B5">
      <w:pPr>
        <w:ind w:firstLine="720"/>
        <w:jc w:val="both"/>
        <w:rPr>
          <w:rFonts w:ascii="Arial" w:hAnsi="Arial" w:cs="Arial"/>
        </w:rPr>
      </w:pPr>
    </w:p>
    <w:p w14:paraId="7B633A7E" w14:textId="2693BF71" w:rsidR="005F09B5" w:rsidRPr="0083001F" w:rsidRDefault="005F09B5" w:rsidP="005F09B5">
      <w:pPr>
        <w:ind w:firstLine="720"/>
        <w:jc w:val="both"/>
        <w:rPr>
          <w:rFonts w:ascii="Arial" w:hAnsi="Arial" w:cs="Arial"/>
        </w:rPr>
      </w:pPr>
      <w:r w:rsidRPr="0083001F">
        <w:rPr>
          <w:rFonts w:ascii="Arial" w:hAnsi="Arial" w:cs="Arial"/>
        </w:rPr>
        <w:t>The results of the gas chromatography-mass spectrometry (GCMS) analysis of yam bean powder demonstrated the presence of daidzein, genistein and quercetine compounds. These three compounds are classified as isoflavone groups. Isoflavones exhibit a molecular structure that is analogous to that of 17β-estradiol</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{"citationItems":[{"id":"ITEM-1","itemData":{"DOI":"10.1002/ptr.8196","ISSN":"10991573","PMID":"38602108","abstract":"Phytoestrogens, also known as xenoestrogens, are secondary metabolites derived from plants that have similar structures and biological effects as human estrogens. These compounds do not directly affect biological functions but can act as agonists or antagonists depending on the level of endogenous estrogen in the body. Phytoestrogens may have an epigenetic mechanism of action independent of estrogen receptors. These compounds are found in more than 300 plant species and are synthesized through the phenylpropanoid pathway, with specific enzymes leading to various chemical structures. Phytoestrogens, primarily phenolic compounds, include isoflavonoids, flavonoids, stilbenes, and lignans. Extensive research in animals and humans has demonstrated the protective effects of phytoestrogens on estrogen-dependent diseases. Clinical trials have also shown their potential benefits in conditions such as osteoporosis, Parkinson's disease, and certain types of cancer. This review provides a concise overview of phytoestrogen classification, chemical diversity, and biosynthesis and discusses the potential therapeutic effects of phytoestrogens, as well as their preclinical and clinical development.","author":[{"dropping-particle":"","family":"Chavda","given":"Vivek P.","non-dropping-particle":"","parse-names":false,"suffix":""},{"dropping-particle":"","family":"Chaudhari","given":"Amit Z.","non-dropping-particle":"","parse-names":false,"suffix":""},{"dropping-particle":"","family":"Balar","given":"Pankti C.","non-dropping-particle":"","parse-names":false,"suffix":""},{"dropping-particle":"","family":"Gholap","given":"Amol","non-dropping-particle":"","parse-names":false,"suffix":""},{"dropping-particle":"","family":"Vora","given":"Lalitkumar K.","non-dropping-particle":"","parse-names":false,"suffix":""}],"container-title":"Phytotherapy Research","id":"ITEM-1","issue":"6","issued":{"date-parts":[["2024"]]},"page":"3060-3079","title":"Phytoestrogens: Chemistry, potential health benefits, and their medicinal importance","type":"article-journal","volume":"38"},"uris":["http://www.mendeley.com/documents/?uuid=f7fe97df-d4fc-4f4f-b882-becbe08fb6f0"]}],"mendeley":{"formattedCitation":"(Chavda et al., 2024)","plainTextFormattedCitation":"(Chavda et al., 2024)","previouslyFormattedCitation":"(Chavda &lt;i&gt;et al.&lt;/i&gt;, 2024)"},"properties":{"noteIndex":0},"schema":"https://github.com/citation-style-language/schema/raw/master/csl-citation.json"}</w:instrText>
      </w:r>
      <w:r>
        <w:rPr>
          <w:rFonts w:ascii="Arial" w:hAnsi="Arial" w:cs="Arial"/>
        </w:rPr>
        <w:fldChar w:fldCharType="separate"/>
      </w:r>
      <w:r w:rsidRPr="005F09B5">
        <w:rPr>
          <w:rFonts w:ascii="Arial" w:hAnsi="Arial" w:cs="Arial"/>
          <w:noProof/>
        </w:rPr>
        <w:t>(Chavda et al., 2024)</w:t>
      </w:r>
      <w:r>
        <w:rPr>
          <w:rFonts w:ascii="Arial" w:hAnsi="Arial" w:cs="Arial"/>
        </w:rPr>
        <w:fldChar w:fldCharType="end"/>
      </w:r>
      <w:r>
        <w:rPr>
          <w:rFonts w:ascii="Arial" w:hAnsi="Arial" w:cs="Arial"/>
        </w:rPr>
        <w:t xml:space="preserve">. </w:t>
      </w:r>
      <w:r w:rsidRPr="0083001F">
        <w:rPr>
          <w:rFonts w:ascii="Arial" w:hAnsi="Arial" w:cs="Arial"/>
        </w:rPr>
        <w:t>This phenomenon is frequently designated as 'estrogen-like molecules</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{"citationItems":[{"id":"ITEM-1","itemData":{"DOI":"10.1016/j.jnutbio.2022.109250","ISSN":"18734847","PMID":"36509337","abstract":"Flavonoids are a major group of phytoestrogens associated with physiological effects, and ecological and social impacts. Although the estrogenic activity of flavonoids was reported by researchers in the fields of medical, environmental and food studies, their molecular mechanisms of action have not been comprehensively reviewed. The estrogenic activity of the respective classes of flavonoids, anthocyanidins/anthocyanins, 2-arylbenzofurans/3-arylcoumarins/α-methyldeoxybenzoins, aurones/chalcones/dihydrochalcones, coumaronochromones, coumestans, flavans/flavan-3-ols/flavan-4-ols, flavanones/dihydroflavonols, flavones/flavonols, homoisoflavonoids, isoflavans, isoflavanones, isoflavenes, isoflavones, neoflavonoids, oligoflavonoids, pterocarpans/pterocarpenes, and rotenone/rotenoids, was summarized through a comprehensive literature search, and their structure-activity relationship, biological activities, signaling pathways, and applications were discussed. Although the respective classes of flavonoids contained at least one chemical mimicking estrogen, the mechanisms varied, such as those with estrogenic, anti-estrogenic, non-estrogenic, and biphasic activities, and additional activities through crosstalk/bypassing, which exert biological activities through cell signaling pathways. Such mechanistic variations of estrogen action are not limited to flavonoids and are observed among other broad categories of chemicals, thus this group of chemicals can be termed as the “estrogenome”. This review article focuses on the connection of estrogen action mainly between the outer and the inner environments, which represent variations of chemicals and biological activities/signaling pathways, respectively, and form the basis to understand their applications. The applications of chemicals will markedly progress due to emerging technologies, such as artificial intelligence for precision medicine, which is also true of the study of the estrogenome including estrogenic flavonoids.","author":[{"dropping-particle":"","family":"Kiyama","given":"Ryoiti","non-dropping-particle":"","parse-names":false,"suffix":""}],"container-title":"Journal of Nutritional Biochemistry","id":"ITEM-1","issued":{"date-parts":[["2023"]]},"page":"109250","publisher":"Elsevier Inc.","title":"Estrogenic flavonoids and their molecular mechanisms of action","type":"article-journal","volume":"114"},"uris":["http://www.mendeley.com/documents/?uuid=b620a973-98bd-4ed2-a773-d604804497dd"]}],"mendeley":{"formattedCitation":"(Kiyama, 2023)","plainTextFormattedCitation":"(Kiyama, 2023)","previouslyFormattedCitation":"(Kiyama, 2023)"},"properties":{"noteIndex":0},"schema":"https://github.com/citation-style-language/schema/raw/master/csl-citation.json"}</w:instrText>
      </w:r>
      <w:r>
        <w:rPr>
          <w:rFonts w:ascii="Arial" w:hAnsi="Arial" w:cs="Arial"/>
        </w:rPr>
        <w:fldChar w:fldCharType="separate"/>
      </w:r>
      <w:r w:rsidRPr="00350A7B">
        <w:rPr>
          <w:rFonts w:ascii="Arial" w:hAnsi="Arial" w:cs="Arial"/>
          <w:noProof/>
        </w:rPr>
        <w:t>(Kiyama, 2023)</w:t>
      </w:r>
      <w:r>
        <w:rPr>
          <w:rFonts w:ascii="Arial" w:hAnsi="Arial" w:cs="Arial"/>
        </w:rPr>
        <w:fldChar w:fldCharType="end"/>
      </w:r>
      <w:r w:rsidRPr="0083001F">
        <w:rPr>
          <w:rFonts w:ascii="Arial" w:hAnsi="Arial" w:cs="Arial"/>
          <w:b/>
          <w:bCs/>
        </w:rPr>
        <w:t xml:space="preserve">. </w:t>
      </w:r>
      <w:r w:rsidRPr="0083001F">
        <w:rPr>
          <w:rFonts w:ascii="Arial" w:hAnsi="Arial" w:cs="Arial"/>
        </w:rPr>
        <w:t>Yam bean powder phytoestrogens (</w:t>
      </w:r>
      <w:bookmarkStart w:id="0" w:name="_GoBack"/>
      <w:r w:rsidRPr="0083001F">
        <w:rPr>
          <w:rFonts w:ascii="Arial" w:hAnsi="Arial" w:cs="Arial"/>
        </w:rPr>
        <w:t>Table</w:t>
      </w:r>
      <w:bookmarkEnd w:id="0"/>
      <w:r w:rsidRPr="0083001F">
        <w:rPr>
          <w:rFonts w:ascii="Arial" w:hAnsi="Arial" w:cs="Arial"/>
        </w:rPr>
        <w:t xml:space="preserve"> 1) have been demonstrated to bind to estrogen receptors (ER-α and ER-β), thereby mimicking or modulating the activity of the body's natural estrogen hormones. Consequently, these three compounds have been shown to provide estrogen hormone-like activity</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{"citationItems":[{"id":"ITEM-1","itemData":{"ISBN":"2019020963","abstract":"The present invention relates to a pharmaceutical composi tion for preventing or treating alpha - herpesvirus infection comprising an Elaeocarpus sylvestris extract or a fraction thereof as an active ingredient , and can effectively prevent , treat or alleviate an alpha - herpesvirus and diseases caused thereby , such as herpes , encephalitis , genital herpes , chicken pox , or herpes zoster","author":[{"dropping-particle":"","family":"Kang","given":"Se Chan","non-dropping-particle":"","parse-names":false,"suffix":""},{"dropping-particle":"","family":"Park","given":"Dae Won","non-dropping-particle":"","parse-names":false,"suffix":""}],"container-title":"Patent Application Publication","id":"ITEM-1","issued":{"date-parts":[["2019"]]},"page":"1-12","title":"Pharmaceutical Composition for Preventing and Treating Alpha Herpes Virus Infection, Containing, As Active Ingredient, Elaeocarpus Sylvestris Extract or Fraction Thereof","type":"article-journal","volume":"1"},"uris":["http://www.mendeley.com/documents/?uuid=1adfa08a-5db1-4957-88be-d78c79bc7a65"]},{"id":"ITEM-2","itemData":{"author":[{"dropping-particle":"","family":"Fuentes, N., &amp; Silveyra","given":"P","non-dropping-particle":"","parse-names":false,"suffix":""}],"container-title":"Advances in protein chemistry and structural biology","id":"ITEM-2","issued":{"date-parts":[["2019"]]},"page":"135-170","title":"Estrogen receptor signaling mechanisms","type":"chapter"},"uris":["http://www.mendeley.com/documents/?uuid=d366d81b-281e-46de-91c3-1708235032c2"]}],"mendeley":{"formattedCitation":"(Fuentes, N., &amp; Silveyra, 2019; Kang &amp; Park, 2019)","plainTextFormattedCitation":"(Fuentes, N., &amp; Silveyra, 2019; Kang &amp; Park, 2019)","previouslyFormattedCitation":"(Fuentes, N., &amp; Silveyra, 2019; Kang and Park, 2019)"},"properties":{"noteIndex":0},"schema":"https://github.com/citation-style-language/schema/raw/master/csl-citation.json"}</w:instrText>
      </w:r>
      <w:r>
        <w:rPr>
          <w:rFonts w:ascii="Arial" w:hAnsi="Arial" w:cs="Arial"/>
        </w:rPr>
        <w:fldChar w:fldCharType="separate"/>
      </w:r>
      <w:r w:rsidRPr="005F09B5">
        <w:rPr>
          <w:rFonts w:ascii="Arial" w:hAnsi="Arial" w:cs="Arial"/>
          <w:noProof/>
        </w:rPr>
        <w:t>(Fuentes, N., &amp; Silveyra, 2019; Kang &amp; Park, 2019)</w:t>
      </w:r>
      <w:r>
        <w:rPr>
          <w:rFonts w:ascii="Arial" w:hAnsi="Arial" w:cs="Arial"/>
        </w:rPr>
        <w:fldChar w:fldCharType="end"/>
      </w:r>
      <w:r>
        <w:rPr>
          <w:rFonts w:ascii="Arial" w:hAnsi="Arial" w:cs="Arial"/>
        </w:rPr>
        <w:t>.</w:t>
      </w:r>
      <w:r w:rsidRPr="0083001F">
        <w:rPr>
          <w:rFonts w:ascii="Arial" w:hAnsi="Arial" w:cs="Arial"/>
        </w:rPr>
        <w:t xml:space="preserve"> This phenomenon is exemplified by the observation of ovarian follicle development, the presence of tertiary follicles, and the maturation of granulosa cells that secrete follicular fluid at P</w:t>
      </w:r>
      <w:r w:rsidRPr="0083001F">
        <w:rPr>
          <w:rFonts w:ascii="Arial" w:hAnsi="Arial" w:cs="Arial"/>
          <w:vertAlign w:val="subscript"/>
        </w:rPr>
        <w:t xml:space="preserve">2 </w:t>
      </w:r>
      <w:r w:rsidRPr="0083001F">
        <w:rPr>
          <w:rFonts w:ascii="Arial" w:hAnsi="Arial" w:cs="Arial"/>
        </w:rPr>
        <w:t xml:space="preserve">(Figure 2). </w:t>
      </w:r>
    </w:p>
    <w:p w14:paraId="28C7DE66" w14:textId="3EB07BF2" w:rsidR="005F09B5" w:rsidRPr="0083001F" w:rsidRDefault="005F09B5" w:rsidP="005F09B5">
      <w:pPr>
        <w:ind w:firstLine="720"/>
        <w:jc w:val="both"/>
        <w:rPr>
          <w:rFonts w:ascii="Arial" w:hAnsi="Arial" w:cs="Arial"/>
          <w:b/>
          <w:bCs/>
        </w:rPr>
      </w:pPr>
      <w:r w:rsidRPr="0083001F">
        <w:rPr>
          <w:rFonts w:ascii="Arial" w:hAnsi="Arial" w:cs="Arial"/>
        </w:rPr>
        <w:t>Yam bean phytoestrogens possess a molecular structure analogous to that of estrogen, thereby inducing biological stimulation within the reproductive system, specifically through the activation of primordial follicles into primary follicles via estrogen-like mechanisms</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{"citationItems":[{"id":"ITEM-1","itemData":{"author":[{"dropping-particle":"","family":"Primiani","given":"Cicilia Novi","non-dropping-particle":"","parse-names":false,"suffix":""}],"container-title":"Biology, Medicine, &amp; Natural Product Chemistry","id":"ITEM-1","issue":"1","issued":{"date-parts":[["2015"]]},"page":"5-9","title":"The phytoestrogenic potential of yam bean (Pachyrhizus erosus) on ovarian and uterine tissue structure of premenopausal mice","type":"article-journal","volume":"4"},"uris":["http://www.mendeley.com/documents/?uuid=efa9a0fc-6aa6-397a-8a8f-96938e248eb3"]},{"id":"ITEM-2","itemData":{"DOI":"10.1155/2021/6677767","ISSN":"17414288","abstract":"It has been confirmed by growing evidence that common hormone replacement therapy is associated with an increasing risk of causing cardiovascular disease and cancer, while complementary and alternative medicine (CAM) is gaining popularity and application in more and more patients with premature ovarian failure (POF). Although there is little data concerning the clinical safety and efficacy of CAM, the literature includes application studies on the phytoestrogen-rich herbal, acupuncture treatment and intervention therapy. This article reviews recent literature on CAM therapy for POF, aiming to provide theoretical support for clinical application.","author":[{"dropping-particle":"","family":"Lin","given":"Jing","non-dropping-particle":"","parse-names":false,"suffix":""},{"dropping-particle":"","family":"Wu","given":"Denghui","non-dropping-particle":"","parse-names":false,"suffix":""},{"dropping-particle":"","family":"Jia","given":"Liyan","non-dropping-particle":"","parse-names":false,"suffix":""},{"dropping-particle":"","family":"Liang","given":"Mengmeng","non-dropping-particle":"","parse-names":false,"suffix":""},{"dropping-particle":"","family":"Liu","given":"Siyu","non-dropping-particle":"","parse-names":false,"suffix":""},{"dropping-particle":"","family":"Qin","given":"Zhen","non-dropping-particle":"","parse-names":false,"suffix":""},{"dropping-particle":"","family":"Zhang","given":"Jiao","non-dropping-particle":"","parse-names":false,"suffix":""},{"dropping-particle":"","family":"Han","given":"Yanhua","non-dropping-particle":"","parse-names":false,"suffix":""},{"dropping-particle":"","family":"Liu","given":"Songjiang","non-dropping-particle":"","parse-names":false,"suffix":""},{"dropping-particle":"","family":"Zhang","given":"Yuehui","non-dropping-particle":"","parse-names":false,"suffix":""}],"container-title":"Evidence-based Complementary and Alternative Medicine","id":"ITEM-2","issued":{"date-parts":[["2021"]]},"title":"The Treatment of Complementary and Alternative Medicine on Premature Ovarian Failure","type":"article-journal","volume":"2021"},"uris":["http://www.mendeley.com/documents/?uuid=0c2d5708-280f-4547-ae24-d8b5ba0166ce"]},{"id":"ITEM-3","itemData":{"DOI":"10.1002/ptr.8196","ISSN":"10991573","PMID":"38602108","abstract":"Phytoestrogens, also known as xenoestrogens, are secondary metabolites derived from plants that have similar structures and biological effects as human estrogens. These compounds do not directly affect biological functions but can act as agonists or antagonists depending on the level of endogenous estrogen in the body. Phytoestrogens may have an epigenetic mechanism of action independent of estrogen receptors. These compounds are found in more than 300 plant species and are synthesized through the phenylpropanoid pathway, with specific enzymes leading to various chemical structures. Phytoestrogens, primarily phenolic compounds, include isoflavonoids, flavonoids, stilbenes, and lignans. Extensive research in animals and humans has demonstrated the protective effects of phytoestrogens on estrogen-dependent diseases. Clinical trials have also shown their potential benefits in conditions such as osteoporosis, Parkinson's disease, and certain types of cancer. This review provides a concise overview of phytoestrogen classification, chemical diversity, and biosynthesis and discusses the potential therapeutic effects of phytoestrogens, as well as their preclinical and clinical development.","author":[{"dropping-particle":"","family":"Chavda","given":"Vivek P.","non-dropping-particle":"","parse-names":false,"suffix":""},{"dropping-particle":"","family":"Chaudhari","given":"Amit Z.","non-dropping-particle":"","parse-names":false,"suffix":""},{"dropping-particle":"","family":"Balar","given":"Pankti C.","non-dropping-particle":"","parse-names":false,"suffix":""},{"dropping-particle":"","family":"Gholap","given":"Amol","non-dropping-particle":"","parse-names":false,"suffix":""},{"dropping-particle":"","family":"Vora","given":"Lalitkumar K.","non-dropping-particle":"","parse-names":false,"suffix":""}],"container-title":"Phytotherapy Research","id":"ITEM-3","issue":"6","issued":{"date-parts":[["2024"]]},"page":"3060-3079","title":"Phytoestrogens: Chemistry, potential health benefits, and their medicinal importance","type":"article-journal","volume":"38"},"uris":["http://www.mendeley.com/documents/?uuid=f7fe97df-d4fc-4f4f-b882-becbe08fb6f0"]},{"id":"ITEM-4","itemData":{"author":[{"dropping-particle":"","family":"Ardela","given":"Mayasari Putri","non-dropping-particle":"","parse-names":false,"suffix":""},{"dropping-particle":"","family":"Fitriasnani","given":"Meirna Eka","non-dropping-particle":"","parse-names":false,"suffix":""},{"dropping-particle":"","family":"Kulistiyani","given":"Putri Erika","non-dropping-particle":"","parse-names":false,"suffix":""}],"id":"ITEM-4","issue":"2","issued":{"date-parts":[["2025"]]},"page":"282-291","title":"Bengkuang as an Alternative for Hypoestrogen Problems in the Reproductive System","type":"article-journal","volume":"8"},"uris":["http://www.mendeley.com/documents/?uuid=b6b43111-d368-4ca1-bfde-e8a51ac654a6"]}],"mendeley":{"formattedCitation":"(Ardela et al., 2025; Chavda et al., 2024; Lin et al., 2021; Primiani, 2015)","plainTextFormattedCitation":"(Ardela et al., 2025; Chavda et al., 2024; Lin et al., 2021; Primiani, 2015)","previouslyFormattedCitation":"(Primiani, 2015; Lin &lt;i&gt;et al.&lt;/i&gt;, 2021; Chavda &lt;i&gt;et al.&lt;/i&gt;, 2024; Ardela, Fitriasnani and Kulistiyani, 2025)"},"properties":{"noteIndex":0},"schema":"https://github.com/citation-style-language/schema/raw/master/csl-citation.json"}</w:instrText>
      </w:r>
      <w:r>
        <w:rPr>
          <w:rFonts w:ascii="Arial" w:hAnsi="Arial" w:cs="Arial"/>
        </w:rPr>
        <w:fldChar w:fldCharType="separate"/>
      </w:r>
      <w:r w:rsidRPr="005F09B5">
        <w:rPr>
          <w:rFonts w:ascii="Arial" w:hAnsi="Arial" w:cs="Arial"/>
          <w:noProof/>
        </w:rPr>
        <w:t>(Ardela et al., 2025; Chavda et al., 2024; Lin et al., 2021; Primiani, 2015)</w:t>
      </w:r>
      <w:r>
        <w:rPr>
          <w:rFonts w:ascii="Arial" w:hAnsi="Arial" w:cs="Arial"/>
        </w:rPr>
        <w:fldChar w:fldCharType="end"/>
      </w:r>
      <w:r w:rsidRPr="0083001F">
        <w:rPr>
          <w:rFonts w:ascii="Arial" w:hAnsi="Arial" w:cs="Arial"/>
          <w:b/>
          <w:bCs/>
        </w:rPr>
        <w:t>.</w:t>
      </w:r>
      <w:r w:rsidRPr="0083001F">
        <w:rPr>
          <w:rFonts w:ascii="Arial" w:hAnsi="Arial" w:cs="Arial"/>
        </w:rPr>
        <w:t xml:space="preserve"> Yam bean phytoestrogens have been hypothesised to enhance the expression of Follicle Stimulating Hormone (FSH) receptors in granulosa cells, thus accelerating the growth of early follicles and increasing the number of growing follicles</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{"citationItems":[{"id":"ITEM-1","itemData":{"DOI":"10.26538/tjnpr/v7i3.1","ISSN":"26160692","abstract":"Women, who account for 51% of Africa's population, face health issues including infertility. Most discussions, however, are centered on male reproductive health issues, such as erectile dysfunction, while ignoring reproductive issues that affect women of reproductive age. Plant extracts in the form of concoctions or infusions are utilized to treat a variety of diseases in this traditional medical system. Many of these plants are used to improve female reproductive health. The purpose of this review was to highlight the various mechanisms of action of known medicinal plants on the female reproductive system. The research outcomes reviewed were obtained after conducting a thorough search on scientific databases such as Science Direct, Google, PubMed, and Medline. The understanding of the effect of botanicals conventionally used on female reproductive system was extracted.Various mechanisms of action on the female reproductive system were observed for these traditional medicinal herbs and their phytochemicals, varying from folliculogenesis, upregulation of sex hormones, restoration of anomalous estrous cycle, reduction of postoperative adhesion development, and estrogenic effect, while some medicinal plants exerted antifertility effect through various mechanisms. Considering the diversification of herbal preparations use by women for various reasons, there is still much work to be done in terms of pharmacological and phytochemical characterization of traditional medicines.","author":[{"dropping-particle":"","family":"Ogunlakin","given":"Akingbolabo D.","non-dropping-particle":"","parse-names":false,"suffix":""},{"dropping-particle":"","family":"Sonibare","given":"Mubo A.","non-dropping-particle":"","parse-names":false,"suffix":""},{"dropping-particle":"","family":"Ojo","given":"Oluwafemi A.","non-dropping-particle":"","parse-names":false,"suffix":""}],"container-title":"Tropical Journal of Natural Product Research","id":"ITEM-1","issue":"3","issued":{"date-parts":[["2023"]]},"page":"2473-2483","title":"Review on Effect of Medicinal Plants on Female Reproductive System","type":"article-journal","volume":"7"},"uris":["http://www.mendeley.com/documents/?uuid=118b351d-efa7-42d4-8303-c649a4fa0e20"]},{"id":"ITEM-2","itemData":{"author":[{"dropping-particle":"","family":"Ardela","given":"Mayasari Putri","non-dropping-particle":"","parse-names":false,"suffix":""},{"dropping-particle":"","family":"Fitriasnani","given":"Meirna Eka","non-dropping-particle":"","parse-names":false,"suffix":""},{"dropping-particle":"","family":"Kulistiyani","given":"Putri Erika","non-dropping-particle":"","parse-names":false,"suffix":""}],"id":"ITEM-2","issue":"2","issued":{"date-parts":[["2025"]]},"page":"282-291","title":"Bengkuang as an Alternative for Hypoestrogen Problems in the Reproductive System","type":"article-journal","volume":"8"},"uris":["http://www.mendeley.com/documents/?uuid=b6b43111-d368-4ca1-bfde-e8a51ac654a6"]}],"mendeley":{"formattedCitation":"(Ardela et al., 2025; Ogunlakin et al., 2023)","plainTextFormattedCitation":"(Ardela et al., 2025; Ogunlakin et al., 2023)","previouslyFormattedCitation":"(Ogunlakin, Sonibare and Ojo, 2023; Ardela, Fitriasnani and Kulistiyani, 2025)"},"properties":{"noteIndex":0},"schema":"https://github.com/citation-style-language/schema/raw/master/csl-citation.json"}</w:instrText>
      </w:r>
      <w:r>
        <w:rPr>
          <w:rFonts w:ascii="Arial" w:hAnsi="Arial" w:cs="Arial"/>
        </w:rPr>
        <w:fldChar w:fldCharType="separate"/>
      </w:r>
      <w:r w:rsidRPr="005F09B5">
        <w:rPr>
          <w:rFonts w:ascii="Arial" w:hAnsi="Arial" w:cs="Arial"/>
          <w:noProof/>
        </w:rPr>
        <w:t>(Ardela et al., 2025; Ogunlakin et al., 2023)</w:t>
      </w:r>
      <w:r>
        <w:rPr>
          <w:rFonts w:ascii="Arial" w:hAnsi="Arial" w:cs="Arial"/>
        </w:rPr>
        <w:fldChar w:fldCharType="end"/>
      </w:r>
      <w:r>
        <w:rPr>
          <w:rFonts w:ascii="Arial" w:hAnsi="Arial" w:cs="Arial"/>
        </w:rPr>
        <w:t>.</w:t>
      </w:r>
    </w:p>
    <w:p w14:paraId="16ABB4D1" w14:textId="77777777" w:rsidR="005F09B5" w:rsidRPr="00FB3A86" w:rsidRDefault="005F09B5" w:rsidP="005F09B5">
      <w:pPr>
        <w:pStyle w:val="Body"/>
        <w:spacing w:after="0"/>
        <w:rPr>
          <w:rFonts w:ascii="Arial" w:hAnsi="Arial" w:cs="Arial"/>
        </w:rPr>
      </w:pPr>
    </w:p>
    <w:p w14:paraId="54446D86" w14:textId="77777777" w:rsidR="005F09B5" w:rsidRDefault="005F09B5" w:rsidP="005F09B5">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602A7EFA" w14:textId="77777777" w:rsidR="005F09B5" w:rsidRPr="00FB3A86" w:rsidRDefault="005F09B5" w:rsidP="005F09B5">
      <w:pPr>
        <w:pStyle w:val="ConcHead"/>
        <w:spacing w:after="0"/>
        <w:jc w:val="both"/>
        <w:rPr>
          <w:rFonts w:ascii="Arial" w:hAnsi="Arial" w:cs="Arial"/>
        </w:rPr>
      </w:pPr>
    </w:p>
    <w:p w14:paraId="595619BB" w14:textId="77777777" w:rsidR="005F09B5" w:rsidRPr="0083001F" w:rsidRDefault="005F09B5" w:rsidP="005F09B5">
      <w:pPr>
        <w:ind w:firstLine="720"/>
        <w:jc w:val="both"/>
        <w:rPr>
          <w:rFonts w:ascii="Arial" w:hAnsi="Arial" w:cs="Arial"/>
        </w:rPr>
      </w:pPr>
      <w:r w:rsidRPr="0083001F">
        <w:rPr>
          <w:rFonts w:ascii="Arial" w:hAnsi="Arial" w:cs="Arial"/>
        </w:rPr>
        <w:t>Yam bean powder has been found to contain phytochemicals, including daidzein, genistein and quercetine, which are classified as phytoestrogen compounds due to their molecular structure, which is similar to 17β-estradiol. The administration of yam bean powder over a period of 36 days has been observed to result in an augmentation of folliculogenesis within the ovaries of Sprague Dawley rats.</w:t>
      </w:r>
    </w:p>
    <w:p w14:paraId="5725FDC3" w14:textId="77777777" w:rsidR="005F09B5" w:rsidRPr="00FB3A86" w:rsidRDefault="005F09B5" w:rsidP="005F09B5">
      <w:pPr>
        <w:pStyle w:val="Body"/>
        <w:spacing w:after="0"/>
        <w:rPr>
          <w:rFonts w:ascii="Arial" w:hAnsi="Arial" w:cs="Arial"/>
        </w:rPr>
      </w:pPr>
    </w:p>
    <w:p w14:paraId="67851215" w14:textId="77777777" w:rsidR="005F09B5" w:rsidRPr="00563654" w:rsidRDefault="005F09B5" w:rsidP="005F09B5">
      <w:pPr>
        <w:jc w:val="both"/>
        <w:rPr>
          <w:rFonts w:ascii="Arial" w:hAnsi="Arial" w:cs="Arial"/>
          <w:b/>
          <w:bCs/>
          <w:sz w:val="22"/>
          <w:szCs w:val="22"/>
        </w:rPr>
      </w:pPr>
      <w:r w:rsidRPr="00563654">
        <w:rPr>
          <w:rFonts w:ascii="Arial" w:hAnsi="Arial" w:cs="Arial"/>
          <w:b/>
          <w:bCs/>
          <w:sz w:val="22"/>
          <w:szCs w:val="22"/>
        </w:rPr>
        <w:t xml:space="preserve">DISCLAIMER (ARTIFICIAL INTELLIGENCE) </w:t>
      </w:r>
    </w:p>
    <w:p w14:paraId="77138D36" w14:textId="77777777" w:rsidR="005F09B5" w:rsidRPr="00563654" w:rsidRDefault="005F09B5" w:rsidP="005F09B5">
      <w:pPr>
        <w:jc w:val="both"/>
        <w:rPr>
          <w:rFonts w:ascii="Arial" w:hAnsi="Arial" w:cs="Arial"/>
        </w:rPr>
      </w:pPr>
      <w:r w:rsidRPr="00563654">
        <w:rPr>
          <w:rFonts w:ascii="Arial" w:hAnsi="Arial" w:cs="Arial"/>
        </w:rPr>
        <w:t>Author(s) hereby declare that NO generative AI technologies such as Large Language Models</w:t>
      </w:r>
      <w:r>
        <w:rPr>
          <w:rFonts w:ascii="Arial" w:hAnsi="Arial" w:cs="Arial"/>
        </w:rPr>
        <w:t xml:space="preserve"> </w:t>
      </w:r>
      <w:r w:rsidRPr="00563654">
        <w:rPr>
          <w:rFonts w:ascii="Arial" w:hAnsi="Arial" w:cs="Arial"/>
        </w:rPr>
        <w:t>(ChatGPT, COPILOT, etc) and text-to-image generators have been used during writing or editing of manuscripts.</w:t>
      </w:r>
    </w:p>
    <w:p w14:paraId="441D4BCD" w14:textId="77777777" w:rsidR="005F09B5" w:rsidRPr="00315186" w:rsidRDefault="005F09B5" w:rsidP="005F09B5"/>
    <w:p w14:paraId="30C27098" w14:textId="2E663782" w:rsidR="00D53932" w:rsidRDefault="00D53932" w:rsidP="005F09B5">
      <w:pPr>
        <w:pStyle w:val="ReferHead"/>
        <w:spacing w:after="0"/>
        <w:jc w:val="both"/>
        <w:rPr>
          <w:rFonts w:ascii="Arial" w:hAnsi="Arial" w:cs="Arial"/>
          <w:b w:val="0"/>
          <w:caps w:val="0"/>
          <w:sz w:val="20"/>
        </w:rPr>
      </w:pPr>
    </w:p>
    <w:p w14:paraId="16D13A46" w14:textId="77777777" w:rsidR="005F09B5" w:rsidRDefault="005F09B5" w:rsidP="005F09B5">
      <w:pPr>
        <w:pStyle w:val="ReferHead"/>
        <w:spacing w:after="0"/>
        <w:jc w:val="both"/>
        <w:rPr>
          <w:rFonts w:ascii="Arial" w:hAnsi="Arial" w:cs="Arial"/>
        </w:rPr>
      </w:pPr>
    </w:p>
    <w:p w14:paraId="73B53BB6" w14:textId="77777777" w:rsidR="005F09B5" w:rsidRDefault="005F09B5" w:rsidP="005F09B5">
      <w:pPr>
        <w:pStyle w:val="ReferHead"/>
        <w:spacing w:after="0"/>
        <w:jc w:val="both"/>
        <w:rPr>
          <w:rFonts w:ascii="Arial" w:hAnsi="Arial" w:cs="Arial"/>
        </w:rPr>
      </w:pPr>
      <w:r w:rsidRPr="00FB3A86">
        <w:rPr>
          <w:rFonts w:ascii="Arial" w:hAnsi="Arial" w:cs="Arial"/>
        </w:rPr>
        <w:t>References</w:t>
      </w:r>
    </w:p>
    <w:p w14:paraId="7D9C7667" w14:textId="77777777" w:rsidR="005F09B5" w:rsidRPr="00FB3A86" w:rsidRDefault="005F09B5" w:rsidP="005F09B5">
      <w:pPr>
        <w:pStyle w:val="Appendix"/>
        <w:spacing w:after="0"/>
        <w:jc w:val="both"/>
        <w:rPr>
          <w:rFonts w:ascii="Arial" w:hAnsi="Arial" w:cs="Arial"/>
          <w:b w:val="0"/>
        </w:rPr>
      </w:pPr>
    </w:p>
    <w:p w14:paraId="5107C684" w14:textId="25EF3A9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rPr>
        <w:fldChar w:fldCharType="begin" w:fldLock="1"/>
      </w:r>
      <w:r w:rsidRPr="005F09B5">
        <w:rPr>
          <w:rFonts w:ascii="Arial" w:hAnsi="Arial" w:cs="Arial"/>
        </w:rPr>
        <w:instrText xml:space="preserve">ADDIN Mendeley Bibliography CSL_BIBLIOGRAPHY </w:instrText>
      </w:r>
      <w:r w:rsidRPr="005F09B5">
        <w:rPr>
          <w:rFonts w:ascii="Arial" w:hAnsi="Arial" w:cs="Arial"/>
        </w:rPr>
        <w:fldChar w:fldCharType="separate"/>
      </w:r>
      <w:r w:rsidRPr="005F09B5">
        <w:rPr>
          <w:rFonts w:ascii="Arial" w:hAnsi="Arial" w:cs="Arial"/>
          <w:noProof/>
          <w:szCs w:val="24"/>
        </w:rPr>
        <w:t xml:space="preserve">Al-Baldawy, M. S. M., Matloob, A. A. A. H., &amp; Almammory, M. K. N. (2023). The Importance of Nitrogen-Fixing Bacteria Azotobacter chroococcum in Biological Control to Root Rot Pathogens (Review). </w:t>
      </w:r>
      <w:r w:rsidRPr="005F09B5">
        <w:rPr>
          <w:rFonts w:ascii="Arial" w:hAnsi="Arial" w:cs="Arial"/>
          <w:i/>
          <w:iCs/>
          <w:noProof/>
          <w:szCs w:val="24"/>
        </w:rPr>
        <w:t>IOP Conference Series: Earth and Environmental Science</w:t>
      </w:r>
      <w:r w:rsidRPr="005F09B5">
        <w:rPr>
          <w:rFonts w:ascii="Arial" w:hAnsi="Arial" w:cs="Arial"/>
          <w:noProof/>
          <w:szCs w:val="24"/>
        </w:rPr>
        <w:t xml:space="preserve">, </w:t>
      </w:r>
      <w:r w:rsidRPr="005F09B5">
        <w:rPr>
          <w:rFonts w:ascii="Arial" w:hAnsi="Arial" w:cs="Arial"/>
          <w:i/>
          <w:iCs/>
          <w:noProof/>
          <w:szCs w:val="24"/>
        </w:rPr>
        <w:t>1259</w:t>
      </w:r>
      <w:r w:rsidRPr="005F09B5">
        <w:rPr>
          <w:rFonts w:ascii="Arial" w:hAnsi="Arial" w:cs="Arial"/>
          <w:noProof/>
          <w:szCs w:val="24"/>
        </w:rPr>
        <w:t>(1). https://doi.org/10.1088/1755-1315/1259/1/012110</w:t>
      </w:r>
    </w:p>
    <w:p w14:paraId="3257A227"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Anggraini, N., Sari, R., Hartiningsih, S., Maria, N., Dewi, Y., Octavia, V., Anggraeni, A., &amp; Riyanti, R. (2024). </w:t>
      </w:r>
      <w:r w:rsidRPr="005F09B5">
        <w:rPr>
          <w:rFonts w:ascii="Arial" w:hAnsi="Arial" w:cs="Arial"/>
          <w:i/>
          <w:iCs/>
          <w:noProof/>
          <w:szCs w:val="24"/>
        </w:rPr>
        <w:t>Factors Affecting Menopause Quality of Life in the 45-55 Years Age Group in Indonesia</w:t>
      </w:r>
      <w:r w:rsidRPr="005F09B5">
        <w:rPr>
          <w:rFonts w:ascii="Arial" w:hAnsi="Arial" w:cs="Arial"/>
          <w:noProof/>
          <w:szCs w:val="24"/>
        </w:rPr>
        <w:t xml:space="preserve">. </w:t>
      </w:r>
      <w:r w:rsidRPr="005F09B5">
        <w:rPr>
          <w:rFonts w:ascii="Arial" w:hAnsi="Arial" w:cs="Arial"/>
          <w:i/>
          <w:iCs/>
          <w:noProof/>
          <w:szCs w:val="24"/>
        </w:rPr>
        <w:t>10</w:t>
      </w:r>
      <w:r w:rsidRPr="005F09B5">
        <w:rPr>
          <w:rFonts w:ascii="Arial" w:hAnsi="Arial" w:cs="Arial"/>
          <w:noProof/>
          <w:szCs w:val="24"/>
        </w:rPr>
        <w:t>(12), 9926–9937. https://doi.org/10.29303/jppipa.v10i12.8782</w:t>
      </w:r>
    </w:p>
    <w:p w14:paraId="66F487BC"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Ardela, M. P., Fitriasnani, M. E., &amp; Kulistiyani, P. E. (2025). </w:t>
      </w:r>
      <w:r w:rsidRPr="005F09B5">
        <w:rPr>
          <w:rFonts w:ascii="Arial" w:hAnsi="Arial" w:cs="Arial"/>
          <w:i/>
          <w:iCs/>
          <w:noProof/>
          <w:szCs w:val="24"/>
        </w:rPr>
        <w:t>Bengkuang as an Alternative for Hypoestrogen Problems in the Reproductive System</w:t>
      </w:r>
      <w:r w:rsidRPr="005F09B5">
        <w:rPr>
          <w:rFonts w:ascii="Arial" w:hAnsi="Arial" w:cs="Arial"/>
          <w:noProof/>
          <w:szCs w:val="24"/>
        </w:rPr>
        <w:t xml:space="preserve">. </w:t>
      </w:r>
      <w:r w:rsidRPr="005F09B5">
        <w:rPr>
          <w:rFonts w:ascii="Arial" w:hAnsi="Arial" w:cs="Arial"/>
          <w:i/>
          <w:iCs/>
          <w:noProof/>
          <w:szCs w:val="24"/>
        </w:rPr>
        <w:t>8</w:t>
      </w:r>
      <w:r w:rsidRPr="005F09B5">
        <w:rPr>
          <w:rFonts w:ascii="Arial" w:hAnsi="Arial" w:cs="Arial"/>
          <w:noProof/>
          <w:szCs w:val="24"/>
        </w:rPr>
        <w:t>(2), 282–291.</w:t>
      </w:r>
    </w:p>
    <w:p w14:paraId="4E0821C5"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Bagga, S. S., Tayade, S., Lohiya, N., Tyagi, A., &amp; Chauhan, D. (2025). Menopause dynamics: From symptoms to quality of life, unraveling the complexities of the hormonal shift. </w:t>
      </w:r>
      <w:r w:rsidRPr="005F09B5">
        <w:rPr>
          <w:rFonts w:ascii="Arial" w:hAnsi="Arial" w:cs="Arial"/>
          <w:i/>
          <w:iCs/>
          <w:noProof/>
          <w:szCs w:val="24"/>
        </w:rPr>
        <w:t>Multidisciplinary Reviews</w:t>
      </w:r>
      <w:r w:rsidRPr="005F09B5">
        <w:rPr>
          <w:rFonts w:ascii="Arial" w:hAnsi="Arial" w:cs="Arial"/>
          <w:noProof/>
          <w:szCs w:val="24"/>
        </w:rPr>
        <w:t xml:space="preserve">, </w:t>
      </w:r>
      <w:r w:rsidRPr="005F09B5">
        <w:rPr>
          <w:rFonts w:ascii="Arial" w:hAnsi="Arial" w:cs="Arial"/>
          <w:i/>
          <w:iCs/>
          <w:noProof/>
          <w:szCs w:val="24"/>
        </w:rPr>
        <w:t>8</w:t>
      </w:r>
      <w:r w:rsidRPr="005F09B5">
        <w:rPr>
          <w:rFonts w:ascii="Arial" w:hAnsi="Arial" w:cs="Arial"/>
          <w:noProof/>
          <w:szCs w:val="24"/>
        </w:rPr>
        <w:t>(2). https://doi.org/10.31893/MULTIREV.2025057</w:t>
      </w:r>
    </w:p>
    <w:p w14:paraId="290460AE"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Banin, R. M., de Andrade, I. S., Cerutti, S. M., Oyama, L. M., Telles, M. M., &amp; Ribeiro, E. B. (2017). Ginkgo biloba Extract (GbE) stimulates the hypothalamic serotonergic system and attenuates obesity in ovariectomized rats. </w:t>
      </w:r>
      <w:r w:rsidRPr="005F09B5">
        <w:rPr>
          <w:rFonts w:ascii="Arial" w:hAnsi="Arial" w:cs="Arial"/>
          <w:i/>
          <w:iCs/>
          <w:noProof/>
          <w:szCs w:val="24"/>
        </w:rPr>
        <w:t>Frontiers in Pharmacology</w:t>
      </w:r>
      <w:r w:rsidRPr="005F09B5">
        <w:rPr>
          <w:rFonts w:ascii="Arial" w:hAnsi="Arial" w:cs="Arial"/>
          <w:noProof/>
          <w:szCs w:val="24"/>
        </w:rPr>
        <w:t xml:space="preserve">, </w:t>
      </w:r>
      <w:r w:rsidRPr="005F09B5">
        <w:rPr>
          <w:rFonts w:ascii="Arial" w:hAnsi="Arial" w:cs="Arial"/>
          <w:i/>
          <w:iCs/>
          <w:noProof/>
          <w:szCs w:val="24"/>
        </w:rPr>
        <w:t>8</w:t>
      </w:r>
      <w:r w:rsidRPr="005F09B5">
        <w:rPr>
          <w:rFonts w:ascii="Arial" w:hAnsi="Arial" w:cs="Arial"/>
          <w:noProof/>
          <w:szCs w:val="24"/>
        </w:rPr>
        <w:t>(SEP), 10–11. https://doi.org/10.3389/fphar.2017.00605</w:t>
      </w:r>
    </w:p>
    <w:p w14:paraId="27FDAC15"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Burger, H. G., Hale, G. E., Dennerstein, L., &amp; Robertson, D. M. (2008). Cycle and hormone changes during perimenopause: the key role of ovarian function. </w:t>
      </w:r>
      <w:r w:rsidRPr="005F09B5">
        <w:rPr>
          <w:rFonts w:ascii="Arial" w:hAnsi="Arial" w:cs="Arial"/>
          <w:i/>
          <w:iCs/>
          <w:noProof/>
          <w:szCs w:val="24"/>
        </w:rPr>
        <w:t>Menopause</w:t>
      </w:r>
      <w:r w:rsidRPr="005F09B5">
        <w:rPr>
          <w:rFonts w:ascii="Arial" w:hAnsi="Arial" w:cs="Arial"/>
          <w:noProof/>
          <w:szCs w:val="24"/>
        </w:rPr>
        <w:t xml:space="preserve">, </w:t>
      </w:r>
      <w:r w:rsidRPr="005F09B5">
        <w:rPr>
          <w:rFonts w:ascii="Arial" w:hAnsi="Arial" w:cs="Arial"/>
          <w:i/>
          <w:iCs/>
          <w:noProof/>
          <w:szCs w:val="24"/>
        </w:rPr>
        <w:t>15</w:t>
      </w:r>
      <w:r w:rsidRPr="005F09B5">
        <w:rPr>
          <w:rFonts w:ascii="Arial" w:hAnsi="Arial" w:cs="Arial"/>
          <w:noProof/>
          <w:szCs w:val="24"/>
        </w:rPr>
        <w:t>(4), 603–612.</w:t>
      </w:r>
    </w:p>
    <w:p w14:paraId="49BF764C"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Canivenc-Lavier, M. C., &amp; Bennetau-Pelissero, C. (2023). Phytoestrogens and Health Effects. </w:t>
      </w:r>
      <w:r w:rsidRPr="005F09B5">
        <w:rPr>
          <w:rFonts w:ascii="Arial" w:hAnsi="Arial" w:cs="Arial"/>
          <w:i/>
          <w:iCs/>
          <w:noProof/>
          <w:szCs w:val="24"/>
        </w:rPr>
        <w:t>Nutrients</w:t>
      </w:r>
      <w:r w:rsidRPr="005F09B5">
        <w:rPr>
          <w:rFonts w:ascii="Arial" w:hAnsi="Arial" w:cs="Arial"/>
          <w:noProof/>
          <w:szCs w:val="24"/>
        </w:rPr>
        <w:t xml:space="preserve">, </w:t>
      </w:r>
      <w:r w:rsidRPr="005F09B5">
        <w:rPr>
          <w:rFonts w:ascii="Arial" w:hAnsi="Arial" w:cs="Arial"/>
          <w:i/>
          <w:iCs/>
          <w:noProof/>
          <w:szCs w:val="24"/>
        </w:rPr>
        <w:t>15</w:t>
      </w:r>
      <w:r w:rsidRPr="005F09B5">
        <w:rPr>
          <w:rFonts w:ascii="Arial" w:hAnsi="Arial" w:cs="Arial"/>
          <w:noProof/>
          <w:szCs w:val="24"/>
        </w:rPr>
        <w:t>(2), 1–44. https://doi.org/10.3390/nu15020317</w:t>
      </w:r>
    </w:p>
    <w:p w14:paraId="512A2530"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Cea García, J., Márquez Maraver, F., &amp; Rubio Rodríguez, M. C. (2022). Cross-sectional study on the impact of age, menopause and quality of life on female sexual function. </w:t>
      </w:r>
      <w:r w:rsidRPr="005F09B5">
        <w:rPr>
          <w:rFonts w:ascii="Arial" w:hAnsi="Arial" w:cs="Arial"/>
          <w:i/>
          <w:iCs/>
          <w:noProof/>
          <w:szCs w:val="24"/>
        </w:rPr>
        <w:t>Journal of Obstetrics and Gynaecology</w:t>
      </w:r>
      <w:r w:rsidRPr="005F09B5">
        <w:rPr>
          <w:rFonts w:ascii="Arial" w:hAnsi="Arial" w:cs="Arial"/>
          <w:noProof/>
          <w:szCs w:val="24"/>
        </w:rPr>
        <w:t xml:space="preserve">, </w:t>
      </w:r>
      <w:r w:rsidRPr="005F09B5">
        <w:rPr>
          <w:rFonts w:ascii="Arial" w:hAnsi="Arial" w:cs="Arial"/>
          <w:i/>
          <w:iCs/>
          <w:noProof/>
          <w:szCs w:val="24"/>
        </w:rPr>
        <w:t>42</w:t>
      </w:r>
      <w:r w:rsidRPr="005F09B5">
        <w:rPr>
          <w:rFonts w:ascii="Arial" w:hAnsi="Arial" w:cs="Arial"/>
          <w:noProof/>
          <w:szCs w:val="24"/>
        </w:rPr>
        <w:t>(5), 1225–1232.</w:t>
      </w:r>
    </w:p>
    <w:p w14:paraId="58E18BA3"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Chavda, V. P., Chaudhari, A. Z., Balar, P. C., Gholap, A., &amp; Vora, L. K. (2024). Phytoestrogens: Chemistry, potential health benefits, and their medicinal importance. </w:t>
      </w:r>
      <w:r w:rsidRPr="005F09B5">
        <w:rPr>
          <w:rFonts w:ascii="Arial" w:hAnsi="Arial" w:cs="Arial"/>
          <w:i/>
          <w:iCs/>
          <w:noProof/>
          <w:szCs w:val="24"/>
        </w:rPr>
        <w:t>Phytotherapy Research</w:t>
      </w:r>
      <w:r w:rsidRPr="005F09B5">
        <w:rPr>
          <w:rFonts w:ascii="Arial" w:hAnsi="Arial" w:cs="Arial"/>
          <w:noProof/>
          <w:szCs w:val="24"/>
        </w:rPr>
        <w:t xml:space="preserve">, </w:t>
      </w:r>
      <w:r w:rsidRPr="005F09B5">
        <w:rPr>
          <w:rFonts w:ascii="Arial" w:hAnsi="Arial" w:cs="Arial"/>
          <w:i/>
          <w:iCs/>
          <w:noProof/>
          <w:szCs w:val="24"/>
        </w:rPr>
        <w:t>38</w:t>
      </w:r>
      <w:r w:rsidRPr="005F09B5">
        <w:rPr>
          <w:rFonts w:ascii="Arial" w:hAnsi="Arial" w:cs="Arial"/>
          <w:noProof/>
          <w:szCs w:val="24"/>
        </w:rPr>
        <w:t>(6), 3060–3079. https://doi.org/10.1002/ptr.8196</w:t>
      </w:r>
    </w:p>
    <w:p w14:paraId="5FB6C6F4"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Das, P. K., Mukherjee, J., &amp; Banerjee, D. (2023). Female reproductive physiology. In </w:t>
      </w:r>
      <w:r w:rsidRPr="005F09B5">
        <w:rPr>
          <w:rFonts w:ascii="Arial" w:hAnsi="Arial" w:cs="Arial"/>
          <w:i/>
          <w:iCs/>
          <w:noProof/>
          <w:szCs w:val="24"/>
        </w:rPr>
        <w:t>Textbook of veterinary physiology</w:t>
      </w:r>
      <w:r w:rsidRPr="005F09B5">
        <w:rPr>
          <w:rFonts w:ascii="Arial" w:hAnsi="Arial" w:cs="Arial"/>
          <w:noProof/>
          <w:szCs w:val="24"/>
        </w:rPr>
        <w:t xml:space="preserve"> (pp. 513–568).</w:t>
      </w:r>
    </w:p>
    <w:p w14:paraId="01FB5736"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De Franciscis, P., Colacurci, N., Riemma, G., Conte, A., Pittana, E., Guida, M., &amp; Schiattarella, A. (2019). A nutraceutical approach to menopausal complaints. </w:t>
      </w:r>
      <w:r w:rsidRPr="005F09B5">
        <w:rPr>
          <w:rFonts w:ascii="Arial" w:hAnsi="Arial" w:cs="Arial"/>
          <w:i/>
          <w:iCs/>
          <w:noProof/>
          <w:szCs w:val="24"/>
        </w:rPr>
        <w:t>Medicina (Lithuania)</w:t>
      </w:r>
      <w:r w:rsidRPr="005F09B5">
        <w:rPr>
          <w:rFonts w:ascii="Arial" w:hAnsi="Arial" w:cs="Arial"/>
          <w:noProof/>
          <w:szCs w:val="24"/>
        </w:rPr>
        <w:t xml:space="preserve">, </w:t>
      </w:r>
      <w:r w:rsidRPr="005F09B5">
        <w:rPr>
          <w:rFonts w:ascii="Arial" w:hAnsi="Arial" w:cs="Arial"/>
          <w:i/>
          <w:iCs/>
          <w:noProof/>
          <w:szCs w:val="24"/>
        </w:rPr>
        <w:t>55</w:t>
      </w:r>
      <w:r w:rsidRPr="005F09B5">
        <w:rPr>
          <w:rFonts w:ascii="Arial" w:hAnsi="Arial" w:cs="Arial"/>
          <w:noProof/>
          <w:szCs w:val="24"/>
        </w:rPr>
        <w:t>(9), 16–18. https://doi.org/10.3390/medicina55090544</w:t>
      </w:r>
    </w:p>
    <w:p w14:paraId="224D5A8E"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lastRenderedPageBreak/>
        <w:t xml:space="preserve">Dias, M. C., Pinto, D. C. G. A., &amp; Silva, A. M. S. (2021). Plant Flavonoids: Chemical Characteristics and Biological Activity. </w:t>
      </w:r>
      <w:r w:rsidRPr="005F09B5">
        <w:rPr>
          <w:rFonts w:ascii="Arial" w:hAnsi="Arial" w:cs="Arial"/>
          <w:i/>
          <w:iCs/>
          <w:noProof/>
          <w:szCs w:val="24"/>
        </w:rPr>
        <w:t>Flavonoids from Plants to Foods: From Green Extraction to Healthy Food Ingredient</w:t>
      </w:r>
      <w:r w:rsidRPr="005F09B5">
        <w:rPr>
          <w:rFonts w:ascii="Arial" w:hAnsi="Arial" w:cs="Arial"/>
          <w:noProof/>
          <w:szCs w:val="24"/>
        </w:rPr>
        <w:t xml:space="preserve">, </w:t>
      </w:r>
      <w:r w:rsidRPr="005F09B5">
        <w:rPr>
          <w:rFonts w:ascii="Arial" w:hAnsi="Arial" w:cs="Arial"/>
          <w:i/>
          <w:iCs/>
          <w:noProof/>
          <w:szCs w:val="24"/>
        </w:rPr>
        <w:t>26</w:t>
      </w:r>
      <w:r w:rsidRPr="005F09B5">
        <w:rPr>
          <w:rFonts w:ascii="Arial" w:hAnsi="Arial" w:cs="Arial"/>
          <w:noProof/>
          <w:szCs w:val="24"/>
        </w:rPr>
        <w:t>(17), 5377.</w:t>
      </w:r>
    </w:p>
    <w:p w14:paraId="0C97CC50"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Duralde, E. R., Sobel, T. H., &amp; Manson, J. A. E. (2023). Management of perimenopausal and menopausal symptoms. </w:t>
      </w:r>
      <w:r w:rsidRPr="005F09B5">
        <w:rPr>
          <w:rFonts w:ascii="Arial" w:hAnsi="Arial" w:cs="Arial"/>
          <w:i/>
          <w:iCs/>
          <w:noProof/>
          <w:szCs w:val="24"/>
        </w:rPr>
        <w:t>Bmj</w:t>
      </w:r>
      <w:r w:rsidRPr="005F09B5">
        <w:rPr>
          <w:rFonts w:ascii="Arial" w:hAnsi="Arial" w:cs="Arial"/>
          <w:noProof/>
          <w:szCs w:val="24"/>
        </w:rPr>
        <w:t>. https://doi.org/10.1136/bmj-2022-072612</w:t>
      </w:r>
    </w:p>
    <w:p w14:paraId="3685D18F"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Feldman, A. T., &amp; Wolfe, D. (2014). Chapter 3. Tissue Processing and Hematoxylin and Eosin Staining. In </w:t>
      </w:r>
      <w:r w:rsidRPr="005F09B5">
        <w:rPr>
          <w:rFonts w:ascii="Arial" w:hAnsi="Arial" w:cs="Arial"/>
          <w:i/>
          <w:iCs/>
          <w:noProof/>
          <w:szCs w:val="24"/>
        </w:rPr>
        <w:t>Methods in Molecular Biology</w:t>
      </w:r>
      <w:r w:rsidRPr="005F09B5">
        <w:rPr>
          <w:rFonts w:ascii="Arial" w:hAnsi="Arial" w:cs="Arial"/>
          <w:noProof/>
          <w:szCs w:val="24"/>
        </w:rPr>
        <w:t xml:space="preserve"> (Vol. 1180, pp. 31–43). https://doi.org/10.1007/978-1-4939-1050-2</w:t>
      </w:r>
    </w:p>
    <w:p w14:paraId="46C53324"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Fuentes, N., &amp; Silveyra, P. (2019). Estrogen receptor signaling mechanisms. In </w:t>
      </w:r>
      <w:r w:rsidRPr="005F09B5">
        <w:rPr>
          <w:rFonts w:ascii="Arial" w:hAnsi="Arial" w:cs="Arial"/>
          <w:i/>
          <w:iCs/>
          <w:noProof/>
          <w:szCs w:val="24"/>
        </w:rPr>
        <w:t>Advances in protein chemistry and structural biology</w:t>
      </w:r>
      <w:r w:rsidRPr="005F09B5">
        <w:rPr>
          <w:rFonts w:ascii="Arial" w:hAnsi="Arial" w:cs="Arial"/>
          <w:noProof/>
          <w:szCs w:val="24"/>
        </w:rPr>
        <w:t xml:space="preserve"> (pp. 135–170).</w:t>
      </w:r>
    </w:p>
    <w:p w14:paraId="1647BDE7" w14:textId="77777777" w:rsidR="005F09B5" w:rsidRPr="00283978"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Genazzani, A. R., Monteleone, P., Giannini, A., &amp; Simoncini, T. (2021). Hormone therapy in the postmenopausal years: Considering benefits and risks in clinical practice. </w:t>
      </w:r>
      <w:r w:rsidRPr="005F09B5">
        <w:rPr>
          <w:rFonts w:ascii="Arial" w:hAnsi="Arial" w:cs="Arial"/>
          <w:i/>
          <w:iCs/>
          <w:noProof/>
          <w:szCs w:val="24"/>
        </w:rPr>
        <w:t>Human Reproduction Update</w:t>
      </w:r>
      <w:r w:rsidRPr="005F09B5">
        <w:rPr>
          <w:rFonts w:ascii="Arial" w:hAnsi="Arial" w:cs="Arial"/>
          <w:noProof/>
          <w:szCs w:val="24"/>
        </w:rPr>
        <w:t xml:space="preserve">, </w:t>
      </w:r>
      <w:r w:rsidRPr="005F09B5">
        <w:rPr>
          <w:rFonts w:ascii="Arial" w:hAnsi="Arial" w:cs="Arial"/>
          <w:i/>
          <w:iCs/>
          <w:noProof/>
          <w:szCs w:val="24"/>
        </w:rPr>
        <w:t>27</w:t>
      </w:r>
      <w:r w:rsidRPr="005F09B5">
        <w:rPr>
          <w:rFonts w:ascii="Arial" w:hAnsi="Arial" w:cs="Arial"/>
          <w:noProof/>
          <w:szCs w:val="24"/>
        </w:rPr>
        <w:t xml:space="preserve">(6), 1115–1150. </w:t>
      </w:r>
      <w:r w:rsidRPr="00283978">
        <w:rPr>
          <w:rFonts w:ascii="Arial" w:hAnsi="Arial" w:cs="Arial"/>
          <w:noProof/>
          <w:szCs w:val="24"/>
        </w:rPr>
        <w:t>https://doi.org/10.1093/humupd/dmab026</w:t>
      </w:r>
    </w:p>
    <w:p w14:paraId="594D07E1" w14:textId="2E43D689" w:rsidR="005F09B5" w:rsidRPr="00283978" w:rsidRDefault="005F09B5" w:rsidP="005F09B5">
      <w:pPr>
        <w:widowControl w:val="0"/>
        <w:autoSpaceDE w:val="0"/>
        <w:autoSpaceDN w:val="0"/>
        <w:adjustRightInd w:val="0"/>
        <w:ind w:left="480" w:hanging="480"/>
        <w:jc w:val="both"/>
        <w:rPr>
          <w:rFonts w:ascii="Arial" w:hAnsi="Arial" w:cs="Arial"/>
          <w:noProof/>
          <w:szCs w:val="24"/>
        </w:rPr>
      </w:pPr>
      <w:r w:rsidRPr="00283978">
        <w:rPr>
          <w:rFonts w:ascii="Arial" w:hAnsi="Arial" w:cs="Arial"/>
          <w:noProof/>
          <w:szCs w:val="24"/>
        </w:rPr>
        <w:t xml:space="preserve">Hill, A., Crider, M., &amp; Hill, S. (2016). Hormone therapy and other treatments for symptoms of menopause: Discovery Service for Endeavour College of Natural Health Library. </w:t>
      </w:r>
      <w:r w:rsidRPr="00283978">
        <w:rPr>
          <w:rFonts w:ascii="Arial" w:hAnsi="Arial" w:cs="Arial"/>
          <w:i/>
          <w:iCs/>
          <w:noProof/>
          <w:szCs w:val="24"/>
        </w:rPr>
        <w:t>American Family Physician</w:t>
      </w:r>
      <w:r w:rsidRPr="00283978">
        <w:rPr>
          <w:rFonts w:ascii="Arial" w:hAnsi="Arial" w:cs="Arial"/>
          <w:noProof/>
          <w:szCs w:val="24"/>
        </w:rPr>
        <w:t xml:space="preserve">, </w:t>
      </w:r>
      <w:r w:rsidRPr="00283978">
        <w:rPr>
          <w:rFonts w:ascii="Arial" w:hAnsi="Arial" w:cs="Arial"/>
          <w:i/>
          <w:iCs/>
          <w:noProof/>
          <w:szCs w:val="24"/>
        </w:rPr>
        <w:t>94</w:t>
      </w:r>
      <w:r w:rsidRPr="00283978">
        <w:rPr>
          <w:rFonts w:ascii="Arial" w:hAnsi="Arial" w:cs="Arial"/>
          <w:noProof/>
          <w:szCs w:val="24"/>
        </w:rPr>
        <w:t>(11), 884–889. https://www.aafp.org/afp/2016/1201/p884.html</w:t>
      </w:r>
    </w:p>
    <w:p w14:paraId="7B8A0109" w14:textId="7856AA1B" w:rsidR="00283978" w:rsidRPr="00283978" w:rsidRDefault="00283978" w:rsidP="005F09B5">
      <w:pPr>
        <w:widowControl w:val="0"/>
        <w:autoSpaceDE w:val="0"/>
        <w:autoSpaceDN w:val="0"/>
        <w:adjustRightInd w:val="0"/>
        <w:ind w:left="480" w:hanging="480"/>
        <w:jc w:val="both"/>
        <w:rPr>
          <w:rFonts w:ascii="Arial" w:hAnsi="Arial" w:cs="Arial"/>
          <w:noProof/>
        </w:rPr>
      </w:pPr>
      <w:r w:rsidRPr="00283978">
        <w:rPr>
          <w:rFonts w:ascii="Arial" w:hAnsi="Arial" w:cs="Arial"/>
        </w:rPr>
        <w:t xml:space="preserve">Inyang, U., Ibanga, U., &amp; Enidiok, S. (2018). Changes in Amino Acids, Anti-Nutrients and Functional Properties of African Yam Bean Flour Caused by Variation in Steeping Time Prior to Autoclaving. </w:t>
      </w:r>
      <w:r w:rsidRPr="00283978">
        <w:rPr>
          <w:rFonts w:ascii="Arial" w:hAnsi="Arial" w:cs="Arial"/>
          <w:i/>
          <w:iCs/>
        </w:rPr>
        <w:t>Asian Journal of Biotechnology and Bioresource Technology, 3 (1)</w:t>
      </w:r>
      <w:r w:rsidRPr="00283978">
        <w:rPr>
          <w:rFonts w:ascii="Arial" w:hAnsi="Arial" w:cs="Arial"/>
        </w:rPr>
        <w:t xml:space="preserve">, 1-10. </w:t>
      </w:r>
      <w:hyperlink r:id="rId26" w:history="1">
        <w:r w:rsidRPr="00283978">
          <w:rPr>
            <w:rStyle w:val="Hyperlink"/>
            <w:rFonts w:ascii="Arial" w:hAnsi="Arial" w:cs="Arial"/>
            <w:lang w:val="en-GB"/>
          </w:rPr>
          <w:t>https://doi.org/10.9734/AJB2T/2018/39747</w:t>
        </w:r>
      </w:hyperlink>
    </w:p>
    <w:p w14:paraId="7B342F15"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Johnson, A., Roberts, L., &amp; Elkins, G. (2019). Complementary and Alternative Medicine for Menopause. </w:t>
      </w:r>
      <w:r w:rsidRPr="005F09B5">
        <w:rPr>
          <w:rFonts w:ascii="Arial" w:hAnsi="Arial" w:cs="Arial"/>
          <w:i/>
          <w:iCs/>
          <w:noProof/>
          <w:szCs w:val="24"/>
        </w:rPr>
        <w:t>Journal of Evidence-Based Integrative Medicine</w:t>
      </w:r>
      <w:r w:rsidRPr="005F09B5">
        <w:rPr>
          <w:rFonts w:ascii="Arial" w:hAnsi="Arial" w:cs="Arial"/>
          <w:noProof/>
          <w:szCs w:val="24"/>
        </w:rPr>
        <w:t xml:space="preserve">, </w:t>
      </w:r>
      <w:r w:rsidRPr="005F09B5">
        <w:rPr>
          <w:rFonts w:ascii="Arial" w:hAnsi="Arial" w:cs="Arial"/>
          <w:i/>
          <w:iCs/>
          <w:noProof/>
          <w:szCs w:val="24"/>
        </w:rPr>
        <w:t>24</w:t>
      </w:r>
      <w:r w:rsidRPr="005F09B5">
        <w:rPr>
          <w:rFonts w:ascii="Arial" w:hAnsi="Arial" w:cs="Arial"/>
          <w:noProof/>
          <w:szCs w:val="24"/>
        </w:rPr>
        <w:t>, 1–14. https://doi.org/10.1177/2515690X19829380</w:t>
      </w:r>
    </w:p>
    <w:p w14:paraId="1BFF2B7F"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Kang, S. C., &amp; Park, D. W. (2019). Pharmaceutical Composition for Preventing and Treating Alpha Herpes Virus Infection, Containing, As Active Ingredient, Elaeocarpus Sylvestris Extract or Fraction Thereof. </w:t>
      </w:r>
      <w:r w:rsidRPr="005F09B5">
        <w:rPr>
          <w:rFonts w:ascii="Arial" w:hAnsi="Arial" w:cs="Arial"/>
          <w:i/>
          <w:iCs/>
          <w:noProof/>
          <w:szCs w:val="24"/>
        </w:rPr>
        <w:t>Patent Application Publication</w:t>
      </w:r>
      <w:r w:rsidRPr="005F09B5">
        <w:rPr>
          <w:rFonts w:ascii="Arial" w:hAnsi="Arial" w:cs="Arial"/>
          <w:noProof/>
          <w:szCs w:val="24"/>
        </w:rPr>
        <w:t xml:space="preserve">, </w:t>
      </w:r>
      <w:r w:rsidRPr="005F09B5">
        <w:rPr>
          <w:rFonts w:ascii="Arial" w:hAnsi="Arial" w:cs="Arial"/>
          <w:i/>
          <w:iCs/>
          <w:noProof/>
          <w:szCs w:val="24"/>
        </w:rPr>
        <w:t>1</w:t>
      </w:r>
      <w:r w:rsidRPr="005F09B5">
        <w:rPr>
          <w:rFonts w:ascii="Arial" w:hAnsi="Arial" w:cs="Arial"/>
          <w:noProof/>
          <w:szCs w:val="24"/>
        </w:rPr>
        <w:t>, 1–12.</w:t>
      </w:r>
    </w:p>
    <w:p w14:paraId="27346C26"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Kiyama, R. (2023). Estrogenic flavonoids and their molecular mechanisms of action. </w:t>
      </w:r>
      <w:r w:rsidRPr="005F09B5">
        <w:rPr>
          <w:rFonts w:ascii="Arial" w:hAnsi="Arial" w:cs="Arial"/>
          <w:i/>
          <w:iCs/>
          <w:noProof/>
          <w:szCs w:val="24"/>
        </w:rPr>
        <w:t>Journal of Nutritional Biochemistry</w:t>
      </w:r>
      <w:r w:rsidRPr="005F09B5">
        <w:rPr>
          <w:rFonts w:ascii="Arial" w:hAnsi="Arial" w:cs="Arial"/>
          <w:noProof/>
          <w:szCs w:val="24"/>
        </w:rPr>
        <w:t xml:space="preserve">, </w:t>
      </w:r>
      <w:r w:rsidRPr="005F09B5">
        <w:rPr>
          <w:rFonts w:ascii="Arial" w:hAnsi="Arial" w:cs="Arial"/>
          <w:i/>
          <w:iCs/>
          <w:noProof/>
          <w:szCs w:val="24"/>
        </w:rPr>
        <w:t>114</w:t>
      </w:r>
      <w:r w:rsidRPr="005F09B5">
        <w:rPr>
          <w:rFonts w:ascii="Arial" w:hAnsi="Arial" w:cs="Arial"/>
          <w:noProof/>
          <w:szCs w:val="24"/>
        </w:rPr>
        <w:t>, 109250. https://doi.org/10.1016/j.jnutbio.2022.109250</w:t>
      </w:r>
    </w:p>
    <w:p w14:paraId="2125AC72"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Krisnawati, A., Sutrisno, &amp; Adien, M. M. (2018). Diversity in Tuber Characteristics of Local Cultivars of Yam Bean (Pachyrhizus erosus) in Indonesia. </w:t>
      </w:r>
      <w:r w:rsidRPr="005F09B5">
        <w:rPr>
          <w:rFonts w:ascii="Arial" w:hAnsi="Arial" w:cs="Arial"/>
          <w:i/>
          <w:iCs/>
          <w:noProof/>
          <w:szCs w:val="24"/>
        </w:rPr>
        <w:t>Biosaintifika</w:t>
      </w:r>
      <w:r w:rsidRPr="005F09B5">
        <w:rPr>
          <w:rFonts w:ascii="Arial" w:hAnsi="Arial" w:cs="Arial"/>
          <w:noProof/>
          <w:szCs w:val="24"/>
        </w:rPr>
        <w:t xml:space="preserve">, </w:t>
      </w:r>
      <w:r w:rsidRPr="005F09B5">
        <w:rPr>
          <w:rFonts w:ascii="Arial" w:hAnsi="Arial" w:cs="Arial"/>
          <w:i/>
          <w:iCs/>
          <w:noProof/>
          <w:szCs w:val="24"/>
        </w:rPr>
        <w:t>10</w:t>
      </w:r>
      <w:r w:rsidRPr="005F09B5">
        <w:rPr>
          <w:rFonts w:ascii="Arial" w:hAnsi="Arial" w:cs="Arial"/>
          <w:noProof/>
          <w:szCs w:val="24"/>
        </w:rPr>
        <w:t>(2), 267–274. https://doi.org/10.15294/biosaintifika.v10i2.14272</w:t>
      </w:r>
    </w:p>
    <w:p w14:paraId="3D55658F"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Křížová, L., Dadáková, K., Kašparovská, J., &amp; Kašparovský, T. (2019). Isoflavones. </w:t>
      </w:r>
      <w:r w:rsidRPr="005F09B5">
        <w:rPr>
          <w:rFonts w:ascii="Arial" w:hAnsi="Arial" w:cs="Arial"/>
          <w:i/>
          <w:iCs/>
          <w:noProof/>
          <w:szCs w:val="24"/>
        </w:rPr>
        <w:t>Molecules</w:t>
      </w:r>
      <w:r w:rsidRPr="005F09B5">
        <w:rPr>
          <w:rFonts w:ascii="Arial" w:hAnsi="Arial" w:cs="Arial"/>
          <w:noProof/>
          <w:szCs w:val="24"/>
        </w:rPr>
        <w:t xml:space="preserve">, </w:t>
      </w:r>
      <w:r w:rsidRPr="005F09B5">
        <w:rPr>
          <w:rFonts w:ascii="Arial" w:hAnsi="Arial" w:cs="Arial"/>
          <w:i/>
          <w:iCs/>
          <w:noProof/>
          <w:szCs w:val="24"/>
        </w:rPr>
        <w:t>24</w:t>
      </w:r>
      <w:r w:rsidRPr="005F09B5">
        <w:rPr>
          <w:rFonts w:ascii="Arial" w:hAnsi="Arial" w:cs="Arial"/>
          <w:noProof/>
          <w:szCs w:val="24"/>
        </w:rPr>
        <w:t>(6). https://doi.org/10.3390/molecules24061076</w:t>
      </w:r>
    </w:p>
    <w:p w14:paraId="1025F81E"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Kusnandar, M. R., Wibowo, I., &amp; Barlian, A. (2025). Characterizing Nanoparticle Isolated by Yam Bean (Pachyrhizus erosus) as a Potential Agent for Nanocosmetics: An in vitro and in vivo Approaches. </w:t>
      </w:r>
      <w:r w:rsidRPr="005F09B5">
        <w:rPr>
          <w:rFonts w:ascii="Arial" w:hAnsi="Arial" w:cs="Arial"/>
          <w:i/>
          <w:iCs/>
          <w:noProof/>
          <w:szCs w:val="24"/>
        </w:rPr>
        <w:t>Pharmaceutical Nanotechnology</w:t>
      </w:r>
      <w:r w:rsidRPr="005F09B5">
        <w:rPr>
          <w:rFonts w:ascii="Arial" w:hAnsi="Arial" w:cs="Arial"/>
          <w:noProof/>
          <w:szCs w:val="24"/>
        </w:rPr>
        <w:t xml:space="preserve">, </w:t>
      </w:r>
      <w:r w:rsidRPr="005F09B5">
        <w:rPr>
          <w:rFonts w:ascii="Arial" w:hAnsi="Arial" w:cs="Arial"/>
          <w:i/>
          <w:iCs/>
          <w:noProof/>
          <w:szCs w:val="24"/>
        </w:rPr>
        <w:t>13</w:t>
      </w:r>
      <w:r w:rsidRPr="005F09B5">
        <w:rPr>
          <w:rFonts w:ascii="Arial" w:hAnsi="Arial" w:cs="Arial"/>
          <w:noProof/>
          <w:szCs w:val="24"/>
        </w:rPr>
        <w:t>(2), 341–357.</w:t>
      </w:r>
    </w:p>
    <w:p w14:paraId="1BAC5039"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Lee, A. R., Kim, H.-O., Song, W. J., Min, Y.-H., &amp; Roh, S.-S. (2017). Effects of Mask Pack Containing Yam Bean (Pachyrhizus erosus) Extracts on Skin Improvement. </w:t>
      </w:r>
      <w:r w:rsidRPr="005F09B5">
        <w:rPr>
          <w:rFonts w:ascii="Arial" w:hAnsi="Arial" w:cs="Arial"/>
          <w:i/>
          <w:iCs/>
          <w:noProof/>
          <w:szCs w:val="24"/>
        </w:rPr>
        <w:t>Asian Journal of Beauty and Cosmetology</w:t>
      </w:r>
      <w:r w:rsidRPr="005F09B5">
        <w:rPr>
          <w:rFonts w:ascii="Arial" w:hAnsi="Arial" w:cs="Arial"/>
          <w:noProof/>
          <w:szCs w:val="24"/>
        </w:rPr>
        <w:t xml:space="preserve">, </w:t>
      </w:r>
      <w:r w:rsidRPr="005F09B5">
        <w:rPr>
          <w:rFonts w:ascii="Arial" w:hAnsi="Arial" w:cs="Arial"/>
          <w:i/>
          <w:iCs/>
          <w:noProof/>
          <w:szCs w:val="24"/>
        </w:rPr>
        <w:t>15</w:t>
      </w:r>
      <w:r w:rsidRPr="005F09B5">
        <w:rPr>
          <w:rFonts w:ascii="Arial" w:hAnsi="Arial" w:cs="Arial"/>
          <w:noProof/>
          <w:szCs w:val="24"/>
        </w:rPr>
        <w:t>(2), 180–190. https://doi.org/10.20402/ajbc.2016.0123</w:t>
      </w:r>
    </w:p>
    <w:p w14:paraId="3C8E4C76"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Lin, J., Wu, D., Jia, L., Liang, M., Liu, S., Qin, Z., Zhang, J., Han, Y., Liu, S., &amp; Zhang, Y. (2021). The Treatment of Complementary and Alternative Medicine on Premature Ovarian Failure. </w:t>
      </w:r>
      <w:r w:rsidRPr="005F09B5">
        <w:rPr>
          <w:rFonts w:ascii="Arial" w:hAnsi="Arial" w:cs="Arial"/>
          <w:i/>
          <w:iCs/>
          <w:noProof/>
          <w:szCs w:val="24"/>
        </w:rPr>
        <w:t>Evidence-Based Complementary and Alternative Medicine</w:t>
      </w:r>
      <w:r w:rsidRPr="005F09B5">
        <w:rPr>
          <w:rFonts w:ascii="Arial" w:hAnsi="Arial" w:cs="Arial"/>
          <w:noProof/>
          <w:szCs w:val="24"/>
        </w:rPr>
        <w:t xml:space="preserve">, </w:t>
      </w:r>
      <w:r w:rsidRPr="005F09B5">
        <w:rPr>
          <w:rFonts w:ascii="Arial" w:hAnsi="Arial" w:cs="Arial"/>
          <w:i/>
          <w:iCs/>
          <w:noProof/>
          <w:szCs w:val="24"/>
        </w:rPr>
        <w:t>2021</w:t>
      </w:r>
      <w:r w:rsidRPr="005F09B5">
        <w:rPr>
          <w:rFonts w:ascii="Arial" w:hAnsi="Arial" w:cs="Arial"/>
          <w:noProof/>
          <w:szCs w:val="24"/>
        </w:rPr>
        <w:t>. https://doi.org/10.1155/2021/6677767</w:t>
      </w:r>
    </w:p>
    <w:p w14:paraId="3A1815B9"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Ma, L., Shen, W., Zhang, J., Ma, L., Shen, W., Shen, W., &amp; Zhang, J. (2023). The life cycle of the ovary. In </w:t>
      </w:r>
      <w:r w:rsidRPr="005F09B5">
        <w:rPr>
          <w:rFonts w:ascii="Arial" w:hAnsi="Arial" w:cs="Arial"/>
          <w:i/>
          <w:iCs/>
          <w:noProof/>
          <w:szCs w:val="24"/>
        </w:rPr>
        <w:t>Ovarian aging</w:t>
      </w:r>
      <w:r w:rsidRPr="005F09B5">
        <w:rPr>
          <w:rFonts w:ascii="Arial" w:hAnsi="Arial" w:cs="Arial"/>
          <w:noProof/>
          <w:szCs w:val="24"/>
        </w:rPr>
        <w:t xml:space="preserve"> (pp. 7–33).</w:t>
      </w:r>
    </w:p>
    <w:p w14:paraId="49061F4A"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Mahmood, K., Zia, K. M., Zuber, M., Salman, M., &amp; Anjum, M. N. (2015). Recent developments in curcumin and curcumin based polymeric materials for biomedical applications: A review. </w:t>
      </w:r>
      <w:r w:rsidRPr="005F09B5">
        <w:rPr>
          <w:rFonts w:ascii="Arial" w:hAnsi="Arial" w:cs="Arial"/>
          <w:i/>
          <w:iCs/>
          <w:noProof/>
          <w:szCs w:val="24"/>
        </w:rPr>
        <w:t>International Journal of Biological Macromolecules</w:t>
      </w:r>
      <w:r w:rsidRPr="005F09B5">
        <w:rPr>
          <w:rFonts w:ascii="Arial" w:hAnsi="Arial" w:cs="Arial"/>
          <w:noProof/>
          <w:szCs w:val="24"/>
        </w:rPr>
        <w:t xml:space="preserve">, </w:t>
      </w:r>
      <w:r w:rsidRPr="005F09B5">
        <w:rPr>
          <w:rFonts w:ascii="Arial" w:hAnsi="Arial" w:cs="Arial"/>
          <w:i/>
          <w:iCs/>
          <w:noProof/>
          <w:szCs w:val="24"/>
        </w:rPr>
        <w:t>81</w:t>
      </w:r>
      <w:r w:rsidRPr="005F09B5">
        <w:rPr>
          <w:rFonts w:ascii="Arial" w:hAnsi="Arial" w:cs="Arial"/>
          <w:noProof/>
          <w:szCs w:val="24"/>
        </w:rPr>
        <w:t>(1), 877–890.</w:t>
      </w:r>
    </w:p>
    <w:p w14:paraId="0AEB45DC"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NURSHILLAH, C., ANGGOROWATI, D., PUTRI, E. R., BALGIS, M., NURWULANDARI, M., MURTININGSIH, M., AGUSTINA, N., WULANDARI, P., LIZA, N., HIMAWAN, W., &amp; SETYAWAN, A. D. (2022). Diversity of edible plants traded in Legi Traditional Market, Surakarta, Indonesia. </w:t>
      </w:r>
      <w:r w:rsidRPr="005F09B5">
        <w:rPr>
          <w:rFonts w:ascii="Arial" w:hAnsi="Arial" w:cs="Arial"/>
          <w:i/>
          <w:iCs/>
          <w:noProof/>
          <w:szCs w:val="24"/>
        </w:rPr>
        <w:t>Asian Journal of Ethnobiology</w:t>
      </w:r>
      <w:r w:rsidRPr="005F09B5">
        <w:rPr>
          <w:rFonts w:ascii="Arial" w:hAnsi="Arial" w:cs="Arial"/>
          <w:noProof/>
          <w:szCs w:val="24"/>
        </w:rPr>
        <w:t xml:space="preserve">, </w:t>
      </w:r>
      <w:r w:rsidRPr="005F09B5">
        <w:rPr>
          <w:rFonts w:ascii="Arial" w:hAnsi="Arial" w:cs="Arial"/>
          <w:i/>
          <w:iCs/>
          <w:noProof/>
          <w:szCs w:val="24"/>
        </w:rPr>
        <w:t>5</w:t>
      </w:r>
      <w:r w:rsidRPr="005F09B5">
        <w:rPr>
          <w:rFonts w:ascii="Arial" w:hAnsi="Arial" w:cs="Arial"/>
          <w:noProof/>
          <w:szCs w:val="24"/>
        </w:rPr>
        <w:t>(1), 52–61. https://doi.org/10.13057/asianjethnobiol/y050106</w:t>
      </w:r>
    </w:p>
    <w:p w14:paraId="7EE3B294"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Ogunlakin, A. D., Sonibare, M. A., &amp; Ojo, O. A. (2023). Review on Effect of Medicinal Plants on Female Reproductive System. </w:t>
      </w:r>
      <w:r w:rsidRPr="005F09B5">
        <w:rPr>
          <w:rFonts w:ascii="Arial" w:hAnsi="Arial" w:cs="Arial"/>
          <w:i/>
          <w:iCs/>
          <w:noProof/>
          <w:szCs w:val="24"/>
        </w:rPr>
        <w:t>Tropical Journal of Natural Product Research</w:t>
      </w:r>
      <w:r w:rsidRPr="005F09B5">
        <w:rPr>
          <w:rFonts w:ascii="Arial" w:hAnsi="Arial" w:cs="Arial"/>
          <w:noProof/>
          <w:szCs w:val="24"/>
        </w:rPr>
        <w:t xml:space="preserve">, </w:t>
      </w:r>
      <w:r w:rsidRPr="005F09B5">
        <w:rPr>
          <w:rFonts w:ascii="Arial" w:hAnsi="Arial" w:cs="Arial"/>
          <w:i/>
          <w:iCs/>
          <w:noProof/>
          <w:szCs w:val="24"/>
        </w:rPr>
        <w:t>7</w:t>
      </w:r>
      <w:r w:rsidRPr="005F09B5">
        <w:rPr>
          <w:rFonts w:ascii="Arial" w:hAnsi="Arial" w:cs="Arial"/>
          <w:noProof/>
          <w:szCs w:val="24"/>
        </w:rPr>
        <w:t>(3), 2473–2483. https://doi.org/10.26538/tjnpr/v7i3.1</w:t>
      </w:r>
    </w:p>
    <w:p w14:paraId="0046D7AC"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Okwuosa, T. M., Morgans, A., Rhee, J. W., Reding, K. W., Maliski, S., Plana, J. C., Volgman, A. S., Moseley, K. F., Porter, C. B., &amp; Ismail-Khan, R. (2021). Impact of Hormonal Therapies for Treatment of Hormone-Dependent Cancers (Breast and Prostate) on the Cardiovascular System: Effects and Modifications: A Scientific Statement From the American Heart Association. </w:t>
      </w:r>
      <w:r w:rsidRPr="005F09B5">
        <w:rPr>
          <w:rFonts w:ascii="Arial" w:hAnsi="Arial" w:cs="Arial"/>
          <w:i/>
          <w:iCs/>
          <w:noProof/>
          <w:szCs w:val="24"/>
        </w:rPr>
        <w:t>Circulation: Genomic and Precision Medicine</w:t>
      </w:r>
      <w:r w:rsidRPr="005F09B5">
        <w:rPr>
          <w:rFonts w:ascii="Arial" w:hAnsi="Arial" w:cs="Arial"/>
          <w:noProof/>
          <w:szCs w:val="24"/>
        </w:rPr>
        <w:t xml:space="preserve">, </w:t>
      </w:r>
      <w:r w:rsidRPr="005F09B5">
        <w:rPr>
          <w:rFonts w:ascii="Arial" w:hAnsi="Arial" w:cs="Arial"/>
          <w:i/>
          <w:iCs/>
          <w:noProof/>
          <w:szCs w:val="24"/>
        </w:rPr>
        <w:t>14</w:t>
      </w:r>
      <w:r w:rsidRPr="005F09B5">
        <w:rPr>
          <w:rFonts w:ascii="Arial" w:hAnsi="Arial" w:cs="Arial"/>
          <w:noProof/>
          <w:szCs w:val="24"/>
        </w:rPr>
        <w:t>(3), E000082. https://doi.org/10.1161/HCG.0000000000000082</w:t>
      </w:r>
    </w:p>
    <w:p w14:paraId="38CC975C"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Pan, M., Pan, X., Zhou, J., Wang, J., Qi, Q., &amp; Wang, L. (2022). Update on hormone therapy for the management of postmenopausal women. </w:t>
      </w:r>
      <w:r w:rsidRPr="005F09B5">
        <w:rPr>
          <w:rFonts w:ascii="Arial" w:hAnsi="Arial" w:cs="Arial"/>
          <w:i/>
          <w:iCs/>
          <w:noProof/>
          <w:szCs w:val="24"/>
        </w:rPr>
        <w:t>BioScience Trends</w:t>
      </w:r>
      <w:r w:rsidRPr="005F09B5">
        <w:rPr>
          <w:rFonts w:ascii="Arial" w:hAnsi="Arial" w:cs="Arial"/>
          <w:noProof/>
          <w:szCs w:val="24"/>
        </w:rPr>
        <w:t xml:space="preserve">, </w:t>
      </w:r>
      <w:r w:rsidRPr="005F09B5">
        <w:rPr>
          <w:rFonts w:ascii="Arial" w:hAnsi="Arial" w:cs="Arial"/>
          <w:i/>
          <w:iCs/>
          <w:noProof/>
          <w:szCs w:val="24"/>
        </w:rPr>
        <w:t>16</w:t>
      </w:r>
      <w:r w:rsidRPr="005F09B5">
        <w:rPr>
          <w:rFonts w:ascii="Arial" w:hAnsi="Arial" w:cs="Arial"/>
          <w:noProof/>
          <w:szCs w:val="24"/>
        </w:rPr>
        <w:t>(1), 46–57. https://doi.org/10.5582/bst.2021.01418</w:t>
      </w:r>
    </w:p>
    <w:p w14:paraId="1BD76EE8"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Primiani, C. N. (2015). The phytoestrogenic potential of yam bean (Pachyrhizus erosus) on ovarian and uterine tissue structure of premenopausal mice. </w:t>
      </w:r>
      <w:r w:rsidRPr="005F09B5">
        <w:rPr>
          <w:rFonts w:ascii="Arial" w:hAnsi="Arial" w:cs="Arial"/>
          <w:i/>
          <w:iCs/>
          <w:noProof/>
          <w:szCs w:val="24"/>
        </w:rPr>
        <w:t>Biology, Medicine, &amp; Natural Product Chemistry</w:t>
      </w:r>
      <w:r w:rsidRPr="005F09B5">
        <w:rPr>
          <w:rFonts w:ascii="Arial" w:hAnsi="Arial" w:cs="Arial"/>
          <w:noProof/>
          <w:szCs w:val="24"/>
        </w:rPr>
        <w:t xml:space="preserve">, </w:t>
      </w:r>
      <w:r w:rsidRPr="005F09B5">
        <w:rPr>
          <w:rFonts w:ascii="Arial" w:hAnsi="Arial" w:cs="Arial"/>
          <w:i/>
          <w:iCs/>
          <w:noProof/>
          <w:szCs w:val="24"/>
        </w:rPr>
        <w:t>4</w:t>
      </w:r>
      <w:r w:rsidRPr="005F09B5">
        <w:rPr>
          <w:rFonts w:ascii="Arial" w:hAnsi="Arial" w:cs="Arial"/>
          <w:noProof/>
          <w:szCs w:val="24"/>
        </w:rPr>
        <w:t>(1), 5–9.</w:t>
      </w:r>
    </w:p>
    <w:p w14:paraId="32C66AE9"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Sampedro-Carrillo, E. A. (2022). Sample preparation and fixation for histology and pathology. </w:t>
      </w:r>
      <w:r w:rsidRPr="005F09B5">
        <w:rPr>
          <w:rFonts w:ascii="Arial" w:hAnsi="Arial" w:cs="Arial"/>
          <w:i/>
          <w:iCs/>
          <w:noProof/>
          <w:szCs w:val="24"/>
        </w:rPr>
        <w:t>Immunohistochemistry and Immunocytochemistry: Methods and Protocols</w:t>
      </w:r>
      <w:r w:rsidRPr="005F09B5">
        <w:rPr>
          <w:rFonts w:ascii="Arial" w:hAnsi="Arial" w:cs="Arial"/>
          <w:noProof/>
          <w:szCs w:val="24"/>
        </w:rPr>
        <w:t>, 33–45.</w:t>
      </w:r>
    </w:p>
    <w:p w14:paraId="01004211"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Santoro, N., Roeca, C., Peters, B. A., &amp; Neal-Perry, G. (2021). The Menopause Transition: Signs, Symptoms, and </w:t>
      </w:r>
      <w:r w:rsidRPr="005F09B5">
        <w:rPr>
          <w:rFonts w:ascii="Arial" w:hAnsi="Arial" w:cs="Arial"/>
          <w:noProof/>
          <w:szCs w:val="24"/>
        </w:rPr>
        <w:lastRenderedPageBreak/>
        <w:t xml:space="preserve">Management Options. </w:t>
      </w:r>
      <w:r w:rsidRPr="005F09B5">
        <w:rPr>
          <w:rFonts w:ascii="Arial" w:hAnsi="Arial" w:cs="Arial"/>
          <w:i/>
          <w:iCs/>
          <w:noProof/>
          <w:szCs w:val="24"/>
        </w:rPr>
        <w:t>Journal of Clinical Endocrinology and Metabolism</w:t>
      </w:r>
      <w:r w:rsidRPr="005F09B5">
        <w:rPr>
          <w:rFonts w:ascii="Arial" w:hAnsi="Arial" w:cs="Arial"/>
          <w:noProof/>
          <w:szCs w:val="24"/>
        </w:rPr>
        <w:t xml:space="preserve">, </w:t>
      </w:r>
      <w:r w:rsidRPr="005F09B5">
        <w:rPr>
          <w:rFonts w:ascii="Arial" w:hAnsi="Arial" w:cs="Arial"/>
          <w:i/>
          <w:iCs/>
          <w:noProof/>
          <w:szCs w:val="24"/>
        </w:rPr>
        <w:t>106</w:t>
      </w:r>
      <w:r w:rsidRPr="005F09B5">
        <w:rPr>
          <w:rFonts w:ascii="Arial" w:hAnsi="Arial" w:cs="Arial"/>
          <w:noProof/>
          <w:szCs w:val="24"/>
        </w:rPr>
        <w:t>(1), 1–15. https://doi.org/10.1210/clinem/dgaa764</w:t>
      </w:r>
    </w:p>
    <w:p w14:paraId="01F33C5A"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Sharma, S., Krishnan, A., Mukherjee, A., &amp; Kumar, V. (2025). Menopause and Oral Health. </w:t>
      </w:r>
      <w:r w:rsidRPr="005F09B5">
        <w:rPr>
          <w:rFonts w:ascii="Arial" w:hAnsi="Arial" w:cs="Arial"/>
          <w:i/>
          <w:iCs/>
          <w:noProof/>
          <w:szCs w:val="24"/>
        </w:rPr>
        <w:t>Management of Menopause: A Guide for Practitioners</w:t>
      </w:r>
      <w:r w:rsidRPr="005F09B5">
        <w:rPr>
          <w:rFonts w:ascii="Arial" w:hAnsi="Arial" w:cs="Arial"/>
          <w:noProof/>
          <w:szCs w:val="24"/>
        </w:rPr>
        <w:t>, 73–88.</w:t>
      </w:r>
    </w:p>
    <w:p w14:paraId="6B5F08AF"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Shufelt, C. L., &amp; Manson, J. A. E. (2021). Menopausal Hormone Therapy and Cardiovascular Disease: The Role of Formulation, Dose, and Route of Delivery. </w:t>
      </w:r>
      <w:r w:rsidRPr="005F09B5">
        <w:rPr>
          <w:rFonts w:ascii="Arial" w:hAnsi="Arial" w:cs="Arial"/>
          <w:i/>
          <w:iCs/>
          <w:noProof/>
          <w:szCs w:val="24"/>
        </w:rPr>
        <w:t>Journal of Clinical Endocrinology and Metabolism</w:t>
      </w:r>
      <w:r w:rsidRPr="005F09B5">
        <w:rPr>
          <w:rFonts w:ascii="Arial" w:hAnsi="Arial" w:cs="Arial"/>
          <w:noProof/>
          <w:szCs w:val="24"/>
        </w:rPr>
        <w:t xml:space="preserve">, </w:t>
      </w:r>
      <w:r w:rsidRPr="005F09B5">
        <w:rPr>
          <w:rFonts w:ascii="Arial" w:hAnsi="Arial" w:cs="Arial"/>
          <w:i/>
          <w:iCs/>
          <w:noProof/>
          <w:szCs w:val="24"/>
        </w:rPr>
        <w:t>106</w:t>
      </w:r>
      <w:r w:rsidRPr="005F09B5">
        <w:rPr>
          <w:rFonts w:ascii="Arial" w:hAnsi="Arial" w:cs="Arial"/>
          <w:noProof/>
          <w:szCs w:val="24"/>
        </w:rPr>
        <w:t>(5), 1245–1254. https://doi.org/10.1210/clinem/dgab042</w:t>
      </w:r>
    </w:p>
    <w:p w14:paraId="37DD0B8F"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Sun, N., Xing, J., Li, L., Han, X. Y., Man, J., Wang, H. Y., &amp; Lv, D. M. (2018). Impact of menopause on quality of life in community-based women in china: 1 year follow-up. </w:t>
      </w:r>
      <w:r w:rsidRPr="005F09B5">
        <w:rPr>
          <w:rFonts w:ascii="Arial" w:hAnsi="Arial" w:cs="Arial"/>
          <w:i/>
          <w:iCs/>
          <w:noProof/>
          <w:szCs w:val="24"/>
        </w:rPr>
        <w:t>Archives of Psychiatric Nursing</w:t>
      </w:r>
      <w:r w:rsidRPr="005F09B5">
        <w:rPr>
          <w:rFonts w:ascii="Arial" w:hAnsi="Arial" w:cs="Arial"/>
          <w:noProof/>
          <w:szCs w:val="24"/>
        </w:rPr>
        <w:t xml:space="preserve">, </w:t>
      </w:r>
      <w:r w:rsidRPr="005F09B5">
        <w:rPr>
          <w:rFonts w:ascii="Arial" w:hAnsi="Arial" w:cs="Arial"/>
          <w:i/>
          <w:iCs/>
          <w:noProof/>
          <w:szCs w:val="24"/>
        </w:rPr>
        <w:t>32</w:t>
      </w:r>
      <w:r w:rsidRPr="005F09B5">
        <w:rPr>
          <w:rFonts w:ascii="Arial" w:hAnsi="Arial" w:cs="Arial"/>
          <w:noProof/>
          <w:szCs w:val="24"/>
        </w:rPr>
        <w:t>(2), 224–228.</w:t>
      </w:r>
    </w:p>
    <w:p w14:paraId="36114058"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Timmana, V. S. G., Mattapalli, G., Gujju, E., &amp; Boddu, P. (2021). Understanding menopause-postmenopausal complications, management and quality of life. </w:t>
      </w:r>
      <w:r w:rsidRPr="005F09B5">
        <w:rPr>
          <w:rFonts w:ascii="Arial" w:hAnsi="Arial" w:cs="Arial"/>
          <w:i/>
          <w:iCs/>
          <w:noProof/>
          <w:szCs w:val="24"/>
        </w:rPr>
        <w:t>International Journal of Pharmaceutics and Drug Analysis</w:t>
      </w:r>
      <w:r w:rsidRPr="005F09B5">
        <w:rPr>
          <w:rFonts w:ascii="Arial" w:hAnsi="Arial" w:cs="Arial"/>
          <w:noProof/>
          <w:szCs w:val="24"/>
        </w:rPr>
        <w:t>, 109–125. https://doi.org/10.47957/ijpda.v9i2.473</w:t>
      </w:r>
    </w:p>
    <w:p w14:paraId="4EDE502D"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Ugras, S. K., &amp; Layeequr Rahman, R. (2021). Hormone replacement therapy after breast cancer: Yes, No or maybe? </w:t>
      </w:r>
      <w:r w:rsidRPr="005F09B5">
        <w:rPr>
          <w:rFonts w:ascii="Arial" w:hAnsi="Arial" w:cs="Arial"/>
          <w:i/>
          <w:iCs/>
          <w:noProof/>
          <w:szCs w:val="24"/>
        </w:rPr>
        <w:t>Molecular and Cellular Endocrinology</w:t>
      </w:r>
      <w:r w:rsidRPr="005F09B5">
        <w:rPr>
          <w:rFonts w:ascii="Arial" w:hAnsi="Arial" w:cs="Arial"/>
          <w:noProof/>
          <w:szCs w:val="24"/>
        </w:rPr>
        <w:t xml:space="preserve">, </w:t>
      </w:r>
      <w:r w:rsidRPr="005F09B5">
        <w:rPr>
          <w:rFonts w:ascii="Arial" w:hAnsi="Arial" w:cs="Arial"/>
          <w:i/>
          <w:iCs/>
          <w:noProof/>
          <w:szCs w:val="24"/>
        </w:rPr>
        <w:t>525</w:t>
      </w:r>
      <w:r w:rsidRPr="005F09B5">
        <w:rPr>
          <w:rFonts w:ascii="Arial" w:hAnsi="Arial" w:cs="Arial"/>
          <w:noProof/>
          <w:szCs w:val="24"/>
        </w:rPr>
        <w:t>(January), 111180. https://doi.org/10.1016/j.mce.2021.111180</w:t>
      </w:r>
    </w:p>
    <w:p w14:paraId="41B6B0E1"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Vrachnis, N., Zygouris, D., Vrachnis, D., Antonakopoulos, N., Fotiou, A., Panagopoulos, P., Kolialexi, A., Pappa, K., Mastorakos, G., &amp; Iliodromiti, Z. (2021). Effects of hormone therapy and flavonoids capable on reversal of menopausal immune senescence. </w:t>
      </w:r>
      <w:r w:rsidRPr="005F09B5">
        <w:rPr>
          <w:rFonts w:ascii="Arial" w:hAnsi="Arial" w:cs="Arial"/>
          <w:i/>
          <w:iCs/>
          <w:noProof/>
          <w:szCs w:val="24"/>
        </w:rPr>
        <w:t>Nutrients</w:t>
      </w:r>
      <w:r w:rsidRPr="005F09B5">
        <w:rPr>
          <w:rFonts w:ascii="Arial" w:hAnsi="Arial" w:cs="Arial"/>
          <w:noProof/>
          <w:szCs w:val="24"/>
        </w:rPr>
        <w:t xml:space="preserve">, </w:t>
      </w:r>
      <w:r w:rsidRPr="005F09B5">
        <w:rPr>
          <w:rFonts w:ascii="Arial" w:hAnsi="Arial" w:cs="Arial"/>
          <w:i/>
          <w:iCs/>
          <w:noProof/>
          <w:szCs w:val="24"/>
        </w:rPr>
        <w:t>13</w:t>
      </w:r>
      <w:r w:rsidRPr="005F09B5">
        <w:rPr>
          <w:rFonts w:ascii="Arial" w:hAnsi="Arial" w:cs="Arial"/>
          <w:noProof/>
          <w:szCs w:val="24"/>
        </w:rPr>
        <w:t>(7), 1–13. https://doi.org/10.3390/nu13072363</w:t>
      </w:r>
    </w:p>
    <w:p w14:paraId="18AC7C1C" w14:textId="77777777" w:rsidR="005F09B5" w:rsidRPr="005F09B5" w:rsidRDefault="005F09B5" w:rsidP="005F09B5">
      <w:pPr>
        <w:widowControl w:val="0"/>
        <w:autoSpaceDE w:val="0"/>
        <w:autoSpaceDN w:val="0"/>
        <w:adjustRightInd w:val="0"/>
        <w:ind w:left="480" w:hanging="480"/>
        <w:jc w:val="both"/>
        <w:rPr>
          <w:rFonts w:ascii="Arial" w:hAnsi="Arial" w:cs="Arial"/>
          <w:noProof/>
        </w:rPr>
      </w:pPr>
      <w:r w:rsidRPr="005F09B5">
        <w:rPr>
          <w:rFonts w:ascii="Arial" w:hAnsi="Arial" w:cs="Arial"/>
          <w:noProof/>
          <w:szCs w:val="24"/>
        </w:rPr>
        <w:t xml:space="preserve">Whitten, P. L., Kudo, S., &amp; Okubo, K. K. (2020). Isoflavonoids. In </w:t>
      </w:r>
      <w:r w:rsidRPr="005F09B5">
        <w:rPr>
          <w:rFonts w:ascii="Arial" w:hAnsi="Arial" w:cs="Arial"/>
          <w:i/>
          <w:iCs/>
          <w:noProof/>
          <w:szCs w:val="24"/>
        </w:rPr>
        <w:t>Handbook of plant and fungal toxicants</w:t>
      </w:r>
      <w:r w:rsidRPr="005F09B5">
        <w:rPr>
          <w:rFonts w:ascii="Arial" w:hAnsi="Arial" w:cs="Arial"/>
          <w:noProof/>
          <w:szCs w:val="24"/>
        </w:rPr>
        <w:t xml:space="preserve"> (pp. 117–137).</w:t>
      </w:r>
    </w:p>
    <w:p w14:paraId="56E1910D" w14:textId="630084B0" w:rsidR="00B47DEF" w:rsidRPr="005F09B5" w:rsidRDefault="005F09B5" w:rsidP="005F09B5">
      <w:pPr>
        <w:jc w:val="both"/>
        <w:rPr>
          <w:rFonts w:ascii="Arial" w:hAnsi="Arial" w:cs="Arial"/>
        </w:rPr>
      </w:pPr>
      <w:r w:rsidRPr="005F09B5">
        <w:rPr>
          <w:rFonts w:ascii="Arial" w:hAnsi="Arial" w:cs="Arial"/>
        </w:rPr>
        <w:fldChar w:fldCharType="end"/>
      </w:r>
    </w:p>
    <w:p w14:paraId="56BE6043" w14:textId="77777777" w:rsidR="000B6971" w:rsidRPr="005F09B5" w:rsidRDefault="000B6971">
      <w:pPr>
        <w:jc w:val="both"/>
        <w:rPr>
          <w:rFonts w:ascii="Arial" w:hAnsi="Arial" w:cs="Arial"/>
        </w:rPr>
      </w:pPr>
    </w:p>
    <w:sectPr w:rsidR="000B6971" w:rsidRPr="005F09B5" w:rsidSect="000B6971">
      <w:headerReference w:type="even" r:id="rId27"/>
      <w:headerReference w:type="default" r:id="rId28"/>
      <w:footerReference w:type="default" r:id="rId29"/>
      <w:headerReference w:type="first" r:id="rId3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02BE1" w14:textId="77777777" w:rsidR="004B7F5F" w:rsidRDefault="004B7F5F">
      <w:r>
        <w:separator/>
      </w:r>
    </w:p>
  </w:endnote>
  <w:endnote w:type="continuationSeparator" w:id="0">
    <w:p w14:paraId="098DECDB" w14:textId="77777777" w:rsidR="004B7F5F" w:rsidRDefault="004B7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4C4BD" w14:textId="77777777" w:rsidR="002A53CE" w:rsidRDefault="002A53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51625" w14:textId="77777777" w:rsidR="002A53CE" w:rsidRDefault="002A53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F0210" w14:textId="77777777" w:rsidR="001831FB" w:rsidRDefault="001831FB">
    <w:pPr>
      <w:pStyle w:val="Footer"/>
      <w:rPr>
        <w:rFonts w:ascii="Arial" w:hAnsi="Arial" w:cs="Arial"/>
        <w:sz w:val="16"/>
      </w:rPr>
    </w:pPr>
  </w:p>
  <w:p w14:paraId="555EDEFA" w14:textId="77777777" w:rsidR="001831FB" w:rsidRDefault="00A71D31"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339CFB62" w14:textId="77777777" w:rsidR="001831FB" w:rsidRDefault="001831FB">
    <w:pPr>
      <w:pStyle w:val="Footer"/>
      <w:rPr>
        <w:rFonts w:ascii="Arial" w:hAnsi="Arial" w:cs="Arial"/>
        <w:sz w:val="16"/>
      </w:rPr>
    </w:pPr>
  </w:p>
  <w:p w14:paraId="28649AEC" w14:textId="77777777" w:rsidR="001831FB" w:rsidRPr="009E048A" w:rsidRDefault="00A71D31">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4D1AE" w14:textId="77777777" w:rsidR="001831FB" w:rsidRPr="00C37E61" w:rsidRDefault="001831FB"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2B7D0" w14:textId="77777777" w:rsidR="004B7F5F" w:rsidRDefault="004B7F5F">
      <w:r>
        <w:separator/>
      </w:r>
    </w:p>
  </w:footnote>
  <w:footnote w:type="continuationSeparator" w:id="0">
    <w:p w14:paraId="083AC74D" w14:textId="77777777" w:rsidR="004B7F5F" w:rsidRDefault="004B7F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C2DEB" w14:textId="0CDFEFDE" w:rsidR="002A53CE" w:rsidRDefault="004B7F5F">
    <w:pPr>
      <w:pStyle w:val="Header"/>
    </w:pPr>
    <w:r>
      <w:rPr>
        <w:noProof/>
      </w:rPr>
      <w:pict w14:anchorId="4EFAF6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92445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56126" w14:textId="273C8842" w:rsidR="002A53CE" w:rsidRDefault="004B7F5F">
    <w:pPr>
      <w:pStyle w:val="Header"/>
    </w:pPr>
    <w:r>
      <w:rPr>
        <w:noProof/>
      </w:rPr>
      <w:pict w14:anchorId="0CB8C3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92445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835AC" w14:textId="169780FF" w:rsidR="001831FB" w:rsidRPr="00296529" w:rsidRDefault="004B7F5F" w:rsidP="00296529">
    <w:pPr>
      <w:ind w:left="2160"/>
      <w:jc w:val="center"/>
      <w:rPr>
        <w:rFonts w:ascii="Times New Roman" w:eastAsia="Calibri" w:hAnsi="Times New Roman"/>
        <w:i/>
        <w:sz w:val="18"/>
        <w:szCs w:val="22"/>
      </w:rPr>
    </w:pPr>
    <w:r>
      <w:rPr>
        <w:noProof/>
      </w:rPr>
      <w:pict w14:anchorId="1B188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92445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A7FEA65" w14:textId="77777777" w:rsidR="001831FB" w:rsidRPr="00296529" w:rsidRDefault="00A71D31"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84FCF2C" w14:textId="77777777" w:rsidR="001831FB" w:rsidRPr="00296529" w:rsidRDefault="00A71D31"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8CBCAD0" w14:textId="77777777" w:rsidR="001831FB" w:rsidRPr="00296529" w:rsidRDefault="00A71D31"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3062C2" w14:textId="77777777" w:rsidR="001831FB" w:rsidRDefault="00A71D31"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449741B" w14:textId="77777777" w:rsidR="001831FB" w:rsidRDefault="00A71D31"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0F82285" w14:textId="77777777" w:rsidR="001831FB" w:rsidRDefault="00A71D31">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FB9FC" w14:textId="135B6BEB" w:rsidR="002A53CE" w:rsidRDefault="004B7F5F">
    <w:pPr>
      <w:pStyle w:val="Header"/>
    </w:pPr>
    <w:r>
      <w:rPr>
        <w:noProof/>
      </w:rPr>
      <w:pict w14:anchorId="5B66D7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92445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9AE72" w14:textId="4AB1ADEE" w:rsidR="002A53CE" w:rsidRDefault="004B7F5F">
    <w:pPr>
      <w:pStyle w:val="Header"/>
    </w:pPr>
    <w:r>
      <w:rPr>
        <w:noProof/>
      </w:rPr>
      <w:pict w14:anchorId="071BA5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92445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C2188" w14:textId="4858DB8E" w:rsidR="002A53CE" w:rsidRDefault="004B7F5F">
    <w:pPr>
      <w:pStyle w:val="Header"/>
    </w:pPr>
    <w:r>
      <w:rPr>
        <w:noProof/>
      </w:rPr>
      <w:pict w14:anchorId="647A71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92445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32525"/>
    <w:multiLevelType w:val="hybridMultilevel"/>
    <w:tmpl w:val="6F860520"/>
    <w:lvl w:ilvl="0" w:tplc="D0FE5094">
      <w:start w:val="1"/>
      <w:numFmt w:val="upp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9B5"/>
    <w:rsid w:val="00002B8A"/>
    <w:rsid w:val="000229E2"/>
    <w:rsid w:val="000435F0"/>
    <w:rsid w:val="000B6971"/>
    <w:rsid w:val="00150CE6"/>
    <w:rsid w:val="001831FB"/>
    <w:rsid w:val="001E51B8"/>
    <w:rsid w:val="001F1EFE"/>
    <w:rsid w:val="002443A6"/>
    <w:rsid w:val="00283978"/>
    <w:rsid w:val="00291E36"/>
    <w:rsid w:val="002A53CE"/>
    <w:rsid w:val="00305F33"/>
    <w:rsid w:val="00345129"/>
    <w:rsid w:val="00431871"/>
    <w:rsid w:val="00466873"/>
    <w:rsid w:val="004B7F5F"/>
    <w:rsid w:val="005E1D61"/>
    <w:rsid w:val="005F09B5"/>
    <w:rsid w:val="006128A6"/>
    <w:rsid w:val="00655E92"/>
    <w:rsid w:val="00657F24"/>
    <w:rsid w:val="00664A45"/>
    <w:rsid w:val="00667A23"/>
    <w:rsid w:val="0069392E"/>
    <w:rsid w:val="006D2132"/>
    <w:rsid w:val="006F2A92"/>
    <w:rsid w:val="0079047F"/>
    <w:rsid w:val="00820902"/>
    <w:rsid w:val="009404B2"/>
    <w:rsid w:val="00A71D31"/>
    <w:rsid w:val="00AD262A"/>
    <w:rsid w:val="00B47DEF"/>
    <w:rsid w:val="00B81D5A"/>
    <w:rsid w:val="00B864F1"/>
    <w:rsid w:val="00BA46E2"/>
    <w:rsid w:val="00C03ED1"/>
    <w:rsid w:val="00C629AC"/>
    <w:rsid w:val="00CD3D11"/>
    <w:rsid w:val="00D17033"/>
    <w:rsid w:val="00D53932"/>
    <w:rsid w:val="00D615B3"/>
    <w:rsid w:val="00D70F50"/>
    <w:rsid w:val="00D76D4F"/>
    <w:rsid w:val="00DD54FC"/>
    <w:rsid w:val="00EE6A5F"/>
    <w:rsid w:val="00FA005D"/>
    <w:rsid w:val="00FB3566"/>
    <w:rsid w:val="00FC1DA7"/>
    <w:rsid w:val="00FC6EC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0C7116B"/>
  <w15:chartTrackingRefBased/>
  <w15:docId w15:val="{23887C24-3A1E-4992-9A5B-A6E1DBCA4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09B5"/>
    <w:pPr>
      <w:spacing w:after="0" w:line="240" w:lineRule="auto"/>
    </w:pPr>
    <w:rPr>
      <w:rFonts w:ascii="Helvetica" w:eastAsia="Times New Roman" w:hAnsi="Helvetica"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5F09B5"/>
    <w:pPr>
      <w:spacing w:line="280" w:lineRule="exact"/>
      <w:jc w:val="right"/>
    </w:pPr>
    <w:rPr>
      <w:b/>
      <w:sz w:val="24"/>
    </w:rPr>
  </w:style>
  <w:style w:type="paragraph" w:customStyle="1" w:styleId="Affiliation">
    <w:name w:val="Affiliation"/>
    <w:basedOn w:val="Normal"/>
    <w:rsid w:val="005F09B5"/>
    <w:pPr>
      <w:spacing w:after="240" w:line="240" w:lineRule="exact"/>
      <w:jc w:val="right"/>
    </w:pPr>
  </w:style>
  <w:style w:type="paragraph" w:customStyle="1" w:styleId="Body">
    <w:name w:val="Body"/>
    <w:basedOn w:val="Normal"/>
    <w:rsid w:val="005F09B5"/>
    <w:pPr>
      <w:spacing w:after="240"/>
      <w:jc w:val="both"/>
    </w:pPr>
  </w:style>
  <w:style w:type="paragraph" w:customStyle="1" w:styleId="AbstHead">
    <w:name w:val="Abst Head"/>
    <w:basedOn w:val="Normal"/>
    <w:rsid w:val="005F09B5"/>
    <w:pPr>
      <w:keepNext/>
      <w:spacing w:after="240"/>
    </w:pPr>
    <w:rPr>
      <w:b/>
      <w:caps/>
      <w:sz w:val="22"/>
    </w:rPr>
  </w:style>
  <w:style w:type="paragraph" w:customStyle="1" w:styleId="ConcHead">
    <w:name w:val="Conc Head"/>
    <w:basedOn w:val="Normal"/>
    <w:rsid w:val="005F09B5"/>
    <w:pPr>
      <w:keepNext/>
      <w:spacing w:after="240"/>
    </w:pPr>
    <w:rPr>
      <w:b/>
      <w:caps/>
      <w:sz w:val="22"/>
    </w:rPr>
  </w:style>
  <w:style w:type="paragraph" w:customStyle="1" w:styleId="ReferHead">
    <w:name w:val="Refer Head"/>
    <w:basedOn w:val="Normal"/>
    <w:rsid w:val="005F09B5"/>
    <w:pPr>
      <w:keepNext/>
      <w:spacing w:after="240"/>
    </w:pPr>
    <w:rPr>
      <w:b/>
      <w:caps/>
      <w:sz w:val="22"/>
    </w:rPr>
  </w:style>
  <w:style w:type="paragraph" w:customStyle="1" w:styleId="Copyright">
    <w:name w:val="Copyright"/>
    <w:basedOn w:val="Normal"/>
    <w:rsid w:val="005F09B5"/>
    <w:pPr>
      <w:spacing w:after="960" w:line="200" w:lineRule="exact"/>
    </w:pPr>
    <w:rPr>
      <w:sz w:val="16"/>
    </w:rPr>
  </w:style>
  <w:style w:type="paragraph" w:styleId="Title">
    <w:name w:val="Title"/>
    <w:basedOn w:val="Normal"/>
    <w:link w:val="TitleChar"/>
    <w:qFormat/>
    <w:rsid w:val="005F09B5"/>
    <w:pPr>
      <w:spacing w:after="360"/>
      <w:jc w:val="right"/>
    </w:pPr>
    <w:rPr>
      <w:b/>
      <w:kern w:val="28"/>
      <w:sz w:val="36"/>
    </w:rPr>
  </w:style>
  <w:style w:type="character" w:customStyle="1" w:styleId="TitleChar">
    <w:name w:val="Title Char"/>
    <w:basedOn w:val="DefaultParagraphFont"/>
    <w:link w:val="Title"/>
    <w:rsid w:val="005F09B5"/>
    <w:rPr>
      <w:rFonts w:ascii="Helvetica" w:eastAsia="Times New Roman" w:hAnsi="Helvetica" w:cs="Times New Roman"/>
      <w:b/>
      <w:kern w:val="28"/>
      <w:sz w:val="36"/>
      <w:szCs w:val="20"/>
      <w:lang w:val="en-US"/>
    </w:rPr>
  </w:style>
  <w:style w:type="paragraph" w:customStyle="1" w:styleId="Head1">
    <w:name w:val="Head1"/>
    <w:basedOn w:val="Normal"/>
    <w:rsid w:val="005F09B5"/>
    <w:pPr>
      <w:keepNext/>
      <w:spacing w:after="240"/>
    </w:pPr>
    <w:rPr>
      <w:b/>
      <w:caps/>
      <w:sz w:val="22"/>
    </w:rPr>
  </w:style>
  <w:style w:type="paragraph" w:customStyle="1" w:styleId="Appendix">
    <w:name w:val="Appendix"/>
    <w:basedOn w:val="Normal"/>
    <w:rsid w:val="005F09B5"/>
    <w:pPr>
      <w:keepNext/>
      <w:spacing w:after="240"/>
    </w:pPr>
    <w:rPr>
      <w:b/>
      <w:caps/>
      <w:sz w:val="22"/>
    </w:rPr>
  </w:style>
  <w:style w:type="paragraph" w:styleId="Footer">
    <w:name w:val="footer"/>
    <w:basedOn w:val="Normal"/>
    <w:link w:val="FooterChar"/>
    <w:rsid w:val="005F09B5"/>
    <w:pPr>
      <w:tabs>
        <w:tab w:val="center" w:pos="4320"/>
        <w:tab w:val="right" w:pos="8640"/>
      </w:tabs>
    </w:pPr>
  </w:style>
  <w:style w:type="character" w:customStyle="1" w:styleId="FooterChar">
    <w:name w:val="Footer Char"/>
    <w:basedOn w:val="DefaultParagraphFont"/>
    <w:link w:val="Footer"/>
    <w:rsid w:val="005F09B5"/>
    <w:rPr>
      <w:rFonts w:ascii="Helvetica" w:eastAsia="Times New Roman" w:hAnsi="Helvetica" w:cs="Times New Roman"/>
      <w:sz w:val="20"/>
      <w:szCs w:val="20"/>
      <w:lang w:val="en-US"/>
    </w:rPr>
  </w:style>
  <w:style w:type="paragraph" w:styleId="Header">
    <w:name w:val="header"/>
    <w:basedOn w:val="Normal"/>
    <w:link w:val="HeaderChar"/>
    <w:rsid w:val="005F09B5"/>
    <w:pPr>
      <w:tabs>
        <w:tab w:val="center" w:pos="4320"/>
        <w:tab w:val="right" w:pos="8640"/>
      </w:tabs>
    </w:pPr>
  </w:style>
  <w:style w:type="character" w:customStyle="1" w:styleId="HeaderChar">
    <w:name w:val="Header Char"/>
    <w:basedOn w:val="DefaultParagraphFont"/>
    <w:link w:val="Header"/>
    <w:rsid w:val="005F09B5"/>
    <w:rPr>
      <w:rFonts w:ascii="Helvetica" w:eastAsia="Times New Roman" w:hAnsi="Helvetica" w:cs="Times New Roman"/>
      <w:sz w:val="20"/>
      <w:szCs w:val="20"/>
      <w:lang w:val="en-US"/>
    </w:rPr>
  </w:style>
  <w:style w:type="table" w:styleId="TableGrid">
    <w:name w:val="Table Grid"/>
    <w:basedOn w:val="TableNormal"/>
    <w:uiPriority w:val="39"/>
    <w:rsid w:val="005F09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5F09B5"/>
    <w:pPr>
      <w:spacing w:before="100" w:beforeAutospacing="1" w:after="100" w:afterAutospacing="1"/>
    </w:pPr>
    <w:rPr>
      <w:rFonts w:ascii="Times New Roman" w:hAnsi="Times New Roman"/>
      <w:sz w:val="24"/>
      <w:szCs w:val="24"/>
      <w:lang w:val="en-ID" w:eastAsia="en-ID"/>
    </w:rPr>
  </w:style>
  <w:style w:type="character" w:styleId="LineNumber">
    <w:name w:val="line number"/>
    <w:basedOn w:val="DefaultParagraphFont"/>
    <w:uiPriority w:val="99"/>
    <w:semiHidden/>
    <w:unhideWhenUsed/>
    <w:rsid w:val="005F09B5"/>
  </w:style>
  <w:style w:type="character" w:styleId="Hyperlink">
    <w:name w:val="Hyperlink"/>
    <w:basedOn w:val="DefaultParagraphFont"/>
    <w:uiPriority w:val="99"/>
    <w:unhideWhenUsed/>
    <w:rsid w:val="00FB3566"/>
    <w:rPr>
      <w:color w:val="0563C1" w:themeColor="hyperlink"/>
      <w:u w:val="single"/>
    </w:rPr>
  </w:style>
  <w:style w:type="character" w:customStyle="1" w:styleId="UnresolvedMention1">
    <w:name w:val="Unresolved Mention1"/>
    <w:basedOn w:val="DefaultParagraphFont"/>
    <w:uiPriority w:val="99"/>
    <w:semiHidden/>
    <w:unhideWhenUsed/>
    <w:rsid w:val="00FB3566"/>
    <w:rPr>
      <w:color w:val="605E5C"/>
      <w:shd w:val="clear" w:color="auto" w:fill="E1DFDD"/>
    </w:rPr>
  </w:style>
  <w:style w:type="paragraph" w:styleId="ListParagraph">
    <w:name w:val="List Paragraph"/>
    <w:basedOn w:val="Normal"/>
    <w:uiPriority w:val="34"/>
    <w:qFormat/>
    <w:rsid w:val="00664A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21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hyperlink" Target="https://doi.org/10.9734/AJB2T/2018/39747"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4AF1B-01F5-4F35-836B-E063E69C5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7</Pages>
  <Words>19054</Words>
  <Characters>108610</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SDI 1183</cp:lastModifiedBy>
  <cp:revision>14</cp:revision>
  <dcterms:created xsi:type="dcterms:W3CDTF">2025-05-24T22:43:00Z</dcterms:created>
  <dcterms:modified xsi:type="dcterms:W3CDTF">2025-05-27T07:15:00Z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207d264a-a2f6-3108-824d-1b634758b534</vt:lpwstr>
  </property>
  <property fmtid="{D5CDD505-2E9C-101B-9397-08002B2CF9AE}" pid="24" name="Mendeley Citation Style_1">
    <vt:lpwstr>http://www.zotero.org/styles/apa</vt:lpwstr>
  </property>
</Properties>
</file>