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890F9" w14:textId="11A39110" w:rsidR="00BD0DA5" w:rsidRDefault="00C07B6E" w:rsidP="00C07B6E">
      <w:pPr>
        <w:spacing w:after="120" w:line="240" w:lineRule="auto"/>
        <w:jc w:val="both"/>
        <w:rPr>
          <w:rFonts w:ascii="Times New Roman" w:eastAsia="Times New Roman" w:hAnsi="Times New Roman"/>
          <w:b/>
          <w:bCs/>
          <w:iCs/>
          <w:sz w:val="24"/>
          <w:szCs w:val="24"/>
        </w:rPr>
      </w:pPr>
      <w:r w:rsidRPr="00365F17">
        <w:rPr>
          <w:rFonts w:ascii="Times New Roman" w:eastAsia="Times New Roman" w:hAnsi="Times New Roman"/>
          <w:b/>
          <w:bCs/>
          <w:iCs/>
          <w:sz w:val="24"/>
          <w:szCs w:val="24"/>
          <w:highlight w:val="yellow"/>
        </w:rPr>
        <w:t xml:space="preserve">Sub-Chronic Toxicity Testing of Heavy Metals in Target Fresh Water </w:t>
      </w:r>
      <w:r w:rsidR="004C769A">
        <w:rPr>
          <w:rFonts w:ascii="Times New Roman" w:eastAsia="Times New Roman" w:hAnsi="Times New Roman"/>
          <w:b/>
          <w:bCs/>
          <w:iCs/>
          <w:sz w:val="24"/>
          <w:szCs w:val="24"/>
          <w:highlight w:val="yellow"/>
        </w:rPr>
        <w:t>F</w:t>
      </w:r>
      <w:r w:rsidR="004C769A" w:rsidRPr="00365F17">
        <w:rPr>
          <w:rFonts w:ascii="Times New Roman" w:eastAsia="Times New Roman" w:hAnsi="Times New Roman"/>
          <w:b/>
          <w:bCs/>
          <w:iCs/>
          <w:sz w:val="24"/>
          <w:szCs w:val="24"/>
          <w:highlight w:val="yellow"/>
        </w:rPr>
        <w:t xml:space="preserve">ish </w:t>
      </w:r>
      <w:r w:rsidR="00365F17" w:rsidRPr="00365F17">
        <w:rPr>
          <w:rFonts w:ascii="Times New Roman" w:eastAsia="Times New Roman" w:hAnsi="Times New Roman"/>
          <w:b/>
          <w:bCs/>
          <w:iCs/>
          <w:sz w:val="24"/>
          <w:szCs w:val="24"/>
          <w:highlight w:val="yellow"/>
        </w:rPr>
        <w:t>(</w:t>
      </w:r>
      <w:proofErr w:type="spellStart"/>
      <w:r w:rsidRPr="00365F17">
        <w:rPr>
          <w:rFonts w:ascii="Times New Roman" w:eastAsia="Times New Roman" w:hAnsi="Times New Roman"/>
          <w:b/>
          <w:bCs/>
          <w:i/>
          <w:iCs/>
          <w:sz w:val="24"/>
          <w:szCs w:val="24"/>
          <w:highlight w:val="yellow"/>
        </w:rPr>
        <w:t>Coptodon</w:t>
      </w:r>
      <w:proofErr w:type="spellEnd"/>
      <w:r w:rsidRPr="00365F17">
        <w:rPr>
          <w:rFonts w:ascii="Times New Roman" w:eastAsia="Times New Roman" w:hAnsi="Times New Roman"/>
          <w:b/>
          <w:bCs/>
          <w:i/>
          <w:iCs/>
          <w:sz w:val="24"/>
          <w:szCs w:val="24"/>
          <w:highlight w:val="yellow"/>
        </w:rPr>
        <w:t xml:space="preserve"> </w:t>
      </w:r>
      <w:proofErr w:type="spellStart"/>
      <w:r w:rsidRPr="00365F17">
        <w:rPr>
          <w:rFonts w:ascii="Times New Roman" w:eastAsia="Times New Roman" w:hAnsi="Times New Roman"/>
          <w:b/>
          <w:bCs/>
          <w:i/>
          <w:iCs/>
          <w:sz w:val="24"/>
          <w:szCs w:val="24"/>
          <w:highlight w:val="yellow"/>
        </w:rPr>
        <w:t>zillii</w:t>
      </w:r>
      <w:proofErr w:type="spellEnd"/>
      <w:r w:rsidR="00365F17" w:rsidRPr="00365F17">
        <w:rPr>
          <w:rFonts w:ascii="Times New Roman" w:eastAsia="Times New Roman" w:hAnsi="Times New Roman"/>
          <w:b/>
          <w:bCs/>
          <w:iCs/>
          <w:sz w:val="24"/>
          <w:szCs w:val="24"/>
          <w:highlight w:val="yellow"/>
        </w:rPr>
        <w:t xml:space="preserve">) </w:t>
      </w:r>
      <w:r w:rsidRPr="00365F17">
        <w:rPr>
          <w:rFonts w:ascii="Times New Roman" w:eastAsia="Times New Roman" w:hAnsi="Times New Roman"/>
          <w:b/>
          <w:bCs/>
          <w:iCs/>
          <w:sz w:val="24"/>
          <w:szCs w:val="24"/>
          <w:highlight w:val="yellow"/>
        </w:rPr>
        <w:t>Histology</w:t>
      </w:r>
    </w:p>
    <w:p w14:paraId="3A4EE81C" w14:textId="21F915B2" w:rsidR="00625089" w:rsidRPr="00C72F49" w:rsidRDefault="00625089" w:rsidP="00C07B6E">
      <w:pPr>
        <w:spacing w:after="12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p>
    <w:p w14:paraId="01FF1390"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p w14:paraId="319E32E9" w14:textId="5A05044E" w:rsidR="0069775F" w:rsidRDefault="004D7A71" w:rsidP="00C07B6E">
      <w:pPr>
        <w:spacing w:after="120" w:line="240" w:lineRule="auto"/>
        <w:jc w:val="both"/>
        <w:rPr>
          <w:rFonts w:ascii="Times New Roman" w:eastAsia="Times New Roman" w:hAnsi="Times New Roman"/>
          <w:i/>
          <w:iCs/>
          <w:sz w:val="24"/>
          <w:szCs w:val="24"/>
        </w:rPr>
      </w:pPr>
      <w:r>
        <w:rPr>
          <w:rFonts w:ascii="Times New Roman" w:eastAsia="Times New Roman" w:hAnsi="Times New Roman"/>
          <w:b/>
          <w:iCs/>
          <w:sz w:val="24"/>
          <w:szCs w:val="24"/>
        </w:rPr>
        <w:t>Abstract</w:t>
      </w:r>
      <w:r>
        <w:rPr>
          <w:rFonts w:ascii="Times New Roman" w:eastAsia="Times New Roman" w:hAnsi="Times New Roman"/>
          <w:i/>
          <w:iCs/>
          <w:sz w:val="24"/>
          <w:szCs w:val="24"/>
        </w:rPr>
        <w:t xml:space="preserve">: This </w:t>
      </w:r>
      <w:r w:rsidR="008104B4">
        <w:rPr>
          <w:rFonts w:ascii="Times New Roman" w:eastAsia="Times New Roman" w:hAnsi="Times New Roman"/>
          <w:i/>
          <w:iCs/>
          <w:sz w:val="24"/>
          <w:szCs w:val="24"/>
        </w:rPr>
        <w:t>histology-</w:t>
      </w:r>
      <w:r>
        <w:rPr>
          <w:rFonts w:ascii="Times New Roman" w:eastAsia="Times New Roman" w:hAnsi="Times New Roman"/>
          <w:i/>
          <w:iCs/>
          <w:sz w:val="24"/>
          <w:szCs w:val="24"/>
        </w:rPr>
        <w:t xml:space="preserve">based toxicological study is aimed to advance the histopathological characteristics of fish gills exposed to some known crude oil spill heavy metals. </w:t>
      </w:r>
      <w:r w:rsidR="0065523E" w:rsidRPr="0065523E">
        <w:rPr>
          <w:rFonts w:ascii="Times New Roman" w:eastAsia="Times New Roman" w:hAnsi="Times New Roman"/>
          <w:i/>
          <w:iCs/>
          <w:sz w:val="24"/>
          <w:szCs w:val="24"/>
          <w:highlight w:val="yellow"/>
        </w:rPr>
        <w:t>Toxicity tests can measure lethal and/or sublethal effects. These effects are known as measurement endpoints: that is, they are ecological attributes that may be adversely affected by exposure to site contaminants and are readily measurable.</w:t>
      </w:r>
      <w:r w:rsidR="0065523E">
        <w:rPr>
          <w:rFonts w:ascii="Times New Roman" w:eastAsia="Times New Roman" w:hAnsi="Times New Roman"/>
          <w:i/>
          <w:iCs/>
          <w:sz w:val="24"/>
          <w:szCs w:val="24"/>
        </w:rPr>
        <w:t xml:space="preserve"> </w:t>
      </w:r>
      <w:r>
        <w:rPr>
          <w:rFonts w:ascii="Times New Roman" w:eastAsia="Times New Roman" w:hAnsi="Times New Roman"/>
          <w:i/>
          <w:iCs/>
          <w:sz w:val="24"/>
          <w:szCs w:val="24"/>
        </w:rPr>
        <w:t xml:space="preserve">Based on literature review on the environmental crude oil spill burdens of Niger Delta region of Nigeria, the following target chemicals (TC) were selected for the study: Cadmium (Cd), Chromium (Cr), Copper (Cu), Nickel (Ni) and Lead (Pb). The experimental type is a sub-chronicity fish exposure testing for </w:t>
      </w:r>
      <w:proofErr w:type="gramStart"/>
      <w:r>
        <w:rPr>
          <w:rFonts w:ascii="Times New Roman" w:eastAsia="Times New Roman" w:hAnsi="Times New Roman"/>
          <w:i/>
          <w:iCs/>
          <w:sz w:val="24"/>
          <w:szCs w:val="24"/>
        </w:rPr>
        <w:t>twenty eight</w:t>
      </w:r>
      <w:proofErr w:type="gramEnd"/>
      <w:r>
        <w:rPr>
          <w:rFonts w:ascii="Times New Roman" w:eastAsia="Times New Roman" w:hAnsi="Times New Roman"/>
          <w:i/>
          <w:iCs/>
          <w:sz w:val="24"/>
          <w:szCs w:val="24"/>
        </w:rPr>
        <w:t xml:space="preserve"> (28) days duration. The experimental </w:t>
      </w:r>
      <w:r w:rsidR="008104B4">
        <w:rPr>
          <w:rFonts w:ascii="Times New Roman" w:eastAsia="Times New Roman" w:hAnsi="Times New Roman"/>
          <w:i/>
          <w:iCs/>
          <w:sz w:val="24"/>
          <w:szCs w:val="24"/>
        </w:rPr>
        <w:t>set-</w:t>
      </w:r>
      <w:r>
        <w:rPr>
          <w:rFonts w:ascii="Times New Roman" w:eastAsia="Times New Roman" w:hAnsi="Times New Roman"/>
          <w:i/>
          <w:iCs/>
          <w:sz w:val="24"/>
          <w:szCs w:val="24"/>
        </w:rPr>
        <w:t xml:space="preserve">up </w:t>
      </w:r>
      <w:r w:rsidRPr="005C52C2">
        <w:rPr>
          <w:rFonts w:ascii="Times New Roman" w:eastAsia="Times New Roman" w:hAnsi="Times New Roman"/>
          <w:i/>
          <w:iCs/>
          <w:sz w:val="24"/>
          <w:szCs w:val="24"/>
          <w:highlight w:val="yellow"/>
        </w:rPr>
        <w:t xml:space="preserve">involves a </w:t>
      </w:r>
      <w:r w:rsidR="008104B4" w:rsidRPr="005C52C2">
        <w:rPr>
          <w:rFonts w:ascii="Times New Roman" w:eastAsia="Times New Roman" w:hAnsi="Times New Roman"/>
          <w:i/>
          <w:iCs/>
          <w:sz w:val="24"/>
          <w:szCs w:val="24"/>
          <w:highlight w:val="yellow"/>
        </w:rPr>
        <w:t>twenty-</w:t>
      </w:r>
      <w:r w:rsidRPr="005C52C2">
        <w:rPr>
          <w:rFonts w:ascii="Times New Roman" w:eastAsia="Times New Roman" w:hAnsi="Times New Roman"/>
          <w:i/>
          <w:iCs/>
          <w:sz w:val="24"/>
          <w:szCs w:val="24"/>
          <w:highlight w:val="yellow"/>
        </w:rPr>
        <w:t xml:space="preserve">two </w:t>
      </w:r>
      <w:r>
        <w:rPr>
          <w:rFonts w:ascii="Times New Roman" w:eastAsia="Times New Roman" w:hAnsi="Times New Roman"/>
          <w:i/>
          <w:iCs/>
          <w:sz w:val="24"/>
          <w:szCs w:val="24"/>
        </w:rPr>
        <w:t xml:space="preserve">pieces (22) of </w:t>
      </w:r>
      <w:proofErr w:type="gramStart"/>
      <w:r>
        <w:rPr>
          <w:rFonts w:ascii="Times New Roman" w:eastAsia="Times New Roman" w:hAnsi="Times New Roman"/>
          <w:i/>
          <w:iCs/>
          <w:sz w:val="24"/>
          <w:szCs w:val="24"/>
        </w:rPr>
        <w:t>twenty liter</w:t>
      </w:r>
      <w:proofErr w:type="gramEnd"/>
      <w:r>
        <w:rPr>
          <w:rFonts w:ascii="Times New Roman" w:eastAsia="Times New Roman" w:hAnsi="Times New Roman"/>
          <w:i/>
          <w:iCs/>
          <w:sz w:val="24"/>
          <w:szCs w:val="24"/>
        </w:rPr>
        <w:t xml:space="preserve"> (20l) tanks of four (4) replicate tanks per target chemical (TC) containing ten</w:t>
      </w:r>
      <w:r w:rsidR="005B21AD">
        <w:rPr>
          <w:rFonts w:ascii="Times New Roman" w:eastAsia="Times New Roman" w:hAnsi="Times New Roman"/>
          <w:i/>
          <w:iCs/>
          <w:sz w:val="24"/>
          <w:szCs w:val="24"/>
        </w:rPr>
        <w:t xml:space="preserve"> </w:t>
      </w:r>
      <w:r>
        <w:rPr>
          <w:rFonts w:ascii="Times New Roman" w:eastAsia="Times New Roman" w:hAnsi="Times New Roman"/>
          <w:i/>
          <w:iCs/>
          <w:sz w:val="24"/>
          <w:szCs w:val="24"/>
        </w:rPr>
        <w:t xml:space="preserve">(10) juvenile study fish per tank in a semi-static tank testing system. TC exposure concentrations above </w:t>
      </w:r>
      <w:r w:rsidR="008104B4">
        <w:rPr>
          <w:rFonts w:ascii="Times New Roman" w:eastAsia="Times New Roman" w:hAnsi="Times New Roman"/>
          <w:i/>
          <w:iCs/>
          <w:sz w:val="24"/>
          <w:szCs w:val="24"/>
        </w:rPr>
        <w:t xml:space="preserve">the </w:t>
      </w:r>
      <w:r>
        <w:rPr>
          <w:rFonts w:ascii="Times New Roman" w:eastAsia="Times New Roman" w:hAnsi="Times New Roman"/>
          <w:i/>
          <w:iCs/>
          <w:sz w:val="24"/>
          <w:szCs w:val="24"/>
        </w:rPr>
        <w:t xml:space="preserve">maximum allowable toxicant concentration (MATC) for freshwater were used for the study. Quality histological results showed alteration </w:t>
      </w:r>
      <w:r w:rsidRPr="005C52C2">
        <w:rPr>
          <w:rFonts w:ascii="Times New Roman" w:eastAsia="Times New Roman" w:hAnsi="Times New Roman"/>
          <w:i/>
          <w:iCs/>
          <w:sz w:val="24"/>
          <w:szCs w:val="24"/>
          <w:highlight w:val="yellow"/>
        </w:rPr>
        <w:t xml:space="preserve">which </w:t>
      </w:r>
      <w:r w:rsidR="008104B4" w:rsidRPr="005C52C2">
        <w:rPr>
          <w:rFonts w:ascii="Times New Roman" w:eastAsia="Times New Roman" w:hAnsi="Times New Roman"/>
          <w:i/>
          <w:iCs/>
          <w:sz w:val="24"/>
          <w:szCs w:val="24"/>
          <w:highlight w:val="yellow"/>
        </w:rPr>
        <w:t xml:space="preserve">was </w:t>
      </w:r>
      <w:r w:rsidRPr="005C52C2">
        <w:rPr>
          <w:rFonts w:ascii="Times New Roman" w:eastAsia="Times New Roman" w:hAnsi="Times New Roman"/>
          <w:i/>
          <w:iCs/>
          <w:sz w:val="24"/>
          <w:szCs w:val="24"/>
          <w:highlight w:val="yellow"/>
        </w:rPr>
        <w:t xml:space="preserve">consistent </w:t>
      </w:r>
      <w:r>
        <w:rPr>
          <w:rFonts w:ascii="Times New Roman" w:eastAsia="Times New Roman" w:hAnsi="Times New Roman"/>
          <w:i/>
          <w:iCs/>
          <w:sz w:val="24"/>
          <w:szCs w:val="24"/>
        </w:rPr>
        <w:t xml:space="preserve">with heavy metal exposure studies. Semi-quantitative assessment showed </w:t>
      </w:r>
      <w:r w:rsidR="008104B4">
        <w:rPr>
          <w:rFonts w:ascii="Times New Roman" w:eastAsia="Times New Roman" w:hAnsi="Times New Roman"/>
          <w:i/>
          <w:iCs/>
          <w:sz w:val="24"/>
          <w:szCs w:val="24"/>
        </w:rPr>
        <w:t xml:space="preserve">a </w:t>
      </w:r>
      <w:r>
        <w:rPr>
          <w:rFonts w:ascii="Times New Roman" w:eastAsia="Times New Roman" w:hAnsi="Times New Roman"/>
          <w:i/>
          <w:iCs/>
          <w:sz w:val="24"/>
          <w:szCs w:val="24"/>
        </w:rPr>
        <w:t xml:space="preserve">significant difference between control and experimental gills organ histopathological indices. The study further validates MATC freshwater guideline use for toxicity certification in Cr, Cd and Ni exposure. </w:t>
      </w:r>
    </w:p>
    <w:p w14:paraId="1D13E5F2" w14:textId="77777777" w:rsidR="0069775F" w:rsidRDefault="0069775F" w:rsidP="00C07B6E">
      <w:pPr>
        <w:spacing w:after="120" w:line="240" w:lineRule="auto"/>
        <w:jc w:val="both"/>
        <w:rPr>
          <w:rFonts w:ascii="Times New Roman" w:eastAsia="Times New Roman" w:hAnsi="Times New Roman"/>
          <w:i/>
          <w:iCs/>
          <w:sz w:val="24"/>
          <w:szCs w:val="24"/>
        </w:rPr>
      </w:pPr>
    </w:p>
    <w:p w14:paraId="1F694278"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b/>
          <w:bCs/>
          <w:iCs/>
          <w:sz w:val="24"/>
          <w:szCs w:val="24"/>
        </w:rPr>
        <w:t>Keywords</w:t>
      </w:r>
      <w:r>
        <w:rPr>
          <w:rFonts w:ascii="Times New Roman" w:eastAsia="Times New Roman" w:hAnsi="Times New Roman"/>
          <w:i/>
          <w:iCs/>
          <w:sz w:val="24"/>
          <w:szCs w:val="24"/>
        </w:rPr>
        <w:t>: Histology, Toxicity, Toxicology, Sub-chronic, Heavy Metals and Fish Gills.</w:t>
      </w:r>
    </w:p>
    <w:p w14:paraId="2427A8FF"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p w14:paraId="208B0958" w14:textId="77777777" w:rsidR="0069775F" w:rsidRDefault="004D7A71" w:rsidP="00C07B6E">
      <w:pPr>
        <w:spacing w:after="12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Introduction</w:t>
      </w:r>
    </w:p>
    <w:p w14:paraId="6F4ADB69" w14:textId="13467DB9" w:rsidR="00716D57" w:rsidRDefault="009A2D47"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highlight w:val="yellow"/>
        </w:rPr>
        <w:t>“</w:t>
      </w:r>
      <w:r w:rsidR="00751001" w:rsidRPr="005C52C2">
        <w:rPr>
          <w:rFonts w:ascii="Times New Roman" w:eastAsia="Times New Roman" w:hAnsi="Times New Roman"/>
          <w:sz w:val="24"/>
          <w:szCs w:val="24"/>
          <w:highlight w:val="yellow"/>
        </w:rPr>
        <w:t>In the context of industrial and agricultural advancement, heavy metal pollution poses a significant threat to aquatic ecosystems</w:t>
      </w:r>
      <w:r>
        <w:rPr>
          <w:rFonts w:ascii="Times New Roman" w:eastAsia="Times New Roman" w:hAnsi="Times New Roman"/>
          <w:sz w:val="24"/>
          <w:szCs w:val="24"/>
          <w:highlight w:val="yellow"/>
        </w:rPr>
        <w:t>”</w:t>
      </w:r>
      <w:r w:rsidR="00751001" w:rsidRPr="00751001">
        <w:rPr>
          <w:rFonts w:ascii="Times New Roman" w:eastAsia="Times New Roman" w:hAnsi="Times New Roman"/>
          <w:sz w:val="24"/>
          <w:szCs w:val="24"/>
          <w:highlight w:val="yellow"/>
        </w:rPr>
        <w:t xml:space="preserve"> (</w:t>
      </w:r>
      <w:r w:rsidR="00751001" w:rsidRPr="005C52C2">
        <w:rPr>
          <w:rFonts w:ascii="Times New Roman" w:eastAsia="Times New Roman" w:hAnsi="Times New Roman"/>
          <w:sz w:val="24"/>
          <w:szCs w:val="24"/>
          <w:highlight w:val="yellow"/>
        </w:rPr>
        <w:t>Wang et al., 2024</w:t>
      </w:r>
      <w:r w:rsidR="00751001" w:rsidRPr="0078142F">
        <w:rPr>
          <w:rFonts w:ascii="Times New Roman" w:eastAsia="Times New Roman" w:hAnsi="Times New Roman"/>
          <w:sz w:val="24"/>
          <w:szCs w:val="24"/>
          <w:highlight w:val="yellow"/>
        </w:rPr>
        <w:t>)</w:t>
      </w:r>
      <w:r w:rsidR="00751001" w:rsidRPr="005C52C2">
        <w:rPr>
          <w:rFonts w:ascii="Times New Roman" w:eastAsia="Times New Roman" w:hAnsi="Times New Roman"/>
          <w:sz w:val="24"/>
          <w:szCs w:val="24"/>
          <w:highlight w:val="yellow"/>
        </w:rPr>
        <w:t xml:space="preserve">. </w:t>
      </w:r>
      <w:r>
        <w:rPr>
          <w:rFonts w:ascii="Times New Roman" w:eastAsia="Times New Roman" w:hAnsi="Times New Roman"/>
          <w:sz w:val="24"/>
          <w:szCs w:val="24"/>
          <w:highlight w:val="yellow"/>
        </w:rPr>
        <w:t>“</w:t>
      </w:r>
      <w:r w:rsidR="0078142F" w:rsidRPr="005C52C2">
        <w:rPr>
          <w:rFonts w:ascii="Times New Roman" w:eastAsia="Times New Roman" w:hAnsi="Times New Roman"/>
          <w:sz w:val="24"/>
          <w:szCs w:val="24"/>
          <w:highlight w:val="yellow"/>
        </w:rPr>
        <w:t>Heavy metals, the most potent contaminants of the environment, are discharged into the aquatic ecosystems through the effluents of several industries, resulting in serious aquatic pollution. This type of severe heavy metal contamination in aquaculture systems has attracted great attention throughout the world. These toxic heavy metals are transmitted into the food chain through their bioaccumulation in different tissues of aquatic species and have aroused serious public health concerns. Heavy metal toxicity negatively affects the growth, reproduction, and physiology of fish, which is threatening the sustainable development of the aquaculture sector</w:t>
      </w:r>
      <w:r>
        <w:rPr>
          <w:rFonts w:ascii="Times New Roman" w:eastAsia="Times New Roman" w:hAnsi="Times New Roman"/>
          <w:sz w:val="24"/>
          <w:szCs w:val="24"/>
          <w:highlight w:val="yellow"/>
        </w:rPr>
        <w:t>”</w:t>
      </w:r>
      <w:r w:rsidR="0009176B" w:rsidRPr="00BE5EE1">
        <w:rPr>
          <w:rFonts w:ascii="Times New Roman" w:eastAsia="Times New Roman" w:hAnsi="Times New Roman"/>
          <w:sz w:val="24"/>
          <w:szCs w:val="24"/>
          <w:highlight w:val="yellow"/>
        </w:rPr>
        <w:t xml:space="preserve"> (</w:t>
      </w:r>
      <w:r w:rsidR="0009176B" w:rsidRPr="005C52C2">
        <w:rPr>
          <w:rFonts w:ascii="Times New Roman" w:eastAsia="Times New Roman" w:hAnsi="Times New Roman"/>
          <w:sz w:val="24"/>
          <w:szCs w:val="24"/>
          <w:highlight w:val="yellow"/>
        </w:rPr>
        <w:t xml:space="preserve">Jamil </w:t>
      </w:r>
      <w:proofErr w:type="spellStart"/>
      <w:r w:rsidR="0009176B" w:rsidRPr="005C52C2">
        <w:rPr>
          <w:rFonts w:ascii="Times New Roman" w:eastAsia="Times New Roman" w:hAnsi="Times New Roman"/>
          <w:sz w:val="24"/>
          <w:szCs w:val="24"/>
          <w:highlight w:val="yellow"/>
        </w:rPr>
        <w:t>Emon</w:t>
      </w:r>
      <w:proofErr w:type="spellEnd"/>
      <w:r w:rsidR="0009176B" w:rsidRPr="005C52C2">
        <w:rPr>
          <w:rFonts w:ascii="Times New Roman" w:eastAsia="Times New Roman" w:hAnsi="Times New Roman"/>
          <w:sz w:val="24"/>
          <w:szCs w:val="24"/>
          <w:highlight w:val="yellow"/>
        </w:rPr>
        <w:t xml:space="preserve"> et al., 2023</w:t>
      </w:r>
      <w:r w:rsidR="0009176B">
        <w:rPr>
          <w:rFonts w:ascii="Times New Roman" w:eastAsia="Times New Roman" w:hAnsi="Times New Roman"/>
          <w:sz w:val="24"/>
          <w:szCs w:val="24"/>
          <w:highlight w:val="yellow"/>
        </w:rPr>
        <w:t>)</w:t>
      </w:r>
      <w:r w:rsidR="0078142F" w:rsidRPr="005C52C2">
        <w:rPr>
          <w:rFonts w:ascii="Times New Roman" w:eastAsia="Times New Roman" w:hAnsi="Times New Roman"/>
          <w:sz w:val="24"/>
          <w:szCs w:val="24"/>
          <w:highlight w:val="yellow"/>
        </w:rPr>
        <w:t>.</w:t>
      </w:r>
      <w:r w:rsidR="0078142F" w:rsidRPr="0078142F">
        <w:rPr>
          <w:rFonts w:ascii="Times New Roman" w:eastAsia="Times New Roman" w:hAnsi="Times New Roman"/>
          <w:sz w:val="24"/>
          <w:szCs w:val="24"/>
        </w:rPr>
        <w:t xml:space="preserve"> </w:t>
      </w:r>
    </w:p>
    <w:p w14:paraId="067FB4FC" w14:textId="4CFE131A" w:rsidR="0069775F" w:rsidRDefault="009A2D47"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4D7A71">
        <w:rPr>
          <w:rFonts w:ascii="Times New Roman" w:eastAsia="Times New Roman" w:hAnsi="Times New Roman"/>
          <w:sz w:val="24"/>
          <w:szCs w:val="24"/>
        </w:rPr>
        <w:t>Heavy metal contamination of aquatic ecosystem</w:t>
      </w:r>
      <w:r w:rsidR="005D26CE">
        <w:rPr>
          <w:rFonts w:ascii="Times New Roman" w:eastAsia="Times New Roman" w:hAnsi="Times New Roman"/>
          <w:sz w:val="24"/>
          <w:szCs w:val="24"/>
        </w:rPr>
        <w:t>s</w:t>
      </w:r>
      <w:r w:rsidR="004D7A71">
        <w:rPr>
          <w:rFonts w:ascii="Times New Roman" w:eastAsia="Times New Roman" w:hAnsi="Times New Roman"/>
          <w:sz w:val="24"/>
          <w:szCs w:val="24"/>
        </w:rPr>
        <w:t xml:space="preserve"> has attracted great </w:t>
      </w:r>
      <w:r w:rsidR="004D7A71" w:rsidRPr="005C52C2">
        <w:rPr>
          <w:rFonts w:ascii="Times New Roman" w:eastAsia="Times New Roman" w:hAnsi="Times New Roman"/>
          <w:sz w:val="24"/>
          <w:szCs w:val="24"/>
          <w:highlight w:val="yellow"/>
        </w:rPr>
        <w:t>attention of researchers over the last few decades</w:t>
      </w:r>
      <w:r>
        <w:rPr>
          <w:rFonts w:ascii="Times New Roman" w:eastAsia="Times New Roman" w:hAnsi="Times New Roman"/>
          <w:sz w:val="24"/>
          <w:szCs w:val="24"/>
          <w:highlight w:val="yellow"/>
        </w:rPr>
        <w:t>”</w:t>
      </w:r>
      <w:r w:rsidR="004D7A71" w:rsidRPr="005C52C2">
        <w:rPr>
          <w:rFonts w:ascii="Times New Roman" w:eastAsia="Times New Roman" w:hAnsi="Times New Roman"/>
          <w:sz w:val="24"/>
          <w:szCs w:val="24"/>
          <w:highlight w:val="yellow"/>
        </w:rPr>
        <w:t xml:space="preserve"> (</w:t>
      </w:r>
      <w:proofErr w:type="spellStart"/>
      <w:r w:rsidR="004D7A71" w:rsidRPr="005C52C2">
        <w:rPr>
          <w:rFonts w:ascii="Times New Roman" w:eastAsia="Times New Roman" w:hAnsi="Times New Roman"/>
          <w:sz w:val="24"/>
          <w:szCs w:val="24"/>
          <w:highlight w:val="yellow"/>
        </w:rPr>
        <w:t>Farombi</w:t>
      </w:r>
      <w:proofErr w:type="spellEnd"/>
      <w:r w:rsidR="004D7A71" w:rsidRPr="005C52C2">
        <w:rPr>
          <w:rFonts w:ascii="Times New Roman" w:eastAsia="Times New Roman" w:hAnsi="Times New Roman"/>
          <w:sz w:val="24"/>
          <w:szCs w:val="24"/>
          <w:highlight w:val="yellow"/>
        </w:rPr>
        <w:t xml:space="preserve"> et al., 2007).  Metal in the aquatic environment </w:t>
      </w:r>
      <w:r w:rsidR="005D26CE" w:rsidRPr="005C52C2">
        <w:rPr>
          <w:rFonts w:ascii="Times New Roman" w:eastAsia="Times New Roman" w:hAnsi="Times New Roman"/>
          <w:sz w:val="24"/>
          <w:szCs w:val="24"/>
          <w:highlight w:val="yellow"/>
        </w:rPr>
        <w:t>is</w:t>
      </w:r>
      <w:r w:rsidR="005D26CE">
        <w:rPr>
          <w:rFonts w:ascii="Times New Roman" w:eastAsia="Times New Roman" w:hAnsi="Times New Roman"/>
          <w:sz w:val="24"/>
          <w:szCs w:val="24"/>
        </w:rPr>
        <w:t xml:space="preserve"> </w:t>
      </w:r>
      <w:r w:rsidR="004D7A71">
        <w:rPr>
          <w:rFonts w:ascii="Times New Roman" w:eastAsia="Times New Roman" w:hAnsi="Times New Roman"/>
          <w:sz w:val="24"/>
          <w:szCs w:val="24"/>
        </w:rPr>
        <w:t xml:space="preserve">bioaccumulated by organisms either passively from water or by facilitated uptake. </w:t>
      </w:r>
      <w:r>
        <w:rPr>
          <w:rFonts w:ascii="Times New Roman" w:eastAsia="Times New Roman" w:hAnsi="Times New Roman"/>
          <w:sz w:val="24"/>
          <w:szCs w:val="24"/>
        </w:rPr>
        <w:t>“</w:t>
      </w:r>
      <w:r w:rsidR="004D7A71">
        <w:rPr>
          <w:rFonts w:ascii="Times New Roman" w:eastAsia="Times New Roman" w:hAnsi="Times New Roman"/>
          <w:sz w:val="24"/>
          <w:szCs w:val="24"/>
        </w:rPr>
        <w:t>Excess metal concentration in an organism must be actively excreted, compartmentalized in cells or tissues, or metabolically immobilized. Some metal</w:t>
      </w:r>
      <w:r w:rsidR="005D26CE">
        <w:rPr>
          <w:rFonts w:ascii="Times New Roman" w:eastAsia="Times New Roman" w:hAnsi="Times New Roman"/>
          <w:sz w:val="24"/>
          <w:szCs w:val="24"/>
        </w:rPr>
        <w:t>s</w:t>
      </w:r>
      <w:r w:rsidR="004D7A71">
        <w:rPr>
          <w:rFonts w:ascii="Times New Roman" w:eastAsia="Times New Roman" w:hAnsi="Times New Roman"/>
          <w:sz w:val="24"/>
          <w:szCs w:val="24"/>
        </w:rPr>
        <w:t xml:space="preserve"> escape all these actions causing toxic and other adverse effects</w:t>
      </w:r>
      <w:r>
        <w:rPr>
          <w:rFonts w:ascii="Times New Roman" w:eastAsia="Times New Roman" w:hAnsi="Times New Roman"/>
          <w:sz w:val="24"/>
          <w:szCs w:val="24"/>
        </w:rPr>
        <w:t>”</w:t>
      </w:r>
      <w:r w:rsidR="004D7A71">
        <w:rPr>
          <w:rFonts w:ascii="Times New Roman" w:eastAsia="Times New Roman" w:hAnsi="Times New Roman"/>
          <w:sz w:val="24"/>
          <w:szCs w:val="24"/>
        </w:rPr>
        <w:t xml:space="preserve"> (Chapman et al., 1996; Rand et al., 1985). </w:t>
      </w:r>
      <w:r>
        <w:rPr>
          <w:rFonts w:ascii="Times New Roman" w:eastAsia="Times New Roman" w:hAnsi="Times New Roman"/>
          <w:sz w:val="24"/>
          <w:szCs w:val="24"/>
        </w:rPr>
        <w:t>“</w:t>
      </w:r>
      <w:r w:rsidR="004D7A71">
        <w:rPr>
          <w:rFonts w:ascii="Times New Roman" w:eastAsia="Times New Roman" w:hAnsi="Times New Roman"/>
          <w:sz w:val="24"/>
          <w:szCs w:val="24"/>
        </w:rPr>
        <w:t>Some heavy metals, Chromium (Cr), cadmium (Cd), copper (Cu), lead (Pb), nickel (Ni) and zinc (Zn), are found in the list of organic and inorganic hazardous pollutants which is prepared by the United States Environmental Protection Agency (USEPA)</w:t>
      </w:r>
      <w:r>
        <w:rPr>
          <w:rFonts w:ascii="Times New Roman" w:eastAsia="Times New Roman" w:hAnsi="Times New Roman"/>
          <w:sz w:val="24"/>
          <w:szCs w:val="24"/>
        </w:rPr>
        <w:t>”</w:t>
      </w:r>
      <w:r w:rsidR="004D7A71">
        <w:rPr>
          <w:rFonts w:ascii="Times New Roman" w:eastAsia="Times New Roman" w:hAnsi="Times New Roman"/>
          <w:sz w:val="24"/>
          <w:szCs w:val="24"/>
        </w:rPr>
        <w:t xml:space="preserve"> (</w:t>
      </w:r>
      <w:proofErr w:type="spellStart"/>
      <w:r w:rsidR="004D7A71">
        <w:rPr>
          <w:rFonts w:ascii="Times New Roman" w:eastAsia="Times New Roman" w:hAnsi="Times New Roman"/>
          <w:sz w:val="24"/>
          <w:szCs w:val="24"/>
        </w:rPr>
        <w:t>Akar</w:t>
      </w:r>
      <w:proofErr w:type="spellEnd"/>
      <w:r w:rsidR="004D7A71">
        <w:rPr>
          <w:rFonts w:ascii="Times New Roman" w:eastAsia="Times New Roman" w:hAnsi="Times New Roman"/>
          <w:sz w:val="24"/>
          <w:szCs w:val="24"/>
        </w:rPr>
        <w:t xml:space="preserve"> and </w:t>
      </w:r>
      <w:proofErr w:type="spellStart"/>
      <w:r w:rsidR="004D7A71">
        <w:rPr>
          <w:rFonts w:ascii="Times New Roman" w:eastAsia="Times New Roman" w:hAnsi="Times New Roman"/>
          <w:sz w:val="24"/>
          <w:szCs w:val="24"/>
        </w:rPr>
        <w:t>Tunali</w:t>
      </w:r>
      <w:proofErr w:type="spellEnd"/>
      <w:r w:rsidR="004D7A71">
        <w:rPr>
          <w:rFonts w:ascii="Times New Roman" w:eastAsia="Times New Roman" w:hAnsi="Times New Roman"/>
          <w:sz w:val="24"/>
          <w:szCs w:val="24"/>
        </w:rPr>
        <w:t xml:space="preserve">, 2005).  However, it is important to note that </w:t>
      </w:r>
      <w:r w:rsidR="004D7A71">
        <w:rPr>
          <w:rFonts w:ascii="Times New Roman" w:eastAsia="Times New Roman" w:hAnsi="Times New Roman"/>
          <w:sz w:val="24"/>
          <w:szCs w:val="24"/>
        </w:rPr>
        <w:lastRenderedPageBreak/>
        <w:t>most essential metals may be toxic when present in concentrations that are in excess of the guideline levels (</w:t>
      </w:r>
      <w:proofErr w:type="spellStart"/>
      <w:r w:rsidR="004D7A71">
        <w:rPr>
          <w:rFonts w:ascii="Times New Roman" w:eastAsia="Times New Roman" w:hAnsi="Times New Roman"/>
          <w:sz w:val="24"/>
          <w:szCs w:val="24"/>
        </w:rPr>
        <w:t>Agbozu</w:t>
      </w:r>
      <w:proofErr w:type="spellEnd"/>
      <w:r w:rsidR="004D7A71">
        <w:rPr>
          <w:rFonts w:ascii="Times New Roman" w:eastAsia="Times New Roman" w:hAnsi="Times New Roman"/>
          <w:sz w:val="24"/>
          <w:szCs w:val="24"/>
        </w:rPr>
        <w:t xml:space="preserve"> et al., 2007). According to Roberts (1989 and 2001) Cu, Pb, mercury (Hg), Zn, Cr, manganese (Mn) and iron (Fe) are the most common cause of metal poisoning.  </w:t>
      </w:r>
      <w:proofErr w:type="spellStart"/>
      <w:r w:rsidR="004D7A71">
        <w:rPr>
          <w:rFonts w:ascii="Times New Roman" w:eastAsia="Times New Roman" w:hAnsi="Times New Roman"/>
          <w:sz w:val="24"/>
          <w:szCs w:val="24"/>
        </w:rPr>
        <w:t>Jarup</w:t>
      </w:r>
      <w:proofErr w:type="spellEnd"/>
      <w:r w:rsidR="004D7A71">
        <w:rPr>
          <w:rFonts w:ascii="Times New Roman" w:eastAsia="Times New Roman" w:hAnsi="Times New Roman"/>
          <w:sz w:val="24"/>
          <w:szCs w:val="24"/>
        </w:rPr>
        <w:t xml:space="preserve"> (2003) documented that </w:t>
      </w:r>
      <w:r>
        <w:rPr>
          <w:rFonts w:ascii="Times New Roman" w:eastAsia="Times New Roman" w:hAnsi="Times New Roman"/>
          <w:sz w:val="24"/>
          <w:szCs w:val="24"/>
        </w:rPr>
        <w:t>“</w:t>
      </w:r>
      <w:r w:rsidR="004D7A71">
        <w:rPr>
          <w:rFonts w:ascii="Times New Roman" w:eastAsia="Times New Roman" w:hAnsi="Times New Roman"/>
          <w:sz w:val="24"/>
          <w:szCs w:val="24"/>
        </w:rPr>
        <w:t xml:space="preserve">the main threat to human health from heavy </w:t>
      </w:r>
      <w:r w:rsidR="004D7A71" w:rsidRPr="005C52C2">
        <w:rPr>
          <w:rFonts w:ascii="Times New Roman" w:eastAsia="Times New Roman" w:hAnsi="Times New Roman"/>
          <w:sz w:val="24"/>
          <w:szCs w:val="24"/>
          <w:highlight w:val="yellow"/>
        </w:rPr>
        <w:t xml:space="preserve">metals </w:t>
      </w:r>
      <w:r w:rsidR="005D26CE" w:rsidRPr="005C52C2">
        <w:rPr>
          <w:rFonts w:ascii="Times New Roman" w:eastAsia="Times New Roman" w:hAnsi="Times New Roman"/>
          <w:sz w:val="24"/>
          <w:szCs w:val="24"/>
          <w:highlight w:val="yellow"/>
        </w:rPr>
        <w:t xml:space="preserve">is </w:t>
      </w:r>
      <w:r w:rsidR="004D7A71" w:rsidRPr="005C52C2">
        <w:rPr>
          <w:rFonts w:ascii="Times New Roman" w:eastAsia="Times New Roman" w:hAnsi="Times New Roman"/>
          <w:sz w:val="24"/>
          <w:szCs w:val="24"/>
          <w:highlight w:val="yellow"/>
        </w:rPr>
        <w:t xml:space="preserve">associated with exposure to Pb, Cd, Hg, and arsenic (As) (arsenic is a metalloid but is usually classified </w:t>
      </w:r>
      <w:r w:rsidR="004D7A71">
        <w:rPr>
          <w:rFonts w:ascii="Times New Roman" w:eastAsia="Times New Roman" w:hAnsi="Times New Roman"/>
          <w:sz w:val="24"/>
          <w:szCs w:val="24"/>
        </w:rPr>
        <w:t>as a heavy metal)</w:t>
      </w:r>
      <w:r>
        <w:rPr>
          <w:rFonts w:ascii="Times New Roman" w:eastAsia="Times New Roman" w:hAnsi="Times New Roman"/>
          <w:sz w:val="24"/>
          <w:szCs w:val="24"/>
        </w:rPr>
        <w:t>”</w:t>
      </w:r>
      <w:r w:rsidR="004D7A71">
        <w:rPr>
          <w:rFonts w:ascii="Times New Roman" w:eastAsia="Times New Roman" w:hAnsi="Times New Roman"/>
          <w:sz w:val="24"/>
          <w:szCs w:val="24"/>
        </w:rPr>
        <w:t>.</w:t>
      </w:r>
    </w:p>
    <w:p w14:paraId="6C4EDF71" w14:textId="4C4C30DD"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Gerhardt (2004) established that </w:t>
      </w:r>
      <w:r w:rsidR="009A2D47">
        <w:rPr>
          <w:rFonts w:ascii="Times New Roman" w:eastAsia="Times New Roman" w:hAnsi="Times New Roman"/>
          <w:sz w:val="24"/>
          <w:szCs w:val="24"/>
        </w:rPr>
        <w:t>“</w:t>
      </w:r>
      <w:r>
        <w:rPr>
          <w:rFonts w:ascii="Times New Roman" w:eastAsia="Times New Roman" w:hAnsi="Times New Roman"/>
          <w:sz w:val="24"/>
          <w:szCs w:val="24"/>
        </w:rPr>
        <w:t xml:space="preserve">bioindicators are organisms or communities of </w:t>
      </w:r>
      <w:r w:rsidRPr="005C52C2">
        <w:rPr>
          <w:rFonts w:ascii="Times New Roman" w:eastAsia="Times New Roman" w:hAnsi="Times New Roman"/>
          <w:sz w:val="24"/>
          <w:szCs w:val="24"/>
          <w:highlight w:val="yellow"/>
        </w:rPr>
        <w:t xml:space="preserve">organisms </w:t>
      </w:r>
      <w:r w:rsidR="005D26CE">
        <w:rPr>
          <w:rFonts w:ascii="Times New Roman" w:eastAsia="Times New Roman" w:hAnsi="Times New Roman"/>
          <w:sz w:val="24"/>
          <w:szCs w:val="24"/>
        </w:rPr>
        <w:t xml:space="preserve">whose </w:t>
      </w:r>
      <w:r>
        <w:rPr>
          <w:rFonts w:ascii="Times New Roman" w:eastAsia="Times New Roman" w:hAnsi="Times New Roman"/>
          <w:sz w:val="24"/>
          <w:szCs w:val="24"/>
        </w:rPr>
        <w:t>reactions are observed representatively to evaluate a situation, giving clues for the condition of the whole ecosystem; Gerhardt also indicate</w:t>
      </w:r>
      <w:r w:rsidR="005D26CE">
        <w:rPr>
          <w:rFonts w:ascii="Times New Roman" w:eastAsia="Times New Roman" w:hAnsi="Times New Roman"/>
          <w:sz w:val="24"/>
          <w:szCs w:val="24"/>
        </w:rPr>
        <w:t>s</w:t>
      </w:r>
      <w:r>
        <w:rPr>
          <w:rFonts w:ascii="Times New Roman" w:eastAsia="Times New Roman" w:hAnsi="Times New Roman"/>
          <w:sz w:val="24"/>
          <w:szCs w:val="24"/>
        </w:rPr>
        <w:t xml:space="preserve"> that bioindicators are species reacting to </w:t>
      </w:r>
      <w:r w:rsidRPr="005C52C2">
        <w:rPr>
          <w:rFonts w:ascii="Times New Roman" w:eastAsia="Times New Roman" w:hAnsi="Times New Roman"/>
          <w:sz w:val="24"/>
          <w:szCs w:val="24"/>
          <w:highlight w:val="yellow"/>
        </w:rPr>
        <w:t>anthropogenic effects on the</w:t>
      </w:r>
      <w:r>
        <w:rPr>
          <w:rFonts w:ascii="Times New Roman" w:eastAsia="Times New Roman" w:hAnsi="Times New Roman"/>
          <w:sz w:val="24"/>
          <w:szCs w:val="24"/>
        </w:rPr>
        <w:t xml:space="preserve"> environment, concluding that a biological indicator would be: a species or group of species that readily reflects the abiotic or biotic state of an environment, represents the impact of environmental change on a habitat, community or ecosystem or is indicative of the diversity of a subset of taxa or the whole diversity within an area</w:t>
      </w:r>
      <w:r w:rsidR="009A2D47">
        <w:rPr>
          <w:rFonts w:ascii="Times New Roman" w:eastAsia="Times New Roman" w:hAnsi="Times New Roman"/>
          <w:sz w:val="24"/>
          <w:szCs w:val="24"/>
        </w:rPr>
        <w:t>”</w:t>
      </w:r>
      <w:r>
        <w:rPr>
          <w:rFonts w:ascii="Times New Roman" w:eastAsia="Times New Roman" w:hAnsi="Times New Roman"/>
          <w:sz w:val="24"/>
          <w:szCs w:val="24"/>
        </w:rPr>
        <w:t xml:space="preserve">. In this sense, </w:t>
      </w:r>
      <w:r w:rsidR="009A2D47">
        <w:rPr>
          <w:rFonts w:ascii="Times New Roman" w:eastAsia="Times New Roman" w:hAnsi="Times New Roman"/>
          <w:sz w:val="24"/>
          <w:szCs w:val="24"/>
        </w:rPr>
        <w:t>“</w:t>
      </w:r>
      <w:r>
        <w:rPr>
          <w:rFonts w:ascii="Times New Roman" w:eastAsia="Times New Roman" w:hAnsi="Times New Roman"/>
          <w:sz w:val="24"/>
          <w:szCs w:val="24"/>
        </w:rPr>
        <w:t>the primary role of ecological indicators is to measure the response of the ecosystem to anthropogenic disturbances</w:t>
      </w:r>
      <w:r w:rsidR="009A2D47">
        <w:rPr>
          <w:rFonts w:ascii="Times New Roman" w:eastAsia="Times New Roman" w:hAnsi="Times New Roman"/>
          <w:sz w:val="24"/>
          <w:szCs w:val="24"/>
        </w:rPr>
        <w:t>”</w:t>
      </w:r>
      <w:r>
        <w:rPr>
          <w:rFonts w:ascii="Times New Roman" w:eastAsia="Times New Roman" w:hAnsi="Times New Roman"/>
          <w:sz w:val="24"/>
          <w:szCs w:val="24"/>
        </w:rPr>
        <w:t xml:space="preserve"> (Niemi and McDonald, 2004).</w:t>
      </w:r>
    </w:p>
    <w:p w14:paraId="4CCECE87" w14:textId="09F65AD4" w:rsidR="006D0D11" w:rsidRDefault="009A2D47"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highlight w:val="yellow"/>
        </w:rPr>
        <w:t>“</w:t>
      </w:r>
      <w:proofErr w:type="gramStart"/>
      <w:r w:rsidR="006D0D11" w:rsidRPr="006D0D11">
        <w:rPr>
          <w:rFonts w:ascii="Times New Roman" w:eastAsia="Times New Roman" w:hAnsi="Times New Roman"/>
          <w:sz w:val="24"/>
          <w:szCs w:val="24"/>
          <w:highlight w:val="yellow"/>
        </w:rPr>
        <w:t>Fish  are</w:t>
      </w:r>
      <w:proofErr w:type="gramEnd"/>
      <w:r w:rsidR="006D0D11" w:rsidRPr="006D0D11">
        <w:rPr>
          <w:rFonts w:ascii="Times New Roman" w:eastAsia="Times New Roman" w:hAnsi="Times New Roman"/>
          <w:sz w:val="24"/>
          <w:szCs w:val="24"/>
          <w:highlight w:val="yellow"/>
        </w:rPr>
        <w:t xml:space="preserve">  more  frequently  exposed  to  heavy metal   pollution   because   it   is   believed   that regardless  of  where  the  pollution  occurs,  it  will eventually end up in the aquatic environment” [6]. “Fish contamination with toxic heavy metals, may be    attributed    to    the    entry    of    wastewater containing chemical </w:t>
      </w:r>
      <w:proofErr w:type="gramStart"/>
      <w:r w:rsidR="006D0D11" w:rsidRPr="006D0D11">
        <w:rPr>
          <w:rFonts w:ascii="Times New Roman" w:eastAsia="Times New Roman" w:hAnsi="Times New Roman"/>
          <w:sz w:val="24"/>
          <w:szCs w:val="24"/>
          <w:highlight w:val="yellow"/>
        </w:rPr>
        <w:t>fertilizers,  agricultural</w:t>
      </w:r>
      <w:proofErr w:type="gramEnd"/>
      <w:r w:rsidR="006D0D11" w:rsidRPr="006D0D11">
        <w:rPr>
          <w:rFonts w:ascii="Times New Roman" w:eastAsia="Times New Roman" w:hAnsi="Times New Roman"/>
          <w:sz w:val="24"/>
          <w:szCs w:val="24"/>
          <w:highlight w:val="yellow"/>
        </w:rPr>
        <w:t xml:space="preserve">  toxins and  chemicals  from  mechanic  repair  workshops into  the  rivers,  which  in  turn,  may  impact  a deleterious effect o</w:t>
      </w:r>
      <w:r w:rsidR="006D0D11" w:rsidRPr="00186D28">
        <w:rPr>
          <w:rFonts w:ascii="Times New Roman" w:eastAsia="Times New Roman" w:hAnsi="Times New Roman"/>
          <w:sz w:val="24"/>
          <w:szCs w:val="24"/>
          <w:highlight w:val="yellow"/>
        </w:rPr>
        <w:t>n freshwater  ecosystems and water species habitats</w:t>
      </w:r>
      <w:r>
        <w:rPr>
          <w:rFonts w:ascii="Times New Roman" w:eastAsia="Times New Roman" w:hAnsi="Times New Roman"/>
          <w:sz w:val="24"/>
          <w:szCs w:val="24"/>
          <w:highlight w:val="yellow"/>
        </w:rPr>
        <w:t>”</w:t>
      </w:r>
      <w:r w:rsidR="006D0D11" w:rsidRPr="00186D28">
        <w:rPr>
          <w:rFonts w:ascii="Times New Roman" w:eastAsia="Times New Roman" w:hAnsi="Times New Roman"/>
          <w:sz w:val="24"/>
          <w:szCs w:val="24"/>
          <w:highlight w:val="yellow"/>
        </w:rPr>
        <w:t xml:space="preserve"> (</w:t>
      </w:r>
      <w:proofErr w:type="spellStart"/>
      <w:r w:rsidR="004E1FD6" w:rsidRPr="00186D28">
        <w:rPr>
          <w:rFonts w:ascii="Times New Roman" w:eastAsia="Times New Roman" w:hAnsi="Times New Roman"/>
          <w:sz w:val="24"/>
          <w:szCs w:val="24"/>
          <w:highlight w:val="yellow"/>
        </w:rPr>
        <w:t>Okwodu</w:t>
      </w:r>
      <w:proofErr w:type="spellEnd"/>
      <w:r w:rsidR="004E1FD6" w:rsidRPr="00186D28">
        <w:rPr>
          <w:rFonts w:ascii="Times New Roman" w:eastAsia="Times New Roman" w:hAnsi="Times New Roman"/>
          <w:sz w:val="24"/>
          <w:szCs w:val="24"/>
          <w:highlight w:val="yellow"/>
        </w:rPr>
        <w:t xml:space="preserve"> et al., 2021;</w:t>
      </w:r>
      <w:r w:rsidR="006D0D11" w:rsidRPr="00186D28">
        <w:rPr>
          <w:rFonts w:ascii="Times New Roman" w:eastAsia="Times New Roman" w:hAnsi="Times New Roman"/>
          <w:sz w:val="24"/>
          <w:szCs w:val="24"/>
          <w:highlight w:val="yellow"/>
        </w:rPr>
        <w:t>Yaradua et al., 2022)</w:t>
      </w:r>
      <w:r w:rsidR="00186D28">
        <w:rPr>
          <w:rFonts w:ascii="Times New Roman" w:eastAsia="Times New Roman" w:hAnsi="Times New Roman"/>
          <w:sz w:val="24"/>
          <w:szCs w:val="24"/>
          <w:highlight w:val="yellow"/>
        </w:rPr>
        <w:t>.</w:t>
      </w:r>
    </w:p>
    <w:p w14:paraId="28DEDF39" w14:textId="6ECFE6E0"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Fish gills are used as </w:t>
      </w:r>
      <w:r w:rsidR="007956A6">
        <w:rPr>
          <w:rFonts w:ascii="Times New Roman" w:eastAsia="Times New Roman" w:hAnsi="Times New Roman"/>
          <w:sz w:val="24"/>
          <w:szCs w:val="24"/>
        </w:rPr>
        <w:t xml:space="preserve">a </w:t>
      </w:r>
      <w:r>
        <w:rPr>
          <w:rFonts w:ascii="Times New Roman" w:eastAsia="Times New Roman" w:hAnsi="Times New Roman"/>
          <w:sz w:val="24"/>
          <w:szCs w:val="24"/>
        </w:rPr>
        <w:t>biomarker for this study. Gills are critical organs for their respiratory, (gas exchange) osmoregulatory (acid-base balance/ionic regulation) and excretory (excretion of nitrogenous waste) functions (</w:t>
      </w:r>
      <w:proofErr w:type="spellStart"/>
      <w:r>
        <w:rPr>
          <w:rFonts w:ascii="Times New Roman" w:eastAsia="Times New Roman" w:hAnsi="Times New Roman"/>
          <w:sz w:val="24"/>
          <w:szCs w:val="24"/>
        </w:rPr>
        <w:t>Mallat</w:t>
      </w:r>
      <w:proofErr w:type="spellEnd"/>
      <w:r>
        <w:rPr>
          <w:rFonts w:ascii="Times New Roman" w:eastAsia="Times New Roman" w:hAnsi="Times New Roman"/>
          <w:sz w:val="24"/>
          <w:szCs w:val="24"/>
        </w:rPr>
        <w:t xml:space="preserve">, 1985). </w:t>
      </w:r>
      <w:r w:rsidR="009A2D47">
        <w:rPr>
          <w:rFonts w:ascii="Times New Roman" w:eastAsia="Times New Roman" w:hAnsi="Times New Roman"/>
          <w:sz w:val="24"/>
          <w:szCs w:val="24"/>
        </w:rPr>
        <w:t>“</w:t>
      </w:r>
      <w:r>
        <w:rPr>
          <w:rFonts w:ascii="Times New Roman" w:eastAsia="Times New Roman" w:hAnsi="Times New Roman"/>
          <w:sz w:val="24"/>
          <w:szCs w:val="24"/>
        </w:rPr>
        <w:t>The gill surface is more than half of the entire body surface area, with an epithelial layer of only a few microns separating the interior of the fish from the external environment</w:t>
      </w:r>
      <w:r w:rsidR="009A2D47">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Pawert</w:t>
      </w:r>
      <w:proofErr w:type="spellEnd"/>
      <w:r>
        <w:rPr>
          <w:rFonts w:ascii="Times New Roman" w:eastAsia="Times New Roman" w:hAnsi="Times New Roman"/>
          <w:sz w:val="24"/>
          <w:szCs w:val="24"/>
        </w:rPr>
        <w:t xml:space="preserve"> et al., 1998; Cengiz, 2006). As a result of this, a close association between water and blood occur making gills strongly affected by environmental contaminants (Rombough and Garside, 1977). Yasutake and Wales (1983) stated that </w:t>
      </w:r>
      <w:r w:rsidR="009A2D47">
        <w:rPr>
          <w:rFonts w:ascii="Times New Roman" w:eastAsia="Times New Roman" w:hAnsi="Times New Roman"/>
          <w:sz w:val="24"/>
          <w:szCs w:val="24"/>
        </w:rPr>
        <w:t>“</w:t>
      </w:r>
      <w:r>
        <w:rPr>
          <w:rFonts w:ascii="Times New Roman" w:eastAsia="Times New Roman" w:hAnsi="Times New Roman"/>
          <w:sz w:val="24"/>
          <w:szCs w:val="24"/>
        </w:rPr>
        <w:t xml:space="preserve">gill is a system for bringing the blood </w:t>
      </w:r>
      <w:proofErr w:type="spellStart"/>
      <w:r>
        <w:rPr>
          <w:rFonts w:ascii="Times New Roman" w:eastAsia="Times New Roman" w:hAnsi="Times New Roman"/>
          <w:sz w:val="24"/>
          <w:szCs w:val="24"/>
        </w:rPr>
        <w:t>haemoglobin</w:t>
      </w:r>
      <w:proofErr w:type="spellEnd"/>
      <w:r>
        <w:rPr>
          <w:rFonts w:ascii="Times New Roman" w:eastAsia="Times New Roman" w:hAnsi="Times New Roman"/>
          <w:sz w:val="24"/>
          <w:szCs w:val="24"/>
        </w:rPr>
        <w:t xml:space="preserve"> into close contact with water so that oxygen can be absorbed and carbon dioxide released</w:t>
      </w:r>
      <w:r w:rsidR="009A2D47">
        <w:rPr>
          <w:rFonts w:ascii="Times New Roman" w:eastAsia="Times New Roman" w:hAnsi="Times New Roman"/>
          <w:sz w:val="24"/>
          <w:szCs w:val="24"/>
        </w:rPr>
        <w:t>”</w:t>
      </w:r>
      <w:r>
        <w:rPr>
          <w:rFonts w:ascii="Times New Roman" w:eastAsia="Times New Roman" w:hAnsi="Times New Roman"/>
          <w:sz w:val="24"/>
          <w:szCs w:val="24"/>
        </w:rPr>
        <w:t>.</w:t>
      </w:r>
    </w:p>
    <w:p w14:paraId="09265A36" w14:textId="7EADCFAA"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Irritation from contaminants, abrasive particles or parasitic organism</w:t>
      </w:r>
      <w:r w:rsidR="007956A6">
        <w:rPr>
          <w:rFonts w:ascii="Times New Roman" w:eastAsia="Times New Roman" w:hAnsi="Times New Roman"/>
          <w:sz w:val="24"/>
          <w:szCs w:val="24"/>
        </w:rPr>
        <w:t>s</w:t>
      </w:r>
      <w:r>
        <w:rPr>
          <w:rFonts w:ascii="Times New Roman" w:eastAsia="Times New Roman" w:hAnsi="Times New Roman"/>
          <w:sz w:val="24"/>
          <w:szCs w:val="24"/>
        </w:rPr>
        <w:t xml:space="preserve"> can adversely affect the gill epithelium and reduce respiratory efficiency (Yasutake and Wales, 1983). Respiratory distress is one of the early symptoms of gill toxicity (McDonald, 1983). According to Skidmore and </w:t>
      </w:r>
      <w:proofErr w:type="spellStart"/>
      <w:r>
        <w:rPr>
          <w:rFonts w:ascii="Times New Roman" w:eastAsia="Times New Roman" w:hAnsi="Times New Roman"/>
          <w:sz w:val="24"/>
          <w:szCs w:val="24"/>
        </w:rPr>
        <w:t>Tovell</w:t>
      </w:r>
      <w:proofErr w:type="spellEnd"/>
      <w:r>
        <w:rPr>
          <w:rFonts w:ascii="Times New Roman" w:eastAsia="Times New Roman" w:hAnsi="Times New Roman"/>
          <w:sz w:val="24"/>
          <w:szCs w:val="24"/>
        </w:rPr>
        <w:t xml:space="preserve"> (1972) in gills, </w:t>
      </w:r>
      <w:r w:rsidR="009A2D47">
        <w:rPr>
          <w:rFonts w:ascii="Times New Roman" w:eastAsia="Times New Roman" w:hAnsi="Times New Roman"/>
          <w:sz w:val="24"/>
          <w:szCs w:val="24"/>
        </w:rPr>
        <w:t>“</w:t>
      </w:r>
      <w:r>
        <w:rPr>
          <w:rFonts w:ascii="Times New Roman" w:eastAsia="Times New Roman" w:hAnsi="Times New Roman"/>
          <w:sz w:val="24"/>
          <w:szCs w:val="24"/>
        </w:rPr>
        <w:t xml:space="preserve">toxicants appear to break down the adhesion between epithelial branchial cells and underlying pillar cells. This is accompanied by a collapse of </w:t>
      </w:r>
      <w:r w:rsidR="007956A6">
        <w:rPr>
          <w:rFonts w:ascii="Times New Roman" w:eastAsia="Times New Roman" w:hAnsi="Times New Roman"/>
          <w:sz w:val="24"/>
          <w:szCs w:val="24"/>
        </w:rPr>
        <w:t xml:space="preserve">the </w:t>
      </w:r>
      <w:r>
        <w:rPr>
          <w:rFonts w:ascii="Times New Roman" w:eastAsia="Times New Roman" w:hAnsi="Times New Roman"/>
          <w:sz w:val="24"/>
          <w:szCs w:val="24"/>
        </w:rPr>
        <w:t>structural integrity of the secondary lamellae and subsequent failure of the respiratory functioning of the gills</w:t>
      </w:r>
      <w:r w:rsidR="009A2D47">
        <w:rPr>
          <w:rFonts w:ascii="Times New Roman" w:eastAsia="Times New Roman" w:hAnsi="Times New Roman"/>
          <w:sz w:val="24"/>
          <w:szCs w:val="24"/>
        </w:rPr>
        <w:t>”</w:t>
      </w:r>
      <w:r>
        <w:rPr>
          <w:rFonts w:ascii="Times New Roman" w:eastAsia="Times New Roman" w:hAnsi="Times New Roman"/>
          <w:sz w:val="24"/>
          <w:szCs w:val="24"/>
        </w:rPr>
        <w:t xml:space="preserve">. </w:t>
      </w:r>
      <w:r w:rsidR="009A2D47">
        <w:rPr>
          <w:rFonts w:ascii="Times New Roman" w:eastAsia="Times New Roman" w:hAnsi="Times New Roman"/>
          <w:sz w:val="24"/>
          <w:szCs w:val="24"/>
        </w:rPr>
        <w:t>“</w:t>
      </w:r>
      <w:r>
        <w:rPr>
          <w:rFonts w:ascii="Times New Roman" w:eastAsia="Times New Roman" w:hAnsi="Times New Roman"/>
          <w:sz w:val="24"/>
          <w:szCs w:val="24"/>
        </w:rPr>
        <w:t xml:space="preserve">Gills appear to be </w:t>
      </w:r>
      <w:r w:rsidRPr="005C52C2">
        <w:rPr>
          <w:rFonts w:ascii="Times New Roman" w:eastAsia="Times New Roman" w:hAnsi="Times New Roman"/>
          <w:sz w:val="24"/>
          <w:szCs w:val="24"/>
          <w:highlight w:val="yellow"/>
        </w:rPr>
        <w:t xml:space="preserve">the most affected organ during acute toxicity and will become blunt and thickened and lose </w:t>
      </w:r>
      <w:r w:rsidR="007956A6" w:rsidRPr="005C52C2">
        <w:rPr>
          <w:rFonts w:ascii="Times New Roman" w:eastAsia="Times New Roman" w:hAnsi="Times New Roman"/>
          <w:sz w:val="24"/>
          <w:szCs w:val="24"/>
          <w:highlight w:val="yellow"/>
        </w:rPr>
        <w:t xml:space="preserve">the </w:t>
      </w:r>
      <w:r w:rsidRPr="005C52C2">
        <w:rPr>
          <w:rFonts w:ascii="Times New Roman" w:eastAsia="Times New Roman" w:hAnsi="Times New Roman"/>
          <w:sz w:val="24"/>
          <w:szCs w:val="24"/>
          <w:highlight w:val="yellow"/>
        </w:rPr>
        <w:t>ability</w:t>
      </w:r>
      <w:r>
        <w:rPr>
          <w:rFonts w:ascii="Times New Roman" w:eastAsia="Times New Roman" w:hAnsi="Times New Roman"/>
          <w:sz w:val="24"/>
          <w:szCs w:val="24"/>
        </w:rPr>
        <w:t xml:space="preserve"> to regulate body fluid ion concentrations</w:t>
      </w:r>
      <w:r w:rsidR="009A2D47">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r w:rsidRPr="00365F17">
        <w:rPr>
          <w:rFonts w:ascii="Times New Roman" w:eastAsia="Times New Roman" w:hAnsi="Times New Roman"/>
          <w:sz w:val="24"/>
          <w:szCs w:val="24"/>
          <w:highlight w:val="yellow"/>
        </w:rPr>
        <w:t>Yanong</w:t>
      </w:r>
      <w:proofErr w:type="spellEnd"/>
      <w:r w:rsidRPr="00365F17">
        <w:rPr>
          <w:rFonts w:ascii="Times New Roman" w:eastAsia="Times New Roman" w:hAnsi="Times New Roman"/>
          <w:sz w:val="24"/>
          <w:szCs w:val="24"/>
          <w:highlight w:val="yellow"/>
        </w:rPr>
        <w:t>,</w:t>
      </w:r>
      <w:r w:rsidR="00365F17" w:rsidRPr="00365F17">
        <w:rPr>
          <w:rFonts w:ascii="Times New Roman" w:eastAsia="Times New Roman" w:hAnsi="Times New Roman"/>
          <w:sz w:val="24"/>
          <w:szCs w:val="24"/>
          <w:highlight w:val="yellow"/>
        </w:rPr>
        <w:t xml:space="preserve"> </w:t>
      </w:r>
      <w:r w:rsidRPr="00365F17">
        <w:rPr>
          <w:rFonts w:ascii="Times New Roman" w:eastAsia="Times New Roman" w:hAnsi="Times New Roman"/>
          <w:sz w:val="24"/>
          <w:szCs w:val="24"/>
          <w:highlight w:val="yellow"/>
        </w:rPr>
        <w:t>2010)</w:t>
      </w:r>
      <w:r w:rsidR="00365F17" w:rsidRPr="00365F17">
        <w:rPr>
          <w:rFonts w:ascii="Times New Roman" w:eastAsia="Times New Roman" w:hAnsi="Times New Roman"/>
          <w:sz w:val="24"/>
          <w:szCs w:val="24"/>
          <w:highlight w:val="yellow"/>
        </w:rPr>
        <w:t>.</w:t>
      </w:r>
    </w:p>
    <w:p w14:paraId="1F5F8E8E" w14:textId="766FB4B0"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Environmental contaminants are known to induce measurable biochemical changes in exposed aquatic organisms. Likewise, stressors can load or limit physiological systems, reduce growth, impair reproduction and predispose aquatic organisms to disease and reduce their capacity to tolerate additional stressors. Thus, the response of aquatic organisms to the effects of contaminants may manifest at all levels of biological organization, in a hierarchical scale that can </w:t>
      </w:r>
      <w:r w:rsidRPr="005C52C2">
        <w:rPr>
          <w:rFonts w:ascii="Times New Roman" w:eastAsia="Times New Roman" w:hAnsi="Times New Roman"/>
          <w:sz w:val="24"/>
          <w:szCs w:val="24"/>
          <w:highlight w:val="yellow"/>
        </w:rPr>
        <w:lastRenderedPageBreak/>
        <w:t xml:space="preserve">be at </w:t>
      </w:r>
      <w:r w:rsidR="00AA4FC2" w:rsidRPr="005C52C2">
        <w:rPr>
          <w:rFonts w:ascii="Times New Roman" w:eastAsia="Times New Roman" w:hAnsi="Times New Roman"/>
          <w:sz w:val="24"/>
          <w:szCs w:val="24"/>
          <w:highlight w:val="yellow"/>
        </w:rPr>
        <w:t xml:space="preserve">the </w:t>
      </w:r>
      <w:r w:rsidRPr="005C52C2">
        <w:rPr>
          <w:rFonts w:ascii="Times New Roman" w:eastAsia="Times New Roman" w:hAnsi="Times New Roman"/>
          <w:sz w:val="24"/>
          <w:szCs w:val="24"/>
          <w:highlight w:val="yellow"/>
        </w:rPr>
        <w:t>cellular level</w:t>
      </w:r>
      <w:r>
        <w:rPr>
          <w:rFonts w:ascii="Times New Roman" w:eastAsia="Times New Roman" w:hAnsi="Times New Roman"/>
          <w:sz w:val="24"/>
          <w:szCs w:val="24"/>
        </w:rPr>
        <w:t xml:space="preserve">, organisms, populations, communities, and ecosystems. In this way, the measuring of a suite of indicators across such levels of organization is often necessary to assess ecological integrity; these indicators usually include biochemical, physiological, morphological (histology), population, community, and ecosystem responses. Biological indicators allow us to isolate key aspects of the environment from an overwhelming array of signals. Biological indicators of an ecology can therefore be defined as measurable alterations </w:t>
      </w:r>
      <w:r w:rsidRPr="005C52C2">
        <w:rPr>
          <w:rFonts w:ascii="Times New Roman" w:eastAsia="Times New Roman" w:hAnsi="Times New Roman"/>
          <w:sz w:val="24"/>
          <w:szCs w:val="24"/>
          <w:highlight w:val="yellow"/>
        </w:rPr>
        <w:t>in a sentinel</w:t>
      </w:r>
      <w:r>
        <w:rPr>
          <w:rFonts w:ascii="Times New Roman" w:eastAsia="Times New Roman" w:hAnsi="Times New Roman"/>
          <w:sz w:val="24"/>
          <w:szCs w:val="24"/>
        </w:rPr>
        <w:t xml:space="preserve"> organism, which include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physiological, biochemical and morphological tissue changes.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physiological and biochemical changes result in the production of stressors that cause lesions or pathology in an organism. </w:t>
      </w:r>
      <w:r w:rsidR="00DE64FB">
        <w:rPr>
          <w:rFonts w:ascii="Times New Roman" w:eastAsia="Times New Roman" w:hAnsi="Times New Roman"/>
          <w:sz w:val="24"/>
          <w:szCs w:val="24"/>
        </w:rPr>
        <w:t>T</w:t>
      </w:r>
      <w:r>
        <w:rPr>
          <w:rFonts w:ascii="Times New Roman" w:eastAsia="Times New Roman" w:hAnsi="Times New Roman"/>
          <w:sz w:val="24"/>
          <w:szCs w:val="24"/>
        </w:rPr>
        <w:t>hat lesion</w:t>
      </w:r>
      <w:r w:rsidR="00DE64FB">
        <w:rPr>
          <w:rFonts w:ascii="Times New Roman" w:eastAsia="Times New Roman" w:hAnsi="Times New Roman"/>
          <w:sz w:val="24"/>
          <w:szCs w:val="24"/>
        </w:rPr>
        <w:t>s</w:t>
      </w:r>
      <w:r>
        <w:rPr>
          <w:rFonts w:ascii="Times New Roman" w:eastAsia="Times New Roman" w:hAnsi="Times New Roman"/>
          <w:sz w:val="24"/>
          <w:szCs w:val="24"/>
        </w:rPr>
        <w:t xml:space="preserve"> are defined are areas of abnormal tissue changes, and histopathology is the science of micro-anatomical alterations, histology therefore is a gold standard in </w:t>
      </w:r>
      <w:r w:rsidR="00DE64FB">
        <w:rPr>
          <w:rFonts w:ascii="Times New Roman" w:eastAsia="Times New Roman" w:hAnsi="Times New Roman"/>
          <w:sz w:val="24"/>
          <w:szCs w:val="24"/>
        </w:rPr>
        <w:t xml:space="preserve">the </w:t>
      </w:r>
      <w:r>
        <w:rPr>
          <w:rFonts w:ascii="Times New Roman" w:eastAsia="Times New Roman" w:hAnsi="Times New Roman"/>
          <w:sz w:val="24"/>
          <w:szCs w:val="24"/>
        </w:rPr>
        <w:t>assessment sub-lethal effect of contaminants.</w:t>
      </w:r>
    </w:p>
    <w:p w14:paraId="2FEC9542" w14:textId="1D93B9EF"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Histology is the study of the structure of normal tissue while histopathology is the study of the structure of abnormal, diseased tissue. According to Hinton and Lauren (1990) </w:t>
      </w:r>
      <w:r w:rsidR="009A2D47">
        <w:rPr>
          <w:rFonts w:ascii="Times New Roman" w:eastAsia="Times New Roman" w:hAnsi="Times New Roman"/>
          <w:sz w:val="24"/>
          <w:szCs w:val="24"/>
        </w:rPr>
        <w:t>“</w:t>
      </w:r>
      <w:r>
        <w:rPr>
          <w:rFonts w:ascii="Times New Roman" w:eastAsia="Times New Roman" w:hAnsi="Times New Roman"/>
          <w:sz w:val="24"/>
          <w:szCs w:val="24"/>
        </w:rPr>
        <w:t xml:space="preserve">histological alterations are the overall result of </w:t>
      </w:r>
      <w:proofErr w:type="spellStart"/>
      <w:r>
        <w:rPr>
          <w:rFonts w:ascii="Times New Roman" w:eastAsia="Times New Roman" w:hAnsi="Times New Roman"/>
          <w:sz w:val="24"/>
          <w:szCs w:val="24"/>
        </w:rPr>
        <w:t>unfavourable</w:t>
      </w:r>
      <w:proofErr w:type="spellEnd"/>
      <w:r>
        <w:rPr>
          <w:rFonts w:ascii="Times New Roman" w:eastAsia="Times New Roman" w:hAnsi="Times New Roman"/>
          <w:color w:val="FF0000"/>
          <w:sz w:val="24"/>
          <w:szCs w:val="24"/>
        </w:rPr>
        <w:t xml:space="preserve"> </w:t>
      </w:r>
      <w:r>
        <w:rPr>
          <w:rFonts w:ascii="Times New Roman" w:eastAsia="Times New Roman" w:hAnsi="Times New Roman"/>
          <w:sz w:val="24"/>
          <w:szCs w:val="24"/>
        </w:rPr>
        <w:t>physiological and biochemical alterations in an organism</w:t>
      </w:r>
      <w:r w:rsidR="009A2D47">
        <w:rPr>
          <w:rFonts w:ascii="Times New Roman" w:eastAsia="Times New Roman" w:hAnsi="Times New Roman"/>
          <w:sz w:val="24"/>
          <w:szCs w:val="24"/>
        </w:rPr>
        <w:t>”</w:t>
      </w:r>
      <w:r>
        <w:rPr>
          <w:rFonts w:ascii="Times New Roman" w:eastAsia="Times New Roman" w:hAnsi="Times New Roman"/>
          <w:sz w:val="24"/>
          <w:szCs w:val="24"/>
        </w:rPr>
        <w:t xml:space="preserve">. </w:t>
      </w:r>
      <w:r w:rsidR="009A2D47">
        <w:rPr>
          <w:rFonts w:ascii="Times New Roman" w:eastAsia="Times New Roman" w:hAnsi="Times New Roman"/>
          <w:sz w:val="24"/>
          <w:szCs w:val="24"/>
        </w:rPr>
        <w:t>“</w:t>
      </w:r>
      <w:r>
        <w:rPr>
          <w:rFonts w:ascii="Times New Roman" w:eastAsia="Times New Roman" w:hAnsi="Times New Roman"/>
          <w:sz w:val="24"/>
          <w:szCs w:val="24"/>
        </w:rPr>
        <w:t>They may be used to foresee the effects of alterations on processes or activities such as predator avoidance, growth, reproduction, and population stability that occur at higher levels of biological organization</w:t>
      </w:r>
      <w:r w:rsidR="009A2D47">
        <w:rPr>
          <w:rFonts w:ascii="Times New Roman" w:eastAsia="Times New Roman" w:hAnsi="Times New Roman"/>
          <w:sz w:val="24"/>
          <w:szCs w:val="24"/>
        </w:rPr>
        <w:t>”</w:t>
      </w:r>
      <w:r>
        <w:rPr>
          <w:rFonts w:ascii="Times New Roman" w:eastAsia="Times New Roman" w:hAnsi="Times New Roman"/>
          <w:sz w:val="24"/>
          <w:szCs w:val="24"/>
        </w:rPr>
        <w:t xml:space="preserve"> (Meyers and Hendricks, 1985). Negative effects as a result of toxicity generally begin at the cellular or tissue level long </w:t>
      </w:r>
      <w:r w:rsidRPr="005C52C2">
        <w:rPr>
          <w:rFonts w:ascii="Times New Roman" w:eastAsia="Times New Roman" w:hAnsi="Times New Roman"/>
          <w:sz w:val="24"/>
          <w:szCs w:val="24"/>
          <w:highlight w:val="yellow"/>
        </w:rPr>
        <w:t>before obvio</w:t>
      </w:r>
      <w:r>
        <w:rPr>
          <w:rFonts w:ascii="Times New Roman" w:eastAsia="Times New Roman" w:hAnsi="Times New Roman"/>
          <w:sz w:val="24"/>
          <w:szCs w:val="24"/>
        </w:rPr>
        <w:t xml:space="preserve">us signs such as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changes, loss of appetite, discoloration, or death occur. This is where histology and histopathology could be useful tools in toxicity studies. Histopathology was introduced in studies where more detailed information was needed for further description or screening for early preneoplastic changes (</w:t>
      </w:r>
      <w:r w:rsidRPr="005C52C2">
        <w:rPr>
          <w:rFonts w:ascii="Times New Roman" w:eastAsia="Times New Roman" w:hAnsi="Times New Roman"/>
          <w:sz w:val="24"/>
          <w:szCs w:val="24"/>
          <w:highlight w:val="yellow"/>
        </w:rPr>
        <w:t xml:space="preserve">Wester et al., 2002). </w:t>
      </w:r>
      <w:r w:rsidR="009A2D47">
        <w:rPr>
          <w:rFonts w:ascii="Times New Roman" w:eastAsia="Times New Roman" w:hAnsi="Times New Roman"/>
          <w:sz w:val="24"/>
          <w:szCs w:val="24"/>
          <w:highlight w:val="yellow"/>
        </w:rPr>
        <w:t>“</w:t>
      </w:r>
      <w:r w:rsidRPr="005C52C2">
        <w:rPr>
          <w:rFonts w:ascii="Times New Roman" w:eastAsia="Times New Roman" w:hAnsi="Times New Roman"/>
          <w:sz w:val="24"/>
          <w:szCs w:val="24"/>
          <w:highlight w:val="yellow"/>
        </w:rPr>
        <w:t>Histopathological characteristics of specific organs express condition</w:t>
      </w:r>
      <w:r w:rsidR="006B29DB">
        <w:rPr>
          <w:rFonts w:ascii="Times New Roman" w:eastAsia="Times New Roman" w:hAnsi="Times New Roman"/>
          <w:sz w:val="24"/>
          <w:szCs w:val="24"/>
          <w:highlight w:val="yellow"/>
        </w:rPr>
        <w:t>s</w:t>
      </w:r>
      <w:r w:rsidRPr="005C52C2">
        <w:rPr>
          <w:rFonts w:ascii="Times New Roman" w:eastAsia="Times New Roman" w:hAnsi="Times New Roman"/>
          <w:sz w:val="24"/>
          <w:szCs w:val="24"/>
          <w:highlight w:val="yellow"/>
        </w:rPr>
        <w:t xml:space="preserve"> and represent </w:t>
      </w:r>
      <w:r w:rsidR="006B29DB" w:rsidRPr="005C52C2">
        <w:rPr>
          <w:rFonts w:ascii="Times New Roman" w:eastAsia="Times New Roman" w:hAnsi="Times New Roman"/>
          <w:sz w:val="24"/>
          <w:szCs w:val="24"/>
          <w:highlight w:val="yellow"/>
        </w:rPr>
        <w:t>time-</w:t>
      </w:r>
      <w:r w:rsidRPr="005C52C2">
        <w:rPr>
          <w:rFonts w:ascii="Times New Roman" w:eastAsia="Times New Roman" w:hAnsi="Times New Roman"/>
          <w:sz w:val="24"/>
          <w:szCs w:val="24"/>
          <w:highlight w:val="yellow"/>
        </w:rPr>
        <w:t>inte</w:t>
      </w:r>
      <w:r>
        <w:rPr>
          <w:rFonts w:ascii="Times New Roman" w:eastAsia="Times New Roman" w:hAnsi="Times New Roman"/>
          <w:sz w:val="24"/>
          <w:szCs w:val="24"/>
        </w:rPr>
        <w:t>grated endogenous and exogenous impacts on the organism stemming from alterations at lower levels of biological organization</w:t>
      </w:r>
      <w:r w:rsidR="009A2D47">
        <w:rPr>
          <w:rFonts w:ascii="Times New Roman" w:eastAsia="Times New Roman" w:hAnsi="Times New Roman"/>
          <w:sz w:val="24"/>
          <w:szCs w:val="24"/>
        </w:rPr>
        <w:t>”</w:t>
      </w:r>
      <w:r>
        <w:rPr>
          <w:rFonts w:ascii="Times New Roman" w:eastAsia="Times New Roman" w:hAnsi="Times New Roman"/>
          <w:sz w:val="24"/>
          <w:szCs w:val="24"/>
        </w:rPr>
        <w:t xml:space="preserve"> (Hinton and Lauren, 1990; Swee et at., 1996).</w:t>
      </w:r>
    </w:p>
    <w:p w14:paraId="2226DD3F" w14:textId="69B990C1" w:rsidR="0069775F" w:rsidRDefault="009A2D47"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4D7A71">
        <w:rPr>
          <w:rFonts w:ascii="Times New Roman" w:eastAsia="Times New Roman" w:hAnsi="Times New Roman"/>
          <w:sz w:val="24"/>
          <w:szCs w:val="24"/>
        </w:rPr>
        <w:t>The capability to qualitatively or quantitatively measure physiological, biochemical or morphological alterations before death occurs can present early signs of toxicity and important insights into the mechanisms of toxicity</w:t>
      </w:r>
      <w:r>
        <w:rPr>
          <w:rFonts w:ascii="Times New Roman" w:eastAsia="Times New Roman" w:hAnsi="Times New Roman"/>
          <w:sz w:val="24"/>
          <w:szCs w:val="24"/>
        </w:rPr>
        <w:t>”</w:t>
      </w:r>
      <w:r w:rsidR="004D7A71">
        <w:rPr>
          <w:rFonts w:ascii="Times New Roman" w:eastAsia="Times New Roman" w:hAnsi="Times New Roman"/>
          <w:sz w:val="24"/>
          <w:szCs w:val="24"/>
        </w:rPr>
        <w:t xml:space="preserve"> (Meyers and Hendricks, 1985). </w:t>
      </w:r>
      <w:r>
        <w:rPr>
          <w:rFonts w:ascii="Times New Roman" w:eastAsia="Times New Roman" w:hAnsi="Times New Roman"/>
          <w:sz w:val="24"/>
          <w:szCs w:val="24"/>
        </w:rPr>
        <w:t>“</w:t>
      </w:r>
      <w:r w:rsidR="004D7A71">
        <w:rPr>
          <w:rFonts w:ascii="Times New Roman" w:eastAsia="Times New Roman" w:hAnsi="Times New Roman"/>
          <w:sz w:val="24"/>
          <w:szCs w:val="24"/>
        </w:rPr>
        <w:t xml:space="preserve">Critical and </w:t>
      </w:r>
      <w:proofErr w:type="spellStart"/>
      <w:r w:rsidR="004D7A71">
        <w:rPr>
          <w:rFonts w:ascii="Times New Roman" w:eastAsia="Times New Roman" w:hAnsi="Times New Roman"/>
          <w:sz w:val="24"/>
          <w:szCs w:val="24"/>
        </w:rPr>
        <w:t>unfavo</w:t>
      </w:r>
      <w:r w:rsidR="006B29DB">
        <w:rPr>
          <w:rFonts w:ascii="Times New Roman" w:eastAsia="Times New Roman" w:hAnsi="Times New Roman"/>
          <w:sz w:val="24"/>
          <w:szCs w:val="24"/>
        </w:rPr>
        <w:t>u</w:t>
      </w:r>
      <w:r w:rsidR="004D7A71">
        <w:rPr>
          <w:rFonts w:ascii="Times New Roman" w:eastAsia="Times New Roman" w:hAnsi="Times New Roman"/>
          <w:sz w:val="24"/>
          <w:szCs w:val="24"/>
        </w:rPr>
        <w:t>rable</w:t>
      </w:r>
      <w:proofErr w:type="spellEnd"/>
      <w:r w:rsidR="004D7A71">
        <w:rPr>
          <w:rFonts w:ascii="Times New Roman" w:eastAsia="Times New Roman" w:hAnsi="Times New Roman"/>
          <w:sz w:val="24"/>
          <w:szCs w:val="24"/>
        </w:rPr>
        <w:t xml:space="preserve"> biological effects may go unnoticed in the context of classical toxicological testing using fish. Histological monitoring (a biomarker of effect) allows for a greater sensitivity as effects will be seen at a smaller dosage in comparison to that of toxicological endpoints like </w:t>
      </w:r>
      <w:proofErr w:type="spellStart"/>
      <w:r w:rsidR="004D7A71">
        <w:rPr>
          <w:rFonts w:ascii="Times New Roman" w:eastAsia="Times New Roman" w:hAnsi="Times New Roman"/>
          <w:sz w:val="24"/>
          <w:szCs w:val="24"/>
        </w:rPr>
        <w:t>behavioural</w:t>
      </w:r>
      <w:proofErr w:type="spellEnd"/>
      <w:r w:rsidR="004D7A71">
        <w:rPr>
          <w:rFonts w:ascii="Times New Roman" w:eastAsia="Times New Roman" w:hAnsi="Times New Roman"/>
          <w:sz w:val="24"/>
          <w:szCs w:val="24"/>
        </w:rPr>
        <w:t xml:space="preserve"> changes or death</w:t>
      </w:r>
      <w:r>
        <w:rPr>
          <w:rFonts w:ascii="Times New Roman" w:eastAsia="Times New Roman" w:hAnsi="Times New Roman"/>
          <w:sz w:val="24"/>
          <w:szCs w:val="24"/>
        </w:rPr>
        <w:t xml:space="preserve">” </w:t>
      </w:r>
      <w:r w:rsidR="004D7A71">
        <w:rPr>
          <w:rFonts w:ascii="Times New Roman" w:eastAsia="Times New Roman" w:hAnsi="Times New Roman"/>
          <w:sz w:val="24"/>
          <w:szCs w:val="24"/>
        </w:rPr>
        <w:t xml:space="preserve">(Wester et al., 2002). </w:t>
      </w:r>
    </w:p>
    <w:p w14:paraId="48026C50" w14:textId="50D4B9E4" w:rsidR="0069775F" w:rsidRDefault="009A2D47"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4D7A71">
        <w:rPr>
          <w:rFonts w:ascii="Times New Roman" w:eastAsia="Times New Roman" w:hAnsi="Times New Roman"/>
          <w:sz w:val="24"/>
          <w:szCs w:val="24"/>
        </w:rPr>
        <w:t>Histopathology alone has diagnostic strength. When combined with other disciplines such as analytical chemistry or xenobiotic physiology, histopathology may also reconstruct possible etiologies for the lesions found</w:t>
      </w:r>
      <w:r>
        <w:rPr>
          <w:rFonts w:ascii="Times New Roman" w:eastAsia="Times New Roman" w:hAnsi="Times New Roman"/>
          <w:sz w:val="24"/>
          <w:szCs w:val="24"/>
        </w:rPr>
        <w:t>”</w:t>
      </w:r>
      <w:r w:rsidR="004D7A71">
        <w:rPr>
          <w:rFonts w:ascii="Times New Roman" w:eastAsia="Times New Roman" w:hAnsi="Times New Roman"/>
          <w:sz w:val="24"/>
          <w:szCs w:val="24"/>
        </w:rPr>
        <w:t xml:space="preserve"> (Hinton and Lauren, 1990). </w:t>
      </w:r>
      <w:r w:rsidR="004D7A71" w:rsidRPr="005C52C2">
        <w:rPr>
          <w:rFonts w:ascii="Times New Roman" w:eastAsia="Times New Roman" w:hAnsi="Times New Roman"/>
          <w:sz w:val="24"/>
          <w:szCs w:val="24"/>
          <w:highlight w:val="yellow"/>
        </w:rPr>
        <w:t>Furthermore</w:t>
      </w:r>
      <w:r w:rsidR="006B29DB" w:rsidRPr="005C52C2">
        <w:rPr>
          <w:rFonts w:ascii="Times New Roman" w:eastAsia="Times New Roman" w:hAnsi="Times New Roman"/>
          <w:sz w:val="24"/>
          <w:szCs w:val="24"/>
          <w:highlight w:val="yellow"/>
        </w:rPr>
        <w:t>,</w:t>
      </w:r>
      <w:r w:rsidR="004D7A71" w:rsidRPr="005C52C2">
        <w:rPr>
          <w:rFonts w:ascii="Times New Roman" w:eastAsia="Times New Roman" w:hAnsi="Times New Roman"/>
          <w:sz w:val="24"/>
          <w:szCs w:val="24"/>
          <w:highlight w:val="yellow"/>
        </w:rPr>
        <w:t xml:space="preserve"> histological</w:t>
      </w:r>
      <w:r w:rsidR="004D7A71">
        <w:rPr>
          <w:rFonts w:ascii="Times New Roman" w:eastAsia="Times New Roman" w:hAnsi="Times New Roman"/>
          <w:sz w:val="24"/>
          <w:szCs w:val="24"/>
        </w:rPr>
        <w:t xml:space="preserve"> techniques like immunohistochemistry for vitellogenin (VTG) identification or histomorphometry that can help to detect microscopic effects early on, not visual during inspection, may greatly enhance this strength (Wester et al., 2002).</w:t>
      </w:r>
    </w:p>
    <w:p w14:paraId="20021C45"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Direct exposures to various toxic pollutants may result in abnormalities and pathological alterations in fish (Bernet et al., 1999). Therefore, to determine and simulate the effects of some target heavy metals exposed </w:t>
      </w:r>
      <w:r w:rsidRPr="00365F17">
        <w:rPr>
          <w:rFonts w:ascii="Times New Roman" w:eastAsia="Times New Roman" w:hAnsi="Times New Roman"/>
          <w:sz w:val="24"/>
          <w:szCs w:val="24"/>
          <w:highlight w:val="yellow"/>
        </w:rPr>
        <w:t xml:space="preserve">to </w:t>
      </w:r>
      <w:proofErr w:type="spellStart"/>
      <w:r w:rsidRPr="00365F17">
        <w:rPr>
          <w:rFonts w:ascii="Times New Roman" w:eastAsia="Times New Roman" w:hAnsi="Times New Roman"/>
          <w:i/>
          <w:sz w:val="24"/>
          <w:szCs w:val="24"/>
          <w:highlight w:val="yellow"/>
        </w:rPr>
        <w:t>Coptodon</w:t>
      </w:r>
      <w:proofErr w:type="spellEnd"/>
      <w:r w:rsidRPr="00365F17">
        <w:rPr>
          <w:rFonts w:ascii="Times New Roman" w:eastAsia="Times New Roman" w:hAnsi="Times New Roman"/>
          <w:i/>
          <w:sz w:val="24"/>
          <w:szCs w:val="24"/>
          <w:highlight w:val="yellow"/>
        </w:rPr>
        <w:t xml:space="preserve"> </w:t>
      </w:r>
      <w:proofErr w:type="spellStart"/>
      <w:r w:rsidRPr="00365F17">
        <w:rPr>
          <w:rFonts w:ascii="Times New Roman" w:eastAsia="Times New Roman" w:hAnsi="Times New Roman"/>
          <w:i/>
          <w:sz w:val="24"/>
          <w:szCs w:val="24"/>
          <w:highlight w:val="yellow"/>
        </w:rPr>
        <w:t>zillii</w:t>
      </w:r>
      <w:proofErr w:type="spellEnd"/>
      <w:r w:rsidRPr="00365F17">
        <w:rPr>
          <w:rFonts w:ascii="Times New Roman" w:eastAsia="Times New Roman" w:hAnsi="Times New Roman"/>
          <w:sz w:val="24"/>
          <w:szCs w:val="24"/>
          <w:highlight w:val="yellow"/>
        </w:rPr>
        <w:t>, a histology</w:t>
      </w:r>
      <w:r>
        <w:rPr>
          <w:rFonts w:ascii="Times New Roman" w:eastAsia="Times New Roman" w:hAnsi="Times New Roman"/>
          <w:sz w:val="24"/>
          <w:szCs w:val="24"/>
        </w:rPr>
        <w:t>-based fish health assessment protocol was used to evaluate the bio-indicator fish, using the gills as a histologic biomarker.</w:t>
      </w:r>
    </w:p>
    <w:p w14:paraId="0C03496D" w14:textId="77777777" w:rsidR="0069775F" w:rsidRDefault="0069775F" w:rsidP="00C07B6E">
      <w:pPr>
        <w:spacing w:after="120" w:line="240" w:lineRule="auto"/>
        <w:jc w:val="both"/>
        <w:rPr>
          <w:rFonts w:ascii="Times New Roman" w:eastAsia="Times New Roman" w:hAnsi="Times New Roman"/>
          <w:sz w:val="24"/>
          <w:szCs w:val="24"/>
        </w:rPr>
      </w:pPr>
    </w:p>
    <w:p w14:paraId="7524A393" w14:textId="77777777" w:rsidR="0069775F" w:rsidRDefault="004D7A71" w:rsidP="00C07B6E">
      <w:pPr>
        <w:spacing w:after="12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Materials and Method</w:t>
      </w:r>
    </w:p>
    <w:p w14:paraId="19A43B76" w14:textId="77777777" w:rsidR="0069775F" w:rsidRDefault="004D7A71" w:rsidP="00C07B6E">
      <w:pPr>
        <w:spacing w:after="12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Study Location</w:t>
      </w:r>
    </w:p>
    <w:p w14:paraId="4C89D77D" w14:textId="1833072E" w:rsidR="0069775F" w:rsidRDefault="004D7A71" w:rsidP="00C07B6E">
      <w:pPr>
        <w:spacing w:after="120" w:line="240" w:lineRule="auto"/>
        <w:jc w:val="both"/>
        <w:rPr>
          <w:rFonts w:ascii="Times New Roman" w:eastAsia="Times New Roman" w:hAnsi="Times New Roman"/>
          <w:b/>
          <w:bCs/>
          <w:sz w:val="24"/>
          <w:szCs w:val="24"/>
        </w:rPr>
      </w:pPr>
      <w:r>
        <w:rPr>
          <w:rFonts w:ascii="Times New Roman" w:eastAsia="Times New Roman" w:hAnsi="Times New Roman"/>
          <w:bCs/>
          <w:sz w:val="24"/>
          <w:szCs w:val="24"/>
        </w:rPr>
        <w:t xml:space="preserve">The fish toxicity testing was done in a Wet laboratory of the Department of Aquaculture and Fisheries Management, Faculty of Agriculture, University of Benin, Nigeria. The department undertakes high level human resource development through research, training and technology transfer to </w:t>
      </w:r>
      <w:r w:rsidRPr="005C52C2">
        <w:rPr>
          <w:rFonts w:ascii="Times New Roman" w:eastAsia="Times New Roman" w:hAnsi="Times New Roman"/>
          <w:bCs/>
          <w:sz w:val="24"/>
          <w:szCs w:val="24"/>
          <w:highlight w:val="yellow"/>
        </w:rPr>
        <w:t xml:space="preserve">ensure </w:t>
      </w:r>
      <w:r w:rsidR="006B29DB" w:rsidRPr="005C52C2">
        <w:rPr>
          <w:rFonts w:ascii="Times New Roman" w:eastAsia="Times New Roman" w:hAnsi="Times New Roman"/>
          <w:bCs/>
          <w:sz w:val="24"/>
          <w:szCs w:val="24"/>
          <w:highlight w:val="yellow"/>
        </w:rPr>
        <w:t xml:space="preserve">the </w:t>
      </w:r>
      <w:r w:rsidRPr="005C52C2">
        <w:rPr>
          <w:rFonts w:ascii="Times New Roman" w:eastAsia="Times New Roman" w:hAnsi="Times New Roman"/>
          <w:bCs/>
          <w:sz w:val="24"/>
          <w:szCs w:val="24"/>
          <w:highlight w:val="yellow"/>
        </w:rPr>
        <w:t>sustainab</w:t>
      </w:r>
      <w:r>
        <w:rPr>
          <w:rFonts w:ascii="Times New Roman" w:eastAsia="Times New Roman" w:hAnsi="Times New Roman"/>
          <w:bCs/>
          <w:sz w:val="24"/>
          <w:szCs w:val="24"/>
        </w:rPr>
        <w:t xml:space="preserve">le development of forest resources as well as the environmental and social impact on these resources.  </w:t>
      </w:r>
    </w:p>
    <w:p w14:paraId="5F1CA409" w14:textId="77777777" w:rsidR="0069775F" w:rsidRDefault="0069775F" w:rsidP="00C07B6E">
      <w:pPr>
        <w:spacing w:after="120" w:line="240" w:lineRule="auto"/>
        <w:jc w:val="both"/>
        <w:rPr>
          <w:rFonts w:ascii="Times New Roman" w:eastAsia="Times New Roman" w:hAnsi="Times New Roman"/>
          <w:sz w:val="24"/>
          <w:szCs w:val="24"/>
        </w:rPr>
      </w:pPr>
    </w:p>
    <w:p w14:paraId="68CDCE00" w14:textId="77777777" w:rsidR="0069775F" w:rsidRDefault="004D7A71" w:rsidP="00C07B6E">
      <w:pPr>
        <w:spacing w:after="12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Study Specie </w:t>
      </w:r>
    </w:p>
    <w:p w14:paraId="3A64C2F2" w14:textId="3710BD18"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Fish selection: </w:t>
      </w:r>
      <w:r>
        <w:rPr>
          <w:rFonts w:ascii="Times New Roman" w:eastAsia="Times New Roman" w:hAnsi="Times New Roman"/>
          <w:sz w:val="24"/>
          <w:szCs w:val="24"/>
        </w:rPr>
        <w:t xml:space="preserve">EROCIPS (Emergency Response to coastal Oil, Chemical and Inert Pollution from Shipping), (2006), “Protocol for Selection of Sentinel Species” was basically used to select the appropriate sentinel </w:t>
      </w:r>
      <w:r w:rsidRPr="005C52C2">
        <w:rPr>
          <w:rFonts w:ascii="Times New Roman" w:eastAsia="Times New Roman" w:hAnsi="Times New Roman"/>
          <w:sz w:val="24"/>
          <w:szCs w:val="24"/>
          <w:highlight w:val="yellow"/>
        </w:rPr>
        <w:t>specie</w:t>
      </w:r>
      <w:r w:rsidR="006B29DB" w:rsidRPr="005C52C2">
        <w:rPr>
          <w:rFonts w:ascii="Times New Roman" w:eastAsia="Times New Roman" w:hAnsi="Times New Roman"/>
          <w:sz w:val="24"/>
          <w:szCs w:val="24"/>
          <w:highlight w:val="yellow"/>
        </w:rPr>
        <w:t>s</w:t>
      </w:r>
      <w:r w:rsidRPr="005C52C2">
        <w:rPr>
          <w:rFonts w:ascii="Times New Roman" w:eastAsia="Times New Roman" w:hAnsi="Times New Roman"/>
          <w:sz w:val="24"/>
          <w:szCs w:val="24"/>
          <w:highlight w:val="yellow"/>
        </w:rPr>
        <w:t xml:space="preserve"> for this</w:t>
      </w:r>
      <w:r>
        <w:rPr>
          <w:rFonts w:ascii="Times New Roman" w:eastAsia="Times New Roman" w:hAnsi="Times New Roman"/>
          <w:sz w:val="24"/>
          <w:szCs w:val="24"/>
        </w:rPr>
        <w:t xml:space="preserve"> study. The resident fish species,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sz w:val="24"/>
          <w:szCs w:val="24"/>
        </w:rPr>
        <w:t xml:space="preserve"> because it is a widely studied fish </w:t>
      </w:r>
      <w:proofErr w:type="gramStart"/>
      <w:r>
        <w:rPr>
          <w:rFonts w:ascii="Times New Roman" w:eastAsia="Times New Roman" w:hAnsi="Times New Roman"/>
          <w:sz w:val="24"/>
          <w:szCs w:val="24"/>
        </w:rPr>
        <w:t>species  (</w:t>
      </w:r>
      <w:proofErr w:type="gramEnd"/>
      <w:r>
        <w:rPr>
          <w:rFonts w:ascii="Times New Roman" w:eastAsia="Times New Roman" w:hAnsi="Times New Roman"/>
          <w:sz w:val="24"/>
          <w:szCs w:val="24"/>
        </w:rPr>
        <w:t xml:space="preserve">Harvey et al., 1999; </w:t>
      </w:r>
      <w:proofErr w:type="spellStart"/>
      <w:r>
        <w:rPr>
          <w:rFonts w:ascii="Times New Roman" w:eastAsia="Times New Roman" w:hAnsi="Times New Roman"/>
          <w:sz w:val="24"/>
          <w:szCs w:val="24"/>
        </w:rPr>
        <w:t>Pietrapiana</w:t>
      </w:r>
      <w:proofErr w:type="spellEnd"/>
      <w:r>
        <w:rPr>
          <w:rFonts w:ascii="Times New Roman" w:eastAsia="Times New Roman" w:hAnsi="Times New Roman"/>
          <w:sz w:val="24"/>
          <w:szCs w:val="24"/>
        </w:rPr>
        <w:t xml:space="preserve"> et al., 2002; Budzinski et al., 2004; EROCIPS, 2006; </w:t>
      </w:r>
      <w:proofErr w:type="spellStart"/>
      <w:r>
        <w:rPr>
          <w:rFonts w:ascii="Times New Roman" w:eastAsia="Times New Roman" w:hAnsi="Times New Roman"/>
          <w:sz w:val="24"/>
          <w:szCs w:val="24"/>
        </w:rPr>
        <w:t>Marigo´mez</w:t>
      </w:r>
      <w:proofErr w:type="spellEnd"/>
      <w:r>
        <w:rPr>
          <w:rFonts w:ascii="Times New Roman" w:eastAsia="Times New Roman" w:hAnsi="Times New Roman"/>
          <w:sz w:val="24"/>
          <w:szCs w:val="24"/>
        </w:rPr>
        <w:t xml:space="preserve"> et al., 2006; </w:t>
      </w:r>
      <w:proofErr w:type="spellStart"/>
      <w:r>
        <w:rPr>
          <w:rFonts w:ascii="Times New Roman" w:eastAsia="Times New Roman" w:hAnsi="Times New Roman"/>
          <w:sz w:val="24"/>
          <w:szCs w:val="24"/>
        </w:rPr>
        <w:t>Martı´nez-Go´mez</w:t>
      </w:r>
      <w:proofErr w:type="spellEnd"/>
      <w:r>
        <w:rPr>
          <w:rFonts w:ascii="Times New Roman" w:eastAsia="Times New Roman" w:hAnsi="Times New Roman"/>
          <w:sz w:val="24"/>
          <w:szCs w:val="24"/>
        </w:rPr>
        <w:t xml:space="preserve"> et al., 2006; Joly-</w:t>
      </w:r>
      <w:proofErr w:type="spellStart"/>
      <w:r>
        <w:rPr>
          <w:rFonts w:ascii="Times New Roman" w:eastAsia="Times New Roman" w:hAnsi="Times New Roman"/>
          <w:sz w:val="24"/>
          <w:szCs w:val="24"/>
        </w:rPr>
        <w:t>Turquin</w:t>
      </w:r>
      <w:proofErr w:type="spellEnd"/>
      <w:r>
        <w:rPr>
          <w:rFonts w:ascii="Times New Roman" w:eastAsia="Times New Roman" w:hAnsi="Times New Roman"/>
          <w:sz w:val="24"/>
          <w:szCs w:val="24"/>
        </w:rPr>
        <w:t xml:space="preserve"> et al., 2009), and it is a resident of the Niger Delta region of Nigeria. This region is crude oil production hub of Nigeria, with the highest level of crude oil spills and other crude oil related environmental crimes.</w:t>
      </w:r>
    </w:p>
    <w:p w14:paraId="46979BCD" w14:textId="77777777" w:rsidR="0069775F" w:rsidRDefault="0069775F" w:rsidP="00C07B6E">
      <w:pPr>
        <w:spacing w:after="120" w:line="240" w:lineRule="auto"/>
        <w:jc w:val="both"/>
        <w:rPr>
          <w:rFonts w:ascii="Times New Roman" w:eastAsia="Times New Roman" w:hAnsi="Times New Roman"/>
          <w:sz w:val="24"/>
          <w:szCs w:val="24"/>
        </w:rPr>
      </w:pPr>
    </w:p>
    <w:p w14:paraId="4140D1CD" w14:textId="1D73035B"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Fish Biodata: </w:t>
      </w:r>
      <w:r>
        <w:rPr>
          <w:rFonts w:ascii="Times New Roman" w:eastAsia="Times New Roman" w:hAnsi="Times New Roman"/>
          <w:sz w:val="24"/>
          <w:szCs w:val="24"/>
        </w:rPr>
        <w:t xml:space="preserve">The chosen bio-indicator fish </w:t>
      </w:r>
      <w:r w:rsidRPr="005C52C2">
        <w:rPr>
          <w:rFonts w:ascii="Times New Roman" w:eastAsia="Times New Roman" w:hAnsi="Times New Roman"/>
          <w:sz w:val="24"/>
          <w:szCs w:val="24"/>
          <w:highlight w:val="yellow"/>
        </w:rPr>
        <w:t>specie</w:t>
      </w:r>
      <w:r w:rsidR="006B29DB" w:rsidRPr="005C52C2">
        <w:rPr>
          <w:rFonts w:ascii="Times New Roman" w:eastAsia="Times New Roman" w:hAnsi="Times New Roman"/>
          <w:sz w:val="24"/>
          <w:szCs w:val="24"/>
          <w:highlight w:val="yellow"/>
        </w:rPr>
        <w:t>s</w:t>
      </w:r>
      <w:r w:rsidRPr="005C52C2">
        <w:rPr>
          <w:rFonts w:ascii="Times New Roman" w:eastAsia="Times New Roman" w:hAnsi="Times New Roman"/>
          <w:sz w:val="24"/>
          <w:szCs w:val="24"/>
          <w:highlight w:val="yellow"/>
        </w:rPr>
        <w:t xml:space="preserve"> for this s</w:t>
      </w:r>
      <w:r>
        <w:rPr>
          <w:rFonts w:ascii="Times New Roman" w:eastAsia="Times New Roman" w:hAnsi="Times New Roman"/>
          <w:sz w:val="24"/>
          <w:szCs w:val="24"/>
        </w:rPr>
        <w:t>tudy is</w:t>
      </w:r>
      <w:r>
        <w:rPr>
          <w:sz w:val="24"/>
          <w:szCs w:val="24"/>
        </w:rPr>
        <w:t xml:space="preserve"> </w:t>
      </w:r>
      <w:r>
        <w:rPr>
          <w:rFonts w:ascii="Times New Roman" w:eastAsia="Times New Roman" w:hAnsi="Times New Roman"/>
          <w:i/>
          <w:sz w:val="24"/>
          <w:szCs w:val="24"/>
        </w:rPr>
        <w:t xml:space="preserve">Tilapia </w:t>
      </w:r>
      <w:proofErr w:type="spellStart"/>
      <w:r>
        <w:rPr>
          <w:rFonts w:ascii="Times New Roman" w:eastAsia="Times New Roman" w:hAnsi="Times New Roman"/>
          <w:i/>
          <w:sz w:val="24"/>
          <w:szCs w:val="24"/>
        </w:rPr>
        <w:t>zillii</w:t>
      </w:r>
      <w:proofErr w:type="spellEnd"/>
      <w:r>
        <w:rPr>
          <w:rFonts w:ascii="Times New Roman" w:eastAsia="Times New Roman" w:hAnsi="Times New Roman"/>
          <w:sz w:val="24"/>
          <w:szCs w:val="24"/>
        </w:rPr>
        <w:t xml:space="preserve">, now known as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w:t>
      </w:r>
      <w:r>
        <w:rPr>
          <w:rFonts w:ascii="Times New Roman" w:eastAsia="Times New Roman" w:hAnsi="Times New Roman"/>
          <w:sz w:val="24"/>
          <w:szCs w:val="24"/>
        </w:rPr>
        <w:t xml:space="preserve"> The </w:t>
      </w:r>
      <w:r w:rsidRPr="005C52C2">
        <w:rPr>
          <w:rFonts w:ascii="Times New Roman" w:eastAsia="Times New Roman" w:hAnsi="Times New Roman"/>
          <w:sz w:val="24"/>
          <w:szCs w:val="24"/>
          <w:highlight w:val="yellow"/>
        </w:rPr>
        <w:t>fish specie</w:t>
      </w:r>
      <w:r w:rsidR="006B29DB" w:rsidRPr="005C52C2">
        <w:rPr>
          <w:rFonts w:ascii="Times New Roman" w:eastAsia="Times New Roman" w:hAnsi="Times New Roman"/>
          <w:sz w:val="24"/>
          <w:szCs w:val="24"/>
          <w:highlight w:val="yellow"/>
        </w:rPr>
        <w:t>s</w:t>
      </w:r>
      <w:r w:rsidRPr="005C52C2">
        <w:rPr>
          <w:rFonts w:ascii="Times New Roman" w:eastAsia="Times New Roman" w:hAnsi="Times New Roman"/>
          <w:sz w:val="24"/>
          <w:szCs w:val="24"/>
          <w:highlight w:val="yellow"/>
        </w:rPr>
        <w:t xml:space="preserve"> is a r</w:t>
      </w:r>
      <w:r>
        <w:rPr>
          <w:rFonts w:ascii="Times New Roman" w:eastAsia="Times New Roman" w:hAnsi="Times New Roman"/>
          <w:sz w:val="24"/>
          <w:szCs w:val="24"/>
        </w:rPr>
        <w:t xml:space="preserve">esident of the Niger Delta region of Nigeria.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has a maximum length of 40cm (SL) and a maximum published weight of 300 grams with a total of 13 to 16 Dorsal spines (GISD, 2019). The non-breeding </w:t>
      </w:r>
      <w:proofErr w:type="spellStart"/>
      <w:r>
        <w:rPr>
          <w:rFonts w:ascii="Times New Roman" w:eastAsia="Times New Roman" w:hAnsi="Times New Roman"/>
          <w:sz w:val="24"/>
          <w:szCs w:val="24"/>
        </w:rPr>
        <w:t>colouration</w:t>
      </w:r>
      <w:proofErr w:type="spellEnd"/>
      <w:r>
        <w:rPr>
          <w:rFonts w:ascii="Times New Roman" w:eastAsia="Times New Roman" w:hAnsi="Times New Roman"/>
          <w:sz w:val="24"/>
          <w:szCs w:val="24"/>
        </w:rPr>
        <w:t xml:space="preserve"> of </w:t>
      </w:r>
      <w:r>
        <w:rPr>
          <w:rFonts w:ascii="Times New Roman" w:eastAsia="Times New Roman" w:hAnsi="Times New Roman"/>
          <w:i/>
          <w:sz w:val="24"/>
          <w:szCs w:val="24"/>
        </w:rPr>
        <w:t xml:space="preserve">C. </w:t>
      </w:r>
      <w:proofErr w:type="spellStart"/>
      <w:r>
        <w:rPr>
          <w:rFonts w:ascii="Times New Roman" w:eastAsia="Times New Roman" w:hAnsi="Times New Roman"/>
          <w:i/>
          <w:sz w:val="24"/>
          <w:szCs w:val="24"/>
        </w:rPr>
        <w:t>zillii</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is dark olive on top and light olive to yellow-brown on the sides, often with an iridescent blue sheen. Lips are bright green and the chest is pinkish. Six to seven dark vertical bars cross two horizontal stripes on the body and caudal peduncle. Fins are olivaceous, covered in yellow spots with the dorsal and anal fins displaying an outline of a thin orange band. </w:t>
      </w:r>
      <w:r w:rsidR="006B29DB" w:rsidRPr="005C52C2">
        <w:rPr>
          <w:rFonts w:ascii="Times New Roman" w:eastAsia="Times New Roman" w:hAnsi="Times New Roman"/>
          <w:sz w:val="24"/>
          <w:szCs w:val="24"/>
          <w:highlight w:val="yellow"/>
        </w:rPr>
        <w:t xml:space="preserve">The caudal </w:t>
      </w:r>
      <w:r w:rsidRPr="005C52C2">
        <w:rPr>
          <w:rFonts w:ascii="Times New Roman" w:eastAsia="Times New Roman" w:hAnsi="Times New Roman"/>
          <w:sz w:val="24"/>
          <w:szCs w:val="24"/>
          <w:highlight w:val="yellow"/>
        </w:rPr>
        <w:t xml:space="preserve">fin </w:t>
      </w:r>
      <w:r w:rsidR="006B29DB">
        <w:rPr>
          <w:rFonts w:ascii="Times New Roman" w:eastAsia="Times New Roman" w:hAnsi="Times New Roman"/>
          <w:sz w:val="24"/>
          <w:szCs w:val="24"/>
          <w:highlight w:val="yellow"/>
        </w:rPr>
        <w:t xml:space="preserve">is </w:t>
      </w:r>
      <w:r w:rsidRPr="005C52C2">
        <w:rPr>
          <w:rFonts w:ascii="Times New Roman" w:eastAsia="Times New Roman" w:hAnsi="Times New Roman"/>
          <w:sz w:val="24"/>
          <w:szCs w:val="24"/>
          <w:highlight w:val="yellow"/>
        </w:rPr>
        <w:t>often</w:t>
      </w:r>
      <w:r>
        <w:rPr>
          <w:rFonts w:ascii="Times New Roman" w:eastAsia="Times New Roman" w:hAnsi="Times New Roman"/>
          <w:sz w:val="24"/>
          <w:szCs w:val="24"/>
        </w:rPr>
        <w:t xml:space="preserve"> grey with pale interstices with dots covering the entire fin. Adults display a black spot outlined in yellow. </w:t>
      </w:r>
      <w:r w:rsidRPr="005C52C2">
        <w:rPr>
          <w:rFonts w:ascii="Times New Roman" w:eastAsia="Times New Roman" w:hAnsi="Times New Roman"/>
          <w:i/>
          <w:sz w:val="24"/>
          <w:szCs w:val="24"/>
          <w:highlight w:val="yellow"/>
        </w:rPr>
        <w:t xml:space="preserve">C. </w:t>
      </w:r>
      <w:proofErr w:type="spellStart"/>
      <w:r w:rsidRPr="005C52C2">
        <w:rPr>
          <w:rFonts w:ascii="Times New Roman" w:eastAsia="Times New Roman" w:hAnsi="Times New Roman"/>
          <w:i/>
          <w:sz w:val="24"/>
          <w:szCs w:val="24"/>
          <w:highlight w:val="yellow"/>
        </w:rPr>
        <w:t>zillii</w:t>
      </w:r>
      <w:proofErr w:type="spellEnd"/>
      <w:r w:rsidRPr="005C52C2">
        <w:rPr>
          <w:rFonts w:ascii="Times New Roman" w:eastAsia="Times New Roman" w:hAnsi="Times New Roman"/>
          <w:sz w:val="24"/>
          <w:szCs w:val="24"/>
          <w:highlight w:val="yellow"/>
        </w:rPr>
        <w:t xml:space="preserve"> </w:t>
      </w:r>
      <w:r>
        <w:rPr>
          <w:rFonts w:ascii="Times New Roman" w:eastAsia="Times New Roman" w:hAnsi="Times New Roman"/>
          <w:sz w:val="24"/>
          <w:szCs w:val="24"/>
        </w:rPr>
        <w:t>from 2 to 14cm (SL) have an entirely yellow to grey caudal fin with no dots, developing a greyish caudal fin with dots with increasing size. Spawning coloration is shiny dark green on top and sides, red and black on the throat and belly, and obvious vertical bands on the sides. Heads turn dark blue to black with blue-green spots. Eggs are green to olive green, sticky, 1-2 mm in diameter; relatively smaller than eggs of other cichlids (</w:t>
      </w:r>
      <w:proofErr w:type="spellStart"/>
      <w:r>
        <w:rPr>
          <w:rFonts w:ascii="Times New Roman" w:eastAsia="Times New Roman" w:hAnsi="Times New Roman"/>
          <w:sz w:val="24"/>
          <w:szCs w:val="24"/>
        </w:rPr>
        <w:t>FishBase</w:t>
      </w:r>
      <w:proofErr w:type="spellEnd"/>
      <w:r>
        <w:rPr>
          <w:rFonts w:ascii="Times New Roman" w:eastAsia="Times New Roman" w:hAnsi="Times New Roman"/>
          <w:sz w:val="24"/>
          <w:szCs w:val="24"/>
        </w:rPr>
        <w:t>, 2008; GISD, 2019</w:t>
      </w:r>
      <w:proofErr w:type="gramStart"/>
      <w:r>
        <w:rPr>
          <w:rFonts w:ascii="Times New Roman" w:eastAsia="Times New Roman" w:hAnsi="Times New Roman"/>
          <w:sz w:val="24"/>
          <w:szCs w:val="24"/>
        </w:rPr>
        <w:t>)..</w:t>
      </w:r>
      <w:proofErr w:type="gramEnd"/>
    </w:p>
    <w:p w14:paraId="6EBD8681"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r>
        <w:rPr>
          <w:rFonts w:ascii="Times New Roman" w:eastAsia="Times New Roman" w:hAnsi="Times New Roman"/>
          <w:noProof/>
          <w:sz w:val="24"/>
          <w:szCs w:val="24"/>
        </w:rPr>
        <w:drawing>
          <wp:inline distT="0" distB="0" distL="0" distR="0" wp14:anchorId="6A442AD7" wp14:editId="542C6E9E">
            <wp:extent cx="1409700" cy="1005840"/>
            <wp:effectExtent l="0" t="0" r="0" b="3810"/>
            <wp:docPr id="10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8" cstate="print"/>
                    <a:srcRect/>
                    <a:stretch/>
                  </pic:blipFill>
                  <pic:spPr>
                    <a:xfrm>
                      <a:off x="0" y="0"/>
                      <a:ext cx="1409700" cy="1005840"/>
                    </a:xfrm>
                    <a:prstGeom prst="rect">
                      <a:avLst/>
                    </a:prstGeom>
                  </pic:spPr>
                </pic:pic>
              </a:graphicData>
            </a:graphic>
          </wp:inline>
        </w:drawing>
      </w:r>
    </w:p>
    <w:p w14:paraId="77DDE551" w14:textId="77777777" w:rsidR="0069775F" w:rsidRDefault="004D7A71" w:rsidP="00C07B6E">
      <w:pPr>
        <w:spacing w:after="120" w:line="240" w:lineRule="auto"/>
        <w:jc w:val="both"/>
        <w:rPr>
          <w:rFonts w:ascii="Times New Roman" w:eastAsia="Times New Roman" w:hAnsi="Times New Roman"/>
          <w:b/>
          <w:sz w:val="20"/>
          <w:szCs w:val="28"/>
        </w:rPr>
      </w:pPr>
      <w:r>
        <w:rPr>
          <w:rFonts w:ascii="Times New Roman" w:eastAsia="Times New Roman" w:hAnsi="Times New Roman"/>
          <w:b/>
          <w:sz w:val="20"/>
          <w:szCs w:val="28"/>
        </w:rPr>
        <w:t xml:space="preserve">Plate 1. Picture of </w:t>
      </w:r>
      <w:r>
        <w:rPr>
          <w:rFonts w:ascii="Times New Roman" w:eastAsia="Times New Roman" w:hAnsi="Times New Roman"/>
          <w:b/>
          <w:i/>
          <w:sz w:val="20"/>
          <w:szCs w:val="28"/>
        </w:rPr>
        <w:t xml:space="preserve">C. </w:t>
      </w:r>
      <w:proofErr w:type="spellStart"/>
      <w:r>
        <w:rPr>
          <w:rFonts w:ascii="Times New Roman" w:eastAsia="Times New Roman" w:hAnsi="Times New Roman"/>
          <w:b/>
          <w:i/>
          <w:sz w:val="20"/>
          <w:szCs w:val="28"/>
        </w:rPr>
        <w:t>zillii</w:t>
      </w:r>
      <w:proofErr w:type="spellEnd"/>
      <w:r>
        <w:rPr>
          <w:rFonts w:ascii="Times New Roman" w:eastAsia="Times New Roman" w:hAnsi="Times New Roman"/>
          <w:b/>
          <w:sz w:val="20"/>
          <w:szCs w:val="28"/>
        </w:rPr>
        <w:t xml:space="preserve">   </w:t>
      </w:r>
    </w:p>
    <w:p w14:paraId="16B34858" w14:textId="221D70E4" w:rsidR="0069775F" w:rsidRDefault="004D7A71" w:rsidP="00C07B6E">
      <w:pPr>
        <w:spacing w:after="120" w:line="240" w:lineRule="auto"/>
        <w:jc w:val="both"/>
        <w:rPr>
          <w:rFonts w:ascii="Times New Roman" w:hAnsi="Times New Roman"/>
          <w:sz w:val="24"/>
          <w:szCs w:val="24"/>
        </w:rPr>
      </w:pPr>
      <w:r>
        <w:rPr>
          <w:rFonts w:ascii="Times New Roman" w:eastAsia="Times New Roman" w:hAnsi="Times New Roman"/>
          <w:b/>
          <w:bCs/>
          <w:sz w:val="24"/>
          <w:szCs w:val="24"/>
        </w:rPr>
        <w:t>Fish Source: T</w:t>
      </w:r>
      <w:r>
        <w:rPr>
          <w:rFonts w:ascii="Times New Roman" w:eastAsia="Times New Roman" w:hAnsi="Times New Roman"/>
          <w:bCs/>
          <w:sz w:val="24"/>
          <w:szCs w:val="24"/>
        </w:rPr>
        <w:t xml:space="preserve">he fish used for toxicity testing was acquired from Nigeria Institution for Oceanography and Maritime Research (NIORMR) in Sapele Delta State, Nigeria. The Institute is involved in farmers' field test and </w:t>
      </w:r>
      <w:r w:rsidR="006B29DB" w:rsidRPr="005C52C2">
        <w:rPr>
          <w:rFonts w:ascii="Times New Roman" w:eastAsia="Times New Roman" w:hAnsi="Times New Roman"/>
          <w:bCs/>
          <w:sz w:val="24"/>
          <w:szCs w:val="24"/>
          <w:highlight w:val="yellow"/>
        </w:rPr>
        <w:t>incubation-</w:t>
      </w:r>
      <w:r w:rsidRPr="005C52C2">
        <w:rPr>
          <w:rFonts w:ascii="Times New Roman" w:eastAsia="Times New Roman" w:hAnsi="Times New Roman"/>
          <w:bCs/>
          <w:sz w:val="24"/>
          <w:szCs w:val="24"/>
          <w:highlight w:val="yellow"/>
        </w:rPr>
        <w:t xml:space="preserve">validated </w:t>
      </w:r>
      <w:r>
        <w:rPr>
          <w:rFonts w:ascii="Times New Roman" w:eastAsia="Times New Roman" w:hAnsi="Times New Roman"/>
          <w:bCs/>
          <w:sz w:val="24"/>
          <w:szCs w:val="24"/>
        </w:rPr>
        <w:t xml:space="preserve">research results and technologies. </w:t>
      </w:r>
      <w:r>
        <w:rPr>
          <w:rFonts w:ascii="Times New Roman" w:hAnsi="Times New Roman"/>
          <w:sz w:val="24"/>
          <w:szCs w:val="24"/>
        </w:rPr>
        <w:t xml:space="preserve">The test fish was positively identified by a taxonomist from NIOMR, to be the right species for the </w:t>
      </w:r>
      <w:r>
        <w:rPr>
          <w:rFonts w:ascii="Times New Roman" w:hAnsi="Times New Roman"/>
          <w:sz w:val="24"/>
          <w:szCs w:val="24"/>
        </w:rPr>
        <w:lastRenderedPageBreak/>
        <w:t xml:space="preserve">study. The test fish used was disease-free </w:t>
      </w:r>
      <w:r w:rsidRPr="005C52C2">
        <w:rPr>
          <w:rFonts w:ascii="Times New Roman" w:hAnsi="Times New Roman"/>
          <w:sz w:val="24"/>
          <w:szCs w:val="24"/>
          <w:highlight w:val="yellow"/>
        </w:rPr>
        <w:t>and appear</w:t>
      </w:r>
      <w:r w:rsidR="006B29DB" w:rsidRPr="005C52C2">
        <w:rPr>
          <w:rFonts w:ascii="Times New Roman" w:hAnsi="Times New Roman"/>
          <w:sz w:val="24"/>
          <w:szCs w:val="24"/>
          <w:highlight w:val="yellow"/>
        </w:rPr>
        <w:t>ed</w:t>
      </w:r>
      <w:r w:rsidRPr="005C52C2">
        <w:rPr>
          <w:rFonts w:ascii="Times New Roman" w:hAnsi="Times New Roman"/>
          <w:sz w:val="24"/>
          <w:szCs w:val="24"/>
          <w:highlight w:val="yellow"/>
        </w:rPr>
        <w:t xml:space="preserve"> healthy, </w:t>
      </w:r>
      <w:r>
        <w:rPr>
          <w:rFonts w:ascii="Times New Roman" w:hAnsi="Times New Roman"/>
          <w:sz w:val="24"/>
          <w:szCs w:val="24"/>
        </w:rPr>
        <w:t>behave</w:t>
      </w:r>
      <w:r w:rsidR="006B29DB">
        <w:rPr>
          <w:rFonts w:ascii="Times New Roman" w:hAnsi="Times New Roman"/>
          <w:sz w:val="24"/>
          <w:szCs w:val="24"/>
        </w:rPr>
        <w:t>d</w:t>
      </w:r>
      <w:r>
        <w:rPr>
          <w:rFonts w:ascii="Times New Roman" w:hAnsi="Times New Roman"/>
          <w:sz w:val="24"/>
          <w:szCs w:val="24"/>
        </w:rPr>
        <w:t xml:space="preserve"> normally, </w:t>
      </w:r>
      <w:r w:rsidRPr="005C52C2">
        <w:rPr>
          <w:rFonts w:ascii="Times New Roman" w:hAnsi="Times New Roman"/>
          <w:sz w:val="24"/>
          <w:szCs w:val="24"/>
          <w:highlight w:val="yellow"/>
        </w:rPr>
        <w:t>fed well, a</w:t>
      </w:r>
      <w:r>
        <w:rPr>
          <w:rFonts w:ascii="Times New Roman" w:hAnsi="Times New Roman"/>
          <w:sz w:val="24"/>
          <w:szCs w:val="24"/>
        </w:rPr>
        <w:t>nd had low mortality in cultures, during holding, and in test control. (USEPA, 2002).</w:t>
      </w:r>
    </w:p>
    <w:p w14:paraId="76EB0B71" w14:textId="2CDF1BB7" w:rsidR="0069775F" w:rsidRDefault="004D7A71" w:rsidP="00C07B6E">
      <w:pPr>
        <w:spacing w:after="120" w:line="240" w:lineRule="auto"/>
        <w:jc w:val="both"/>
        <w:rPr>
          <w:rFonts w:ascii="Times New Roman" w:hAnsi="Times New Roman"/>
          <w:sz w:val="24"/>
          <w:szCs w:val="24"/>
        </w:rPr>
      </w:pPr>
      <w:r>
        <w:rPr>
          <w:rFonts w:ascii="Times New Roman" w:eastAsia="Times New Roman" w:hAnsi="Times New Roman"/>
          <w:b/>
          <w:sz w:val="24"/>
          <w:szCs w:val="24"/>
        </w:rPr>
        <w:t xml:space="preserve">Test Fish Guidelines: </w:t>
      </w:r>
      <w:r>
        <w:rPr>
          <w:rFonts w:ascii="Times New Roman" w:hAnsi="Times New Roman"/>
          <w:sz w:val="24"/>
          <w:szCs w:val="24"/>
        </w:rPr>
        <w:t xml:space="preserve">Juveniles of </w:t>
      </w:r>
      <w:proofErr w:type="spellStart"/>
      <w:r>
        <w:rPr>
          <w:rFonts w:ascii="Times New Roman" w:eastAsia="Times New Roman" w:hAnsi="Times New Roman"/>
          <w:i/>
          <w:sz w:val="24"/>
          <w:szCs w:val="24"/>
        </w:rPr>
        <w:t>Coptodon</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zillii</w:t>
      </w:r>
      <w:proofErr w:type="spellEnd"/>
      <w:r>
        <w:rPr>
          <w:rFonts w:ascii="Times New Roman" w:hAnsi="Times New Roman"/>
          <w:sz w:val="24"/>
          <w:szCs w:val="24"/>
        </w:rPr>
        <w:t xml:space="preserve"> were chosen for the study in tandem with ISO,1994 recommendation for chronic toxicity study (ISO, 1994; CEPA, 1999).   Young organisms are often more sensitive to toxicants than adults. For this reason, the use of early life stages, such as juvenile is required for all tests (ISO, 1994; CEPA, 1999). Fish were approximately the same age and were </w:t>
      </w:r>
      <w:r w:rsidR="006B29DB" w:rsidRPr="005C52C2">
        <w:rPr>
          <w:rFonts w:ascii="Times New Roman" w:hAnsi="Times New Roman"/>
          <w:sz w:val="24"/>
          <w:szCs w:val="24"/>
          <w:highlight w:val="yellow"/>
        </w:rPr>
        <w:t xml:space="preserve">obtained </w:t>
      </w:r>
      <w:r w:rsidRPr="005C52C2">
        <w:rPr>
          <w:rFonts w:ascii="Times New Roman" w:hAnsi="Times New Roman"/>
          <w:sz w:val="24"/>
          <w:szCs w:val="24"/>
          <w:highlight w:val="yellow"/>
        </w:rPr>
        <w:t>from the</w:t>
      </w:r>
      <w:r>
        <w:rPr>
          <w:rFonts w:ascii="Times New Roman" w:hAnsi="Times New Roman"/>
          <w:sz w:val="24"/>
          <w:szCs w:val="24"/>
        </w:rPr>
        <w:t xml:space="preserve"> same source. Since age may affect the results of the tests, this would enhance the value and comparability of the data if the same species in the same life stages were used throughout a monitoring program at a given facility (ISO, 1994; CEPA, 1999).</w:t>
      </w:r>
    </w:p>
    <w:p w14:paraId="3222E616" w14:textId="77777777" w:rsidR="0069775F" w:rsidRDefault="004D7A71" w:rsidP="00C07B6E">
      <w:pPr>
        <w:spacing w:after="120" w:line="240" w:lineRule="auto"/>
        <w:jc w:val="both"/>
        <w:rPr>
          <w:rFonts w:ascii="Times New Roman" w:hAnsi="Times New Roman"/>
          <w:b/>
          <w:sz w:val="24"/>
          <w:szCs w:val="24"/>
        </w:rPr>
      </w:pPr>
      <w:r>
        <w:rPr>
          <w:rFonts w:ascii="Times New Roman" w:eastAsia="Times New Roman" w:hAnsi="Times New Roman"/>
          <w:b/>
          <w:sz w:val="24"/>
          <w:szCs w:val="24"/>
        </w:rPr>
        <w:t>Study Design</w:t>
      </w:r>
    </w:p>
    <w:p w14:paraId="7FE1B387" w14:textId="77777777"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Study Guideline: </w:t>
      </w:r>
      <w:r>
        <w:rPr>
          <w:rFonts w:ascii="Times New Roman" w:eastAsia="Times New Roman" w:hAnsi="Times New Roman"/>
          <w:sz w:val="24"/>
          <w:szCs w:val="24"/>
        </w:rPr>
        <w:t>International Standardization Organization (ISO) test guideline standard, ISO 10229:1994 – “Chronic Toxicity Test of Fish Water quality”, was used for the laboratory study (ISO, 1994). The standard specified the method for the determination of the long-term toxicity of substances (pure chemicals, mixtures, wastewater etc.). This Standard allows for the use of a semi-static method. The endpoint response was a measure of the morphological changes of test fish exposed to a test substance for a period of 14 to 28 days. The standard permits to adapt this method for use with a wide variety of freshwater, marine and brackish water fish with appropriate modifications in test conditions (temperature, food, fish marking technique).</w:t>
      </w:r>
    </w:p>
    <w:p w14:paraId="10B14492"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Experimental Set-up: </w:t>
      </w:r>
      <w:r>
        <w:rPr>
          <w:rFonts w:ascii="Times New Roman" w:eastAsia="Times New Roman" w:hAnsi="Times New Roman"/>
          <w:sz w:val="24"/>
          <w:szCs w:val="24"/>
        </w:rPr>
        <w:t xml:space="preserve">Sub-Chronic Toxicity studies were done in Department of Aquaculture and Fisheries Management, Faculty of Agriculture, University of Benin. The experimental duration was 28 days. </w:t>
      </w:r>
      <w:proofErr w:type="gramStart"/>
      <w:r>
        <w:rPr>
          <w:rFonts w:ascii="Times New Roman" w:eastAsia="Times New Roman" w:hAnsi="Times New Roman"/>
          <w:sz w:val="24"/>
          <w:szCs w:val="24"/>
        </w:rPr>
        <w:t>Twenty two</w:t>
      </w:r>
      <w:proofErr w:type="gramEnd"/>
      <w:r>
        <w:rPr>
          <w:rFonts w:ascii="Times New Roman" w:eastAsia="Times New Roman" w:hAnsi="Times New Roman"/>
          <w:sz w:val="24"/>
          <w:szCs w:val="24"/>
        </w:rPr>
        <w:t xml:space="preserve"> pieces (22) of twenty liter (20L) tanks were acquired for the experiment. Four replicate tanks per Target Chemical (TC) were labeled and used for the group treated. Hence, five TC of Copper, Cadmium, Chromium, Lead and Nickel, a total of Twenty (20) tanks were set up for the experiment.</w:t>
      </w:r>
    </w:p>
    <w:p w14:paraId="7BA058B2"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79C8E8C" wp14:editId="5C1560F5">
            <wp:extent cx="3761105" cy="2885440"/>
            <wp:effectExtent l="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3761105" cy="2885440"/>
                    </a:xfrm>
                    <a:prstGeom prst="rect">
                      <a:avLst/>
                    </a:prstGeom>
                  </pic:spPr>
                </pic:pic>
              </a:graphicData>
            </a:graphic>
          </wp:inline>
        </w:drawing>
      </w:r>
    </w:p>
    <w:p w14:paraId="5177A5B1" w14:textId="77777777" w:rsidR="0069775F" w:rsidRDefault="004D7A71" w:rsidP="00C07B6E">
      <w:pPr>
        <w:spacing w:after="120" w:line="240" w:lineRule="auto"/>
        <w:jc w:val="both"/>
        <w:rPr>
          <w:rFonts w:ascii="Times New Roman" w:eastAsia="Times New Roman" w:hAnsi="Times New Roman"/>
          <w:b/>
          <w:i/>
          <w:sz w:val="20"/>
          <w:szCs w:val="24"/>
        </w:rPr>
      </w:pPr>
      <w:r>
        <w:rPr>
          <w:rFonts w:ascii="Times New Roman" w:eastAsia="Times New Roman" w:hAnsi="Times New Roman"/>
          <w:b/>
          <w:i/>
          <w:sz w:val="20"/>
          <w:szCs w:val="24"/>
        </w:rPr>
        <w:t xml:space="preserve">Plate 2: Experimental set-up in the Wet-laboratory of the Department of Agriculture University of Benin. </w:t>
      </w:r>
    </w:p>
    <w:p w14:paraId="761C490B"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Test Chemical/Concentration: </w:t>
      </w:r>
      <w:r>
        <w:rPr>
          <w:rFonts w:ascii="Times New Roman" w:eastAsia="Times New Roman" w:hAnsi="Times New Roman"/>
          <w:sz w:val="24"/>
          <w:szCs w:val="24"/>
        </w:rPr>
        <w:t xml:space="preserve">Target Chemicals (TC), Cadmium (Cd0, Chromium (Cr), Copper (Cu), Nickel (Ni) and Lead (Pb) were chosen because of their cardiogenic quotient and presence in crude oil. A standard stock solution of 100mg/L of the TC (Cd, Cr, Cu, Ni and Pb) was prepared from analytical grade metallic salts </w:t>
      </w:r>
      <w:proofErr w:type="gramStart"/>
      <w:r>
        <w:rPr>
          <w:rFonts w:ascii="Times New Roman" w:eastAsia="Times New Roman" w:hAnsi="Times New Roman"/>
          <w:sz w:val="24"/>
          <w:szCs w:val="24"/>
        </w:rPr>
        <w:t>of  Cadmium</w:t>
      </w:r>
      <w:proofErr w:type="gramEnd"/>
      <w:r>
        <w:rPr>
          <w:rFonts w:ascii="Times New Roman" w:eastAsia="Times New Roman" w:hAnsi="Times New Roman"/>
          <w:sz w:val="24"/>
          <w:szCs w:val="24"/>
        </w:rPr>
        <w:t xml:space="preserve"> Chloride (CdCl2), Lead II Nitrate (Pb(NO3)2), Nickel II Sulphate (NiSO4.(H2O)6), Copper Sulphate (CuSO4) and Potassium Dichromate (K2Cr2O7). Stock solution was prepared with de-ionized water in I-L volumetric. The maximum acceptable toxicant concentration (MATC) for estuarine fresh water was set as the concentration of stock solutions for the laboratory testing (Gheorghe et al., 2017). Two concentrations below and above the estimated MATC were used for the testing (Gheorghe et al., 2017). </w:t>
      </w:r>
    </w:p>
    <w:p w14:paraId="362B31B8" w14:textId="2832FCBB"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1: </w:t>
      </w:r>
      <w:r w:rsidR="00414468">
        <w:rPr>
          <w:rFonts w:ascii="Times New Roman" w:eastAsia="Times New Roman" w:hAnsi="Times New Roman"/>
          <w:sz w:val="24"/>
          <w:szCs w:val="24"/>
        </w:rPr>
        <w:t>T</w:t>
      </w:r>
      <w:r>
        <w:rPr>
          <w:rFonts w:ascii="Times New Roman" w:eastAsia="Times New Roman" w:hAnsi="Times New Roman"/>
          <w:sz w:val="24"/>
          <w:szCs w:val="24"/>
        </w:rPr>
        <w:t>he results of TC doses applied for the fish toxicity study</w:t>
      </w:r>
    </w:p>
    <w:tbl>
      <w:tblPr>
        <w:tblW w:w="10008" w:type="dxa"/>
        <w:tblBorders>
          <w:top w:val="single" w:sz="8" w:space="0" w:color="000000"/>
          <w:bottom w:val="single" w:sz="8" w:space="0" w:color="000000"/>
        </w:tblBorders>
        <w:tblLayout w:type="fixed"/>
        <w:tblLook w:val="04A0" w:firstRow="1" w:lastRow="0" w:firstColumn="1" w:lastColumn="0" w:noHBand="0" w:noVBand="1"/>
      </w:tblPr>
      <w:tblGrid>
        <w:gridCol w:w="2808"/>
        <w:gridCol w:w="1620"/>
        <w:gridCol w:w="1260"/>
        <w:gridCol w:w="1332"/>
        <w:gridCol w:w="1409"/>
        <w:gridCol w:w="1579"/>
      </w:tblGrid>
      <w:tr w:rsidR="0069775F" w14:paraId="2EBBB2B1" w14:textId="77777777">
        <w:trPr>
          <w:trHeight w:val="303"/>
        </w:trPr>
        <w:tc>
          <w:tcPr>
            <w:tcW w:w="2808" w:type="dxa"/>
            <w:vMerge w:val="restart"/>
            <w:tcBorders>
              <w:top w:val="single" w:sz="8" w:space="0" w:color="000000"/>
              <w:left w:val="nil"/>
              <w:bottom w:val="single" w:sz="8" w:space="0" w:color="000000"/>
              <w:right w:val="nil"/>
            </w:tcBorders>
            <w:shd w:val="clear" w:color="auto" w:fill="auto"/>
          </w:tcPr>
          <w:p w14:paraId="321F2A19"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Target Chemicals (TC)</w:t>
            </w:r>
          </w:p>
        </w:tc>
        <w:tc>
          <w:tcPr>
            <w:tcW w:w="1620" w:type="dxa"/>
            <w:vMerge w:val="restart"/>
            <w:tcBorders>
              <w:top w:val="single" w:sz="8" w:space="0" w:color="000000"/>
              <w:left w:val="nil"/>
              <w:bottom w:val="single" w:sz="8" w:space="0" w:color="000000"/>
              <w:right w:val="nil"/>
            </w:tcBorders>
            <w:shd w:val="clear" w:color="auto" w:fill="auto"/>
          </w:tcPr>
          <w:p w14:paraId="709EDB25"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MATC (mg/L)</w:t>
            </w:r>
          </w:p>
        </w:tc>
        <w:tc>
          <w:tcPr>
            <w:tcW w:w="2592" w:type="dxa"/>
            <w:gridSpan w:val="2"/>
            <w:tcBorders>
              <w:top w:val="single" w:sz="8" w:space="0" w:color="000000"/>
              <w:left w:val="nil"/>
              <w:bottom w:val="single" w:sz="8" w:space="0" w:color="000000"/>
              <w:right w:val="nil"/>
            </w:tcBorders>
            <w:shd w:val="clear" w:color="auto" w:fill="auto"/>
          </w:tcPr>
          <w:p w14:paraId="194A0105"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FED: Dose above MATC (mg/L)</w:t>
            </w:r>
          </w:p>
        </w:tc>
        <w:tc>
          <w:tcPr>
            <w:tcW w:w="2988" w:type="dxa"/>
            <w:gridSpan w:val="2"/>
            <w:tcBorders>
              <w:top w:val="single" w:sz="8" w:space="0" w:color="000000"/>
              <w:left w:val="nil"/>
              <w:bottom w:val="single" w:sz="8" w:space="0" w:color="000000"/>
              <w:right w:val="nil"/>
            </w:tcBorders>
            <w:shd w:val="clear" w:color="auto" w:fill="auto"/>
          </w:tcPr>
          <w:p w14:paraId="4715E9EB"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FED: Dose below MATC (mg/L)</w:t>
            </w:r>
          </w:p>
        </w:tc>
      </w:tr>
      <w:tr w:rsidR="0069775F" w14:paraId="2663D583" w14:textId="77777777">
        <w:trPr>
          <w:trHeight w:val="253"/>
        </w:trPr>
        <w:tc>
          <w:tcPr>
            <w:tcW w:w="2808" w:type="dxa"/>
            <w:vMerge/>
            <w:tcBorders>
              <w:left w:val="nil"/>
              <w:right w:val="nil"/>
            </w:tcBorders>
            <w:shd w:val="clear" w:color="auto" w:fill="C0C0C0"/>
          </w:tcPr>
          <w:p w14:paraId="71C2ED5D" w14:textId="77777777" w:rsidR="0069775F" w:rsidRDefault="0069775F" w:rsidP="00C07B6E">
            <w:pPr>
              <w:spacing w:after="0" w:line="240" w:lineRule="auto"/>
              <w:jc w:val="both"/>
              <w:rPr>
                <w:rFonts w:ascii="Times New Roman" w:eastAsia="Times New Roman" w:hAnsi="Times New Roman"/>
                <w:b/>
                <w:bCs/>
                <w:color w:val="000000"/>
                <w:sz w:val="20"/>
                <w:szCs w:val="20"/>
              </w:rPr>
            </w:pPr>
          </w:p>
        </w:tc>
        <w:tc>
          <w:tcPr>
            <w:tcW w:w="1620" w:type="dxa"/>
            <w:vMerge/>
            <w:tcBorders>
              <w:left w:val="nil"/>
              <w:right w:val="nil"/>
            </w:tcBorders>
            <w:shd w:val="clear" w:color="auto" w:fill="C0C0C0"/>
          </w:tcPr>
          <w:p w14:paraId="5E190A69" w14:textId="77777777" w:rsidR="0069775F" w:rsidRDefault="0069775F" w:rsidP="00C07B6E">
            <w:pPr>
              <w:spacing w:after="0" w:line="240" w:lineRule="auto"/>
              <w:jc w:val="both"/>
              <w:rPr>
                <w:rFonts w:ascii="Times New Roman" w:eastAsia="Times New Roman" w:hAnsi="Times New Roman"/>
                <w:b/>
                <w:bCs/>
                <w:color w:val="000000"/>
                <w:sz w:val="20"/>
                <w:szCs w:val="20"/>
              </w:rPr>
            </w:pPr>
          </w:p>
        </w:tc>
        <w:tc>
          <w:tcPr>
            <w:tcW w:w="1260" w:type="dxa"/>
            <w:tcBorders>
              <w:left w:val="nil"/>
              <w:right w:val="nil"/>
            </w:tcBorders>
            <w:shd w:val="clear" w:color="auto" w:fill="C0C0C0"/>
          </w:tcPr>
          <w:p w14:paraId="01B14147"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C1</w:t>
            </w:r>
          </w:p>
        </w:tc>
        <w:tc>
          <w:tcPr>
            <w:tcW w:w="1332" w:type="dxa"/>
            <w:tcBorders>
              <w:left w:val="nil"/>
              <w:right w:val="nil"/>
            </w:tcBorders>
            <w:shd w:val="clear" w:color="auto" w:fill="C0C0C0"/>
          </w:tcPr>
          <w:p w14:paraId="08220030"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C2</w:t>
            </w:r>
          </w:p>
        </w:tc>
        <w:tc>
          <w:tcPr>
            <w:tcW w:w="1409" w:type="dxa"/>
            <w:tcBorders>
              <w:left w:val="nil"/>
              <w:right w:val="nil"/>
            </w:tcBorders>
            <w:shd w:val="clear" w:color="auto" w:fill="C0C0C0"/>
          </w:tcPr>
          <w:p w14:paraId="1B6DD82E"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C3</w:t>
            </w:r>
          </w:p>
        </w:tc>
        <w:tc>
          <w:tcPr>
            <w:tcW w:w="1579" w:type="dxa"/>
            <w:tcBorders>
              <w:left w:val="nil"/>
              <w:right w:val="nil"/>
            </w:tcBorders>
            <w:shd w:val="clear" w:color="auto" w:fill="C0C0C0"/>
          </w:tcPr>
          <w:p w14:paraId="600B23A8"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C4</w:t>
            </w:r>
          </w:p>
        </w:tc>
      </w:tr>
      <w:tr w:rsidR="0069775F" w14:paraId="5BD8F8E8" w14:textId="77777777">
        <w:tc>
          <w:tcPr>
            <w:tcW w:w="2808" w:type="dxa"/>
            <w:shd w:val="clear" w:color="auto" w:fill="auto"/>
          </w:tcPr>
          <w:p w14:paraId="5F02CCEB"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Cadmium (Cd)</w:t>
            </w:r>
          </w:p>
        </w:tc>
        <w:tc>
          <w:tcPr>
            <w:tcW w:w="1620" w:type="dxa"/>
            <w:shd w:val="clear" w:color="auto" w:fill="auto"/>
          </w:tcPr>
          <w:p w14:paraId="097C3468"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0.00001</w:t>
            </w:r>
          </w:p>
        </w:tc>
        <w:tc>
          <w:tcPr>
            <w:tcW w:w="1260" w:type="dxa"/>
            <w:shd w:val="clear" w:color="auto" w:fill="auto"/>
          </w:tcPr>
          <w:p w14:paraId="7CF335DF"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0.1</w:t>
            </w:r>
          </w:p>
        </w:tc>
        <w:tc>
          <w:tcPr>
            <w:tcW w:w="1332" w:type="dxa"/>
            <w:shd w:val="clear" w:color="auto" w:fill="auto"/>
          </w:tcPr>
          <w:p w14:paraId="19669FC7"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409" w:type="dxa"/>
            <w:shd w:val="clear" w:color="auto" w:fill="auto"/>
          </w:tcPr>
          <w:p w14:paraId="110C6133"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0.0001</w:t>
            </w:r>
          </w:p>
        </w:tc>
        <w:tc>
          <w:tcPr>
            <w:tcW w:w="1579" w:type="dxa"/>
            <w:shd w:val="clear" w:color="auto" w:fill="auto"/>
          </w:tcPr>
          <w:p w14:paraId="22F99515"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0.0001</w:t>
            </w:r>
          </w:p>
        </w:tc>
      </w:tr>
      <w:tr w:rsidR="0069775F" w14:paraId="077037DB" w14:textId="77777777">
        <w:tc>
          <w:tcPr>
            <w:tcW w:w="2808" w:type="dxa"/>
            <w:tcBorders>
              <w:left w:val="nil"/>
              <w:right w:val="nil"/>
            </w:tcBorders>
            <w:shd w:val="clear" w:color="auto" w:fill="C0C0C0"/>
          </w:tcPr>
          <w:p w14:paraId="2DD1B18D"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Chromium (Cr)</w:t>
            </w:r>
          </w:p>
        </w:tc>
        <w:tc>
          <w:tcPr>
            <w:tcW w:w="1620" w:type="dxa"/>
            <w:tcBorders>
              <w:left w:val="nil"/>
              <w:right w:val="nil"/>
            </w:tcBorders>
            <w:shd w:val="clear" w:color="auto" w:fill="C0C0C0"/>
          </w:tcPr>
          <w:p w14:paraId="60953CD2"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c>
          <w:tcPr>
            <w:tcW w:w="1260" w:type="dxa"/>
            <w:tcBorders>
              <w:left w:val="nil"/>
              <w:right w:val="nil"/>
            </w:tcBorders>
            <w:shd w:val="clear" w:color="auto" w:fill="C0C0C0"/>
          </w:tcPr>
          <w:p w14:paraId="584B32E2"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10.0</w:t>
            </w:r>
          </w:p>
        </w:tc>
        <w:tc>
          <w:tcPr>
            <w:tcW w:w="1332" w:type="dxa"/>
            <w:tcBorders>
              <w:left w:val="nil"/>
              <w:right w:val="nil"/>
            </w:tcBorders>
            <w:shd w:val="clear" w:color="auto" w:fill="C0C0C0"/>
          </w:tcPr>
          <w:p w14:paraId="57EBE5D6"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1409" w:type="dxa"/>
            <w:tcBorders>
              <w:left w:val="nil"/>
              <w:right w:val="nil"/>
            </w:tcBorders>
            <w:shd w:val="clear" w:color="auto" w:fill="C0C0C0"/>
          </w:tcPr>
          <w:p w14:paraId="0FDD2580"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579" w:type="dxa"/>
            <w:tcBorders>
              <w:left w:val="nil"/>
              <w:right w:val="nil"/>
            </w:tcBorders>
            <w:shd w:val="clear" w:color="auto" w:fill="C0C0C0"/>
          </w:tcPr>
          <w:p w14:paraId="31F4626A"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r>
      <w:tr w:rsidR="0069775F" w14:paraId="48EECCF2" w14:textId="77777777">
        <w:tc>
          <w:tcPr>
            <w:tcW w:w="2808" w:type="dxa"/>
            <w:shd w:val="clear" w:color="auto" w:fill="auto"/>
          </w:tcPr>
          <w:p w14:paraId="771B7AA3"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Copper (Cu)</w:t>
            </w:r>
          </w:p>
        </w:tc>
        <w:tc>
          <w:tcPr>
            <w:tcW w:w="1620" w:type="dxa"/>
            <w:shd w:val="clear" w:color="auto" w:fill="auto"/>
          </w:tcPr>
          <w:p w14:paraId="743CB440"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0.002</w:t>
            </w:r>
          </w:p>
        </w:tc>
        <w:tc>
          <w:tcPr>
            <w:tcW w:w="1260" w:type="dxa"/>
            <w:shd w:val="clear" w:color="auto" w:fill="auto"/>
          </w:tcPr>
          <w:p w14:paraId="57DBF0F6"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20.0</w:t>
            </w:r>
          </w:p>
        </w:tc>
        <w:tc>
          <w:tcPr>
            <w:tcW w:w="1332" w:type="dxa"/>
            <w:shd w:val="clear" w:color="auto" w:fill="auto"/>
          </w:tcPr>
          <w:p w14:paraId="2BB7F4FF"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c>
          <w:tcPr>
            <w:tcW w:w="1409" w:type="dxa"/>
            <w:shd w:val="clear" w:color="auto" w:fill="auto"/>
          </w:tcPr>
          <w:p w14:paraId="4B3E9621"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w:t>
            </w:r>
          </w:p>
        </w:tc>
        <w:tc>
          <w:tcPr>
            <w:tcW w:w="1579" w:type="dxa"/>
            <w:shd w:val="clear" w:color="auto" w:fill="auto"/>
          </w:tcPr>
          <w:p w14:paraId="3B12525F"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0.002</w:t>
            </w:r>
          </w:p>
        </w:tc>
      </w:tr>
      <w:tr w:rsidR="0069775F" w14:paraId="32E867B5" w14:textId="77777777">
        <w:tc>
          <w:tcPr>
            <w:tcW w:w="2808" w:type="dxa"/>
            <w:tcBorders>
              <w:left w:val="nil"/>
              <w:right w:val="nil"/>
            </w:tcBorders>
            <w:shd w:val="clear" w:color="auto" w:fill="C0C0C0"/>
          </w:tcPr>
          <w:p w14:paraId="0C392FDE"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Nickel (Ni)</w:t>
            </w:r>
          </w:p>
        </w:tc>
        <w:tc>
          <w:tcPr>
            <w:tcW w:w="1620" w:type="dxa"/>
            <w:tcBorders>
              <w:left w:val="nil"/>
              <w:right w:val="nil"/>
            </w:tcBorders>
            <w:shd w:val="clear" w:color="auto" w:fill="C0C0C0"/>
          </w:tcPr>
          <w:p w14:paraId="08EE03DC"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0.025</w:t>
            </w:r>
          </w:p>
        </w:tc>
        <w:tc>
          <w:tcPr>
            <w:tcW w:w="1260" w:type="dxa"/>
            <w:tcBorders>
              <w:left w:val="nil"/>
              <w:right w:val="nil"/>
            </w:tcBorders>
            <w:shd w:val="clear" w:color="auto" w:fill="C0C0C0"/>
          </w:tcPr>
          <w:p w14:paraId="2E16C8D8"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25.00</w:t>
            </w:r>
          </w:p>
        </w:tc>
        <w:tc>
          <w:tcPr>
            <w:tcW w:w="1332" w:type="dxa"/>
            <w:tcBorders>
              <w:left w:val="nil"/>
              <w:right w:val="nil"/>
            </w:tcBorders>
            <w:shd w:val="clear" w:color="auto" w:fill="C0C0C0"/>
          </w:tcPr>
          <w:p w14:paraId="3B23C99B"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2.5</w:t>
            </w:r>
          </w:p>
        </w:tc>
        <w:tc>
          <w:tcPr>
            <w:tcW w:w="1409" w:type="dxa"/>
            <w:tcBorders>
              <w:left w:val="nil"/>
              <w:right w:val="nil"/>
            </w:tcBorders>
            <w:shd w:val="clear" w:color="auto" w:fill="C0C0C0"/>
          </w:tcPr>
          <w:p w14:paraId="66FA0F8E"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0.05</w:t>
            </w:r>
          </w:p>
        </w:tc>
        <w:tc>
          <w:tcPr>
            <w:tcW w:w="1579" w:type="dxa"/>
            <w:tcBorders>
              <w:left w:val="nil"/>
              <w:right w:val="nil"/>
            </w:tcBorders>
            <w:shd w:val="clear" w:color="auto" w:fill="C0C0C0"/>
          </w:tcPr>
          <w:p w14:paraId="2233A908"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0.025</w:t>
            </w:r>
          </w:p>
        </w:tc>
      </w:tr>
      <w:tr w:rsidR="0069775F" w14:paraId="6E66EF60" w14:textId="77777777">
        <w:tc>
          <w:tcPr>
            <w:tcW w:w="2808" w:type="dxa"/>
            <w:shd w:val="clear" w:color="auto" w:fill="auto"/>
          </w:tcPr>
          <w:p w14:paraId="18DF4F64"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Lead (Pb)</w:t>
            </w:r>
          </w:p>
        </w:tc>
        <w:tc>
          <w:tcPr>
            <w:tcW w:w="1620" w:type="dxa"/>
            <w:shd w:val="clear" w:color="auto" w:fill="auto"/>
          </w:tcPr>
          <w:p w14:paraId="49F5717D"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c>
          <w:tcPr>
            <w:tcW w:w="1260" w:type="dxa"/>
            <w:shd w:val="clear" w:color="auto" w:fill="auto"/>
          </w:tcPr>
          <w:p w14:paraId="680FB128"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10.0</w:t>
            </w:r>
          </w:p>
        </w:tc>
        <w:tc>
          <w:tcPr>
            <w:tcW w:w="1332" w:type="dxa"/>
            <w:shd w:val="clear" w:color="auto" w:fill="auto"/>
          </w:tcPr>
          <w:p w14:paraId="3D0C4930"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1.0</w:t>
            </w:r>
          </w:p>
        </w:tc>
        <w:tc>
          <w:tcPr>
            <w:tcW w:w="1409" w:type="dxa"/>
            <w:shd w:val="clear" w:color="auto" w:fill="auto"/>
          </w:tcPr>
          <w:p w14:paraId="1B60815E"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0.01</w:t>
            </w:r>
          </w:p>
        </w:tc>
        <w:tc>
          <w:tcPr>
            <w:tcW w:w="1579" w:type="dxa"/>
            <w:shd w:val="clear" w:color="auto" w:fill="auto"/>
          </w:tcPr>
          <w:p w14:paraId="604FBF33" w14:textId="77777777" w:rsidR="0069775F" w:rsidRDefault="004D7A71" w:rsidP="00C07B6E">
            <w:pPr>
              <w:spacing w:after="0" w:line="240" w:lineRule="auto"/>
              <w:jc w:val="both"/>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0.001</w:t>
            </w:r>
          </w:p>
        </w:tc>
      </w:tr>
    </w:tbl>
    <w:p w14:paraId="7DFA2CA2" w14:textId="77777777" w:rsidR="0069775F" w:rsidRDefault="0069775F" w:rsidP="00C07B6E">
      <w:pPr>
        <w:spacing w:after="120" w:line="240" w:lineRule="auto"/>
        <w:jc w:val="both"/>
        <w:rPr>
          <w:rFonts w:ascii="Times New Roman" w:eastAsia="Times New Roman" w:hAnsi="Times New Roman"/>
          <w:sz w:val="24"/>
          <w:szCs w:val="24"/>
        </w:rPr>
      </w:pPr>
    </w:p>
    <w:p w14:paraId="018F3F50"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i/>
          <w:sz w:val="24"/>
          <w:szCs w:val="24"/>
        </w:rPr>
        <w:t>Key</w:t>
      </w:r>
      <w:r>
        <w:rPr>
          <w:rFonts w:ascii="Times New Roman" w:eastAsia="Times New Roman" w:hAnsi="Times New Roman"/>
          <w:sz w:val="24"/>
          <w:szCs w:val="24"/>
        </w:rPr>
        <w:t>: TC = Target Chemicals; FED = Fish Exposure Dose; C1, C2, C3 and, C4 = Dose Concentrations of Heavy metal applied per Fish Tank; MATA = CCME, 2001</w:t>
      </w:r>
    </w:p>
    <w:p w14:paraId="6F7C884C" w14:textId="77777777"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Test Chamber</w:t>
      </w:r>
    </w:p>
    <w:p w14:paraId="1785BA35" w14:textId="51FD6F1A"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Twenty (20) liters of chemically inert vessels (plastic Tanks) were used for the study. Each tank was stocked with 25 fish, a stock capacity that was enough to allow for proper growth and maintenance of dissolved oxygen concentration. This </w:t>
      </w:r>
      <w:r w:rsidR="006B29DB" w:rsidRPr="005C52C2">
        <w:rPr>
          <w:rFonts w:ascii="Times New Roman" w:eastAsia="Times New Roman" w:hAnsi="Times New Roman"/>
          <w:sz w:val="24"/>
          <w:szCs w:val="24"/>
          <w:highlight w:val="yellow"/>
        </w:rPr>
        <w:t>complies</w:t>
      </w:r>
      <w:r w:rsidRPr="005C52C2">
        <w:rPr>
          <w:rFonts w:ascii="Times New Roman" w:eastAsia="Times New Roman" w:hAnsi="Times New Roman"/>
          <w:sz w:val="24"/>
          <w:szCs w:val="24"/>
          <w:highlight w:val="yellow"/>
        </w:rPr>
        <w:t xml:space="preserve"> with </w:t>
      </w:r>
      <w:r>
        <w:rPr>
          <w:rFonts w:ascii="Times New Roman" w:eastAsia="Times New Roman" w:hAnsi="Times New Roman"/>
          <w:sz w:val="24"/>
          <w:szCs w:val="24"/>
        </w:rPr>
        <w:t xml:space="preserve">the guideline loading rate criteria (OECD, 2013). The test chambers </w:t>
      </w:r>
      <w:proofErr w:type="gramStart"/>
      <w:r>
        <w:rPr>
          <w:rFonts w:ascii="Times New Roman" w:eastAsia="Times New Roman" w:hAnsi="Times New Roman"/>
          <w:sz w:val="24"/>
          <w:szCs w:val="24"/>
        </w:rPr>
        <w:t>was</w:t>
      </w:r>
      <w:proofErr w:type="gramEnd"/>
      <w:r>
        <w:rPr>
          <w:rFonts w:ascii="Times New Roman" w:eastAsia="Times New Roman" w:hAnsi="Times New Roman"/>
          <w:sz w:val="24"/>
          <w:szCs w:val="24"/>
        </w:rPr>
        <w:t xml:space="preserve"> randomly positioned in the test area and shielded from unwanted disturbance. The test was carried out without adjustment of </w:t>
      </w:r>
      <w:proofErr w:type="spellStart"/>
      <w:r>
        <w:rPr>
          <w:rFonts w:ascii="Times New Roman" w:eastAsia="Times New Roman" w:hAnsi="Times New Roman"/>
          <w:sz w:val="24"/>
          <w:szCs w:val="24"/>
        </w:rPr>
        <w:t>pH.</w:t>
      </w:r>
      <w:proofErr w:type="spellEnd"/>
      <w:r>
        <w:rPr>
          <w:rFonts w:ascii="Times New Roman" w:eastAsia="Times New Roman" w:hAnsi="Times New Roman"/>
          <w:sz w:val="24"/>
          <w:szCs w:val="24"/>
        </w:rPr>
        <w:t xml:space="preserve"> Nevertheless, where there is evidence of marked </w:t>
      </w:r>
      <w:r w:rsidR="006B29DB" w:rsidRPr="005C52C2">
        <w:rPr>
          <w:rFonts w:ascii="Times New Roman" w:eastAsia="Times New Roman" w:hAnsi="Times New Roman"/>
          <w:sz w:val="24"/>
          <w:szCs w:val="24"/>
          <w:highlight w:val="yellow"/>
        </w:rPr>
        <w:t xml:space="preserve">changes </w:t>
      </w:r>
      <w:r w:rsidRPr="005C52C2">
        <w:rPr>
          <w:rFonts w:ascii="Times New Roman" w:eastAsia="Times New Roman" w:hAnsi="Times New Roman"/>
          <w:sz w:val="24"/>
          <w:szCs w:val="24"/>
          <w:highlight w:val="yellow"/>
        </w:rPr>
        <w:t xml:space="preserve">in </w:t>
      </w:r>
      <w:r>
        <w:rPr>
          <w:rFonts w:ascii="Times New Roman" w:eastAsia="Times New Roman" w:hAnsi="Times New Roman"/>
          <w:sz w:val="24"/>
          <w:szCs w:val="24"/>
        </w:rPr>
        <w:t xml:space="preserve">the pH of the Tank water </w:t>
      </w:r>
      <w:r w:rsidRPr="005C52C2">
        <w:rPr>
          <w:rFonts w:ascii="Times New Roman" w:eastAsia="Times New Roman" w:hAnsi="Times New Roman"/>
          <w:sz w:val="24"/>
          <w:szCs w:val="24"/>
          <w:highlight w:val="yellow"/>
        </w:rPr>
        <w:t xml:space="preserve">after </w:t>
      </w:r>
      <w:r w:rsidR="006B29DB" w:rsidRPr="005C52C2">
        <w:rPr>
          <w:rFonts w:ascii="Times New Roman" w:eastAsia="Times New Roman" w:hAnsi="Times New Roman"/>
          <w:sz w:val="24"/>
          <w:szCs w:val="24"/>
          <w:highlight w:val="yellow"/>
        </w:rPr>
        <w:t xml:space="preserve">the </w:t>
      </w:r>
      <w:r w:rsidRPr="005C52C2">
        <w:rPr>
          <w:rFonts w:ascii="Times New Roman" w:eastAsia="Times New Roman" w:hAnsi="Times New Roman"/>
          <w:sz w:val="24"/>
          <w:szCs w:val="24"/>
          <w:highlight w:val="yellow"/>
        </w:rPr>
        <w:t xml:space="preserve">addition of </w:t>
      </w:r>
      <w:r>
        <w:rPr>
          <w:rFonts w:ascii="Times New Roman" w:eastAsia="Times New Roman" w:hAnsi="Times New Roman"/>
          <w:sz w:val="24"/>
          <w:szCs w:val="24"/>
        </w:rPr>
        <w:t xml:space="preserve">the test substance, the test would be repeated, adjusting the pH of the stock solution to the tank water before </w:t>
      </w:r>
      <w:r w:rsidR="006B29DB" w:rsidRPr="005C52C2">
        <w:rPr>
          <w:rFonts w:ascii="Times New Roman" w:eastAsia="Times New Roman" w:hAnsi="Times New Roman"/>
          <w:sz w:val="24"/>
          <w:szCs w:val="24"/>
          <w:highlight w:val="yellow"/>
        </w:rPr>
        <w:t xml:space="preserve">the </w:t>
      </w:r>
      <w:r w:rsidRPr="005C52C2">
        <w:rPr>
          <w:rFonts w:ascii="Times New Roman" w:eastAsia="Times New Roman" w:hAnsi="Times New Roman"/>
          <w:sz w:val="24"/>
          <w:szCs w:val="24"/>
          <w:highlight w:val="yellow"/>
        </w:rPr>
        <w:t>addition of t</w:t>
      </w:r>
      <w:r>
        <w:rPr>
          <w:rFonts w:ascii="Times New Roman" w:eastAsia="Times New Roman" w:hAnsi="Times New Roman"/>
          <w:sz w:val="24"/>
          <w:szCs w:val="24"/>
        </w:rPr>
        <w:t xml:space="preserve">he test substance. The PH adjustment will be made (preferably with HC1 or Na0H) in such a way that the stock solution concentration is not changed to any significant extent and that no chemical reaction or physical precipitation of the test substance is caused (ISO, 1994; CEPA, 2004; Gheorghe et al., 2017). </w:t>
      </w:r>
    </w:p>
    <w:p w14:paraId="0045462B" w14:textId="77777777"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Test Solution Conditions</w:t>
      </w:r>
    </w:p>
    <w:p w14:paraId="7CA19AF6" w14:textId="6D5C87DA"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test solution is fresh water, which was used to </w:t>
      </w:r>
      <w:r w:rsidRPr="005C52C2">
        <w:rPr>
          <w:rFonts w:ascii="Times New Roman" w:eastAsia="Times New Roman" w:hAnsi="Times New Roman"/>
          <w:sz w:val="24"/>
          <w:szCs w:val="24"/>
          <w:highlight w:val="yellow"/>
        </w:rPr>
        <w:t>simulate fresh surface water. Water temperature was maintained between 20</w:t>
      </w:r>
      <w:r w:rsidRPr="005C52C2">
        <w:rPr>
          <w:rFonts w:ascii="Times New Roman" w:eastAsia="Times New Roman" w:hAnsi="Times New Roman"/>
          <w:sz w:val="24"/>
          <w:szCs w:val="24"/>
          <w:highlight w:val="yellow"/>
          <w:vertAlign w:val="superscript"/>
        </w:rPr>
        <w:t>O</w:t>
      </w:r>
      <w:r w:rsidRPr="005C52C2">
        <w:rPr>
          <w:rFonts w:ascii="Times New Roman" w:eastAsia="Times New Roman" w:hAnsi="Times New Roman"/>
          <w:sz w:val="24"/>
          <w:szCs w:val="24"/>
          <w:highlight w:val="yellow"/>
        </w:rPr>
        <w:t>C to 25</w:t>
      </w:r>
      <w:r w:rsidRPr="005C52C2">
        <w:rPr>
          <w:rFonts w:ascii="Times New Roman" w:eastAsia="Times New Roman" w:hAnsi="Times New Roman"/>
          <w:sz w:val="24"/>
          <w:szCs w:val="24"/>
          <w:highlight w:val="yellow"/>
          <w:vertAlign w:val="superscript"/>
        </w:rPr>
        <w:t>O</w:t>
      </w:r>
      <w:r w:rsidRPr="005C52C2">
        <w:rPr>
          <w:rFonts w:ascii="Times New Roman" w:eastAsia="Times New Roman" w:hAnsi="Times New Roman"/>
          <w:sz w:val="24"/>
          <w:szCs w:val="24"/>
          <w:highlight w:val="yellow"/>
        </w:rPr>
        <w:t>C (ISO, 1994; CEPA, 2004</w:t>
      </w:r>
      <w:r>
        <w:rPr>
          <w:rFonts w:ascii="Times New Roman" w:eastAsia="Times New Roman" w:hAnsi="Times New Roman"/>
          <w:sz w:val="24"/>
          <w:szCs w:val="24"/>
        </w:rPr>
        <w:t xml:space="preserve">). The temperature of the test solutions was measured by placing a thermometer directly into the test solutions. Temperature was recorded continuously in at least one vessel during the duration of each. DO concentration was maintained at not less than 60% of the maximum air saturation value throughout the test. DO and pH </w:t>
      </w:r>
      <w:r w:rsidR="006B29DB" w:rsidRPr="005C52C2">
        <w:rPr>
          <w:rFonts w:ascii="Times New Roman" w:eastAsia="Times New Roman" w:hAnsi="Times New Roman"/>
          <w:sz w:val="24"/>
          <w:szCs w:val="24"/>
          <w:highlight w:val="yellow"/>
        </w:rPr>
        <w:t xml:space="preserve">were </w:t>
      </w:r>
      <w:r w:rsidRPr="005C52C2">
        <w:rPr>
          <w:rFonts w:ascii="Times New Roman" w:eastAsia="Times New Roman" w:hAnsi="Times New Roman"/>
          <w:sz w:val="24"/>
          <w:szCs w:val="24"/>
          <w:highlight w:val="yellow"/>
        </w:rPr>
        <w:t xml:space="preserve">checked </w:t>
      </w:r>
      <w:r>
        <w:rPr>
          <w:rFonts w:ascii="Times New Roman" w:eastAsia="Times New Roman" w:hAnsi="Times New Roman"/>
          <w:sz w:val="24"/>
          <w:szCs w:val="24"/>
        </w:rPr>
        <w:t xml:space="preserve">at the beginning of the test and daily, throughout the test period. </w:t>
      </w:r>
      <w:r w:rsidR="006B29DB" w:rsidRPr="005C52C2">
        <w:rPr>
          <w:rFonts w:ascii="Times New Roman" w:eastAsia="Times New Roman" w:hAnsi="Times New Roman"/>
          <w:sz w:val="24"/>
          <w:szCs w:val="24"/>
          <w:highlight w:val="yellow"/>
        </w:rPr>
        <w:t xml:space="preserve">The light </w:t>
      </w:r>
      <w:r w:rsidRPr="005C52C2">
        <w:rPr>
          <w:rFonts w:ascii="Times New Roman" w:eastAsia="Times New Roman" w:hAnsi="Times New Roman"/>
          <w:sz w:val="24"/>
          <w:szCs w:val="24"/>
          <w:highlight w:val="yellow"/>
        </w:rPr>
        <w:t xml:space="preserve">quality was set at ambient laboratory illumination. Photoperiod was set at a minimum of ratio of 12 hours light to 12hours dark, with a light intensity maintained at 10 to </w:t>
      </w:r>
      <w:r w:rsidRPr="005C52C2">
        <w:rPr>
          <w:rFonts w:ascii="Times New Roman" w:eastAsia="Times New Roman" w:hAnsi="Times New Roman"/>
          <w:sz w:val="24"/>
          <w:szCs w:val="24"/>
          <w:highlight w:val="yellow"/>
        </w:rPr>
        <w:lastRenderedPageBreak/>
        <w:t xml:space="preserve">20 </w:t>
      </w:r>
      <w:proofErr w:type="spellStart"/>
      <w:r w:rsidRPr="005C52C2">
        <w:rPr>
          <w:rFonts w:ascii="Times New Roman" w:eastAsia="Times New Roman" w:hAnsi="Times New Roman"/>
          <w:sz w:val="24"/>
          <w:szCs w:val="24"/>
          <w:highlight w:val="yellow"/>
        </w:rPr>
        <w:t>μE</w:t>
      </w:r>
      <w:proofErr w:type="spellEnd"/>
      <w:r w:rsidRPr="005C52C2">
        <w:rPr>
          <w:rFonts w:ascii="Times New Roman" w:eastAsia="Times New Roman" w:hAnsi="Times New Roman"/>
          <w:sz w:val="24"/>
          <w:szCs w:val="24"/>
          <w:highlight w:val="yellow"/>
        </w:rPr>
        <w:t>/m2/s. Feeding</w:t>
      </w:r>
      <w:r>
        <w:rPr>
          <w:rFonts w:ascii="Times New Roman" w:eastAsia="Times New Roman" w:hAnsi="Times New Roman"/>
          <w:sz w:val="24"/>
          <w:szCs w:val="24"/>
        </w:rPr>
        <w:t xml:space="preserve"> was at least once daily, the quantity of food being kept constant and related to the initial fish weight, at least 2% body weight (ISO, 1994; CEPA, 2004).</w:t>
      </w:r>
    </w:p>
    <w:p w14:paraId="5EC2CA2D" w14:textId="77777777"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Validity of Test</w:t>
      </w:r>
    </w:p>
    <w:p w14:paraId="71D2FD7B" w14:textId="77777777" w:rsidR="0069775F" w:rsidRDefault="004D7A71" w:rsidP="00C07B6E">
      <w:pPr>
        <w:pStyle w:val="ListParagraphdaeebebf-f101-4889-831f-2692a0b491de"/>
        <w:numPr>
          <w:ilvl w:val="0"/>
          <w:numId w:val="3"/>
        </w:num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For the conditions of validity, ISO (1994) and OECD (2013) conditions for the validity of test were adopted for this study:</w:t>
      </w:r>
    </w:p>
    <w:p w14:paraId="46534F6B" w14:textId="77777777" w:rsidR="0069775F" w:rsidRDefault="004D7A71" w:rsidP="00C07B6E">
      <w:pPr>
        <w:pStyle w:val="ListParagraphdaeebebf-f101-4889-831f-2692a0b491de"/>
        <w:numPr>
          <w:ilvl w:val="0"/>
          <w:numId w:val="3"/>
        </w:num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The mortality in the controls should not exceed 10% at the end of test.</w:t>
      </w:r>
    </w:p>
    <w:p w14:paraId="051A9FE7" w14:textId="77777777" w:rsidR="0069775F" w:rsidRDefault="004D7A71" w:rsidP="00C07B6E">
      <w:pPr>
        <w:pStyle w:val="ListParagraphdaeebebf-f101-4889-831f-2692a0b491de"/>
        <w:numPr>
          <w:ilvl w:val="0"/>
          <w:numId w:val="3"/>
        </w:num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The dissolved oxygen concentration should be at least 60% of the air saturation value throughout the test</w:t>
      </w:r>
    </w:p>
    <w:p w14:paraId="69752733" w14:textId="77777777" w:rsidR="0069775F" w:rsidRDefault="004D7A71" w:rsidP="00C07B6E">
      <w:pPr>
        <w:pStyle w:val="ListParagraphdaeebebf-f101-4889-831f-2692a0b491de"/>
        <w:numPr>
          <w:ilvl w:val="0"/>
          <w:numId w:val="3"/>
        </w:num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In semi-static procedures, aeration can be used, provided it does not lead to a significant loss of test substance</w:t>
      </w:r>
    </w:p>
    <w:p w14:paraId="4E6DB7E7" w14:textId="77777777" w:rsidR="0069775F" w:rsidRDefault="004D7A71" w:rsidP="00C07B6E">
      <w:pPr>
        <w:pStyle w:val="ListParagraphdaeebebf-f101-4889-831f-2692a0b491de"/>
        <w:numPr>
          <w:ilvl w:val="0"/>
          <w:numId w:val="3"/>
        </w:num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There should be evidence that the concentration of the substance being tested has been satisfactorily maintained (it should be at least 80% of the nominal concentration) over the test period. The results should be based on measured concentration if the deviation from the nominal concentration is greater than 20%</w:t>
      </w:r>
    </w:p>
    <w:p w14:paraId="6234F3BB" w14:textId="77777777"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Histological Evaluation: </w:t>
      </w:r>
    </w:p>
    <w:p w14:paraId="24772C78" w14:textId="25EDD541"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At the </w:t>
      </w:r>
      <w:r w:rsidRPr="005C52C2">
        <w:rPr>
          <w:rFonts w:ascii="Times New Roman" w:eastAsia="Times New Roman" w:hAnsi="Times New Roman"/>
          <w:sz w:val="24"/>
          <w:szCs w:val="24"/>
          <w:highlight w:val="yellow"/>
        </w:rPr>
        <w:t xml:space="preserve">end of the experiment, 5 fish from each tank </w:t>
      </w:r>
      <w:r w:rsidR="004C769A" w:rsidRPr="005C52C2">
        <w:rPr>
          <w:rFonts w:ascii="Times New Roman" w:eastAsia="Times New Roman" w:hAnsi="Times New Roman"/>
          <w:sz w:val="24"/>
          <w:szCs w:val="24"/>
          <w:highlight w:val="yellow"/>
        </w:rPr>
        <w:t xml:space="preserve">were </w:t>
      </w:r>
      <w:r w:rsidRPr="005C52C2">
        <w:rPr>
          <w:rFonts w:ascii="Times New Roman" w:eastAsia="Times New Roman" w:hAnsi="Times New Roman"/>
          <w:sz w:val="24"/>
          <w:szCs w:val="24"/>
          <w:highlight w:val="yellow"/>
        </w:rPr>
        <w:t xml:space="preserve">sacrificed and the target organ of gills </w:t>
      </w:r>
      <w:r w:rsidR="004C769A" w:rsidRPr="005C52C2">
        <w:rPr>
          <w:rFonts w:ascii="Times New Roman" w:eastAsia="Times New Roman" w:hAnsi="Times New Roman"/>
          <w:sz w:val="24"/>
          <w:szCs w:val="24"/>
          <w:highlight w:val="yellow"/>
        </w:rPr>
        <w:t xml:space="preserve">was </w:t>
      </w:r>
      <w:r w:rsidRPr="005C52C2">
        <w:rPr>
          <w:rFonts w:ascii="Times New Roman" w:eastAsia="Times New Roman" w:hAnsi="Times New Roman"/>
          <w:sz w:val="24"/>
          <w:szCs w:val="24"/>
          <w:highlight w:val="yellow"/>
        </w:rPr>
        <w:t>excised and preserved in 10% buffered formalin solution and sent to the laboratory for tissue</w:t>
      </w:r>
      <w:r>
        <w:rPr>
          <w:rFonts w:ascii="Times New Roman" w:eastAsia="Times New Roman" w:hAnsi="Times New Roman"/>
          <w:sz w:val="24"/>
          <w:szCs w:val="24"/>
        </w:rPr>
        <w:t xml:space="preserve"> preparation. Tissue preparation was done in accordance to Drury and Wallington (1980).  The following histological evaluations were made:</w:t>
      </w:r>
    </w:p>
    <w:p w14:paraId="0AF1C1C7" w14:textId="301AF0E3" w:rsidR="0069775F" w:rsidRDefault="004D7A71" w:rsidP="00C07B6E">
      <w:pPr>
        <w:pStyle w:val="ListParagraphdaeebebf-f101-4889-831f-2692a0b491de"/>
        <w:numPr>
          <w:ilvl w:val="0"/>
          <w:numId w:val="4"/>
        </w:num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t>Qualitative Analysis</w:t>
      </w:r>
      <w:r>
        <w:rPr>
          <w:rFonts w:ascii="Times New Roman" w:eastAsia="Times New Roman" w:hAnsi="Times New Roman"/>
          <w:sz w:val="24"/>
          <w:szCs w:val="24"/>
        </w:rPr>
        <w:t>: Light microscopy (Olympus BH2) was used to identify and interpret (histological description) tissue slides and micrograph specimens at 40X, X100 and X400 magnification. The percentage prevalence of tissue histopathology was noted. Histological findings in the prepared slides from Fish Exposed Dosage (FED) of TCs and control were noted.</w:t>
      </w:r>
    </w:p>
    <w:p w14:paraId="77A39C06" w14:textId="77777777" w:rsidR="0069775F" w:rsidRDefault="004D7A71" w:rsidP="00C07B6E">
      <w:pPr>
        <w:pStyle w:val="ListParagraphdaeebebf-f101-4889-831f-2692a0b491de"/>
        <w:numPr>
          <w:ilvl w:val="0"/>
          <w:numId w:val="4"/>
        </w:num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t>Semi-quantitative analysis</w:t>
      </w:r>
      <w:r>
        <w:rPr>
          <w:rFonts w:ascii="Times New Roman" w:eastAsia="Times New Roman" w:hAnsi="Times New Roman"/>
          <w:sz w:val="24"/>
          <w:szCs w:val="24"/>
        </w:rPr>
        <w:t>: A standard semi-quantitative histological assessment according to the modified protocol of Bernet et al. (1999) modified by Van Dyk et al. (2009) was done to quantify the histopathological alterations observed in the gill of histology slides. This assessment is useful because it can be applied to any organ as well as allowing for standardized quantification of results. This assessment allows for the comparison of observed histopathologic lesions between the different Fish Exposure Dosage (FED) of TCs and controls (USEPA, 1994).</w:t>
      </w:r>
    </w:p>
    <w:p w14:paraId="5AA57CE0" w14:textId="77777777" w:rsidR="0069775F" w:rsidRDefault="0069775F" w:rsidP="00C07B6E">
      <w:pPr>
        <w:spacing w:after="120" w:line="240" w:lineRule="auto"/>
        <w:jc w:val="both"/>
        <w:rPr>
          <w:rFonts w:ascii="Times New Roman" w:eastAsia="Times New Roman" w:hAnsi="Times New Roman"/>
          <w:sz w:val="24"/>
          <w:szCs w:val="24"/>
        </w:rPr>
      </w:pPr>
    </w:p>
    <w:p w14:paraId="19B49065" w14:textId="77777777" w:rsidR="0069775F" w:rsidRDefault="0069775F" w:rsidP="00C07B6E">
      <w:pPr>
        <w:spacing w:after="120" w:line="240" w:lineRule="auto"/>
        <w:jc w:val="both"/>
        <w:rPr>
          <w:rFonts w:ascii="Times New Roman" w:eastAsia="Times New Roman" w:hAnsi="Times New Roman"/>
          <w:sz w:val="24"/>
          <w:szCs w:val="24"/>
        </w:rPr>
      </w:pPr>
    </w:p>
    <w:p w14:paraId="3F141F33" w14:textId="3E5400B5" w:rsidR="0069775F" w:rsidRDefault="004D7A71" w:rsidP="00C07B6E">
      <w:pPr>
        <w:spacing w:after="120" w:line="240" w:lineRule="auto"/>
        <w:jc w:val="both"/>
        <w:rPr>
          <w:rFonts w:ascii="Times New Roman" w:eastAsia="Times New Roman" w:hAnsi="Times New Roman"/>
          <w:b/>
          <w:sz w:val="24"/>
          <w:szCs w:val="24"/>
        </w:rPr>
      </w:pPr>
      <w:r w:rsidRPr="005C52C2">
        <w:rPr>
          <w:rFonts w:ascii="Times New Roman" w:eastAsia="Times New Roman" w:hAnsi="Times New Roman"/>
          <w:b/>
          <w:sz w:val="24"/>
          <w:szCs w:val="24"/>
          <w:highlight w:val="yellow"/>
        </w:rPr>
        <w:t>Results</w:t>
      </w:r>
      <w:r w:rsidR="007501FE" w:rsidRPr="005C52C2">
        <w:rPr>
          <w:rFonts w:ascii="Times New Roman" w:eastAsia="Times New Roman" w:hAnsi="Times New Roman"/>
          <w:b/>
          <w:sz w:val="24"/>
          <w:szCs w:val="24"/>
          <w:highlight w:val="yellow"/>
        </w:rPr>
        <w:t xml:space="preserve"> and discussion</w:t>
      </w:r>
    </w:p>
    <w:p w14:paraId="01FDBD53" w14:textId="77777777"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Qualitative Histological Assessment</w:t>
      </w:r>
    </w:p>
    <w:p w14:paraId="7E54CBCD" w14:textId="77777777" w:rsidR="0069775F" w:rsidRDefault="004D7A71" w:rsidP="00C07B6E">
      <w:pPr>
        <w:spacing w:after="120" w:line="240" w:lineRule="auto"/>
        <w:jc w:val="both"/>
        <w:rPr>
          <w:rFonts w:ascii="Times New Roman" w:eastAsia="Times New Roman" w:hAnsi="Times New Roman"/>
          <w:sz w:val="24"/>
          <w:szCs w:val="24"/>
        </w:rPr>
      </w:pPr>
      <w:r>
        <w:rPr>
          <w:noProof/>
        </w:rPr>
        <w:lastRenderedPageBreak/>
        <w:drawing>
          <wp:inline distT="0" distB="0" distL="0" distR="0" wp14:anchorId="3B357783" wp14:editId="0D36B4A2">
            <wp:extent cx="6664325" cy="1828800"/>
            <wp:effectExtent l="0" t="0" r="3175" b="0"/>
            <wp:docPr id="102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8"/>
                    <pic:cNvPicPr/>
                  </pic:nvPicPr>
                  <pic:blipFill>
                    <a:blip r:embed="rId10" cstate="print"/>
                    <a:srcRect l="20175" t="61269" r="19302" b="9190"/>
                    <a:stretch/>
                  </pic:blipFill>
                  <pic:spPr>
                    <a:xfrm>
                      <a:off x="0" y="0"/>
                      <a:ext cx="6664325" cy="1828800"/>
                    </a:xfrm>
                    <a:prstGeom prst="rect">
                      <a:avLst/>
                    </a:prstGeom>
                    <a:ln>
                      <a:noFill/>
                    </a:ln>
                  </pic:spPr>
                </pic:pic>
              </a:graphicData>
            </a:graphic>
          </wp:inline>
        </w:drawing>
      </w:r>
    </w:p>
    <w:p w14:paraId="161B6F97"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b/>
          <w:i/>
          <w:sz w:val="20"/>
          <w:szCs w:val="24"/>
        </w:rPr>
        <w:t>Plate 3: Photomicrographs (H&amp;E:400X). (A) Normal Gills showing the Primary Lamella (PL) and Secondary Lamella (SL) (B) Showing marked Primary (PL) and its cartilage (</w:t>
      </w:r>
      <w:proofErr w:type="spellStart"/>
      <w:r>
        <w:rPr>
          <w:rFonts w:ascii="Times New Roman" w:eastAsia="Times New Roman" w:hAnsi="Times New Roman"/>
          <w:b/>
          <w:i/>
          <w:sz w:val="20"/>
          <w:szCs w:val="24"/>
        </w:rPr>
        <w:t>PLc</w:t>
      </w:r>
      <w:proofErr w:type="spellEnd"/>
      <w:r>
        <w:rPr>
          <w:rFonts w:ascii="Times New Roman" w:eastAsia="Times New Roman" w:hAnsi="Times New Roman"/>
          <w:b/>
          <w:i/>
          <w:sz w:val="20"/>
          <w:szCs w:val="24"/>
        </w:rPr>
        <w:t>), marked Inflammatory Cell infiltration of the Primary Lamella (IPL). (C) showing the Gill Arch cartilage (</w:t>
      </w:r>
      <w:proofErr w:type="spellStart"/>
      <w:r>
        <w:rPr>
          <w:rFonts w:ascii="Times New Roman" w:eastAsia="Times New Roman" w:hAnsi="Times New Roman"/>
          <w:b/>
          <w:i/>
          <w:sz w:val="20"/>
          <w:szCs w:val="24"/>
        </w:rPr>
        <w:t>Gca</w:t>
      </w:r>
      <w:proofErr w:type="spellEnd"/>
      <w:r>
        <w:rPr>
          <w:rFonts w:ascii="Times New Roman" w:eastAsia="Times New Roman" w:hAnsi="Times New Roman"/>
          <w:b/>
          <w:i/>
          <w:sz w:val="20"/>
          <w:szCs w:val="24"/>
        </w:rPr>
        <w:t>) with marked Inflammatory Cell infiltration of the Gill Arch (Iga) and the Primary Lamella (IPL). There is atrophy of the Secondary Lamella in A and B</w:t>
      </w:r>
      <w:r>
        <w:rPr>
          <w:rFonts w:ascii="Times New Roman" w:eastAsia="Times New Roman" w:hAnsi="Times New Roman"/>
          <w:sz w:val="24"/>
          <w:szCs w:val="24"/>
        </w:rPr>
        <w:t>.</w:t>
      </w:r>
    </w:p>
    <w:p w14:paraId="35949E7E" w14:textId="77777777" w:rsidR="0069775F" w:rsidRDefault="004D7A71" w:rsidP="00C07B6E">
      <w:pPr>
        <w:spacing w:after="120" w:line="240" w:lineRule="auto"/>
        <w:jc w:val="both"/>
        <w:rPr>
          <w:rFonts w:ascii="Times New Roman" w:eastAsia="Times New Roman" w:hAnsi="Times New Roman"/>
          <w:b/>
          <w:sz w:val="24"/>
          <w:szCs w:val="24"/>
        </w:rPr>
      </w:pPr>
      <w:r>
        <w:rPr>
          <w:rFonts w:ascii="Times New Roman" w:eastAsia="Times New Roman" w:hAnsi="Times New Roman"/>
          <w:b/>
          <w:sz w:val="24"/>
          <w:szCs w:val="24"/>
        </w:rPr>
        <w:t>Semi-Quantitative Histopathological Assessment</w:t>
      </w:r>
    </w:p>
    <w:p w14:paraId="219108D0" w14:textId="47166315" w:rsidR="0069775F" w:rsidRDefault="004D7A71" w:rsidP="00C07B6E">
      <w:pPr>
        <w:spacing w:after="120" w:line="240" w:lineRule="auto"/>
        <w:jc w:val="both"/>
        <w:rPr>
          <w:rFonts w:ascii="Times New Roman" w:eastAsia="Times New Roman" w:hAnsi="Times New Roman"/>
          <w:sz w:val="24"/>
          <w:szCs w:val="24"/>
        </w:rPr>
      </w:pPr>
      <w:r w:rsidRPr="005C52C2">
        <w:rPr>
          <w:rFonts w:ascii="Times New Roman" w:eastAsia="Times New Roman" w:hAnsi="Times New Roman"/>
          <w:sz w:val="24"/>
          <w:szCs w:val="24"/>
          <w:highlight w:val="yellow"/>
        </w:rPr>
        <w:t xml:space="preserve">Table </w:t>
      </w:r>
      <w:r w:rsidR="000A327A" w:rsidRPr="005C52C2">
        <w:rPr>
          <w:rFonts w:ascii="Times New Roman" w:eastAsia="Times New Roman" w:hAnsi="Times New Roman"/>
          <w:sz w:val="24"/>
          <w:szCs w:val="24"/>
          <w:highlight w:val="yellow"/>
        </w:rPr>
        <w:t>2</w:t>
      </w:r>
      <w:r w:rsidR="000307C6" w:rsidRPr="005C52C2">
        <w:rPr>
          <w:rFonts w:ascii="Times New Roman" w:eastAsia="Times New Roman" w:hAnsi="Times New Roman"/>
          <w:sz w:val="24"/>
          <w:szCs w:val="24"/>
          <w:highlight w:val="yellow"/>
        </w:rPr>
        <w:t xml:space="preserve"> shows</w:t>
      </w:r>
      <w:r w:rsidR="00414468">
        <w:rPr>
          <w:rFonts w:ascii="Times New Roman" w:eastAsia="Times New Roman" w:hAnsi="Times New Roman"/>
          <w:sz w:val="24"/>
          <w:szCs w:val="24"/>
          <w:highlight w:val="yellow"/>
        </w:rPr>
        <w:t xml:space="preserve"> </w:t>
      </w:r>
      <w:r w:rsidRPr="005C52C2">
        <w:rPr>
          <w:rFonts w:ascii="Times New Roman" w:eastAsia="Times New Roman" w:hAnsi="Times New Roman"/>
          <w:sz w:val="24"/>
          <w:szCs w:val="24"/>
          <w:highlight w:val="yellow"/>
        </w:rPr>
        <w:t>the</w:t>
      </w:r>
      <w:r>
        <w:rPr>
          <w:rFonts w:ascii="Times New Roman" w:eastAsia="Times New Roman" w:hAnsi="Times New Roman"/>
          <w:sz w:val="24"/>
          <w:szCs w:val="24"/>
        </w:rPr>
        <w:t xml:space="preserve"> gills histopathologic organ index (I</w:t>
      </w:r>
      <w:r>
        <w:rPr>
          <w:rFonts w:ascii="Times New Roman" w:eastAsia="Times New Roman" w:hAnsi="Times New Roman"/>
          <w:sz w:val="24"/>
          <w:szCs w:val="24"/>
          <w:vertAlign w:val="subscript"/>
        </w:rPr>
        <w:t>org</w:t>
      </w:r>
      <w:r>
        <w:rPr>
          <w:rFonts w:ascii="Times New Roman" w:eastAsia="Times New Roman" w:hAnsi="Times New Roman"/>
          <w:sz w:val="24"/>
          <w:szCs w:val="24"/>
        </w:rPr>
        <w:t>) result collected with a score chart quantified by Bernet et al. (1999) protocol (modified by Van Dyk et al., (2009a), showed that Gills I</w:t>
      </w:r>
      <w:r>
        <w:rPr>
          <w:rFonts w:ascii="Times New Roman" w:eastAsia="Times New Roman" w:hAnsi="Times New Roman"/>
          <w:sz w:val="24"/>
          <w:szCs w:val="24"/>
          <w:vertAlign w:val="subscript"/>
        </w:rPr>
        <w:t>org</w:t>
      </w:r>
      <w:r>
        <w:rPr>
          <w:rFonts w:ascii="Times New Roman" w:eastAsia="Times New Roman" w:hAnsi="Times New Roman"/>
          <w:sz w:val="24"/>
          <w:szCs w:val="24"/>
        </w:rPr>
        <w:t xml:space="preserve"> of Cd1, Cd2, Cr1-Cr3, Cu3, Ni3, Pb2 and Pb3 were above control.</w:t>
      </w:r>
    </w:p>
    <w:p w14:paraId="540BE083" w14:textId="5B6DAEF2"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b/>
          <w:sz w:val="24"/>
          <w:szCs w:val="24"/>
        </w:rPr>
        <w:t>Table 2</w:t>
      </w:r>
      <w:r>
        <w:rPr>
          <w:rFonts w:ascii="Times New Roman" w:eastAsia="Times New Roman" w:hAnsi="Times New Roman"/>
          <w:sz w:val="24"/>
          <w:szCs w:val="24"/>
        </w:rPr>
        <w:t xml:space="preserve">: </w:t>
      </w:r>
      <w:r w:rsidR="00414468">
        <w:rPr>
          <w:rFonts w:ascii="Times New Roman" w:eastAsia="Times New Roman" w:hAnsi="Times New Roman"/>
          <w:sz w:val="24"/>
          <w:szCs w:val="24"/>
        </w:rPr>
        <w:t>T</w:t>
      </w:r>
      <w:r>
        <w:rPr>
          <w:rFonts w:ascii="Times New Roman" w:eastAsia="Times New Roman" w:hAnsi="Times New Roman"/>
          <w:sz w:val="24"/>
          <w:szCs w:val="24"/>
        </w:rPr>
        <w:t xml:space="preserve">he mean Organ and fish Indices of cultured fish lesions </w:t>
      </w:r>
    </w:p>
    <w:tbl>
      <w:tblPr>
        <w:tblStyle w:val="MediumShading1-Accent2"/>
        <w:tblW w:w="0" w:type="auto"/>
        <w:tblLayout w:type="fixed"/>
        <w:tblLook w:val="04A0" w:firstRow="1" w:lastRow="0" w:firstColumn="1" w:lastColumn="0" w:noHBand="0" w:noVBand="1"/>
      </w:tblPr>
      <w:tblGrid>
        <w:gridCol w:w="936"/>
        <w:gridCol w:w="696"/>
        <w:gridCol w:w="2005"/>
      </w:tblGrid>
      <w:tr w:rsidR="0069775F" w14:paraId="1EE4DD53" w14:textId="77777777" w:rsidTr="0069775F">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36" w:type="dxa"/>
          </w:tcPr>
          <w:p w14:paraId="66B0F055" w14:textId="77777777" w:rsidR="0069775F" w:rsidRDefault="004D7A71" w:rsidP="00C07B6E">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TC</w:t>
            </w:r>
          </w:p>
        </w:tc>
        <w:tc>
          <w:tcPr>
            <w:tcW w:w="696" w:type="dxa"/>
          </w:tcPr>
          <w:p w14:paraId="2D00D88D" w14:textId="77777777" w:rsidR="0069775F" w:rsidRDefault="004D7A71" w:rsidP="00C07B6E">
            <w:pPr>
              <w:spacing w:before="100" w:beforeAutospacing="1" w:after="100" w:afterAutospacing="1"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FEC</w:t>
            </w:r>
          </w:p>
        </w:tc>
        <w:tc>
          <w:tcPr>
            <w:tcW w:w="2005" w:type="dxa"/>
          </w:tcPr>
          <w:p w14:paraId="148073BD" w14:textId="77777777" w:rsidR="0069775F" w:rsidRDefault="004D7A71" w:rsidP="00C07B6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b w:val="0"/>
                <w:color w:val="000000"/>
                <w:sz w:val="24"/>
                <w:szCs w:val="24"/>
              </w:rPr>
              <w:t>Mean</w:t>
            </w:r>
            <w:r>
              <w:rPr>
                <w:rFonts w:ascii="Times New Roman" w:hAnsi="Times New Roman"/>
                <w:b w:val="0"/>
                <w:bCs w:val="0"/>
                <w:color w:val="000000"/>
                <w:sz w:val="24"/>
                <w:szCs w:val="24"/>
              </w:rPr>
              <w:t xml:space="preserve"> </w:t>
            </w:r>
            <w:r>
              <w:rPr>
                <w:rFonts w:ascii="Times New Roman" w:eastAsia="Times New Roman" w:hAnsi="Times New Roman"/>
                <w:b w:val="0"/>
                <w:sz w:val="24"/>
                <w:szCs w:val="24"/>
              </w:rPr>
              <w:t>Gills I</w:t>
            </w:r>
            <w:r>
              <w:rPr>
                <w:rFonts w:ascii="Times New Roman" w:eastAsia="Times New Roman" w:hAnsi="Times New Roman"/>
                <w:b w:val="0"/>
                <w:sz w:val="24"/>
                <w:szCs w:val="24"/>
                <w:vertAlign w:val="subscript"/>
              </w:rPr>
              <w:t>org</w:t>
            </w:r>
          </w:p>
        </w:tc>
      </w:tr>
      <w:tr w:rsidR="0069775F" w14:paraId="7D3E94F9" w14:textId="77777777" w:rsidTr="0069775F">
        <w:trPr>
          <w:trHeight w:val="88"/>
        </w:trPr>
        <w:tc>
          <w:tcPr>
            <w:cnfStyle w:val="001000000000" w:firstRow="0" w:lastRow="0" w:firstColumn="1" w:lastColumn="0" w:oddVBand="0" w:evenVBand="0" w:oddHBand="0" w:evenHBand="0" w:firstRowFirstColumn="0" w:firstRowLastColumn="0" w:lastRowFirstColumn="0" w:lastRowLastColumn="0"/>
            <w:tcW w:w="936" w:type="dxa"/>
          </w:tcPr>
          <w:p w14:paraId="4D0B6D74" w14:textId="77777777" w:rsidR="0069775F" w:rsidRDefault="004D7A71" w:rsidP="00C07B6E">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Con</w:t>
            </w:r>
          </w:p>
        </w:tc>
        <w:tc>
          <w:tcPr>
            <w:tcW w:w="696" w:type="dxa"/>
          </w:tcPr>
          <w:p w14:paraId="4A72CCBD" w14:textId="77777777" w:rsidR="0069775F" w:rsidRDefault="0069775F"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p>
        </w:tc>
        <w:tc>
          <w:tcPr>
            <w:tcW w:w="2005" w:type="dxa"/>
          </w:tcPr>
          <w:p w14:paraId="31254115"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1.2</w:t>
            </w:r>
          </w:p>
        </w:tc>
      </w:tr>
      <w:tr w:rsidR="0069775F" w14:paraId="621F078C" w14:textId="77777777" w:rsidTr="0069775F">
        <w:trPr>
          <w:trHeight w:val="265"/>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64E60632" w14:textId="77777777" w:rsidR="0069775F" w:rsidRDefault="004D7A71" w:rsidP="00C07B6E">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Cd</w:t>
            </w:r>
          </w:p>
        </w:tc>
        <w:tc>
          <w:tcPr>
            <w:tcW w:w="696" w:type="dxa"/>
          </w:tcPr>
          <w:p w14:paraId="6788A22D"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Cd1</w:t>
            </w:r>
          </w:p>
        </w:tc>
        <w:tc>
          <w:tcPr>
            <w:tcW w:w="2005" w:type="dxa"/>
          </w:tcPr>
          <w:p w14:paraId="7FC27568"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18.8</w:t>
            </w:r>
          </w:p>
        </w:tc>
      </w:tr>
      <w:tr w:rsidR="0069775F" w14:paraId="6954789F" w14:textId="77777777" w:rsidTr="0069775F">
        <w:trPr>
          <w:trHeight w:val="261"/>
        </w:trPr>
        <w:tc>
          <w:tcPr>
            <w:cnfStyle w:val="001000000000" w:firstRow="0" w:lastRow="0" w:firstColumn="1" w:lastColumn="0" w:oddVBand="0" w:evenVBand="0" w:oddHBand="0" w:evenHBand="0" w:firstRowFirstColumn="0" w:firstRowLastColumn="0" w:lastRowFirstColumn="0" w:lastRowLastColumn="0"/>
            <w:tcW w:w="936" w:type="dxa"/>
            <w:vMerge/>
          </w:tcPr>
          <w:p w14:paraId="5B716DEF"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29934F21"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Cd2</w:t>
            </w:r>
          </w:p>
        </w:tc>
        <w:tc>
          <w:tcPr>
            <w:tcW w:w="2005" w:type="dxa"/>
          </w:tcPr>
          <w:p w14:paraId="134F6EA5"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13.4</w:t>
            </w:r>
          </w:p>
        </w:tc>
      </w:tr>
      <w:tr w:rsidR="0069775F" w14:paraId="10E79B7C"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68A44CF1" w14:textId="77777777" w:rsidR="0069775F" w:rsidRDefault="0069775F" w:rsidP="00C07B6E">
            <w:pPr>
              <w:spacing w:before="100" w:beforeAutospacing="1" w:after="100" w:afterAutospacing="1" w:line="240" w:lineRule="auto"/>
              <w:ind w:left="720" w:firstLine="720"/>
              <w:jc w:val="both"/>
              <w:rPr>
                <w:rFonts w:ascii="Times New Roman" w:hAnsi="Times New Roman"/>
                <w:color w:val="000000"/>
                <w:sz w:val="24"/>
                <w:szCs w:val="24"/>
              </w:rPr>
            </w:pPr>
          </w:p>
        </w:tc>
        <w:tc>
          <w:tcPr>
            <w:tcW w:w="696" w:type="dxa"/>
          </w:tcPr>
          <w:p w14:paraId="0228A9F3"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Cd3</w:t>
            </w:r>
          </w:p>
        </w:tc>
        <w:tc>
          <w:tcPr>
            <w:tcW w:w="2005" w:type="dxa"/>
          </w:tcPr>
          <w:p w14:paraId="6D0C6E12"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1.0</w:t>
            </w:r>
          </w:p>
        </w:tc>
      </w:tr>
      <w:tr w:rsidR="0069775F" w14:paraId="4BB519F4"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2044A0AB"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03D47194"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Cd4</w:t>
            </w:r>
          </w:p>
        </w:tc>
        <w:tc>
          <w:tcPr>
            <w:tcW w:w="2005" w:type="dxa"/>
          </w:tcPr>
          <w:p w14:paraId="0815E9C0"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0.4</w:t>
            </w:r>
          </w:p>
        </w:tc>
      </w:tr>
      <w:tr w:rsidR="0069775F" w14:paraId="28CB5E05" w14:textId="77777777" w:rsidTr="0069775F">
        <w:trPr>
          <w:trHeight w:val="265"/>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7DB1901C" w14:textId="77777777" w:rsidR="0069775F" w:rsidRDefault="004D7A71" w:rsidP="00C07B6E">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Cr</w:t>
            </w:r>
          </w:p>
        </w:tc>
        <w:tc>
          <w:tcPr>
            <w:tcW w:w="696" w:type="dxa"/>
          </w:tcPr>
          <w:p w14:paraId="1FF286A6"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Cr1</w:t>
            </w:r>
          </w:p>
        </w:tc>
        <w:tc>
          <w:tcPr>
            <w:tcW w:w="2005" w:type="dxa"/>
          </w:tcPr>
          <w:p w14:paraId="3624472D"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20.8</w:t>
            </w:r>
          </w:p>
        </w:tc>
      </w:tr>
      <w:tr w:rsidR="0069775F" w14:paraId="77EE8C6C" w14:textId="77777777" w:rsidTr="0069775F">
        <w:trPr>
          <w:trHeight w:val="261"/>
        </w:trPr>
        <w:tc>
          <w:tcPr>
            <w:cnfStyle w:val="001000000000" w:firstRow="0" w:lastRow="0" w:firstColumn="1" w:lastColumn="0" w:oddVBand="0" w:evenVBand="0" w:oddHBand="0" w:evenHBand="0" w:firstRowFirstColumn="0" w:firstRowLastColumn="0" w:lastRowFirstColumn="0" w:lastRowLastColumn="0"/>
            <w:tcW w:w="936" w:type="dxa"/>
            <w:vMerge/>
          </w:tcPr>
          <w:p w14:paraId="1CE2A309"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3D95531B"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Cr2</w:t>
            </w:r>
          </w:p>
        </w:tc>
        <w:tc>
          <w:tcPr>
            <w:tcW w:w="2005" w:type="dxa"/>
          </w:tcPr>
          <w:p w14:paraId="24A20D8C"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14.6</w:t>
            </w:r>
          </w:p>
        </w:tc>
      </w:tr>
      <w:tr w:rsidR="0069775F" w14:paraId="5A911F73"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158DFFE7"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039EED5B"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Cr3</w:t>
            </w:r>
          </w:p>
        </w:tc>
        <w:tc>
          <w:tcPr>
            <w:tcW w:w="2005" w:type="dxa"/>
          </w:tcPr>
          <w:p w14:paraId="03046486"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2.0</w:t>
            </w:r>
          </w:p>
        </w:tc>
      </w:tr>
      <w:tr w:rsidR="0069775F" w14:paraId="2E366406" w14:textId="77777777" w:rsidTr="0069775F">
        <w:trPr>
          <w:trHeight w:val="224"/>
        </w:trPr>
        <w:tc>
          <w:tcPr>
            <w:cnfStyle w:val="001000000000" w:firstRow="0" w:lastRow="0" w:firstColumn="1" w:lastColumn="0" w:oddVBand="0" w:evenVBand="0" w:oddHBand="0" w:evenHBand="0" w:firstRowFirstColumn="0" w:firstRowLastColumn="0" w:lastRowFirstColumn="0" w:lastRowLastColumn="0"/>
            <w:tcW w:w="936" w:type="dxa"/>
            <w:vMerge/>
          </w:tcPr>
          <w:p w14:paraId="0C707685"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517F7A79"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Cr4</w:t>
            </w:r>
          </w:p>
        </w:tc>
        <w:tc>
          <w:tcPr>
            <w:tcW w:w="2005" w:type="dxa"/>
          </w:tcPr>
          <w:p w14:paraId="228A499A"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0.8</w:t>
            </w:r>
          </w:p>
        </w:tc>
      </w:tr>
      <w:tr w:rsidR="0069775F" w14:paraId="3ED1281B" w14:textId="77777777" w:rsidTr="0069775F">
        <w:trPr>
          <w:trHeight w:val="366"/>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77A8142A" w14:textId="77777777" w:rsidR="0069775F" w:rsidRDefault="004D7A71" w:rsidP="00C07B6E">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Cu</w:t>
            </w:r>
          </w:p>
        </w:tc>
        <w:tc>
          <w:tcPr>
            <w:tcW w:w="696" w:type="dxa"/>
          </w:tcPr>
          <w:p w14:paraId="061A953C"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Cu1</w:t>
            </w:r>
          </w:p>
        </w:tc>
        <w:tc>
          <w:tcPr>
            <w:tcW w:w="2005" w:type="dxa"/>
          </w:tcPr>
          <w:p w14:paraId="44DBC995"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6E86B6A9" w14:textId="77777777" w:rsidTr="0069775F">
        <w:trPr>
          <w:trHeight w:val="173"/>
        </w:trPr>
        <w:tc>
          <w:tcPr>
            <w:cnfStyle w:val="001000000000" w:firstRow="0" w:lastRow="0" w:firstColumn="1" w:lastColumn="0" w:oddVBand="0" w:evenVBand="0" w:oddHBand="0" w:evenHBand="0" w:firstRowFirstColumn="0" w:firstRowLastColumn="0" w:lastRowFirstColumn="0" w:lastRowLastColumn="0"/>
            <w:tcW w:w="936" w:type="dxa"/>
            <w:vMerge/>
          </w:tcPr>
          <w:p w14:paraId="78FC5884"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03DCAF73"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Cu2</w:t>
            </w:r>
          </w:p>
        </w:tc>
        <w:tc>
          <w:tcPr>
            <w:tcW w:w="2005" w:type="dxa"/>
          </w:tcPr>
          <w:p w14:paraId="44438D0B"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547D5399" w14:textId="77777777" w:rsidTr="0069775F">
        <w:trPr>
          <w:trHeight w:val="291"/>
        </w:trPr>
        <w:tc>
          <w:tcPr>
            <w:cnfStyle w:val="001000000000" w:firstRow="0" w:lastRow="0" w:firstColumn="1" w:lastColumn="0" w:oddVBand="0" w:evenVBand="0" w:oddHBand="0" w:evenHBand="0" w:firstRowFirstColumn="0" w:firstRowLastColumn="0" w:lastRowFirstColumn="0" w:lastRowLastColumn="0"/>
            <w:tcW w:w="936" w:type="dxa"/>
            <w:vMerge/>
          </w:tcPr>
          <w:p w14:paraId="411A5F2A"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2BC1AC25"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Cu3</w:t>
            </w:r>
          </w:p>
        </w:tc>
        <w:tc>
          <w:tcPr>
            <w:tcW w:w="2005" w:type="dxa"/>
          </w:tcPr>
          <w:p w14:paraId="3FF5D1C5"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11.6</w:t>
            </w:r>
          </w:p>
        </w:tc>
      </w:tr>
      <w:tr w:rsidR="0069775F" w14:paraId="01AE4B08" w14:textId="77777777" w:rsidTr="0069775F">
        <w:trPr>
          <w:trHeight w:val="278"/>
        </w:trPr>
        <w:tc>
          <w:tcPr>
            <w:cnfStyle w:val="001000000000" w:firstRow="0" w:lastRow="0" w:firstColumn="1" w:lastColumn="0" w:oddVBand="0" w:evenVBand="0" w:oddHBand="0" w:evenHBand="0" w:firstRowFirstColumn="0" w:firstRowLastColumn="0" w:lastRowFirstColumn="0" w:lastRowLastColumn="0"/>
            <w:tcW w:w="936" w:type="dxa"/>
            <w:vMerge/>
          </w:tcPr>
          <w:p w14:paraId="66FCF709"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119E0809"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Cu4</w:t>
            </w:r>
          </w:p>
        </w:tc>
        <w:tc>
          <w:tcPr>
            <w:tcW w:w="2005" w:type="dxa"/>
          </w:tcPr>
          <w:p w14:paraId="76A70D18"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1.6</w:t>
            </w:r>
          </w:p>
        </w:tc>
      </w:tr>
      <w:tr w:rsidR="0069775F" w14:paraId="1B0C86ED"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16812862" w14:textId="77777777" w:rsidR="0069775F" w:rsidRDefault="004D7A71" w:rsidP="00C07B6E">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Ni</w:t>
            </w:r>
          </w:p>
        </w:tc>
        <w:tc>
          <w:tcPr>
            <w:tcW w:w="696" w:type="dxa"/>
          </w:tcPr>
          <w:p w14:paraId="73F6ED1A"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Ni1</w:t>
            </w:r>
          </w:p>
        </w:tc>
        <w:tc>
          <w:tcPr>
            <w:tcW w:w="2005" w:type="dxa"/>
          </w:tcPr>
          <w:p w14:paraId="62F2E372"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7D26BDA5" w14:textId="77777777" w:rsidTr="0069775F">
        <w:trPr>
          <w:trHeight w:val="253"/>
        </w:trPr>
        <w:tc>
          <w:tcPr>
            <w:cnfStyle w:val="001000000000" w:firstRow="0" w:lastRow="0" w:firstColumn="1" w:lastColumn="0" w:oddVBand="0" w:evenVBand="0" w:oddHBand="0" w:evenHBand="0" w:firstRowFirstColumn="0" w:firstRowLastColumn="0" w:lastRowFirstColumn="0" w:lastRowLastColumn="0"/>
            <w:tcW w:w="936" w:type="dxa"/>
            <w:vMerge/>
          </w:tcPr>
          <w:p w14:paraId="4AA0E4E6"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197A2B3E"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Ni2</w:t>
            </w:r>
          </w:p>
        </w:tc>
        <w:tc>
          <w:tcPr>
            <w:tcW w:w="2005" w:type="dxa"/>
          </w:tcPr>
          <w:p w14:paraId="7ED99B46"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42810566" w14:textId="77777777" w:rsidTr="0069775F">
        <w:trPr>
          <w:trHeight w:val="240"/>
        </w:trPr>
        <w:tc>
          <w:tcPr>
            <w:cnfStyle w:val="001000000000" w:firstRow="0" w:lastRow="0" w:firstColumn="1" w:lastColumn="0" w:oddVBand="0" w:evenVBand="0" w:oddHBand="0" w:evenHBand="0" w:firstRowFirstColumn="0" w:firstRowLastColumn="0" w:lastRowFirstColumn="0" w:lastRowLastColumn="0"/>
            <w:tcW w:w="936" w:type="dxa"/>
            <w:vMerge/>
          </w:tcPr>
          <w:p w14:paraId="52464E76"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6E3CF7E1"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Ni3</w:t>
            </w:r>
          </w:p>
        </w:tc>
        <w:tc>
          <w:tcPr>
            <w:tcW w:w="2005" w:type="dxa"/>
          </w:tcPr>
          <w:p w14:paraId="33FE6BF9"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4.0</w:t>
            </w:r>
          </w:p>
        </w:tc>
      </w:tr>
      <w:tr w:rsidR="0069775F" w14:paraId="6D3EBA8E" w14:textId="77777777" w:rsidTr="0069775F">
        <w:trPr>
          <w:trHeight w:val="240"/>
        </w:trPr>
        <w:tc>
          <w:tcPr>
            <w:cnfStyle w:val="001000000000" w:firstRow="0" w:lastRow="0" w:firstColumn="1" w:lastColumn="0" w:oddVBand="0" w:evenVBand="0" w:oddHBand="0" w:evenHBand="0" w:firstRowFirstColumn="0" w:firstRowLastColumn="0" w:lastRowFirstColumn="0" w:lastRowLastColumn="0"/>
            <w:tcW w:w="936" w:type="dxa"/>
            <w:vMerge/>
          </w:tcPr>
          <w:p w14:paraId="6AB90101"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5668733B"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Ni4</w:t>
            </w:r>
          </w:p>
        </w:tc>
        <w:tc>
          <w:tcPr>
            <w:tcW w:w="2005" w:type="dxa"/>
          </w:tcPr>
          <w:p w14:paraId="00197F8B"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0.4</w:t>
            </w:r>
          </w:p>
        </w:tc>
      </w:tr>
      <w:tr w:rsidR="0069775F" w14:paraId="60332B9D" w14:textId="77777777" w:rsidTr="0069775F">
        <w:trPr>
          <w:trHeight w:val="211"/>
        </w:trPr>
        <w:tc>
          <w:tcPr>
            <w:cnfStyle w:val="001000000000" w:firstRow="0" w:lastRow="0" w:firstColumn="1" w:lastColumn="0" w:oddVBand="0" w:evenVBand="0" w:oddHBand="0" w:evenHBand="0" w:firstRowFirstColumn="0" w:firstRowLastColumn="0" w:lastRowFirstColumn="0" w:lastRowLastColumn="0"/>
            <w:tcW w:w="936" w:type="dxa"/>
            <w:vMerge w:val="restart"/>
          </w:tcPr>
          <w:p w14:paraId="1A87C93C" w14:textId="77777777" w:rsidR="0069775F" w:rsidRDefault="004D7A71" w:rsidP="00C07B6E">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Pb</w:t>
            </w:r>
          </w:p>
        </w:tc>
        <w:tc>
          <w:tcPr>
            <w:tcW w:w="696" w:type="dxa"/>
          </w:tcPr>
          <w:p w14:paraId="663FB66C"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Pb1</w:t>
            </w:r>
          </w:p>
        </w:tc>
        <w:tc>
          <w:tcPr>
            <w:tcW w:w="2005" w:type="dxa"/>
          </w:tcPr>
          <w:p w14:paraId="35462CD8"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Nil</w:t>
            </w:r>
          </w:p>
        </w:tc>
      </w:tr>
      <w:tr w:rsidR="0069775F" w14:paraId="5CAC3564" w14:textId="77777777" w:rsidTr="0069775F">
        <w:trPr>
          <w:trHeight w:val="328"/>
        </w:trPr>
        <w:tc>
          <w:tcPr>
            <w:cnfStyle w:val="001000000000" w:firstRow="0" w:lastRow="0" w:firstColumn="1" w:lastColumn="0" w:oddVBand="0" w:evenVBand="0" w:oddHBand="0" w:evenHBand="0" w:firstRowFirstColumn="0" w:firstRowLastColumn="0" w:lastRowFirstColumn="0" w:lastRowLastColumn="0"/>
            <w:tcW w:w="936" w:type="dxa"/>
            <w:vMerge/>
          </w:tcPr>
          <w:p w14:paraId="261D1B60"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45AFF696"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Pb2</w:t>
            </w:r>
          </w:p>
        </w:tc>
        <w:tc>
          <w:tcPr>
            <w:tcW w:w="2005" w:type="dxa"/>
          </w:tcPr>
          <w:p w14:paraId="0A93A1A0"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14.8</w:t>
            </w:r>
          </w:p>
        </w:tc>
      </w:tr>
      <w:tr w:rsidR="0069775F" w14:paraId="58C0318F" w14:textId="77777777" w:rsidTr="0069775F">
        <w:trPr>
          <w:trHeight w:val="227"/>
        </w:trPr>
        <w:tc>
          <w:tcPr>
            <w:cnfStyle w:val="001000000000" w:firstRow="0" w:lastRow="0" w:firstColumn="1" w:lastColumn="0" w:oddVBand="0" w:evenVBand="0" w:oddHBand="0" w:evenHBand="0" w:firstRowFirstColumn="0" w:firstRowLastColumn="0" w:lastRowFirstColumn="0" w:lastRowLastColumn="0"/>
            <w:tcW w:w="936" w:type="dxa"/>
            <w:vMerge/>
          </w:tcPr>
          <w:p w14:paraId="558914FE"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06F7420C"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Pb3</w:t>
            </w:r>
          </w:p>
        </w:tc>
        <w:tc>
          <w:tcPr>
            <w:tcW w:w="2005" w:type="dxa"/>
          </w:tcPr>
          <w:p w14:paraId="56AD7DCE"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FF0000"/>
                <w:sz w:val="24"/>
                <w:szCs w:val="24"/>
              </w:rPr>
            </w:pPr>
            <w:r>
              <w:rPr>
                <w:rFonts w:ascii="Times New Roman" w:hAnsi="Times New Roman"/>
                <w:b/>
                <w:color w:val="FF0000"/>
                <w:sz w:val="24"/>
                <w:szCs w:val="24"/>
              </w:rPr>
              <w:t>6.4</w:t>
            </w:r>
          </w:p>
        </w:tc>
      </w:tr>
      <w:tr w:rsidR="0069775F" w14:paraId="240EC22A" w14:textId="77777777" w:rsidTr="0069775F">
        <w:trPr>
          <w:trHeight w:val="316"/>
        </w:trPr>
        <w:tc>
          <w:tcPr>
            <w:cnfStyle w:val="001000000000" w:firstRow="0" w:lastRow="0" w:firstColumn="1" w:lastColumn="0" w:oddVBand="0" w:evenVBand="0" w:oddHBand="0" w:evenHBand="0" w:firstRowFirstColumn="0" w:firstRowLastColumn="0" w:lastRowFirstColumn="0" w:lastRowLastColumn="0"/>
            <w:tcW w:w="936" w:type="dxa"/>
            <w:vMerge/>
          </w:tcPr>
          <w:p w14:paraId="603A201A" w14:textId="77777777" w:rsidR="0069775F" w:rsidRDefault="0069775F" w:rsidP="00C07B6E">
            <w:pPr>
              <w:spacing w:before="100" w:beforeAutospacing="1" w:after="100" w:afterAutospacing="1" w:line="240" w:lineRule="auto"/>
              <w:jc w:val="both"/>
              <w:rPr>
                <w:rFonts w:ascii="Times New Roman" w:hAnsi="Times New Roman"/>
                <w:color w:val="000000"/>
                <w:sz w:val="24"/>
                <w:szCs w:val="24"/>
              </w:rPr>
            </w:pPr>
          </w:p>
        </w:tc>
        <w:tc>
          <w:tcPr>
            <w:tcW w:w="696" w:type="dxa"/>
          </w:tcPr>
          <w:p w14:paraId="30EE6787"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Pr>
                <w:rFonts w:ascii="Times New Roman" w:hAnsi="Times New Roman"/>
                <w:b/>
                <w:color w:val="000000"/>
                <w:sz w:val="24"/>
                <w:szCs w:val="24"/>
              </w:rPr>
              <w:t>Pb4</w:t>
            </w:r>
          </w:p>
        </w:tc>
        <w:tc>
          <w:tcPr>
            <w:tcW w:w="2005" w:type="dxa"/>
          </w:tcPr>
          <w:p w14:paraId="450676F7" w14:textId="77777777" w:rsidR="0069775F" w:rsidRDefault="004D7A71" w:rsidP="00C07B6E">
            <w:pPr>
              <w:spacing w:before="100" w:beforeAutospacing="1" w:after="100" w:afterAutospacing="1"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1.2</w:t>
            </w:r>
          </w:p>
        </w:tc>
      </w:tr>
    </w:tbl>
    <w:p w14:paraId="653B9654" w14:textId="77777777" w:rsidR="0069775F" w:rsidRDefault="0069775F" w:rsidP="00C07B6E">
      <w:pPr>
        <w:spacing w:after="120" w:line="240" w:lineRule="auto"/>
        <w:jc w:val="both"/>
        <w:rPr>
          <w:rFonts w:ascii="Times New Roman" w:eastAsia="Times New Roman" w:hAnsi="Times New Roman"/>
          <w:sz w:val="24"/>
          <w:szCs w:val="24"/>
        </w:rPr>
      </w:pPr>
    </w:p>
    <w:p w14:paraId="3A0302E3" w14:textId="77777777" w:rsidR="0069775F" w:rsidRDefault="004D7A71" w:rsidP="00C07B6E">
      <w:pPr>
        <w:spacing w:after="120" w:line="240" w:lineRule="auto"/>
        <w:jc w:val="both"/>
        <w:rPr>
          <w:rFonts w:ascii="Times New Roman" w:eastAsia="Times New Roman" w:hAnsi="Times New Roman"/>
          <w:i/>
          <w:sz w:val="24"/>
          <w:szCs w:val="24"/>
        </w:rPr>
      </w:pPr>
      <w:r>
        <w:rPr>
          <w:rFonts w:ascii="Times New Roman" w:eastAsia="Times New Roman" w:hAnsi="Times New Roman"/>
          <w:i/>
          <w:sz w:val="24"/>
          <w:szCs w:val="24"/>
        </w:rPr>
        <w:t xml:space="preserve">Key: Cd1, Cd2…Cr1, Cr2… </w:t>
      </w:r>
      <w:proofErr w:type="spellStart"/>
      <w:r>
        <w:rPr>
          <w:rFonts w:ascii="Times New Roman" w:eastAsia="Times New Roman" w:hAnsi="Times New Roman"/>
          <w:i/>
          <w:sz w:val="24"/>
          <w:szCs w:val="24"/>
        </w:rPr>
        <w:t>etc</w:t>
      </w:r>
      <w:proofErr w:type="spellEnd"/>
      <w:r>
        <w:rPr>
          <w:rFonts w:ascii="Times New Roman" w:eastAsia="Times New Roman" w:hAnsi="Times New Roman"/>
          <w:i/>
          <w:sz w:val="24"/>
          <w:szCs w:val="24"/>
        </w:rPr>
        <w:t xml:space="preserve"> = Concentrations of Heavy metal applied per Fish Tank; Conc = Concentration: </w:t>
      </w:r>
      <w:r>
        <w:rPr>
          <w:rFonts w:ascii="Times New Roman" w:eastAsia="Times New Roman" w:hAnsi="Times New Roman"/>
          <w:i/>
          <w:color w:val="FF0000"/>
          <w:sz w:val="24"/>
          <w:szCs w:val="24"/>
        </w:rPr>
        <w:t xml:space="preserve">red </w:t>
      </w:r>
      <w:r>
        <w:rPr>
          <w:rFonts w:ascii="Times New Roman" w:eastAsia="Times New Roman" w:hAnsi="Times New Roman"/>
          <w:i/>
          <w:sz w:val="24"/>
          <w:szCs w:val="24"/>
        </w:rPr>
        <w:t xml:space="preserve">= values above the control values; FEC = Fish </w:t>
      </w:r>
      <w:proofErr w:type="gramStart"/>
      <w:r>
        <w:rPr>
          <w:rFonts w:ascii="Times New Roman" w:eastAsia="Times New Roman" w:hAnsi="Times New Roman"/>
          <w:i/>
          <w:sz w:val="24"/>
          <w:szCs w:val="24"/>
        </w:rPr>
        <w:t>Exposure  Concentration</w:t>
      </w:r>
      <w:proofErr w:type="gramEnd"/>
      <w:r>
        <w:rPr>
          <w:rFonts w:ascii="Times New Roman" w:eastAsia="Times New Roman" w:hAnsi="Times New Roman"/>
          <w:i/>
          <w:sz w:val="24"/>
          <w:szCs w:val="24"/>
        </w:rPr>
        <w:t>; Iorg = Organ Index; Nil – Fish in the test chamber did not survive the duration of the experiment</w:t>
      </w:r>
    </w:p>
    <w:p w14:paraId="2092874C" w14:textId="77777777" w:rsidR="0069775F" w:rsidRDefault="0069775F" w:rsidP="00C07B6E">
      <w:pPr>
        <w:spacing w:after="120" w:line="240" w:lineRule="auto"/>
        <w:jc w:val="both"/>
        <w:rPr>
          <w:rFonts w:ascii="Times New Roman" w:eastAsia="Times New Roman" w:hAnsi="Times New Roman"/>
          <w:i/>
          <w:sz w:val="24"/>
          <w:szCs w:val="24"/>
        </w:rPr>
      </w:pPr>
    </w:p>
    <w:p w14:paraId="305D375E" w14:textId="77777777" w:rsidR="0069775F" w:rsidRDefault="004D7A71" w:rsidP="00C07B6E">
      <w:pPr>
        <w:jc w:val="both"/>
        <w:rPr>
          <w:rFonts w:ascii="Times New Roman" w:hAnsi="Times New Roman"/>
          <w:sz w:val="28"/>
          <w:szCs w:val="28"/>
        </w:rPr>
      </w:pPr>
      <w:r>
        <w:rPr>
          <w:rFonts w:ascii="Times New Roman" w:hAnsi="Times New Roman"/>
          <w:sz w:val="28"/>
          <w:szCs w:val="28"/>
        </w:rPr>
        <w:t>Table 3: Gills Paired Sample T Test of the Fish Toxicity Study, comparing the mean Organ Indices (Iorg) of fish from the different FED tanks with the control fish.</w:t>
      </w:r>
    </w:p>
    <w:tbl>
      <w:tblPr>
        <w:tblStyle w:val="MediumShading1-Accent2"/>
        <w:tblW w:w="9980" w:type="dxa"/>
        <w:tblLayout w:type="fixed"/>
        <w:tblLook w:val="04A0" w:firstRow="1" w:lastRow="0" w:firstColumn="1" w:lastColumn="0" w:noHBand="0" w:noVBand="1"/>
      </w:tblPr>
      <w:tblGrid>
        <w:gridCol w:w="1057"/>
        <w:gridCol w:w="1198"/>
        <w:gridCol w:w="956"/>
        <w:gridCol w:w="1061"/>
        <w:gridCol w:w="952"/>
        <w:gridCol w:w="956"/>
        <w:gridCol w:w="953"/>
        <w:gridCol w:w="952"/>
        <w:gridCol w:w="941"/>
        <w:gridCol w:w="954"/>
      </w:tblGrid>
      <w:tr w:rsidR="0069775F" w14:paraId="178164B2" w14:textId="77777777" w:rsidTr="0069775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val="restart"/>
          </w:tcPr>
          <w:p w14:paraId="0321D2F1" w14:textId="77777777" w:rsidR="0069775F" w:rsidRDefault="004D7A71" w:rsidP="00C07B6E">
            <w:pPr>
              <w:spacing w:after="0" w:line="240" w:lineRule="auto"/>
              <w:jc w:val="both"/>
              <w:rPr>
                <w:rFonts w:eastAsia="Times New Roman" w:cs="Calibri"/>
                <w:color w:val="000000"/>
                <w:sz w:val="20"/>
                <w:szCs w:val="20"/>
              </w:rPr>
            </w:pPr>
            <w:r>
              <w:rPr>
                <w:rFonts w:eastAsia="Times New Roman" w:cs="Calibri"/>
                <w:color w:val="000000"/>
                <w:sz w:val="20"/>
                <w:szCs w:val="20"/>
              </w:rPr>
              <w:t> </w:t>
            </w:r>
          </w:p>
        </w:tc>
        <w:tc>
          <w:tcPr>
            <w:tcW w:w="4879" w:type="dxa"/>
            <w:gridSpan w:val="5"/>
          </w:tcPr>
          <w:p w14:paraId="43A60718" w14:textId="77777777" w:rsidR="0069775F" w:rsidRDefault="004D7A71" w:rsidP="00C07B6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Paired Differences</w:t>
            </w:r>
          </w:p>
        </w:tc>
        <w:tc>
          <w:tcPr>
            <w:tcW w:w="952" w:type="dxa"/>
            <w:vMerge w:val="restart"/>
          </w:tcPr>
          <w:p w14:paraId="536B0F9E" w14:textId="77777777" w:rsidR="0069775F" w:rsidRDefault="004D7A71" w:rsidP="00C07B6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t</w:t>
            </w:r>
          </w:p>
        </w:tc>
        <w:tc>
          <w:tcPr>
            <w:tcW w:w="941" w:type="dxa"/>
            <w:vMerge w:val="restart"/>
          </w:tcPr>
          <w:p w14:paraId="4D430075" w14:textId="77777777" w:rsidR="0069775F" w:rsidRDefault="004D7A71" w:rsidP="00C07B6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df</w:t>
            </w:r>
          </w:p>
        </w:tc>
        <w:tc>
          <w:tcPr>
            <w:tcW w:w="954" w:type="dxa"/>
            <w:vMerge w:val="restart"/>
          </w:tcPr>
          <w:p w14:paraId="1E755D1A" w14:textId="77777777" w:rsidR="0069775F" w:rsidRDefault="004D7A71" w:rsidP="00C07B6E">
            <w:pPr>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Sig. (2-tailed)</w:t>
            </w:r>
          </w:p>
        </w:tc>
      </w:tr>
      <w:tr w:rsidR="0069775F" w14:paraId="23BE1569"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tcPr>
          <w:p w14:paraId="5A00C79F" w14:textId="77777777" w:rsidR="0069775F" w:rsidRDefault="0069775F" w:rsidP="00C07B6E">
            <w:pPr>
              <w:spacing w:after="0" w:line="240" w:lineRule="auto"/>
              <w:jc w:val="both"/>
              <w:rPr>
                <w:rFonts w:eastAsia="Times New Roman" w:cs="Calibri"/>
                <w:color w:val="000000"/>
                <w:sz w:val="20"/>
                <w:szCs w:val="20"/>
              </w:rPr>
            </w:pPr>
          </w:p>
        </w:tc>
        <w:tc>
          <w:tcPr>
            <w:tcW w:w="956" w:type="dxa"/>
            <w:vMerge w:val="restart"/>
          </w:tcPr>
          <w:p w14:paraId="6AF6F91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Mean</w:t>
            </w:r>
          </w:p>
        </w:tc>
        <w:tc>
          <w:tcPr>
            <w:tcW w:w="1062" w:type="dxa"/>
            <w:vMerge w:val="restart"/>
          </w:tcPr>
          <w:p w14:paraId="1FC01CB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Std. Deviation</w:t>
            </w:r>
          </w:p>
        </w:tc>
        <w:tc>
          <w:tcPr>
            <w:tcW w:w="952" w:type="dxa"/>
            <w:vMerge w:val="restart"/>
          </w:tcPr>
          <w:p w14:paraId="281A551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Std. Error Mean</w:t>
            </w:r>
          </w:p>
        </w:tc>
        <w:tc>
          <w:tcPr>
            <w:tcW w:w="1909" w:type="dxa"/>
            <w:gridSpan w:val="2"/>
          </w:tcPr>
          <w:p w14:paraId="153F77E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95% Confidence Interval of the Difference</w:t>
            </w:r>
          </w:p>
        </w:tc>
        <w:tc>
          <w:tcPr>
            <w:tcW w:w="952" w:type="dxa"/>
            <w:vMerge/>
          </w:tcPr>
          <w:p w14:paraId="3EE787E6"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41" w:type="dxa"/>
            <w:vMerge/>
          </w:tcPr>
          <w:p w14:paraId="5355581F"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c>
          <w:tcPr>
            <w:tcW w:w="954" w:type="dxa"/>
            <w:vMerge/>
          </w:tcPr>
          <w:p w14:paraId="0C2287BD"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
        </w:tc>
      </w:tr>
      <w:tr w:rsidR="0069775F" w14:paraId="5C135C8A"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2259" w:type="dxa"/>
            <w:gridSpan w:val="2"/>
            <w:vMerge/>
          </w:tcPr>
          <w:p w14:paraId="4E481604" w14:textId="77777777" w:rsidR="0069775F" w:rsidRDefault="0069775F" w:rsidP="00C07B6E">
            <w:pPr>
              <w:spacing w:after="0" w:line="240" w:lineRule="auto"/>
              <w:jc w:val="both"/>
              <w:rPr>
                <w:rFonts w:eastAsia="Times New Roman" w:cs="Calibri"/>
                <w:color w:val="000000"/>
                <w:sz w:val="20"/>
                <w:szCs w:val="20"/>
              </w:rPr>
            </w:pPr>
          </w:p>
        </w:tc>
        <w:tc>
          <w:tcPr>
            <w:tcW w:w="956" w:type="dxa"/>
            <w:vMerge/>
          </w:tcPr>
          <w:p w14:paraId="3E816C1F"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062" w:type="dxa"/>
            <w:vMerge/>
          </w:tcPr>
          <w:p w14:paraId="061DC4D8"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2" w:type="dxa"/>
            <w:vMerge/>
          </w:tcPr>
          <w:p w14:paraId="3F15554E"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6" w:type="dxa"/>
          </w:tcPr>
          <w:p w14:paraId="30766C1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Lower</w:t>
            </w:r>
          </w:p>
        </w:tc>
        <w:tc>
          <w:tcPr>
            <w:tcW w:w="953" w:type="dxa"/>
          </w:tcPr>
          <w:p w14:paraId="4A1CED7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Pr>
                <w:rFonts w:eastAsia="Times New Roman" w:cs="Calibri"/>
                <w:b/>
                <w:bCs/>
                <w:color w:val="000000"/>
                <w:sz w:val="20"/>
                <w:szCs w:val="20"/>
              </w:rPr>
              <w:t>Upper</w:t>
            </w:r>
          </w:p>
        </w:tc>
        <w:tc>
          <w:tcPr>
            <w:tcW w:w="952" w:type="dxa"/>
            <w:vMerge/>
          </w:tcPr>
          <w:p w14:paraId="52CEE2E5"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41" w:type="dxa"/>
            <w:vMerge/>
          </w:tcPr>
          <w:p w14:paraId="65E33DE9"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954" w:type="dxa"/>
            <w:vMerge/>
          </w:tcPr>
          <w:p w14:paraId="59CB01DD" w14:textId="77777777" w:rsidR="0069775F" w:rsidRDefault="0069775F"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r>
      <w:tr w:rsidR="0069775F" w14:paraId="6234B362"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6DD2117E" w14:textId="77777777" w:rsidR="0069775F" w:rsidRDefault="004D7A71" w:rsidP="00C07B6E">
            <w:pPr>
              <w:spacing w:after="0" w:line="240" w:lineRule="auto"/>
              <w:jc w:val="both"/>
              <w:rPr>
                <w:rFonts w:eastAsia="Times New Roman" w:cs="Calibri"/>
                <w:color w:val="000000"/>
                <w:sz w:val="20"/>
                <w:szCs w:val="20"/>
              </w:rPr>
            </w:pPr>
            <w:r>
              <w:rPr>
                <w:rFonts w:eastAsia="Times New Roman" w:cs="Calibri"/>
                <w:color w:val="000000"/>
                <w:sz w:val="20"/>
                <w:szCs w:val="20"/>
              </w:rPr>
              <w:t>Cd</w:t>
            </w:r>
          </w:p>
        </w:tc>
        <w:tc>
          <w:tcPr>
            <w:tcW w:w="1200" w:type="dxa"/>
          </w:tcPr>
          <w:p w14:paraId="2EF5F62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Cd1</w:t>
            </w:r>
          </w:p>
        </w:tc>
        <w:tc>
          <w:tcPr>
            <w:tcW w:w="956" w:type="dxa"/>
          </w:tcPr>
          <w:p w14:paraId="2CF1E94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-18.200</w:t>
            </w:r>
          </w:p>
        </w:tc>
        <w:tc>
          <w:tcPr>
            <w:tcW w:w="1062" w:type="dxa"/>
          </w:tcPr>
          <w:p w14:paraId="578FF75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11.345</w:t>
            </w:r>
          </w:p>
        </w:tc>
        <w:tc>
          <w:tcPr>
            <w:tcW w:w="952" w:type="dxa"/>
          </w:tcPr>
          <w:p w14:paraId="4911235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5.073</w:t>
            </w:r>
          </w:p>
        </w:tc>
        <w:tc>
          <w:tcPr>
            <w:tcW w:w="956" w:type="dxa"/>
          </w:tcPr>
          <w:p w14:paraId="3186A7A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-32.286</w:t>
            </w:r>
          </w:p>
        </w:tc>
        <w:tc>
          <w:tcPr>
            <w:tcW w:w="953" w:type="dxa"/>
          </w:tcPr>
          <w:p w14:paraId="15DAE86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-4.114</w:t>
            </w:r>
          </w:p>
        </w:tc>
        <w:tc>
          <w:tcPr>
            <w:tcW w:w="952" w:type="dxa"/>
          </w:tcPr>
          <w:p w14:paraId="0A132B8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-3.587</w:t>
            </w:r>
          </w:p>
        </w:tc>
        <w:tc>
          <w:tcPr>
            <w:tcW w:w="941" w:type="dxa"/>
          </w:tcPr>
          <w:p w14:paraId="1C79F85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E3A009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.023</w:t>
            </w:r>
          </w:p>
        </w:tc>
      </w:tr>
      <w:tr w:rsidR="0069775F" w14:paraId="1F2FB525"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tcPr>
          <w:p w14:paraId="1AD2A858"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1E91077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Cd2</w:t>
            </w:r>
          </w:p>
        </w:tc>
        <w:tc>
          <w:tcPr>
            <w:tcW w:w="956" w:type="dxa"/>
          </w:tcPr>
          <w:p w14:paraId="3CD855B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-12.800</w:t>
            </w:r>
          </w:p>
        </w:tc>
        <w:tc>
          <w:tcPr>
            <w:tcW w:w="1062" w:type="dxa"/>
          </w:tcPr>
          <w:p w14:paraId="525D467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4.604</w:t>
            </w:r>
          </w:p>
        </w:tc>
        <w:tc>
          <w:tcPr>
            <w:tcW w:w="952" w:type="dxa"/>
          </w:tcPr>
          <w:p w14:paraId="5F6610A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2.059</w:t>
            </w:r>
          </w:p>
        </w:tc>
        <w:tc>
          <w:tcPr>
            <w:tcW w:w="956" w:type="dxa"/>
          </w:tcPr>
          <w:p w14:paraId="699A08C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-18.517</w:t>
            </w:r>
          </w:p>
        </w:tc>
        <w:tc>
          <w:tcPr>
            <w:tcW w:w="953" w:type="dxa"/>
          </w:tcPr>
          <w:p w14:paraId="554F648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-7.083</w:t>
            </w:r>
          </w:p>
        </w:tc>
        <w:tc>
          <w:tcPr>
            <w:tcW w:w="952" w:type="dxa"/>
          </w:tcPr>
          <w:p w14:paraId="61D1602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-6.216</w:t>
            </w:r>
          </w:p>
        </w:tc>
        <w:tc>
          <w:tcPr>
            <w:tcW w:w="941" w:type="dxa"/>
          </w:tcPr>
          <w:p w14:paraId="38624D0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2E30BF82"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.003</w:t>
            </w:r>
          </w:p>
        </w:tc>
      </w:tr>
      <w:tr w:rsidR="0069775F" w14:paraId="2C997D70"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04451AE5"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6A257D7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Cd3</w:t>
            </w:r>
          </w:p>
        </w:tc>
        <w:tc>
          <w:tcPr>
            <w:tcW w:w="956" w:type="dxa"/>
          </w:tcPr>
          <w:p w14:paraId="3B4BE40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1062" w:type="dxa"/>
          </w:tcPr>
          <w:p w14:paraId="69779C2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1.140</w:t>
            </w:r>
          </w:p>
        </w:tc>
        <w:tc>
          <w:tcPr>
            <w:tcW w:w="952" w:type="dxa"/>
          </w:tcPr>
          <w:p w14:paraId="2CAFA76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.510</w:t>
            </w:r>
          </w:p>
        </w:tc>
        <w:tc>
          <w:tcPr>
            <w:tcW w:w="956" w:type="dxa"/>
          </w:tcPr>
          <w:p w14:paraId="69B58BE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-1.815</w:t>
            </w:r>
          </w:p>
        </w:tc>
        <w:tc>
          <w:tcPr>
            <w:tcW w:w="953" w:type="dxa"/>
          </w:tcPr>
          <w:p w14:paraId="74C42DC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1.016</w:t>
            </w:r>
          </w:p>
        </w:tc>
        <w:tc>
          <w:tcPr>
            <w:tcW w:w="952" w:type="dxa"/>
          </w:tcPr>
          <w:p w14:paraId="251DDD0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-.784</w:t>
            </w:r>
          </w:p>
        </w:tc>
        <w:tc>
          <w:tcPr>
            <w:tcW w:w="941" w:type="dxa"/>
          </w:tcPr>
          <w:p w14:paraId="05B4267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B335D9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.477</w:t>
            </w:r>
          </w:p>
        </w:tc>
      </w:tr>
      <w:tr w:rsidR="0069775F" w14:paraId="567CBA83"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tcPr>
          <w:p w14:paraId="176DEB9C"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6EF482C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Cd3</w:t>
            </w:r>
          </w:p>
        </w:tc>
        <w:tc>
          <w:tcPr>
            <w:tcW w:w="956" w:type="dxa"/>
          </w:tcPr>
          <w:p w14:paraId="354B0F7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1B9C76F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.447</w:t>
            </w:r>
          </w:p>
        </w:tc>
        <w:tc>
          <w:tcPr>
            <w:tcW w:w="952" w:type="dxa"/>
          </w:tcPr>
          <w:p w14:paraId="5C8B859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956" w:type="dxa"/>
          </w:tcPr>
          <w:p w14:paraId="6F90D8B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-.355</w:t>
            </w:r>
          </w:p>
        </w:tc>
        <w:tc>
          <w:tcPr>
            <w:tcW w:w="953" w:type="dxa"/>
          </w:tcPr>
          <w:p w14:paraId="22D766D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.755</w:t>
            </w:r>
          </w:p>
        </w:tc>
        <w:tc>
          <w:tcPr>
            <w:tcW w:w="952" w:type="dxa"/>
          </w:tcPr>
          <w:p w14:paraId="3C90DE9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c>
          <w:tcPr>
            <w:tcW w:w="941" w:type="dxa"/>
          </w:tcPr>
          <w:p w14:paraId="1CB8C95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78119B3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r>
      <w:tr w:rsidR="0069775F" w14:paraId="54BD854B" w14:textId="77777777" w:rsidTr="0069775F">
        <w:trPr>
          <w:trHeight w:val="253"/>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0A0C2782" w14:textId="77777777" w:rsidR="0069775F" w:rsidRDefault="004D7A71" w:rsidP="00C07B6E">
            <w:pPr>
              <w:spacing w:after="0" w:line="240" w:lineRule="auto"/>
              <w:jc w:val="both"/>
              <w:rPr>
                <w:rFonts w:eastAsia="Times New Roman" w:cs="Calibri"/>
                <w:color w:val="000000"/>
                <w:sz w:val="20"/>
                <w:szCs w:val="20"/>
              </w:rPr>
            </w:pPr>
            <w:r>
              <w:rPr>
                <w:rFonts w:eastAsia="Times New Roman" w:cs="Calibri"/>
                <w:color w:val="000000"/>
                <w:sz w:val="20"/>
                <w:szCs w:val="20"/>
              </w:rPr>
              <w:t xml:space="preserve"> Cr</w:t>
            </w:r>
          </w:p>
        </w:tc>
        <w:tc>
          <w:tcPr>
            <w:tcW w:w="1200" w:type="dxa"/>
          </w:tcPr>
          <w:p w14:paraId="0F5459A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Cr1</w:t>
            </w:r>
          </w:p>
        </w:tc>
        <w:tc>
          <w:tcPr>
            <w:tcW w:w="956" w:type="dxa"/>
          </w:tcPr>
          <w:p w14:paraId="31FF403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-20.200</w:t>
            </w:r>
          </w:p>
        </w:tc>
        <w:tc>
          <w:tcPr>
            <w:tcW w:w="1062" w:type="dxa"/>
          </w:tcPr>
          <w:p w14:paraId="284E755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13.161</w:t>
            </w:r>
          </w:p>
        </w:tc>
        <w:tc>
          <w:tcPr>
            <w:tcW w:w="952" w:type="dxa"/>
          </w:tcPr>
          <w:p w14:paraId="64F74BE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5.886</w:t>
            </w:r>
          </w:p>
        </w:tc>
        <w:tc>
          <w:tcPr>
            <w:tcW w:w="956" w:type="dxa"/>
          </w:tcPr>
          <w:p w14:paraId="7E281F4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-36.541</w:t>
            </w:r>
          </w:p>
        </w:tc>
        <w:tc>
          <w:tcPr>
            <w:tcW w:w="953" w:type="dxa"/>
          </w:tcPr>
          <w:p w14:paraId="6444EDB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-3.859</w:t>
            </w:r>
          </w:p>
        </w:tc>
        <w:tc>
          <w:tcPr>
            <w:tcW w:w="952" w:type="dxa"/>
          </w:tcPr>
          <w:p w14:paraId="43614AB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-3.432</w:t>
            </w:r>
          </w:p>
        </w:tc>
        <w:tc>
          <w:tcPr>
            <w:tcW w:w="941" w:type="dxa"/>
          </w:tcPr>
          <w:p w14:paraId="067D481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F4492B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.026</w:t>
            </w:r>
          </w:p>
        </w:tc>
      </w:tr>
      <w:tr w:rsidR="0069775F" w14:paraId="73B4B882" w14:textId="77777777" w:rsidTr="0069775F">
        <w:trPr>
          <w:trHeight w:val="157"/>
        </w:trPr>
        <w:tc>
          <w:tcPr>
            <w:cnfStyle w:val="001000000000" w:firstRow="0" w:lastRow="0" w:firstColumn="1" w:lastColumn="0" w:oddVBand="0" w:evenVBand="0" w:oddHBand="0" w:evenHBand="0" w:firstRowFirstColumn="0" w:firstRowLastColumn="0" w:lastRowFirstColumn="0" w:lastRowLastColumn="0"/>
            <w:tcW w:w="1059" w:type="dxa"/>
            <w:vMerge/>
          </w:tcPr>
          <w:p w14:paraId="05AF7008"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366997F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Cr2</w:t>
            </w:r>
          </w:p>
        </w:tc>
        <w:tc>
          <w:tcPr>
            <w:tcW w:w="956" w:type="dxa"/>
          </w:tcPr>
          <w:p w14:paraId="0BF75C9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-14.000</w:t>
            </w:r>
          </w:p>
        </w:tc>
        <w:tc>
          <w:tcPr>
            <w:tcW w:w="1062" w:type="dxa"/>
          </w:tcPr>
          <w:p w14:paraId="2BA6A98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10.075</w:t>
            </w:r>
          </w:p>
        </w:tc>
        <w:tc>
          <w:tcPr>
            <w:tcW w:w="952" w:type="dxa"/>
          </w:tcPr>
          <w:p w14:paraId="33C24FC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4.506</w:t>
            </w:r>
          </w:p>
        </w:tc>
        <w:tc>
          <w:tcPr>
            <w:tcW w:w="956" w:type="dxa"/>
          </w:tcPr>
          <w:p w14:paraId="407B2D7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-26.509</w:t>
            </w:r>
          </w:p>
        </w:tc>
        <w:tc>
          <w:tcPr>
            <w:tcW w:w="953" w:type="dxa"/>
          </w:tcPr>
          <w:p w14:paraId="508BA2C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-1.491</w:t>
            </w:r>
          </w:p>
        </w:tc>
        <w:tc>
          <w:tcPr>
            <w:tcW w:w="952" w:type="dxa"/>
          </w:tcPr>
          <w:p w14:paraId="17F01B1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-3.107</w:t>
            </w:r>
          </w:p>
        </w:tc>
        <w:tc>
          <w:tcPr>
            <w:tcW w:w="941" w:type="dxa"/>
          </w:tcPr>
          <w:p w14:paraId="714AF0D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305E1C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.036</w:t>
            </w:r>
          </w:p>
        </w:tc>
      </w:tr>
      <w:tr w:rsidR="0069775F" w14:paraId="52BBF503" w14:textId="77777777" w:rsidTr="0069775F">
        <w:trPr>
          <w:trHeight w:val="189"/>
        </w:trPr>
        <w:tc>
          <w:tcPr>
            <w:cnfStyle w:val="001000000000" w:firstRow="0" w:lastRow="0" w:firstColumn="1" w:lastColumn="0" w:oddVBand="0" w:evenVBand="0" w:oddHBand="0" w:evenHBand="0" w:firstRowFirstColumn="0" w:firstRowLastColumn="0" w:lastRowFirstColumn="0" w:lastRowLastColumn="0"/>
            <w:tcW w:w="1059" w:type="dxa"/>
            <w:vMerge/>
          </w:tcPr>
          <w:p w14:paraId="77174C28"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53D1A15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Cr3</w:t>
            </w:r>
          </w:p>
        </w:tc>
        <w:tc>
          <w:tcPr>
            <w:tcW w:w="956" w:type="dxa"/>
          </w:tcPr>
          <w:p w14:paraId="2C26E4A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1062" w:type="dxa"/>
          </w:tcPr>
          <w:p w14:paraId="6B1F1CB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1.517</w:t>
            </w:r>
          </w:p>
        </w:tc>
        <w:tc>
          <w:tcPr>
            <w:tcW w:w="952" w:type="dxa"/>
          </w:tcPr>
          <w:p w14:paraId="239E1D02"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.678</w:t>
            </w:r>
          </w:p>
        </w:tc>
        <w:tc>
          <w:tcPr>
            <w:tcW w:w="956" w:type="dxa"/>
          </w:tcPr>
          <w:p w14:paraId="03CB9EE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-2.283</w:t>
            </w:r>
          </w:p>
        </w:tc>
        <w:tc>
          <w:tcPr>
            <w:tcW w:w="953" w:type="dxa"/>
          </w:tcPr>
          <w:p w14:paraId="359CFC0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1.483</w:t>
            </w:r>
          </w:p>
        </w:tc>
        <w:tc>
          <w:tcPr>
            <w:tcW w:w="952" w:type="dxa"/>
          </w:tcPr>
          <w:p w14:paraId="627E9EF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-.590</w:t>
            </w:r>
          </w:p>
        </w:tc>
        <w:tc>
          <w:tcPr>
            <w:tcW w:w="941" w:type="dxa"/>
          </w:tcPr>
          <w:p w14:paraId="2EA6646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4067372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.587</w:t>
            </w:r>
          </w:p>
        </w:tc>
      </w:tr>
      <w:tr w:rsidR="0069775F" w14:paraId="25D40976" w14:textId="77777777" w:rsidTr="0069775F">
        <w:trPr>
          <w:trHeight w:val="235"/>
        </w:trPr>
        <w:tc>
          <w:tcPr>
            <w:cnfStyle w:val="001000000000" w:firstRow="0" w:lastRow="0" w:firstColumn="1" w:lastColumn="0" w:oddVBand="0" w:evenVBand="0" w:oddHBand="0" w:evenHBand="0" w:firstRowFirstColumn="0" w:firstRowLastColumn="0" w:lastRowFirstColumn="0" w:lastRowLastColumn="0"/>
            <w:tcW w:w="1059" w:type="dxa"/>
            <w:vMerge/>
          </w:tcPr>
          <w:p w14:paraId="0FB35B1F"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6EBB5E5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Cr4</w:t>
            </w:r>
          </w:p>
        </w:tc>
        <w:tc>
          <w:tcPr>
            <w:tcW w:w="956" w:type="dxa"/>
          </w:tcPr>
          <w:p w14:paraId="25203F8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6130D502"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.837</w:t>
            </w:r>
          </w:p>
        </w:tc>
        <w:tc>
          <w:tcPr>
            <w:tcW w:w="952" w:type="dxa"/>
          </w:tcPr>
          <w:p w14:paraId="2968A0D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c>
          <w:tcPr>
            <w:tcW w:w="956" w:type="dxa"/>
          </w:tcPr>
          <w:p w14:paraId="2DEE4BC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-.839</w:t>
            </w:r>
          </w:p>
        </w:tc>
        <w:tc>
          <w:tcPr>
            <w:tcW w:w="953" w:type="dxa"/>
          </w:tcPr>
          <w:p w14:paraId="29DD6FE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1.239</w:t>
            </w:r>
          </w:p>
        </w:tc>
        <w:tc>
          <w:tcPr>
            <w:tcW w:w="952" w:type="dxa"/>
          </w:tcPr>
          <w:p w14:paraId="2F19BDC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.535</w:t>
            </w:r>
          </w:p>
        </w:tc>
        <w:tc>
          <w:tcPr>
            <w:tcW w:w="941" w:type="dxa"/>
          </w:tcPr>
          <w:p w14:paraId="0991D66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3ADC05B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.621</w:t>
            </w:r>
          </w:p>
        </w:tc>
      </w:tr>
      <w:tr w:rsidR="0069775F" w14:paraId="0DB44054" w14:textId="77777777" w:rsidTr="0069775F">
        <w:trPr>
          <w:trHeight w:val="30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527BAE63" w14:textId="77777777" w:rsidR="0069775F" w:rsidRDefault="004D7A71" w:rsidP="00C07B6E">
            <w:pPr>
              <w:spacing w:after="0" w:line="240" w:lineRule="auto"/>
              <w:jc w:val="both"/>
              <w:rPr>
                <w:rFonts w:eastAsia="Times New Roman" w:cs="Calibri"/>
                <w:color w:val="000000"/>
                <w:sz w:val="20"/>
                <w:szCs w:val="20"/>
              </w:rPr>
            </w:pPr>
            <w:r>
              <w:rPr>
                <w:rFonts w:eastAsia="Times New Roman" w:cs="Calibri"/>
                <w:color w:val="000000"/>
                <w:sz w:val="20"/>
                <w:szCs w:val="20"/>
              </w:rPr>
              <w:t xml:space="preserve"> Cu</w:t>
            </w:r>
          </w:p>
        </w:tc>
        <w:tc>
          <w:tcPr>
            <w:tcW w:w="1200" w:type="dxa"/>
          </w:tcPr>
          <w:p w14:paraId="6DDDE07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Cu1</w:t>
            </w:r>
          </w:p>
        </w:tc>
        <w:tc>
          <w:tcPr>
            <w:tcW w:w="956" w:type="dxa"/>
          </w:tcPr>
          <w:p w14:paraId="73F9CAB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50E1B37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7DAE4A2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22605C7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65C7289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246D75B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164991D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1F6C02C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7C93F82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57147F6D"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4869592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Cu2</w:t>
            </w:r>
          </w:p>
        </w:tc>
        <w:tc>
          <w:tcPr>
            <w:tcW w:w="956" w:type="dxa"/>
          </w:tcPr>
          <w:p w14:paraId="0C8F18B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68B430F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3C78A09"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7907635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2B7B0C4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2A92A31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56874BA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1F6EE6A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6340E26F"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53A3B553"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4A70242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Cu3</w:t>
            </w:r>
          </w:p>
        </w:tc>
        <w:tc>
          <w:tcPr>
            <w:tcW w:w="956" w:type="dxa"/>
          </w:tcPr>
          <w:p w14:paraId="4B28587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-2.800</w:t>
            </w:r>
          </w:p>
        </w:tc>
        <w:tc>
          <w:tcPr>
            <w:tcW w:w="1062" w:type="dxa"/>
          </w:tcPr>
          <w:p w14:paraId="65D7AF9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1.924</w:t>
            </w:r>
          </w:p>
        </w:tc>
        <w:tc>
          <w:tcPr>
            <w:tcW w:w="952" w:type="dxa"/>
          </w:tcPr>
          <w:p w14:paraId="1E7726B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.860</w:t>
            </w:r>
          </w:p>
        </w:tc>
        <w:tc>
          <w:tcPr>
            <w:tcW w:w="956" w:type="dxa"/>
          </w:tcPr>
          <w:p w14:paraId="5C14260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-5.188</w:t>
            </w:r>
          </w:p>
        </w:tc>
        <w:tc>
          <w:tcPr>
            <w:tcW w:w="953" w:type="dxa"/>
          </w:tcPr>
          <w:p w14:paraId="0C047AB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-.411</w:t>
            </w:r>
          </w:p>
        </w:tc>
        <w:tc>
          <w:tcPr>
            <w:tcW w:w="952" w:type="dxa"/>
          </w:tcPr>
          <w:p w14:paraId="22E4AEF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-3.255</w:t>
            </w:r>
          </w:p>
        </w:tc>
        <w:tc>
          <w:tcPr>
            <w:tcW w:w="941" w:type="dxa"/>
          </w:tcPr>
          <w:p w14:paraId="3A186C6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56039A3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.031</w:t>
            </w:r>
          </w:p>
        </w:tc>
      </w:tr>
      <w:tr w:rsidR="0069775F" w14:paraId="482F453C"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4B3BB914"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4D381EA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Cu4</w:t>
            </w:r>
          </w:p>
        </w:tc>
        <w:tc>
          <w:tcPr>
            <w:tcW w:w="956" w:type="dxa"/>
          </w:tcPr>
          <w:p w14:paraId="7CFD36E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192FF8E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06CD71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4A845C0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52CB6E1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614BDB6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362DA15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F94528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0CDFB7D0"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587FE51D" w14:textId="77777777" w:rsidR="0069775F" w:rsidRDefault="004D7A71" w:rsidP="00C07B6E">
            <w:pPr>
              <w:spacing w:after="0" w:line="240" w:lineRule="auto"/>
              <w:jc w:val="both"/>
              <w:rPr>
                <w:rFonts w:eastAsia="Times New Roman" w:cs="Calibri"/>
                <w:color w:val="000000"/>
                <w:sz w:val="20"/>
                <w:szCs w:val="20"/>
              </w:rPr>
            </w:pPr>
            <w:r>
              <w:rPr>
                <w:rFonts w:eastAsia="Times New Roman" w:cs="Calibri"/>
                <w:color w:val="000000"/>
                <w:sz w:val="20"/>
                <w:szCs w:val="20"/>
              </w:rPr>
              <w:t xml:space="preserve"> Ni</w:t>
            </w:r>
          </w:p>
        </w:tc>
        <w:tc>
          <w:tcPr>
            <w:tcW w:w="1200" w:type="dxa"/>
          </w:tcPr>
          <w:p w14:paraId="3D856CF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Ni1</w:t>
            </w:r>
          </w:p>
        </w:tc>
        <w:tc>
          <w:tcPr>
            <w:tcW w:w="956" w:type="dxa"/>
          </w:tcPr>
          <w:p w14:paraId="42B21AF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45C2654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4DB3466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71A1BF4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6534E8E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39D7D08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27682A2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6226FDB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27B506C2"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7D9B5CBB"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4C417EA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Ni2</w:t>
            </w:r>
          </w:p>
        </w:tc>
        <w:tc>
          <w:tcPr>
            <w:tcW w:w="956" w:type="dxa"/>
          </w:tcPr>
          <w:p w14:paraId="07A484F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4D8CD4D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2ECDF3E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2E13B14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4485A78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56787D4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676AA5B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165568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46ED479F"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66D0FD2B"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7A8D44E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Ni3</w:t>
            </w:r>
          </w:p>
        </w:tc>
        <w:tc>
          <w:tcPr>
            <w:tcW w:w="956" w:type="dxa"/>
          </w:tcPr>
          <w:p w14:paraId="1899583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-3.400</w:t>
            </w:r>
          </w:p>
        </w:tc>
        <w:tc>
          <w:tcPr>
            <w:tcW w:w="1062" w:type="dxa"/>
          </w:tcPr>
          <w:p w14:paraId="4DD9167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3.782</w:t>
            </w:r>
          </w:p>
        </w:tc>
        <w:tc>
          <w:tcPr>
            <w:tcW w:w="952" w:type="dxa"/>
          </w:tcPr>
          <w:p w14:paraId="1C3F6B5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1.691</w:t>
            </w:r>
          </w:p>
        </w:tc>
        <w:tc>
          <w:tcPr>
            <w:tcW w:w="956" w:type="dxa"/>
          </w:tcPr>
          <w:p w14:paraId="48066EA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-8.095</w:t>
            </w:r>
          </w:p>
        </w:tc>
        <w:tc>
          <w:tcPr>
            <w:tcW w:w="953" w:type="dxa"/>
          </w:tcPr>
          <w:p w14:paraId="39CEF7E5"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1.295</w:t>
            </w:r>
          </w:p>
        </w:tc>
        <w:tc>
          <w:tcPr>
            <w:tcW w:w="952" w:type="dxa"/>
          </w:tcPr>
          <w:p w14:paraId="5408EB2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-2.010</w:t>
            </w:r>
          </w:p>
        </w:tc>
        <w:tc>
          <w:tcPr>
            <w:tcW w:w="941" w:type="dxa"/>
          </w:tcPr>
          <w:p w14:paraId="753109C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755131B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.115</w:t>
            </w:r>
          </w:p>
        </w:tc>
      </w:tr>
      <w:tr w:rsidR="0069775F" w14:paraId="71D252E9"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17E16845"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3D69D9D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Ni4</w:t>
            </w:r>
          </w:p>
        </w:tc>
        <w:tc>
          <w:tcPr>
            <w:tcW w:w="956" w:type="dxa"/>
          </w:tcPr>
          <w:p w14:paraId="20D5C3A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1062" w:type="dxa"/>
          </w:tcPr>
          <w:p w14:paraId="43BE9A6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.447</w:t>
            </w:r>
          </w:p>
        </w:tc>
        <w:tc>
          <w:tcPr>
            <w:tcW w:w="952" w:type="dxa"/>
          </w:tcPr>
          <w:p w14:paraId="023653F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.200</w:t>
            </w:r>
          </w:p>
        </w:tc>
        <w:tc>
          <w:tcPr>
            <w:tcW w:w="956" w:type="dxa"/>
          </w:tcPr>
          <w:p w14:paraId="7940B9F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-.355</w:t>
            </w:r>
          </w:p>
        </w:tc>
        <w:tc>
          <w:tcPr>
            <w:tcW w:w="953" w:type="dxa"/>
          </w:tcPr>
          <w:p w14:paraId="432B4D9E"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.755</w:t>
            </w:r>
          </w:p>
        </w:tc>
        <w:tc>
          <w:tcPr>
            <w:tcW w:w="952" w:type="dxa"/>
          </w:tcPr>
          <w:p w14:paraId="6F4D6DC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c>
          <w:tcPr>
            <w:tcW w:w="941" w:type="dxa"/>
          </w:tcPr>
          <w:p w14:paraId="087A55A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583484A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.374</w:t>
            </w:r>
          </w:p>
        </w:tc>
      </w:tr>
      <w:tr w:rsidR="0069775F" w14:paraId="0DB93B28"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val="restart"/>
          </w:tcPr>
          <w:p w14:paraId="2CC396BA" w14:textId="77777777" w:rsidR="0069775F" w:rsidRDefault="004D7A71" w:rsidP="00C07B6E">
            <w:pPr>
              <w:spacing w:after="0" w:line="240" w:lineRule="auto"/>
              <w:jc w:val="both"/>
              <w:rPr>
                <w:rFonts w:eastAsia="Times New Roman" w:cs="Calibri"/>
                <w:color w:val="000000"/>
                <w:sz w:val="20"/>
                <w:szCs w:val="20"/>
              </w:rPr>
            </w:pPr>
            <w:r>
              <w:rPr>
                <w:rFonts w:eastAsia="Times New Roman" w:cs="Calibri"/>
                <w:color w:val="000000"/>
                <w:sz w:val="20"/>
                <w:szCs w:val="20"/>
              </w:rPr>
              <w:t xml:space="preserve"> Pb</w:t>
            </w:r>
          </w:p>
        </w:tc>
        <w:tc>
          <w:tcPr>
            <w:tcW w:w="1200" w:type="dxa"/>
          </w:tcPr>
          <w:p w14:paraId="667A2E9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Pb1</w:t>
            </w:r>
          </w:p>
        </w:tc>
        <w:tc>
          <w:tcPr>
            <w:tcW w:w="956" w:type="dxa"/>
          </w:tcPr>
          <w:p w14:paraId="7859581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.600</w:t>
            </w:r>
          </w:p>
        </w:tc>
        <w:tc>
          <w:tcPr>
            <w:tcW w:w="1062" w:type="dxa"/>
          </w:tcPr>
          <w:p w14:paraId="1694C43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.894</w:t>
            </w:r>
          </w:p>
        </w:tc>
        <w:tc>
          <w:tcPr>
            <w:tcW w:w="952" w:type="dxa"/>
          </w:tcPr>
          <w:p w14:paraId="643860CC"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.400</w:t>
            </w:r>
          </w:p>
        </w:tc>
        <w:tc>
          <w:tcPr>
            <w:tcW w:w="956" w:type="dxa"/>
          </w:tcPr>
          <w:p w14:paraId="61E664B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-.511</w:t>
            </w:r>
          </w:p>
        </w:tc>
        <w:tc>
          <w:tcPr>
            <w:tcW w:w="953" w:type="dxa"/>
          </w:tcPr>
          <w:p w14:paraId="5EB3F02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1.711</w:t>
            </w:r>
          </w:p>
        </w:tc>
        <w:tc>
          <w:tcPr>
            <w:tcW w:w="952" w:type="dxa"/>
          </w:tcPr>
          <w:p w14:paraId="38107F7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1.500</w:t>
            </w:r>
          </w:p>
        </w:tc>
        <w:tc>
          <w:tcPr>
            <w:tcW w:w="941" w:type="dxa"/>
          </w:tcPr>
          <w:p w14:paraId="6BF7427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7BD8C3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.208</w:t>
            </w:r>
          </w:p>
        </w:tc>
      </w:tr>
      <w:tr w:rsidR="0069775F" w14:paraId="01476EFE"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161F15D8"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4195CEA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Pb2</w:t>
            </w:r>
          </w:p>
        </w:tc>
        <w:tc>
          <w:tcPr>
            <w:tcW w:w="956" w:type="dxa"/>
          </w:tcPr>
          <w:p w14:paraId="2B264FB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-14.200</w:t>
            </w:r>
          </w:p>
        </w:tc>
        <w:tc>
          <w:tcPr>
            <w:tcW w:w="1062" w:type="dxa"/>
          </w:tcPr>
          <w:p w14:paraId="77CDC26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9.834</w:t>
            </w:r>
          </w:p>
        </w:tc>
        <w:tc>
          <w:tcPr>
            <w:tcW w:w="952" w:type="dxa"/>
          </w:tcPr>
          <w:p w14:paraId="2BA8B55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4.398</w:t>
            </w:r>
          </w:p>
        </w:tc>
        <w:tc>
          <w:tcPr>
            <w:tcW w:w="956" w:type="dxa"/>
          </w:tcPr>
          <w:p w14:paraId="02420AF3"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-26.410</w:t>
            </w:r>
          </w:p>
        </w:tc>
        <w:tc>
          <w:tcPr>
            <w:tcW w:w="953" w:type="dxa"/>
          </w:tcPr>
          <w:p w14:paraId="3AAACA2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-1.990</w:t>
            </w:r>
          </w:p>
        </w:tc>
        <w:tc>
          <w:tcPr>
            <w:tcW w:w="952" w:type="dxa"/>
          </w:tcPr>
          <w:p w14:paraId="451AAED0"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-3.229</w:t>
            </w:r>
          </w:p>
        </w:tc>
        <w:tc>
          <w:tcPr>
            <w:tcW w:w="941" w:type="dxa"/>
          </w:tcPr>
          <w:p w14:paraId="2BB12E3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4746C6DA"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FF0000"/>
                <w:sz w:val="20"/>
                <w:szCs w:val="20"/>
              </w:rPr>
              <w:t>.032</w:t>
            </w:r>
          </w:p>
        </w:tc>
      </w:tr>
      <w:tr w:rsidR="0069775F" w14:paraId="36D8DB0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2C79B8ED"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54B82DD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Pb3</w:t>
            </w:r>
          </w:p>
        </w:tc>
        <w:tc>
          <w:tcPr>
            <w:tcW w:w="956" w:type="dxa"/>
          </w:tcPr>
          <w:p w14:paraId="38C3A35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-1.200</w:t>
            </w:r>
          </w:p>
        </w:tc>
        <w:tc>
          <w:tcPr>
            <w:tcW w:w="1062" w:type="dxa"/>
          </w:tcPr>
          <w:p w14:paraId="445DA63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2.388</w:t>
            </w:r>
          </w:p>
        </w:tc>
        <w:tc>
          <w:tcPr>
            <w:tcW w:w="952" w:type="dxa"/>
          </w:tcPr>
          <w:p w14:paraId="57BF01A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1.068</w:t>
            </w:r>
          </w:p>
        </w:tc>
        <w:tc>
          <w:tcPr>
            <w:tcW w:w="956" w:type="dxa"/>
          </w:tcPr>
          <w:p w14:paraId="55AFEDF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-4.164</w:t>
            </w:r>
          </w:p>
        </w:tc>
        <w:tc>
          <w:tcPr>
            <w:tcW w:w="953" w:type="dxa"/>
          </w:tcPr>
          <w:p w14:paraId="5948E556"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1.764</w:t>
            </w:r>
          </w:p>
        </w:tc>
        <w:tc>
          <w:tcPr>
            <w:tcW w:w="952" w:type="dxa"/>
          </w:tcPr>
          <w:p w14:paraId="5C92EE74"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-1.124</w:t>
            </w:r>
          </w:p>
        </w:tc>
        <w:tc>
          <w:tcPr>
            <w:tcW w:w="941" w:type="dxa"/>
          </w:tcPr>
          <w:p w14:paraId="0BD2CCA8"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31020DD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.324</w:t>
            </w:r>
          </w:p>
        </w:tc>
      </w:tr>
      <w:tr w:rsidR="0069775F" w14:paraId="725B2496" w14:textId="77777777" w:rsidTr="0069775F">
        <w:trPr>
          <w:trHeight w:val="290"/>
        </w:trPr>
        <w:tc>
          <w:tcPr>
            <w:cnfStyle w:val="001000000000" w:firstRow="0" w:lastRow="0" w:firstColumn="1" w:lastColumn="0" w:oddVBand="0" w:evenVBand="0" w:oddHBand="0" w:evenHBand="0" w:firstRowFirstColumn="0" w:firstRowLastColumn="0" w:lastRowFirstColumn="0" w:lastRowLastColumn="0"/>
            <w:tcW w:w="1059" w:type="dxa"/>
            <w:vMerge/>
          </w:tcPr>
          <w:p w14:paraId="385755B0" w14:textId="77777777" w:rsidR="0069775F" w:rsidRDefault="0069775F" w:rsidP="00C07B6E">
            <w:pPr>
              <w:spacing w:after="0" w:line="240" w:lineRule="auto"/>
              <w:jc w:val="both"/>
              <w:rPr>
                <w:rFonts w:eastAsia="Times New Roman" w:cs="Calibri"/>
                <w:color w:val="000000"/>
                <w:sz w:val="20"/>
                <w:szCs w:val="20"/>
              </w:rPr>
            </w:pPr>
          </w:p>
        </w:tc>
        <w:tc>
          <w:tcPr>
            <w:tcW w:w="1200" w:type="dxa"/>
          </w:tcPr>
          <w:p w14:paraId="097F18FB"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proofErr w:type="spellStart"/>
            <w:r>
              <w:rPr>
                <w:rFonts w:eastAsia="Times New Roman" w:cs="Calibri"/>
                <w:b/>
                <w:bCs/>
                <w:color w:val="000000"/>
                <w:sz w:val="20"/>
                <w:szCs w:val="20"/>
              </w:rPr>
              <w:t>Cont</w:t>
            </w:r>
            <w:proofErr w:type="spellEnd"/>
            <w:r>
              <w:rPr>
                <w:rFonts w:eastAsia="Times New Roman" w:cs="Calibri"/>
                <w:b/>
                <w:bCs/>
                <w:color w:val="000000"/>
                <w:sz w:val="20"/>
                <w:szCs w:val="20"/>
              </w:rPr>
              <w:t xml:space="preserve"> - Pb4</w:t>
            </w:r>
          </w:p>
        </w:tc>
        <w:tc>
          <w:tcPr>
            <w:tcW w:w="956" w:type="dxa"/>
          </w:tcPr>
          <w:p w14:paraId="6BEE191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0.000</w:t>
            </w:r>
          </w:p>
        </w:tc>
        <w:tc>
          <w:tcPr>
            <w:tcW w:w="1062" w:type="dxa"/>
          </w:tcPr>
          <w:p w14:paraId="284490B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1.581</w:t>
            </w:r>
          </w:p>
        </w:tc>
        <w:tc>
          <w:tcPr>
            <w:tcW w:w="952" w:type="dxa"/>
          </w:tcPr>
          <w:p w14:paraId="6971B4B1"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.707</w:t>
            </w:r>
          </w:p>
        </w:tc>
        <w:tc>
          <w:tcPr>
            <w:tcW w:w="956" w:type="dxa"/>
          </w:tcPr>
          <w:p w14:paraId="4A2DEB2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-1.963</w:t>
            </w:r>
          </w:p>
        </w:tc>
        <w:tc>
          <w:tcPr>
            <w:tcW w:w="953" w:type="dxa"/>
          </w:tcPr>
          <w:p w14:paraId="5EA4075F"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1.963</w:t>
            </w:r>
          </w:p>
        </w:tc>
        <w:tc>
          <w:tcPr>
            <w:tcW w:w="952" w:type="dxa"/>
          </w:tcPr>
          <w:p w14:paraId="55BBA22D"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0.000</w:t>
            </w:r>
          </w:p>
        </w:tc>
        <w:tc>
          <w:tcPr>
            <w:tcW w:w="941" w:type="dxa"/>
          </w:tcPr>
          <w:p w14:paraId="1A4969F2"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4</w:t>
            </w:r>
          </w:p>
        </w:tc>
        <w:tc>
          <w:tcPr>
            <w:tcW w:w="954" w:type="dxa"/>
          </w:tcPr>
          <w:p w14:paraId="0D723B57" w14:textId="77777777" w:rsidR="0069775F" w:rsidRDefault="004D7A71" w:rsidP="00C07B6E">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1.000</w:t>
            </w:r>
          </w:p>
        </w:tc>
      </w:tr>
    </w:tbl>
    <w:p w14:paraId="2D97803C" w14:textId="77777777" w:rsidR="0069775F" w:rsidRDefault="0069775F" w:rsidP="00C07B6E">
      <w:pPr>
        <w:jc w:val="both"/>
        <w:rPr>
          <w:rFonts w:ascii="Times New Roman" w:hAnsi="Times New Roman"/>
          <w:sz w:val="28"/>
          <w:szCs w:val="28"/>
        </w:rPr>
      </w:pPr>
    </w:p>
    <w:p w14:paraId="281F4D73" w14:textId="77777777" w:rsidR="0069775F" w:rsidRDefault="004D7A71" w:rsidP="00C07B6E">
      <w:pPr>
        <w:spacing w:after="120" w:line="240" w:lineRule="auto"/>
        <w:jc w:val="both"/>
        <w:rPr>
          <w:rFonts w:ascii="Times New Roman" w:eastAsia="Times New Roman" w:hAnsi="Times New Roman"/>
          <w:b/>
          <w:i/>
          <w:sz w:val="20"/>
          <w:szCs w:val="24"/>
        </w:rPr>
      </w:pPr>
      <w:r>
        <w:rPr>
          <w:rFonts w:ascii="Times New Roman" w:eastAsia="Times New Roman" w:hAnsi="Times New Roman"/>
          <w:b/>
          <w:i/>
          <w:sz w:val="20"/>
          <w:szCs w:val="24"/>
        </w:rPr>
        <w:t xml:space="preserve">Key: TC = Toxicant </w:t>
      </w:r>
      <w:proofErr w:type="gramStart"/>
      <w:r>
        <w:rPr>
          <w:rFonts w:ascii="Times New Roman" w:eastAsia="Times New Roman" w:hAnsi="Times New Roman"/>
          <w:b/>
          <w:i/>
          <w:sz w:val="20"/>
          <w:szCs w:val="24"/>
        </w:rPr>
        <w:t>Conc,;</w:t>
      </w:r>
      <w:proofErr w:type="gramEnd"/>
      <w:r>
        <w:rPr>
          <w:rFonts w:ascii="Times New Roman" w:eastAsia="Times New Roman" w:hAnsi="Times New Roman"/>
          <w:b/>
          <w:i/>
          <w:sz w:val="20"/>
          <w:szCs w:val="24"/>
        </w:rPr>
        <w:t xml:space="preserve"> FEC = Fish Exposure Conc. NA = Not Application (Fish group all died); </w:t>
      </w:r>
      <w:r>
        <w:rPr>
          <w:rFonts w:ascii="Times New Roman" w:eastAsia="Times New Roman" w:hAnsi="Times New Roman"/>
          <w:b/>
          <w:i/>
          <w:color w:val="FF0000"/>
          <w:sz w:val="20"/>
          <w:szCs w:val="24"/>
        </w:rPr>
        <w:t xml:space="preserve">RED </w:t>
      </w:r>
      <w:r>
        <w:rPr>
          <w:rFonts w:ascii="Times New Roman" w:eastAsia="Times New Roman" w:hAnsi="Times New Roman"/>
          <w:b/>
          <w:i/>
          <w:sz w:val="20"/>
          <w:szCs w:val="24"/>
        </w:rPr>
        <w:t>= values above the control values</w:t>
      </w:r>
    </w:p>
    <w:p w14:paraId="53EAEB79" w14:textId="77777777" w:rsidR="0069775F" w:rsidRDefault="0069775F" w:rsidP="00C07B6E">
      <w:pPr>
        <w:spacing w:after="120" w:line="240" w:lineRule="auto"/>
        <w:jc w:val="both"/>
        <w:rPr>
          <w:rFonts w:ascii="Times New Roman" w:eastAsia="Times New Roman" w:hAnsi="Times New Roman"/>
          <w:i/>
          <w:sz w:val="24"/>
          <w:szCs w:val="24"/>
        </w:rPr>
      </w:pPr>
    </w:p>
    <w:p w14:paraId="3A0FAE35" w14:textId="28B46D7E"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qualitative histological assessment in this study showed generalized necrosis of vascular walls with diffuse coagulative necrosis leading to disruption of the Gill’s architecture; Epithelial </w:t>
      </w:r>
      <w:r>
        <w:rPr>
          <w:rFonts w:ascii="Times New Roman" w:eastAsia="Times New Roman" w:hAnsi="Times New Roman"/>
          <w:sz w:val="24"/>
          <w:szCs w:val="24"/>
        </w:rPr>
        <w:lastRenderedPageBreak/>
        <w:t xml:space="preserve">Lifting; Vascular Congestion; </w:t>
      </w:r>
      <w:proofErr w:type="spellStart"/>
      <w:r>
        <w:rPr>
          <w:rFonts w:ascii="Times New Roman" w:eastAsia="Times New Roman" w:hAnsi="Times New Roman"/>
          <w:sz w:val="24"/>
          <w:szCs w:val="24"/>
        </w:rPr>
        <w:t>Haemorrhage</w:t>
      </w:r>
      <w:proofErr w:type="spellEnd"/>
      <w:r>
        <w:rPr>
          <w:rFonts w:ascii="Times New Roman" w:eastAsia="Times New Roman" w:hAnsi="Times New Roman"/>
          <w:sz w:val="24"/>
          <w:szCs w:val="24"/>
        </w:rPr>
        <w:t xml:space="preserve">; diffuse Vacuolization; Telangiectasia and Secondary Lamella Fusion. Histopathological findings in this </w:t>
      </w:r>
      <w:r w:rsidRPr="005C52C2">
        <w:rPr>
          <w:rFonts w:ascii="Times New Roman" w:eastAsia="Times New Roman" w:hAnsi="Times New Roman"/>
          <w:sz w:val="24"/>
          <w:szCs w:val="24"/>
          <w:highlight w:val="yellow"/>
        </w:rPr>
        <w:t xml:space="preserve">study </w:t>
      </w:r>
      <w:r w:rsidR="001D1D44" w:rsidRPr="005C52C2">
        <w:rPr>
          <w:rFonts w:ascii="Times New Roman" w:eastAsia="Times New Roman" w:hAnsi="Times New Roman"/>
          <w:sz w:val="24"/>
          <w:szCs w:val="24"/>
          <w:highlight w:val="yellow"/>
        </w:rPr>
        <w:t xml:space="preserve">are </w:t>
      </w:r>
      <w:r w:rsidRPr="005C52C2">
        <w:rPr>
          <w:rFonts w:ascii="Times New Roman" w:eastAsia="Times New Roman" w:hAnsi="Times New Roman"/>
          <w:sz w:val="24"/>
          <w:szCs w:val="24"/>
          <w:highlight w:val="yellow"/>
        </w:rPr>
        <w:t>consis</w:t>
      </w:r>
      <w:r>
        <w:rPr>
          <w:rFonts w:ascii="Times New Roman" w:eastAsia="Times New Roman" w:hAnsi="Times New Roman"/>
          <w:sz w:val="24"/>
          <w:szCs w:val="24"/>
        </w:rPr>
        <w:t xml:space="preserve">tent with findings in the following studies: hyperplasia, aneurism, epithelial lifting and lamellar fusion in fish exposed to </w:t>
      </w:r>
      <w:r w:rsidR="001F11B1">
        <w:rPr>
          <w:rFonts w:ascii="Times New Roman" w:eastAsia="Times New Roman" w:hAnsi="Times New Roman"/>
          <w:sz w:val="24"/>
          <w:szCs w:val="24"/>
        </w:rPr>
        <w:t xml:space="preserve">a </w:t>
      </w:r>
      <w:r>
        <w:rPr>
          <w:rFonts w:ascii="Times New Roman" w:eastAsia="Times New Roman" w:hAnsi="Times New Roman"/>
          <w:sz w:val="24"/>
          <w:szCs w:val="24"/>
        </w:rPr>
        <w:t xml:space="preserve">variety of environmental stressors that include heavy metals (Lauren and McDonald 1985, </w:t>
      </w:r>
      <w:proofErr w:type="spellStart"/>
      <w:r>
        <w:rPr>
          <w:rFonts w:ascii="Times New Roman" w:eastAsia="Times New Roman" w:hAnsi="Times New Roman"/>
          <w:sz w:val="24"/>
          <w:szCs w:val="24"/>
        </w:rPr>
        <w:t>Verbost</w:t>
      </w:r>
      <w:proofErr w:type="spellEnd"/>
      <w:r>
        <w:rPr>
          <w:rFonts w:ascii="Times New Roman" w:eastAsia="Times New Roman" w:hAnsi="Times New Roman"/>
          <w:sz w:val="24"/>
          <w:szCs w:val="24"/>
        </w:rPr>
        <w:t xml:space="preserve"> et al., 1987; </w:t>
      </w:r>
      <w:proofErr w:type="spellStart"/>
      <w:r>
        <w:rPr>
          <w:rFonts w:ascii="Times New Roman" w:eastAsia="Times New Roman" w:hAnsi="Times New Roman"/>
          <w:sz w:val="24"/>
          <w:szCs w:val="24"/>
        </w:rPr>
        <w:t>Olojo</w:t>
      </w:r>
      <w:proofErr w:type="spellEnd"/>
      <w:r>
        <w:rPr>
          <w:rFonts w:ascii="Times New Roman" w:eastAsia="Times New Roman" w:hAnsi="Times New Roman"/>
          <w:sz w:val="24"/>
          <w:szCs w:val="24"/>
        </w:rPr>
        <w:t xml:space="preserve"> et al., 2005; </w:t>
      </w:r>
      <w:proofErr w:type="spellStart"/>
      <w:r>
        <w:rPr>
          <w:rFonts w:ascii="Times New Roman" w:eastAsia="Times New Roman" w:hAnsi="Times New Roman"/>
          <w:sz w:val="24"/>
          <w:szCs w:val="24"/>
        </w:rPr>
        <w:t>Giari</w:t>
      </w:r>
      <w:proofErr w:type="spellEnd"/>
      <w:r>
        <w:rPr>
          <w:rFonts w:ascii="Times New Roman" w:eastAsia="Times New Roman" w:hAnsi="Times New Roman"/>
          <w:sz w:val="24"/>
          <w:szCs w:val="24"/>
        </w:rPr>
        <w:t xml:space="preserve"> et. al., 2007; Bopp et al., 2008) and oil sands process-affected water (Nero et al., 2006).</w:t>
      </w:r>
      <w:r w:rsidR="001F11B1">
        <w:rPr>
          <w:rFonts w:ascii="Times New Roman" w:eastAsia="Times New Roman" w:hAnsi="Times New Roman"/>
          <w:sz w:val="24"/>
          <w:szCs w:val="24"/>
        </w:rPr>
        <w:t xml:space="preserve"> </w:t>
      </w:r>
      <w:r w:rsidR="009A2D47">
        <w:rPr>
          <w:rFonts w:ascii="Times New Roman" w:eastAsia="Times New Roman" w:hAnsi="Times New Roman"/>
          <w:sz w:val="24"/>
          <w:szCs w:val="24"/>
        </w:rPr>
        <w:t>“</w:t>
      </w:r>
      <w:r w:rsidR="001F11B1" w:rsidRPr="005C52C2">
        <w:rPr>
          <w:rFonts w:ascii="Cambria" w:hAnsi="Cambria"/>
          <w:color w:val="1B1B1B"/>
          <w:szCs w:val="28"/>
          <w:highlight w:val="yellow"/>
          <w:shd w:val="clear" w:color="auto" w:fill="FFFFFF"/>
        </w:rPr>
        <w:t xml:space="preserve">The uncontrolled use and accumulation of these metals have become an important issue of health concern as most do not have the ability to break down into nontoxic states and, hence, have destructive effects on human health as well as aquatic organisms. </w:t>
      </w:r>
      <w:r w:rsidR="001F11B1" w:rsidRPr="005C52C2">
        <w:rPr>
          <w:rFonts w:ascii="Cambria" w:hAnsi="Cambria"/>
          <w:color w:val="1B1B1B"/>
          <w:sz w:val="24"/>
          <w:szCs w:val="28"/>
          <w:highlight w:val="yellow"/>
          <w:shd w:val="clear" w:color="auto" w:fill="FFFFFF"/>
        </w:rPr>
        <w:t>Heavy metal contamination negatively affects the growth and reproductive activity of fish by lowering their gonadosomatic index (GSI), fecundity, fertilization, and hatching rate</w:t>
      </w:r>
      <w:r w:rsidR="009A2D47">
        <w:rPr>
          <w:rFonts w:ascii="Cambria" w:hAnsi="Cambria"/>
          <w:color w:val="1B1B1B"/>
          <w:sz w:val="24"/>
          <w:szCs w:val="28"/>
          <w:highlight w:val="yellow"/>
          <w:shd w:val="clear" w:color="auto" w:fill="FFFFFF"/>
        </w:rPr>
        <w:t>”</w:t>
      </w:r>
      <w:bookmarkStart w:id="0" w:name="_GoBack"/>
      <w:bookmarkEnd w:id="0"/>
      <w:r w:rsidR="00B66DA6">
        <w:rPr>
          <w:rFonts w:ascii="Cambria" w:hAnsi="Cambria"/>
          <w:color w:val="1B1B1B"/>
          <w:sz w:val="24"/>
          <w:szCs w:val="28"/>
          <w:highlight w:val="yellow"/>
          <w:shd w:val="clear" w:color="auto" w:fill="FFFFFF"/>
        </w:rPr>
        <w:t xml:space="preserve"> (</w:t>
      </w:r>
      <w:r w:rsidR="00B66DA6" w:rsidRPr="00190050">
        <w:rPr>
          <w:rFonts w:ascii="Cambria" w:hAnsi="Cambria"/>
          <w:color w:val="1B1B1B"/>
          <w:sz w:val="26"/>
          <w:szCs w:val="26"/>
          <w:highlight w:val="yellow"/>
          <w:shd w:val="clear" w:color="auto" w:fill="FFFFFF"/>
        </w:rPr>
        <w:t>Lu</w:t>
      </w:r>
      <w:r w:rsidR="00B66DA6">
        <w:rPr>
          <w:rFonts w:ascii="Cambria" w:hAnsi="Cambria"/>
          <w:color w:val="1B1B1B"/>
          <w:sz w:val="26"/>
          <w:szCs w:val="26"/>
          <w:highlight w:val="yellow"/>
          <w:shd w:val="clear" w:color="auto" w:fill="FFFFFF"/>
        </w:rPr>
        <w:t xml:space="preserve"> et al., 2015</w:t>
      </w:r>
      <w:r w:rsidR="00B66DA6">
        <w:rPr>
          <w:rFonts w:ascii="Cambria" w:hAnsi="Cambria"/>
          <w:color w:val="1B1B1B"/>
          <w:sz w:val="24"/>
          <w:szCs w:val="28"/>
          <w:highlight w:val="yellow"/>
          <w:shd w:val="clear" w:color="auto" w:fill="FFFFFF"/>
        </w:rPr>
        <w:t>)</w:t>
      </w:r>
      <w:r w:rsidR="001F11B1" w:rsidRPr="005C52C2">
        <w:rPr>
          <w:rFonts w:ascii="Cambria" w:hAnsi="Cambria"/>
          <w:color w:val="1B1B1B"/>
          <w:sz w:val="24"/>
          <w:szCs w:val="28"/>
          <w:highlight w:val="yellow"/>
          <w:shd w:val="clear" w:color="auto" w:fill="FFFFFF"/>
        </w:rPr>
        <w:t>.</w:t>
      </w:r>
    </w:p>
    <w:p w14:paraId="069B0598" w14:textId="2AC54125"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The semi-quantitative analysis showed that the TC concentrations above MATC had worse kidney organ histopathologic indices (</w:t>
      </w:r>
      <w:proofErr w:type="spellStart"/>
      <w:r>
        <w:rPr>
          <w:rFonts w:ascii="Times New Roman" w:eastAsia="Times New Roman" w:hAnsi="Times New Roman"/>
          <w:sz w:val="24"/>
          <w:szCs w:val="24"/>
        </w:rPr>
        <w:t>Iorg</w:t>
      </w:r>
      <w:proofErr w:type="spellEnd"/>
      <w:r>
        <w:rPr>
          <w:rFonts w:ascii="Times New Roman" w:eastAsia="Times New Roman" w:hAnsi="Times New Roman"/>
          <w:sz w:val="24"/>
          <w:szCs w:val="24"/>
        </w:rPr>
        <w:t xml:space="preserve">) than </w:t>
      </w:r>
      <w:r w:rsidR="001D1D44" w:rsidRPr="005C52C2">
        <w:rPr>
          <w:rFonts w:ascii="Times New Roman" w:eastAsia="Times New Roman" w:hAnsi="Times New Roman"/>
          <w:sz w:val="24"/>
          <w:szCs w:val="24"/>
          <w:highlight w:val="yellow"/>
        </w:rPr>
        <w:t xml:space="preserve">the </w:t>
      </w:r>
      <w:r w:rsidRPr="005C52C2">
        <w:rPr>
          <w:rFonts w:ascii="Times New Roman" w:eastAsia="Times New Roman" w:hAnsi="Times New Roman"/>
          <w:sz w:val="24"/>
          <w:szCs w:val="24"/>
          <w:highlight w:val="yellow"/>
        </w:rPr>
        <w:t xml:space="preserve">control. This validates the guideline MATC for freshwater aquatic life (ECETOC,2002) which proposes </w:t>
      </w:r>
      <w:r w:rsidR="001D1D44" w:rsidRPr="005C52C2">
        <w:rPr>
          <w:rFonts w:ascii="Times New Roman" w:eastAsia="Times New Roman" w:hAnsi="Times New Roman"/>
          <w:sz w:val="24"/>
          <w:szCs w:val="24"/>
          <w:highlight w:val="yellow"/>
        </w:rPr>
        <w:t xml:space="preserve">a </w:t>
      </w:r>
      <w:r w:rsidRPr="005C52C2">
        <w:rPr>
          <w:rFonts w:ascii="Times New Roman" w:eastAsia="Times New Roman" w:hAnsi="Times New Roman"/>
          <w:sz w:val="24"/>
          <w:szCs w:val="24"/>
          <w:highlight w:val="yellow"/>
        </w:rPr>
        <w:t>deleterious</w:t>
      </w:r>
      <w:r>
        <w:rPr>
          <w:rFonts w:ascii="Times New Roman" w:eastAsia="Times New Roman" w:hAnsi="Times New Roman"/>
          <w:sz w:val="24"/>
          <w:szCs w:val="24"/>
        </w:rPr>
        <w:t xml:space="preserve"> ecological exposure effect beyond the allowable environmental concentration of the TC. Though concentrations of Cu3, Cu4 &amp; Pb3 caused hazardous effect</w:t>
      </w:r>
      <w:r w:rsidR="001D1D44">
        <w:rPr>
          <w:rFonts w:ascii="Times New Roman" w:eastAsia="Times New Roman" w:hAnsi="Times New Roman"/>
          <w:sz w:val="24"/>
          <w:szCs w:val="24"/>
        </w:rPr>
        <w:t>s</w:t>
      </w:r>
      <w:r>
        <w:rPr>
          <w:rFonts w:ascii="Times New Roman" w:eastAsia="Times New Roman" w:hAnsi="Times New Roman"/>
          <w:sz w:val="24"/>
          <w:szCs w:val="24"/>
        </w:rPr>
        <w:t xml:space="preserve"> even at concentrations </w:t>
      </w:r>
      <w:r w:rsidRPr="005C52C2">
        <w:rPr>
          <w:rFonts w:ascii="Times New Roman" w:eastAsia="Times New Roman" w:hAnsi="Times New Roman"/>
          <w:sz w:val="24"/>
          <w:szCs w:val="24"/>
          <w:highlight w:val="yellow"/>
        </w:rPr>
        <w:t xml:space="preserve">lower </w:t>
      </w:r>
      <w:r w:rsidR="001D1D44" w:rsidRPr="005C52C2">
        <w:rPr>
          <w:rFonts w:ascii="Times New Roman" w:eastAsia="Times New Roman" w:hAnsi="Times New Roman"/>
          <w:sz w:val="24"/>
          <w:szCs w:val="24"/>
          <w:highlight w:val="yellow"/>
        </w:rPr>
        <w:t xml:space="preserve">than </w:t>
      </w:r>
      <w:r w:rsidRPr="005C52C2">
        <w:rPr>
          <w:rFonts w:ascii="Times New Roman" w:eastAsia="Times New Roman" w:hAnsi="Times New Roman"/>
          <w:sz w:val="24"/>
          <w:szCs w:val="24"/>
          <w:highlight w:val="yellow"/>
        </w:rPr>
        <w:t>the MATC</w:t>
      </w:r>
      <w:r>
        <w:rPr>
          <w:rFonts w:ascii="Times New Roman" w:eastAsia="Times New Roman" w:hAnsi="Times New Roman"/>
          <w:sz w:val="24"/>
          <w:szCs w:val="24"/>
        </w:rPr>
        <w:t xml:space="preserve">. This might not be unrelated to the hazardous quotient of the metals, but nevertheless needs further investigation. Furthermore, there </w:t>
      </w:r>
      <w:r w:rsidRPr="005C52C2">
        <w:rPr>
          <w:rFonts w:ascii="Times New Roman" w:eastAsia="Times New Roman" w:hAnsi="Times New Roman"/>
          <w:sz w:val="24"/>
          <w:szCs w:val="24"/>
          <w:highlight w:val="yellow"/>
        </w:rPr>
        <w:t xml:space="preserve">was </w:t>
      </w:r>
      <w:r w:rsidR="001D1D44" w:rsidRPr="005C52C2">
        <w:rPr>
          <w:rFonts w:ascii="Times New Roman" w:eastAsia="Times New Roman" w:hAnsi="Times New Roman"/>
          <w:sz w:val="24"/>
          <w:szCs w:val="24"/>
          <w:highlight w:val="yellow"/>
        </w:rPr>
        <w:t xml:space="preserve">a </w:t>
      </w:r>
      <w:r w:rsidRPr="005C52C2">
        <w:rPr>
          <w:rFonts w:ascii="Times New Roman" w:eastAsia="Times New Roman" w:hAnsi="Times New Roman"/>
          <w:sz w:val="24"/>
          <w:szCs w:val="24"/>
          <w:highlight w:val="yellow"/>
        </w:rPr>
        <w:t>significant difference (P&lt;0.005) for the gills histopathologic organ indices (I</w:t>
      </w:r>
      <w:r w:rsidRPr="005C52C2">
        <w:rPr>
          <w:rFonts w:ascii="Times New Roman" w:eastAsia="Times New Roman" w:hAnsi="Times New Roman"/>
          <w:sz w:val="24"/>
          <w:szCs w:val="24"/>
          <w:highlight w:val="yellow"/>
          <w:vertAlign w:val="subscript"/>
        </w:rPr>
        <w:t>org</w:t>
      </w:r>
      <w:r w:rsidRPr="005C52C2">
        <w:rPr>
          <w:rFonts w:ascii="Times New Roman" w:eastAsia="Times New Roman" w:hAnsi="Times New Roman"/>
          <w:sz w:val="24"/>
          <w:szCs w:val="24"/>
          <w:highlight w:val="yellow"/>
        </w:rPr>
        <w:t xml:space="preserve">) between the control and </w:t>
      </w:r>
      <w:r>
        <w:rPr>
          <w:rFonts w:ascii="Times New Roman" w:eastAsia="Times New Roman" w:hAnsi="Times New Roman"/>
          <w:sz w:val="24"/>
          <w:szCs w:val="24"/>
        </w:rPr>
        <w:t>TC concentrations of Cr1, Cr2, Cu3 and Pb2.</w:t>
      </w:r>
      <w:r w:rsidR="00D069DD">
        <w:rPr>
          <w:rFonts w:ascii="Times New Roman" w:eastAsia="Times New Roman" w:hAnsi="Times New Roman"/>
          <w:sz w:val="24"/>
          <w:szCs w:val="24"/>
        </w:rPr>
        <w:t xml:space="preserve"> </w:t>
      </w:r>
      <w:r>
        <w:rPr>
          <w:rFonts w:ascii="Times New Roman" w:eastAsia="Times New Roman" w:hAnsi="Times New Roman"/>
          <w:sz w:val="24"/>
          <w:szCs w:val="24"/>
        </w:rPr>
        <w:t xml:space="preserve">This further validates the MATC guideline for freshwater aquatic life (ECETOC,2002). Cu3, which is a TC concentration below MATC, showed </w:t>
      </w:r>
      <w:r w:rsidR="007501FE">
        <w:rPr>
          <w:rFonts w:ascii="Times New Roman" w:eastAsia="Times New Roman" w:hAnsi="Times New Roman"/>
          <w:sz w:val="24"/>
          <w:szCs w:val="24"/>
        </w:rPr>
        <w:t xml:space="preserve">a </w:t>
      </w:r>
      <w:r>
        <w:rPr>
          <w:rFonts w:ascii="Times New Roman" w:eastAsia="Times New Roman" w:hAnsi="Times New Roman"/>
          <w:sz w:val="24"/>
          <w:szCs w:val="24"/>
        </w:rPr>
        <w:t>hazardous exposure effect which was inconsistent with MATC guideline</w:t>
      </w:r>
      <w:r w:rsidR="007501FE">
        <w:rPr>
          <w:rFonts w:ascii="Times New Roman" w:eastAsia="Times New Roman" w:hAnsi="Times New Roman"/>
          <w:sz w:val="24"/>
          <w:szCs w:val="24"/>
        </w:rPr>
        <w:t>s</w:t>
      </w:r>
      <w:r>
        <w:rPr>
          <w:rFonts w:ascii="Times New Roman" w:eastAsia="Times New Roman" w:hAnsi="Times New Roman"/>
          <w:sz w:val="24"/>
          <w:szCs w:val="24"/>
        </w:rPr>
        <w:t>. This might be due Cu toxic affinity for gills and or Hazardous Quotient in freshwater bodies. Nevertheless</w:t>
      </w:r>
      <w:r w:rsidRPr="005C52C2">
        <w:rPr>
          <w:rFonts w:ascii="Times New Roman" w:eastAsia="Times New Roman" w:hAnsi="Times New Roman"/>
          <w:sz w:val="24"/>
          <w:szCs w:val="24"/>
          <w:highlight w:val="yellow"/>
        </w:rPr>
        <w:t xml:space="preserve">, </w:t>
      </w:r>
      <w:r w:rsidR="007501FE" w:rsidRPr="005C52C2">
        <w:rPr>
          <w:rFonts w:ascii="Times New Roman" w:eastAsia="Times New Roman" w:hAnsi="Times New Roman"/>
          <w:sz w:val="24"/>
          <w:szCs w:val="24"/>
          <w:highlight w:val="yellow"/>
        </w:rPr>
        <w:t>these</w:t>
      </w:r>
      <w:r w:rsidR="007501FE">
        <w:rPr>
          <w:rFonts w:ascii="Times New Roman" w:eastAsia="Times New Roman" w:hAnsi="Times New Roman"/>
          <w:sz w:val="24"/>
          <w:szCs w:val="24"/>
        </w:rPr>
        <w:t xml:space="preserve"> </w:t>
      </w:r>
      <w:r>
        <w:rPr>
          <w:rFonts w:ascii="Times New Roman" w:eastAsia="Times New Roman" w:hAnsi="Times New Roman"/>
          <w:sz w:val="24"/>
          <w:szCs w:val="24"/>
        </w:rPr>
        <w:t xml:space="preserve">facts need further investigation. </w:t>
      </w:r>
      <w:r w:rsidR="00E823AB">
        <w:rPr>
          <w:rFonts w:ascii="Cambria" w:hAnsi="Cambria"/>
          <w:color w:val="1B1B1B"/>
          <w:sz w:val="28"/>
          <w:szCs w:val="28"/>
          <w:shd w:val="clear" w:color="auto" w:fill="FFFFFF"/>
        </w:rPr>
        <w:t> </w:t>
      </w:r>
      <w:r w:rsidR="009A2D47">
        <w:rPr>
          <w:rFonts w:ascii="Cambria" w:hAnsi="Cambria"/>
          <w:color w:val="1B1B1B"/>
          <w:sz w:val="28"/>
          <w:szCs w:val="28"/>
          <w:shd w:val="clear" w:color="auto" w:fill="FFFFFF"/>
        </w:rPr>
        <w:t>“</w:t>
      </w:r>
      <w:r w:rsidR="00E823AB" w:rsidRPr="005C52C2">
        <w:rPr>
          <w:rFonts w:ascii="Cambria" w:hAnsi="Cambria"/>
          <w:color w:val="1B1B1B"/>
          <w:sz w:val="24"/>
          <w:szCs w:val="28"/>
          <w:highlight w:val="yellow"/>
          <w:shd w:val="clear" w:color="auto" w:fill="FFFFFF"/>
        </w:rPr>
        <w:t>The bioaccumulation of these toxic metals has severely affected the normal physiology of fish, reducing the growth and reproduction of fish. Bioremediation has great potential to reshape the existing contaminations of aquatic systems in a sustainable approach. Additionally, bioremediation improves fish health by altering the toxic effects of several heavy metals. It is not only beneficial for aquatic organisms but also improves the productivity of aquatic ecosystems. By efficient application of this bioremediation process, we can significantly recycle the water that reduce wastage of water, and degradation of organic matter lowers the pathogenic organisms that enhance the biosecurity of our ecosystems</w:t>
      </w:r>
      <w:r w:rsidR="009A2D47">
        <w:rPr>
          <w:rFonts w:ascii="Cambria" w:hAnsi="Cambria"/>
          <w:color w:val="1B1B1B"/>
          <w:sz w:val="24"/>
          <w:szCs w:val="28"/>
          <w:highlight w:val="yellow"/>
          <w:shd w:val="clear" w:color="auto" w:fill="FFFFFF"/>
        </w:rPr>
        <w:t>”</w:t>
      </w:r>
      <w:r w:rsidR="002C54CC">
        <w:rPr>
          <w:rFonts w:ascii="Cambria" w:hAnsi="Cambria"/>
          <w:color w:val="1B1B1B"/>
          <w:sz w:val="24"/>
          <w:szCs w:val="28"/>
          <w:highlight w:val="yellow"/>
          <w:shd w:val="clear" w:color="auto" w:fill="FFFFFF"/>
        </w:rPr>
        <w:t xml:space="preserve"> (</w:t>
      </w:r>
      <w:r w:rsidR="002C54CC" w:rsidRPr="00190050">
        <w:rPr>
          <w:rFonts w:ascii="Cambria" w:hAnsi="Cambria"/>
          <w:color w:val="1B1B1B"/>
          <w:sz w:val="26"/>
          <w:szCs w:val="26"/>
          <w:highlight w:val="yellow"/>
          <w:shd w:val="clear" w:color="auto" w:fill="FFFFFF"/>
        </w:rPr>
        <w:t>Yan</w:t>
      </w:r>
      <w:r w:rsidR="002C54CC">
        <w:rPr>
          <w:rFonts w:ascii="Cambria" w:hAnsi="Cambria"/>
          <w:color w:val="1B1B1B"/>
          <w:sz w:val="26"/>
          <w:szCs w:val="26"/>
          <w:highlight w:val="yellow"/>
          <w:shd w:val="clear" w:color="auto" w:fill="FFFFFF"/>
        </w:rPr>
        <w:t xml:space="preserve"> et al., 2020</w:t>
      </w:r>
      <w:r w:rsidR="002C54CC">
        <w:rPr>
          <w:rFonts w:ascii="Cambria" w:hAnsi="Cambria"/>
          <w:color w:val="1B1B1B"/>
          <w:sz w:val="24"/>
          <w:szCs w:val="28"/>
          <w:highlight w:val="yellow"/>
          <w:shd w:val="clear" w:color="auto" w:fill="FFFFFF"/>
        </w:rPr>
        <w:t>)</w:t>
      </w:r>
      <w:r w:rsidR="00E823AB" w:rsidRPr="005C52C2">
        <w:rPr>
          <w:rFonts w:ascii="Cambria" w:hAnsi="Cambria"/>
          <w:color w:val="1B1B1B"/>
          <w:sz w:val="24"/>
          <w:szCs w:val="28"/>
          <w:highlight w:val="yellow"/>
          <w:shd w:val="clear" w:color="auto" w:fill="FFFFFF"/>
        </w:rPr>
        <w:t>.</w:t>
      </w:r>
    </w:p>
    <w:p w14:paraId="04323FA3" w14:textId="77777777" w:rsidR="0069775F" w:rsidRDefault="0069775F" w:rsidP="00C07B6E">
      <w:pPr>
        <w:spacing w:after="120" w:line="240" w:lineRule="auto"/>
        <w:jc w:val="both"/>
        <w:rPr>
          <w:rFonts w:ascii="Times New Roman" w:eastAsia="Times New Roman" w:hAnsi="Times New Roman"/>
          <w:sz w:val="24"/>
          <w:szCs w:val="24"/>
        </w:rPr>
      </w:pPr>
    </w:p>
    <w:p w14:paraId="16BFF229" w14:textId="77777777" w:rsidR="0069775F" w:rsidRDefault="004D7A71" w:rsidP="00C07B6E">
      <w:pPr>
        <w:pStyle w:val="ListParagraphdaeebebf-f101-4889-831f-2692a0b491de"/>
        <w:spacing w:after="120" w:line="240" w:lineRule="auto"/>
        <w:ind w:left="0"/>
        <w:contextualSpacing w:val="0"/>
        <w:jc w:val="both"/>
        <w:rPr>
          <w:rFonts w:ascii="Times New Roman" w:hAnsi="Times New Roman"/>
          <w:b/>
          <w:bCs/>
          <w:caps/>
          <w:color w:val="000000"/>
          <w:sz w:val="28"/>
          <w:szCs w:val="28"/>
        </w:rPr>
      </w:pPr>
      <w:r>
        <w:rPr>
          <w:rFonts w:ascii="Times New Roman" w:hAnsi="Times New Roman"/>
          <w:b/>
          <w:bCs/>
          <w:color w:val="000000"/>
          <w:sz w:val="28"/>
          <w:szCs w:val="28"/>
        </w:rPr>
        <w:t>Conclusion</w:t>
      </w:r>
    </w:p>
    <w:p w14:paraId="5CB9CD3C" w14:textId="19DD5E8C" w:rsidR="0069775F" w:rsidRDefault="004D7A71" w:rsidP="00C07B6E">
      <w:pPr>
        <w:pStyle w:val="ListParagraphdaeebebf-f101-4889-831f-2692a0b491de"/>
        <w:spacing w:after="120" w:line="240" w:lineRule="auto"/>
        <w:ind w:left="0"/>
        <w:contextualSpacing w:val="0"/>
        <w:jc w:val="both"/>
        <w:rPr>
          <w:rFonts w:ascii="Times New Roman" w:hAnsi="Times New Roman"/>
          <w:color w:val="000000"/>
          <w:sz w:val="24"/>
        </w:rPr>
      </w:pPr>
      <w:r>
        <w:rPr>
          <w:rFonts w:ascii="Times New Roman" w:hAnsi="Times New Roman"/>
          <w:color w:val="000000"/>
          <w:sz w:val="24"/>
        </w:rPr>
        <w:t xml:space="preserve">The study was able to demonstrate that heavy metal toxicity can be simulated in a laboratory setting. </w:t>
      </w:r>
      <w:r w:rsidR="007501FE" w:rsidRPr="005C52C2">
        <w:rPr>
          <w:rFonts w:ascii="Times New Roman" w:hAnsi="Times New Roman"/>
          <w:color w:val="000000"/>
          <w:sz w:val="24"/>
          <w:highlight w:val="yellow"/>
        </w:rPr>
        <w:t>However</w:t>
      </w:r>
      <w:r w:rsidR="008222CF">
        <w:rPr>
          <w:rFonts w:ascii="Times New Roman" w:hAnsi="Times New Roman"/>
          <w:color w:val="000000"/>
          <w:sz w:val="24"/>
          <w:highlight w:val="yellow"/>
        </w:rPr>
        <w:t>,</w:t>
      </w:r>
      <w:r w:rsidR="007501FE" w:rsidRPr="005C52C2">
        <w:rPr>
          <w:rFonts w:ascii="Times New Roman" w:hAnsi="Times New Roman"/>
          <w:color w:val="000000"/>
          <w:sz w:val="24"/>
          <w:highlight w:val="yellow"/>
        </w:rPr>
        <w:t xml:space="preserve"> </w:t>
      </w:r>
      <w:r w:rsidRPr="005C52C2">
        <w:rPr>
          <w:rFonts w:ascii="Times New Roman" w:hAnsi="Times New Roman"/>
          <w:color w:val="000000"/>
          <w:sz w:val="24"/>
          <w:highlight w:val="yellow"/>
        </w:rPr>
        <w:t xml:space="preserve">there is </w:t>
      </w:r>
      <w:r w:rsidR="007501FE" w:rsidRPr="005C52C2">
        <w:rPr>
          <w:rFonts w:ascii="Times New Roman" w:hAnsi="Times New Roman"/>
          <w:color w:val="000000"/>
          <w:sz w:val="24"/>
          <w:highlight w:val="yellow"/>
        </w:rPr>
        <w:t xml:space="preserve">a </w:t>
      </w:r>
      <w:r w:rsidRPr="005C52C2">
        <w:rPr>
          <w:rFonts w:ascii="Times New Roman" w:hAnsi="Times New Roman"/>
          <w:color w:val="000000"/>
          <w:sz w:val="24"/>
          <w:highlight w:val="yellow"/>
        </w:rPr>
        <w:t>need to further investigate the pharmacokinetics behind the hazardous exposure effects</w:t>
      </w:r>
      <w:r>
        <w:rPr>
          <w:rFonts w:ascii="Times New Roman" w:hAnsi="Times New Roman"/>
          <w:color w:val="000000"/>
          <w:sz w:val="24"/>
        </w:rPr>
        <w:t xml:space="preserve"> caused by the concentrations of Cu and Pb that were below MATC guideline, which was inconsistent with MATC regulatory provision</w:t>
      </w:r>
      <w:r w:rsidR="007501FE">
        <w:rPr>
          <w:rFonts w:ascii="Times New Roman" w:hAnsi="Times New Roman"/>
          <w:color w:val="000000"/>
          <w:sz w:val="24"/>
        </w:rPr>
        <w:t>s</w:t>
      </w:r>
      <w:r>
        <w:rPr>
          <w:rFonts w:ascii="Times New Roman" w:hAnsi="Times New Roman"/>
          <w:color w:val="000000"/>
          <w:sz w:val="24"/>
        </w:rPr>
        <w:t xml:space="preserve">. Nonetheless, it has further proven that target chemicals concentration above the MATC regulatory guidelines can be used for gills toxicity exposure certification for Cr, Cd and Ni exposure. The study has also proven that histopathologic organ indexing is an explorable environmental tool for histological based toxicity certification. </w:t>
      </w:r>
    </w:p>
    <w:p w14:paraId="5728DF70" w14:textId="77777777" w:rsidR="00414468" w:rsidRPr="00414468" w:rsidRDefault="00414468" w:rsidP="00414468">
      <w:pPr>
        <w:pStyle w:val="ListParagraphdaeebebf-f101-4889-831f-2692a0b491de"/>
        <w:spacing w:after="120" w:line="240" w:lineRule="auto"/>
        <w:ind w:left="0"/>
        <w:jc w:val="both"/>
        <w:rPr>
          <w:rFonts w:ascii="Times New Roman" w:hAnsi="Times New Roman"/>
          <w:b/>
          <w:color w:val="000000"/>
          <w:sz w:val="24"/>
        </w:rPr>
      </w:pPr>
      <w:r w:rsidRPr="00414468">
        <w:rPr>
          <w:rFonts w:ascii="Times New Roman" w:hAnsi="Times New Roman"/>
          <w:b/>
          <w:color w:val="000000"/>
          <w:sz w:val="24"/>
        </w:rPr>
        <w:t>Disclaimer (Artificial intelligence)</w:t>
      </w:r>
    </w:p>
    <w:p w14:paraId="5610BE54" w14:textId="77777777" w:rsidR="00414468" w:rsidRPr="00414468" w:rsidRDefault="00414468" w:rsidP="00414468">
      <w:pPr>
        <w:pStyle w:val="ListParagraphdaeebebf-f101-4889-831f-2692a0b491de"/>
        <w:spacing w:after="120" w:line="240" w:lineRule="auto"/>
        <w:jc w:val="both"/>
        <w:rPr>
          <w:rFonts w:ascii="Times New Roman" w:hAnsi="Times New Roman"/>
          <w:color w:val="000000"/>
          <w:sz w:val="24"/>
        </w:rPr>
      </w:pPr>
      <w:r w:rsidRPr="00414468">
        <w:rPr>
          <w:rFonts w:ascii="Times New Roman" w:hAnsi="Times New Roman"/>
          <w:color w:val="000000"/>
          <w:sz w:val="24"/>
        </w:rPr>
        <w:t xml:space="preserve">Option 1: </w:t>
      </w:r>
    </w:p>
    <w:p w14:paraId="5B6272E8" w14:textId="77777777" w:rsidR="00414468" w:rsidRPr="00414468" w:rsidRDefault="00414468" w:rsidP="00414468">
      <w:pPr>
        <w:pStyle w:val="ListParagraphdaeebebf-f101-4889-831f-2692a0b491de"/>
        <w:spacing w:after="120" w:line="240" w:lineRule="auto"/>
        <w:jc w:val="both"/>
        <w:rPr>
          <w:rFonts w:ascii="Times New Roman" w:hAnsi="Times New Roman"/>
          <w:color w:val="000000"/>
          <w:sz w:val="24"/>
        </w:rPr>
      </w:pPr>
      <w:r w:rsidRPr="00414468">
        <w:rPr>
          <w:rFonts w:ascii="Times New Roman" w:hAnsi="Times New Roman"/>
          <w:color w:val="000000"/>
          <w:sz w:val="24"/>
        </w:rPr>
        <w:lastRenderedPageBreak/>
        <w:t>Author(s) hereby declare that NO generative AI technologies such as Large Language Models (</w:t>
      </w:r>
      <w:proofErr w:type="spellStart"/>
      <w:r w:rsidRPr="00414468">
        <w:rPr>
          <w:rFonts w:ascii="Times New Roman" w:hAnsi="Times New Roman"/>
          <w:color w:val="000000"/>
          <w:sz w:val="24"/>
        </w:rPr>
        <w:t>ChatGPT</w:t>
      </w:r>
      <w:proofErr w:type="spellEnd"/>
      <w:r w:rsidRPr="00414468">
        <w:rPr>
          <w:rFonts w:ascii="Times New Roman" w:hAnsi="Times New Roman"/>
          <w:color w:val="000000"/>
          <w:sz w:val="24"/>
        </w:rPr>
        <w:t xml:space="preserve">, COPILOT, etc.) and text-to-image generators have been used during the writing or editing of this manuscript. </w:t>
      </w:r>
    </w:p>
    <w:p w14:paraId="6ADF18AD" w14:textId="77777777" w:rsidR="00414468" w:rsidRPr="00414468" w:rsidRDefault="00414468" w:rsidP="00414468">
      <w:pPr>
        <w:pStyle w:val="ListParagraphdaeebebf-f101-4889-831f-2692a0b491de"/>
        <w:spacing w:after="120" w:line="240" w:lineRule="auto"/>
        <w:jc w:val="both"/>
        <w:rPr>
          <w:rFonts w:ascii="Times New Roman" w:hAnsi="Times New Roman"/>
          <w:color w:val="000000"/>
          <w:sz w:val="24"/>
        </w:rPr>
      </w:pPr>
      <w:r w:rsidRPr="00414468">
        <w:rPr>
          <w:rFonts w:ascii="Times New Roman" w:hAnsi="Times New Roman"/>
          <w:color w:val="000000"/>
          <w:sz w:val="24"/>
        </w:rPr>
        <w:t xml:space="preserve">Option 2: </w:t>
      </w:r>
    </w:p>
    <w:p w14:paraId="0BC2A25B" w14:textId="77777777" w:rsidR="00414468" w:rsidRPr="00414468" w:rsidRDefault="00414468" w:rsidP="00414468">
      <w:pPr>
        <w:pStyle w:val="ListParagraphdaeebebf-f101-4889-831f-2692a0b491de"/>
        <w:spacing w:after="120" w:line="240" w:lineRule="auto"/>
        <w:jc w:val="both"/>
        <w:rPr>
          <w:rFonts w:ascii="Times New Roman" w:hAnsi="Times New Roman"/>
          <w:color w:val="000000"/>
          <w:sz w:val="24"/>
        </w:rPr>
      </w:pPr>
      <w:r w:rsidRPr="00414468">
        <w:rPr>
          <w:rFonts w:ascii="Times New Roman" w:hAnsi="Times New Roman"/>
          <w:color w:val="000000"/>
          <w:sz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4DB3A20" w14:textId="77777777" w:rsidR="00414468" w:rsidRPr="00414468" w:rsidRDefault="00414468" w:rsidP="00414468">
      <w:pPr>
        <w:pStyle w:val="ListParagraphdaeebebf-f101-4889-831f-2692a0b491de"/>
        <w:spacing w:after="120" w:line="240" w:lineRule="auto"/>
        <w:jc w:val="both"/>
        <w:rPr>
          <w:rFonts w:ascii="Times New Roman" w:hAnsi="Times New Roman"/>
          <w:color w:val="000000"/>
          <w:sz w:val="24"/>
        </w:rPr>
      </w:pPr>
      <w:r w:rsidRPr="00414468">
        <w:rPr>
          <w:rFonts w:ascii="Times New Roman" w:hAnsi="Times New Roman"/>
          <w:color w:val="000000"/>
          <w:sz w:val="24"/>
        </w:rPr>
        <w:t>Details of the AI usage are given below:</w:t>
      </w:r>
    </w:p>
    <w:p w14:paraId="2951B8E4" w14:textId="77777777" w:rsidR="00414468" w:rsidRPr="00414468" w:rsidRDefault="00414468" w:rsidP="00414468">
      <w:pPr>
        <w:pStyle w:val="ListParagraphdaeebebf-f101-4889-831f-2692a0b491de"/>
        <w:spacing w:after="120" w:line="240" w:lineRule="auto"/>
        <w:jc w:val="both"/>
        <w:rPr>
          <w:rFonts w:ascii="Times New Roman" w:hAnsi="Times New Roman"/>
          <w:color w:val="000000"/>
          <w:sz w:val="24"/>
        </w:rPr>
      </w:pPr>
      <w:r w:rsidRPr="00414468">
        <w:rPr>
          <w:rFonts w:ascii="Times New Roman" w:hAnsi="Times New Roman"/>
          <w:color w:val="000000"/>
          <w:sz w:val="24"/>
        </w:rPr>
        <w:t>1.</w:t>
      </w:r>
    </w:p>
    <w:p w14:paraId="3F2EBF72" w14:textId="77777777" w:rsidR="00414468" w:rsidRPr="00414468" w:rsidRDefault="00414468" w:rsidP="00414468">
      <w:pPr>
        <w:pStyle w:val="ListParagraphdaeebebf-f101-4889-831f-2692a0b491de"/>
        <w:spacing w:after="120" w:line="240" w:lineRule="auto"/>
        <w:jc w:val="both"/>
        <w:rPr>
          <w:rFonts w:ascii="Times New Roman" w:hAnsi="Times New Roman"/>
          <w:color w:val="000000"/>
          <w:sz w:val="24"/>
        </w:rPr>
      </w:pPr>
      <w:r w:rsidRPr="00414468">
        <w:rPr>
          <w:rFonts w:ascii="Times New Roman" w:hAnsi="Times New Roman"/>
          <w:color w:val="000000"/>
          <w:sz w:val="24"/>
        </w:rPr>
        <w:t>2.</w:t>
      </w:r>
    </w:p>
    <w:p w14:paraId="5C80E92A" w14:textId="7F73503A" w:rsidR="00414468" w:rsidRDefault="00414468" w:rsidP="00414468">
      <w:pPr>
        <w:pStyle w:val="ListParagraphdaeebebf-f101-4889-831f-2692a0b491de"/>
        <w:spacing w:after="120" w:line="240" w:lineRule="auto"/>
        <w:ind w:left="0"/>
        <w:contextualSpacing w:val="0"/>
        <w:jc w:val="both"/>
        <w:rPr>
          <w:rFonts w:ascii="Times New Roman" w:hAnsi="Times New Roman"/>
          <w:color w:val="000000"/>
          <w:sz w:val="24"/>
        </w:rPr>
      </w:pPr>
      <w:r w:rsidRPr="00414468">
        <w:rPr>
          <w:rFonts w:ascii="Times New Roman" w:hAnsi="Times New Roman"/>
          <w:color w:val="000000"/>
          <w:sz w:val="24"/>
        </w:rPr>
        <w:t>3.</w:t>
      </w:r>
    </w:p>
    <w:p w14:paraId="5F03556E" w14:textId="77777777" w:rsidR="0069775F" w:rsidRDefault="0069775F" w:rsidP="00C07B6E">
      <w:pPr>
        <w:pStyle w:val="ListParagraphdaeebebf-f101-4889-831f-2692a0b491de"/>
        <w:spacing w:after="120" w:line="240" w:lineRule="auto"/>
        <w:ind w:left="0"/>
        <w:contextualSpacing w:val="0"/>
        <w:jc w:val="both"/>
        <w:rPr>
          <w:rFonts w:ascii="Times New Roman" w:hAnsi="Times New Roman"/>
          <w:color w:val="000000"/>
          <w:sz w:val="24"/>
        </w:rPr>
      </w:pPr>
    </w:p>
    <w:p w14:paraId="1DF1469D" w14:textId="77777777" w:rsidR="0069775F" w:rsidRDefault="004D7A71" w:rsidP="00C07B6E">
      <w:pPr>
        <w:spacing w:after="12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References</w:t>
      </w:r>
    </w:p>
    <w:p w14:paraId="4C2EACDB"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Agbozu</w:t>
      </w:r>
      <w:proofErr w:type="spellEnd"/>
      <w:r>
        <w:rPr>
          <w:rFonts w:ascii="Times New Roman" w:eastAsia="SimSun" w:hAnsi="Times New Roman"/>
          <w:sz w:val="24"/>
          <w:szCs w:val="24"/>
          <w:lang w:eastAsia="zh-CN"/>
        </w:rPr>
        <w:t xml:space="preserve">, I.E., </w:t>
      </w:r>
      <w:proofErr w:type="spellStart"/>
      <w:r>
        <w:rPr>
          <w:rFonts w:ascii="Times New Roman" w:eastAsia="SimSun" w:hAnsi="Times New Roman"/>
          <w:sz w:val="24"/>
          <w:szCs w:val="24"/>
          <w:lang w:eastAsia="zh-CN"/>
        </w:rPr>
        <w:t>Ekweozor</w:t>
      </w:r>
      <w:proofErr w:type="spellEnd"/>
      <w:r>
        <w:rPr>
          <w:rFonts w:ascii="Times New Roman" w:eastAsia="SimSun" w:hAnsi="Times New Roman"/>
          <w:sz w:val="24"/>
          <w:szCs w:val="24"/>
          <w:lang w:eastAsia="zh-CN"/>
        </w:rPr>
        <w:t xml:space="preserve">, I.K.E. and </w:t>
      </w:r>
      <w:proofErr w:type="spellStart"/>
      <w:r>
        <w:rPr>
          <w:rFonts w:ascii="Times New Roman" w:eastAsia="SimSun" w:hAnsi="Times New Roman"/>
          <w:sz w:val="24"/>
          <w:szCs w:val="24"/>
          <w:lang w:eastAsia="zh-CN"/>
        </w:rPr>
        <w:t>Opuene</w:t>
      </w:r>
      <w:proofErr w:type="spellEnd"/>
      <w:r>
        <w:rPr>
          <w:rFonts w:ascii="Times New Roman" w:eastAsia="SimSun" w:hAnsi="Times New Roman"/>
          <w:sz w:val="24"/>
          <w:szCs w:val="24"/>
          <w:lang w:eastAsia="zh-CN"/>
        </w:rPr>
        <w:t xml:space="preserve">, K. (2007). Survey of heavy metals in the catfish </w:t>
      </w:r>
      <w:proofErr w:type="spellStart"/>
      <w:r>
        <w:rPr>
          <w:rFonts w:ascii="Times New Roman" w:eastAsia="SimSun" w:hAnsi="Times New Roman"/>
          <w:sz w:val="24"/>
          <w:szCs w:val="24"/>
          <w:lang w:eastAsia="zh-CN"/>
        </w:rPr>
        <w:t>Synodontis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Int. J. Environ. Sci. Tech., 4 (1): 93-97.</w:t>
      </w:r>
    </w:p>
    <w:p w14:paraId="35AA33C3"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Akar, T. and </w:t>
      </w:r>
      <w:proofErr w:type="spellStart"/>
      <w:r>
        <w:rPr>
          <w:rFonts w:ascii="Times New Roman" w:eastAsia="SimSun" w:hAnsi="Times New Roman"/>
          <w:sz w:val="24"/>
          <w:szCs w:val="24"/>
          <w:lang w:eastAsia="zh-CN"/>
        </w:rPr>
        <w:t>Tunali</w:t>
      </w:r>
      <w:proofErr w:type="spellEnd"/>
      <w:r>
        <w:rPr>
          <w:rFonts w:ascii="Times New Roman" w:eastAsia="SimSun" w:hAnsi="Times New Roman"/>
          <w:sz w:val="24"/>
          <w:szCs w:val="24"/>
          <w:lang w:eastAsia="zh-CN"/>
        </w:rPr>
        <w:t xml:space="preserve">, S. (2005). Biosorption properties of Botrytis cinerea biomass. J. Hazard. Mater., 131 (1-3): 137-145. </w:t>
      </w:r>
    </w:p>
    <w:p w14:paraId="5D909063"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 xml:space="preserve">Allison, TA. &amp; Paul, CW, (2018). Histological based Biomonitoring: A Baseline Ecotoxicological Evaluation of </w:t>
      </w:r>
      <w:proofErr w:type="spellStart"/>
      <w:r>
        <w:rPr>
          <w:rFonts w:ascii="Times New Roman" w:eastAsia="Times New Roman" w:hAnsi="Times New Roman"/>
          <w:sz w:val="24"/>
          <w:szCs w:val="24"/>
        </w:rPr>
        <w:t>Ekerekana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Okochiri</w:t>
      </w:r>
      <w:proofErr w:type="spellEnd"/>
      <w:r>
        <w:rPr>
          <w:rFonts w:ascii="Times New Roman" w:eastAsia="Times New Roman" w:hAnsi="Times New Roman"/>
          <w:sz w:val="24"/>
          <w:szCs w:val="24"/>
        </w:rPr>
        <w:t xml:space="preserve"> Creeks using Mudskipper.  Scholars Bulletin (Anatomy). An Official Publication of ―Scholars Middle East Publishers‖ ISSN 2412-9771 (Print) Dubai, United Arab Emirates ISSN 2412-897X (Online) Website: </w:t>
      </w:r>
      <w:hyperlink r:id="rId11" w:history="1">
        <w:r w:rsidR="0069775F">
          <w:rPr>
            <w:rStyle w:val="Hyperlink"/>
            <w:rFonts w:ascii="Times New Roman" w:eastAsia="Times New Roman" w:hAnsi="Times New Roman"/>
            <w:sz w:val="24"/>
            <w:szCs w:val="24"/>
          </w:rPr>
          <w:t>http://scholarsbulletin.com/</w:t>
        </w:r>
      </w:hyperlink>
    </w:p>
    <w:p w14:paraId="0E0009EC"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Bernet, D., Schmidt, H., Meier, W., </w:t>
      </w:r>
      <w:proofErr w:type="spellStart"/>
      <w:r>
        <w:rPr>
          <w:rFonts w:ascii="Times New Roman" w:eastAsia="SimSun" w:hAnsi="Times New Roman"/>
          <w:sz w:val="24"/>
          <w:szCs w:val="24"/>
          <w:lang w:eastAsia="zh-CN"/>
        </w:rPr>
        <w:t>Burkhaldt</w:t>
      </w:r>
      <w:proofErr w:type="spellEnd"/>
      <w:r>
        <w:rPr>
          <w:rFonts w:ascii="Times New Roman" w:eastAsia="SimSun" w:hAnsi="Times New Roman"/>
          <w:sz w:val="24"/>
          <w:szCs w:val="24"/>
          <w:lang w:eastAsia="zh-CN"/>
        </w:rPr>
        <w:t xml:space="preserve">, H. and </w:t>
      </w:r>
      <w:proofErr w:type="spellStart"/>
      <w:r>
        <w:rPr>
          <w:rFonts w:ascii="Times New Roman" w:eastAsia="SimSun" w:hAnsi="Times New Roman"/>
          <w:sz w:val="24"/>
          <w:szCs w:val="24"/>
          <w:lang w:eastAsia="zh-CN"/>
        </w:rPr>
        <w:t>Wahli</w:t>
      </w:r>
      <w:proofErr w:type="spellEnd"/>
      <w:r>
        <w:rPr>
          <w:rFonts w:ascii="Times New Roman" w:eastAsia="SimSun" w:hAnsi="Times New Roman"/>
          <w:sz w:val="24"/>
          <w:szCs w:val="24"/>
          <w:lang w:eastAsia="zh-CN"/>
        </w:rPr>
        <w:t xml:space="preserve">, T. (1999). Histopathology in Fish, proposal for a protocol to assess aquatic pollution. </w:t>
      </w:r>
      <w:r>
        <w:rPr>
          <w:rFonts w:ascii="Times New Roman" w:eastAsia="SimSun" w:hAnsi="Times New Roman"/>
          <w:i/>
          <w:sz w:val="24"/>
          <w:szCs w:val="24"/>
          <w:lang w:eastAsia="zh-CN"/>
        </w:rPr>
        <w:t>Journal of Fish Disease</w:t>
      </w:r>
      <w:r>
        <w:rPr>
          <w:rFonts w:ascii="Times New Roman" w:eastAsia="SimSun" w:hAnsi="Times New Roman"/>
          <w:sz w:val="24"/>
          <w:szCs w:val="24"/>
          <w:lang w:eastAsia="zh-CN"/>
        </w:rPr>
        <w:t xml:space="preserve">. 22: 25 – 34. </w:t>
      </w:r>
    </w:p>
    <w:p w14:paraId="3289620D"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Bopp, S.K., Abicht, H.K. and Knauer, K. (2008). Copper-induced oxidative stress in rainbow trout gill cells. Aquatic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xml:space="preserve">., 86: 197-204. </w:t>
      </w:r>
    </w:p>
    <w:p w14:paraId="5B8352DB"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Budzinski et al., 2004</w:t>
      </w:r>
    </w:p>
    <w:p w14:paraId="580E75FF"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Chapman et al., 1996</w:t>
      </w:r>
    </w:p>
    <w:p w14:paraId="3DD19AB1"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Cengiz, E.I. (2006). Gill and kidney histopathology in freshwater fish Cyprinus carpio after acute exposure to deltamethrin. Environ.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Pharm., 22: 200-204.</w:t>
      </w:r>
    </w:p>
    <w:p w14:paraId="2D285716"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CEPA (California Environmental Protection Agency), (1996). Procedures Manual for Conducting Toxicity Tests Developed by the Marine Bioassay Project. State Water Resources Control Board PO. 3</w:t>
      </w:r>
      <w:proofErr w:type="gramStart"/>
      <w:r>
        <w:rPr>
          <w:rFonts w:ascii="Times New Roman" w:eastAsia="Times New Roman" w:hAnsi="Times New Roman"/>
          <w:sz w:val="24"/>
          <w:szCs w:val="24"/>
        </w:rPr>
        <w:t>cx :co</w:t>
      </w:r>
      <w:proofErr w:type="gramEnd"/>
      <w:r>
        <w:rPr>
          <w:rFonts w:ascii="Times New Roman" w:eastAsia="Times New Roman" w:hAnsi="Times New Roman"/>
          <w:sz w:val="24"/>
          <w:szCs w:val="24"/>
        </w:rPr>
        <w:t xml:space="preserve"> S.E!CMCE-!O, CA 95812-G:2i (9fSi 55;. i247.</w:t>
      </w:r>
    </w:p>
    <w:p w14:paraId="7FA1B836"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CEPA (California Environmental Protection Agency), (2004). Overview of Freshwater and Marine Toxicity Tests: A Technical Tool for Ecological Risk Assessment. Ecotoxicology Unit Reproductive and Cancer Hazard Assessment Section Office of Environmental Health Hazard Assessment California Environmental Protection Agency.</w:t>
      </w:r>
    </w:p>
    <w:p w14:paraId="7A24EBEC"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lastRenderedPageBreak/>
        <w:t>Drury, R.A. and Wallington, E.A., (1980). Carleton’s Histology Technique. 5th Edition, Oxford University Press, New York.</w:t>
      </w:r>
    </w:p>
    <w:p w14:paraId="757BA3C2"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EC (European Commission), (2006). Health Surveillance of Workers Exposed to Lead and its Ionic Compounds, Practicing Guidelines of a Non-binding Nature on the Protection of Health and Safety Workers </w:t>
      </w:r>
      <w:proofErr w:type="gramStart"/>
      <w:r>
        <w:rPr>
          <w:rFonts w:ascii="Times New Roman" w:eastAsia="Times New Roman" w:hAnsi="Times New Roman"/>
          <w:sz w:val="24"/>
          <w:szCs w:val="24"/>
        </w:rPr>
        <w:t>From</w:t>
      </w:r>
      <w:proofErr w:type="gramEnd"/>
      <w:r>
        <w:rPr>
          <w:rFonts w:ascii="Times New Roman" w:eastAsia="Times New Roman" w:hAnsi="Times New Roman"/>
          <w:sz w:val="24"/>
          <w:szCs w:val="24"/>
        </w:rPr>
        <w:t xml:space="preserve"> Risk Related to Chemical Agents at work. Pp65-73</w:t>
      </w:r>
    </w:p>
    <w:p w14:paraId="23464064"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ECETOC, 2002</w:t>
      </w:r>
    </w:p>
    <w:p w14:paraId="5920F9FE"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ECETOC (European Chemical Industry and Toxicology Centre), (1986). Prolonged Fish Toxicity Test: EEC Sixth Amendment. Technical Report No,24. ISSN-0773-8072-24 Brussels.</w:t>
      </w:r>
    </w:p>
    <w:p w14:paraId="612371EB"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ECETOC (European Chemical Industry and Toxicology Centre), (2005). Alternative Testing Approaches in Environmental Safety Assessment. ECETOC Technical Report. ISSN-0773-8072-97 Brussels. © Copyright - ECETOC AISBL </w:t>
      </w:r>
    </w:p>
    <w:p w14:paraId="27D62CBF"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EROCIPS (Emergency Response to coastal Oil, Chemical and Inert Pollution from Shipping), (2006). Environmental Monitoring: Protocol for Selection of Sentinel Species and Collection of Specimens. Supported by the European Union Project co-financed by the ERDF.</w:t>
      </w:r>
    </w:p>
    <w:p w14:paraId="5E7F7633"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Farombi, E.O., Adelowo, O.A. and </w:t>
      </w:r>
      <w:proofErr w:type="spellStart"/>
      <w:r>
        <w:rPr>
          <w:rFonts w:ascii="Times New Roman" w:eastAsia="SimSun" w:hAnsi="Times New Roman"/>
          <w:sz w:val="24"/>
          <w:szCs w:val="24"/>
          <w:lang w:eastAsia="zh-CN"/>
        </w:rPr>
        <w:t>Ajimoko</w:t>
      </w:r>
      <w:proofErr w:type="spellEnd"/>
      <w:r>
        <w:rPr>
          <w:rFonts w:ascii="Times New Roman" w:eastAsia="SimSun" w:hAnsi="Times New Roman"/>
          <w:sz w:val="24"/>
          <w:szCs w:val="24"/>
          <w:lang w:eastAsia="zh-CN"/>
        </w:rPr>
        <w:t>, Y.R. (2007). Biomarkers of oxidative stress and heavy metal levels as indicators of environmental pollution in African catfish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gariepinus</w:t>
      </w:r>
      <w:proofErr w:type="spellEnd"/>
      <w:r>
        <w:rPr>
          <w:rFonts w:ascii="Times New Roman" w:eastAsia="SimSun" w:hAnsi="Times New Roman"/>
          <w:sz w:val="24"/>
          <w:szCs w:val="24"/>
          <w:lang w:eastAsia="zh-CN"/>
        </w:rPr>
        <w:t xml:space="preserve">) from Nigeria Ogun River. Int. J. Res. Public Health, 4(2): 158-165. </w:t>
      </w:r>
    </w:p>
    <w:p w14:paraId="5AE6620F"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FishBase</w:t>
      </w:r>
      <w:proofErr w:type="spellEnd"/>
      <w:r>
        <w:rPr>
          <w:rFonts w:ascii="Times New Roman" w:eastAsia="SimSun" w:hAnsi="Times New Roman"/>
          <w:sz w:val="24"/>
          <w:szCs w:val="24"/>
          <w:lang w:eastAsia="zh-CN"/>
        </w:rPr>
        <w:t xml:space="preserve">., 2008. Tilapia </w:t>
      </w:r>
      <w:proofErr w:type="spellStart"/>
      <w:r>
        <w:rPr>
          <w:rFonts w:ascii="Times New Roman" w:eastAsia="SimSun" w:hAnsi="Times New Roman"/>
          <w:sz w:val="24"/>
          <w:szCs w:val="24"/>
          <w:lang w:eastAsia="zh-CN"/>
        </w:rPr>
        <w:t>mariae</w:t>
      </w:r>
      <w:proofErr w:type="spellEnd"/>
      <w:r>
        <w:rPr>
          <w:rFonts w:ascii="Times New Roman" w:eastAsia="SimSun" w:hAnsi="Times New Roman"/>
          <w:sz w:val="24"/>
          <w:szCs w:val="24"/>
          <w:lang w:eastAsia="zh-CN"/>
        </w:rPr>
        <w:t xml:space="preserve"> Spotted tilapia: Summary</w:t>
      </w:r>
    </w:p>
    <w:p w14:paraId="534CC9FE"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Gerhardt A., (2004). Bioindicator species and their use in biomonitoring. Environmental Monitoring I. EOLSS.</w:t>
      </w:r>
    </w:p>
    <w:p w14:paraId="43EDE85E"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Gheorghe S., Stoica C., Vasile G. G., Nita-Lazar M., Stanescu E. and Lucaciu I. E., (2017). Metals Toxic</w:t>
      </w:r>
      <w:r>
        <w:rPr>
          <w:rFonts w:ascii="Times New Roman" w:eastAsia="SimSun" w:hAnsi="Times New Roman"/>
          <w:sz w:val="24"/>
          <w:szCs w:val="24"/>
          <w:lang w:eastAsia="zh-CN"/>
        </w:rPr>
        <w:t xml:space="preserve"> </w:t>
      </w:r>
      <w:r>
        <w:rPr>
          <w:rFonts w:ascii="Times New Roman" w:eastAsia="Times New Roman" w:hAnsi="Times New Roman"/>
          <w:sz w:val="24"/>
          <w:szCs w:val="24"/>
        </w:rPr>
        <w:t xml:space="preserve">Effects in Aquatic Ecosystems: Modulators of Water Quality. </w:t>
      </w:r>
      <w:proofErr w:type="spellStart"/>
      <w:r>
        <w:rPr>
          <w:rFonts w:ascii="Times New Roman" w:eastAsia="Times New Roman" w:hAnsi="Times New Roman"/>
          <w:sz w:val="24"/>
          <w:szCs w:val="24"/>
        </w:rPr>
        <w:t>Hlanganani</w:t>
      </w:r>
      <w:proofErr w:type="spellEnd"/>
      <w:r>
        <w:rPr>
          <w:rFonts w:ascii="Times New Roman" w:eastAsia="Times New Roman" w:hAnsi="Times New Roman"/>
          <w:sz w:val="24"/>
          <w:szCs w:val="24"/>
        </w:rPr>
        <w:t xml:space="preserve"> Tutu, </w:t>
      </w:r>
      <w:proofErr w:type="spellStart"/>
      <w:r>
        <w:rPr>
          <w:rFonts w:ascii="Times New Roman" w:eastAsia="Times New Roman" w:hAnsi="Times New Roman"/>
          <w:sz w:val="24"/>
          <w:szCs w:val="24"/>
        </w:rPr>
        <w:t>IntechOpen</w:t>
      </w:r>
      <w:proofErr w:type="spellEnd"/>
      <w:r>
        <w:rPr>
          <w:rFonts w:ascii="Times New Roman" w:eastAsia="Times New Roman" w:hAnsi="Times New Roman"/>
          <w:sz w:val="24"/>
          <w:szCs w:val="24"/>
        </w:rPr>
        <w:t xml:space="preserve">, DOI: 10.5772/65744. </w:t>
      </w:r>
      <w:hyperlink r:id="rId12" w:history="1">
        <w:r w:rsidR="0069775F">
          <w:rPr>
            <w:rStyle w:val="Hyperlink"/>
            <w:rFonts w:ascii="Times New Roman" w:eastAsia="Times New Roman" w:hAnsi="Times New Roman"/>
            <w:sz w:val="24"/>
            <w:szCs w:val="24"/>
          </w:rPr>
          <w:t>https://www.intechopen.com</w:t>
        </w:r>
      </w:hyperlink>
    </w:p>
    <w:p w14:paraId="18F848D9"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Giari</w:t>
      </w:r>
      <w:proofErr w:type="spellEnd"/>
      <w:r>
        <w:rPr>
          <w:rFonts w:ascii="Times New Roman" w:eastAsia="SimSun" w:hAnsi="Times New Roman"/>
          <w:sz w:val="24"/>
          <w:szCs w:val="24"/>
          <w:lang w:eastAsia="zh-CN"/>
        </w:rPr>
        <w:t xml:space="preserve">, L., Maneri, M., Simoni, E. and </w:t>
      </w:r>
      <w:proofErr w:type="spellStart"/>
      <w:r>
        <w:rPr>
          <w:rFonts w:ascii="Times New Roman" w:eastAsia="SimSun" w:hAnsi="Times New Roman"/>
          <w:sz w:val="24"/>
          <w:szCs w:val="24"/>
          <w:lang w:eastAsia="zh-CN"/>
        </w:rPr>
        <w:t>Dezfuli</w:t>
      </w:r>
      <w:proofErr w:type="spellEnd"/>
      <w:r>
        <w:rPr>
          <w:rFonts w:ascii="Times New Roman" w:eastAsia="SimSun" w:hAnsi="Times New Roman"/>
          <w:sz w:val="24"/>
          <w:szCs w:val="24"/>
          <w:lang w:eastAsia="zh-CN"/>
        </w:rPr>
        <w:t xml:space="preserve">, B.S. (2007). Cellular alterations in different organs of European sea bass </w:t>
      </w:r>
      <w:proofErr w:type="spellStart"/>
      <w:r>
        <w:rPr>
          <w:rFonts w:ascii="Times New Roman" w:eastAsia="SimSun" w:hAnsi="Times New Roman"/>
          <w:sz w:val="24"/>
          <w:szCs w:val="24"/>
          <w:lang w:eastAsia="zh-CN"/>
        </w:rPr>
        <w:t>Dicentrarchus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labrax</w:t>
      </w:r>
      <w:proofErr w:type="spellEnd"/>
      <w:r>
        <w:rPr>
          <w:rFonts w:ascii="Times New Roman" w:eastAsia="SimSun" w:hAnsi="Times New Roman"/>
          <w:sz w:val="24"/>
          <w:szCs w:val="24"/>
          <w:lang w:eastAsia="zh-CN"/>
        </w:rPr>
        <w:t xml:space="preserve"> (L.) exposed to cadmium. Chemosphere 67: 1171-1181</w:t>
      </w:r>
    </w:p>
    <w:p w14:paraId="080F797D"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GISD (Global Invasive Species Database), (2019). Species profile: Tilapia </w:t>
      </w:r>
      <w:proofErr w:type="spellStart"/>
      <w:r>
        <w:rPr>
          <w:rFonts w:ascii="Times New Roman" w:eastAsia="SimSun" w:hAnsi="Times New Roman"/>
          <w:sz w:val="24"/>
          <w:szCs w:val="24"/>
          <w:lang w:eastAsia="zh-CN"/>
        </w:rPr>
        <w:t>zillii</w:t>
      </w:r>
      <w:proofErr w:type="spellEnd"/>
      <w:r>
        <w:rPr>
          <w:rFonts w:ascii="Times New Roman" w:eastAsia="SimSun" w:hAnsi="Times New Roman"/>
          <w:sz w:val="24"/>
          <w:szCs w:val="24"/>
          <w:lang w:eastAsia="zh-CN"/>
        </w:rPr>
        <w:t>. Downloaded from http://www.iucngisd.org/gisd/species.php?sc=1364 on 09-12-2019.</w:t>
      </w:r>
    </w:p>
    <w:p w14:paraId="54B45CEB"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Harvey et al., 1999;</w:t>
      </w:r>
    </w:p>
    <w:p w14:paraId="265D792A"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Hinton, D.E. and </w:t>
      </w:r>
      <w:proofErr w:type="spellStart"/>
      <w:r>
        <w:rPr>
          <w:rFonts w:ascii="Times New Roman" w:eastAsia="SimSun" w:hAnsi="Times New Roman"/>
          <w:sz w:val="24"/>
          <w:szCs w:val="24"/>
          <w:lang w:eastAsia="zh-CN"/>
        </w:rPr>
        <w:t>Laurén</w:t>
      </w:r>
      <w:proofErr w:type="spellEnd"/>
      <w:r>
        <w:rPr>
          <w:rFonts w:ascii="Times New Roman" w:eastAsia="SimSun" w:hAnsi="Times New Roman"/>
          <w:sz w:val="24"/>
          <w:szCs w:val="24"/>
          <w:lang w:eastAsia="zh-CN"/>
        </w:rPr>
        <w:t xml:space="preserve">, D.J. (1990). Liver structural alterations accompanying chronic toxicity in fishes: </w:t>
      </w:r>
      <w:proofErr w:type="spellStart"/>
      <w:r>
        <w:rPr>
          <w:rFonts w:ascii="Times New Roman" w:eastAsia="SimSun" w:hAnsi="Times New Roman"/>
          <w:sz w:val="24"/>
          <w:szCs w:val="24"/>
          <w:lang w:eastAsia="zh-CN"/>
        </w:rPr>
        <w:t>potentioal</w:t>
      </w:r>
      <w:proofErr w:type="spellEnd"/>
      <w:r>
        <w:rPr>
          <w:rFonts w:ascii="Times New Roman" w:eastAsia="SimSun" w:hAnsi="Times New Roman"/>
          <w:sz w:val="24"/>
          <w:szCs w:val="24"/>
          <w:lang w:eastAsia="zh-CN"/>
        </w:rPr>
        <w:t xml:space="preserve"> biomarkers of exposure. In: McCarthy, J.F. &amp; L.R. Shugart (Eds.). </w:t>
      </w:r>
      <w:r>
        <w:rPr>
          <w:rFonts w:ascii="Times New Roman" w:eastAsia="SimSun" w:hAnsi="Times New Roman"/>
          <w:i/>
          <w:sz w:val="24"/>
          <w:szCs w:val="24"/>
          <w:lang w:eastAsia="zh-CN"/>
        </w:rPr>
        <w:t>Biomarkers of Environmental Contamination.</w:t>
      </w:r>
      <w:r>
        <w:rPr>
          <w:rFonts w:ascii="Times New Roman" w:eastAsia="SimSun" w:hAnsi="Times New Roman"/>
          <w:sz w:val="24"/>
          <w:szCs w:val="24"/>
          <w:lang w:eastAsia="zh-CN"/>
        </w:rPr>
        <w:t xml:space="preserve"> 12: 51 – 65. </w:t>
      </w:r>
    </w:p>
    <w:p w14:paraId="6AFE1945"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ISO, 1994;</w:t>
      </w:r>
    </w:p>
    <w:p w14:paraId="311C642D" w14:textId="77777777" w:rsidR="0069775F" w:rsidRDefault="004D7A71" w:rsidP="00C07B6E">
      <w:pPr>
        <w:spacing w:line="240" w:lineRule="auto"/>
        <w:ind w:left="720" w:hanging="720"/>
        <w:jc w:val="both"/>
        <w:rPr>
          <w:rFonts w:eastAsia="SimSun"/>
          <w:lang w:eastAsia="zh-CN"/>
        </w:rPr>
      </w:pPr>
      <w:proofErr w:type="spellStart"/>
      <w:r>
        <w:rPr>
          <w:rFonts w:ascii="Times New Roman" w:eastAsia="SimSun" w:hAnsi="Times New Roman"/>
          <w:sz w:val="24"/>
          <w:szCs w:val="24"/>
          <w:lang w:eastAsia="zh-CN"/>
        </w:rPr>
        <w:t>Jarup</w:t>
      </w:r>
      <w:proofErr w:type="spellEnd"/>
      <w:r>
        <w:rPr>
          <w:rFonts w:ascii="Times New Roman" w:eastAsia="SimSun" w:hAnsi="Times New Roman"/>
          <w:sz w:val="24"/>
          <w:szCs w:val="24"/>
          <w:lang w:eastAsia="zh-CN"/>
        </w:rPr>
        <w:t>, L. (2003). Hazards of heavy metal contamination. British Medical Bulletin, 68:167-183.</w:t>
      </w:r>
      <w:r>
        <w:rPr>
          <w:rFonts w:eastAsia="SimSun"/>
          <w:lang w:eastAsia="zh-CN"/>
        </w:rPr>
        <w:t xml:space="preserve"> </w:t>
      </w:r>
    </w:p>
    <w:p w14:paraId="293BF2C8" w14:textId="77777777" w:rsidR="0069775F" w:rsidRDefault="004D7A71" w:rsidP="00C07B6E">
      <w:pPr>
        <w:spacing w:line="240" w:lineRule="auto"/>
        <w:ind w:left="720" w:hanging="720"/>
        <w:jc w:val="both"/>
        <w:rPr>
          <w:rFonts w:eastAsia="SimSun"/>
          <w:lang w:eastAsia="zh-CN"/>
        </w:rPr>
      </w:pPr>
      <w:r>
        <w:rPr>
          <w:rFonts w:eastAsia="SimSun"/>
          <w:lang w:eastAsia="zh-CN"/>
        </w:rPr>
        <w:lastRenderedPageBreak/>
        <w:t>Joly-</w:t>
      </w:r>
      <w:proofErr w:type="spellStart"/>
      <w:r>
        <w:rPr>
          <w:rFonts w:eastAsia="SimSun"/>
          <w:lang w:eastAsia="zh-CN"/>
        </w:rPr>
        <w:t>Turquin</w:t>
      </w:r>
      <w:proofErr w:type="spellEnd"/>
      <w:r>
        <w:rPr>
          <w:rFonts w:eastAsia="SimSun"/>
          <w:lang w:eastAsia="zh-CN"/>
        </w:rPr>
        <w:t xml:space="preserve"> et al., 2009</w:t>
      </w:r>
    </w:p>
    <w:p w14:paraId="7BDDB3BA"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Lauren, D.J. and McDonald, D.G. (1985). The effect of copper on branchial ion regulation in the </w:t>
      </w:r>
      <w:proofErr w:type="spellStart"/>
      <w:r>
        <w:rPr>
          <w:rFonts w:ascii="Times New Roman" w:eastAsia="SimSun" w:hAnsi="Times New Roman"/>
          <w:sz w:val="24"/>
          <w:szCs w:val="24"/>
          <w:lang w:eastAsia="zh-CN"/>
        </w:rPr>
        <w:t>raibow</w:t>
      </w:r>
      <w:proofErr w:type="spellEnd"/>
      <w:r>
        <w:rPr>
          <w:rFonts w:ascii="Times New Roman" w:eastAsia="SimSun" w:hAnsi="Times New Roman"/>
          <w:sz w:val="24"/>
          <w:szCs w:val="24"/>
          <w:lang w:eastAsia="zh-CN"/>
        </w:rPr>
        <w:t xml:space="preserve"> trout, Salmo </w:t>
      </w:r>
      <w:proofErr w:type="spellStart"/>
      <w:r>
        <w:rPr>
          <w:rFonts w:ascii="Times New Roman" w:eastAsia="SimSun" w:hAnsi="Times New Roman"/>
          <w:sz w:val="24"/>
          <w:szCs w:val="24"/>
          <w:lang w:eastAsia="zh-CN"/>
        </w:rPr>
        <w:t>gairdneri</w:t>
      </w:r>
      <w:proofErr w:type="spellEnd"/>
      <w:r>
        <w:rPr>
          <w:rFonts w:ascii="Times New Roman" w:eastAsia="SimSun" w:hAnsi="Times New Roman"/>
          <w:sz w:val="24"/>
          <w:szCs w:val="24"/>
          <w:lang w:eastAsia="zh-CN"/>
        </w:rPr>
        <w:t xml:space="preserve"> Richardson-modulation by water hardness and </w:t>
      </w:r>
      <w:proofErr w:type="spellStart"/>
      <w:r>
        <w:rPr>
          <w:rFonts w:ascii="Times New Roman" w:eastAsia="SimSun" w:hAnsi="Times New Roman"/>
          <w:sz w:val="24"/>
          <w:szCs w:val="24"/>
          <w:lang w:eastAsia="zh-CN"/>
        </w:rPr>
        <w:t>pH.</w:t>
      </w:r>
      <w:proofErr w:type="spellEnd"/>
      <w:r>
        <w:rPr>
          <w:rFonts w:ascii="Times New Roman" w:eastAsia="SimSun" w:hAnsi="Times New Roman"/>
          <w:sz w:val="24"/>
          <w:szCs w:val="24"/>
          <w:lang w:eastAsia="zh-CN"/>
        </w:rPr>
        <w:t xml:space="preserve"> J. Comp. Physiol., 155:635-644.</w:t>
      </w:r>
    </w:p>
    <w:p w14:paraId="0344D4F2" w14:textId="77777777" w:rsidR="0069775F" w:rsidRDefault="004D7A71" w:rsidP="00C07B6E">
      <w:pPr>
        <w:spacing w:line="240" w:lineRule="auto"/>
        <w:ind w:left="720" w:hanging="720"/>
        <w:jc w:val="both"/>
        <w:rPr>
          <w:rFonts w:eastAsia="SimSun"/>
          <w:lang w:eastAsia="zh-CN"/>
        </w:rPr>
      </w:pPr>
      <w:r>
        <w:rPr>
          <w:rFonts w:ascii="Times New Roman" w:eastAsia="SimSun" w:hAnsi="Times New Roman"/>
          <w:sz w:val="24"/>
          <w:szCs w:val="24"/>
          <w:lang w:eastAsia="zh-CN"/>
        </w:rPr>
        <w:t xml:space="preserve">Nero, V., Farwell, A., Lister, A., Van Der Kraak, G., Lee, I.E.J., Van Meer, T., MacKinnon, M.D. and Dixon, D.G. (2006). Gill and liver histopathological changes in yellow perch (Perca flavescens) and goldfish (Carassius auratus) exposed to oil sands process-affected water. </w:t>
      </w:r>
      <w:proofErr w:type="spellStart"/>
      <w:r>
        <w:rPr>
          <w:rFonts w:ascii="Times New Roman" w:eastAsia="SimSun" w:hAnsi="Times New Roman"/>
          <w:sz w:val="24"/>
          <w:szCs w:val="24"/>
          <w:lang w:eastAsia="zh-CN"/>
        </w:rPr>
        <w:t>Ecotoxicol</w:t>
      </w:r>
      <w:proofErr w:type="spellEnd"/>
      <w:r>
        <w:rPr>
          <w:rFonts w:ascii="Times New Roman" w:eastAsia="SimSun" w:hAnsi="Times New Roman"/>
          <w:sz w:val="24"/>
          <w:szCs w:val="24"/>
          <w:lang w:eastAsia="zh-CN"/>
        </w:rPr>
        <w:t>. Environ. Safe., 63: 365-377.</w:t>
      </w:r>
      <w:r>
        <w:rPr>
          <w:rFonts w:eastAsia="SimSun"/>
          <w:lang w:eastAsia="zh-CN"/>
        </w:rPr>
        <w:t xml:space="preserve"> </w:t>
      </w:r>
    </w:p>
    <w:p w14:paraId="02A9EA76"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Mallat</w:t>
      </w:r>
      <w:proofErr w:type="spellEnd"/>
      <w:r>
        <w:rPr>
          <w:rFonts w:ascii="Times New Roman" w:eastAsia="SimSun" w:hAnsi="Times New Roman"/>
          <w:sz w:val="24"/>
          <w:szCs w:val="24"/>
          <w:lang w:eastAsia="zh-CN"/>
        </w:rPr>
        <w:t>, 1985;</w:t>
      </w:r>
    </w:p>
    <w:p w14:paraId="4B945A3B"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Marigo´mez</w:t>
      </w:r>
      <w:proofErr w:type="spellEnd"/>
      <w:r>
        <w:rPr>
          <w:rFonts w:ascii="Times New Roman" w:eastAsia="SimSun" w:hAnsi="Times New Roman"/>
          <w:sz w:val="24"/>
          <w:szCs w:val="24"/>
          <w:lang w:eastAsia="zh-CN"/>
        </w:rPr>
        <w:t xml:space="preserve"> et al., 2006; </w:t>
      </w:r>
    </w:p>
    <w:p w14:paraId="15565E1A"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Martı´nez-Go´mez</w:t>
      </w:r>
      <w:proofErr w:type="spellEnd"/>
      <w:r>
        <w:rPr>
          <w:rFonts w:ascii="Times New Roman" w:eastAsia="SimSun" w:hAnsi="Times New Roman"/>
          <w:sz w:val="24"/>
          <w:szCs w:val="24"/>
          <w:lang w:eastAsia="zh-CN"/>
        </w:rPr>
        <w:t xml:space="preserve"> et al., 2006;</w:t>
      </w:r>
    </w:p>
    <w:p w14:paraId="2D64C105" w14:textId="77777777" w:rsidR="0069775F" w:rsidRDefault="004D7A71" w:rsidP="00C07B6E">
      <w:pPr>
        <w:spacing w:line="240" w:lineRule="auto"/>
        <w:ind w:left="720" w:hanging="720"/>
        <w:jc w:val="both"/>
        <w:rPr>
          <w:rFonts w:eastAsia="SimSun"/>
          <w:lang w:eastAsia="zh-CN"/>
        </w:rPr>
      </w:pPr>
      <w:r>
        <w:rPr>
          <w:rFonts w:ascii="Times New Roman" w:eastAsia="SimSun" w:hAnsi="Times New Roman"/>
          <w:sz w:val="24"/>
          <w:szCs w:val="24"/>
          <w:lang w:eastAsia="zh-CN"/>
        </w:rPr>
        <w:t>McDonald, D.G. (1983). The effect of H+ upon the gill of freshwater fish. Can. J. Zool., 61: 691-703.</w:t>
      </w:r>
      <w:r>
        <w:rPr>
          <w:rFonts w:eastAsia="SimSun"/>
          <w:lang w:eastAsia="zh-CN"/>
        </w:rPr>
        <w:t xml:space="preserve"> </w:t>
      </w:r>
    </w:p>
    <w:p w14:paraId="0D4DB1CA"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Meyers, R. and Hendricks, J.D. (1985). Histopathology. In: Fundamentals of aquatic toxicology. Edited by Rand, G.M. and Petrocelli, S.R. Washington, DC: Hemisphere Publishing Corp.</w:t>
      </w:r>
    </w:p>
    <w:p w14:paraId="78AA451B"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(2019). Environment Directorate Joint Meeting of the Chemicals Committee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The Working Party On Chemicals, Pesticides And Biotechnology. Environmental Journal of Medicine. 6: 1.</w:t>
      </w:r>
    </w:p>
    <w:p w14:paraId="372A1BE3"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210), (2013). OECD Guidelines for the Testing of Chemicals:  Test (No. 210), Fish, Early-life Stage Toxicity.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Paris, France.</w:t>
      </w:r>
    </w:p>
    <w:p w14:paraId="657CAFB3"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Olojo</w:t>
      </w:r>
      <w:proofErr w:type="spellEnd"/>
      <w:r>
        <w:rPr>
          <w:rFonts w:ascii="Times New Roman" w:eastAsia="SimSun" w:hAnsi="Times New Roman"/>
          <w:sz w:val="24"/>
          <w:szCs w:val="24"/>
          <w:lang w:eastAsia="zh-CN"/>
        </w:rPr>
        <w:t xml:space="preserve"> EAA, </w:t>
      </w:r>
      <w:proofErr w:type="spellStart"/>
      <w:r>
        <w:rPr>
          <w:rFonts w:ascii="Times New Roman" w:eastAsia="SimSun" w:hAnsi="Times New Roman"/>
          <w:sz w:val="24"/>
          <w:szCs w:val="24"/>
          <w:lang w:eastAsia="zh-CN"/>
        </w:rPr>
        <w:t>Olurin</w:t>
      </w:r>
      <w:proofErr w:type="spellEnd"/>
      <w:r>
        <w:rPr>
          <w:rFonts w:ascii="Times New Roman" w:eastAsia="SimSun" w:hAnsi="Times New Roman"/>
          <w:sz w:val="24"/>
          <w:szCs w:val="24"/>
          <w:lang w:eastAsia="zh-CN"/>
        </w:rPr>
        <w:t xml:space="preserve"> KB, </w:t>
      </w:r>
      <w:proofErr w:type="spellStart"/>
      <w:r>
        <w:rPr>
          <w:rFonts w:ascii="Times New Roman" w:eastAsia="SimSun" w:hAnsi="Times New Roman"/>
          <w:sz w:val="24"/>
          <w:szCs w:val="24"/>
          <w:lang w:eastAsia="zh-CN"/>
        </w:rPr>
        <w:t>Mbaka</w:t>
      </w:r>
      <w:proofErr w:type="spellEnd"/>
      <w:r>
        <w:rPr>
          <w:rFonts w:ascii="Times New Roman" w:eastAsia="SimSun" w:hAnsi="Times New Roman"/>
          <w:sz w:val="24"/>
          <w:szCs w:val="24"/>
          <w:lang w:eastAsia="zh-CN"/>
        </w:rPr>
        <w:t xml:space="preserve"> G and </w:t>
      </w:r>
      <w:proofErr w:type="spellStart"/>
      <w:r>
        <w:rPr>
          <w:rFonts w:ascii="Times New Roman" w:eastAsia="SimSun" w:hAnsi="Times New Roman"/>
          <w:sz w:val="24"/>
          <w:szCs w:val="24"/>
          <w:lang w:eastAsia="zh-CN"/>
        </w:rPr>
        <w:t>Oluwemimo</w:t>
      </w:r>
      <w:proofErr w:type="spellEnd"/>
      <w:r>
        <w:rPr>
          <w:rFonts w:ascii="Times New Roman" w:eastAsia="SimSun" w:hAnsi="Times New Roman"/>
          <w:sz w:val="24"/>
          <w:szCs w:val="24"/>
          <w:lang w:eastAsia="zh-CN"/>
        </w:rPr>
        <w:t xml:space="preserve"> AD (2005). Histopathology of the gill and liver tissues of the African catfish </w:t>
      </w:r>
      <w:proofErr w:type="spellStart"/>
      <w:r>
        <w:rPr>
          <w:rFonts w:ascii="Times New Roman" w:eastAsia="SimSun" w:hAnsi="Times New Roman"/>
          <w:sz w:val="24"/>
          <w:szCs w:val="24"/>
          <w:lang w:eastAsia="zh-CN"/>
        </w:rPr>
        <w:t>Clarias</w:t>
      </w:r>
      <w:proofErr w:type="spellEnd"/>
      <w:r>
        <w:rPr>
          <w:rFonts w:ascii="Times New Roman" w:eastAsia="SimSun" w:hAnsi="Times New Roman"/>
          <w:sz w:val="24"/>
          <w:szCs w:val="24"/>
          <w:lang w:eastAsia="zh-CN"/>
        </w:rPr>
        <w:t xml:space="preserve"> </w:t>
      </w:r>
      <w:proofErr w:type="spellStart"/>
      <w:r>
        <w:rPr>
          <w:rFonts w:ascii="Times New Roman" w:eastAsia="SimSun" w:hAnsi="Times New Roman"/>
          <w:sz w:val="24"/>
          <w:szCs w:val="24"/>
          <w:lang w:eastAsia="zh-CN"/>
        </w:rPr>
        <w:t>gariepinus</w:t>
      </w:r>
      <w:proofErr w:type="spellEnd"/>
      <w:r>
        <w:rPr>
          <w:rFonts w:ascii="Times New Roman" w:eastAsia="SimSun" w:hAnsi="Times New Roman"/>
          <w:sz w:val="24"/>
          <w:szCs w:val="24"/>
          <w:lang w:eastAsia="zh-CN"/>
        </w:rPr>
        <w:t xml:space="preserve"> exposed to lead. Afr. J. Biotech., 4(1):117-122.</w:t>
      </w:r>
    </w:p>
    <w:p w14:paraId="7B6D56DE"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Skidmore, J.F. and </w:t>
      </w:r>
      <w:proofErr w:type="spellStart"/>
      <w:r>
        <w:rPr>
          <w:rFonts w:ascii="Times New Roman" w:eastAsia="SimSun" w:hAnsi="Times New Roman"/>
          <w:sz w:val="24"/>
          <w:szCs w:val="24"/>
          <w:lang w:eastAsia="zh-CN"/>
        </w:rPr>
        <w:t>Tovell</w:t>
      </w:r>
      <w:proofErr w:type="spellEnd"/>
      <w:r>
        <w:rPr>
          <w:rFonts w:ascii="Times New Roman" w:eastAsia="SimSun" w:hAnsi="Times New Roman"/>
          <w:sz w:val="24"/>
          <w:szCs w:val="24"/>
          <w:lang w:eastAsia="zh-CN"/>
        </w:rPr>
        <w:t xml:space="preserve">, P.W.A. (1972). Toxic effects of zinc sulphate on the gills of rainbow trout. Water Res., 6: 217-230. </w:t>
      </w:r>
    </w:p>
    <w:p w14:paraId="2CAA719E"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Swee et at., 1996).</w:t>
      </w:r>
    </w:p>
    <w:p w14:paraId="21D594B0"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210), (2013). OECD Guidelines for the Testing of Chemicals:  Test (No. 210), Fish, Early-life Stage Toxicity.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Paris, France.</w:t>
      </w:r>
    </w:p>
    <w:p w14:paraId="19B5F90F" w14:textId="77777777" w:rsidR="0069775F" w:rsidRDefault="004D7A71" w:rsidP="00C07B6E">
      <w:pPr>
        <w:spacing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OECD (</w:t>
      </w:r>
      <w:proofErr w:type="spellStart"/>
      <w:r>
        <w:rPr>
          <w:rFonts w:ascii="Times New Roman" w:eastAsia="Times New Roman" w:hAnsi="Times New Roman"/>
          <w:sz w:val="24"/>
          <w:szCs w:val="24"/>
        </w:rPr>
        <w:t>Organisation</w:t>
      </w:r>
      <w:proofErr w:type="spellEnd"/>
      <w:r>
        <w:rPr>
          <w:rFonts w:ascii="Times New Roman" w:eastAsia="Times New Roman" w:hAnsi="Times New Roman"/>
          <w:sz w:val="24"/>
          <w:szCs w:val="24"/>
        </w:rPr>
        <w:t xml:space="preserve"> for Economic Co-operation and Development 2000), (2019). Environment Directorate Joint Meeting of the Chemicals Committee </w:t>
      </w:r>
      <w:proofErr w:type="gramStart"/>
      <w:r>
        <w:rPr>
          <w:rFonts w:ascii="Times New Roman" w:eastAsia="Times New Roman" w:hAnsi="Times New Roman"/>
          <w:sz w:val="24"/>
          <w:szCs w:val="24"/>
        </w:rPr>
        <w:t>And</w:t>
      </w:r>
      <w:proofErr w:type="gramEnd"/>
      <w:r>
        <w:rPr>
          <w:rFonts w:ascii="Times New Roman" w:eastAsia="Times New Roman" w:hAnsi="Times New Roman"/>
          <w:sz w:val="24"/>
          <w:szCs w:val="24"/>
        </w:rPr>
        <w:t xml:space="preserve"> The Working Party On Chemicals, Pesticides And Biotechnology. ENV/JM/</w:t>
      </w:r>
      <w:proofErr w:type="gramStart"/>
      <w:r>
        <w:rPr>
          <w:rFonts w:ascii="Times New Roman" w:eastAsia="Times New Roman" w:hAnsi="Times New Roman"/>
          <w:sz w:val="24"/>
          <w:szCs w:val="24"/>
        </w:rPr>
        <w:t>MONO(</w:t>
      </w:r>
      <w:proofErr w:type="gramEnd"/>
      <w:r>
        <w:rPr>
          <w:rFonts w:ascii="Times New Roman" w:eastAsia="Times New Roman" w:hAnsi="Times New Roman"/>
          <w:sz w:val="24"/>
          <w:szCs w:val="24"/>
        </w:rPr>
        <w:t>2000)6/REV1</w:t>
      </w:r>
    </w:p>
    <w:p w14:paraId="7520751C"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Pawert</w:t>
      </w:r>
      <w:proofErr w:type="spellEnd"/>
      <w:r>
        <w:rPr>
          <w:rFonts w:ascii="Times New Roman" w:eastAsia="SimSun" w:hAnsi="Times New Roman"/>
          <w:sz w:val="24"/>
          <w:szCs w:val="24"/>
          <w:lang w:eastAsia="zh-CN"/>
        </w:rPr>
        <w:t xml:space="preserve">, M., Muller, R. and </w:t>
      </w:r>
      <w:proofErr w:type="spellStart"/>
      <w:r>
        <w:rPr>
          <w:rFonts w:ascii="Times New Roman" w:eastAsia="SimSun" w:hAnsi="Times New Roman"/>
          <w:sz w:val="24"/>
          <w:szCs w:val="24"/>
          <w:lang w:eastAsia="zh-CN"/>
        </w:rPr>
        <w:t>Triebskorn</w:t>
      </w:r>
      <w:proofErr w:type="spellEnd"/>
      <w:r>
        <w:rPr>
          <w:rFonts w:ascii="Times New Roman" w:eastAsia="SimSun" w:hAnsi="Times New Roman"/>
          <w:sz w:val="24"/>
          <w:szCs w:val="24"/>
          <w:lang w:eastAsia="zh-CN"/>
        </w:rPr>
        <w:t xml:space="preserve">, R. (1998). Ultrastructural changes in fish gills as biomarker to assess small stream pollution. Tissue and Cell, 20:617-626. </w:t>
      </w:r>
    </w:p>
    <w:p w14:paraId="7939AA01"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lastRenderedPageBreak/>
        <w:t>Pietrapiana</w:t>
      </w:r>
      <w:proofErr w:type="spellEnd"/>
      <w:r>
        <w:rPr>
          <w:rFonts w:ascii="Times New Roman" w:eastAsia="SimSun" w:hAnsi="Times New Roman"/>
          <w:sz w:val="24"/>
          <w:szCs w:val="24"/>
          <w:lang w:eastAsia="zh-CN"/>
        </w:rPr>
        <w:t xml:space="preserve"> et al., 2002;</w:t>
      </w:r>
    </w:p>
    <w:p w14:paraId="343BEBDD"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Rand GM, Petrocelli SR (Eds), (1985). Fundamentals of Aquatic Toxicology. Methods and Applications. Hemisphere, New York. pp. 374-415.</w:t>
      </w:r>
    </w:p>
    <w:p w14:paraId="79D44EBB"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Roberts, R.J. (2001). Fish pathology. W.B. Saunders: Harcourt Publishers Ltd.</w:t>
      </w:r>
    </w:p>
    <w:p w14:paraId="60DD46C8"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Roberts, R.J. (1989). Fish pathology. 2nd </w:t>
      </w:r>
      <w:proofErr w:type="spellStart"/>
      <w:r>
        <w:rPr>
          <w:rFonts w:ascii="Times New Roman" w:eastAsia="SimSun" w:hAnsi="Times New Roman"/>
          <w:sz w:val="24"/>
          <w:szCs w:val="24"/>
          <w:lang w:eastAsia="zh-CN"/>
        </w:rPr>
        <w:t>edn</w:t>
      </w:r>
      <w:proofErr w:type="spellEnd"/>
      <w:r>
        <w:rPr>
          <w:rFonts w:ascii="Times New Roman" w:eastAsia="SimSun" w:hAnsi="Times New Roman"/>
          <w:sz w:val="24"/>
          <w:szCs w:val="24"/>
          <w:lang w:eastAsia="zh-CN"/>
        </w:rPr>
        <w:t>. London: Bailliere Tindal.</w:t>
      </w:r>
    </w:p>
    <w:p w14:paraId="23F14165"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Rombough</w:t>
      </w:r>
      <w:proofErr w:type="spellEnd"/>
      <w:r>
        <w:rPr>
          <w:rFonts w:ascii="Times New Roman" w:eastAsia="SimSun" w:hAnsi="Times New Roman"/>
          <w:sz w:val="24"/>
          <w:szCs w:val="24"/>
          <w:lang w:eastAsia="zh-CN"/>
        </w:rPr>
        <w:t>, P.T. and Garside, E.T. (1977</w:t>
      </w:r>
      <w:proofErr w:type="gramStart"/>
      <w:r>
        <w:rPr>
          <w:rFonts w:ascii="Times New Roman" w:eastAsia="SimSun" w:hAnsi="Times New Roman"/>
          <w:sz w:val="24"/>
          <w:szCs w:val="24"/>
          <w:lang w:eastAsia="zh-CN"/>
        </w:rPr>
        <w:t>).</w:t>
      </w:r>
      <w:proofErr w:type="spellStart"/>
      <w:r>
        <w:rPr>
          <w:rFonts w:ascii="Times New Roman" w:eastAsia="SimSun" w:hAnsi="Times New Roman"/>
          <w:sz w:val="24"/>
          <w:szCs w:val="24"/>
          <w:lang w:eastAsia="zh-CN"/>
        </w:rPr>
        <w:t>hypoxial</w:t>
      </w:r>
      <w:proofErr w:type="spellEnd"/>
      <w:proofErr w:type="gramEnd"/>
      <w:r>
        <w:rPr>
          <w:rFonts w:ascii="Times New Roman" w:eastAsia="SimSun" w:hAnsi="Times New Roman"/>
          <w:sz w:val="24"/>
          <w:szCs w:val="24"/>
          <w:lang w:eastAsia="zh-CN"/>
        </w:rPr>
        <w:t xml:space="preserve"> death inferred from thermally induced injuries at upper lethal temperatures, in banded killifish, </w:t>
      </w:r>
      <w:proofErr w:type="spellStart"/>
      <w:r>
        <w:rPr>
          <w:rFonts w:ascii="Times New Roman" w:eastAsia="SimSun" w:hAnsi="Times New Roman"/>
          <w:sz w:val="24"/>
          <w:szCs w:val="24"/>
          <w:lang w:eastAsia="zh-CN"/>
        </w:rPr>
        <w:t>Fundulus</w:t>
      </w:r>
      <w:proofErr w:type="spellEnd"/>
      <w:r>
        <w:rPr>
          <w:rFonts w:ascii="Times New Roman" w:eastAsia="SimSun" w:hAnsi="Times New Roman"/>
          <w:sz w:val="24"/>
          <w:szCs w:val="24"/>
          <w:lang w:eastAsia="zh-CN"/>
        </w:rPr>
        <w:t xml:space="preserve"> diaphanous (Le Sueur). Can. J. Zool., 55:1705-1719. </w:t>
      </w:r>
    </w:p>
    <w:p w14:paraId="79669841"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Thophon</w:t>
      </w:r>
      <w:proofErr w:type="spellEnd"/>
      <w:r>
        <w:rPr>
          <w:rFonts w:ascii="Times New Roman" w:eastAsia="SimSun" w:hAnsi="Times New Roman"/>
          <w:sz w:val="24"/>
          <w:szCs w:val="24"/>
          <w:lang w:eastAsia="zh-CN"/>
        </w:rPr>
        <w:t xml:space="preserve"> S, </w:t>
      </w:r>
      <w:proofErr w:type="spellStart"/>
      <w:r>
        <w:rPr>
          <w:rFonts w:ascii="Times New Roman" w:eastAsia="SimSun" w:hAnsi="Times New Roman"/>
          <w:sz w:val="24"/>
          <w:szCs w:val="24"/>
          <w:lang w:eastAsia="zh-CN"/>
        </w:rPr>
        <w:t>Pokethitiyook</w:t>
      </w:r>
      <w:proofErr w:type="spellEnd"/>
      <w:r>
        <w:rPr>
          <w:rFonts w:ascii="Times New Roman" w:eastAsia="SimSun" w:hAnsi="Times New Roman"/>
          <w:sz w:val="24"/>
          <w:szCs w:val="24"/>
          <w:lang w:eastAsia="zh-CN"/>
        </w:rPr>
        <w:t xml:space="preserve"> P, </w:t>
      </w:r>
      <w:proofErr w:type="spellStart"/>
      <w:r>
        <w:rPr>
          <w:rFonts w:ascii="Times New Roman" w:eastAsia="SimSun" w:hAnsi="Times New Roman"/>
          <w:sz w:val="24"/>
          <w:szCs w:val="24"/>
          <w:lang w:eastAsia="zh-CN"/>
        </w:rPr>
        <w:t>Chalermwat</w:t>
      </w:r>
      <w:proofErr w:type="spellEnd"/>
      <w:r>
        <w:rPr>
          <w:rFonts w:ascii="Times New Roman" w:eastAsia="SimSun" w:hAnsi="Times New Roman"/>
          <w:sz w:val="24"/>
          <w:szCs w:val="24"/>
          <w:lang w:eastAsia="zh-CN"/>
        </w:rPr>
        <w:t xml:space="preserve"> K, </w:t>
      </w:r>
      <w:proofErr w:type="spellStart"/>
      <w:r>
        <w:rPr>
          <w:rFonts w:ascii="Times New Roman" w:eastAsia="SimSun" w:hAnsi="Times New Roman"/>
          <w:sz w:val="24"/>
          <w:szCs w:val="24"/>
          <w:lang w:eastAsia="zh-CN"/>
        </w:rPr>
        <w:t>Upatham</w:t>
      </w:r>
      <w:proofErr w:type="spellEnd"/>
      <w:r>
        <w:rPr>
          <w:rFonts w:ascii="Times New Roman" w:eastAsia="SimSun" w:hAnsi="Times New Roman"/>
          <w:sz w:val="24"/>
          <w:szCs w:val="24"/>
          <w:lang w:eastAsia="zh-CN"/>
        </w:rPr>
        <w:t xml:space="preserve"> ES, </w:t>
      </w:r>
      <w:proofErr w:type="spellStart"/>
      <w:r>
        <w:rPr>
          <w:rFonts w:ascii="Times New Roman" w:eastAsia="SimSun" w:hAnsi="Times New Roman"/>
          <w:sz w:val="24"/>
          <w:szCs w:val="24"/>
          <w:lang w:eastAsia="zh-CN"/>
        </w:rPr>
        <w:t>Sahaphong</w:t>
      </w:r>
      <w:proofErr w:type="spellEnd"/>
      <w:r>
        <w:rPr>
          <w:rFonts w:ascii="Times New Roman" w:eastAsia="SimSun" w:hAnsi="Times New Roman"/>
          <w:sz w:val="24"/>
          <w:szCs w:val="24"/>
          <w:lang w:eastAsia="zh-CN"/>
        </w:rPr>
        <w:t xml:space="preserve"> S (2004) Ultrastructural alterations in the liver and kidney of white sea bass, Lates calcarifer, in acute and </w:t>
      </w:r>
      <w:proofErr w:type="spellStart"/>
      <w:r>
        <w:rPr>
          <w:rFonts w:ascii="Times New Roman" w:eastAsia="SimSun" w:hAnsi="Times New Roman"/>
          <w:sz w:val="24"/>
          <w:szCs w:val="24"/>
          <w:lang w:eastAsia="zh-CN"/>
        </w:rPr>
        <w:t>subchronic</w:t>
      </w:r>
      <w:proofErr w:type="spellEnd"/>
      <w:r>
        <w:rPr>
          <w:rFonts w:ascii="Times New Roman" w:eastAsia="SimSun" w:hAnsi="Times New Roman"/>
          <w:sz w:val="24"/>
          <w:szCs w:val="24"/>
          <w:lang w:eastAsia="zh-CN"/>
        </w:rPr>
        <w:t xml:space="preserve"> cadmium exposure. Environ </w:t>
      </w:r>
      <w:proofErr w:type="spellStart"/>
      <w:r>
        <w:rPr>
          <w:rFonts w:ascii="Times New Roman" w:eastAsia="SimSun" w:hAnsi="Times New Roman"/>
          <w:sz w:val="24"/>
          <w:szCs w:val="24"/>
          <w:lang w:eastAsia="zh-CN"/>
        </w:rPr>
        <w:t>Toxicol</w:t>
      </w:r>
      <w:proofErr w:type="spellEnd"/>
      <w:r>
        <w:rPr>
          <w:rFonts w:ascii="Times New Roman" w:eastAsia="SimSun" w:hAnsi="Times New Roman"/>
          <w:sz w:val="24"/>
          <w:szCs w:val="24"/>
          <w:lang w:eastAsia="zh-CN"/>
        </w:rPr>
        <w:t xml:space="preserve"> 19: 11-19. </w:t>
      </w:r>
    </w:p>
    <w:p w14:paraId="6FEBEA46"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USEPA (United State Environmental Protection Agency), (2005) Methods/Indicators for Determining when Metals are the Cause of Biological Impairments of Rivers and Streams: Species Sensitivity Distributions and Chronic Exposure-Response Relationships from Laboratory Data. U.S. Environmental Protection Agency, Office of Research and Development, Washington DC. EPA/600/X-05/027.</w:t>
      </w:r>
    </w:p>
    <w:p w14:paraId="48877897"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USEPA (United State Environmental Protection Agency), (2002). Short-term Methods for Estimating the Chronic Toxicity of Effluents and Receiving Waters to Marine and Estuarine Organisms. Third Edition. EPA-821-R-02-014 </w:t>
      </w:r>
    </w:p>
    <w:p w14:paraId="102A07C2"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USEPA (US Environmental Protection Agency), (1994). Using Toxicity Tests in Ecological Risk Assessment. ECO Update: Intermittent Bulletin Volume 2 Number 1. Office of Emergency Remedial </w:t>
      </w:r>
      <w:proofErr w:type="spellStart"/>
      <w:r>
        <w:rPr>
          <w:rFonts w:ascii="Times New Roman" w:eastAsia="SimSun" w:hAnsi="Times New Roman"/>
          <w:sz w:val="24"/>
          <w:szCs w:val="24"/>
          <w:lang w:eastAsia="zh-CN"/>
        </w:rPr>
        <w:t>ResponseHazardous</w:t>
      </w:r>
      <w:proofErr w:type="spellEnd"/>
      <w:r>
        <w:rPr>
          <w:rFonts w:ascii="Times New Roman" w:eastAsia="SimSun" w:hAnsi="Times New Roman"/>
          <w:sz w:val="24"/>
          <w:szCs w:val="24"/>
          <w:lang w:eastAsia="zh-CN"/>
        </w:rPr>
        <w:t xml:space="preserve"> Site Evaluation Division (5204G). </w:t>
      </w:r>
    </w:p>
    <w:p w14:paraId="37785B38"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USEPA, 1992</w:t>
      </w:r>
    </w:p>
    <w:p w14:paraId="1F504099"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Times New Roman" w:hAnsi="Times New Roman"/>
          <w:sz w:val="24"/>
          <w:szCs w:val="24"/>
        </w:rPr>
        <w:t xml:space="preserve">Van </w:t>
      </w:r>
      <w:proofErr w:type="spellStart"/>
      <w:proofErr w:type="gramStart"/>
      <w:r>
        <w:rPr>
          <w:rFonts w:ascii="Times New Roman" w:eastAsia="Times New Roman" w:hAnsi="Times New Roman"/>
          <w:sz w:val="24"/>
          <w:szCs w:val="24"/>
        </w:rPr>
        <w:t>Dyk,J.C</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Marchand,M.J</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Pieterse,G.M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Barnhoorn,IE.J</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Bornman,M.S</w:t>
      </w:r>
      <w:proofErr w:type="spellEnd"/>
      <w:r>
        <w:rPr>
          <w:rFonts w:ascii="Times New Roman" w:eastAsia="Times New Roman" w:hAnsi="Times New Roman"/>
          <w:sz w:val="24"/>
          <w:szCs w:val="24"/>
        </w:rPr>
        <w:t xml:space="preserve">. (2009a). Histological changes in the gills of </w:t>
      </w:r>
      <w:proofErr w:type="spellStart"/>
      <w:r>
        <w:rPr>
          <w:rFonts w:ascii="Times New Roman" w:eastAsia="Times New Roman" w:hAnsi="Times New Roman"/>
          <w:sz w:val="24"/>
          <w:szCs w:val="24"/>
        </w:rPr>
        <w:t>Clarias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gariepinus</w:t>
      </w:r>
      <w:proofErr w:type="spellEnd"/>
      <w:r>
        <w:rPr>
          <w:rFonts w:ascii="Times New Roman" w:eastAsia="Times New Roman" w:hAnsi="Times New Roman"/>
          <w:sz w:val="24"/>
          <w:szCs w:val="24"/>
        </w:rPr>
        <w:t xml:space="preserve"> (Teleostei: </w:t>
      </w:r>
      <w:proofErr w:type="spellStart"/>
      <w:r>
        <w:rPr>
          <w:rFonts w:ascii="Times New Roman" w:eastAsia="Times New Roman" w:hAnsi="Times New Roman"/>
          <w:sz w:val="24"/>
          <w:szCs w:val="24"/>
        </w:rPr>
        <w:t>Clariidae</w:t>
      </w:r>
      <w:proofErr w:type="spellEnd"/>
      <w:r>
        <w:rPr>
          <w:rFonts w:ascii="Times New Roman" w:eastAsia="Times New Roman" w:hAnsi="Times New Roman"/>
          <w:sz w:val="24"/>
          <w:szCs w:val="24"/>
        </w:rPr>
        <w:t xml:space="preserve">) from a polluted South African urban aquatic system. Afr. J. </w:t>
      </w:r>
      <w:proofErr w:type="spellStart"/>
      <w:r>
        <w:rPr>
          <w:rFonts w:ascii="Times New Roman" w:eastAsia="Times New Roman" w:hAnsi="Times New Roman"/>
          <w:sz w:val="24"/>
          <w:szCs w:val="24"/>
        </w:rPr>
        <w:t>Aquat</w:t>
      </w:r>
      <w:proofErr w:type="spellEnd"/>
      <w:r>
        <w:rPr>
          <w:rFonts w:ascii="Times New Roman" w:eastAsia="Times New Roman" w:hAnsi="Times New Roman"/>
          <w:sz w:val="24"/>
          <w:szCs w:val="24"/>
        </w:rPr>
        <w:t xml:space="preserve">. Sci. 34,283–291. </w:t>
      </w:r>
    </w:p>
    <w:p w14:paraId="64CAEB79"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Verbost</w:t>
      </w:r>
      <w:proofErr w:type="spellEnd"/>
      <w:r>
        <w:rPr>
          <w:rFonts w:ascii="Times New Roman" w:eastAsia="SimSun" w:hAnsi="Times New Roman"/>
          <w:sz w:val="24"/>
          <w:szCs w:val="24"/>
          <w:lang w:eastAsia="zh-CN"/>
        </w:rPr>
        <w:t xml:space="preserve">, P.M., </w:t>
      </w:r>
      <w:proofErr w:type="spellStart"/>
      <w:r>
        <w:rPr>
          <w:rFonts w:ascii="Times New Roman" w:eastAsia="SimSun" w:hAnsi="Times New Roman"/>
          <w:sz w:val="24"/>
          <w:szCs w:val="24"/>
          <w:lang w:eastAsia="zh-CN"/>
        </w:rPr>
        <w:t>Flik</w:t>
      </w:r>
      <w:proofErr w:type="spellEnd"/>
      <w:r>
        <w:rPr>
          <w:rFonts w:ascii="Times New Roman" w:eastAsia="SimSun" w:hAnsi="Times New Roman"/>
          <w:sz w:val="24"/>
          <w:szCs w:val="24"/>
          <w:lang w:eastAsia="zh-CN"/>
        </w:rPr>
        <w:t xml:space="preserve">, G., Lock, R.A.C. and </w:t>
      </w:r>
      <w:proofErr w:type="spellStart"/>
      <w:r>
        <w:rPr>
          <w:rFonts w:ascii="Times New Roman" w:eastAsia="SimSun" w:hAnsi="Times New Roman"/>
          <w:sz w:val="24"/>
          <w:szCs w:val="24"/>
          <w:lang w:eastAsia="zh-CN"/>
        </w:rPr>
        <w:t>Wendelar</w:t>
      </w:r>
      <w:proofErr w:type="spellEnd"/>
      <w:r>
        <w:rPr>
          <w:rFonts w:ascii="Times New Roman" w:eastAsia="SimSun" w:hAnsi="Times New Roman"/>
          <w:sz w:val="24"/>
          <w:szCs w:val="24"/>
          <w:lang w:eastAsia="zh-CN"/>
        </w:rPr>
        <w:t xml:space="preserve"> Bonga, S.E. (1987). Cadmium inhibition of Ca2+ uptake in rainbow trout gills. Am. J. Physiol., 253: 216-221. </w:t>
      </w:r>
    </w:p>
    <w:p w14:paraId="57B85C25" w14:textId="77777777"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Wester PW, van der Ven LTM, </w:t>
      </w:r>
      <w:proofErr w:type="spellStart"/>
      <w:r>
        <w:rPr>
          <w:rFonts w:ascii="Times New Roman" w:eastAsia="SimSun" w:hAnsi="Times New Roman"/>
          <w:sz w:val="24"/>
          <w:szCs w:val="24"/>
          <w:lang w:eastAsia="zh-CN"/>
        </w:rPr>
        <w:t>Vethaak</w:t>
      </w:r>
      <w:proofErr w:type="spellEnd"/>
      <w:r>
        <w:rPr>
          <w:rFonts w:ascii="Times New Roman" w:eastAsia="SimSun" w:hAnsi="Times New Roman"/>
          <w:sz w:val="24"/>
          <w:szCs w:val="24"/>
          <w:lang w:eastAsia="zh-CN"/>
        </w:rPr>
        <w:t xml:space="preserve"> AD, </w:t>
      </w:r>
      <w:proofErr w:type="spellStart"/>
      <w:r>
        <w:rPr>
          <w:rFonts w:ascii="Times New Roman" w:eastAsia="SimSun" w:hAnsi="Times New Roman"/>
          <w:sz w:val="24"/>
          <w:szCs w:val="24"/>
          <w:lang w:eastAsia="zh-CN"/>
        </w:rPr>
        <w:t>Grinwis</w:t>
      </w:r>
      <w:proofErr w:type="spellEnd"/>
      <w:r>
        <w:rPr>
          <w:rFonts w:ascii="Times New Roman" w:eastAsia="SimSun" w:hAnsi="Times New Roman"/>
          <w:sz w:val="24"/>
          <w:szCs w:val="24"/>
          <w:lang w:eastAsia="zh-CN"/>
        </w:rPr>
        <w:t xml:space="preserve"> GCM, Vos JG., (2002). Aquatic toxicology: opportunities for enhancement through histopathology. Environmental Toxicology and Pharmacology 11: 289-295. </w:t>
      </w:r>
    </w:p>
    <w:p w14:paraId="56B3D374" w14:textId="77777777" w:rsidR="0069775F" w:rsidRDefault="004D7A71" w:rsidP="00C07B6E">
      <w:pPr>
        <w:spacing w:line="240" w:lineRule="auto"/>
        <w:ind w:left="720" w:hanging="72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Yanong</w:t>
      </w:r>
      <w:proofErr w:type="spellEnd"/>
      <w:r>
        <w:rPr>
          <w:rFonts w:ascii="Times New Roman" w:eastAsia="SimSun" w:hAnsi="Times New Roman"/>
          <w:sz w:val="24"/>
          <w:szCs w:val="24"/>
          <w:lang w:eastAsia="zh-CN"/>
        </w:rPr>
        <w:t xml:space="preserve">, R.P.E. 2009. Cryptocaryon </w:t>
      </w:r>
      <w:proofErr w:type="spellStart"/>
      <w:r>
        <w:rPr>
          <w:rFonts w:ascii="Times New Roman" w:eastAsia="SimSun" w:hAnsi="Times New Roman"/>
          <w:sz w:val="24"/>
          <w:szCs w:val="24"/>
          <w:lang w:eastAsia="zh-CN"/>
        </w:rPr>
        <w:t>irritans</w:t>
      </w:r>
      <w:proofErr w:type="spellEnd"/>
      <w:r>
        <w:rPr>
          <w:rFonts w:ascii="Times New Roman" w:eastAsia="SimSun" w:hAnsi="Times New Roman"/>
          <w:sz w:val="24"/>
          <w:szCs w:val="24"/>
          <w:lang w:eastAsia="zh-CN"/>
        </w:rPr>
        <w:t xml:space="preserve"> Infections (Marine White Spot Disease) in Fish. FA164. Gainesville: University of Florida Institute of Food and Agricultural Sciences. http://edis.ifas.ufl.edu/FA164</w:t>
      </w:r>
    </w:p>
    <w:p w14:paraId="4BC3E514" w14:textId="4992AD2A" w:rsidR="0069775F" w:rsidRDefault="004D7A71" w:rsidP="00C07B6E">
      <w:pPr>
        <w:spacing w:line="240" w:lineRule="auto"/>
        <w:ind w:left="720" w:hanging="72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Yasutake, W.T. and Wales, J.H. (1983). Microscopic analyses of salmonids.: an atlas. Washington D.C.: United States of Department of Fish and Wild life services. </w:t>
      </w:r>
    </w:p>
    <w:p w14:paraId="1D719535" w14:textId="77777777" w:rsidR="004C10FD" w:rsidRPr="004C10FD" w:rsidRDefault="004C10FD" w:rsidP="004C10FD">
      <w:pPr>
        <w:spacing w:line="240" w:lineRule="auto"/>
        <w:ind w:left="720" w:hanging="720"/>
        <w:jc w:val="both"/>
        <w:rPr>
          <w:rFonts w:ascii="Times New Roman" w:eastAsia="SimSun" w:hAnsi="Times New Roman"/>
          <w:sz w:val="24"/>
          <w:szCs w:val="24"/>
          <w:highlight w:val="yellow"/>
          <w:lang w:eastAsia="zh-CN"/>
        </w:rPr>
      </w:pPr>
      <w:r w:rsidRPr="004C10FD">
        <w:rPr>
          <w:rFonts w:ascii="Times New Roman" w:eastAsia="SimSun" w:hAnsi="Times New Roman"/>
          <w:sz w:val="24"/>
          <w:szCs w:val="24"/>
          <w:highlight w:val="yellow"/>
          <w:lang w:eastAsia="zh-CN"/>
        </w:rPr>
        <w:lastRenderedPageBreak/>
        <w:t xml:space="preserve">Schrager, T. F. (2006). What is toxicology. online: </w:t>
      </w:r>
      <w:proofErr w:type="spellStart"/>
      <w:r w:rsidRPr="004C10FD">
        <w:rPr>
          <w:rFonts w:ascii="Times New Roman" w:eastAsia="SimSun" w:hAnsi="Times New Roman"/>
          <w:sz w:val="24"/>
          <w:szCs w:val="24"/>
          <w:highlight w:val="yellow"/>
          <w:lang w:eastAsia="zh-CN"/>
        </w:rPr>
        <w:t>ToxicologySource</w:t>
      </w:r>
      <w:proofErr w:type="spellEnd"/>
      <w:r w:rsidRPr="004C10FD">
        <w:rPr>
          <w:rFonts w:ascii="Times New Roman" w:eastAsia="SimSun" w:hAnsi="Times New Roman"/>
          <w:sz w:val="24"/>
          <w:szCs w:val="24"/>
          <w:highlight w:val="yellow"/>
          <w:lang w:eastAsia="zh-CN"/>
        </w:rPr>
        <w:t xml:space="preserve"> Homepage&lt; http://www. </w:t>
      </w:r>
      <w:proofErr w:type="spellStart"/>
      <w:r w:rsidRPr="004C10FD">
        <w:rPr>
          <w:rFonts w:ascii="Times New Roman" w:eastAsia="SimSun" w:hAnsi="Times New Roman"/>
          <w:sz w:val="24"/>
          <w:szCs w:val="24"/>
          <w:highlight w:val="yellow"/>
          <w:lang w:eastAsia="zh-CN"/>
        </w:rPr>
        <w:t>toxicologysource</w:t>
      </w:r>
      <w:proofErr w:type="spellEnd"/>
      <w:r w:rsidRPr="004C10FD">
        <w:rPr>
          <w:rFonts w:ascii="Times New Roman" w:eastAsia="SimSun" w:hAnsi="Times New Roman"/>
          <w:sz w:val="24"/>
          <w:szCs w:val="24"/>
          <w:highlight w:val="yellow"/>
          <w:lang w:eastAsia="zh-CN"/>
        </w:rPr>
        <w:t>. com/</w:t>
      </w:r>
      <w:proofErr w:type="spellStart"/>
      <w:r w:rsidRPr="004C10FD">
        <w:rPr>
          <w:rFonts w:ascii="Times New Roman" w:eastAsia="SimSun" w:hAnsi="Times New Roman"/>
          <w:sz w:val="24"/>
          <w:szCs w:val="24"/>
          <w:highlight w:val="yellow"/>
          <w:lang w:eastAsia="zh-CN"/>
        </w:rPr>
        <w:t>whatistoxicology</w:t>
      </w:r>
      <w:proofErr w:type="spellEnd"/>
      <w:r w:rsidRPr="004C10FD">
        <w:rPr>
          <w:rFonts w:ascii="Times New Roman" w:eastAsia="SimSun" w:hAnsi="Times New Roman"/>
          <w:sz w:val="24"/>
          <w:szCs w:val="24"/>
          <w:highlight w:val="yellow"/>
          <w:lang w:eastAsia="zh-CN"/>
        </w:rPr>
        <w:t>. html.</w:t>
      </w:r>
    </w:p>
    <w:p w14:paraId="1B09FCAD" w14:textId="46876D8C" w:rsidR="004C10FD" w:rsidRDefault="004C10FD" w:rsidP="004C10FD">
      <w:pPr>
        <w:spacing w:line="240" w:lineRule="auto"/>
        <w:ind w:left="720" w:hanging="720"/>
        <w:jc w:val="both"/>
        <w:rPr>
          <w:rFonts w:ascii="Times New Roman" w:eastAsia="SimSun" w:hAnsi="Times New Roman"/>
          <w:sz w:val="24"/>
          <w:szCs w:val="24"/>
          <w:highlight w:val="yellow"/>
          <w:lang w:eastAsia="zh-CN"/>
        </w:rPr>
      </w:pPr>
      <w:r w:rsidRPr="004C10FD">
        <w:rPr>
          <w:rFonts w:ascii="Times New Roman" w:eastAsia="SimSun" w:hAnsi="Times New Roman"/>
          <w:sz w:val="24"/>
          <w:szCs w:val="24"/>
          <w:highlight w:val="yellow"/>
          <w:lang w:eastAsia="zh-CN"/>
        </w:rPr>
        <w:t xml:space="preserve">Niemi, G. J., &amp; McDonald, M. E. (2004). Application of ecological indicators. </w:t>
      </w:r>
      <w:proofErr w:type="spellStart"/>
      <w:r w:rsidRPr="004C10FD">
        <w:rPr>
          <w:rFonts w:ascii="Times New Roman" w:eastAsia="SimSun" w:hAnsi="Times New Roman"/>
          <w:sz w:val="24"/>
          <w:szCs w:val="24"/>
          <w:highlight w:val="yellow"/>
          <w:lang w:eastAsia="zh-CN"/>
        </w:rPr>
        <w:t>Annu</w:t>
      </w:r>
      <w:proofErr w:type="spellEnd"/>
      <w:r w:rsidRPr="004C10FD">
        <w:rPr>
          <w:rFonts w:ascii="Times New Roman" w:eastAsia="SimSun" w:hAnsi="Times New Roman"/>
          <w:sz w:val="24"/>
          <w:szCs w:val="24"/>
          <w:highlight w:val="yellow"/>
          <w:lang w:eastAsia="zh-CN"/>
        </w:rPr>
        <w:t xml:space="preserve">. Rev. Ecol. </w:t>
      </w:r>
      <w:proofErr w:type="spellStart"/>
      <w:r w:rsidRPr="004C10FD">
        <w:rPr>
          <w:rFonts w:ascii="Times New Roman" w:eastAsia="SimSun" w:hAnsi="Times New Roman"/>
          <w:sz w:val="24"/>
          <w:szCs w:val="24"/>
          <w:highlight w:val="yellow"/>
          <w:lang w:eastAsia="zh-CN"/>
        </w:rPr>
        <w:t>Evol</w:t>
      </w:r>
      <w:proofErr w:type="spellEnd"/>
      <w:r w:rsidRPr="004C10FD">
        <w:rPr>
          <w:rFonts w:ascii="Times New Roman" w:eastAsia="SimSun" w:hAnsi="Times New Roman"/>
          <w:sz w:val="24"/>
          <w:szCs w:val="24"/>
          <w:highlight w:val="yellow"/>
          <w:lang w:eastAsia="zh-CN"/>
        </w:rPr>
        <w:t>. Syst., 35(1), 89-111.</w:t>
      </w:r>
    </w:p>
    <w:p w14:paraId="548260A9" w14:textId="1FB3BB0A" w:rsidR="00751001" w:rsidRDefault="00751001" w:rsidP="004C10FD">
      <w:pPr>
        <w:spacing w:line="240" w:lineRule="auto"/>
        <w:ind w:left="720" w:hanging="720"/>
        <w:jc w:val="both"/>
        <w:rPr>
          <w:rFonts w:ascii="Times New Roman" w:eastAsia="SimSun" w:hAnsi="Times New Roman"/>
          <w:sz w:val="24"/>
          <w:szCs w:val="24"/>
          <w:highlight w:val="yellow"/>
          <w:lang w:eastAsia="zh-CN"/>
        </w:rPr>
      </w:pPr>
      <w:r w:rsidRPr="005C52C2">
        <w:rPr>
          <w:rFonts w:ascii="Times New Roman" w:eastAsia="SimSun" w:hAnsi="Times New Roman"/>
          <w:sz w:val="24"/>
          <w:szCs w:val="24"/>
          <w:highlight w:val="yellow"/>
          <w:lang w:eastAsia="zh-CN"/>
        </w:rPr>
        <w:t xml:space="preserve">Wang, Y., Gu, W., Xu, Z., </w:t>
      </w:r>
      <w:proofErr w:type="spellStart"/>
      <w:r w:rsidRPr="005C52C2">
        <w:rPr>
          <w:rFonts w:ascii="Times New Roman" w:eastAsia="SimSun" w:hAnsi="Times New Roman"/>
          <w:sz w:val="24"/>
          <w:szCs w:val="24"/>
          <w:highlight w:val="yellow"/>
          <w:lang w:eastAsia="zh-CN"/>
        </w:rPr>
        <w:t>Lv</w:t>
      </w:r>
      <w:proofErr w:type="spellEnd"/>
      <w:r w:rsidRPr="005C52C2">
        <w:rPr>
          <w:rFonts w:ascii="Times New Roman" w:eastAsia="SimSun" w:hAnsi="Times New Roman"/>
          <w:sz w:val="24"/>
          <w:szCs w:val="24"/>
          <w:highlight w:val="yellow"/>
          <w:lang w:eastAsia="zh-CN"/>
        </w:rPr>
        <w:t xml:space="preserve">, L., Wang, D., </w:t>
      </w:r>
      <w:proofErr w:type="spellStart"/>
      <w:r w:rsidRPr="005C52C2">
        <w:rPr>
          <w:rFonts w:ascii="Times New Roman" w:eastAsia="SimSun" w:hAnsi="Times New Roman"/>
          <w:sz w:val="24"/>
          <w:szCs w:val="24"/>
          <w:highlight w:val="yellow"/>
          <w:lang w:eastAsia="zh-CN"/>
        </w:rPr>
        <w:t>Jin</w:t>
      </w:r>
      <w:proofErr w:type="spellEnd"/>
      <w:r w:rsidRPr="005C52C2">
        <w:rPr>
          <w:rFonts w:ascii="Times New Roman" w:eastAsia="SimSun" w:hAnsi="Times New Roman"/>
          <w:sz w:val="24"/>
          <w:szCs w:val="24"/>
          <w:highlight w:val="yellow"/>
          <w:lang w:eastAsia="zh-CN"/>
        </w:rPr>
        <w:t xml:space="preserve">, Y., &amp; Wang, X. (2024). Comprehensive multi-omics investigation of sub-chronic toxicity induced by Cadmium and </w:t>
      </w:r>
      <w:proofErr w:type="spellStart"/>
      <w:r w:rsidRPr="005C52C2">
        <w:rPr>
          <w:rFonts w:ascii="Times New Roman" w:eastAsia="SimSun" w:hAnsi="Times New Roman"/>
          <w:sz w:val="24"/>
          <w:szCs w:val="24"/>
          <w:highlight w:val="yellow"/>
          <w:lang w:eastAsia="zh-CN"/>
        </w:rPr>
        <w:t>Triazophos</w:t>
      </w:r>
      <w:proofErr w:type="spellEnd"/>
      <w:r w:rsidRPr="005C52C2">
        <w:rPr>
          <w:rFonts w:ascii="Times New Roman" w:eastAsia="SimSun" w:hAnsi="Times New Roman"/>
          <w:sz w:val="24"/>
          <w:szCs w:val="24"/>
          <w:highlight w:val="yellow"/>
          <w:lang w:eastAsia="zh-CN"/>
        </w:rPr>
        <w:t xml:space="preserve"> Co-exposure in hook snout carps (</w:t>
      </w:r>
      <w:proofErr w:type="spellStart"/>
      <w:r w:rsidRPr="005C52C2">
        <w:rPr>
          <w:rFonts w:ascii="Times New Roman" w:eastAsia="SimSun" w:hAnsi="Times New Roman"/>
          <w:sz w:val="24"/>
          <w:szCs w:val="24"/>
          <w:highlight w:val="yellow"/>
          <w:lang w:eastAsia="zh-CN"/>
        </w:rPr>
        <w:t>Opsariichthys</w:t>
      </w:r>
      <w:proofErr w:type="spellEnd"/>
      <w:r w:rsidRPr="005C52C2">
        <w:rPr>
          <w:rFonts w:ascii="Times New Roman" w:eastAsia="SimSun" w:hAnsi="Times New Roman"/>
          <w:sz w:val="24"/>
          <w:szCs w:val="24"/>
          <w:highlight w:val="yellow"/>
          <w:lang w:eastAsia="zh-CN"/>
        </w:rPr>
        <w:t xml:space="preserve"> </w:t>
      </w:r>
      <w:proofErr w:type="spellStart"/>
      <w:r w:rsidRPr="005C52C2">
        <w:rPr>
          <w:rFonts w:ascii="Times New Roman" w:eastAsia="SimSun" w:hAnsi="Times New Roman"/>
          <w:sz w:val="24"/>
          <w:szCs w:val="24"/>
          <w:highlight w:val="yellow"/>
          <w:lang w:eastAsia="zh-CN"/>
        </w:rPr>
        <w:t>bidens</w:t>
      </w:r>
      <w:proofErr w:type="spellEnd"/>
      <w:r w:rsidRPr="005C52C2">
        <w:rPr>
          <w:rFonts w:ascii="Times New Roman" w:eastAsia="SimSun" w:hAnsi="Times New Roman"/>
          <w:sz w:val="24"/>
          <w:szCs w:val="24"/>
          <w:highlight w:val="yellow"/>
          <w:lang w:eastAsia="zh-CN"/>
        </w:rPr>
        <w:t>). Journal of Hazardous Materials, 476, 135104.</w:t>
      </w:r>
    </w:p>
    <w:p w14:paraId="4D1B3D75" w14:textId="4479F0A4" w:rsidR="0009176B" w:rsidRDefault="0009176B" w:rsidP="004C10FD">
      <w:pPr>
        <w:spacing w:line="240" w:lineRule="auto"/>
        <w:ind w:left="720" w:hanging="720"/>
        <w:jc w:val="both"/>
        <w:rPr>
          <w:rFonts w:ascii="Times New Roman" w:eastAsia="SimSun" w:hAnsi="Times New Roman"/>
          <w:sz w:val="24"/>
          <w:szCs w:val="24"/>
          <w:highlight w:val="yellow"/>
          <w:lang w:eastAsia="zh-CN"/>
        </w:rPr>
      </w:pPr>
      <w:r w:rsidRPr="005C52C2">
        <w:rPr>
          <w:rFonts w:ascii="Times New Roman" w:eastAsia="SimSun" w:hAnsi="Times New Roman"/>
          <w:sz w:val="24"/>
          <w:szCs w:val="24"/>
          <w:highlight w:val="yellow"/>
          <w:lang w:eastAsia="zh-CN"/>
        </w:rPr>
        <w:t xml:space="preserve">Jamil </w:t>
      </w:r>
      <w:proofErr w:type="spellStart"/>
      <w:r w:rsidRPr="005C52C2">
        <w:rPr>
          <w:rFonts w:ascii="Times New Roman" w:eastAsia="SimSun" w:hAnsi="Times New Roman"/>
          <w:sz w:val="24"/>
          <w:szCs w:val="24"/>
          <w:highlight w:val="yellow"/>
          <w:lang w:eastAsia="zh-CN"/>
        </w:rPr>
        <w:t>Emon</w:t>
      </w:r>
      <w:proofErr w:type="spellEnd"/>
      <w:r w:rsidRPr="005C52C2">
        <w:rPr>
          <w:rFonts w:ascii="Times New Roman" w:eastAsia="SimSun" w:hAnsi="Times New Roman"/>
          <w:sz w:val="24"/>
          <w:szCs w:val="24"/>
          <w:highlight w:val="yellow"/>
          <w:lang w:eastAsia="zh-CN"/>
        </w:rPr>
        <w:t xml:space="preserve">, F., </w:t>
      </w:r>
      <w:proofErr w:type="spellStart"/>
      <w:r w:rsidRPr="005C52C2">
        <w:rPr>
          <w:rFonts w:ascii="Times New Roman" w:eastAsia="SimSun" w:hAnsi="Times New Roman"/>
          <w:sz w:val="24"/>
          <w:szCs w:val="24"/>
          <w:highlight w:val="yellow"/>
          <w:lang w:eastAsia="zh-CN"/>
        </w:rPr>
        <w:t>Rohani</w:t>
      </w:r>
      <w:proofErr w:type="spellEnd"/>
      <w:r w:rsidRPr="005C52C2">
        <w:rPr>
          <w:rFonts w:ascii="Times New Roman" w:eastAsia="SimSun" w:hAnsi="Times New Roman"/>
          <w:sz w:val="24"/>
          <w:szCs w:val="24"/>
          <w:highlight w:val="yellow"/>
          <w:lang w:eastAsia="zh-CN"/>
        </w:rPr>
        <w:t xml:space="preserve">, M. F., </w:t>
      </w:r>
      <w:proofErr w:type="spellStart"/>
      <w:r w:rsidRPr="005C52C2">
        <w:rPr>
          <w:rFonts w:ascii="Times New Roman" w:eastAsia="SimSun" w:hAnsi="Times New Roman"/>
          <w:sz w:val="24"/>
          <w:szCs w:val="24"/>
          <w:highlight w:val="yellow"/>
          <w:lang w:eastAsia="zh-CN"/>
        </w:rPr>
        <w:t>Sumaiya</w:t>
      </w:r>
      <w:proofErr w:type="spellEnd"/>
      <w:r w:rsidRPr="005C52C2">
        <w:rPr>
          <w:rFonts w:ascii="Times New Roman" w:eastAsia="SimSun" w:hAnsi="Times New Roman"/>
          <w:sz w:val="24"/>
          <w:szCs w:val="24"/>
          <w:highlight w:val="yellow"/>
          <w:lang w:eastAsia="zh-CN"/>
        </w:rPr>
        <w:t xml:space="preserve">, N., </w:t>
      </w:r>
      <w:proofErr w:type="spellStart"/>
      <w:r w:rsidRPr="005C52C2">
        <w:rPr>
          <w:rFonts w:ascii="Times New Roman" w:eastAsia="SimSun" w:hAnsi="Times New Roman"/>
          <w:sz w:val="24"/>
          <w:szCs w:val="24"/>
          <w:highlight w:val="yellow"/>
          <w:lang w:eastAsia="zh-CN"/>
        </w:rPr>
        <w:t>Tuj</w:t>
      </w:r>
      <w:proofErr w:type="spellEnd"/>
      <w:r w:rsidRPr="005C52C2">
        <w:rPr>
          <w:rFonts w:ascii="Times New Roman" w:eastAsia="SimSun" w:hAnsi="Times New Roman"/>
          <w:sz w:val="24"/>
          <w:szCs w:val="24"/>
          <w:highlight w:val="yellow"/>
          <w:lang w:eastAsia="zh-CN"/>
        </w:rPr>
        <w:t xml:space="preserve"> Jannat, M. F., </w:t>
      </w:r>
      <w:proofErr w:type="spellStart"/>
      <w:r w:rsidRPr="005C52C2">
        <w:rPr>
          <w:rFonts w:ascii="Times New Roman" w:eastAsia="SimSun" w:hAnsi="Times New Roman"/>
          <w:sz w:val="24"/>
          <w:szCs w:val="24"/>
          <w:highlight w:val="yellow"/>
          <w:lang w:eastAsia="zh-CN"/>
        </w:rPr>
        <w:t>Akter</w:t>
      </w:r>
      <w:proofErr w:type="spellEnd"/>
      <w:r w:rsidRPr="005C52C2">
        <w:rPr>
          <w:rFonts w:ascii="Times New Roman" w:eastAsia="SimSun" w:hAnsi="Times New Roman"/>
          <w:sz w:val="24"/>
          <w:szCs w:val="24"/>
          <w:highlight w:val="yellow"/>
          <w:lang w:eastAsia="zh-CN"/>
        </w:rPr>
        <w:t>, Y., Shahjahan, M., ... &amp; Goh, K. W. (2023). Bioaccumulation and bioremediation of heavy metals in fishes—a review. Toxics, 11(6), 510.</w:t>
      </w:r>
    </w:p>
    <w:p w14:paraId="2E831EF7" w14:textId="2E9BC764" w:rsidR="002C54CC" w:rsidRDefault="00B66DA6" w:rsidP="004C10FD">
      <w:pPr>
        <w:spacing w:line="240" w:lineRule="auto"/>
        <w:ind w:left="720" w:hanging="720"/>
        <w:jc w:val="both"/>
        <w:rPr>
          <w:rFonts w:ascii="Cambria" w:hAnsi="Cambria"/>
          <w:color w:val="1B1B1B"/>
          <w:sz w:val="26"/>
          <w:szCs w:val="26"/>
          <w:highlight w:val="yellow"/>
          <w:shd w:val="clear" w:color="auto" w:fill="FFFFFF"/>
        </w:rPr>
      </w:pPr>
      <w:r w:rsidRPr="005C52C2">
        <w:rPr>
          <w:rFonts w:ascii="Cambria" w:hAnsi="Cambria"/>
          <w:color w:val="1B1B1B"/>
          <w:sz w:val="26"/>
          <w:szCs w:val="26"/>
          <w:highlight w:val="yellow"/>
          <w:shd w:val="clear" w:color="auto" w:fill="FFFFFF"/>
        </w:rPr>
        <w:t xml:space="preserve">Lu Y., Song S., Wang R., Liu Z., Meng J., Sweetman A.J., Jenkins A., Ferrier R.C., Li H., Luo W., et al. Impacts of Soil and Water Pollution on Food Safety and Health Risks in China. Environ. Int. </w:t>
      </w:r>
      <w:proofErr w:type="gramStart"/>
      <w:r w:rsidRPr="005C52C2">
        <w:rPr>
          <w:rFonts w:ascii="Cambria" w:hAnsi="Cambria"/>
          <w:color w:val="1B1B1B"/>
          <w:sz w:val="26"/>
          <w:szCs w:val="26"/>
          <w:highlight w:val="yellow"/>
          <w:shd w:val="clear" w:color="auto" w:fill="FFFFFF"/>
        </w:rPr>
        <w:t>2015;77:5</w:t>
      </w:r>
      <w:proofErr w:type="gramEnd"/>
      <w:r w:rsidRPr="005C52C2">
        <w:rPr>
          <w:rFonts w:ascii="Cambria" w:hAnsi="Cambria"/>
          <w:color w:val="1B1B1B"/>
          <w:sz w:val="26"/>
          <w:szCs w:val="26"/>
          <w:highlight w:val="yellow"/>
          <w:shd w:val="clear" w:color="auto" w:fill="FFFFFF"/>
        </w:rPr>
        <w:t xml:space="preserve">–15. </w:t>
      </w:r>
      <w:proofErr w:type="spellStart"/>
      <w:r w:rsidRPr="005C52C2">
        <w:rPr>
          <w:rFonts w:ascii="Cambria" w:hAnsi="Cambria"/>
          <w:color w:val="1B1B1B"/>
          <w:sz w:val="26"/>
          <w:szCs w:val="26"/>
          <w:highlight w:val="yellow"/>
          <w:shd w:val="clear" w:color="auto" w:fill="FFFFFF"/>
        </w:rPr>
        <w:t>doi</w:t>
      </w:r>
      <w:proofErr w:type="spellEnd"/>
      <w:r w:rsidRPr="005C52C2">
        <w:rPr>
          <w:rFonts w:ascii="Cambria" w:hAnsi="Cambria"/>
          <w:color w:val="1B1B1B"/>
          <w:sz w:val="26"/>
          <w:szCs w:val="26"/>
          <w:highlight w:val="yellow"/>
          <w:shd w:val="clear" w:color="auto" w:fill="FFFFFF"/>
        </w:rPr>
        <w:t>: 10.1016/j.envint.2014.12.010</w:t>
      </w:r>
      <w:r w:rsidR="002C54CC" w:rsidRPr="005C52C2">
        <w:rPr>
          <w:rFonts w:ascii="Cambria" w:hAnsi="Cambria"/>
          <w:color w:val="1B1B1B"/>
          <w:sz w:val="26"/>
          <w:szCs w:val="26"/>
          <w:highlight w:val="yellow"/>
          <w:shd w:val="clear" w:color="auto" w:fill="FFFFFF"/>
        </w:rPr>
        <w:t xml:space="preserve">Yan W., Hamid N., Deng S., Jia P.P., Pei D.S. Individual and Combined </w:t>
      </w:r>
      <w:proofErr w:type="spellStart"/>
      <w:r w:rsidR="002C54CC" w:rsidRPr="005C52C2">
        <w:rPr>
          <w:rFonts w:ascii="Cambria" w:hAnsi="Cambria"/>
          <w:color w:val="1B1B1B"/>
          <w:sz w:val="26"/>
          <w:szCs w:val="26"/>
          <w:highlight w:val="yellow"/>
          <w:shd w:val="clear" w:color="auto" w:fill="FFFFFF"/>
        </w:rPr>
        <w:t>Toxicogenetic</w:t>
      </w:r>
      <w:proofErr w:type="spellEnd"/>
      <w:r w:rsidR="002C54CC" w:rsidRPr="005C52C2">
        <w:rPr>
          <w:rFonts w:ascii="Cambria" w:hAnsi="Cambria"/>
          <w:color w:val="1B1B1B"/>
          <w:sz w:val="26"/>
          <w:szCs w:val="26"/>
          <w:highlight w:val="yellow"/>
          <w:shd w:val="clear" w:color="auto" w:fill="FFFFFF"/>
        </w:rPr>
        <w:t xml:space="preserve"> Effects of Microplastics and Heavy Metals (Cd, Pb, and Zn) Perturb Gut Microbiota Homeostasis and Gonadal Development in Marine Medaka (</w:t>
      </w:r>
      <w:proofErr w:type="spellStart"/>
      <w:r w:rsidR="002C54CC" w:rsidRPr="005C52C2">
        <w:rPr>
          <w:rFonts w:ascii="Cambria" w:hAnsi="Cambria"/>
          <w:color w:val="1B1B1B"/>
          <w:sz w:val="26"/>
          <w:szCs w:val="26"/>
          <w:highlight w:val="yellow"/>
          <w:shd w:val="clear" w:color="auto" w:fill="FFFFFF"/>
        </w:rPr>
        <w:t>Oryzias</w:t>
      </w:r>
      <w:proofErr w:type="spellEnd"/>
      <w:r w:rsidR="002C54CC" w:rsidRPr="005C52C2">
        <w:rPr>
          <w:rFonts w:ascii="Cambria" w:hAnsi="Cambria"/>
          <w:color w:val="1B1B1B"/>
          <w:sz w:val="26"/>
          <w:szCs w:val="26"/>
          <w:highlight w:val="yellow"/>
          <w:shd w:val="clear" w:color="auto" w:fill="FFFFFF"/>
        </w:rPr>
        <w:t xml:space="preserve"> </w:t>
      </w:r>
      <w:proofErr w:type="spellStart"/>
      <w:r w:rsidR="002C54CC" w:rsidRPr="005C52C2">
        <w:rPr>
          <w:rFonts w:ascii="Cambria" w:hAnsi="Cambria"/>
          <w:color w:val="1B1B1B"/>
          <w:sz w:val="26"/>
          <w:szCs w:val="26"/>
          <w:highlight w:val="yellow"/>
          <w:shd w:val="clear" w:color="auto" w:fill="FFFFFF"/>
        </w:rPr>
        <w:t>melastigma</w:t>
      </w:r>
      <w:proofErr w:type="spellEnd"/>
      <w:r w:rsidR="002C54CC" w:rsidRPr="005C52C2">
        <w:rPr>
          <w:rFonts w:ascii="Cambria" w:hAnsi="Cambria"/>
          <w:color w:val="1B1B1B"/>
          <w:sz w:val="26"/>
          <w:szCs w:val="26"/>
          <w:highlight w:val="yellow"/>
          <w:shd w:val="clear" w:color="auto" w:fill="FFFFFF"/>
        </w:rPr>
        <w:t xml:space="preserve">) J. Hazard. Mater. </w:t>
      </w:r>
      <w:proofErr w:type="gramStart"/>
      <w:r w:rsidR="002C54CC" w:rsidRPr="005C52C2">
        <w:rPr>
          <w:rFonts w:ascii="Cambria" w:hAnsi="Cambria"/>
          <w:color w:val="1B1B1B"/>
          <w:sz w:val="26"/>
          <w:szCs w:val="26"/>
          <w:highlight w:val="yellow"/>
          <w:shd w:val="clear" w:color="auto" w:fill="FFFFFF"/>
        </w:rPr>
        <w:t>2020;397:122795</w:t>
      </w:r>
      <w:proofErr w:type="gramEnd"/>
      <w:r w:rsidR="002C54CC" w:rsidRPr="005C52C2">
        <w:rPr>
          <w:rFonts w:ascii="Cambria" w:hAnsi="Cambria"/>
          <w:color w:val="1B1B1B"/>
          <w:sz w:val="26"/>
          <w:szCs w:val="26"/>
          <w:highlight w:val="yellow"/>
          <w:shd w:val="clear" w:color="auto" w:fill="FFFFFF"/>
        </w:rPr>
        <w:t xml:space="preserve">. </w:t>
      </w:r>
      <w:proofErr w:type="spellStart"/>
      <w:r w:rsidR="002C54CC" w:rsidRPr="005C52C2">
        <w:rPr>
          <w:rFonts w:ascii="Cambria" w:hAnsi="Cambria"/>
          <w:color w:val="1B1B1B"/>
          <w:sz w:val="26"/>
          <w:szCs w:val="26"/>
          <w:highlight w:val="yellow"/>
          <w:shd w:val="clear" w:color="auto" w:fill="FFFFFF"/>
        </w:rPr>
        <w:t>doi</w:t>
      </w:r>
      <w:proofErr w:type="spellEnd"/>
      <w:r w:rsidR="002C54CC" w:rsidRPr="005C52C2">
        <w:rPr>
          <w:rFonts w:ascii="Cambria" w:hAnsi="Cambria"/>
          <w:color w:val="1B1B1B"/>
          <w:sz w:val="26"/>
          <w:szCs w:val="26"/>
          <w:highlight w:val="yellow"/>
          <w:shd w:val="clear" w:color="auto" w:fill="FFFFFF"/>
        </w:rPr>
        <w:t>: 10.1016/j.jhazmat.2020.122795</w:t>
      </w:r>
    </w:p>
    <w:p w14:paraId="293D0EE3" w14:textId="2670DFDA" w:rsidR="006D0D11" w:rsidRDefault="006D0D11" w:rsidP="004C10FD">
      <w:pPr>
        <w:spacing w:line="240" w:lineRule="auto"/>
        <w:ind w:left="720" w:hanging="720"/>
        <w:jc w:val="both"/>
        <w:rPr>
          <w:rFonts w:ascii="Times New Roman" w:eastAsia="SimSun" w:hAnsi="Times New Roman"/>
          <w:sz w:val="24"/>
          <w:szCs w:val="24"/>
          <w:lang w:eastAsia="zh-CN"/>
        </w:rPr>
      </w:pPr>
    </w:p>
    <w:p w14:paraId="53486950" w14:textId="71C349E8" w:rsidR="006D0D11" w:rsidRDefault="006D0D11" w:rsidP="004C10FD">
      <w:pPr>
        <w:spacing w:line="240" w:lineRule="auto"/>
        <w:ind w:left="720" w:hanging="720"/>
        <w:jc w:val="both"/>
        <w:rPr>
          <w:rFonts w:ascii="Times New Roman" w:eastAsia="SimSun" w:hAnsi="Times New Roman"/>
          <w:sz w:val="24"/>
          <w:szCs w:val="24"/>
          <w:highlight w:val="yellow"/>
          <w:lang w:eastAsia="zh-CN"/>
        </w:rPr>
      </w:pPr>
      <w:proofErr w:type="spellStart"/>
      <w:r w:rsidRPr="006D0D11">
        <w:rPr>
          <w:rFonts w:ascii="Times New Roman" w:eastAsia="SimSun" w:hAnsi="Times New Roman"/>
          <w:sz w:val="24"/>
          <w:szCs w:val="24"/>
          <w:highlight w:val="yellow"/>
          <w:lang w:eastAsia="zh-CN"/>
        </w:rPr>
        <w:t>Yaradua</w:t>
      </w:r>
      <w:proofErr w:type="spellEnd"/>
      <w:r w:rsidRPr="006D0D11">
        <w:rPr>
          <w:rFonts w:ascii="Times New Roman" w:eastAsia="SimSun" w:hAnsi="Times New Roman"/>
          <w:sz w:val="24"/>
          <w:szCs w:val="24"/>
          <w:highlight w:val="yellow"/>
          <w:lang w:eastAsia="zh-CN"/>
        </w:rPr>
        <w:t xml:space="preserve">, A. I., L. </w:t>
      </w:r>
      <w:proofErr w:type="spellStart"/>
      <w:r w:rsidRPr="006D0D11">
        <w:rPr>
          <w:rFonts w:ascii="Times New Roman" w:eastAsia="SimSun" w:hAnsi="Times New Roman"/>
          <w:sz w:val="24"/>
          <w:szCs w:val="24"/>
          <w:highlight w:val="yellow"/>
          <w:lang w:eastAsia="zh-CN"/>
        </w:rPr>
        <w:t>Shuaibu</w:t>
      </w:r>
      <w:proofErr w:type="spellEnd"/>
      <w:r w:rsidRPr="006D0D11">
        <w:rPr>
          <w:rFonts w:ascii="Times New Roman" w:eastAsia="SimSun" w:hAnsi="Times New Roman"/>
          <w:sz w:val="24"/>
          <w:szCs w:val="24"/>
          <w:highlight w:val="yellow"/>
          <w:lang w:eastAsia="zh-CN"/>
        </w:rPr>
        <w:t xml:space="preserve">, J. I. </w:t>
      </w:r>
      <w:proofErr w:type="spellStart"/>
      <w:r w:rsidRPr="006D0D11">
        <w:rPr>
          <w:rFonts w:ascii="Times New Roman" w:eastAsia="SimSun" w:hAnsi="Times New Roman"/>
          <w:sz w:val="24"/>
          <w:szCs w:val="24"/>
          <w:highlight w:val="yellow"/>
          <w:lang w:eastAsia="zh-CN"/>
        </w:rPr>
        <w:t>Bungudu</w:t>
      </w:r>
      <w:proofErr w:type="spellEnd"/>
      <w:r w:rsidRPr="006D0D11">
        <w:rPr>
          <w:rFonts w:ascii="Times New Roman" w:eastAsia="SimSun" w:hAnsi="Times New Roman"/>
          <w:sz w:val="24"/>
          <w:szCs w:val="24"/>
          <w:highlight w:val="yellow"/>
          <w:lang w:eastAsia="zh-CN"/>
        </w:rPr>
        <w:t xml:space="preserve">, A. Nasir, A. Usman, A. Abdullahi, M. M. Muhammad, A. S. Sani, I. A. </w:t>
      </w:r>
      <w:proofErr w:type="spellStart"/>
      <w:r w:rsidRPr="006D0D11">
        <w:rPr>
          <w:rFonts w:ascii="Times New Roman" w:eastAsia="SimSun" w:hAnsi="Times New Roman"/>
          <w:sz w:val="24"/>
          <w:szCs w:val="24"/>
          <w:highlight w:val="yellow"/>
          <w:lang w:eastAsia="zh-CN"/>
        </w:rPr>
        <w:t>Yaradua</w:t>
      </w:r>
      <w:proofErr w:type="spellEnd"/>
      <w:r w:rsidRPr="006D0D11">
        <w:rPr>
          <w:rFonts w:ascii="Times New Roman" w:eastAsia="SimSun" w:hAnsi="Times New Roman"/>
          <w:sz w:val="24"/>
          <w:szCs w:val="24"/>
          <w:highlight w:val="yellow"/>
          <w:lang w:eastAsia="zh-CN"/>
        </w:rPr>
        <w:t xml:space="preserve">, and H. K. </w:t>
      </w:r>
      <w:proofErr w:type="spellStart"/>
      <w:r w:rsidRPr="006D0D11">
        <w:rPr>
          <w:rFonts w:ascii="Times New Roman" w:eastAsia="SimSun" w:hAnsi="Times New Roman"/>
          <w:sz w:val="24"/>
          <w:szCs w:val="24"/>
          <w:highlight w:val="yellow"/>
          <w:lang w:eastAsia="zh-CN"/>
        </w:rPr>
        <w:t>Matazu</w:t>
      </w:r>
      <w:proofErr w:type="spellEnd"/>
      <w:r w:rsidRPr="006D0D11">
        <w:rPr>
          <w:rFonts w:ascii="Times New Roman" w:eastAsia="SimSun" w:hAnsi="Times New Roman"/>
          <w:sz w:val="24"/>
          <w:szCs w:val="24"/>
          <w:highlight w:val="yellow"/>
          <w:lang w:eastAsia="zh-CN"/>
        </w:rPr>
        <w:t xml:space="preserve">. 2022. “Non-Carcinogenic and Carcinogenic Health Risk Evaluation from Fish Contaminated </w:t>
      </w:r>
      <w:proofErr w:type="gramStart"/>
      <w:r w:rsidRPr="006D0D11">
        <w:rPr>
          <w:rFonts w:ascii="Times New Roman" w:eastAsia="SimSun" w:hAnsi="Times New Roman"/>
          <w:sz w:val="24"/>
          <w:szCs w:val="24"/>
          <w:highlight w:val="yellow"/>
          <w:lang w:eastAsia="zh-CN"/>
        </w:rPr>
        <w:t>With</w:t>
      </w:r>
      <w:proofErr w:type="gramEnd"/>
      <w:r w:rsidRPr="006D0D11">
        <w:rPr>
          <w:rFonts w:ascii="Times New Roman" w:eastAsia="SimSun" w:hAnsi="Times New Roman"/>
          <w:sz w:val="24"/>
          <w:szCs w:val="24"/>
          <w:highlight w:val="yellow"/>
          <w:lang w:eastAsia="zh-CN"/>
        </w:rPr>
        <w:t xml:space="preserve"> Heavy Metals”. Asian Journal of Fisheries and Aquatic Research 18 (6):32-41. </w:t>
      </w:r>
      <w:hyperlink r:id="rId13" w:history="1">
        <w:r w:rsidRPr="004A6CDB">
          <w:rPr>
            <w:rStyle w:val="Hyperlink"/>
            <w:rFonts w:ascii="Times New Roman" w:eastAsia="SimSun" w:hAnsi="Times New Roman"/>
            <w:sz w:val="24"/>
            <w:szCs w:val="24"/>
            <w:highlight w:val="yellow"/>
            <w:lang w:eastAsia="zh-CN"/>
          </w:rPr>
          <w:t>https://doi.org/10.9734/ajfar/2022/v18i630460</w:t>
        </w:r>
      </w:hyperlink>
      <w:r w:rsidRPr="006D0D11">
        <w:rPr>
          <w:rFonts w:ascii="Times New Roman" w:eastAsia="SimSun" w:hAnsi="Times New Roman"/>
          <w:sz w:val="24"/>
          <w:szCs w:val="24"/>
          <w:highlight w:val="yellow"/>
          <w:lang w:eastAsia="zh-CN"/>
        </w:rPr>
        <w:t>.</w:t>
      </w:r>
    </w:p>
    <w:p w14:paraId="057E8898" w14:textId="3B6D838E" w:rsidR="006D0D11" w:rsidRDefault="006D0D11" w:rsidP="004C10FD">
      <w:pPr>
        <w:spacing w:line="240" w:lineRule="auto"/>
        <w:ind w:left="720" w:hanging="720"/>
        <w:jc w:val="both"/>
        <w:rPr>
          <w:rFonts w:ascii="Times New Roman" w:eastAsia="SimSun" w:hAnsi="Times New Roman"/>
          <w:sz w:val="24"/>
          <w:szCs w:val="24"/>
          <w:lang w:eastAsia="zh-CN"/>
        </w:rPr>
      </w:pPr>
      <w:proofErr w:type="spellStart"/>
      <w:r w:rsidRPr="006D0D11">
        <w:rPr>
          <w:rFonts w:ascii="Times New Roman" w:eastAsia="SimSun" w:hAnsi="Times New Roman"/>
          <w:sz w:val="24"/>
          <w:szCs w:val="24"/>
          <w:highlight w:val="yellow"/>
          <w:lang w:eastAsia="zh-CN"/>
        </w:rPr>
        <w:t>Okwodu</w:t>
      </w:r>
      <w:proofErr w:type="spellEnd"/>
      <w:r w:rsidRPr="006D0D11">
        <w:rPr>
          <w:rFonts w:ascii="Times New Roman" w:eastAsia="SimSun" w:hAnsi="Times New Roman"/>
          <w:sz w:val="24"/>
          <w:szCs w:val="24"/>
          <w:highlight w:val="yellow"/>
          <w:lang w:eastAsia="zh-CN"/>
        </w:rPr>
        <w:t xml:space="preserve">, N. E., P. U. Okorie, and B. E. B. </w:t>
      </w:r>
      <w:proofErr w:type="spellStart"/>
      <w:r w:rsidRPr="006D0D11">
        <w:rPr>
          <w:rFonts w:ascii="Times New Roman" w:eastAsia="SimSun" w:hAnsi="Times New Roman"/>
          <w:sz w:val="24"/>
          <w:szCs w:val="24"/>
          <w:highlight w:val="yellow"/>
          <w:lang w:eastAsia="zh-CN"/>
        </w:rPr>
        <w:t>Nwoke</w:t>
      </w:r>
      <w:proofErr w:type="spellEnd"/>
      <w:r w:rsidRPr="006D0D11">
        <w:rPr>
          <w:rFonts w:ascii="Times New Roman" w:eastAsia="SimSun" w:hAnsi="Times New Roman"/>
          <w:sz w:val="24"/>
          <w:szCs w:val="24"/>
          <w:highlight w:val="yellow"/>
          <w:lang w:eastAsia="zh-CN"/>
        </w:rPr>
        <w:t xml:space="preserve">. 2021. “Determination of Heavy Metal Concentration in Two Bony Fish (Catfish and Tilapia) from </w:t>
      </w:r>
      <w:proofErr w:type="spellStart"/>
      <w:r w:rsidRPr="006D0D11">
        <w:rPr>
          <w:rFonts w:ascii="Times New Roman" w:eastAsia="SimSun" w:hAnsi="Times New Roman"/>
          <w:sz w:val="24"/>
          <w:szCs w:val="24"/>
          <w:highlight w:val="yellow"/>
          <w:lang w:eastAsia="zh-CN"/>
        </w:rPr>
        <w:t>Orashi</w:t>
      </w:r>
      <w:proofErr w:type="spellEnd"/>
      <w:r w:rsidRPr="006D0D11">
        <w:rPr>
          <w:rFonts w:ascii="Times New Roman" w:eastAsia="SimSun" w:hAnsi="Times New Roman"/>
          <w:sz w:val="24"/>
          <w:szCs w:val="24"/>
          <w:highlight w:val="yellow"/>
          <w:lang w:eastAsia="zh-CN"/>
        </w:rPr>
        <w:t xml:space="preserve"> River in Rivers State, Nigeria”. Asian Journal of Research in Zoology 4 (4):20-36. https://doi.org/10.9734/ajriz/2021/v4i430122.</w:t>
      </w:r>
    </w:p>
    <w:p w14:paraId="3538053C" w14:textId="77777777" w:rsidR="0069775F" w:rsidRDefault="0069775F" w:rsidP="00C07B6E">
      <w:pPr>
        <w:spacing w:after="120" w:line="240" w:lineRule="auto"/>
        <w:jc w:val="both"/>
        <w:rPr>
          <w:rFonts w:ascii="Times New Roman" w:eastAsia="Times New Roman" w:hAnsi="Times New Roman"/>
          <w:sz w:val="24"/>
          <w:szCs w:val="24"/>
        </w:rPr>
      </w:pPr>
    </w:p>
    <w:p w14:paraId="412DA7E3"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p w14:paraId="0F8E882F"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p w14:paraId="6A0B28F2"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p w14:paraId="492EBCC1"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p w14:paraId="210C2716" w14:textId="77777777" w:rsidR="0069775F" w:rsidRDefault="004D7A71" w:rsidP="00C07B6E">
      <w:pPr>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w:t>
      </w:r>
    </w:p>
    <w:sectPr w:rsidR="0069775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C5C02A" w16cex:dateUtc="2025-05-07T08:19:00Z"/>
  <w16cex:commentExtensible w16cex:durableId="2BC59D49" w16cex:dateUtc="2025-05-07T05:50:00Z"/>
  <w16cex:commentExtensible w16cex:durableId="2BC59E86" w16cex:dateUtc="2025-05-07T05:55:00Z"/>
  <w16cex:commentExtensible w16cex:durableId="2BC5A28F" w16cex:dateUtc="2025-05-07T06:12:00Z"/>
  <w16cex:commentExtensible w16cex:durableId="2BC5A2CD" w16cex:dateUtc="2025-05-07T06:13:00Z"/>
  <w16cex:commentExtensible w16cex:durableId="2BC5A378" w16cex:dateUtc="2025-05-07T06:16:00Z"/>
  <w16cex:commentExtensible w16cex:durableId="2BC5ADC8" w16cex:dateUtc="2025-05-07T07:00:00Z"/>
  <w16cex:commentExtensible w16cex:durableId="2BC5AF5C" w16cex:dateUtc="2025-05-07T07:07:00Z"/>
  <w16cex:commentExtensible w16cex:durableId="2BC5B48E" w16cex:dateUtc="2025-05-07T07:29:00Z"/>
  <w16cex:commentExtensible w16cex:durableId="2BC5B3D2" w16cex:dateUtc="2025-05-07T07:26:00Z"/>
  <w16cex:commentExtensible w16cex:durableId="2BC5C185" w16cex:dateUtc="2025-05-07T08:24:00Z"/>
  <w16cex:commentExtensible w16cex:durableId="2BC5B6C3" w16cex:dateUtc="2025-05-07T07:38:00Z"/>
  <w16cex:commentExtensible w16cex:durableId="2BC5B790" w16cex:dateUtc="2025-05-07T07:42:00Z"/>
  <w16cex:commentExtensible w16cex:durableId="2BC5B828" w16cex:dateUtc="2025-05-07T07:44:00Z"/>
  <w16cex:commentExtensible w16cex:durableId="2BC5B8E4" w16cex:dateUtc="2025-05-07T07:48:00Z"/>
  <w16cex:commentExtensible w16cex:durableId="2BC5B8C0" w16cex:dateUtc="2025-05-07T07:47:00Z"/>
  <w16cex:commentExtensible w16cex:durableId="2BC5B93D" w16cex:dateUtc="2025-05-07T07:49:00Z"/>
  <w16cex:commentExtensible w16cex:durableId="2BC5B996" w16cex:dateUtc="2025-05-07T07:51:00Z"/>
  <w16cex:commentExtensible w16cex:durableId="2BC5B9A3" w16cex:dateUtc="2025-05-07T07:51:00Z"/>
  <w16cex:commentExtensible w16cex:durableId="2BC5B9CE" w16cex:dateUtc="2025-05-07T07:51:00Z"/>
  <w16cex:commentExtensible w16cex:durableId="2BC5BA15" w16cex:dateUtc="2025-05-07T07:53:00Z"/>
  <w16cex:commentExtensible w16cex:durableId="2BC5BA1E" w16cex:dateUtc="2025-05-07T07:53:00Z"/>
  <w16cex:commentExtensible w16cex:durableId="2BC5BA6A" w16cex:dateUtc="2025-05-07T07:54:00Z"/>
  <w16cex:commentExtensible w16cex:durableId="2BC5BAB4" w16cex:dateUtc="2025-05-07T07:55:00Z"/>
  <w16cex:commentExtensible w16cex:durableId="2BC5BBB8" w16cex:dateUtc="2025-05-07T08:00:00Z"/>
  <w16cex:commentExtensible w16cex:durableId="2BC5BD94" w16cex:dateUtc="2025-05-07T08:08:00Z"/>
  <w16cex:commentExtensible w16cex:durableId="2BC5BDC1" w16cex:dateUtc="2025-05-07T08: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58A99" w14:textId="77777777" w:rsidR="00CC2226" w:rsidRDefault="00CC2226" w:rsidP="00B662F1">
      <w:pPr>
        <w:spacing w:after="0" w:line="240" w:lineRule="auto"/>
      </w:pPr>
      <w:r>
        <w:separator/>
      </w:r>
    </w:p>
  </w:endnote>
  <w:endnote w:type="continuationSeparator" w:id="0">
    <w:p w14:paraId="14E74AB2" w14:textId="77777777" w:rsidR="00CC2226" w:rsidRDefault="00CC2226" w:rsidP="00B66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7A369" w14:textId="77777777" w:rsidR="00B662F1" w:rsidRDefault="00B66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451CF" w14:textId="77777777" w:rsidR="00B662F1" w:rsidRDefault="00B66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D8E49" w14:textId="77777777" w:rsidR="00B662F1" w:rsidRDefault="00B66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D327E" w14:textId="77777777" w:rsidR="00CC2226" w:rsidRDefault="00CC2226" w:rsidP="00B662F1">
      <w:pPr>
        <w:spacing w:after="0" w:line="240" w:lineRule="auto"/>
      </w:pPr>
      <w:r>
        <w:separator/>
      </w:r>
    </w:p>
  </w:footnote>
  <w:footnote w:type="continuationSeparator" w:id="0">
    <w:p w14:paraId="1F2BACF1" w14:textId="77777777" w:rsidR="00CC2226" w:rsidRDefault="00CC2226" w:rsidP="00B66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0DDB5" w14:textId="38C3F65E" w:rsidR="00B662F1" w:rsidRDefault="00CC2226">
    <w:pPr>
      <w:pStyle w:val="Header"/>
    </w:pPr>
    <w:r>
      <w:rPr>
        <w:noProof/>
      </w:rPr>
      <w:pict w14:anchorId="1D82A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58F5" w14:textId="474E6E29" w:rsidR="00B662F1" w:rsidRDefault="00CC2226">
    <w:pPr>
      <w:pStyle w:val="Header"/>
    </w:pPr>
    <w:r>
      <w:rPr>
        <w:noProof/>
      </w:rPr>
      <w:pict w14:anchorId="5FEDF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4E92A" w14:textId="28AF18F3" w:rsidR="00B662F1" w:rsidRDefault="00CC2226">
    <w:pPr>
      <w:pStyle w:val="Header"/>
    </w:pPr>
    <w:r>
      <w:rPr>
        <w:noProof/>
      </w:rPr>
      <w:pict w14:anchorId="17761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783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0000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91A71C1"/>
    <w:multiLevelType w:val="multilevel"/>
    <w:tmpl w:val="00000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zNDQ1tDQ1NDYzMDRT0lEKTi0uzszPAykwrAUALmegjCwAAAA="/>
  </w:docVars>
  <w:rsids>
    <w:rsidRoot w:val="0069775F"/>
    <w:rsid w:val="000307C6"/>
    <w:rsid w:val="0009176B"/>
    <w:rsid w:val="000A327A"/>
    <w:rsid w:val="000B2C3F"/>
    <w:rsid w:val="00186D28"/>
    <w:rsid w:val="001D1D44"/>
    <w:rsid w:val="001F11B1"/>
    <w:rsid w:val="001F4C06"/>
    <w:rsid w:val="002A36F0"/>
    <w:rsid w:val="002C54CC"/>
    <w:rsid w:val="0034635D"/>
    <w:rsid w:val="00361344"/>
    <w:rsid w:val="00365F17"/>
    <w:rsid w:val="00392105"/>
    <w:rsid w:val="00414468"/>
    <w:rsid w:val="004C10FD"/>
    <w:rsid w:val="004C769A"/>
    <w:rsid w:val="004D7A71"/>
    <w:rsid w:val="004E1FD6"/>
    <w:rsid w:val="00560F33"/>
    <w:rsid w:val="005B21AD"/>
    <w:rsid w:val="005B54D6"/>
    <w:rsid w:val="005C52C2"/>
    <w:rsid w:val="005D054D"/>
    <w:rsid w:val="005D26CE"/>
    <w:rsid w:val="005D48E0"/>
    <w:rsid w:val="006129DD"/>
    <w:rsid w:val="00625089"/>
    <w:rsid w:val="0063687E"/>
    <w:rsid w:val="0065523E"/>
    <w:rsid w:val="0069775F"/>
    <w:rsid w:val="006B29DB"/>
    <w:rsid w:val="006D0D11"/>
    <w:rsid w:val="00707F04"/>
    <w:rsid w:val="00716D57"/>
    <w:rsid w:val="007501FE"/>
    <w:rsid w:val="00751001"/>
    <w:rsid w:val="0078142F"/>
    <w:rsid w:val="007956A6"/>
    <w:rsid w:val="008104B4"/>
    <w:rsid w:val="008222CF"/>
    <w:rsid w:val="008740E8"/>
    <w:rsid w:val="00912EBF"/>
    <w:rsid w:val="00924F99"/>
    <w:rsid w:val="00952E91"/>
    <w:rsid w:val="009A2D47"/>
    <w:rsid w:val="009F00E6"/>
    <w:rsid w:val="00AA4FC2"/>
    <w:rsid w:val="00B11332"/>
    <w:rsid w:val="00B4110D"/>
    <w:rsid w:val="00B662F1"/>
    <w:rsid w:val="00B66DA6"/>
    <w:rsid w:val="00BD0DA5"/>
    <w:rsid w:val="00BE5DC3"/>
    <w:rsid w:val="00BE5EE1"/>
    <w:rsid w:val="00C0663A"/>
    <w:rsid w:val="00C07B6E"/>
    <w:rsid w:val="00CC2226"/>
    <w:rsid w:val="00CD1BE8"/>
    <w:rsid w:val="00D00078"/>
    <w:rsid w:val="00D069DD"/>
    <w:rsid w:val="00DE64FB"/>
    <w:rsid w:val="00E823AB"/>
    <w:rsid w:val="00E951D3"/>
    <w:rsid w:val="00EA6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4736E3"/>
  <w15:docId w15:val="{E2E5B6E7-96A2-4BA9-A272-72B60B7C9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cs="Times New Roman"/>
      <w:sz w:val="22"/>
      <w:szCs w:val="22"/>
    </w:rPr>
  </w:style>
  <w:style w:type="paragraph" w:styleId="Heading3">
    <w:name w:val="heading 3"/>
    <w:basedOn w:val="Normal"/>
    <w:link w:val="Heading3Char"/>
    <w:uiPriority w:val="9"/>
    <w:qFormat/>
    <w:rsid w:val="002A36F0"/>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paragraph" w:styleId="Index9">
    <w:name w:val="index 9"/>
    <w:basedOn w:val="Normal"/>
    <w:next w:val="Normal"/>
    <w:pPr>
      <w:ind w:left="720"/>
      <w:contextualSpacing/>
    </w:pPr>
    <w:rPr>
      <w:lang w:val="en-GB"/>
    </w:rPr>
  </w:style>
  <w:style w:type="character" w:styleId="Hyperlink">
    <w:name w:val="Hyperlink"/>
    <w:basedOn w:val="DefaultParagraphFont"/>
    <w:uiPriority w:val="99"/>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6">
    <w:name w:val="Light Grid Accent 6"/>
    <w:basedOn w:val="TableNormal"/>
    <w:uiPriority w:val="62"/>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Accent2">
    <w:name w:val="Medium Shading 1 Accent 2"/>
    <w:basedOn w:val="TableNormal"/>
    <w:uiPriority w:val="63"/>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ListParagraphdaeebebf-f101-4889-831f-2692a0b491de">
    <w:name w:val="List Paragraph_daeebebf-f101-4889-831f-2692a0b491de"/>
    <w:basedOn w:val="Normal"/>
    <w:pPr>
      <w:ind w:left="720"/>
      <w:contextualSpacing/>
    </w:pPr>
  </w:style>
  <w:style w:type="character" w:customStyle="1" w:styleId="BalloonTextChar">
    <w:name w:val="Balloon Text Char"/>
    <w:basedOn w:val="DefaultParagraphFont"/>
    <w:link w:val="BalloonText"/>
    <w:uiPriority w:val="99"/>
    <w:rPr>
      <w:rFonts w:ascii="Tahoma" w:eastAsia="Calibri" w:hAnsi="Tahoma" w:cs="Tahoma"/>
      <w:sz w:val="16"/>
      <w:szCs w:val="16"/>
    </w:rPr>
  </w:style>
  <w:style w:type="character" w:styleId="UnresolvedMention">
    <w:name w:val="Unresolved Mention"/>
    <w:basedOn w:val="DefaultParagraphFont"/>
    <w:uiPriority w:val="99"/>
    <w:semiHidden/>
    <w:unhideWhenUsed/>
    <w:rsid w:val="00625089"/>
    <w:rPr>
      <w:color w:val="605E5C"/>
      <w:shd w:val="clear" w:color="auto" w:fill="E1DFDD"/>
    </w:rPr>
  </w:style>
  <w:style w:type="paragraph" w:styleId="ListParagraph">
    <w:name w:val="List Paragraph"/>
    <w:basedOn w:val="Normal"/>
    <w:uiPriority w:val="34"/>
    <w:qFormat/>
    <w:rsid w:val="000A327A"/>
    <w:pPr>
      <w:ind w:left="720"/>
      <w:contextualSpacing/>
    </w:pPr>
  </w:style>
  <w:style w:type="paragraph" w:styleId="Header">
    <w:name w:val="header"/>
    <w:basedOn w:val="Normal"/>
    <w:link w:val="HeaderChar"/>
    <w:uiPriority w:val="99"/>
    <w:unhideWhenUsed/>
    <w:rsid w:val="00B66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2F1"/>
    <w:rPr>
      <w:rFonts w:cs="Times New Roman"/>
      <w:sz w:val="22"/>
      <w:szCs w:val="22"/>
    </w:rPr>
  </w:style>
  <w:style w:type="paragraph" w:styleId="Footer">
    <w:name w:val="footer"/>
    <w:basedOn w:val="Normal"/>
    <w:link w:val="FooterChar"/>
    <w:uiPriority w:val="99"/>
    <w:unhideWhenUsed/>
    <w:rsid w:val="00B66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2F1"/>
    <w:rPr>
      <w:rFonts w:cs="Times New Roman"/>
      <w:sz w:val="22"/>
      <w:szCs w:val="22"/>
    </w:rPr>
  </w:style>
  <w:style w:type="character" w:styleId="CommentReference">
    <w:name w:val="annotation reference"/>
    <w:basedOn w:val="DefaultParagraphFont"/>
    <w:uiPriority w:val="99"/>
    <w:semiHidden/>
    <w:unhideWhenUsed/>
    <w:rsid w:val="0063687E"/>
    <w:rPr>
      <w:sz w:val="16"/>
      <w:szCs w:val="16"/>
    </w:rPr>
  </w:style>
  <w:style w:type="paragraph" w:styleId="CommentText">
    <w:name w:val="annotation text"/>
    <w:basedOn w:val="Normal"/>
    <w:link w:val="CommentTextChar"/>
    <w:uiPriority w:val="99"/>
    <w:semiHidden/>
    <w:unhideWhenUsed/>
    <w:rsid w:val="0063687E"/>
    <w:pPr>
      <w:spacing w:line="240" w:lineRule="auto"/>
    </w:pPr>
    <w:rPr>
      <w:sz w:val="20"/>
      <w:szCs w:val="20"/>
    </w:rPr>
  </w:style>
  <w:style w:type="character" w:customStyle="1" w:styleId="CommentTextChar">
    <w:name w:val="Comment Text Char"/>
    <w:basedOn w:val="DefaultParagraphFont"/>
    <w:link w:val="CommentText"/>
    <w:uiPriority w:val="99"/>
    <w:semiHidden/>
    <w:rsid w:val="0063687E"/>
    <w:rPr>
      <w:rFonts w:cs="Times New Roman"/>
    </w:rPr>
  </w:style>
  <w:style w:type="paragraph" w:styleId="CommentSubject">
    <w:name w:val="annotation subject"/>
    <w:basedOn w:val="CommentText"/>
    <w:next w:val="CommentText"/>
    <w:link w:val="CommentSubjectChar"/>
    <w:uiPriority w:val="99"/>
    <w:semiHidden/>
    <w:unhideWhenUsed/>
    <w:rsid w:val="0063687E"/>
    <w:rPr>
      <w:b/>
      <w:bCs/>
    </w:rPr>
  </w:style>
  <w:style w:type="character" w:customStyle="1" w:styleId="CommentSubjectChar">
    <w:name w:val="Comment Subject Char"/>
    <w:basedOn w:val="CommentTextChar"/>
    <w:link w:val="CommentSubject"/>
    <w:uiPriority w:val="99"/>
    <w:semiHidden/>
    <w:rsid w:val="0063687E"/>
    <w:rPr>
      <w:rFonts w:cs="Times New Roman"/>
      <w:b/>
      <w:bCs/>
    </w:rPr>
  </w:style>
  <w:style w:type="character" w:customStyle="1" w:styleId="Heading3Char">
    <w:name w:val="Heading 3 Char"/>
    <w:basedOn w:val="DefaultParagraphFont"/>
    <w:link w:val="Heading3"/>
    <w:uiPriority w:val="9"/>
    <w:rsid w:val="002A36F0"/>
    <w:rPr>
      <w:rFonts w:ascii="Times New Roman" w:eastAsia="Times New Roman" w:hAnsi="Times New Roman" w:cs="Times New Roman"/>
      <w:b/>
      <w:bCs/>
      <w:sz w:val="27"/>
      <w:szCs w:val="27"/>
    </w:rPr>
  </w:style>
  <w:style w:type="character" w:customStyle="1" w:styleId="s6gkk">
    <w:name w:val="s6gkk"/>
    <w:basedOn w:val="DefaultParagraphFont"/>
    <w:rsid w:val="002A3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57608">
      <w:bodyDiv w:val="1"/>
      <w:marLeft w:val="0"/>
      <w:marRight w:val="0"/>
      <w:marTop w:val="0"/>
      <w:marBottom w:val="0"/>
      <w:divBdr>
        <w:top w:val="none" w:sz="0" w:space="0" w:color="auto"/>
        <w:left w:val="none" w:sz="0" w:space="0" w:color="auto"/>
        <w:bottom w:val="none" w:sz="0" w:space="0" w:color="auto"/>
        <w:right w:val="none" w:sz="0" w:space="0" w:color="auto"/>
      </w:divBdr>
      <w:divsChild>
        <w:div w:id="1519200055">
          <w:marLeft w:val="0"/>
          <w:marRight w:val="0"/>
          <w:marTop w:val="0"/>
          <w:marBottom w:val="0"/>
          <w:divBdr>
            <w:top w:val="none" w:sz="0" w:space="0" w:color="auto"/>
            <w:left w:val="none" w:sz="0" w:space="0" w:color="auto"/>
            <w:bottom w:val="none" w:sz="0" w:space="0" w:color="auto"/>
            <w:right w:val="none" w:sz="0" w:space="0" w:color="auto"/>
          </w:divBdr>
          <w:divsChild>
            <w:div w:id="1329749705">
              <w:marLeft w:val="0"/>
              <w:marRight w:val="0"/>
              <w:marTop w:val="0"/>
              <w:marBottom w:val="0"/>
              <w:divBdr>
                <w:top w:val="none" w:sz="0" w:space="0" w:color="auto"/>
                <w:left w:val="none" w:sz="0" w:space="0" w:color="auto"/>
                <w:bottom w:val="none" w:sz="0" w:space="0" w:color="auto"/>
                <w:right w:val="none" w:sz="0" w:space="0" w:color="auto"/>
              </w:divBdr>
              <w:divsChild>
                <w:div w:id="113210848">
                  <w:marLeft w:val="0"/>
                  <w:marRight w:val="0"/>
                  <w:marTop w:val="0"/>
                  <w:marBottom w:val="0"/>
                  <w:divBdr>
                    <w:top w:val="none" w:sz="0" w:space="0" w:color="auto"/>
                    <w:left w:val="none" w:sz="0" w:space="0" w:color="auto"/>
                    <w:bottom w:val="none" w:sz="0" w:space="0" w:color="auto"/>
                    <w:right w:val="none" w:sz="0" w:space="0" w:color="auto"/>
                  </w:divBdr>
                  <w:divsChild>
                    <w:div w:id="16787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5002">
      <w:bodyDiv w:val="1"/>
      <w:marLeft w:val="0"/>
      <w:marRight w:val="0"/>
      <w:marTop w:val="0"/>
      <w:marBottom w:val="0"/>
      <w:divBdr>
        <w:top w:val="none" w:sz="0" w:space="0" w:color="auto"/>
        <w:left w:val="none" w:sz="0" w:space="0" w:color="auto"/>
        <w:bottom w:val="none" w:sz="0" w:space="0" w:color="auto"/>
        <w:right w:val="none" w:sz="0" w:space="0" w:color="auto"/>
      </w:divBdr>
    </w:div>
    <w:div w:id="1517619620">
      <w:bodyDiv w:val="1"/>
      <w:marLeft w:val="0"/>
      <w:marRight w:val="0"/>
      <w:marTop w:val="0"/>
      <w:marBottom w:val="0"/>
      <w:divBdr>
        <w:top w:val="none" w:sz="0" w:space="0" w:color="auto"/>
        <w:left w:val="none" w:sz="0" w:space="0" w:color="auto"/>
        <w:bottom w:val="none" w:sz="0" w:space="0" w:color="auto"/>
        <w:right w:val="none" w:sz="0" w:space="0" w:color="auto"/>
      </w:divBdr>
      <w:divsChild>
        <w:div w:id="1019358403">
          <w:marLeft w:val="0"/>
          <w:marRight w:val="0"/>
          <w:marTop w:val="0"/>
          <w:marBottom w:val="0"/>
          <w:divBdr>
            <w:top w:val="none" w:sz="0" w:space="0" w:color="auto"/>
            <w:left w:val="none" w:sz="0" w:space="0" w:color="auto"/>
            <w:bottom w:val="none" w:sz="0" w:space="0" w:color="auto"/>
            <w:right w:val="none" w:sz="0" w:space="0" w:color="auto"/>
          </w:divBdr>
          <w:divsChild>
            <w:div w:id="1191534010">
              <w:marLeft w:val="0"/>
              <w:marRight w:val="0"/>
              <w:marTop w:val="0"/>
              <w:marBottom w:val="0"/>
              <w:divBdr>
                <w:top w:val="none" w:sz="0" w:space="0" w:color="auto"/>
                <w:left w:val="none" w:sz="0" w:space="0" w:color="auto"/>
                <w:bottom w:val="none" w:sz="0" w:space="0" w:color="auto"/>
                <w:right w:val="none" w:sz="0" w:space="0" w:color="auto"/>
              </w:divBdr>
              <w:divsChild>
                <w:div w:id="1099443702">
                  <w:marLeft w:val="0"/>
                  <w:marRight w:val="0"/>
                  <w:marTop w:val="0"/>
                  <w:marBottom w:val="0"/>
                  <w:divBdr>
                    <w:top w:val="none" w:sz="0" w:space="0" w:color="auto"/>
                    <w:left w:val="none" w:sz="0" w:space="0" w:color="auto"/>
                    <w:bottom w:val="none" w:sz="0" w:space="0" w:color="auto"/>
                    <w:right w:val="none" w:sz="0" w:space="0" w:color="auto"/>
                  </w:divBdr>
                  <w:divsChild>
                    <w:div w:id="20116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6886">
      <w:bodyDiv w:val="1"/>
      <w:marLeft w:val="0"/>
      <w:marRight w:val="0"/>
      <w:marTop w:val="0"/>
      <w:marBottom w:val="0"/>
      <w:divBdr>
        <w:top w:val="none" w:sz="0" w:space="0" w:color="auto"/>
        <w:left w:val="none" w:sz="0" w:space="0" w:color="auto"/>
        <w:bottom w:val="none" w:sz="0" w:space="0" w:color="auto"/>
        <w:right w:val="none" w:sz="0" w:space="0" w:color="auto"/>
      </w:divBdr>
    </w:div>
    <w:div w:id="1753088244">
      <w:bodyDiv w:val="1"/>
      <w:marLeft w:val="0"/>
      <w:marRight w:val="0"/>
      <w:marTop w:val="0"/>
      <w:marBottom w:val="0"/>
      <w:divBdr>
        <w:top w:val="none" w:sz="0" w:space="0" w:color="auto"/>
        <w:left w:val="none" w:sz="0" w:space="0" w:color="auto"/>
        <w:bottom w:val="none" w:sz="0" w:space="0" w:color="auto"/>
        <w:right w:val="none" w:sz="0" w:space="0" w:color="auto"/>
      </w:divBdr>
    </w:div>
    <w:div w:id="2029285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9734/ajfar/2022/v18i63046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techopen.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larsbulleti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15</Pages>
  <Words>5979</Words>
  <Characters>34084</Characters>
  <Application>Microsoft Office Word</Application>
  <DocSecurity>0</DocSecurity>
  <Lines>284</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Company>
  <LinksUpToDate>false</LinksUpToDate>
  <CharactersWithSpaces>39984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Theodore Allison</dc:creator>
  <cp:lastModifiedBy>SDI 1183</cp:lastModifiedBy>
  <cp:revision>405</cp:revision>
  <dcterms:created xsi:type="dcterms:W3CDTF">2021-10-03T12:00:00Z</dcterms:created>
  <dcterms:modified xsi:type="dcterms:W3CDTF">2025-05-16T10:13:00Z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ede531ada71b42c78073f4620bc372f1</vt:lpwstr>
  </property>
  <property fmtid="{D5CDD505-2E9C-101B-9397-08002B2CF9AE}" pid="3" name="KSOProductBuildVer">
    <vt:lpwstr>3081-11.34.01</vt:lpwstr>
  </property>
</Properties>
</file>