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AD0" w:rsidRPr="00CC7AD0" w:rsidRDefault="00CC7AD0" w:rsidP="00304244">
      <w:pPr>
        <w:spacing w:line="480" w:lineRule="auto"/>
        <w:jc w:val="center"/>
        <w:rPr>
          <w:rFonts w:ascii="Times New Roman" w:hAnsi="Times New Roman" w:cs="Times New Roman"/>
          <w:b/>
          <w:sz w:val="24"/>
          <w:szCs w:val="24"/>
          <w:u w:val="single"/>
        </w:rPr>
      </w:pPr>
      <w:r w:rsidRPr="00CC7AD0">
        <w:rPr>
          <w:rFonts w:ascii="Times New Roman" w:hAnsi="Times New Roman" w:cs="Times New Roman"/>
          <w:b/>
          <w:sz w:val="24"/>
          <w:szCs w:val="24"/>
          <w:u w:val="single"/>
        </w:rPr>
        <w:t>Original Research Article</w:t>
      </w:r>
    </w:p>
    <w:p w:rsidR="00304244" w:rsidRPr="00CC7AD0" w:rsidRDefault="00707CC0" w:rsidP="00304244">
      <w:pPr>
        <w:spacing w:line="480" w:lineRule="auto"/>
        <w:jc w:val="center"/>
        <w:rPr>
          <w:rFonts w:ascii="Times New Roman" w:hAnsi="Times New Roman" w:cs="Times New Roman"/>
          <w:b/>
          <w:sz w:val="24"/>
          <w:szCs w:val="24"/>
        </w:rPr>
      </w:pPr>
      <w:r w:rsidRPr="00CC7AD0">
        <w:rPr>
          <w:rFonts w:ascii="Times New Roman" w:hAnsi="Times New Roman" w:cs="Times New Roman"/>
          <w:b/>
          <w:sz w:val="24"/>
          <w:szCs w:val="24"/>
        </w:rPr>
        <w:t>PREVALENCE AND PREDICTORS OF OBESITY IN SCH</w:t>
      </w:r>
      <w:r w:rsidR="00055741" w:rsidRPr="00CC7AD0">
        <w:rPr>
          <w:rFonts w:ascii="Times New Roman" w:hAnsi="Times New Roman" w:cs="Times New Roman"/>
          <w:b/>
          <w:sz w:val="24"/>
          <w:szCs w:val="24"/>
        </w:rPr>
        <w:t>OOL CHILDREN IN ESAN COMMUNITY</w:t>
      </w:r>
      <w:r w:rsidRPr="00CC7AD0">
        <w:rPr>
          <w:rFonts w:ascii="Times New Roman" w:hAnsi="Times New Roman" w:cs="Times New Roman"/>
          <w:b/>
          <w:sz w:val="24"/>
          <w:szCs w:val="24"/>
        </w:rPr>
        <w:t xml:space="preserve"> OF EDO STATE, NIGERIA.</w:t>
      </w:r>
    </w:p>
    <w:p w:rsidR="00741315" w:rsidRPr="00CC7AD0" w:rsidRDefault="00741315" w:rsidP="00F01287">
      <w:pPr>
        <w:spacing w:line="480" w:lineRule="auto"/>
        <w:jc w:val="both"/>
        <w:rPr>
          <w:rStyle w:val="Strong"/>
          <w:rFonts w:ascii="Times New Roman" w:hAnsi="Times New Roman"/>
          <w:b w:val="0"/>
          <w:bCs w:val="0"/>
        </w:rPr>
      </w:pPr>
    </w:p>
    <w:p w:rsidR="00241E23" w:rsidRPr="00CC7AD0" w:rsidRDefault="00E6187C">
      <w:pPr>
        <w:pStyle w:val="NormalWeb"/>
        <w:spacing w:line="480" w:lineRule="auto"/>
        <w:jc w:val="both"/>
        <w:rPr>
          <w:rStyle w:val="Strong"/>
          <w:rFonts w:ascii="Times New Roman" w:hAnsi="Times New Roman"/>
        </w:rPr>
      </w:pPr>
      <w:r w:rsidRPr="00CC7AD0">
        <w:rPr>
          <w:rStyle w:val="Strong"/>
          <w:rFonts w:ascii="Times New Roman" w:hAnsi="Times New Roman"/>
        </w:rPr>
        <w:t>ABSTRACT</w:t>
      </w:r>
    </w:p>
    <w:p w:rsidR="00241E23" w:rsidRPr="00CC7AD0" w:rsidRDefault="00E6187C">
      <w:pPr>
        <w:pStyle w:val="NormalWeb"/>
        <w:spacing w:line="480" w:lineRule="auto"/>
        <w:jc w:val="both"/>
        <w:rPr>
          <w:rFonts w:ascii="Times New Roman" w:hAnsi="Times New Roman"/>
        </w:rPr>
      </w:pPr>
      <w:r w:rsidRPr="00CC7AD0">
        <w:rPr>
          <w:rFonts w:ascii="Times New Roman" w:hAnsi="Times New Roman"/>
        </w:rPr>
        <w:t xml:space="preserve">This study investigated the prevalence and predictors of obesity among primary </w:t>
      </w:r>
      <w:r w:rsidR="00CA5544">
        <w:rPr>
          <w:rFonts w:ascii="Times New Roman" w:hAnsi="Times New Roman"/>
        </w:rPr>
        <w:t xml:space="preserve">and secondary </w:t>
      </w:r>
      <w:r w:rsidRPr="00CC7AD0">
        <w:rPr>
          <w:rFonts w:ascii="Times New Roman" w:hAnsi="Times New Roman"/>
        </w:rPr>
        <w:t>school children aged 6–18 years in Esan community of Edo State Nigeria. A cross-sectional research design was employed, with 150 participants selected using a simple random sampling technique. Data collection involved anthropometric measurements and structured questionnaires, capturing information on dietary habits, physical activity levels, and socioeconomic status. Obesity was assessed using Body Mass Index (BMI) categorized by age- and sex-specific growth charts. Descriptive statistics indicated that the majority of participants (95.3%) were classified as non-obese, with only 4.7% categorized as obese. Gender-specific analyses revealed higher BMI means in females (18.81 ± 6.08) compared to males (17.82 ± 4.68). The 9–12 years age group exhibited the highest obesity prevalence for both genders, accounting for over 80% of cases. Snacking and sugary drink consumption patterns showed no significant correlation with obesity prevalence, as determined by regression analysis (p &gt; 0.05). However, height demonstrated a strong positive correlation with weight (r = 0.661, p &lt; 0.01). Findings underscore the low prevalence of obesity within the study population and the absence of significant lifestyle predictors.</w:t>
      </w:r>
    </w:p>
    <w:p w:rsidR="000E2462" w:rsidRDefault="00741315">
      <w:pPr>
        <w:spacing w:line="480" w:lineRule="auto"/>
        <w:jc w:val="both"/>
        <w:rPr>
          <w:rStyle w:val="IntenseReference1"/>
          <w:rFonts w:ascii="Times New Roman" w:hAnsi="Times New Roman"/>
          <w:b w:val="0"/>
          <w:bCs w:val="0"/>
          <w:smallCaps w:val="0"/>
          <w:color w:val="auto"/>
          <w:spacing w:val="0"/>
        </w:rPr>
      </w:pPr>
      <w:r w:rsidRPr="00CC7AD0">
        <w:rPr>
          <w:rFonts w:ascii="Times New Roman" w:hAnsi="Times New Roman"/>
          <w:b/>
        </w:rPr>
        <w:t>Keywords:</w:t>
      </w:r>
      <w:r w:rsidRPr="00CC7AD0">
        <w:rPr>
          <w:rFonts w:ascii="Times New Roman" w:hAnsi="Times New Roman"/>
        </w:rPr>
        <w:t xml:space="preserve"> Prevalence and predictors, obesity, school children, Esan communities. </w:t>
      </w:r>
    </w:p>
    <w:p w:rsidR="00241E23" w:rsidRPr="000E2462" w:rsidRDefault="009976B9">
      <w:pPr>
        <w:spacing w:line="480" w:lineRule="auto"/>
        <w:jc w:val="both"/>
        <w:rPr>
          <w:rStyle w:val="IntenseReference1"/>
          <w:rFonts w:ascii="Times New Roman" w:hAnsi="Times New Roman"/>
          <w:b w:val="0"/>
          <w:bCs w:val="0"/>
          <w:smallCaps w:val="0"/>
          <w:color w:val="auto"/>
          <w:spacing w:val="0"/>
        </w:rPr>
      </w:pPr>
      <w:r w:rsidRPr="00CC7AD0">
        <w:rPr>
          <w:rStyle w:val="IntenseReference1"/>
          <w:rFonts w:ascii="Times New Roman" w:hAnsi="Times New Roman" w:cs="Times New Roman"/>
          <w:color w:val="auto"/>
          <w:sz w:val="24"/>
          <w:szCs w:val="24"/>
        </w:rPr>
        <w:lastRenderedPageBreak/>
        <w:t>1</w:t>
      </w:r>
      <w:r w:rsidR="00741315" w:rsidRPr="00CC7AD0">
        <w:rPr>
          <w:rStyle w:val="IntenseReference1"/>
          <w:rFonts w:ascii="Times New Roman" w:hAnsi="Times New Roman" w:cs="Times New Roman"/>
          <w:color w:val="auto"/>
          <w:sz w:val="24"/>
          <w:szCs w:val="24"/>
        </w:rPr>
        <w:t xml:space="preserve">: </w:t>
      </w:r>
      <w:r w:rsidR="00E6187C" w:rsidRPr="00CC7AD0">
        <w:rPr>
          <w:rStyle w:val="IntenseReference1"/>
          <w:rFonts w:ascii="Times New Roman" w:hAnsi="Times New Roman" w:cs="Times New Roman"/>
          <w:color w:val="auto"/>
          <w:sz w:val="24"/>
          <w:szCs w:val="24"/>
        </w:rPr>
        <w:t>INTRODUCTION</w:t>
      </w:r>
    </w:p>
    <w:p w:rsidR="00E265C9"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Childhood obesity is a condition characterized by excessive fat accumulation that poses a risk to a child’s health and development. </w:t>
      </w:r>
      <w:r w:rsidRPr="00CC7AD0">
        <w:rPr>
          <w:rFonts w:ascii="Times New Roman" w:hAnsi="Times New Roman"/>
          <w:sz w:val="24"/>
          <w:szCs w:val="24"/>
        </w:rPr>
        <w:t xml:space="preserve">Childhood obesity has become one of the most significant global public health challenges due to its wide-reaching implications on health (Ogden </w:t>
      </w:r>
      <w:r w:rsidRPr="00CC7AD0">
        <w:rPr>
          <w:rFonts w:ascii="Times New Roman" w:hAnsi="Times New Roman"/>
          <w:i/>
          <w:sz w:val="24"/>
          <w:szCs w:val="24"/>
        </w:rPr>
        <w:t>et al</w:t>
      </w:r>
      <w:r w:rsidRPr="00CC7AD0">
        <w:rPr>
          <w:rFonts w:ascii="Times New Roman" w:hAnsi="Times New Roman"/>
          <w:sz w:val="24"/>
          <w:szCs w:val="24"/>
        </w:rPr>
        <w:t>., 2012).</w:t>
      </w:r>
      <w:r w:rsidRPr="00CC7AD0">
        <w:rPr>
          <w:rFonts w:ascii="Times New Roman" w:hAnsi="Times New Roman" w:cs="Times New Roman"/>
          <w:sz w:val="24"/>
          <w:szCs w:val="24"/>
        </w:rPr>
        <w:t>The most commonly used metric to define and categorize obesity in children is the Body Mass Index (BMI), which is calculated by dividing a child's weight in kilograms by the sq</w:t>
      </w:r>
      <w:r w:rsidR="00E265C9">
        <w:rPr>
          <w:rFonts w:ascii="Times New Roman" w:hAnsi="Times New Roman" w:cs="Times New Roman"/>
          <w:sz w:val="24"/>
          <w:szCs w:val="24"/>
        </w:rPr>
        <w:t xml:space="preserve">uare of their height in meters; where persons with a BMI of 30 or higher is considered obsessed. </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Other measures such as waist circumference (WC) and waist-to-hip ratio (WHR) are also employed to assess central obesity, which is particularly important in predicting metabolic risks. However, these measures can vary significantly depending on genetic, environmental, and socioeconomic factors. </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Globally, childhood obesity has reached epidemic proportions, affecting children across all socioeconomic groups in both developed and developing countries. The World Health Organization (WHO) reports that the number of overweight or obese children aged 5–19 years worldwide has risen dramatically, from 4% in 1975 to over 18% in 2016. In high-income countries, childhood obesity is often linked to over-consumption of energy-dense, nutrient-poor foods, and a lack of physical activity due to increased screen time and a reduction in outdoor play. In Nigeria where this study was carried out, the prevalence of childhood obesity is steadily rising, particularly in urban regions due to the transition from traditional diets rich in grains, vegetables, and lean proteins to diets high in fats, sugars, and refined carbohydrates being the key factor driving this increase. Studies indicate that while malnutrition remains a significant concern in many rural parts of Nigeria, urban areas are increasingly experiencing higher rates of childhood obesity due to the consumption of calorie-dense foods and reduced physical activity </w:t>
      </w:r>
      <w:r w:rsidRPr="00CC7AD0">
        <w:rPr>
          <w:rFonts w:ascii="Times New Roman" w:hAnsi="Times New Roman" w:cs="Times New Roman"/>
          <w:b/>
          <w:bCs/>
          <w:sz w:val="24"/>
          <w:szCs w:val="24"/>
        </w:rPr>
        <w:t>(</w:t>
      </w:r>
      <w:r w:rsidRPr="00CC7AD0">
        <w:rPr>
          <w:rFonts w:ascii="Times New Roman" w:hAnsi="Times New Roman" w:cs="Times New Roman"/>
          <w:sz w:val="24"/>
          <w:szCs w:val="24"/>
        </w:rPr>
        <w:t xml:space="preserve">Popkin, </w:t>
      </w:r>
      <w:r w:rsidRPr="00CC7AD0">
        <w:rPr>
          <w:rFonts w:ascii="Times New Roman" w:hAnsi="Times New Roman" w:cs="Times New Roman"/>
          <w:sz w:val="24"/>
          <w:szCs w:val="24"/>
        </w:rPr>
        <w:lastRenderedPageBreak/>
        <w:t>2015). A study on Nigerian children revealed that the prevalence of overweight and obesity was 13.2% and 5.4%, respectively, with higher rates reported in urban centers compared to rural areas (Drewnowski and Specter, 2004). This shift in dietary patterns, coupled with socioeconomic factors such as parental education and household income, plays a critical role in the rise of childhood obesity.</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Nigeria’s escalating childhood obesity crisis is compounded by the limited availability of public health interventions targeted at children. The lack of awareness among parents and caregivers about healthy diets and the importance </w:t>
      </w:r>
      <w:r w:rsidR="00556D06" w:rsidRPr="00CC7AD0">
        <w:rPr>
          <w:rFonts w:ascii="Times New Roman" w:hAnsi="Times New Roman" w:cs="Times New Roman"/>
          <w:sz w:val="24"/>
          <w:szCs w:val="24"/>
        </w:rPr>
        <w:t>of physical activity contribute</w:t>
      </w:r>
      <w:r w:rsidRPr="00CC7AD0">
        <w:rPr>
          <w:rFonts w:ascii="Times New Roman" w:hAnsi="Times New Roman" w:cs="Times New Roman"/>
          <w:sz w:val="24"/>
          <w:szCs w:val="24"/>
        </w:rPr>
        <w:t xml:space="preserve"> to the problem (Senbanjo and Adejuyigbe, 2007). Additionally, childhood obesity in Nigeria is often under</w:t>
      </w:r>
      <w:r w:rsidR="00F9539B" w:rsidRPr="00CC7AD0">
        <w:rPr>
          <w:rFonts w:ascii="Times New Roman" w:hAnsi="Times New Roman" w:cs="Times New Roman"/>
          <w:sz w:val="24"/>
          <w:szCs w:val="24"/>
        </w:rPr>
        <w:t>-</w:t>
      </w:r>
      <w:r w:rsidRPr="00CC7AD0">
        <w:rPr>
          <w:rFonts w:ascii="Times New Roman" w:hAnsi="Times New Roman" w:cs="Times New Roman"/>
          <w:sz w:val="24"/>
          <w:szCs w:val="24"/>
        </w:rPr>
        <w:t>diagnosed due to a lack of regular screening for BMI and other anthropometric measures in schools and clinics. Despite the global attention to this issue, there is limited data specifically addressing the prevalence and predictors of childhood obesity in Nigerian communities, particularly in these local communities. The increasing rates of obesity among children are concerning due to the associated risk of developing chronic diseases such as type 2 diabetes, hypertension, and cardiovascular diseases later in life (Adeloye</w:t>
      </w:r>
      <w:r w:rsidR="009525A6">
        <w:rPr>
          <w:rFonts w:ascii="Times New Roman" w:hAnsi="Times New Roman" w:cs="Times New Roman"/>
          <w:sz w:val="24"/>
          <w:szCs w:val="24"/>
        </w:rPr>
        <w:t xml:space="preserve"> </w:t>
      </w:r>
      <w:r w:rsidRPr="00CC7AD0">
        <w:rPr>
          <w:rFonts w:ascii="Times New Roman" w:hAnsi="Times New Roman" w:cs="Times New Roman"/>
          <w:i/>
          <w:iCs/>
          <w:sz w:val="24"/>
          <w:szCs w:val="24"/>
        </w:rPr>
        <w:t>et al</w:t>
      </w:r>
      <w:r w:rsidRPr="00CC7AD0">
        <w:rPr>
          <w:rFonts w:ascii="Times New Roman" w:hAnsi="Times New Roman" w:cs="Times New Roman"/>
          <w:sz w:val="24"/>
          <w:szCs w:val="24"/>
        </w:rPr>
        <w:t>., 2021).</w:t>
      </w:r>
    </w:p>
    <w:p w:rsidR="00241E23"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The aim of this study is to investigate the prevalence and predictors of obesity among children in Esan communities, specifically focusing on primary and secondary school children, with the objectives to: determine the prevalence of obesity in both males and females among primary and secondary school children aged 6-18 years, identify the demographic age group, and lifestyle factors that predict childhood obesity in the study population, assess the relationship between the factors including dietary habits and obesity among children attending Primary Schools.</w:t>
      </w:r>
    </w:p>
    <w:p w:rsidR="00213D82" w:rsidRPr="00CC7AD0" w:rsidRDefault="00213D82">
      <w:pPr>
        <w:spacing w:line="480" w:lineRule="auto"/>
        <w:jc w:val="both"/>
        <w:rPr>
          <w:rFonts w:ascii="Times New Roman" w:hAnsi="Times New Roman" w:cs="Times New Roman"/>
          <w:b/>
          <w:bCs/>
          <w:sz w:val="24"/>
          <w:szCs w:val="24"/>
        </w:rPr>
      </w:pPr>
    </w:p>
    <w:p w:rsidR="00241E23" w:rsidRPr="00CC7AD0" w:rsidRDefault="009976B9">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lastRenderedPageBreak/>
        <w:t xml:space="preserve">2: </w:t>
      </w:r>
      <w:r w:rsidR="00E6187C" w:rsidRPr="00CC7AD0">
        <w:rPr>
          <w:rFonts w:ascii="Times New Roman" w:hAnsi="Times New Roman" w:cs="Times New Roman"/>
          <w:b/>
          <w:bCs/>
          <w:sz w:val="24"/>
          <w:szCs w:val="24"/>
        </w:rPr>
        <w:t>METHODS</w:t>
      </w:r>
    </w:p>
    <w:p w:rsidR="00241E23" w:rsidRPr="00CC7AD0" w:rsidRDefault="009976B9">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2.1: </w:t>
      </w:r>
      <w:r w:rsidR="00E6187C" w:rsidRPr="00CC7AD0">
        <w:rPr>
          <w:rFonts w:ascii="Times New Roman" w:hAnsi="Times New Roman" w:cs="Times New Roman"/>
          <w:b/>
          <w:bCs/>
          <w:sz w:val="24"/>
          <w:szCs w:val="24"/>
        </w:rPr>
        <w:t>Research Design</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This study was employ a cross-sectional research design to assess the prevalence and predictors of obesity among children aged 6-18 years attending primary and secondary schools within Ambrose Alli University in Ekpoma, and Ihumudumu Primary School, Esan West Local Government Area. </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2.2: </w:t>
      </w:r>
      <w:r w:rsidR="00E6187C" w:rsidRPr="00CC7AD0">
        <w:rPr>
          <w:rFonts w:ascii="Times New Roman" w:hAnsi="Times New Roman" w:cs="Times New Roman"/>
          <w:b/>
          <w:bCs/>
          <w:sz w:val="24"/>
          <w:szCs w:val="24"/>
        </w:rPr>
        <w:t>Sampling Techniques and Sample Size</w:t>
      </w:r>
    </w:p>
    <w:p w:rsidR="00241E23" w:rsidRPr="00CC7AD0" w:rsidRDefault="00E6187C">
      <w:pPr>
        <w:tabs>
          <w:tab w:val="left" w:pos="5280"/>
        </w:tabs>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A simple random sampling technique was used to select participants from the study population. A sample size of approximately 150 children was determined through statistical calculations, ensuring adequate representation for analysis.</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2.3: </w:t>
      </w:r>
      <w:r w:rsidR="00E6187C" w:rsidRPr="00CC7AD0">
        <w:rPr>
          <w:rFonts w:ascii="Times New Roman" w:hAnsi="Times New Roman" w:cs="Times New Roman"/>
          <w:b/>
          <w:bCs/>
          <w:sz w:val="24"/>
          <w:szCs w:val="24"/>
        </w:rPr>
        <w:t>Data Collection Methods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Data was collected using a combination of anthropometric measurements, structured questionnaires, to gather detailed information on each participant.</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2.4: </w:t>
      </w:r>
      <w:r w:rsidR="00E6187C" w:rsidRPr="00CC7AD0">
        <w:rPr>
          <w:rFonts w:ascii="Times New Roman" w:hAnsi="Times New Roman" w:cs="Times New Roman"/>
          <w:b/>
          <w:bCs/>
          <w:sz w:val="24"/>
          <w:szCs w:val="24"/>
        </w:rPr>
        <w:t>Anthropometric Measurements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Standardized procedures was used to measure height, weight, and calculate BMI (Body Mass Index) using the formula: BMI= Weight (kg)/Height (m)</w:t>
      </w:r>
      <w:r w:rsidRPr="00CC7AD0">
        <w:rPr>
          <w:rFonts w:ascii="Times New Roman" w:hAnsi="Times New Roman" w:cs="Times New Roman"/>
          <w:sz w:val="24"/>
          <w:szCs w:val="24"/>
          <w:vertAlign w:val="superscript"/>
        </w:rPr>
        <w:t>2</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Height</w:t>
      </w:r>
      <w:r w:rsidRPr="00CC7AD0">
        <w:rPr>
          <w:rFonts w:ascii="Times New Roman" w:hAnsi="Times New Roman" w:cs="Times New Roman"/>
          <w:sz w:val="24"/>
          <w:szCs w:val="24"/>
        </w:rPr>
        <w:t xml:space="preserve"> was measured using a stadiometer, with participants standing upright without shoes.</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Weight</w:t>
      </w:r>
      <w:r w:rsidRPr="00CC7AD0">
        <w:rPr>
          <w:rFonts w:ascii="Times New Roman" w:hAnsi="Times New Roman" w:cs="Times New Roman"/>
          <w:sz w:val="24"/>
          <w:szCs w:val="24"/>
        </w:rPr>
        <w:t xml:space="preserve"> was measured using a digital weighing scale, ensuring accuracy.</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BMI</w:t>
      </w:r>
      <w:r w:rsidRPr="00CC7AD0">
        <w:rPr>
          <w:rFonts w:ascii="Times New Roman" w:hAnsi="Times New Roman" w:cs="Times New Roman"/>
          <w:sz w:val="24"/>
          <w:szCs w:val="24"/>
        </w:rPr>
        <w:t xml:space="preserve"> was categorized according to age and sex-specific growth charts, and obesity was defined using cut-off points consistent with international standards.</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lastRenderedPageBreak/>
        <w:t xml:space="preserve">2.5: </w:t>
      </w:r>
      <w:r w:rsidR="00E6187C" w:rsidRPr="00CC7AD0">
        <w:rPr>
          <w:rFonts w:ascii="Times New Roman" w:hAnsi="Times New Roman" w:cs="Times New Roman"/>
          <w:b/>
          <w:bCs/>
          <w:sz w:val="24"/>
          <w:szCs w:val="24"/>
        </w:rPr>
        <w:t>Questionnaire on Dietary Habits, Physical Activity, and Socioeconomic Status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A structured questionnaire was administered to collect information on:</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Dietary habits</w:t>
      </w:r>
      <w:r w:rsidRPr="00CC7AD0">
        <w:rPr>
          <w:rFonts w:ascii="Times New Roman" w:hAnsi="Times New Roman" w:cs="Times New Roman"/>
          <w:sz w:val="24"/>
          <w:szCs w:val="24"/>
        </w:rPr>
        <w:t>, including frequency of meals, types of foods consumed, and snacking patterns.</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Physical activity levels</w:t>
      </w:r>
      <w:r w:rsidRPr="00CC7AD0">
        <w:rPr>
          <w:rFonts w:ascii="Times New Roman" w:hAnsi="Times New Roman" w:cs="Times New Roman"/>
          <w:sz w:val="24"/>
          <w:szCs w:val="24"/>
        </w:rPr>
        <w:t>, including participation in sports, recreational activities, and screen time.</w:t>
      </w:r>
    </w:p>
    <w:p w:rsidR="00241E23" w:rsidRPr="00CC7AD0" w:rsidRDefault="00E6187C">
      <w:pPr>
        <w:tabs>
          <w:tab w:val="left" w:pos="720"/>
        </w:tabs>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Socioeconomic status</w:t>
      </w:r>
      <w:r w:rsidRPr="00CC7AD0">
        <w:rPr>
          <w:rFonts w:ascii="Times New Roman" w:hAnsi="Times New Roman" w:cs="Times New Roman"/>
          <w:sz w:val="24"/>
          <w:szCs w:val="24"/>
        </w:rPr>
        <w:t>, based on family income, parental education levels, and occupation.</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2.6: </w:t>
      </w:r>
      <w:r w:rsidR="00E6187C" w:rsidRPr="00CC7AD0">
        <w:rPr>
          <w:rFonts w:ascii="Times New Roman" w:hAnsi="Times New Roman" w:cs="Times New Roman"/>
          <w:b/>
          <w:bCs/>
          <w:sz w:val="24"/>
          <w:szCs w:val="24"/>
        </w:rPr>
        <w:t>Data Analysis Techniques</w:t>
      </w:r>
    </w:p>
    <w:p w:rsidR="00241E23" w:rsidRPr="00CC7AD0" w:rsidRDefault="009B3287">
      <w:pPr>
        <w:spacing w:line="480" w:lineRule="auto"/>
        <w:jc w:val="both"/>
        <w:rPr>
          <w:rFonts w:ascii="Times New Roman" w:hAnsi="Times New Roman" w:cs="Times New Roman"/>
          <w:sz w:val="24"/>
          <w:szCs w:val="24"/>
        </w:rPr>
      </w:pPr>
      <w:r w:rsidRPr="009B3287">
        <w:rPr>
          <w:rFonts w:ascii="Times New Roman" w:hAnsi="Times New Roman" w:cs="Times New Roman"/>
          <w:iCs/>
          <w:sz w:val="24"/>
          <w:szCs w:val="24"/>
        </w:rPr>
        <w:t xml:space="preserve">Results </w:t>
      </w:r>
      <w:r w:rsidR="00075D61">
        <w:rPr>
          <w:rFonts w:ascii="Times New Roman" w:hAnsi="Times New Roman" w:cs="Times New Roman"/>
          <w:iCs/>
          <w:sz w:val="24"/>
          <w:szCs w:val="24"/>
        </w:rPr>
        <w:t>were</w:t>
      </w:r>
      <w:r w:rsidRPr="009B3287">
        <w:rPr>
          <w:rFonts w:ascii="Times New Roman" w:hAnsi="Times New Roman" w:cs="Times New Roman"/>
          <w:iCs/>
          <w:sz w:val="24"/>
          <w:szCs w:val="24"/>
        </w:rPr>
        <w:t xml:space="preserve"> analyzed using </w:t>
      </w:r>
      <w:r w:rsidRPr="009B3287">
        <w:rPr>
          <w:rFonts w:ascii="Times New Roman" w:hAnsi="Times New Roman" w:cs="Times New Roman"/>
          <w:iCs/>
          <w:sz w:val="24"/>
          <w:szCs w:val="24"/>
          <w:lang w:val="en-GB"/>
        </w:rPr>
        <w:t>International Business Machines Statistical Package for the Social Sciences (IBM SPSS)</w:t>
      </w:r>
      <w:r>
        <w:rPr>
          <w:rFonts w:ascii="Times New Roman" w:hAnsi="Times New Roman" w:cs="Times New Roman"/>
          <w:iCs/>
          <w:sz w:val="24"/>
          <w:szCs w:val="24"/>
          <w:lang w:val="en-GB"/>
        </w:rPr>
        <w:t xml:space="preserve">. </w:t>
      </w:r>
      <w:r w:rsidR="00E6187C" w:rsidRPr="00CC7AD0">
        <w:rPr>
          <w:rFonts w:ascii="Times New Roman" w:hAnsi="Times New Roman" w:cs="Times New Roman"/>
          <w:sz w:val="24"/>
          <w:szCs w:val="24"/>
        </w:rPr>
        <w:t>Descriptive statistics was used to summarize the basic characteristics of the study population, including frequency distributions of age, sex, BMI categories and dietary habits. Means, standard deviations, and percentages was calculated for continuous and categorical variables.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 xml:space="preserve">A multivariate regression analysis was performed to assess the predictors of obesity. Independent variables such as age, sex, dietary habits, and socioeconomic status was analyzed to determine their relationship with obesity. </w:t>
      </w:r>
    </w:p>
    <w:p w:rsidR="00241E23" w:rsidRPr="00CC7AD0" w:rsidRDefault="00782FC4">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 xml:space="preserve">2.7: </w:t>
      </w:r>
      <w:r w:rsidR="00E6187C" w:rsidRPr="00CC7AD0">
        <w:rPr>
          <w:rFonts w:ascii="Times New Roman" w:hAnsi="Times New Roman" w:cs="Times New Roman"/>
          <w:b/>
          <w:bCs/>
          <w:sz w:val="24"/>
          <w:szCs w:val="24"/>
        </w:rPr>
        <w:t>Ethical Considerations</w:t>
      </w:r>
    </w:p>
    <w:p w:rsidR="00241E23"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Data collected was treated with strict confidentiality, and participant anonymity was maintained throughout the study with Health Research Committee assigned number from the Ambrose Alli University as 037/25.</w:t>
      </w:r>
    </w:p>
    <w:p w:rsidR="00217A51" w:rsidRDefault="00217A51">
      <w:pPr>
        <w:spacing w:line="480" w:lineRule="auto"/>
        <w:jc w:val="both"/>
        <w:rPr>
          <w:rFonts w:ascii="Times New Roman" w:hAnsi="Times New Roman" w:cs="Times New Roman"/>
          <w:sz w:val="24"/>
          <w:szCs w:val="24"/>
        </w:rPr>
      </w:pPr>
    </w:p>
    <w:p w:rsidR="00217A51" w:rsidRPr="00CC7AD0" w:rsidRDefault="00217A51">
      <w:pPr>
        <w:spacing w:line="480" w:lineRule="auto"/>
        <w:jc w:val="both"/>
        <w:rPr>
          <w:rFonts w:ascii="Times New Roman" w:hAnsi="Times New Roman" w:cs="Times New Roman"/>
          <w:sz w:val="24"/>
          <w:szCs w:val="24"/>
        </w:rPr>
      </w:pPr>
    </w:p>
    <w:p w:rsidR="00241E23" w:rsidRPr="00CC7AD0" w:rsidRDefault="001573AC">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lastRenderedPageBreak/>
        <w:t xml:space="preserve">3. </w:t>
      </w:r>
      <w:r w:rsidR="00E6187C" w:rsidRPr="00CC7AD0">
        <w:rPr>
          <w:rFonts w:ascii="Times New Roman" w:hAnsi="Times New Roman" w:cs="Times New Roman"/>
          <w:b/>
          <w:bCs/>
          <w:sz w:val="24"/>
          <w:szCs w:val="24"/>
        </w:rPr>
        <w:t xml:space="preserve">RESULTS </w:t>
      </w:r>
    </w:p>
    <w:p w:rsidR="00241E23" w:rsidRPr="00CC7AD0" w:rsidRDefault="00E6187C">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Table 1: Descriptive statistics showing frequency and percentage</w:t>
      </w:r>
    </w:p>
    <w:p w:rsidR="00241E23" w:rsidRPr="00CC7AD0" w:rsidRDefault="00E6187C">
      <w:pPr>
        <w:spacing w:line="480" w:lineRule="auto"/>
        <w:jc w:val="both"/>
        <w:rPr>
          <w:rFonts w:ascii="Times New Roman" w:hAnsi="Times New Roman" w:cs="Times New Roman"/>
          <w:b/>
          <w:bCs/>
          <w:sz w:val="24"/>
          <w:szCs w:val="24"/>
        </w:rPr>
      </w:pPr>
      <w:r w:rsidRPr="00CC7AD0">
        <w:rPr>
          <w:rFonts w:ascii="Times New Roman" w:hAnsi="Times New Roman" w:cs="Times New Roman"/>
          <w:sz w:val="24"/>
          <w:szCs w:val="24"/>
        </w:rPr>
        <w:t>The table provides a detailed demographic and lifestyle overview of the study population. Among the children, the age group 9 to 12 years was the most represented (86.7%), followed by 5 to 8 years (11.3%) and 17 to 20 years (2.0%). Gender distribution showed a higher percentage of females (56.7%) compared to males (43.3%). Regarding snacking habits, 44.7% of children reported eating snacks every day, while 23.3% consumed snacks sometimes, 20% rarely, and 12% often. Sugary drink consumption was also assessed, with 30.7% consuming these beverages 2–3 times a week, 30% daily, 25.3% once a week, and 14% rarely. Anthropometric measurements revealed that the majority of children (95.3%) fell into the non-obese BMI category, while 4.7% were classified as obese. This underscores the need for further analysis to explore predictors of obesity within the population.</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 xml:space="preserve">Table 1. </w:t>
      </w:r>
      <w:r w:rsidRPr="00CC7AD0">
        <w:rPr>
          <w:rFonts w:ascii="Times New Roman" w:hAnsi="Times New Roman" w:cs="Times New Roman"/>
          <w:sz w:val="24"/>
          <w:szCs w:val="24"/>
        </w:rPr>
        <w:t>Descriptive statistics showing frequency and percentage</w:t>
      </w:r>
    </w:p>
    <w:tbl>
      <w:tblPr>
        <w:tblStyle w:val="TableGrid"/>
        <w:tblW w:w="9849" w:type="dxa"/>
        <w:tblBorders>
          <w:insideH w:val="none" w:sz="0" w:space="0" w:color="auto"/>
          <w:insideV w:val="none" w:sz="0" w:space="0" w:color="auto"/>
        </w:tblBorders>
        <w:tblLayout w:type="fixed"/>
        <w:tblLook w:val="04A0"/>
      </w:tblPr>
      <w:tblGrid>
        <w:gridCol w:w="3736"/>
        <w:gridCol w:w="3151"/>
        <w:gridCol w:w="2962"/>
      </w:tblGrid>
      <w:tr w:rsidR="00241E23" w:rsidRPr="00CC7AD0">
        <w:trPr>
          <w:trHeight w:val="331"/>
        </w:trPr>
        <w:tc>
          <w:tcPr>
            <w:tcW w:w="3736" w:type="dxa"/>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Age</w:t>
            </w:r>
          </w:p>
        </w:tc>
        <w:tc>
          <w:tcPr>
            <w:tcW w:w="3151" w:type="dxa"/>
          </w:tcPr>
          <w:p w:rsidR="00241E23" w:rsidRPr="00CC7AD0" w:rsidRDefault="00E6187C">
            <w:pPr>
              <w:spacing w:after="0"/>
              <w:rPr>
                <w:rFonts w:ascii="Times New Roman" w:hAnsi="Times New Roman" w:cs="Times New Roman"/>
                <w:b/>
                <w:bCs/>
                <w:sz w:val="24"/>
                <w:szCs w:val="24"/>
              </w:rPr>
            </w:pPr>
            <w:r w:rsidRPr="00CC7AD0">
              <w:rPr>
                <w:rFonts w:ascii="Times New Roman" w:hAnsi="Times New Roman" w:cs="Times New Roman"/>
                <w:b/>
                <w:bCs/>
                <w:sz w:val="24"/>
                <w:szCs w:val="24"/>
              </w:rPr>
              <w:t>Frequency</w:t>
            </w:r>
          </w:p>
        </w:tc>
        <w:tc>
          <w:tcPr>
            <w:tcW w:w="2961" w:type="dxa"/>
          </w:tcPr>
          <w:p w:rsidR="00241E23" w:rsidRPr="00CC7AD0" w:rsidRDefault="00E6187C">
            <w:pPr>
              <w:spacing w:after="0"/>
              <w:rPr>
                <w:rFonts w:ascii="Times New Roman" w:hAnsi="Times New Roman" w:cs="Times New Roman"/>
                <w:b/>
                <w:bCs/>
                <w:sz w:val="24"/>
                <w:szCs w:val="24"/>
              </w:rPr>
            </w:pPr>
            <w:r w:rsidRPr="00CC7AD0">
              <w:rPr>
                <w:rFonts w:ascii="Times New Roman" w:hAnsi="Times New Roman" w:cs="Times New Roman"/>
                <w:b/>
                <w:bCs/>
                <w:sz w:val="24"/>
                <w:szCs w:val="24"/>
              </w:rPr>
              <w:t>Percent</w:t>
            </w:r>
          </w:p>
        </w:tc>
      </w:tr>
      <w:tr w:rsidR="00241E23" w:rsidRPr="00CC7AD0">
        <w:trPr>
          <w:trHeight w:val="296"/>
        </w:trPr>
        <w:tc>
          <w:tcPr>
            <w:tcW w:w="9849" w:type="dxa"/>
            <w:gridSpan w:val="3"/>
          </w:tcPr>
          <w:p w:rsidR="00241E23" w:rsidRPr="00CC7AD0" w:rsidRDefault="00241E23">
            <w:pPr>
              <w:spacing w:after="0" w:line="240" w:lineRule="auto"/>
              <w:rPr>
                <w:rFonts w:ascii="Times New Roman" w:hAnsi="Times New Roman" w:cs="Times New Roman"/>
                <w:sz w:val="24"/>
                <w:szCs w:val="24"/>
              </w:rPr>
            </w:pPr>
          </w:p>
        </w:tc>
      </w:tr>
      <w:tr w:rsidR="00241E23" w:rsidRPr="00CC7AD0">
        <w:trPr>
          <w:trHeight w:val="320"/>
        </w:trPr>
        <w:tc>
          <w:tcPr>
            <w:tcW w:w="3736"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5 to 8 years</w:t>
            </w:r>
          </w:p>
        </w:tc>
        <w:tc>
          <w:tcPr>
            <w:tcW w:w="315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17</w:t>
            </w:r>
          </w:p>
        </w:tc>
        <w:tc>
          <w:tcPr>
            <w:tcW w:w="296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11.3</w:t>
            </w:r>
          </w:p>
        </w:tc>
      </w:tr>
      <w:tr w:rsidR="00241E23" w:rsidRPr="00CC7AD0">
        <w:trPr>
          <w:trHeight w:val="320"/>
        </w:trPr>
        <w:tc>
          <w:tcPr>
            <w:tcW w:w="3736"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9 to 12 years</w:t>
            </w:r>
          </w:p>
        </w:tc>
        <w:tc>
          <w:tcPr>
            <w:tcW w:w="315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130</w:t>
            </w:r>
          </w:p>
        </w:tc>
        <w:tc>
          <w:tcPr>
            <w:tcW w:w="296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86.7</w:t>
            </w:r>
          </w:p>
        </w:tc>
      </w:tr>
      <w:tr w:rsidR="00241E23" w:rsidRPr="00CC7AD0">
        <w:trPr>
          <w:trHeight w:val="320"/>
        </w:trPr>
        <w:tc>
          <w:tcPr>
            <w:tcW w:w="3736"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17 to 20 years</w:t>
            </w:r>
          </w:p>
        </w:tc>
        <w:tc>
          <w:tcPr>
            <w:tcW w:w="315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3</w:t>
            </w:r>
          </w:p>
        </w:tc>
        <w:tc>
          <w:tcPr>
            <w:tcW w:w="2961" w:type="dxa"/>
          </w:tcPr>
          <w:p w:rsidR="00241E23" w:rsidRPr="00CC7AD0" w:rsidRDefault="00E6187C">
            <w:pPr>
              <w:spacing w:after="0"/>
              <w:rPr>
                <w:rFonts w:ascii="Times New Roman" w:hAnsi="Times New Roman" w:cs="Times New Roman"/>
                <w:sz w:val="24"/>
                <w:szCs w:val="24"/>
              </w:rPr>
            </w:pPr>
            <w:r w:rsidRPr="00CC7AD0">
              <w:rPr>
                <w:rFonts w:ascii="Times New Roman" w:hAnsi="Times New Roman" w:cs="Times New Roman"/>
                <w:sz w:val="24"/>
                <w:szCs w:val="24"/>
              </w:rPr>
              <w:t>2.0</w:t>
            </w:r>
          </w:p>
        </w:tc>
      </w:tr>
      <w:tr w:rsidR="00241E23" w:rsidRPr="00CC7AD0">
        <w:trPr>
          <w:trHeight w:val="296"/>
        </w:trPr>
        <w:tc>
          <w:tcPr>
            <w:tcW w:w="9849" w:type="dxa"/>
            <w:gridSpan w:val="3"/>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Gender</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Male</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65</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43.3</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Female</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85</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56.7</w:t>
            </w:r>
          </w:p>
        </w:tc>
      </w:tr>
      <w:tr w:rsidR="00241E23" w:rsidRPr="00CC7AD0">
        <w:trPr>
          <w:trHeight w:val="296"/>
        </w:trPr>
        <w:tc>
          <w:tcPr>
            <w:tcW w:w="9849" w:type="dxa"/>
            <w:gridSpan w:val="3"/>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How often do you eat snacks between meals?</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Everyday</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67</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xml:space="preserve">44.7 </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Often</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18</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Rarely</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30</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20</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Sometimes</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35</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23.3</w:t>
            </w:r>
          </w:p>
        </w:tc>
      </w:tr>
      <w:tr w:rsidR="00241E23" w:rsidRPr="00CC7AD0">
        <w:trPr>
          <w:trHeight w:val="296"/>
        </w:trPr>
        <w:tc>
          <w:tcPr>
            <w:tcW w:w="9849" w:type="dxa"/>
            <w:gridSpan w:val="3"/>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How often do you consume sugary drinks (e.g. soda, juice)</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Everyday</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45</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30.0</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2 - 3 times a week</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46</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30.7</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lastRenderedPageBreak/>
              <w:t>Once a week</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38</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25.3</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Rarely</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21</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14.0</w:t>
            </w:r>
          </w:p>
        </w:tc>
      </w:tr>
      <w:tr w:rsidR="00241E23" w:rsidRPr="00CC7AD0">
        <w:trPr>
          <w:trHeight w:val="296"/>
        </w:trPr>
        <w:tc>
          <w:tcPr>
            <w:tcW w:w="9849" w:type="dxa"/>
            <w:gridSpan w:val="3"/>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BMI</w:t>
            </w:r>
          </w:p>
        </w:tc>
      </w:tr>
      <w:tr w:rsidR="00241E23" w:rsidRPr="00CC7AD0">
        <w:trPr>
          <w:trHeight w:val="296"/>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Non-obese</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143</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95.3</w:t>
            </w:r>
          </w:p>
        </w:tc>
      </w:tr>
      <w:tr w:rsidR="00241E23" w:rsidRPr="00CC7AD0">
        <w:trPr>
          <w:trHeight w:val="307"/>
        </w:trPr>
        <w:tc>
          <w:tcPr>
            <w:tcW w:w="373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Obese</w:t>
            </w:r>
          </w:p>
        </w:tc>
        <w:tc>
          <w:tcPr>
            <w:tcW w:w="315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w:t>
            </w:r>
          </w:p>
        </w:tc>
        <w:tc>
          <w:tcPr>
            <w:tcW w:w="29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4.7</w:t>
            </w:r>
          </w:p>
        </w:tc>
      </w:tr>
    </w:tbl>
    <w:p w:rsidR="00241E23" w:rsidRPr="00CC7AD0" w:rsidRDefault="00241E23">
      <w:pPr>
        <w:spacing w:line="480" w:lineRule="auto"/>
        <w:jc w:val="both"/>
        <w:rPr>
          <w:rFonts w:ascii="Times New Roman" w:hAnsi="Times New Roman" w:cs="Times New Roman"/>
          <w:b/>
          <w:bCs/>
          <w:sz w:val="24"/>
          <w:szCs w:val="24"/>
        </w:rPr>
      </w:pPr>
    </w:p>
    <w:p w:rsidR="00241E23" w:rsidRPr="00CC7AD0" w:rsidRDefault="00241E23">
      <w:pPr>
        <w:spacing w:line="480" w:lineRule="auto"/>
        <w:jc w:val="both"/>
        <w:rPr>
          <w:rFonts w:ascii="Times New Roman" w:hAnsi="Times New Roman" w:cs="Times New Roman"/>
          <w:b/>
          <w:bCs/>
          <w:sz w:val="24"/>
          <w:szCs w:val="24"/>
        </w:rPr>
      </w:pPr>
    </w:p>
    <w:p w:rsidR="001573AC" w:rsidRPr="00CC7AD0" w:rsidRDefault="001573AC">
      <w:pPr>
        <w:spacing w:line="480" w:lineRule="auto"/>
        <w:jc w:val="both"/>
        <w:rPr>
          <w:rFonts w:ascii="Times New Roman" w:hAnsi="Times New Roman" w:cs="Times New Roman"/>
          <w:b/>
          <w:bCs/>
          <w:sz w:val="24"/>
          <w:szCs w:val="24"/>
        </w:rPr>
      </w:pPr>
    </w:p>
    <w:p w:rsidR="001573AC" w:rsidRPr="00CC7AD0" w:rsidRDefault="001573AC">
      <w:pPr>
        <w:spacing w:line="480" w:lineRule="auto"/>
        <w:jc w:val="both"/>
        <w:rPr>
          <w:rFonts w:ascii="Times New Roman" w:hAnsi="Times New Roman" w:cs="Times New Roman"/>
          <w:b/>
          <w:bCs/>
          <w:sz w:val="24"/>
          <w:szCs w:val="24"/>
        </w:rPr>
      </w:pPr>
    </w:p>
    <w:p w:rsidR="00241E23" w:rsidRPr="00CC7AD0" w:rsidRDefault="00E6187C">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Table 2: Descriptive Statistics of Parameters by Gender</w:t>
      </w:r>
    </w:p>
    <w:p w:rsidR="00241E23" w:rsidRPr="00CC7AD0" w:rsidRDefault="00E6187C" w:rsidP="001573A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The table provides the mean and standard deviation of parameters for males and females. Among males, the mean weight was 35.78 kg with a standard deviation of 13.958, while females had a higher mean weight of 39.65 kg and a standard deviation of 14.164. Height averages were 2.0036 m (SD = 0.56353) for males and 2.1490 m (SD = 0.56234) for females. The BMI mean was slightly higher in females (18.8118, SD = 6.08436) compared to males (17.8211, SD = 4.67930). These findings suggest variations in anthropometric parameters between genders in the study population.</w:t>
      </w:r>
    </w:p>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Table2.</w:t>
      </w:r>
      <w:r w:rsidRPr="00CC7AD0">
        <w:rPr>
          <w:rFonts w:ascii="Times New Roman" w:eastAsia="Calibri" w:hAnsi="Times New Roman" w:cs="Times New Roman"/>
          <w:kern w:val="0"/>
          <w:sz w:val="24"/>
          <w:szCs w:val="24"/>
          <w:lang w:eastAsia="zh-CN"/>
        </w:rPr>
        <w:t xml:space="preserve"> Descriptive statistics showing mean and standard deviation of Parameters in males and females</w:t>
      </w:r>
    </w:p>
    <w:tbl>
      <w:tblPr>
        <w:tblStyle w:val="TableGrid"/>
        <w:tblW w:w="9638" w:type="dxa"/>
        <w:tblLayout w:type="fixed"/>
        <w:tblLook w:val="04A0"/>
      </w:tblPr>
      <w:tblGrid>
        <w:gridCol w:w="1062"/>
        <w:gridCol w:w="1504"/>
        <w:gridCol w:w="804"/>
        <w:gridCol w:w="1286"/>
        <w:gridCol w:w="1447"/>
        <w:gridCol w:w="1705"/>
        <w:gridCol w:w="1830"/>
      </w:tblGrid>
      <w:tr w:rsidR="00241E23" w:rsidRPr="00CC7AD0">
        <w:trPr>
          <w:trHeight w:val="1251"/>
        </w:trPr>
        <w:tc>
          <w:tcPr>
            <w:tcW w:w="2566" w:type="dxa"/>
            <w:gridSpan w:val="2"/>
            <w:tcBorders>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Gender</w:t>
            </w:r>
          </w:p>
        </w:tc>
        <w:tc>
          <w:tcPr>
            <w:tcW w:w="804" w:type="dxa"/>
            <w:tcBorders>
              <w:left w:val="nil"/>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N</w:t>
            </w:r>
          </w:p>
        </w:tc>
        <w:tc>
          <w:tcPr>
            <w:tcW w:w="1286" w:type="dxa"/>
            <w:tcBorders>
              <w:left w:val="nil"/>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Minimum</w:t>
            </w:r>
          </w:p>
        </w:tc>
        <w:tc>
          <w:tcPr>
            <w:tcW w:w="1447" w:type="dxa"/>
            <w:tcBorders>
              <w:left w:val="nil"/>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Maximum</w:t>
            </w:r>
          </w:p>
        </w:tc>
        <w:tc>
          <w:tcPr>
            <w:tcW w:w="1705" w:type="dxa"/>
            <w:tcBorders>
              <w:left w:val="nil"/>
              <w:bottom w:val="single" w:sz="4" w:space="0" w:color="auto"/>
              <w:right w:val="nil"/>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Mean</w:t>
            </w:r>
          </w:p>
        </w:tc>
        <w:tc>
          <w:tcPr>
            <w:tcW w:w="1830" w:type="dxa"/>
            <w:tcBorders>
              <w:left w:val="nil"/>
              <w:bottom w:val="single" w:sz="4" w:space="0" w:color="auto"/>
            </w:tcBorders>
            <w:shd w:val="clear" w:color="auto" w:fill="auto"/>
          </w:tcPr>
          <w:p w:rsidR="00241E23" w:rsidRPr="00CC7AD0" w:rsidRDefault="00E6187C">
            <w:pPr>
              <w:spacing w:beforeAutospacing="1" w:line="256" w:lineRule="auto"/>
              <w:rPr>
                <w:rFonts w:ascii="Times New Roman" w:eastAsia="Calibri" w:hAnsi="Times New Roman" w:cs="Times New Roman"/>
                <w:b/>
                <w:bCs/>
                <w:sz w:val="24"/>
                <w:szCs w:val="24"/>
              </w:rPr>
            </w:pPr>
            <w:r w:rsidRPr="00CC7AD0">
              <w:rPr>
                <w:rFonts w:ascii="Times New Roman" w:eastAsia="Calibri" w:hAnsi="Times New Roman" w:cs="Times New Roman"/>
                <w:b/>
                <w:bCs/>
                <w:kern w:val="0"/>
                <w:sz w:val="24"/>
                <w:szCs w:val="24"/>
                <w:lang w:eastAsia="zh-CN"/>
              </w:rPr>
              <w:t>Std. Deviation</w:t>
            </w:r>
          </w:p>
        </w:tc>
      </w:tr>
      <w:tr w:rsidR="00241E23" w:rsidRPr="00CC7AD0">
        <w:trPr>
          <w:trHeight w:val="765"/>
        </w:trPr>
        <w:tc>
          <w:tcPr>
            <w:tcW w:w="1062" w:type="dxa"/>
            <w:vMerge w:val="restart"/>
            <w:tcBorders>
              <w:top w:val="single" w:sz="4" w:space="0" w:color="auto"/>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Male</w:t>
            </w:r>
          </w:p>
        </w:tc>
        <w:tc>
          <w:tcPr>
            <w:tcW w:w="1504"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Weight</w:t>
            </w:r>
          </w:p>
        </w:tc>
        <w:tc>
          <w:tcPr>
            <w:tcW w:w="804"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65</w:t>
            </w:r>
          </w:p>
        </w:tc>
        <w:tc>
          <w:tcPr>
            <w:tcW w:w="1286"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13</w:t>
            </w:r>
          </w:p>
        </w:tc>
        <w:tc>
          <w:tcPr>
            <w:tcW w:w="1447"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74</w:t>
            </w:r>
          </w:p>
        </w:tc>
        <w:tc>
          <w:tcPr>
            <w:tcW w:w="1705" w:type="dxa"/>
            <w:tcBorders>
              <w:top w:val="single" w:sz="4" w:space="0" w:color="auto"/>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35.78</w:t>
            </w:r>
          </w:p>
        </w:tc>
        <w:tc>
          <w:tcPr>
            <w:tcW w:w="1830" w:type="dxa"/>
            <w:tcBorders>
              <w:top w:val="single" w:sz="4" w:space="0" w:color="auto"/>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13.958</w:t>
            </w:r>
          </w:p>
        </w:tc>
      </w:tr>
      <w:tr w:rsidR="00241E23" w:rsidRPr="00CC7AD0">
        <w:trPr>
          <w:trHeight w:val="765"/>
        </w:trPr>
        <w:tc>
          <w:tcPr>
            <w:tcW w:w="1062" w:type="dxa"/>
            <w:vMerge/>
            <w:tcBorders>
              <w:top w:val="nil"/>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15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Height</w:t>
            </w:r>
          </w:p>
        </w:tc>
        <w:tc>
          <w:tcPr>
            <w:tcW w:w="8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65</w:t>
            </w:r>
          </w:p>
        </w:tc>
        <w:tc>
          <w:tcPr>
            <w:tcW w:w="1286"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.84</w:t>
            </w:r>
          </w:p>
        </w:tc>
        <w:tc>
          <w:tcPr>
            <w:tcW w:w="1447"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3.02</w:t>
            </w:r>
          </w:p>
        </w:tc>
        <w:tc>
          <w:tcPr>
            <w:tcW w:w="1705"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2.0036</w:t>
            </w:r>
          </w:p>
        </w:tc>
        <w:tc>
          <w:tcPr>
            <w:tcW w:w="1830" w:type="dxa"/>
            <w:tcBorders>
              <w:top w:val="nil"/>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.56353</w:t>
            </w:r>
          </w:p>
        </w:tc>
      </w:tr>
      <w:tr w:rsidR="00241E23" w:rsidRPr="00CC7AD0">
        <w:trPr>
          <w:trHeight w:val="765"/>
        </w:trPr>
        <w:tc>
          <w:tcPr>
            <w:tcW w:w="1062" w:type="dxa"/>
            <w:vMerge/>
            <w:tcBorders>
              <w:top w:val="nil"/>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15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BMI</w:t>
            </w:r>
          </w:p>
        </w:tc>
        <w:tc>
          <w:tcPr>
            <w:tcW w:w="8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65</w:t>
            </w:r>
          </w:p>
        </w:tc>
        <w:tc>
          <w:tcPr>
            <w:tcW w:w="1286"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12.55</w:t>
            </w:r>
          </w:p>
        </w:tc>
        <w:tc>
          <w:tcPr>
            <w:tcW w:w="1447"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33.77</w:t>
            </w:r>
          </w:p>
        </w:tc>
        <w:tc>
          <w:tcPr>
            <w:tcW w:w="1705"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17.8211</w:t>
            </w:r>
          </w:p>
        </w:tc>
        <w:tc>
          <w:tcPr>
            <w:tcW w:w="1830" w:type="dxa"/>
            <w:tcBorders>
              <w:top w:val="nil"/>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4.67930</w:t>
            </w:r>
          </w:p>
        </w:tc>
      </w:tr>
      <w:tr w:rsidR="00241E23" w:rsidRPr="00CC7AD0">
        <w:trPr>
          <w:trHeight w:val="765"/>
        </w:trPr>
        <w:tc>
          <w:tcPr>
            <w:tcW w:w="1062" w:type="dxa"/>
            <w:vMerge w:val="restart"/>
            <w:tcBorders>
              <w:top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Female</w:t>
            </w:r>
          </w:p>
        </w:tc>
        <w:tc>
          <w:tcPr>
            <w:tcW w:w="15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Weight</w:t>
            </w:r>
          </w:p>
        </w:tc>
        <w:tc>
          <w:tcPr>
            <w:tcW w:w="8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85</w:t>
            </w:r>
          </w:p>
        </w:tc>
        <w:tc>
          <w:tcPr>
            <w:tcW w:w="1286"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14</w:t>
            </w:r>
          </w:p>
        </w:tc>
        <w:tc>
          <w:tcPr>
            <w:tcW w:w="1447"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73</w:t>
            </w:r>
          </w:p>
        </w:tc>
        <w:tc>
          <w:tcPr>
            <w:tcW w:w="1705"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39.65</w:t>
            </w:r>
          </w:p>
        </w:tc>
        <w:tc>
          <w:tcPr>
            <w:tcW w:w="1830" w:type="dxa"/>
            <w:tcBorders>
              <w:top w:val="nil"/>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14.164</w:t>
            </w:r>
          </w:p>
        </w:tc>
      </w:tr>
      <w:tr w:rsidR="00241E23" w:rsidRPr="00CC7AD0">
        <w:trPr>
          <w:trHeight w:val="765"/>
        </w:trPr>
        <w:tc>
          <w:tcPr>
            <w:tcW w:w="1062" w:type="dxa"/>
            <w:vMerge/>
            <w:tcBorders>
              <w:top w:val="nil"/>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15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Height</w:t>
            </w:r>
          </w:p>
        </w:tc>
        <w:tc>
          <w:tcPr>
            <w:tcW w:w="804"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85</w:t>
            </w:r>
          </w:p>
        </w:tc>
        <w:tc>
          <w:tcPr>
            <w:tcW w:w="1286"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.41</w:t>
            </w:r>
          </w:p>
        </w:tc>
        <w:tc>
          <w:tcPr>
            <w:tcW w:w="1447"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3.23</w:t>
            </w:r>
          </w:p>
        </w:tc>
        <w:tc>
          <w:tcPr>
            <w:tcW w:w="1705" w:type="dxa"/>
            <w:tcBorders>
              <w:top w:val="nil"/>
              <w:left w:val="nil"/>
              <w:bottom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2.1490</w:t>
            </w:r>
          </w:p>
        </w:tc>
        <w:tc>
          <w:tcPr>
            <w:tcW w:w="1830" w:type="dxa"/>
            <w:tcBorders>
              <w:top w:val="nil"/>
              <w:left w:val="nil"/>
              <w:bottom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.56234</w:t>
            </w:r>
          </w:p>
        </w:tc>
      </w:tr>
      <w:tr w:rsidR="00241E23" w:rsidRPr="00CC7AD0">
        <w:trPr>
          <w:trHeight w:val="782"/>
        </w:trPr>
        <w:tc>
          <w:tcPr>
            <w:tcW w:w="1062" w:type="dxa"/>
            <w:vMerge/>
            <w:tcBorders>
              <w:top w:val="nil"/>
              <w:right w:val="nil"/>
            </w:tcBorders>
            <w:shd w:val="clear" w:color="auto" w:fill="auto"/>
          </w:tcPr>
          <w:p w:rsidR="00241E23" w:rsidRPr="00CC7AD0" w:rsidRDefault="00241E23">
            <w:pPr>
              <w:rPr>
                <w:rFonts w:ascii="Times New Roman" w:hAnsi="Times New Roman" w:cs="Times New Roman"/>
                <w:sz w:val="24"/>
                <w:szCs w:val="24"/>
              </w:rPr>
            </w:pPr>
          </w:p>
        </w:tc>
        <w:tc>
          <w:tcPr>
            <w:tcW w:w="1504"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BMI</w:t>
            </w:r>
          </w:p>
        </w:tc>
        <w:tc>
          <w:tcPr>
            <w:tcW w:w="804"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85</w:t>
            </w:r>
          </w:p>
        </w:tc>
        <w:tc>
          <w:tcPr>
            <w:tcW w:w="1286"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10.64</w:t>
            </w:r>
          </w:p>
        </w:tc>
        <w:tc>
          <w:tcPr>
            <w:tcW w:w="1447"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43.52</w:t>
            </w:r>
          </w:p>
        </w:tc>
        <w:tc>
          <w:tcPr>
            <w:tcW w:w="1705" w:type="dxa"/>
            <w:tcBorders>
              <w:top w:val="nil"/>
              <w:left w:val="nil"/>
              <w:righ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18.8118</w:t>
            </w:r>
          </w:p>
        </w:tc>
        <w:tc>
          <w:tcPr>
            <w:tcW w:w="1830" w:type="dxa"/>
            <w:tcBorders>
              <w:top w:val="nil"/>
              <w:left w:val="nil"/>
            </w:tcBorders>
            <w:shd w:val="clear" w:color="auto" w:fill="auto"/>
          </w:tcPr>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6.08436</w:t>
            </w:r>
          </w:p>
        </w:tc>
      </w:tr>
    </w:tbl>
    <w:p w:rsidR="00241E23" w:rsidRPr="00CC7AD0" w:rsidRDefault="00241E23">
      <w:pPr>
        <w:spacing w:line="480" w:lineRule="auto"/>
        <w:jc w:val="both"/>
        <w:rPr>
          <w:rFonts w:ascii="Times New Roman" w:hAnsi="Times New Roman" w:cs="Times New Roman"/>
          <w:b/>
          <w:bCs/>
          <w:sz w:val="24"/>
          <w:szCs w:val="24"/>
        </w:rPr>
      </w:pPr>
    </w:p>
    <w:p w:rsidR="001573AC" w:rsidRPr="00CC7AD0" w:rsidRDefault="001573AC">
      <w:pPr>
        <w:spacing w:line="480" w:lineRule="auto"/>
        <w:jc w:val="both"/>
        <w:rPr>
          <w:rFonts w:ascii="Times New Roman" w:hAnsi="Times New Roman" w:cs="Times New Roman"/>
          <w:b/>
          <w:bCs/>
          <w:sz w:val="24"/>
          <w:szCs w:val="24"/>
        </w:rPr>
      </w:pPr>
    </w:p>
    <w:p w:rsidR="00241E23" w:rsidRPr="00CC7AD0" w:rsidRDefault="00E6187C">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t>Table 3: Age Bracket with the Highest Obesity Prevalence</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The table highlights age brackets with the highest obesity prevalence. Among males, the 9 to 12 years age group had the highest prevalence, accounting for 83.1% of cases, including all obese individuals. Similarly, in females, the 9 to 12 years age group also had the highest prevalence, representing 89.4% of cases and 75.0% of obesity instances. Obesity prevalence was minimal in other age brackets for both genders</w:t>
      </w:r>
    </w:p>
    <w:p w:rsidR="00241E23" w:rsidRPr="00CC7AD0" w:rsidRDefault="00E6187C">
      <w:pPr>
        <w:rPr>
          <w:rFonts w:ascii="Times New Roman" w:hAnsi="Times New Roman" w:cs="Times New Roman"/>
          <w:sz w:val="24"/>
          <w:szCs w:val="24"/>
        </w:rPr>
      </w:pPr>
      <w:r w:rsidRPr="00CC7AD0">
        <w:rPr>
          <w:rFonts w:ascii="Times New Roman" w:hAnsi="Times New Roman" w:cs="Times New Roman"/>
          <w:b/>
          <w:bCs/>
          <w:sz w:val="24"/>
          <w:szCs w:val="24"/>
        </w:rPr>
        <w:t>Table 3.</w:t>
      </w:r>
      <w:r w:rsidRPr="00CC7AD0">
        <w:rPr>
          <w:rFonts w:ascii="Times New Roman" w:hAnsi="Times New Roman" w:cs="Times New Roman"/>
          <w:sz w:val="24"/>
          <w:szCs w:val="24"/>
        </w:rPr>
        <w:t xml:space="preserve"> Age Bracket with the highest Obesity Prevalence</w:t>
      </w:r>
    </w:p>
    <w:tbl>
      <w:tblPr>
        <w:tblStyle w:val="TableGrid"/>
        <w:tblW w:w="9493" w:type="dxa"/>
        <w:tblBorders>
          <w:insideH w:val="none" w:sz="0" w:space="0" w:color="auto"/>
          <w:insideV w:val="none" w:sz="0" w:space="0" w:color="auto"/>
        </w:tblBorders>
        <w:tblLayout w:type="fixed"/>
        <w:tblLook w:val="04A0"/>
      </w:tblPr>
      <w:tblGrid>
        <w:gridCol w:w="936"/>
        <w:gridCol w:w="737"/>
        <w:gridCol w:w="1476"/>
        <w:gridCol w:w="2233"/>
        <w:gridCol w:w="1276"/>
        <w:gridCol w:w="1417"/>
        <w:gridCol w:w="1418"/>
      </w:tblGrid>
      <w:tr w:rsidR="00241E23" w:rsidRPr="00CC7AD0">
        <w:tc>
          <w:tcPr>
            <w:tcW w:w="5382" w:type="dxa"/>
            <w:gridSpan w:val="4"/>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Gender</w:t>
            </w:r>
          </w:p>
        </w:tc>
        <w:tc>
          <w:tcPr>
            <w:tcW w:w="2693" w:type="dxa"/>
            <w:gridSpan w:val="2"/>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 xml:space="preserve">        BMI</w:t>
            </w:r>
          </w:p>
        </w:tc>
        <w:tc>
          <w:tcPr>
            <w:tcW w:w="1418" w:type="dxa"/>
            <w:vMerge w:val="restart"/>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Total</w:t>
            </w:r>
          </w:p>
        </w:tc>
      </w:tr>
      <w:tr w:rsidR="00241E23" w:rsidRPr="00CC7AD0">
        <w:tc>
          <w:tcPr>
            <w:tcW w:w="5382" w:type="dxa"/>
            <w:gridSpan w:val="4"/>
            <w:vMerge/>
          </w:tcPr>
          <w:p w:rsidR="00241E23" w:rsidRPr="00CC7AD0" w:rsidRDefault="00241E23">
            <w:pPr>
              <w:spacing w:after="0" w:line="240" w:lineRule="auto"/>
              <w:rPr>
                <w:rFonts w:ascii="Times New Roman" w:hAnsi="Times New Roman" w:cs="Times New Roman"/>
                <w:sz w:val="24"/>
                <w:szCs w:val="24"/>
              </w:rPr>
            </w:pPr>
          </w:p>
        </w:tc>
        <w:tc>
          <w:tcPr>
            <w:tcW w:w="1276" w:type="dxa"/>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Non-obese</w:t>
            </w:r>
          </w:p>
        </w:tc>
        <w:tc>
          <w:tcPr>
            <w:tcW w:w="1417" w:type="dxa"/>
          </w:tcPr>
          <w:p w:rsidR="00241E23" w:rsidRPr="00CC7AD0" w:rsidRDefault="00E6187C">
            <w:pPr>
              <w:spacing w:after="0" w:line="240" w:lineRule="auto"/>
              <w:rPr>
                <w:rFonts w:ascii="Times New Roman" w:hAnsi="Times New Roman" w:cs="Times New Roman"/>
                <w:b/>
                <w:bCs/>
                <w:sz w:val="24"/>
                <w:szCs w:val="24"/>
              </w:rPr>
            </w:pPr>
            <w:r w:rsidRPr="00CC7AD0">
              <w:rPr>
                <w:rFonts w:ascii="Times New Roman" w:hAnsi="Times New Roman" w:cs="Times New Roman"/>
                <w:b/>
                <w:bCs/>
                <w:sz w:val="24"/>
                <w:szCs w:val="24"/>
              </w:rPr>
              <w:t>Obese</w:t>
            </w:r>
          </w:p>
        </w:tc>
        <w:tc>
          <w:tcPr>
            <w:tcW w:w="1418" w:type="dxa"/>
            <w:vMerge/>
          </w:tcPr>
          <w:p w:rsidR="00241E23" w:rsidRPr="00CC7AD0" w:rsidRDefault="00241E23">
            <w:pPr>
              <w:spacing w:after="0" w:line="240" w:lineRule="auto"/>
              <w:rPr>
                <w:rFonts w:ascii="Times New Roman" w:hAnsi="Times New Roman" w:cs="Times New Roman"/>
                <w:sz w:val="24"/>
                <w:szCs w:val="24"/>
              </w:rPr>
            </w:pPr>
          </w:p>
        </w:tc>
      </w:tr>
      <w:tr w:rsidR="00241E23" w:rsidRPr="00CC7AD0">
        <w:tc>
          <w:tcPr>
            <w:tcW w:w="9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Male</w:t>
            </w:r>
          </w:p>
        </w:tc>
        <w:tc>
          <w:tcPr>
            <w:tcW w:w="737"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Age</w:t>
            </w: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 to 8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14.5%</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13.8%</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 to 12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51</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54</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82.3%</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100.0%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83.1%</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17 to 20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3.2%</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3.1%</w:t>
            </w:r>
          </w:p>
        </w:tc>
      </w:tr>
      <w:tr w:rsidR="00241E23" w:rsidRPr="00CC7AD0">
        <w:tc>
          <w:tcPr>
            <w:tcW w:w="9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Female</w:t>
            </w:r>
          </w:p>
        </w:tc>
        <w:tc>
          <w:tcPr>
            <w:tcW w:w="737"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Age</w:t>
            </w: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 to 8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8.6%</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25.0%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9.4%</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 to 12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73</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3</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76</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90.1%</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75.0%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89.4%</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17 to 20 years</w:t>
            </w: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Count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r>
      <w:tr w:rsidR="00241E23" w:rsidRPr="00CC7AD0">
        <w:tc>
          <w:tcPr>
            <w:tcW w:w="936" w:type="dxa"/>
            <w:vMerge/>
          </w:tcPr>
          <w:p w:rsidR="00241E23" w:rsidRPr="00CC7AD0" w:rsidRDefault="00241E23">
            <w:pPr>
              <w:spacing w:after="0" w:line="240" w:lineRule="auto"/>
              <w:rPr>
                <w:rFonts w:ascii="Times New Roman" w:hAnsi="Times New Roman" w:cs="Times New Roman"/>
                <w:sz w:val="24"/>
                <w:szCs w:val="24"/>
              </w:rPr>
            </w:pPr>
          </w:p>
        </w:tc>
        <w:tc>
          <w:tcPr>
            <w:tcW w:w="737" w:type="dxa"/>
            <w:vMerge/>
          </w:tcPr>
          <w:p w:rsidR="00241E23" w:rsidRPr="00CC7AD0" w:rsidRDefault="00241E23">
            <w:pPr>
              <w:spacing w:after="0" w:line="240" w:lineRule="auto"/>
              <w:rPr>
                <w:rFonts w:ascii="Times New Roman" w:hAnsi="Times New Roman" w:cs="Times New Roman"/>
                <w:sz w:val="24"/>
                <w:szCs w:val="24"/>
              </w:rPr>
            </w:pPr>
          </w:p>
        </w:tc>
        <w:tc>
          <w:tcPr>
            <w:tcW w:w="1476" w:type="dxa"/>
            <w:vMerge/>
          </w:tcPr>
          <w:p w:rsidR="00241E23" w:rsidRPr="00CC7AD0" w:rsidRDefault="00241E23">
            <w:pPr>
              <w:spacing w:after="0" w:line="240" w:lineRule="auto"/>
              <w:rPr>
                <w:rFonts w:ascii="Times New Roman" w:hAnsi="Times New Roman" w:cs="Times New Roman"/>
                <w:sz w:val="24"/>
                <w:szCs w:val="24"/>
              </w:rPr>
            </w:pPr>
          </w:p>
        </w:tc>
        <w:tc>
          <w:tcPr>
            <w:tcW w:w="2233"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within BMICAT</w:t>
            </w:r>
          </w:p>
        </w:tc>
        <w:tc>
          <w:tcPr>
            <w:tcW w:w="1276"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w:t>
            </w:r>
          </w:p>
        </w:tc>
        <w:tc>
          <w:tcPr>
            <w:tcW w:w="1417"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w:t>
            </w:r>
          </w:p>
        </w:tc>
        <w:tc>
          <w:tcPr>
            <w:tcW w:w="1418"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w:t>
            </w:r>
          </w:p>
        </w:tc>
      </w:tr>
    </w:tbl>
    <w:p w:rsidR="00241E23" w:rsidRPr="00CC7AD0" w:rsidRDefault="00241E23">
      <w:pPr>
        <w:pStyle w:val="Heading4"/>
        <w:spacing w:line="480" w:lineRule="auto"/>
        <w:jc w:val="both"/>
        <w:rPr>
          <w:rFonts w:ascii="Times New Roman" w:hAnsi="Times New Roman" w:hint="default"/>
        </w:rPr>
      </w:pPr>
    </w:p>
    <w:p w:rsidR="00241E23" w:rsidRPr="00CC7AD0" w:rsidRDefault="00241E23">
      <w:pPr>
        <w:pStyle w:val="Heading4"/>
        <w:spacing w:line="480" w:lineRule="auto"/>
        <w:jc w:val="both"/>
        <w:rPr>
          <w:rFonts w:ascii="Times New Roman" w:hAnsi="Times New Roman" w:hint="default"/>
        </w:rPr>
      </w:pPr>
    </w:p>
    <w:p w:rsidR="00241E23" w:rsidRPr="00CC7AD0" w:rsidRDefault="00241E23">
      <w:pPr>
        <w:pStyle w:val="Heading4"/>
        <w:spacing w:line="480" w:lineRule="auto"/>
        <w:jc w:val="both"/>
        <w:rPr>
          <w:rFonts w:ascii="Times New Roman" w:hAnsi="Times New Roman" w:hint="default"/>
        </w:rPr>
      </w:pPr>
    </w:p>
    <w:p w:rsidR="00112CB5" w:rsidRPr="00CC7AD0" w:rsidRDefault="00112CB5" w:rsidP="00112CB5">
      <w:pPr>
        <w:rPr>
          <w:lang w:eastAsia="zh-CN"/>
        </w:rPr>
      </w:pPr>
    </w:p>
    <w:p w:rsidR="00112CB5" w:rsidRPr="00CC7AD0" w:rsidRDefault="00112CB5" w:rsidP="00112CB5">
      <w:pPr>
        <w:rPr>
          <w:lang w:eastAsia="zh-CN"/>
        </w:rPr>
      </w:pPr>
    </w:p>
    <w:p w:rsidR="00112CB5" w:rsidRPr="00CC7AD0" w:rsidRDefault="00112CB5" w:rsidP="00112CB5">
      <w:pPr>
        <w:rPr>
          <w:lang w:eastAsia="zh-CN"/>
        </w:rPr>
      </w:pPr>
    </w:p>
    <w:p w:rsidR="00241E23" w:rsidRPr="00CC7AD0" w:rsidRDefault="00241E23">
      <w:pPr>
        <w:rPr>
          <w:lang w:eastAsia="zh-CN"/>
        </w:rPr>
      </w:pPr>
    </w:p>
    <w:p w:rsidR="00241E23" w:rsidRPr="00CC7AD0" w:rsidRDefault="00E6187C">
      <w:pPr>
        <w:pStyle w:val="Heading4"/>
        <w:spacing w:line="480" w:lineRule="auto"/>
        <w:jc w:val="both"/>
        <w:rPr>
          <w:rFonts w:ascii="Times New Roman" w:hAnsi="Times New Roman" w:hint="default"/>
        </w:rPr>
      </w:pPr>
      <w:r w:rsidRPr="00CC7AD0">
        <w:rPr>
          <w:rFonts w:ascii="Times New Roman" w:hAnsi="Times New Roman" w:hint="default"/>
        </w:rPr>
        <w:t>Table 4: Predictors of Obesity Based on Demographic and Lifestyle Factors</w:t>
      </w:r>
    </w:p>
    <w:p w:rsidR="00241E23" w:rsidRPr="00CC7AD0" w:rsidRDefault="00E6187C">
      <w:pPr>
        <w:pStyle w:val="NormalWeb"/>
        <w:spacing w:line="480" w:lineRule="auto"/>
        <w:jc w:val="both"/>
        <w:rPr>
          <w:rFonts w:ascii="Times New Roman" w:eastAsia="Calibri" w:hAnsi="Times New Roman"/>
          <w:b/>
          <w:bCs/>
        </w:rPr>
      </w:pPr>
      <w:r w:rsidRPr="00CC7AD0">
        <w:rPr>
          <w:rFonts w:ascii="Times New Roman" w:hAnsi="Times New Roman"/>
        </w:rPr>
        <w:t>The regression analysis identified no significant predictors of obesity from variables such as age, gender, snacking frequency, and sugary drink consumption (p &gt; 0.05). While age brackets 9 to 12 years showed slightly higher odds, the associations were statistically insignificant.</w:t>
      </w:r>
    </w:p>
    <w:p w:rsidR="00241E23" w:rsidRPr="00CC7AD0" w:rsidRDefault="00E6187C">
      <w:pPr>
        <w:spacing w:beforeAutospacing="1"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Table 4.</w:t>
      </w:r>
      <w:r w:rsidRPr="00CC7AD0">
        <w:rPr>
          <w:rFonts w:ascii="Times New Roman" w:eastAsia="Calibri" w:hAnsi="Times New Roman" w:cs="Times New Roman"/>
          <w:kern w:val="0"/>
          <w:sz w:val="24"/>
          <w:szCs w:val="24"/>
          <w:lang w:eastAsia="zh-CN"/>
        </w:rPr>
        <w:t xml:space="preserve"> Identify Demographic and Lifestyle Factors That Predict Obesity</w:t>
      </w:r>
    </w:p>
    <w:tbl>
      <w:tblPr>
        <w:tblStyle w:val="TableGrid"/>
        <w:tblW w:w="10406" w:type="dxa"/>
        <w:tblLayout w:type="fixed"/>
        <w:tblLook w:val="04A0"/>
      </w:tblPr>
      <w:tblGrid>
        <w:gridCol w:w="944"/>
        <w:gridCol w:w="2515"/>
        <w:gridCol w:w="1053"/>
        <w:gridCol w:w="1226"/>
        <w:gridCol w:w="1053"/>
        <w:gridCol w:w="1053"/>
        <w:gridCol w:w="1053"/>
        <w:gridCol w:w="1509"/>
      </w:tblGrid>
      <w:tr w:rsidR="00241E23" w:rsidRPr="00CC7AD0">
        <w:tc>
          <w:tcPr>
            <w:tcW w:w="10406" w:type="dxa"/>
            <w:gridSpan w:val="8"/>
            <w:tcBorders>
              <w:top w:val="single" w:sz="4" w:space="0" w:color="auto"/>
              <w:left w:val="single" w:sz="4" w:space="0" w:color="auto"/>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Variables in the Equation</w:t>
            </w:r>
          </w:p>
        </w:tc>
      </w:tr>
      <w:tr w:rsidR="00241E23" w:rsidRPr="00CC7AD0">
        <w:tc>
          <w:tcPr>
            <w:tcW w:w="3459" w:type="dxa"/>
            <w:gridSpan w:val="2"/>
            <w:tcBorders>
              <w:top w:val="nil"/>
              <w:left w:val="single" w:sz="4" w:space="0" w:color="auto"/>
              <w:bottom w:val="nil"/>
              <w:right w:val="nil"/>
            </w:tcBorders>
            <w:shd w:val="clear" w:color="auto" w:fill="auto"/>
          </w:tcPr>
          <w:p w:rsidR="00241E23" w:rsidRPr="00CC7AD0" w:rsidRDefault="00241E23">
            <w:pPr>
              <w:spacing w:beforeAutospacing="1" w:after="0" w:line="256" w:lineRule="auto"/>
              <w:rPr>
                <w:rFonts w:ascii="Times New Roman" w:eastAsia="Calibri" w:hAnsi="Times New Roman" w:cs="Times New Roman"/>
                <w:sz w:val="24"/>
                <w:szCs w:val="24"/>
              </w:rPr>
            </w:pP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B</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S.E.</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Wald</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df</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Sig.</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Exp(B)</w:t>
            </w:r>
          </w:p>
        </w:tc>
      </w:tr>
      <w:tr w:rsidR="00241E23" w:rsidRPr="00CC7AD0">
        <w:tc>
          <w:tcPr>
            <w:tcW w:w="944" w:type="dxa"/>
            <w:vMerge w:val="restart"/>
            <w:tcBorders>
              <w:top w:val="nil"/>
              <w:left w:val="single" w:sz="4" w:space="0" w:color="auto"/>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Step 1</w:t>
            </w:r>
            <w:r w:rsidRPr="00CC7AD0">
              <w:rPr>
                <w:rFonts w:ascii="Times New Roman" w:eastAsia="Calibri" w:hAnsi="Times New Roman" w:cs="Times New Roman"/>
                <w:kern w:val="0"/>
                <w:sz w:val="24"/>
                <w:szCs w:val="24"/>
                <w:vertAlign w:val="superscript"/>
                <w:lang w:eastAsia="zh-CN"/>
              </w:rPr>
              <w:t>a</w:t>
            </w: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Age</w:t>
            </w:r>
          </w:p>
        </w:tc>
        <w:tc>
          <w:tcPr>
            <w:tcW w:w="1053" w:type="dxa"/>
            <w:tcBorders>
              <w:top w:val="nil"/>
              <w:left w:val="nil"/>
              <w:bottom w:val="nil"/>
              <w:right w:val="nil"/>
            </w:tcBorders>
            <w:shd w:val="clear" w:color="auto" w:fill="auto"/>
          </w:tcPr>
          <w:p w:rsidR="00241E23" w:rsidRPr="00CC7AD0" w:rsidRDefault="00241E23">
            <w:pPr>
              <w:spacing w:beforeAutospacing="1" w:after="0" w:line="256" w:lineRule="auto"/>
              <w:rPr>
                <w:rFonts w:ascii="Times New Roman" w:eastAsia="Calibri" w:hAnsi="Times New Roman" w:cs="Times New Roman"/>
                <w:sz w:val="24"/>
                <w:szCs w:val="24"/>
              </w:rPr>
            </w:pPr>
          </w:p>
        </w:tc>
        <w:tc>
          <w:tcPr>
            <w:tcW w:w="1226" w:type="dxa"/>
            <w:tcBorders>
              <w:top w:val="nil"/>
              <w:left w:val="nil"/>
              <w:bottom w:val="nil"/>
              <w:right w:val="nil"/>
            </w:tcBorders>
            <w:shd w:val="clear" w:color="auto" w:fill="auto"/>
          </w:tcPr>
          <w:p w:rsidR="00241E23" w:rsidRPr="00CC7AD0" w:rsidRDefault="00241E23">
            <w:pPr>
              <w:spacing w:beforeAutospacing="1" w:after="0" w:line="256" w:lineRule="auto"/>
              <w:rPr>
                <w:rFonts w:ascii="Times New Roman" w:eastAsia="Calibri" w:hAnsi="Times New Roman" w:cs="Times New Roman"/>
                <w:sz w:val="24"/>
                <w:szCs w:val="24"/>
              </w:rPr>
            </w:pP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.060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.971</w:t>
            </w:r>
          </w:p>
        </w:tc>
        <w:tc>
          <w:tcPr>
            <w:tcW w:w="1509" w:type="dxa"/>
            <w:tcBorders>
              <w:top w:val="nil"/>
              <w:left w:val="nil"/>
              <w:bottom w:val="nil"/>
              <w:right w:val="single" w:sz="4" w:space="0" w:color="auto"/>
            </w:tcBorders>
            <w:shd w:val="clear" w:color="auto" w:fill="auto"/>
          </w:tcPr>
          <w:p w:rsidR="00241E23" w:rsidRPr="00CC7AD0" w:rsidRDefault="00241E23">
            <w:pPr>
              <w:spacing w:beforeAutospacing="1" w:after="0" w:line="256" w:lineRule="auto"/>
              <w:rPr>
                <w:rFonts w:ascii="Times New Roman" w:eastAsia="Calibri" w:hAnsi="Times New Roman" w:cs="Times New Roman"/>
                <w:sz w:val="24"/>
                <w:szCs w:val="24"/>
              </w:rPr>
            </w:pP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Age(1)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18.484</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23185.355</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.999</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106488831.134</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Age(2)</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18.203</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23185.355</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.999</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80399199.451</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Gender (1)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.008</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.787</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.992</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1.008</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How often do you eat snacks between meals?</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.030</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.337</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.008</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.928</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1.031</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b/>
                <w:bCs/>
                <w:kern w:val="0"/>
                <w:sz w:val="24"/>
                <w:szCs w:val="24"/>
                <w:lang w:eastAsia="zh-CN"/>
              </w:rPr>
              <w:t>How often do you consume sugary drinks (e.g. soda, juice)</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.181</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.388</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.219</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.640</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1.199</w:t>
            </w:r>
          </w:p>
        </w:tc>
      </w:tr>
      <w:tr w:rsidR="00241E23" w:rsidRPr="00CC7AD0">
        <w:tc>
          <w:tcPr>
            <w:tcW w:w="944" w:type="dxa"/>
            <w:vMerge/>
            <w:tcBorders>
              <w:top w:val="nil"/>
              <w:left w:val="single" w:sz="4" w:space="0" w:color="auto"/>
              <w:bottom w:val="nil"/>
              <w:right w:val="nil"/>
            </w:tcBorders>
            <w:shd w:val="clear" w:color="auto" w:fill="auto"/>
          </w:tcPr>
          <w:p w:rsidR="00241E23" w:rsidRPr="00CC7AD0" w:rsidRDefault="00241E23">
            <w:pPr>
              <w:rPr>
                <w:rFonts w:ascii="Times New Roman" w:hAnsi="Times New Roman" w:cs="Times New Roman"/>
                <w:sz w:val="24"/>
                <w:szCs w:val="24"/>
              </w:rPr>
            </w:pPr>
          </w:p>
        </w:tc>
        <w:tc>
          <w:tcPr>
            <w:tcW w:w="2515"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Constant</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-21.728</w:t>
            </w:r>
          </w:p>
        </w:tc>
        <w:tc>
          <w:tcPr>
            <w:tcW w:w="1226"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23185.355</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1</w:t>
            </w:r>
          </w:p>
        </w:tc>
        <w:tc>
          <w:tcPr>
            <w:tcW w:w="1053" w:type="dxa"/>
            <w:tcBorders>
              <w:top w:val="nil"/>
              <w:left w:val="nil"/>
              <w:bottom w:val="nil"/>
              <w:right w:val="nil"/>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.999</w:t>
            </w:r>
          </w:p>
        </w:tc>
        <w:tc>
          <w:tcPr>
            <w:tcW w:w="1509" w:type="dxa"/>
            <w:tcBorders>
              <w:top w:val="nil"/>
              <w:left w:val="nil"/>
              <w:bottom w:val="nil"/>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.000</w:t>
            </w:r>
          </w:p>
        </w:tc>
      </w:tr>
      <w:tr w:rsidR="00241E23" w:rsidRPr="00CC7AD0">
        <w:tc>
          <w:tcPr>
            <w:tcW w:w="10406" w:type="dxa"/>
            <w:gridSpan w:val="8"/>
            <w:tcBorders>
              <w:top w:val="nil"/>
              <w:left w:val="single" w:sz="4" w:space="0" w:color="auto"/>
              <w:bottom w:val="single" w:sz="4" w:space="0" w:color="auto"/>
              <w:right w:val="single" w:sz="4" w:space="0" w:color="auto"/>
            </w:tcBorders>
            <w:shd w:val="clear" w:color="auto" w:fill="auto"/>
          </w:tcPr>
          <w:p w:rsidR="00241E23" w:rsidRPr="00CC7AD0" w:rsidRDefault="00E6187C">
            <w:pPr>
              <w:spacing w:beforeAutospacing="1" w:after="0" w:line="256" w:lineRule="auto"/>
              <w:rPr>
                <w:rFonts w:ascii="Times New Roman" w:eastAsia="Calibri" w:hAnsi="Times New Roman" w:cs="Times New Roman"/>
                <w:sz w:val="24"/>
                <w:szCs w:val="24"/>
              </w:rPr>
            </w:pPr>
            <w:r w:rsidRPr="00CC7AD0">
              <w:rPr>
                <w:rFonts w:ascii="Times New Roman" w:eastAsia="Calibri" w:hAnsi="Times New Roman" w:cs="Times New Roman"/>
                <w:kern w:val="0"/>
                <w:sz w:val="24"/>
                <w:szCs w:val="24"/>
                <w:lang w:eastAsia="zh-CN"/>
              </w:rPr>
              <w:t>a. Variable(s) entered on step 1: Age, Gender , eat snacks between meals, consume sugary drinks.</w:t>
            </w:r>
          </w:p>
        </w:tc>
      </w:tr>
    </w:tbl>
    <w:p w:rsidR="00241E23" w:rsidRPr="00CC7AD0" w:rsidRDefault="00241E23">
      <w:pPr>
        <w:spacing w:line="480" w:lineRule="auto"/>
        <w:jc w:val="both"/>
        <w:rPr>
          <w:rFonts w:ascii="Times New Roman" w:hAnsi="Times New Roman" w:cs="Times New Roman"/>
          <w:b/>
          <w:bCs/>
          <w:sz w:val="24"/>
          <w:szCs w:val="24"/>
        </w:rPr>
      </w:pP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Table 5. Correlation Analysis of Dietary Habits and Obesity</w:t>
      </w:r>
      <w:r w:rsidRPr="00CC7AD0">
        <w:rPr>
          <w:rFonts w:ascii="Times New Roman" w:hAnsi="Times New Roman" w:cs="Times New Roman"/>
          <w:b/>
          <w:bCs/>
          <w:sz w:val="24"/>
          <w:szCs w:val="24"/>
        </w:rPr>
        <w:br/>
      </w:r>
      <w:r w:rsidRPr="00CC7AD0">
        <w:rPr>
          <w:rFonts w:ascii="Times New Roman" w:hAnsi="Times New Roman" w:cs="Times New Roman"/>
          <w:sz w:val="24"/>
          <w:szCs w:val="24"/>
        </w:rPr>
        <w:t>Pearson correlation analysis revealed significant relationships between variables. Height showed a strong positive correlation with weight (r = 0.661, &lt;0.01) and a weak negative correlation with BMI (r = −0.120, p = 0.144). Snacking frequency correlated moderately with sugary drink consumption (r = 0.284, p&lt;0.01), but showed no significant association with weight or BMI. Sugary drink consumption had no significant correlation with weight (r = −0.058, p = 0.482) or BMI (r= −0.056, p = 0.500).</w:t>
      </w:r>
    </w:p>
    <w:p w:rsidR="00241E23" w:rsidRPr="00CC7AD0" w:rsidRDefault="00E6187C">
      <w:pPr>
        <w:rPr>
          <w:rFonts w:ascii="Times New Roman" w:hAnsi="Times New Roman" w:cs="Times New Roman"/>
          <w:sz w:val="24"/>
          <w:szCs w:val="24"/>
        </w:rPr>
      </w:pPr>
      <w:r w:rsidRPr="00CC7AD0">
        <w:rPr>
          <w:rFonts w:ascii="Times New Roman" w:hAnsi="Times New Roman" w:cs="Times New Roman"/>
          <w:b/>
          <w:bCs/>
          <w:sz w:val="24"/>
          <w:szCs w:val="24"/>
        </w:rPr>
        <w:t xml:space="preserve">Table 5. </w:t>
      </w:r>
      <w:r w:rsidRPr="00CC7AD0">
        <w:rPr>
          <w:rFonts w:ascii="Times New Roman" w:hAnsi="Times New Roman" w:cs="Times New Roman"/>
          <w:sz w:val="24"/>
          <w:szCs w:val="24"/>
        </w:rPr>
        <w:t>Relationship Between Dietary Habits and Obesity</w:t>
      </w:r>
    </w:p>
    <w:tbl>
      <w:tblPr>
        <w:tblStyle w:val="TableGrid"/>
        <w:tblW w:w="10826" w:type="dxa"/>
        <w:tblBorders>
          <w:insideH w:val="none" w:sz="0" w:space="0" w:color="auto"/>
          <w:insideV w:val="none" w:sz="0" w:space="0" w:color="auto"/>
        </w:tblBorders>
        <w:tblLayout w:type="fixed"/>
        <w:tblLook w:val="04A0"/>
      </w:tblPr>
      <w:tblGrid>
        <w:gridCol w:w="2538"/>
        <w:gridCol w:w="2061"/>
        <w:gridCol w:w="1061"/>
        <w:gridCol w:w="1061"/>
        <w:gridCol w:w="1061"/>
        <w:gridCol w:w="1522"/>
        <w:gridCol w:w="1522"/>
      </w:tblGrid>
      <w:tr w:rsidR="00241E23" w:rsidRPr="00CC7AD0">
        <w:tc>
          <w:tcPr>
            <w:tcW w:w="10821" w:type="dxa"/>
            <w:gridSpan w:val="7"/>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Correlations</w:t>
            </w:r>
          </w:p>
        </w:tc>
      </w:tr>
      <w:tr w:rsidR="00241E23" w:rsidRPr="00CC7AD0">
        <w:tc>
          <w:tcPr>
            <w:tcW w:w="4596" w:type="dxa"/>
            <w:gridSpan w:val="2"/>
          </w:tcPr>
          <w:p w:rsidR="00241E23" w:rsidRPr="00CC7AD0" w:rsidRDefault="00241E23">
            <w:pPr>
              <w:spacing w:after="0" w:line="240" w:lineRule="auto"/>
              <w:rPr>
                <w:rFonts w:ascii="Times New Roman" w:hAnsi="Times New Roman" w:cs="Times New Roman"/>
                <w:sz w:val="24"/>
                <w:szCs w:val="24"/>
              </w:rPr>
            </w:pP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Weight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Height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BMI</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eat snacks between meals</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consume sugary drinks</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Weight</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.661</w:t>
            </w:r>
            <w:r w:rsidRPr="00CC7AD0">
              <w:rPr>
                <w:rFonts w:ascii="Times New Roman" w:hAnsi="Times New Roman" w:cs="Times New Roman"/>
                <w:sz w:val="24"/>
                <w:szCs w:val="24"/>
                <w:vertAlign w:val="superscript"/>
              </w:rPr>
              <w: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.610</w:t>
            </w:r>
            <w:r w:rsidRPr="00CC7AD0">
              <w:rPr>
                <w:rFonts w:ascii="Times New Roman" w:hAnsi="Times New Roman" w:cs="Times New Roman"/>
                <w:sz w:val="24"/>
                <w:szCs w:val="24"/>
                <w:vertAlign w:val="superscript"/>
              </w:rPr>
              <w:t>**</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.055</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-.058</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241E23">
            <w:pPr>
              <w:spacing w:after="0" w:line="240" w:lineRule="auto"/>
              <w:rPr>
                <w:rFonts w:ascii="Times New Roman" w:hAnsi="Times New Roman" w:cs="Times New Roman"/>
                <w:sz w:val="24"/>
                <w:szCs w:val="24"/>
              </w:rPr>
            </w:pP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.507</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.482</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Height</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.661</w:t>
            </w:r>
            <w:r w:rsidRPr="00CC7AD0">
              <w:rPr>
                <w:rFonts w:ascii="Times New Roman" w:hAnsi="Times New Roman" w:cs="Times New Roman"/>
                <w:sz w:val="24"/>
                <w:szCs w:val="24"/>
                <w:vertAlign w:val="superscript"/>
              </w:rPr>
              <w: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.139</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.019</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061" w:type="dxa"/>
          </w:tcPr>
          <w:p w:rsidR="00241E23" w:rsidRPr="00CC7AD0" w:rsidRDefault="00241E23">
            <w:pPr>
              <w:spacing w:after="0" w:line="240" w:lineRule="auto"/>
              <w:rPr>
                <w:rFonts w:ascii="Times New Roman" w:hAnsi="Times New Roman" w:cs="Times New Roman"/>
                <w:sz w:val="24"/>
                <w:szCs w:val="24"/>
              </w:rPr>
            </w:pP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.144</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.089</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.817</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BMI</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.610</w:t>
            </w:r>
            <w:r w:rsidRPr="00CC7AD0">
              <w:rPr>
                <w:rFonts w:ascii="Times New Roman" w:hAnsi="Times New Roman" w:cs="Times New Roman"/>
                <w:sz w:val="24"/>
                <w:szCs w:val="24"/>
                <w:vertAlign w:val="superscript"/>
              </w:rPr>
              <w:t>**</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-.120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-.053</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-.056</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.144</w:t>
            </w:r>
          </w:p>
        </w:tc>
        <w:tc>
          <w:tcPr>
            <w:tcW w:w="1061" w:type="dxa"/>
          </w:tcPr>
          <w:p w:rsidR="00241E23" w:rsidRPr="00CC7AD0" w:rsidRDefault="00241E23">
            <w:pPr>
              <w:spacing w:after="0" w:line="240" w:lineRule="auto"/>
              <w:rPr>
                <w:rFonts w:ascii="Times New Roman" w:hAnsi="Times New Roman" w:cs="Times New Roman"/>
                <w:sz w:val="24"/>
                <w:szCs w:val="24"/>
              </w:rPr>
            </w:pP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.522</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.500</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How often do you eat snacks between meals?</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.055</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.139</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-.053</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.284</w:t>
            </w:r>
            <w:r w:rsidRPr="00CC7AD0">
              <w:rPr>
                <w:rFonts w:ascii="Times New Roman" w:hAnsi="Times New Roman" w:cs="Times New Roman"/>
                <w:sz w:val="24"/>
                <w:szCs w:val="24"/>
                <w:vertAlign w:val="superscript"/>
              </w:rPr>
              <w:t>**</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.507</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.089</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.522</w:t>
            </w:r>
          </w:p>
        </w:tc>
        <w:tc>
          <w:tcPr>
            <w:tcW w:w="1521" w:type="dxa"/>
          </w:tcPr>
          <w:p w:rsidR="00241E23" w:rsidRPr="00CC7AD0" w:rsidRDefault="00241E23">
            <w:pPr>
              <w:spacing w:after="0" w:line="240" w:lineRule="auto"/>
              <w:rPr>
                <w:rFonts w:ascii="Times New Roman" w:hAnsi="Times New Roman" w:cs="Times New Roman"/>
                <w:sz w:val="24"/>
                <w:szCs w:val="24"/>
              </w:rPr>
            </w:pP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2536" w:type="dxa"/>
            <w:vMerge w:val="restart"/>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b/>
                <w:bCs/>
                <w:sz w:val="24"/>
                <w:szCs w:val="24"/>
              </w:rPr>
              <w:t>How often do you consume sugary drinks (e.g. soda, juice)</w:t>
            </w: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Pearson Correlation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-.058</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.019</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-.056</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.284</w:t>
            </w:r>
            <w:r w:rsidRPr="00CC7AD0">
              <w:rPr>
                <w:rFonts w:ascii="Times New Roman" w:hAnsi="Times New Roman" w:cs="Times New Roman"/>
                <w:sz w:val="24"/>
                <w:szCs w:val="24"/>
                <w:vertAlign w:val="superscript"/>
              </w:rPr>
              <w:t>**</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w:t>
            </w: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Sig. (2-tailed)</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.482</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.817</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.500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.000</w:t>
            </w:r>
          </w:p>
        </w:tc>
        <w:tc>
          <w:tcPr>
            <w:tcW w:w="1521" w:type="dxa"/>
          </w:tcPr>
          <w:p w:rsidR="00241E23" w:rsidRPr="00CC7AD0" w:rsidRDefault="00241E23">
            <w:pPr>
              <w:spacing w:after="0" w:line="240" w:lineRule="auto"/>
              <w:rPr>
                <w:rFonts w:ascii="Times New Roman" w:hAnsi="Times New Roman" w:cs="Times New Roman"/>
                <w:sz w:val="24"/>
                <w:szCs w:val="24"/>
              </w:rPr>
            </w:pPr>
          </w:p>
        </w:tc>
      </w:tr>
      <w:tr w:rsidR="00241E23" w:rsidRPr="00CC7AD0">
        <w:tc>
          <w:tcPr>
            <w:tcW w:w="2536" w:type="dxa"/>
            <w:vMerge/>
          </w:tcPr>
          <w:p w:rsidR="00241E23" w:rsidRPr="00CC7AD0" w:rsidRDefault="00241E23">
            <w:pPr>
              <w:spacing w:after="0" w:line="240" w:lineRule="auto"/>
              <w:rPr>
                <w:rFonts w:ascii="Times New Roman" w:hAnsi="Times New Roman" w:cs="Times New Roman"/>
                <w:sz w:val="24"/>
                <w:szCs w:val="24"/>
              </w:rPr>
            </w:pPr>
          </w:p>
        </w:tc>
        <w:tc>
          <w:tcPr>
            <w:tcW w:w="2060"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N</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06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c>
          <w:tcPr>
            <w:tcW w:w="1521" w:type="dxa"/>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150</w:t>
            </w:r>
          </w:p>
        </w:tc>
      </w:tr>
      <w:tr w:rsidR="00241E23" w:rsidRPr="00CC7AD0">
        <w:tc>
          <w:tcPr>
            <w:tcW w:w="10821" w:type="dxa"/>
            <w:gridSpan w:val="7"/>
          </w:tcPr>
          <w:p w:rsidR="00241E23" w:rsidRPr="00CC7AD0" w:rsidRDefault="00E6187C">
            <w:pPr>
              <w:spacing w:after="0" w:line="240" w:lineRule="auto"/>
              <w:rPr>
                <w:rFonts w:ascii="Times New Roman" w:hAnsi="Times New Roman" w:cs="Times New Roman"/>
                <w:sz w:val="24"/>
                <w:szCs w:val="24"/>
              </w:rPr>
            </w:pPr>
            <w:r w:rsidRPr="00CC7AD0">
              <w:rPr>
                <w:rFonts w:ascii="Times New Roman" w:hAnsi="Times New Roman" w:cs="Times New Roman"/>
                <w:sz w:val="24"/>
                <w:szCs w:val="24"/>
              </w:rPr>
              <w:t>**. Correlation is significant at the 0.01 level (2-tailed).</w:t>
            </w:r>
          </w:p>
        </w:tc>
      </w:tr>
    </w:tbl>
    <w:p w:rsidR="00241E23" w:rsidRPr="00CC7AD0" w:rsidRDefault="00241E23">
      <w:pPr>
        <w:spacing w:line="480" w:lineRule="auto"/>
        <w:jc w:val="both"/>
        <w:rPr>
          <w:rFonts w:ascii="Times New Roman" w:hAnsi="Times New Roman" w:cs="Times New Roman"/>
          <w:b/>
          <w:bCs/>
          <w:sz w:val="24"/>
          <w:szCs w:val="24"/>
        </w:rPr>
      </w:pPr>
    </w:p>
    <w:p w:rsidR="00241E23" w:rsidRPr="00CC7AD0" w:rsidRDefault="00112CB5">
      <w:pPr>
        <w:spacing w:line="480" w:lineRule="auto"/>
        <w:jc w:val="both"/>
        <w:rPr>
          <w:rFonts w:ascii="Times New Roman" w:hAnsi="Times New Roman" w:cs="Times New Roman"/>
          <w:b/>
          <w:bCs/>
          <w:sz w:val="24"/>
          <w:szCs w:val="24"/>
        </w:rPr>
      </w:pPr>
      <w:r w:rsidRPr="00CC7AD0">
        <w:rPr>
          <w:rFonts w:ascii="Times New Roman" w:hAnsi="Times New Roman" w:cs="Times New Roman"/>
          <w:b/>
          <w:bCs/>
          <w:sz w:val="24"/>
          <w:szCs w:val="24"/>
        </w:rPr>
        <w:lastRenderedPageBreak/>
        <w:t xml:space="preserve">4: </w:t>
      </w:r>
      <w:r w:rsidR="00E6187C" w:rsidRPr="00CC7AD0">
        <w:rPr>
          <w:rFonts w:ascii="Times New Roman" w:hAnsi="Times New Roman" w:cs="Times New Roman"/>
          <w:b/>
          <w:bCs/>
          <w:sz w:val="24"/>
          <w:szCs w:val="24"/>
        </w:rPr>
        <w:t xml:space="preserve">DISCUSSION </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Demographic and Anthropometric Characteristics in table 1 revealed that the majority of participants were aged 9–12 years (86.7%), with females constituting a larger proportion (56.7%) of the study population. This aligns with the findings of Victora</w:t>
      </w:r>
      <w:r w:rsidR="00AB4811">
        <w:rPr>
          <w:rFonts w:ascii="Times New Roman" w:hAnsi="Times New Roman" w:cs="Times New Roman"/>
          <w:sz w:val="24"/>
          <w:szCs w:val="24"/>
        </w:rPr>
        <w:t xml:space="preserve"> </w:t>
      </w:r>
      <w:r w:rsidRPr="00CC7AD0">
        <w:rPr>
          <w:rFonts w:ascii="Times New Roman" w:hAnsi="Times New Roman" w:cs="Times New Roman"/>
          <w:i/>
          <w:sz w:val="24"/>
          <w:szCs w:val="24"/>
        </w:rPr>
        <w:t>et al</w:t>
      </w:r>
      <w:r w:rsidRPr="00CC7AD0">
        <w:rPr>
          <w:rFonts w:ascii="Times New Roman" w:hAnsi="Times New Roman" w:cs="Times New Roman"/>
          <w:sz w:val="24"/>
          <w:szCs w:val="24"/>
        </w:rPr>
        <w:t>. (2016), who highlighted that obesity prevalence often peaks during mid-childhood due to increased caloric intake and reduced physical activity. Additionally, the higher representation of females corroborates with Ogbe</w:t>
      </w:r>
      <w:r w:rsidR="008E46B7">
        <w:rPr>
          <w:rFonts w:ascii="Times New Roman" w:hAnsi="Times New Roman" w:cs="Times New Roman"/>
          <w:sz w:val="24"/>
          <w:szCs w:val="24"/>
        </w:rPr>
        <w:t xml:space="preserve"> </w:t>
      </w:r>
      <w:r w:rsidRPr="00CC7AD0">
        <w:rPr>
          <w:rFonts w:ascii="Times New Roman" w:hAnsi="Times New Roman" w:cs="Times New Roman"/>
          <w:i/>
          <w:sz w:val="24"/>
          <w:szCs w:val="24"/>
        </w:rPr>
        <w:t>et al</w:t>
      </w:r>
      <w:r w:rsidRPr="00CC7AD0">
        <w:rPr>
          <w:rFonts w:ascii="Times New Roman" w:hAnsi="Times New Roman" w:cs="Times New Roman"/>
          <w:sz w:val="24"/>
          <w:szCs w:val="24"/>
        </w:rPr>
        <w:t>. (2020), who reported that gender-specific cultural and behavioral factors could influence nutritional habits and lifestyle choices in this age group. Gender-specific variations in anthropometric parameters were evident in Table 2, where females exhibited higher mean weight (39.65 kg) and BMI (18.81) compared to males (35.78 kg and 17.82, respectively). This observation is consistent with Quebu</w:t>
      </w:r>
      <w:r w:rsidR="00281BCD">
        <w:rPr>
          <w:rFonts w:ascii="Times New Roman" w:hAnsi="Times New Roman" w:cs="Times New Roman"/>
          <w:sz w:val="24"/>
          <w:szCs w:val="24"/>
        </w:rPr>
        <w:t xml:space="preserve"> </w:t>
      </w:r>
      <w:r w:rsidRPr="00CC7AD0">
        <w:rPr>
          <w:rFonts w:ascii="Times New Roman" w:hAnsi="Times New Roman" w:cs="Times New Roman"/>
          <w:i/>
          <w:sz w:val="24"/>
          <w:szCs w:val="24"/>
        </w:rPr>
        <w:t>et al</w:t>
      </w:r>
      <w:r w:rsidRPr="00CC7AD0">
        <w:rPr>
          <w:rFonts w:ascii="Times New Roman" w:hAnsi="Times New Roman" w:cs="Times New Roman"/>
          <w:sz w:val="24"/>
          <w:szCs w:val="24"/>
        </w:rPr>
        <w:t>. (2023), who attributed such differences to variations in growth patterns and body composition during childhood.</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The prevalence of obesity, as presented in Table 1, was 4.7%, with a higher concentration among children aged 9–12 years for both genders (Table 3). This finding supports Dewey (2001), who identified this age group as a critical period for weight gain due to rapid growth and changing physical activity patterns.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The data in Table 1 also showed that 44.7% of the children had daily snacking habits, while 30.7% consumed sugary drinks 2–3 times weekly. These observations align with Tewabe</w:t>
      </w:r>
      <w:r w:rsidRPr="00CC7AD0">
        <w:rPr>
          <w:rFonts w:ascii="Times New Roman" w:hAnsi="Times New Roman" w:cs="Times New Roman"/>
          <w:i/>
          <w:sz w:val="24"/>
          <w:szCs w:val="24"/>
        </w:rPr>
        <w:t>et al</w:t>
      </w:r>
      <w:r w:rsidRPr="00CC7AD0">
        <w:rPr>
          <w:rFonts w:ascii="Times New Roman" w:hAnsi="Times New Roman" w:cs="Times New Roman"/>
          <w:sz w:val="24"/>
          <w:szCs w:val="24"/>
        </w:rPr>
        <w:t>. (2016), who reported that frequent consumption of energy-dense snacks and sugary beverages contributes significantly to the risk of childhood obesity. However, despite these high consumption rates, only 4.7% of the children were classified as obese, suggesting a multifactorial nature of obesity etiology, consistent with the World Health Organization (2021).</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lastRenderedPageBreak/>
        <w:t>The regression analysis results in Table 4 showed no significant predictors of obesity from variables such as age, gender, snacking frequency, and sugary drink consumption. This finding contrasts with Bartick and Reinhold (2010), who found significant associations between these lifestyle factors and obesity. The absence of significant predictors in this study may be due to sample size limitations or unique socio-cultural factors in Esan communities.</w:t>
      </w:r>
    </w:p>
    <w:p w:rsidR="00241E23" w:rsidRPr="00CC7AD0" w:rsidRDefault="00E6187C">
      <w:pPr>
        <w:spacing w:line="480" w:lineRule="auto"/>
        <w:jc w:val="both"/>
        <w:rPr>
          <w:rFonts w:ascii="Times New Roman" w:hAnsi="Times New Roman" w:cs="Times New Roman"/>
          <w:sz w:val="24"/>
          <w:szCs w:val="24"/>
        </w:rPr>
      </w:pPr>
      <w:r w:rsidRPr="00CC7AD0">
        <w:rPr>
          <w:rFonts w:ascii="Times New Roman" w:hAnsi="Times New Roman" w:cs="Times New Roman"/>
          <w:sz w:val="24"/>
          <w:szCs w:val="24"/>
        </w:rPr>
        <w:t>Pearson correlation analysis in Table 5 revealed a strong positive relationship between height and weight (r = 0.661, p &lt; 0.01), consistent with established growth patterns described by Victora</w:t>
      </w:r>
      <w:r w:rsidR="004013B6">
        <w:rPr>
          <w:rFonts w:ascii="Times New Roman" w:hAnsi="Times New Roman" w:cs="Times New Roman"/>
          <w:sz w:val="24"/>
          <w:szCs w:val="24"/>
        </w:rPr>
        <w:t xml:space="preserve"> </w:t>
      </w:r>
      <w:r w:rsidRPr="00CC7AD0">
        <w:rPr>
          <w:rFonts w:ascii="Times New Roman" w:hAnsi="Times New Roman" w:cs="Times New Roman"/>
          <w:i/>
          <w:sz w:val="24"/>
          <w:szCs w:val="24"/>
        </w:rPr>
        <w:t>et al</w:t>
      </w:r>
      <w:r w:rsidRPr="00CC7AD0">
        <w:rPr>
          <w:rFonts w:ascii="Times New Roman" w:hAnsi="Times New Roman" w:cs="Times New Roman"/>
          <w:sz w:val="24"/>
          <w:szCs w:val="24"/>
        </w:rPr>
        <w:t>. (2016). However, the weak negative correlation between height and BMI (r = −0.120, p = 0.144) could indicate variability in body composition among the study population. Notably, no significant correlations were observed between snacking frequency, sugary drink consumption, and obesity metrics, which corroborates the complexity of obesity etiology as highlighted by the World Health Organization (2021).</w:t>
      </w:r>
    </w:p>
    <w:p w:rsidR="00241E23" w:rsidRDefault="003E7EB8">
      <w:pPr>
        <w:spacing w:line="480" w:lineRule="auto"/>
        <w:jc w:val="both"/>
        <w:rPr>
          <w:rFonts w:ascii="Times New Roman" w:hAnsi="Times New Roman" w:cs="Times New Roman"/>
          <w:sz w:val="24"/>
          <w:szCs w:val="24"/>
        </w:rPr>
      </w:pPr>
      <w:r w:rsidRPr="00CC7AD0">
        <w:rPr>
          <w:rFonts w:ascii="Times New Roman" w:hAnsi="Times New Roman" w:cs="Times New Roman"/>
          <w:b/>
          <w:bCs/>
          <w:sz w:val="24"/>
          <w:szCs w:val="24"/>
        </w:rPr>
        <w:t xml:space="preserve">5: </w:t>
      </w:r>
      <w:r w:rsidR="00E6187C" w:rsidRPr="00CC7AD0">
        <w:rPr>
          <w:rFonts w:ascii="Times New Roman" w:hAnsi="Times New Roman" w:cs="Times New Roman"/>
          <w:b/>
          <w:bCs/>
          <w:sz w:val="24"/>
          <w:szCs w:val="24"/>
        </w:rPr>
        <w:t>Conclusion</w:t>
      </w:r>
      <w:r w:rsidR="00E6187C" w:rsidRPr="00CC7AD0">
        <w:rPr>
          <w:rFonts w:ascii="Times New Roman" w:hAnsi="Times New Roman" w:cs="Times New Roman"/>
          <w:sz w:val="24"/>
          <w:szCs w:val="24"/>
        </w:rPr>
        <w:br/>
        <w:t>This study underscores the importance of addressing childhood obesity among</w:t>
      </w:r>
      <w:r w:rsidR="00EF358C">
        <w:rPr>
          <w:rFonts w:ascii="Times New Roman" w:hAnsi="Times New Roman" w:cs="Times New Roman"/>
          <w:sz w:val="24"/>
          <w:szCs w:val="24"/>
        </w:rPr>
        <w:t xml:space="preserve"> </w:t>
      </w:r>
      <w:r w:rsidR="00E6187C" w:rsidRPr="00CC7AD0">
        <w:rPr>
          <w:rFonts w:ascii="Times New Roman" w:hAnsi="Times New Roman" w:cs="Times New Roman"/>
          <w:sz w:val="24"/>
          <w:szCs w:val="24"/>
        </w:rPr>
        <w:t>primary school children. While the overall prevalence of obesity is low, the findings highlight critical age and gender-specific patterns that warrant targeted interventions. Comprehensive strategies that include nutrition education, community awareness programs, and school-based physical activity initiatives are essential to mitigate the risk factors for obesity. Future research should explore genetic and socio-economic contributors to obesity in these communities to develop holistic prevention strategies.</w:t>
      </w:r>
    </w:p>
    <w:p w:rsidR="008565C2" w:rsidRDefault="008565C2">
      <w:pPr>
        <w:spacing w:line="480" w:lineRule="auto"/>
        <w:jc w:val="both"/>
        <w:rPr>
          <w:rFonts w:ascii="Times New Roman" w:hAnsi="Times New Roman" w:cs="Times New Roman"/>
          <w:b/>
          <w:bCs/>
          <w:sz w:val="24"/>
          <w:szCs w:val="24"/>
        </w:rPr>
      </w:pPr>
    </w:p>
    <w:p w:rsidR="008565C2" w:rsidRDefault="008565C2">
      <w:pPr>
        <w:spacing w:line="480" w:lineRule="auto"/>
        <w:jc w:val="both"/>
        <w:rPr>
          <w:rFonts w:ascii="Times New Roman" w:hAnsi="Times New Roman" w:cs="Times New Roman"/>
          <w:b/>
          <w:bCs/>
          <w:sz w:val="24"/>
          <w:szCs w:val="24"/>
        </w:rPr>
      </w:pPr>
    </w:p>
    <w:p w:rsidR="006F7CE2" w:rsidRDefault="006F7CE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Disclaimer (Artificial intelligence)</w:t>
      </w:r>
    </w:p>
    <w:p w:rsidR="00EE0D74" w:rsidRPr="00EE0D74" w:rsidRDefault="00EE0D74" w:rsidP="00EE0D74">
      <w:pPr>
        <w:spacing w:line="480" w:lineRule="auto"/>
        <w:jc w:val="both"/>
        <w:rPr>
          <w:rFonts w:ascii="Times New Roman" w:hAnsi="Times New Roman" w:cs="Times New Roman"/>
          <w:bCs/>
          <w:sz w:val="24"/>
          <w:szCs w:val="24"/>
        </w:rPr>
      </w:pPr>
      <w:r w:rsidRPr="00EE0D74">
        <w:rPr>
          <w:rFonts w:ascii="Times New Roman" w:hAnsi="Times New Roman" w:cs="Times New Roman"/>
          <w:bCs/>
          <w:sz w:val="24"/>
          <w:szCs w:val="24"/>
        </w:rPr>
        <w:t xml:space="preserve">Author(s) hereby declare that NO generative AI technologies such as Large Language Models (ChatGPT, COPILOT, etc.) and text-to-image generators have been used during the writing or editing of this manuscript. </w:t>
      </w:r>
    </w:p>
    <w:p w:rsidR="008565C2" w:rsidRPr="00CC7AD0" w:rsidRDefault="008565C2">
      <w:pPr>
        <w:spacing w:line="480" w:lineRule="auto"/>
        <w:jc w:val="both"/>
        <w:rPr>
          <w:rFonts w:ascii="Times New Roman" w:hAnsi="Times New Roman" w:cs="Times New Roman"/>
          <w:b/>
          <w:bCs/>
          <w:sz w:val="24"/>
          <w:szCs w:val="24"/>
        </w:rPr>
      </w:pPr>
      <w:bookmarkStart w:id="0" w:name="_GoBack"/>
      <w:bookmarkEnd w:id="0"/>
    </w:p>
    <w:p w:rsidR="003E7EB8" w:rsidRPr="00CC7AD0" w:rsidRDefault="003E7EB8">
      <w:pPr>
        <w:spacing w:line="480" w:lineRule="auto"/>
        <w:jc w:val="both"/>
        <w:rPr>
          <w:rFonts w:ascii="Times New Roman" w:hAnsi="Times New Roman" w:cs="Times New Roman"/>
          <w:b/>
          <w:bCs/>
          <w:sz w:val="24"/>
          <w:szCs w:val="24"/>
        </w:rPr>
      </w:pPr>
    </w:p>
    <w:p w:rsidR="00241E23" w:rsidRPr="00CC7AD0" w:rsidRDefault="00E6187C" w:rsidP="000F0A53">
      <w:pPr>
        <w:spacing w:after="0" w:line="276" w:lineRule="auto"/>
        <w:ind w:left="567" w:hanging="720"/>
        <w:rPr>
          <w:rFonts w:ascii="Times New Roman" w:hAnsi="Times New Roman" w:cs="Times New Roman"/>
          <w:b/>
          <w:bCs/>
          <w:sz w:val="24"/>
          <w:szCs w:val="24"/>
        </w:rPr>
      </w:pPr>
      <w:r w:rsidRPr="00CC7AD0">
        <w:rPr>
          <w:rFonts w:ascii="Times New Roman" w:hAnsi="Times New Roman" w:cs="Times New Roman"/>
          <w:b/>
          <w:bCs/>
          <w:sz w:val="24"/>
          <w:szCs w:val="24"/>
        </w:rPr>
        <w:t>REFERENCES</w:t>
      </w:r>
    </w:p>
    <w:p w:rsidR="000F0A53" w:rsidRPr="00CC7AD0" w:rsidRDefault="000F0A53" w:rsidP="000F0A53">
      <w:pPr>
        <w:spacing w:after="0" w:line="276" w:lineRule="auto"/>
        <w:ind w:hanging="720"/>
        <w:rPr>
          <w:rFonts w:ascii="Times New Roman" w:hAnsi="Times New Roman" w:cs="Times New Roman"/>
          <w:sz w:val="24"/>
          <w:szCs w:val="24"/>
        </w:rPr>
      </w:pPr>
    </w:p>
    <w:p w:rsidR="003E7EB8" w:rsidRPr="00CC7AD0" w:rsidRDefault="00E6187C" w:rsidP="000F0A53">
      <w:pPr>
        <w:spacing w:after="0" w:line="360" w:lineRule="auto"/>
        <w:ind w:left="720" w:hanging="720"/>
        <w:rPr>
          <w:rFonts w:ascii="Times New Roman" w:eastAsia="Calibri" w:hAnsi="Times New Roman" w:cs="Times New Roman"/>
          <w:sz w:val="24"/>
          <w:szCs w:val="24"/>
          <w:lang w:eastAsia="zh-CN"/>
        </w:rPr>
      </w:pPr>
      <w:r w:rsidRPr="00CC7AD0">
        <w:rPr>
          <w:rFonts w:ascii="Times New Roman" w:eastAsia="Calibri" w:hAnsi="Times New Roman" w:cs="Times New Roman"/>
          <w:sz w:val="24"/>
          <w:szCs w:val="24"/>
          <w:lang w:eastAsia="zh-CN"/>
        </w:rPr>
        <w:t xml:space="preserve">Adeloye, D., Ige-Elegbede, J. O., Ezejimofor, M., Owolabi, E. O., Ezeigwe, N., Omoyele, C., Mpazanje, R. G., Dewan, M. T., Agogo, E., Gadanya, M. A., Alemu, W., Harhay, M. O., Auta, A., &amp; Adebiyi, A. O. (2021). Estimating the prevalence of overweight and obesity in Nigeria in 2020: A systematic review and meta-analysis. </w:t>
      </w:r>
      <w:r w:rsidRPr="00CC7AD0">
        <w:rPr>
          <w:rFonts w:ascii="Times New Roman" w:eastAsia="Calibri" w:hAnsi="Times New Roman" w:cs="Times New Roman"/>
          <w:i/>
          <w:iCs/>
          <w:sz w:val="24"/>
          <w:szCs w:val="24"/>
          <w:lang w:eastAsia="zh-CN"/>
        </w:rPr>
        <w:t>Annals of Medicine, 53</w:t>
      </w:r>
      <w:r w:rsidRPr="00CC7AD0">
        <w:rPr>
          <w:rFonts w:ascii="Times New Roman" w:eastAsia="Calibri" w:hAnsi="Times New Roman" w:cs="Times New Roman"/>
          <w:sz w:val="24"/>
          <w:szCs w:val="24"/>
          <w:lang w:eastAsia="zh-CN"/>
        </w:rPr>
        <w:t xml:space="preserve">(1), 495-507. </w:t>
      </w:r>
    </w:p>
    <w:p w:rsidR="003E7EB8" w:rsidRPr="00CC7AD0" w:rsidRDefault="00E6187C" w:rsidP="000F0A53">
      <w:pPr>
        <w:spacing w:after="0" w:line="360" w:lineRule="auto"/>
        <w:ind w:left="720" w:hanging="720"/>
        <w:rPr>
          <w:rFonts w:ascii="Times New Roman" w:eastAsia="Calibri" w:hAnsi="Times New Roman" w:cs="Times New Roman"/>
          <w:sz w:val="24"/>
          <w:szCs w:val="24"/>
          <w:lang w:eastAsia="zh-CN"/>
        </w:rPr>
      </w:pPr>
      <w:r w:rsidRPr="00CC7AD0">
        <w:rPr>
          <w:rFonts w:ascii="Times New Roman" w:eastAsia="Calibri" w:hAnsi="Times New Roman" w:cs="Times New Roman"/>
          <w:sz w:val="24"/>
          <w:szCs w:val="24"/>
          <w:lang w:eastAsia="zh-CN"/>
        </w:rPr>
        <w:t xml:space="preserve">Bartick, M., &amp; Reinhold, A. (2010). The burden of suboptimal breastfeeding in the United States: a pediatric cost analysis. Pediatrics, 125(5), e1048-e1056. </w:t>
      </w:r>
    </w:p>
    <w:p w:rsidR="003E7EB8" w:rsidRPr="00CC7AD0" w:rsidRDefault="00E6187C" w:rsidP="000F0A53">
      <w:pPr>
        <w:spacing w:after="0" w:line="360" w:lineRule="auto"/>
        <w:ind w:left="720" w:hanging="720"/>
        <w:rPr>
          <w:rFonts w:ascii="Calibri" w:eastAsia="Times New Roman" w:hAnsi="Calibri" w:cs="Times New Roman"/>
          <w:lang w:eastAsia="zh-CN"/>
        </w:rPr>
      </w:pPr>
      <w:r w:rsidRPr="00CC7AD0">
        <w:rPr>
          <w:rFonts w:ascii="Times New Roman" w:eastAsia="Calibri" w:hAnsi="Times New Roman" w:cs="Times New Roman"/>
          <w:sz w:val="24"/>
          <w:szCs w:val="24"/>
          <w:lang w:eastAsia="zh-CN"/>
        </w:rPr>
        <w:t xml:space="preserve">Dewey, K. G. (2001). Nutrition, growth, and complementary feeding of the breastfed infant. </w:t>
      </w:r>
      <w:r w:rsidRPr="00CC7AD0">
        <w:rPr>
          <w:rFonts w:ascii="Times New Roman" w:eastAsia="Calibri" w:hAnsi="Times New Roman" w:cs="Times New Roman"/>
          <w:i/>
          <w:iCs/>
          <w:sz w:val="24"/>
          <w:szCs w:val="24"/>
          <w:lang w:eastAsia="zh-CN"/>
        </w:rPr>
        <w:t>Pediatric Clinics of North America</w:t>
      </w:r>
      <w:r w:rsidRPr="00CC7AD0">
        <w:rPr>
          <w:rFonts w:ascii="Times New Roman" w:eastAsia="Calibri" w:hAnsi="Times New Roman" w:cs="Times New Roman"/>
          <w:sz w:val="24"/>
          <w:szCs w:val="24"/>
          <w:lang w:eastAsia="zh-CN"/>
        </w:rPr>
        <w:t xml:space="preserve">, 48(1), 87-104. </w:t>
      </w:r>
    </w:p>
    <w:p w:rsidR="009D216D" w:rsidRPr="00CC7AD0" w:rsidRDefault="00E6187C" w:rsidP="000F0A53">
      <w:pPr>
        <w:spacing w:after="0" w:line="360" w:lineRule="auto"/>
        <w:ind w:left="720" w:hanging="720"/>
        <w:rPr>
          <w:rFonts w:ascii="Times New Roman" w:eastAsia="Calibri" w:hAnsi="Times New Roman" w:cs="Times New Roman"/>
          <w:color w:val="C00000"/>
          <w:sz w:val="24"/>
          <w:szCs w:val="24"/>
          <w:lang w:eastAsia="zh-CN"/>
        </w:rPr>
      </w:pPr>
      <w:r w:rsidRPr="00CC7AD0">
        <w:rPr>
          <w:rFonts w:ascii="Times New Roman" w:eastAsia="Calibri" w:hAnsi="Times New Roman" w:cs="Times New Roman"/>
          <w:sz w:val="24"/>
          <w:szCs w:val="24"/>
          <w:lang w:eastAsia="zh-CN"/>
        </w:rPr>
        <w:t xml:space="preserve">Drewnowski, A., &amp; Specter, B. M. (2004). The nutrition transition: New trends in the global diet. </w:t>
      </w:r>
      <w:r w:rsidRPr="00CC7AD0">
        <w:rPr>
          <w:rFonts w:ascii="Times New Roman" w:eastAsia="Calibri" w:hAnsi="Times New Roman" w:cs="Times New Roman"/>
          <w:i/>
          <w:iCs/>
          <w:sz w:val="24"/>
          <w:szCs w:val="24"/>
          <w:lang w:eastAsia="zh-CN"/>
        </w:rPr>
        <w:t>Nutrition Reviews, 55</w:t>
      </w:r>
      <w:r w:rsidRPr="00CC7AD0">
        <w:rPr>
          <w:rFonts w:ascii="Times New Roman" w:eastAsia="Calibri" w:hAnsi="Times New Roman" w:cs="Times New Roman"/>
          <w:sz w:val="24"/>
          <w:szCs w:val="24"/>
          <w:lang w:eastAsia="zh-CN"/>
        </w:rPr>
        <w:t xml:space="preserve">, 31–43. </w:t>
      </w:r>
    </w:p>
    <w:p w:rsidR="00241E23" w:rsidRPr="00CC7AD0" w:rsidRDefault="00E6187C" w:rsidP="000F0A53">
      <w:pPr>
        <w:spacing w:after="0" w:line="360" w:lineRule="auto"/>
        <w:ind w:left="720" w:hanging="720"/>
        <w:rPr>
          <w:rFonts w:ascii="Times New Roman" w:eastAsia="Calibri" w:hAnsi="Times New Roman" w:cs="Times New Roman"/>
          <w:sz w:val="24"/>
          <w:szCs w:val="24"/>
        </w:rPr>
      </w:pPr>
      <w:r w:rsidRPr="00CC7AD0">
        <w:rPr>
          <w:rFonts w:ascii="Times New Roman" w:eastAsia="Calibri" w:hAnsi="Times New Roman" w:cs="Times New Roman"/>
          <w:sz w:val="24"/>
          <w:szCs w:val="24"/>
          <w:lang w:eastAsia="zh-CN"/>
        </w:rPr>
        <w:t xml:space="preserve">Ogbe, A. C., Nwankwo, C. U., Agbele, T. O., &amp;Nwambo, J. (2020). Socio-demographic determinants of exclusive breastfeeding practices among nursing mothers in Enugu State. </w:t>
      </w:r>
      <w:r w:rsidRPr="00CC7AD0">
        <w:rPr>
          <w:rFonts w:ascii="Times New Roman" w:eastAsia="Calibri" w:hAnsi="Times New Roman" w:cs="Times New Roman"/>
          <w:i/>
          <w:iCs/>
          <w:sz w:val="24"/>
          <w:szCs w:val="24"/>
          <w:lang w:eastAsia="zh-CN"/>
        </w:rPr>
        <w:t>International Journal of Studies in Nursing</w:t>
      </w:r>
      <w:r w:rsidRPr="00CC7AD0">
        <w:rPr>
          <w:rFonts w:ascii="Times New Roman" w:eastAsia="Calibri" w:hAnsi="Times New Roman" w:cs="Times New Roman"/>
          <w:sz w:val="24"/>
          <w:szCs w:val="24"/>
          <w:lang w:eastAsia="zh-CN"/>
        </w:rPr>
        <w:t>, 5(2), 15. https://doi.org/10.20849/ijsn.v5i2.736</w:t>
      </w:r>
    </w:p>
    <w:p w:rsidR="00241E23" w:rsidRPr="00CC7AD0" w:rsidRDefault="00E6187C" w:rsidP="000F0A53">
      <w:pPr>
        <w:spacing w:after="0" w:line="360" w:lineRule="auto"/>
        <w:ind w:left="720" w:hanging="720"/>
        <w:rPr>
          <w:rFonts w:ascii="Times New Roman" w:eastAsia="Calibri" w:hAnsi="Times New Roman" w:cs="Times New Roman"/>
          <w:sz w:val="24"/>
          <w:szCs w:val="24"/>
        </w:rPr>
      </w:pPr>
      <w:r w:rsidRPr="00CC7AD0">
        <w:rPr>
          <w:rFonts w:ascii="Times New Roman" w:eastAsia="Calibri" w:hAnsi="Times New Roman" w:cs="Times New Roman"/>
          <w:sz w:val="24"/>
          <w:szCs w:val="24"/>
          <w:lang w:eastAsia="zh-CN"/>
        </w:rPr>
        <w:t xml:space="preserve">Ogden, C. L., Carroll, M. D., Kit, B. K., &amp;Flegal, K. M. (2012). Prevalence of obesity and trends in body mass index among US children and adolescents, 1999–2010. </w:t>
      </w:r>
      <w:r w:rsidRPr="00CC7AD0">
        <w:rPr>
          <w:rFonts w:ascii="Times New Roman" w:eastAsia="Calibri" w:hAnsi="Times New Roman" w:cs="Times New Roman"/>
          <w:i/>
          <w:iCs/>
          <w:sz w:val="24"/>
          <w:szCs w:val="24"/>
          <w:lang w:eastAsia="zh-CN"/>
        </w:rPr>
        <w:t>JAMA, 307</w:t>
      </w:r>
      <w:r w:rsidRPr="00CC7AD0">
        <w:rPr>
          <w:rFonts w:ascii="Times New Roman" w:eastAsia="Calibri" w:hAnsi="Times New Roman" w:cs="Times New Roman"/>
          <w:sz w:val="24"/>
          <w:szCs w:val="24"/>
          <w:lang w:eastAsia="zh-CN"/>
        </w:rPr>
        <w:t>(5), 483–490. https://doi.org/10.1001/jama.2012.40</w:t>
      </w:r>
    </w:p>
    <w:p w:rsidR="00241E23" w:rsidRPr="00CC7AD0" w:rsidRDefault="00E6187C" w:rsidP="000F0A53">
      <w:pPr>
        <w:spacing w:after="0" w:line="360" w:lineRule="auto"/>
        <w:ind w:left="720" w:hanging="720"/>
        <w:rPr>
          <w:rFonts w:ascii="Times New Roman" w:eastAsia="Calibri" w:hAnsi="Times New Roman" w:cs="Times New Roman"/>
          <w:sz w:val="24"/>
          <w:szCs w:val="24"/>
        </w:rPr>
      </w:pPr>
      <w:r w:rsidRPr="00CC7AD0">
        <w:rPr>
          <w:rFonts w:ascii="Times New Roman" w:eastAsia="Calibri" w:hAnsi="Times New Roman" w:cs="Times New Roman"/>
          <w:sz w:val="24"/>
          <w:szCs w:val="24"/>
          <w:lang w:eastAsia="zh-CN"/>
        </w:rPr>
        <w:t xml:space="preserve">Popkin, B. M. (2015). Nutrition transition and the global diabetes epidemic. </w:t>
      </w:r>
      <w:r w:rsidRPr="00CC7AD0">
        <w:rPr>
          <w:rFonts w:ascii="Times New Roman" w:eastAsia="Calibri" w:hAnsi="Times New Roman" w:cs="Times New Roman"/>
          <w:i/>
          <w:iCs/>
          <w:sz w:val="24"/>
          <w:szCs w:val="24"/>
          <w:lang w:eastAsia="zh-CN"/>
        </w:rPr>
        <w:t>Current Diabetes Reports, 15</w:t>
      </w:r>
      <w:r w:rsidRPr="00CC7AD0">
        <w:rPr>
          <w:rFonts w:ascii="Times New Roman" w:eastAsia="Calibri" w:hAnsi="Times New Roman" w:cs="Times New Roman"/>
          <w:sz w:val="24"/>
          <w:szCs w:val="24"/>
          <w:lang w:eastAsia="zh-CN"/>
        </w:rPr>
        <w:t>, 64.</w:t>
      </w:r>
    </w:p>
    <w:p w:rsidR="002A64A3" w:rsidRPr="00CC7AD0" w:rsidRDefault="00E6187C" w:rsidP="000F0A53">
      <w:pPr>
        <w:spacing w:after="0" w:line="360" w:lineRule="auto"/>
        <w:ind w:left="720" w:hanging="720"/>
        <w:rPr>
          <w:rFonts w:ascii="Times New Roman" w:eastAsia="Calibri" w:hAnsi="Times New Roman" w:cs="Times New Roman"/>
          <w:sz w:val="24"/>
          <w:szCs w:val="24"/>
          <w:lang w:eastAsia="zh-CN"/>
        </w:rPr>
      </w:pPr>
      <w:r w:rsidRPr="00CC7AD0">
        <w:rPr>
          <w:rFonts w:ascii="Times New Roman" w:eastAsia="Calibri" w:hAnsi="Times New Roman" w:cs="Times New Roman"/>
          <w:sz w:val="24"/>
          <w:szCs w:val="24"/>
          <w:lang w:eastAsia="zh-CN"/>
        </w:rPr>
        <w:lastRenderedPageBreak/>
        <w:t xml:space="preserve">Quebu, S. I., Osei-Kwasi, H. A., &amp; Boateng, D. (2023). Barriers to Exclusive Breastfeeding for Mothers in Tswelopele Municipality, Free State Province, South Africa: A Qualitative Study. </w:t>
      </w:r>
      <w:r w:rsidRPr="00CC7AD0">
        <w:rPr>
          <w:rFonts w:ascii="Times New Roman" w:eastAsia="Calibri" w:hAnsi="Times New Roman" w:cs="Times New Roman"/>
          <w:i/>
          <w:iCs/>
          <w:sz w:val="24"/>
          <w:szCs w:val="24"/>
          <w:lang w:eastAsia="zh-CN"/>
        </w:rPr>
        <w:t>Chidren (Basel)</w:t>
      </w:r>
      <w:r w:rsidR="002A64A3" w:rsidRPr="00CC7AD0">
        <w:rPr>
          <w:rFonts w:ascii="Times New Roman" w:eastAsia="Calibri" w:hAnsi="Times New Roman" w:cs="Times New Roman"/>
          <w:sz w:val="24"/>
          <w:szCs w:val="24"/>
          <w:lang w:eastAsia="zh-CN"/>
        </w:rPr>
        <w:t xml:space="preserve">, 18(1), 1-10. </w:t>
      </w:r>
    </w:p>
    <w:p w:rsidR="00241E23" w:rsidRPr="00CC7AD0" w:rsidRDefault="00E6187C" w:rsidP="000F0A53">
      <w:pPr>
        <w:spacing w:after="0" w:line="360" w:lineRule="auto"/>
        <w:ind w:left="720" w:hanging="720"/>
        <w:rPr>
          <w:rFonts w:ascii="Times New Roman" w:eastAsia="Calibri" w:hAnsi="Times New Roman" w:cs="Times New Roman"/>
          <w:sz w:val="24"/>
          <w:szCs w:val="24"/>
        </w:rPr>
      </w:pPr>
      <w:r w:rsidRPr="00CC7AD0">
        <w:rPr>
          <w:rFonts w:ascii="Times New Roman" w:eastAsia="Calibri" w:hAnsi="Times New Roman" w:cs="Times New Roman"/>
          <w:sz w:val="24"/>
          <w:szCs w:val="24"/>
          <w:lang w:eastAsia="zh-CN"/>
        </w:rPr>
        <w:t xml:space="preserve">Senbanjo, I. O., &amp;Adejuyigbe, E. A. (2007). Prevalence of overweight and obesity in Nigerian preschool children. </w:t>
      </w:r>
      <w:r w:rsidRPr="00CC7AD0">
        <w:rPr>
          <w:rFonts w:ascii="Times New Roman" w:eastAsia="Calibri" w:hAnsi="Times New Roman" w:cs="Times New Roman"/>
          <w:i/>
          <w:iCs/>
          <w:sz w:val="24"/>
          <w:szCs w:val="24"/>
          <w:lang w:eastAsia="zh-CN"/>
        </w:rPr>
        <w:t>Nutrition and Health, 18</w:t>
      </w:r>
      <w:r w:rsidRPr="00CC7AD0">
        <w:rPr>
          <w:rFonts w:ascii="Times New Roman" w:eastAsia="Calibri" w:hAnsi="Times New Roman" w:cs="Times New Roman"/>
          <w:sz w:val="24"/>
          <w:szCs w:val="24"/>
          <w:lang w:eastAsia="zh-CN"/>
        </w:rPr>
        <w:t xml:space="preserve">(4), 391-399. </w:t>
      </w:r>
    </w:p>
    <w:p w:rsidR="000F0A53" w:rsidRPr="00CC7AD0" w:rsidRDefault="00E6187C" w:rsidP="000F0A53">
      <w:pPr>
        <w:spacing w:after="0" w:line="360" w:lineRule="auto"/>
        <w:ind w:left="720" w:hanging="720"/>
        <w:rPr>
          <w:rFonts w:ascii="Calibri" w:eastAsia="Times New Roman" w:hAnsi="Calibri" w:cs="Times New Roman"/>
          <w:lang w:eastAsia="zh-CN"/>
        </w:rPr>
      </w:pPr>
      <w:r w:rsidRPr="00CC7AD0">
        <w:rPr>
          <w:rFonts w:ascii="Times New Roman" w:eastAsia="Calibri" w:hAnsi="Times New Roman" w:cs="Times New Roman"/>
          <w:sz w:val="24"/>
          <w:szCs w:val="24"/>
          <w:lang w:eastAsia="zh-CN"/>
        </w:rPr>
        <w:t xml:space="preserve">Tewabe, T., Mandesh, A., Gualu, T., Alem, G., Mekuria, G., &amp;Zeleke, H. (2016). Exclusive breastfeeding practice and associated factors among mothers in Motta town, East Gojjam zone, Amhara Regional State, Ethiopia, 2015: A cross-sectional study. </w:t>
      </w:r>
      <w:r w:rsidRPr="00CC7AD0">
        <w:rPr>
          <w:rFonts w:ascii="Times New Roman" w:eastAsia="Calibri" w:hAnsi="Times New Roman" w:cs="Times New Roman"/>
          <w:i/>
          <w:iCs/>
          <w:sz w:val="24"/>
          <w:szCs w:val="24"/>
          <w:lang w:eastAsia="zh-CN"/>
        </w:rPr>
        <w:t>International Breastfeeding Journal</w:t>
      </w:r>
      <w:r w:rsidRPr="00CC7AD0">
        <w:rPr>
          <w:rFonts w:ascii="Times New Roman" w:eastAsia="Calibri" w:hAnsi="Times New Roman" w:cs="Times New Roman"/>
          <w:sz w:val="24"/>
          <w:szCs w:val="24"/>
          <w:lang w:eastAsia="zh-CN"/>
        </w:rPr>
        <w:t xml:space="preserve">, 12(12). </w:t>
      </w:r>
    </w:p>
    <w:p w:rsidR="00241E23" w:rsidRPr="00CC7AD0" w:rsidRDefault="00E6187C" w:rsidP="000F0A53">
      <w:pPr>
        <w:spacing w:after="0" w:line="360" w:lineRule="auto"/>
        <w:ind w:left="567" w:hanging="720"/>
        <w:rPr>
          <w:rFonts w:ascii="Times New Roman" w:eastAsia="Calibri" w:hAnsi="Times New Roman" w:cs="Times New Roman"/>
          <w:sz w:val="24"/>
          <w:szCs w:val="24"/>
        </w:rPr>
      </w:pPr>
      <w:r w:rsidRPr="00CC7AD0">
        <w:rPr>
          <w:rFonts w:ascii="Times New Roman" w:eastAsia="Calibri" w:hAnsi="Times New Roman" w:cs="Times New Roman"/>
          <w:sz w:val="24"/>
          <w:szCs w:val="24"/>
          <w:lang w:eastAsia="zh-CN"/>
        </w:rPr>
        <w:t xml:space="preserve">Victora, C. G., Bahl, R., Barros, A. J., França, G. V., Horton, S., Krasevec, J., &amp; Rollins, N. C. (2016). Breastfeeding in the 21st century: epidemiology, mechanisms, and lifelong effect. </w:t>
      </w:r>
      <w:r w:rsidRPr="00CC7AD0">
        <w:rPr>
          <w:rFonts w:ascii="Times New Roman" w:eastAsia="Calibri" w:hAnsi="Times New Roman" w:cs="Times New Roman"/>
          <w:i/>
          <w:iCs/>
          <w:sz w:val="24"/>
          <w:szCs w:val="24"/>
          <w:lang w:eastAsia="zh-CN"/>
        </w:rPr>
        <w:t>The Lancet</w:t>
      </w:r>
      <w:r w:rsidRPr="00CC7AD0">
        <w:rPr>
          <w:rFonts w:ascii="Times New Roman" w:eastAsia="Calibri" w:hAnsi="Times New Roman" w:cs="Times New Roman"/>
          <w:sz w:val="24"/>
          <w:szCs w:val="24"/>
          <w:lang w:eastAsia="zh-CN"/>
        </w:rPr>
        <w:t>, 387(10017), 475-490..</w:t>
      </w:r>
    </w:p>
    <w:p w:rsidR="00241E23" w:rsidRDefault="00E6187C" w:rsidP="000F0A53">
      <w:pPr>
        <w:spacing w:after="0" w:line="360" w:lineRule="auto"/>
        <w:ind w:left="567" w:hanging="720"/>
        <w:rPr>
          <w:rFonts w:ascii="Times New Roman" w:hAnsi="Times New Roman" w:cs="Times New Roman"/>
          <w:sz w:val="24"/>
          <w:szCs w:val="24"/>
        </w:rPr>
      </w:pPr>
      <w:r w:rsidRPr="00CC7AD0">
        <w:rPr>
          <w:rFonts w:ascii="Times New Roman" w:eastAsia="Calibri" w:hAnsi="Times New Roman" w:cs="Times New Roman"/>
          <w:sz w:val="24"/>
          <w:szCs w:val="24"/>
          <w:lang w:eastAsia="zh-CN"/>
        </w:rPr>
        <w:t>World Health Organization. (2021). Exclusive breastfeeding for optimal growth, development and health of infants. Retrieved from https://www.who.int/tools/elena/interventions/exclusive-breastfeeding</w:t>
      </w:r>
    </w:p>
    <w:sectPr w:rsidR="00241E23" w:rsidSect="000F0A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35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7BF" w:rsidRDefault="005117BF">
      <w:pPr>
        <w:spacing w:line="240" w:lineRule="auto"/>
      </w:pPr>
      <w:r>
        <w:separator/>
      </w:r>
    </w:p>
  </w:endnote>
  <w:endnote w:type="continuationSeparator" w:id="1">
    <w:p w:rsidR="005117BF" w:rsidRDefault="005117B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0C" w:rsidRDefault="003B41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87C" w:rsidRDefault="00585BFC">
    <w:pPr>
      <w:pStyle w:val="Footer"/>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IiuUhIbAgAAVAQAAA4A&#10;AAAAAAAAAQAgAAAAHwEAAGRycy9lMm9Eb2MueG1sUEsFBgAAAAAGAAYAWQEAAKwFAAAAAA==&#10;" filled="f" stroked="f" strokeweight=".5pt">
          <v:textbox style="mso-fit-shape-to-text:t" inset="0,0,0,0">
            <w:txbxContent>
              <w:p w:rsidR="00E6187C" w:rsidRDefault="00585BFC">
                <w:pPr>
                  <w:pStyle w:val="Footer"/>
                </w:pPr>
                <w:r>
                  <w:fldChar w:fldCharType="begin"/>
                </w:r>
                <w:r w:rsidR="00900E24">
                  <w:instrText xml:space="preserve"> PAGE  \* MERGEFORMAT </w:instrText>
                </w:r>
                <w:r>
                  <w:fldChar w:fldCharType="separate"/>
                </w:r>
                <w:r w:rsidR="00EE0D74">
                  <w:rPr>
                    <w:noProof/>
                  </w:rPr>
                  <w:t>3</w:t>
                </w:r>
                <w:r>
                  <w:rPr>
                    <w:noProof/>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0C" w:rsidRDefault="003B41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7BF" w:rsidRDefault="005117BF">
      <w:pPr>
        <w:spacing w:after="0"/>
      </w:pPr>
      <w:r>
        <w:separator/>
      </w:r>
    </w:p>
  </w:footnote>
  <w:footnote w:type="continuationSeparator" w:id="1">
    <w:p w:rsidR="005117BF" w:rsidRDefault="005117B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0C" w:rsidRDefault="00585B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41938" o:spid="_x0000_s2054" type="#_x0000_t136" style="position:absolute;margin-left:0;margin-top:0;width:561pt;height:105.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0C" w:rsidRDefault="00585B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41939" o:spid="_x0000_s2055" type="#_x0000_t136" style="position:absolute;margin-left:0;margin-top:0;width:561pt;height:105.1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10C" w:rsidRDefault="00585B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41937" o:spid="_x0000_s2053" type="#_x0000_t136" style="position:absolute;margin-left:0;margin-top:0;width:561pt;height:105.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6144F"/>
    <w:multiLevelType w:val="hybridMultilevel"/>
    <w:tmpl w:val="7C2E784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balanceSingleByteDoubleByteWidth/>
    <w:doNotExpandShiftReturn/>
    <w:adjustLineHeightInTable/>
    <w:doNotUseIndentAsNumberingTabStop/>
  </w:compat>
  <w:rsids>
    <w:rsidRoot w:val="00A33664"/>
    <w:rsid w:val="00011469"/>
    <w:rsid w:val="000159A0"/>
    <w:rsid w:val="00032AD4"/>
    <w:rsid w:val="00045E2F"/>
    <w:rsid w:val="00047333"/>
    <w:rsid w:val="000541DF"/>
    <w:rsid w:val="00055741"/>
    <w:rsid w:val="00067E09"/>
    <w:rsid w:val="00075D61"/>
    <w:rsid w:val="00081BD6"/>
    <w:rsid w:val="00081C65"/>
    <w:rsid w:val="00095BEC"/>
    <w:rsid w:val="000A13E1"/>
    <w:rsid w:val="000A39C3"/>
    <w:rsid w:val="000A760D"/>
    <w:rsid w:val="000B46F6"/>
    <w:rsid w:val="000E2462"/>
    <w:rsid w:val="000E6AE6"/>
    <w:rsid w:val="000F0A53"/>
    <w:rsid w:val="00112CB5"/>
    <w:rsid w:val="0014609E"/>
    <w:rsid w:val="001573AC"/>
    <w:rsid w:val="00160CF0"/>
    <w:rsid w:val="00165011"/>
    <w:rsid w:val="00186BF6"/>
    <w:rsid w:val="001913C3"/>
    <w:rsid w:val="00213D82"/>
    <w:rsid w:val="00217A51"/>
    <w:rsid w:val="00234E0D"/>
    <w:rsid w:val="00241E23"/>
    <w:rsid w:val="00250927"/>
    <w:rsid w:val="00252638"/>
    <w:rsid w:val="00253A2A"/>
    <w:rsid w:val="00274C64"/>
    <w:rsid w:val="00281BCD"/>
    <w:rsid w:val="002975DD"/>
    <w:rsid w:val="002A64A3"/>
    <w:rsid w:val="002B6714"/>
    <w:rsid w:val="002C67BB"/>
    <w:rsid w:val="002D775B"/>
    <w:rsid w:val="002E3C76"/>
    <w:rsid w:val="002E6559"/>
    <w:rsid w:val="00304244"/>
    <w:rsid w:val="00360481"/>
    <w:rsid w:val="00371DAA"/>
    <w:rsid w:val="0039490A"/>
    <w:rsid w:val="003B410C"/>
    <w:rsid w:val="003C4006"/>
    <w:rsid w:val="003D48F7"/>
    <w:rsid w:val="003D6E84"/>
    <w:rsid w:val="003E4FFB"/>
    <w:rsid w:val="003E7EB8"/>
    <w:rsid w:val="003F4789"/>
    <w:rsid w:val="004013B6"/>
    <w:rsid w:val="00417A79"/>
    <w:rsid w:val="00423031"/>
    <w:rsid w:val="0045435D"/>
    <w:rsid w:val="00456E62"/>
    <w:rsid w:val="004634C4"/>
    <w:rsid w:val="004803F6"/>
    <w:rsid w:val="004878D4"/>
    <w:rsid w:val="00496728"/>
    <w:rsid w:val="00496A4D"/>
    <w:rsid w:val="004972BC"/>
    <w:rsid w:val="004E7888"/>
    <w:rsid w:val="004F1177"/>
    <w:rsid w:val="00504B6D"/>
    <w:rsid w:val="005117BF"/>
    <w:rsid w:val="00535C97"/>
    <w:rsid w:val="00546E66"/>
    <w:rsid w:val="00556D06"/>
    <w:rsid w:val="00564A3C"/>
    <w:rsid w:val="0058276A"/>
    <w:rsid w:val="00585677"/>
    <w:rsid w:val="00585BFC"/>
    <w:rsid w:val="00597EA8"/>
    <w:rsid w:val="005A2D63"/>
    <w:rsid w:val="005B4B8B"/>
    <w:rsid w:val="005B536C"/>
    <w:rsid w:val="00600D1A"/>
    <w:rsid w:val="00604D76"/>
    <w:rsid w:val="0063457A"/>
    <w:rsid w:val="006510BC"/>
    <w:rsid w:val="00652E39"/>
    <w:rsid w:val="00657489"/>
    <w:rsid w:val="00663034"/>
    <w:rsid w:val="00697E81"/>
    <w:rsid w:val="006A47D0"/>
    <w:rsid w:val="006E6C87"/>
    <w:rsid w:val="006F3912"/>
    <w:rsid w:val="006F7CE2"/>
    <w:rsid w:val="007074D4"/>
    <w:rsid w:val="00707CC0"/>
    <w:rsid w:val="007337AD"/>
    <w:rsid w:val="00735F39"/>
    <w:rsid w:val="00741315"/>
    <w:rsid w:val="00770F0E"/>
    <w:rsid w:val="00773A1B"/>
    <w:rsid w:val="00782FC4"/>
    <w:rsid w:val="00793F16"/>
    <w:rsid w:val="00794614"/>
    <w:rsid w:val="007B1E3F"/>
    <w:rsid w:val="007B2678"/>
    <w:rsid w:val="007B388F"/>
    <w:rsid w:val="007C6B37"/>
    <w:rsid w:val="007F4872"/>
    <w:rsid w:val="0080414B"/>
    <w:rsid w:val="00820B44"/>
    <w:rsid w:val="00847844"/>
    <w:rsid w:val="008565C2"/>
    <w:rsid w:val="00865BA3"/>
    <w:rsid w:val="008751CA"/>
    <w:rsid w:val="00896140"/>
    <w:rsid w:val="00897824"/>
    <w:rsid w:val="008A0E73"/>
    <w:rsid w:val="008B3966"/>
    <w:rsid w:val="008B743D"/>
    <w:rsid w:val="008C3790"/>
    <w:rsid w:val="008D001E"/>
    <w:rsid w:val="008E412A"/>
    <w:rsid w:val="008E46B7"/>
    <w:rsid w:val="008F0D8F"/>
    <w:rsid w:val="008F172C"/>
    <w:rsid w:val="008F630B"/>
    <w:rsid w:val="00900E24"/>
    <w:rsid w:val="009416EB"/>
    <w:rsid w:val="00946BF9"/>
    <w:rsid w:val="009525A6"/>
    <w:rsid w:val="00971F68"/>
    <w:rsid w:val="009801BA"/>
    <w:rsid w:val="0099206D"/>
    <w:rsid w:val="009976B9"/>
    <w:rsid w:val="009A4069"/>
    <w:rsid w:val="009B3287"/>
    <w:rsid w:val="009C535A"/>
    <w:rsid w:val="009C568E"/>
    <w:rsid w:val="009D216D"/>
    <w:rsid w:val="009E56E5"/>
    <w:rsid w:val="009F5D83"/>
    <w:rsid w:val="00A1160D"/>
    <w:rsid w:val="00A2079F"/>
    <w:rsid w:val="00A24478"/>
    <w:rsid w:val="00A33664"/>
    <w:rsid w:val="00A71238"/>
    <w:rsid w:val="00A95BEC"/>
    <w:rsid w:val="00AB4811"/>
    <w:rsid w:val="00AD43D0"/>
    <w:rsid w:val="00AD7E99"/>
    <w:rsid w:val="00AF5E50"/>
    <w:rsid w:val="00B14FE2"/>
    <w:rsid w:val="00B26117"/>
    <w:rsid w:val="00B66CDC"/>
    <w:rsid w:val="00B814DA"/>
    <w:rsid w:val="00B953DE"/>
    <w:rsid w:val="00BC629E"/>
    <w:rsid w:val="00BD228F"/>
    <w:rsid w:val="00C109E3"/>
    <w:rsid w:val="00C176E7"/>
    <w:rsid w:val="00C25131"/>
    <w:rsid w:val="00C26FCF"/>
    <w:rsid w:val="00C30DCD"/>
    <w:rsid w:val="00C3533F"/>
    <w:rsid w:val="00C5153A"/>
    <w:rsid w:val="00C60855"/>
    <w:rsid w:val="00C612D4"/>
    <w:rsid w:val="00C827C4"/>
    <w:rsid w:val="00C869B9"/>
    <w:rsid w:val="00C92729"/>
    <w:rsid w:val="00CA5544"/>
    <w:rsid w:val="00CB7F68"/>
    <w:rsid w:val="00CC7AD0"/>
    <w:rsid w:val="00CE0DD2"/>
    <w:rsid w:val="00CF3071"/>
    <w:rsid w:val="00D00FA2"/>
    <w:rsid w:val="00D12275"/>
    <w:rsid w:val="00D70E8C"/>
    <w:rsid w:val="00D8068A"/>
    <w:rsid w:val="00DA795F"/>
    <w:rsid w:val="00DD0927"/>
    <w:rsid w:val="00DF11DA"/>
    <w:rsid w:val="00DF3935"/>
    <w:rsid w:val="00DF3D41"/>
    <w:rsid w:val="00E251D3"/>
    <w:rsid w:val="00E265C9"/>
    <w:rsid w:val="00E3768D"/>
    <w:rsid w:val="00E4228F"/>
    <w:rsid w:val="00E45B82"/>
    <w:rsid w:val="00E51E29"/>
    <w:rsid w:val="00E566DB"/>
    <w:rsid w:val="00E6187C"/>
    <w:rsid w:val="00E71D63"/>
    <w:rsid w:val="00E72015"/>
    <w:rsid w:val="00E77B9C"/>
    <w:rsid w:val="00E979EE"/>
    <w:rsid w:val="00EC040D"/>
    <w:rsid w:val="00EE0D74"/>
    <w:rsid w:val="00EE28F9"/>
    <w:rsid w:val="00EF358C"/>
    <w:rsid w:val="00F01287"/>
    <w:rsid w:val="00F01798"/>
    <w:rsid w:val="00F031D5"/>
    <w:rsid w:val="00F06025"/>
    <w:rsid w:val="00F075EC"/>
    <w:rsid w:val="00F24341"/>
    <w:rsid w:val="00F27C03"/>
    <w:rsid w:val="00F31633"/>
    <w:rsid w:val="00F515B3"/>
    <w:rsid w:val="00F53F07"/>
    <w:rsid w:val="00F55657"/>
    <w:rsid w:val="00F6693C"/>
    <w:rsid w:val="00F678E6"/>
    <w:rsid w:val="00F8388A"/>
    <w:rsid w:val="00F9190F"/>
    <w:rsid w:val="00F923DF"/>
    <w:rsid w:val="00F9539B"/>
    <w:rsid w:val="00F967D4"/>
    <w:rsid w:val="00FA433A"/>
    <w:rsid w:val="00FA4E04"/>
    <w:rsid w:val="00FB1E2D"/>
    <w:rsid w:val="00FC6E1A"/>
    <w:rsid w:val="00FE3CEA"/>
    <w:rsid w:val="00FF054C"/>
    <w:rsid w:val="04BB4A3B"/>
    <w:rsid w:val="078E28D0"/>
    <w:rsid w:val="186A1E8B"/>
    <w:rsid w:val="29F87F6A"/>
    <w:rsid w:val="2D7733A3"/>
    <w:rsid w:val="2F080532"/>
    <w:rsid w:val="37A068F3"/>
    <w:rsid w:val="4572682B"/>
    <w:rsid w:val="4CCE6A8F"/>
    <w:rsid w:val="58426759"/>
    <w:rsid w:val="58E54159"/>
    <w:rsid w:val="67594D40"/>
    <w:rsid w:val="685017A0"/>
    <w:rsid w:val="6D6C5D15"/>
    <w:rsid w:val="6E826756"/>
    <w:rsid w:val="6ECA64E7"/>
    <w:rsid w:val="7EE73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23"/>
    <w:pPr>
      <w:spacing w:after="160" w:line="259" w:lineRule="auto"/>
    </w:pPr>
    <w:rPr>
      <w:rFonts w:asciiTheme="minorHAnsi" w:eastAsiaTheme="minorHAnsi" w:hAnsiTheme="minorHAnsi" w:cstheme="minorBidi"/>
      <w:kern w:val="2"/>
      <w:sz w:val="22"/>
      <w:szCs w:val="22"/>
    </w:rPr>
  </w:style>
  <w:style w:type="paragraph" w:styleId="Heading1">
    <w:name w:val="heading 1"/>
    <w:next w:val="Normal"/>
    <w:uiPriority w:val="9"/>
    <w:qFormat/>
    <w:rsid w:val="00241E23"/>
    <w:pPr>
      <w:spacing w:beforeAutospacing="1" w:afterAutospacing="1"/>
      <w:outlineLvl w:val="0"/>
    </w:pPr>
    <w:rPr>
      <w:rFonts w:ascii="SimSun" w:eastAsia="SimSun" w:hAnsi="SimSun" w:cs="Times New Roman" w:hint="eastAsia"/>
      <w:b/>
      <w:bCs/>
      <w:kern w:val="44"/>
      <w:sz w:val="48"/>
      <w:szCs w:val="48"/>
      <w:lang w:eastAsia="zh-CN"/>
    </w:rPr>
  </w:style>
  <w:style w:type="paragraph" w:styleId="Heading4">
    <w:name w:val="heading 4"/>
    <w:next w:val="Normal"/>
    <w:uiPriority w:val="9"/>
    <w:semiHidden/>
    <w:unhideWhenUsed/>
    <w:qFormat/>
    <w:rsid w:val="00241E23"/>
    <w:pPr>
      <w:spacing w:beforeAutospacing="1" w:afterAutospacing="1"/>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41E23"/>
    <w:rPr>
      <w:i/>
      <w:iCs/>
    </w:rPr>
  </w:style>
  <w:style w:type="character" w:styleId="FollowedHyperlink">
    <w:name w:val="FollowedHyperlink"/>
    <w:basedOn w:val="DefaultParagraphFont"/>
    <w:uiPriority w:val="99"/>
    <w:semiHidden/>
    <w:unhideWhenUsed/>
    <w:qFormat/>
    <w:rsid w:val="00241E23"/>
    <w:rPr>
      <w:color w:val="954F72" w:themeColor="followedHyperlink"/>
      <w:u w:val="single"/>
    </w:rPr>
  </w:style>
  <w:style w:type="paragraph" w:styleId="Footer">
    <w:name w:val="footer"/>
    <w:basedOn w:val="Normal"/>
    <w:uiPriority w:val="99"/>
    <w:unhideWhenUsed/>
    <w:qFormat/>
    <w:rsid w:val="00241E23"/>
    <w:pPr>
      <w:tabs>
        <w:tab w:val="center" w:pos="4153"/>
        <w:tab w:val="right" w:pos="8306"/>
      </w:tabs>
      <w:snapToGrid w:val="0"/>
    </w:pPr>
    <w:rPr>
      <w:sz w:val="18"/>
      <w:szCs w:val="18"/>
    </w:rPr>
  </w:style>
  <w:style w:type="paragraph" w:styleId="Header">
    <w:name w:val="header"/>
    <w:basedOn w:val="Normal"/>
    <w:uiPriority w:val="99"/>
    <w:unhideWhenUsed/>
    <w:qFormat/>
    <w:rsid w:val="00241E23"/>
    <w:pPr>
      <w:tabs>
        <w:tab w:val="center" w:pos="4153"/>
        <w:tab w:val="right" w:pos="8306"/>
      </w:tabs>
      <w:snapToGrid w:val="0"/>
    </w:pPr>
    <w:rPr>
      <w:sz w:val="18"/>
      <w:szCs w:val="18"/>
    </w:rPr>
  </w:style>
  <w:style w:type="character" w:styleId="Hyperlink">
    <w:name w:val="Hyperlink"/>
    <w:basedOn w:val="DefaultParagraphFont"/>
    <w:uiPriority w:val="99"/>
    <w:unhideWhenUsed/>
    <w:qFormat/>
    <w:rsid w:val="00241E23"/>
    <w:rPr>
      <w:color w:val="0563C1" w:themeColor="hyperlink"/>
      <w:u w:val="single"/>
    </w:rPr>
  </w:style>
  <w:style w:type="paragraph" w:styleId="NormalWeb">
    <w:name w:val="Normal (Web)"/>
    <w:basedOn w:val="Normal"/>
    <w:uiPriority w:val="99"/>
    <w:unhideWhenUsed/>
    <w:qFormat/>
    <w:rsid w:val="00241E23"/>
    <w:pPr>
      <w:spacing w:beforeAutospacing="1" w:after="0" w:afterAutospacing="1"/>
    </w:pPr>
    <w:rPr>
      <w:rFonts w:cs="Times New Roman"/>
      <w:kern w:val="0"/>
      <w:sz w:val="24"/>
      <w:szCs w:val="24"/>
      <w:lang w:eastAsia="zh-CN"/>
    </w:rPr>
  </w:style>
  <w:style w:type="character" w:styleId="Strong">
    <w:name w:val="Strong"/>
    <w:basedOn w:val="DefaultParagraphFont"/>
    <w:uiPriority w:val="22"/>
    <w:qFormat/>
    <w:rsid w:val="00241E23"/>
    <w:rPr>
      <w:b/>
      <w:bCs/>
    </w:rPr>
  </w:style>
  <w:style w:type="table" w:styleId="TableGrid">
    <w:name w:val="Table Grid"/>
    <w:basedOn w:val="TableNormal"/>
    <w:uiPriority w:val="39"/>
    <w:qFormat/>
    <w:rsid w:val="00241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1E23"/>
    <w:pPr>
      <w:ind w:left="720"/>
      <w:contextualSpacing/>
    </w:pPr>
  </w:style>
  <w:style w:type="character" w:customStyle="1" w:styleId="IntenseReference1">
    <w:name w:val="Intense Reference1"/>
    <w:basedOn w:val="DefaultParagraphFont"/>
    <w:uiPriority w:val="32"/>
    <w:qFormat/>
    <w:rsid w:val="00241E23"/>
    <w:rPr>
      <w:b/>
      <w:bCs/>
      <w:smallCaps/>
      <w:color w:val="4472C4" w:themeColor="accent1"/>
      <w:spacing w:val="5"/>
    </w:rPr>
  </w:style>
  <w:style w:type="character" w:customStyle="1" w:styleId="UnresolvedMention1">
    <w:name w:val="Unresolved Mention1"/>
    <w:basedOn w:val="DefaultParagraphFont"/>
    <w:uiPriority w:val="99"/>
    <w:semiHidden/>
    <w:unhideWhenUsed/>
    <w:qFormat/>
    <w:rsid w:val="00241E23"/>
    <w:rPr>
      <w:color w:val="605E5C"/>
      <w:shd w:val="clear" w:color="auto" w:fill="E1DFDD"/>
    </w:rPr>
  </w:style>
  <w:style w:type="paragraph" w:styleId="NoSpacing">
    <w:name w:val="No Spacing"/>
    <w:uiPriority w:val="1"/>
    <w:qFormat/>
    <w:rsid w:val="00241E23"/>
    <w:rPr>
      <w:rFonts w:asciiTheme="minorHAnsi" w:eastAsiaTheme="minorHAnsi" w:hAnsiTheme="minorHAnsi" w:cstheme="minorBidi"/>
      <w:sz w:val="22"/>
      <w:szCs w:val="22"/>
    </w:rPr>
  </w:style>
  <w:style w:type="character" w:customStyle="1" w:styleId="15">
    <w:name w:val="15"/>
    <w:rsid w:val="00241E23"/>
    <w:rPr>
      <w:rFonts w:ascii="Times New Roman" w:hAnsi="Times New Roman" w:cs="Times New Roman" w:hint="default"/>
      <w:color w:val="0563C1"/>
      <w:u w:val="single"/>
    </w:rPr>
  </w:style>
  <w:style w:type="character" w:customStyle="1" w:styleId="UnresolvedMention">
    <w:name w:val="Unresolved Mention"/>
    <w:basedOn w:val="DefaultParagraphFont"/>
    <w:uiPriority w:val="99"/>
    <w:semiHidden/>
    <w:unhideWhenUsed/>
    <w:rsid w:val="00FA433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34843646">
      <w:bodyDiv w:val="1"/>
      <w:marLeft w:val="0"/>
      <w:marRight w:val="0"/>
      <w:marTop w:val="0"/>
      <w:marBottom w:val="0"/>
      <w:divBdr>
        <w:top w:val="none" w:sz="0" w:space="0" w:color="auto"/>
        <w:left w:val="none" w:sz="0" w:space="0" w:color="auto"/>
        <w:bottom w:val="none" w:sz="0" w:space="0" w:color="auto"/>
        <w:right w:val="none" w:sz="0" w:space="0" w:color="auto"/>
      </w:divBdr>
    </w:div>
    <w:div w:id="2120299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14</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OMOYIBO A. CEDRON</dc:creator>
  <cp:lastModifiedBy>EXPLOIT</cp:lastModifiedBy>
  <cp:revision>60</cp:revision>
  <dcterms:created xsi:type="dcterms:W3CDTF">2025-01-15T11:17:00Z</dcterms:created>
  <dcterms:modified xsi:type="dcterms:W3CDTF">2025-05-18T12:35:00Z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9BD3F460EE7648DEA47EB598D30AB035_13</vt:lpwstr>
  </property>
</Properties>
</file>