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6A06AA">
      <w:pPr>
        <w:pStyle w:val="21"/>
        <w:spacing w:after="0"/>
        <w:jc w:val="both"/>
        <w:rPr>
          <w:rFonts w:ascii="Arial" w:hAnsi="Arial" w:cs="Arial"/>
        </w:rPr>
      </w:pPr>
    </w:p>
    <w:p w14:paraId="60E22454">
      <w:pPr>
        <w:pStyle w:val="22"/>
        <w:spacing w:line="240" w:lineRule="auto"/>
        <w:rPr>
          <w:rFonts w:ascii="Arial" w:hAnsi="Arial"/>
          <w:bCs/>
          <w:iCs/>
          <w:kern w:val="28"/>
          <w:sz w:val="36"/>
        </w:rPr>
      </w:pPr>
      <w:r>
        <w:rPr>
          <w:rFonts w:ascii="Arial" w:hAnsi="Arial"/>
          <w:bCs/>
          <w:iCs/>
          <w:kern w:val="28"/>
          <w:sz w:val="36"/>
        </w:rPr>
        <w:t>Exploring Factors that Restrain Listening Skill</w:t>
      </w:r>
      <w:r>
        <w:rPr>
          <w:rFonts w:ascii="Arial" w:hAnsi="Arial"/>
          <w:bCs/>
          <w:iCs/>
          <w:kern w:val="28"/>
          <w:sz w:val="36"/>
          <w:lang w:val="en-GB"/>
        </w:rPr>
        <w:t xml:space="preserve"> </w:t>
      </w:r>
      <w:r>
        <w:rPr>
          <w:rFonts w:ascii="Arial" w:hAnsi="Arial"/>
          <w:bCs/>
          <w:iCs/>
          <w:kern w:val="28"/>
          <w:sz w:val="36"/>
        </w:rPr>
        <w:t>Improvement among English Learners: A Systematic Analysis</w:t>
      </w:r>
    </w:p>
    <w:p w14:paraId="352CD8D3">
      <w:pPr>
        <w:pStyle w:val="22"/>
        <w:spacing w:line="240" w:lineRule="auto"/>
        <w:rPr>
          <w:rFonts w:ascii="Arial" w:hAnsi="Arial" w:cs="Arial"/>
          <w:sz w:val="36"/>
        </w:rPr>
      </w:pPr>
      <w:r>
        <w:rPr>
          <w:rFonts w:ascii="Arial" w:hAnsi="Arial" w:cs="Arial"/>
          <w:bCs/>
          <w:iCs/>
          <w:kern w:val="28"/>
          <w:sz w:val="36"/>
        </w:rPr>
        <w:t xml:space="preserve"> </w:t>
      </w:r>
    </w:p>
    <w:p w14:paraId="2340A753">
      <w:pPr>
        <w:pStyle w:val="23"/>
        <w:spacing w:after="0" w:line="240" w:lineRule="auto"/>
        <w:jc w:val="both"/>
        <w:rPr>
          <w:rFonts w:ascii="Arial" w:hAnsi="Arial" w:cs="Arial"/>
        </w:rPr>
      </w:pPr>
    </w:p>
    <w:p w14:paraId="6785B5A6">
      <w:pPr>
        <w:pStyle w:val="34"/>
        <w:spacing w:after="0" w:line="240" w:lineRule="auto"/>
        <w:jc w:val="both"/>
        <w:rPr>
          <w:rFonts w:ascii="Arial" w:hAnsi="Arial" w:cs="Arial"/>
        </w:rPr>
        <w:sectPr>
          <w:headerReference r:id="rId5" w:type="first"/>
          <w:footerReference r:id="rId8" w:type="first"/>
          <w:headerReference r:id="rId3" w:type="default"/>
          <w:footerReference r:id="rId6" w:type="default"/>
          <w:headerReference r:id="rId4" w:type="even"/>
          <w:footerReference r:id="rId7" w:type="even"/>
          <w:pgSz w:w="12240" w:h="15840"/>
          <w:pgMar w:top="1440" w:right="2016" w:bottom="2016" w:left="2016" w:header="720" w:footer="1296" w:gutter="0"/>
          <w:cols w:space="720" w:num="1"/>
          <w:docGrid w:linePitch="272" w:charSpace="0"/>
        </w:sectPr>
      </w:pPr>
      <w:r>
        <w:rPr>
          <w:rFonts w:ascii="Arial" w:hAnsi="Arial" w:cs="Arial"/>
        </w:rPr>
        <w:pict>
          <v:shape id="_x0000_s1028" o:spid="_x0000_s1028" o:spt="32" type="#_x0000_t32" style="height:0pt;width:417.6pt;" o:connectortype="straight" filled="f" coordsize="21600,21600">
            <v:path arrowok="t"/>
            <v:fill on="f" focussize="0,0"/>
            <v:stroke weight="1.5pt"/>
            <v:imagedata o:title=""/>
            <o:lock v:ext="edit"/>
            <w10:wrap type="none"/>
            <w10:anchorlock/>
          </v:shape>
        </w:pict>
      </w:r>
      <w:r>
        <w:rPr>
          <w:rFonts w:ascii="Arial" w:hAnsi="Arial" w:cs="Arial"/>
        </w:rPr>
        <w:t>.</w:t>
      </w:r>
    </w:p>
    <w:p w14:paraId="2974BB6B">
      <w:pPr>
        <w:pStyle w:val="25"/>
        <w:spacing w:after="0"/>
        <w:jc w:val="both"/>
        <w:rPr>
          <w:rFonts w:ascii="Arial" w:hAnsi="Arial" w:cs="Arial"/>
        </w:rPr>
      </w:pPr>
      <w:r>
        <w:rPr>
          <w:rFonts w:ascii="Arial" w:hAnsi="Arial" w:cs="Arial"/>
        </w:rPr>
        <w:t>ABSTRACT</w:t>
      </w:r>
    </w:p>
    <w:p w14:paraId="5964F8D6">
      <w:pPr>
        <w:pStyle w:val="25"/>
        <w:spacing w:after="0"/>
        <w:jc w:val="both"/>
        <w:rPr>
          <w:rFonts w:ascii="Arial" w:hAnsi="Arial" w:cs="Arial"/>
        </w:rPr>
      </w:pP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2F2F2"/>
        <w:tblLayout w:type="autofit"/>
        <w:tblCellMar>
          <w:top w:w="0" w:type="dxa"/>
          <w:left w:w="108" w:type="dxa"/>
          <w:bottom w:w="0" w:type="dxa"/>
          <w:right w:w="108" w:type="dxa"/>
        </w:tblCellMar>
      </w:tblPr>
      <w:tblGrid>
        <w:gridCol w:w="8424"/>
      </w:tblGrid>
      <w:tr w14:paraId="7172F5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2F2F2"/>
          <w:tblCellMar>
            <w:top w:w="0" w:type="dxa"/>
            <w:left w:w="108" w:type="dxa"/>
            <w:bottom w:w="0" w:type="dxa"/>
            <w:right w:w="108" w:type="dxa"/>
          </w:tblCellMar>
        </w:tblPrEx>
        <w:tc>
          <w:tcPr>
            <w:tcW w:w="9576" w:type="dxa"/>
            <w:shd w:val="clear" w:color="auto" w:fill="F2F2F2"/>
          </w:tcPr>
          <w:p w14:paraId="799BB55A">
            <w:pPr>
              <w:pStyle w:val="24"/>
              <w:spacing w:after="0"/>
              <w:rPr>
                <w:rFonts w:ascii="Arial" w:hAnsi="Arial" w:eastAsia="SimSun" w:cs="Arial"/>
              </w:rPr>
            </w:pPr>
            <w:r>
              <w:rPr>
                <w:rFonts w:ascii="Arial" w:hAnsi="Arial" w:eastAsia="Calibri" w:cs="Arial"/>
                <w:b/>
              </w:rPr>
              <w:t xml:space="preserve">Aims: </w:t>
            </w:r>
            <w:r>
              <w:rPr>
                <w:rFonts w:ascii="Arial" w:hAnsi="Arial" w:eastAsia="Calibri" w:cs="Arial"/>
                <w:bCs/>
                <w:lang w:val="en-GB"/>
              </w:rPr>
              <w:t>T</w:t>
            </w:r>
            <w:r>
              <w:rPr>
                <w:rFonts w:ascii="Arial" w:hAnsi="Arial" w:eastAsia="SimSun" w:cs="Arial"/>
              </w:rPr>
              <w:t>o identify and analyze the factors that hinder the development of listening skills among English learners by conducting a systematic review of qualitative studies published between 2019 and 2024.</w:t>
            </w:r>
          </w:p>
          <w:p w14:paraId="2F6F7BDE">
            <w:pPr>
              <w:pStyle w:val="24"/>
              <w:spacing w:after="0"/>
              <w:rPr>
                <w:rFonts w:ascii="Arial" w:hAnsi="Arial" w:eastAsia="Calibri" w:cs="Arial"/>
              </w:rPr>
            </w:pPr>
            <w:r>
              <w:rPr>
                <w:rFonts w:ascii="Arial" w:hAnsi="Arial" w:eastAsia="Calibri" w:cs="Arial"/>
                <w:b/>
              </w:rPr>
              <w:t>Study design:</w:t>
            </w:r>
            <w:r>
              <w:rPr>
                <w:rFonts w:ascii="Arial" w:hAnsi="Arial" w:eastAsia="Calibri" w:cs="Arial"/>
              </w:rPr>
              <w:t xml:space="preserve">  </w:t>
            </w:r>
            <w:r>
              <w:rPr>
                <w:rFonts w:ascii="Arial" w:hAnsi="Arial" w:eastAsia="SimSun" w:cs="Arial"/>
              </w:rPr>
              <w:t>It employed a qualitative meta-synthesis design, analyzing 30 peer-reviewed studies selected through a rigorous inclusion and exclusion process based on their relevance to the topic.</w:t>
            </w:r>
          </w:p>
          <w:p w14:paraId="669922E0">
            <w:pPr>
              <w:pStyle w:val="24"/>
              <w:spacing w:after="0"/>
              <w:rPr>
                <w:rFonts w:ascii="Arial" w:hAnsi="Arial" w:eastAsia="Calibri" w:cs="Arial"/>
              </w:rPr>
            </w:pPr>
            <w:r>
              <w:rPr>
                <w:rFonts w:ascii="Arial" w:hAnsi="Arial" w:eastAsia="Calibri" w:cs="Arial"/>
                <w:b/>
              </w:rPr>
              <w:t>Place and Duration of Study:</w:t>
            </w:r>
            <w:r>
              <w:rPr>
                <w:rFonts w:ascii="Arial" w:hAnsi="Arial" w:eastAsia="Calibri" w:cs="Arial"/>
              </w:rPr>
              <w:t xml:space="preserve"> </w:t>
            </w:r>
            <w:r>
              <w:rPr>
                <w:rFonts w:ascii="Arial" w:hAnsi="Arial" w:eastAsia="Calibri" w:cs="Arial"/>
                <w:lang w:val="en-GB"/>
              </w:rPr>
              <w:t>T</w:t>
            </w:r>
            <w:r>
              <w:rPr>
                <w:rFonts w:ascii="Arial" w:hAnsi="Arial" w:eastAsia="SimSun" w:cs="Arial"/>
              </w:rPr>
              <w:t>he study was not confined to a specific location, and the review covered studies within a five-year period.</w:t>
            </w:r>
          </w:p>
          <w:p w14:paraId="0B39094B">
            <w:pPr>
              <w:pStyle w:val="24"/>
              <w:spacing w:after="0"/>
              <w:rPr>
                <w:rFonts w:ascii="Arial" w:hAnsi="Arial" w:eastAsia="Calibri" w:cs="Arial"/>
              </w:rPr>
            </w:pPr>
            <w:r>
              <w:rPr>
                <w:rFonts w:ascii="Arial" w:hAnsi="Arial" w:eastAsia="Calibri" w:cs="Arial"/>
                <w:b/>
                <w:bCs/>
              </w:rPr>
              <w:t>Methodology:</w:t>
            </w:r>
            <w:r>
              <w:rPr>
                <w:rFonts w:ascii="Arial" w:hAnsi="Arial" w:eastAsia="Calibri" w:cs="Arial"/>
              </w:rPr>
              <w:t xml:space="preserve"> </w:t>
            </w:r>
            <w:r>
              <w:rPr>
                <w:rFonts w:ascii="Arial" w:hAnsi="Arial" w:eastAsia="SimSun" w:cs="Arial"/>
              </w:rPr>
              <w:t>The methodology involved thematically analyzing the selected studies to identify recurring patterns and challenges in listening skill acquisition.</w:t>
            </w:r>
          </w:p>
          <w:p w14:paraId="26BBCC92">
            <w:pPr>
              <w:pStyle w:val="24"/>
              <w:spacing w:after="0"/>
              <w:rPr>
                <w:rFonts w:ascii="Arial" w:hAnsi="Arial" w:eastAsia="Calibri" w:cs="Arial"/>
                <w:b/>
                <w:bCs/>
              </w:rPr>
            </w:pPr>
            <w:r>
              <w:rPr>
                <w:rFonts w:ascii="Arial" w:hAnsi="Arial" w:eastAsia="Calibri" w:cs="Arial"/>
                <w:b/>
                <w:bCs/>
              </w:rPr>
              <w:t>Results:</w:t>
            </w:r>
            <w:r>
              <w:rPr>
                <w:rFonts w:ascii="Arial" w:hAnsi="Arial" w:eastAsia="Calibri" w:cs="Arial"/>
                <w:b/>
                <w:bCs/>
                <w:lang w:val="en-GB"/>
              </w:rPr>
              <w:t xml:space="preserve"> </w:t>
            </w:r>
            <w:r>
              <w:rPr>
                <w:rFonts w:ascii="Arial" w:hAnsi="Arial" w:eastAsia="SimSun" w:cs="Arial"/>
              </w:rPr>
              <w:t xml:space="preserve">The findings revealed five primary themes: internal challenges, external barriers, pedagogical and instructional issues, sociocultural and contextual factors, and learner autonomy and motivation. These results demonstrate the </w:t>
            </w:r>
            <w:r>
              <w:rPr>
                <w:rFonts w:hint="default" w:ascii="Arial" w:hAnsi="Arial" w:eastAsia="SimSun" w:cs="Arial"/>
                <w:lang w:val="en-GB"/>
              </w:rPr>
              <w:t>complicated relationship among</w:t>
            </w:r>
            <w:r>
              <w:rPr>
                <w:rFonts w:ascii="Arial" w:hAnsi="Arial" w:eastAsia="SimSun" w:cs="Arial"/>
              </w:rPr>
              <w:t xml:space="preserve"> individual, environmental, and systemic factors that impede listening proficiency.</w:t>
            </w:r>
          </w:p>
          <w:p w14:paraId="0FF5C4CB">
            <w:pPr>
              <w:pStyle w:val="24"/>
              <w:spacing w:after="0"/>
              <w:rPr>
                <w:rFonts w:ascii="Arial" w:hAnsi="Arial" w:eastAsia="Calibri" w:cs="Arial"/>
                <w:szCs w:val="22"/>
              </w:rPr>
            </w:pPr>
            <w:r>
              <w:rPr>
                <w:rFonts w:ascii="Arial" w:hAnsi="Arial" w:eastAsia="Calibri" w:cs="Arial"/>
                <w:b/>
                <w:bCs/>
              </w:rPr>
              <w:t>Conclusion:</w:t>
            </w:r>
            <w:r>
              <w:rPr>
                <w:rFonts w:ascii="Arial" w:hAnsi="Arial" w:eastAsia="Calibri" w:cs="Arial"/>
              </w:rPr>
              <w:t xml:space="preserve"> </w:t>
            </w:r>
            <w:r>
              <w:rPr>
                <w:rFonts w:ascii="Arial" w:hAnsi="Arial" w:eastAsia="Calibri" w:cs="Arial"/>
                <w:lang w:val="en-GB"/>
              </w:rPr>
              <w:t>T</w:t>
            </w:r>
            <w:r>
              <w:rPr>
                <w:rFonts w:ascii="Arial" w:hAnsi="Arial" w:eastAsia="SimSun" w:cs="Arial"/>
              </w:rPr>
              <w:t>he study highlights the need for targeted interventions and strategic pedagogical approaches to effectively address these challenges and enhance learners’ overall language competence.</w:t>
            </w:r>
          </w:p>
        </w:tc>
      </w:tr>
    </w:tbl>
    <w:p w14:paraId="76412189">
      <w:pPr>
        <w:pStyle w:val="24"/>
        <w:spacing w:after="0"/>
        <w:rPr>
          <w:rFonts w:ascii="Arial" w:hAnsi="Arial" w:cs="Arial"/>
          <w:i/>
        </w:rPr>
      </w:pPr>
    </w:p>
    <w:p w14:paraId="18EFE3ED">
      <w:pPr>
        <w:pStyle w:val="24"/>
        <w:spacing w:after="0"/>
        <w:rPr>
          <w:rFonts w:ascii="Arial" w:hAnsi="Arial" w:eastAsia="SimSun" w:cs="Arial"/>
          <w:i/>
          <w:iCs/>
          <w:lang w:val="en-GB"/>
        </w:rPr>
      </w:pPr>
      <w:r>
        <w:rPr>
          <w:rFonts w:ascii="Arial" w:hAnsi="Arial" w:cs="Arial"/>
          <w:i/>
        </w:rPr>
        <w:t xml:space="preserve">Keywords: </w:t>
      </w:r>
      <w:r>
        <w:rPr>
          <w:rFonts w:ascii="Arial" w:hAnsi="Arial" w:eastAsia="SimSun" w:cs="Arial"/>
          <w:i/>
          <w:iCs/>
          <w:lang w:val="en-GB"/>
        </w:rPr>
        <w:t>Listening Skill Development, English Learners, Systematic Review, Barriers to Listening, Pedagogical Strategies</w:t>
      </w:r>
    </w:p>
    <w:p w14:paraId="4DBEEFFE">
      <w:pPr>
        <w:pStyle w:val="24"/>
        <w:spacing w:after="0"/>
        <w:rPr>
          <w:rFonts w:ascii="Arial" w:hAnsi="Arial" w:eastAsia="SimSun" w:cs="Arial"/>
          <w:i/>
          <w:iCs/>
          <w:lang w:val="en-GB"/>
        </w:rPr>
      </w:pPr>
    </w:p>
    <w:p w14:paraId="3CE183DF">
      <w:pPr>
        <w:pStyle w:val="24"/>
        <w:spacing w:after="0"/>
        <w:rPr>
          <w:rFonts w:ascii="Arial" w:hAnsi="Arial" w:cs="Arial"/>
          <w:i/>
        </w:rPr>
      </w:pPr>
    </w:p>
    <w:p w14:paraId="23702F19">
      <w:pPr>
        <w:pStyle w:val="25"/>
        <w:spacing w:after="0"/>
        <w:jc w:val="both"/>
        <w:rPr>
          <w:rFonts w:ascii="Arial" w:hAnsi="Arial" w:cs="Arial"/>
        </w:rPr>
      </w:pPr>
      <w:r>
        <w:rPr>
          <w:rFonts w:ascii="Arial" w:hAnsi="Arial" w:cs="Arial"/>
        </w:rPr>
        <w:t>1. INTRODUCTION</w:t>
      </w:r>
    </w:p>
    <w:p w14:paraId="056376C1">
      <w:pPr>
        <w:pStyle w:val="25"/>
        <w:spacing w:after="0"/>
        <w:jc w:val="both"/>
        <w:rPr>
          <w:rFonts w:ascii="Arial" w:hAnsi="Arial" w:cs="Arial"/>
        </w:rPr>
      </w:pPr>
    </w:p>
    <w:p w14:paraId="07811A83">
      <w:pPr>
        <w:jc w:val="both"/>
        <w:rPr>
          <w:rFonts w:ascii="Arial" w:hAnsi="Arial" w:eastAsia="SimSun" w:cs="Arial"/>
        </w:rPr>
      </w:pPr>
      <w:r>
        <w:rPr>
          <w:rFonts w:ascii="Arial" w:hAnsi="Arial" w:eastAsia="SimSun" w:cs="Arial"/>
        </w:rPr>
        <w:t>Listening comprehension is a foundational skill in language acquisition, yet it remains one of the most challenging aspects for English learners.</w:t>
      </w:r>
      <w:r>
        <w:rPr>
          <w:rFonts w:hint="default" w:ascii="Arial" w:hAnsi="Arial" w:eastAsia="SimSun" w:cs="Arial"/>
          <w:lang w:val="en-GB"/>
        </w:rPr>
        <w:t xml:space="preserve"> </w:t>
      </w:r>
      <w:r>
        <w:rPr>
          <w:rFonts w:ascii="Arial" w:hAnsi="Arial" w:eastAsia="SimSun" w:cs="Arial"/>
        </w:rPr>
        <w:t>Globally, English as a Foreign Language (EFL) learners encounter numerous challenges in mastering listening skills. Research highlights factors such as vocabulary limitations, speech rate, and accent variability as significant barriers.</w:t>
      </w:r>
      <w:r>
        <w:rPr>
          <w:rFonts w:hint="default" w:ascii="Arial" w:hAnsi="Arial" w:eastAsia="SimSun" w:cs="Arial"/>
          <w:lang w:val="en-GB"/>
        </w:rPr>
        <w:t xml:space="preserve"> </w:t>
      </w:r>
      <w:r>
        <w:rPr>
          <w:rFonts w:ascii="Arial" w:hAnsi="Arial" w:eastAsia="SimSun" w:cs="Arial"/>
        </w:rPr>
        <w:t>Hardiyanto et al. (2021) observed that Indonesian EFL students across proficiency levels struggle with unfamiliar words, fast speech, and diverse accents. Similarly, learners in Saudi Arabia report demotivation stemming from factors like course materials, time constraints, and a lack of conducive environments (Holbah &amp; Sharma, 2021). Technological barriers, such as poor-quality audio systems, also contribute to these difficulties (Nurkhamidah, 2020), reflecting the complex interplay of internal and external factors affecting listening skills.</w:t>
      </w:r>
    </w:p>
    <w:p w14:paraId="75A0D72C">
      <w:pPr>
        <w:jc w:val="both"/>
        <w:rPr>
          <w:rFonts w:ascii="Arial" w:hAnsi="Arial" w:eastAsia="SimSun" w:cs="Arial"/>
        </w:rPr>
      </w:pPr>
    </w:p>
    <w:p w14:paraId="064547D3">
      <w:pPr>
        <w:jc w:val="both"/>
        <w:rPr>
          <w:rFonts w:ascii="Arial" w:hAnsi="Arial" w:eastAsia="SimSun" w:cs="Arial"/>
        </w:rPr>
      </w:pPr>
      <w:r>
        <w:rPr>
          <w:rFonts w:ascii="Arial" w:hAnsi="Arial" w:eastAsia="SimSun" w:cs="Arial"/>
        </w:rPr>
        <w:t xml:space="preserve">In the Philippines, English learners face similar challenges compounded by </w:t>
      </w:r>
      <w:r>
        <w:rPr>
          <w:rFonts w:ascii="Arial" w:hAnsi="Arial" w:eastAsia="SimSun" w:cs="Arial"/>
          <w:lang w:val="en-GB"/>
        </w:rPr>
        <w:t>socio-economic</w:t>
      </w:r>
      <w:r>
        <w:rPr>
          <w:rFonts w:ascii="Arial" w:hAnsi="Arial" w:eastAsia="SimSun" w:cs="Arial"/>
        </w:rPr>
        <w:t xml:space="preserve"> and educational disparities. Despite being a second-language context, limited exposure to authentic English listening materials and inadequate teacher preparation hinder listening proficiency</w:t>
      </w:r>
      <w:r>
        <w:rPr>
          <w:rFonts w:ascii="Arial" w:hAnsi="Arial" w:eastAsia="SimSun" w:cs="Arial"/>
          <w:lang w:val="en-GB"/>
        </w:rPr>
        <w:t xml:space="preserve"> (Azures &amp; Garcia, 2020; Garcia, 2021)</w:t>
      </w:r>
      <w:r>
        <w:rPr>
          <w:rFonts w:ascii="Arial" w:hAnsi="Arial" w:eastAsia="SimSun" w:cs="Arial"/>
        </w:rPr>
        <w:t>. Few systematic studies have focused on the specific barriers Filipino students face, leaving gaps in understanding how cultural and contextual factors influence listening skills. Addressing these gaps is essential to tailor interventions that meet the needs of Filipino learners within their unique linguistic and educational landscape.</w:t>
      </w:r>
    </w:p>
    <w:p w14:paraId="72854E76">
      <w:pPr>
        <w:jc w:val="both"/>
        <w:rPr>
          <w:rFonts w:ascii="Arial" w:hAnsi="Arial" w:eastAsia="SimSun" w:cs="Arial"/>
        </w:rPr>
      </w:pPr>
    </w:p>
    <w:p w14:paraId="2FB7E3DA">
      <w:pPr>
        <w:jc w:val="both"/>
        <w:rPr>
          <w:rFonts w:ascii="Arial" w:hAnsi="Arial" w:eastAsia="SimSun" w:cs="Arial"/>
          <w:lang w:val="en-GB"/>
        </w:rPr>
      </w:pPr>
      <w:r>
        <w:rPr>
          <w:rFonts w:ascii="Arial" w:hAnsi="Arial" w:eastAsia="SimSun" w:cs="Arial"/>
        </w:rPr>
        <w:t xml:space="preserve">While international studies provide valuable insights, they primarily emphasize macro-level issues, overlooking micro-level influences such as individual learner experiences and localized instructional practices. Existing research often focuses on other language skills, leaving listening </w:t>
      </w:r>
      <w:r>
        <w:rPr>
          <w:rFonts w:ascii="Arial" w:hAnsi="Arial" w:eastAsia="SimSun" w:cs="Arial"/>
          <w:lang w:val="en-GB"/>
        </w:rPr>
        <w:t>under-explored</w:t>
      </w:r>
      <w:r>
        <w:rPr>
          <w:rFonts w:ascii="Arial" w:hAnsi="Arial" w:eastAsia="SimSun" w:cs="Arial"/>
        </w:rPr>
        <w:t xml:space="preserve"> (Kabir, 2024). The dearth of comprehensive and systematic analyses of listening challenges specific to diverse educational and cultural contexts highlights the need for further investigation. This study seeks to bridge this gap by synthesizing findings from both global and Philippine settings to offer a nuanced understanding of the barriers to listening improvement</w:t>
      </w:r>
      <w:r>
        <w:rPr>
          <w:rFonts w:ascii="Arial" w:hAnsi="Arial" w:eastAsia="SimSun" w:cs="Arial"/>
          <w:lang w:val="en-GB"/>
        </w:rPr>
        <w:t>.</w:t>
      </w:r>
    </w:p>
    <w:p w14:paraId="1F22193F">
      <w:pPr>
        <w:jc w:val="both"/>
        <w:rPr>
          <w:rFonts w:ascii="Arial" w:hAnsi="Arial" w:eastAsia="SimSun" w:cs="Arial"/>
        </w:rPr>
      </w:pPr>
    </w:p>
    <w:p w14:paraId="13B18175">
      <w:pPr>
        <w:jc w:val="both"/>
        <w:rPr>
          <w:rFonts w:ascii="Arial" w:hAnsi="Arial" w:eastAsia="SimSun" w:cs="Arial"/>
        </w:rPr>
      </w:pPr>
      <w:r>
        <w:rPr>
          <w:rFonts w:ascii="Arial" w:hAnsi="Arial" w:eastAsia="SimSun" w:cs="Arial"/>
        </w:rPr>
        <w:t>This research is critical in emphasizing the necessity of a systematic analysis to unpack the multifaceted challenges hindering listening skill development. Systematic analysis not only ensures a rigorous examination of existing literature but also identifies recurring patterns and unique variables that affect listening proficiency. Understanding these factors is vital for developing targeted pedagogical strategies and policy interventions. By addressing the factors that restrain listening skills, this study aims to</w:t>
      </w:r>
      <w:r>
        <w:rPr>
          <w:rFonts w:ascii="Arial" w:hAnsi="Arial" w:eastAsia="SimSun" w:cs="Arial"/>
          <w:lang w:val="en-GB"/>
        </w:rPr>
        <w:t xml:space="preserve"> identify and analyze factors that restrain the improvement of listening skills among English learners by </w:t>
      </w:r>
      <w:r>
        <w:rPr>
          <w:rFonts w:ascii="Arial" w:hAnsi="Arial" w:eastAsia="SimSun" w:cs="Arial"/>
        </w:rPr>
        <w:t>contribut</w:t>
      </w:r>
      <w:r>
        <w:rPr>
          <w:rFonts w:ascii="Arial" w:hAnsi="Arial" w:eastAsia="SimSun" w:cs="Arial"/>
          <w:lang w:val="en-GB"/>
        </w:rPr>
        <w:t>ing</w:t>
      </w:r>
      <w:r>
        <w:rPr>
          <w:rFonts w:ascii="Arial" w:hAnsi="Arial" w:eastAsia="SimSun" w:cs="Arial"/>
        </w:rPr>
        <w:t xml:space="preserve"> to enhancing learner outcomes, fostering better communication skills, and meeting the increasing demands for English proficiency in a globalized world.</w:t>
      </w:r>
    </w:p>
    <w:p w14:paraId="2279D3A6">
      <w:pPr>
        <w:ind w:firstLine="420"/>
        <w:jc w:val="both"/>
        <w:rPr>
          <w:rFonts w:ascii="Arial" w:hAnsi="Arial" w:eastAsia="SimSun" w:cs="Arial"/>
          <w:lang w:val="en-GB"/>
        </w:rPr>
      </w:pPr>
    </w:p>
    <w:p w14:paraId="2FB0F9DA">
      <w:pPr>
        <w:jc w:val="both"/>
        <w:rPr>
          <w:rFonts w:ascii="Arial" w:hAnsi="Arial" w:eastAsia="SimSun" w:cs="Arial"/>
          <w:b/>
          <w:bCs/>
          <w:lang w:val="en-GB"/>
        </w:rPr>
      </w:pPr>
      <w:r>
        <w:rPr>
          <w:rFonts w:ascii="Arial" w:hAnsi="Arial" w:eastAsia="SimSun" w:cs="Arial"/>
          <w:b/>
          <w:bCs/>
          <w:lang w:val="en-GB"/>
        </w:rPr>
        <w:t>Research Objective</w:t>
      </w:r>
    </w:p>
    <w:p w14:paraId="45647E9D">
      <w:pPr>
        <w:jc w:val="both"/>
        <w:rPr>
          <w:rFonts w:ascii="Arial" w:hAnsi="Arial" w:eastAsia="SimSun" w:cs="Arial"/>
          <w:lang w:val="en-GB"/>
        </w:rPr>
      </w:pPr>
      <w:r>
        <w:rPr>
          <w:rFonts w:ascii="Arial" w:hAnsi="Arial" w:eastAsia="SimSun" w:cs="Arial"/>
          <w:lang w:val="en-GB"/>
        </w:rPr>
        <w:t>To identify and analyze factors that restrain the improvement of listening skills among English learners.</w:t>
      </w:r>
    </w:p>
    <w:p w14:paraId="7E700B7E">
      <w:pPr>
        <w:jc w:val="both"/>
        <w:rPr>
          <w:rFonts w:ascii="Arial" w:hAnsi="Arial" w:eastAsia="SimSun" w:cs="Arial"/>
          <w:b/>
          <w:bCs/>
          <w:lang w:val="en-GB"/>
        </w:rPr>
      </w:pPr>
    </w:p>
    <w:p w14:paraId="5DC8F2EE">
      <w:pPr>
        <w:jc w:val="both"/>
        <w:rPr>
          <w:rFonts w:ascii="Arial" w:hAnsi="Arial" w:eastAsia="SimSun" w:cs="Arial"/>
          <w:lang w:val="en-GB"/>
        </w:rPr>
      </w:pPr>
      <w:r>
        <w:rPr>
          <w:rFonts w:ascii="Arial" w:hAnsi="Arial" w:eastAsia="SimSun" w:cs="Arial"/>
          <w:b/>
          <w:bCs/>
          <w:lang w:val="en-GB"/>
        </w:rPr>
        <w:t>Research Questions</w:t>
      </w:r>
    </w:p>
    <w:p w14:paraId="544A69C5">
      <w:pPr>
        <w:numPr>
          <w:ilvl w:val="0"/>
          <w:numId w:val="2"/>
        </w:numPr>
        <w:ind w:left="0"/>
        <w:jc w:val="both"/>
        <w:rPr>
          <w:rFonts w:ascii="Arial" w:hAnsi="Arial" w:eastAsia="SimSun" w:cs="Arial"/>
          <w:lang w:val="en-GB"/>
        </w:rPr>
      </w:pPr>
      <w:r>
        <w:rPr>
          <w:rFonts w:ascii="Arial" w:hAnsi="Arial" w:eastAsia="SimSun" w:cs="Arial"/>
        </w:rPr>
        <w:t>What are the key factors that restrain the improvement of listening skills among English learners</w:t>
      </w:r>
      <w:r>
        <w:rPr>
          <w:rFonts w:ascii="Arial" w:hAnsi="Arial" w:eastAsia="SimSun" w:cs="Arial"/>
          <w:lang w:val="en-GB"/>
        </w:rPr>
        <w:t>?</w:t>
      </w:r>
    </w:p>
    <w:p w14:paraId="557FB082">
      <w:pPr>
        <w:numPr>
          <w:ilvl w:val="0"/>
          <w:numId w:val="2"/>
        </w:numPr>
        <w:ind w:left="0"/>
        <w:jc w:val="both"/>
        <w:rPr>
          <w:rFonts w:ascii="Arial" w:hAnsi="Arial" w:eastAsia="SimSun" w:cs="Arial"/>
        </w:rPr>
      </w:pPr>
      <w:r>
        <w:rPr>
          <w:rFonts w:ascii="Arial" w:hAnsi="Arial" w:eastAsia="SimSun" w:cs="Arial"/>
        </w:rPr>
        <w:t>How do learner-specific (internal) and environmental (external) factors collectively impact the listening skill acquisition of English learners across diverse contexts?</w:t>
      </w:r>
    </w:p>
    <w:p w14:paraId="108406FA">
      <w:pPr>
        <w:numPr>
          <w:ilvl w:val="0"/>
          <w:numId w:val="2"/>
        </w:numPr>
        <w:ind w:left="0"/>
        <w:jc w:val="both"/>
        <w:rPr>
          <w:rFonts w:ascii="Arial" w:hAnsi="Arial" w:eastAsia="SimSun" w:cs="Arial"/>
        </w:rPr>
      </w:pPr>
      <w:r>
        <w:rPr>
          <w:rFonts w:ascii="Arial" w:hAnsi="Arial" w:eastAsia="SimSun" w:cs="Arial"/>
        </w:rPr>
        <w:t>What role do pedagogical practices, cultural differences, and technological limitations play in restraining listening skill improvement in English learners?</w:t>
      </w:r>
    </w:p>
    <w:p w14:paraId="3F119819">
      <w:pPr>
        <w:pStyle w:val="24"/>
        <w:spacing w:after="0"/>
        <w:rPr>
          <w:rFonts w:ascii="Arial" w:hAnsi="Arial" w:eastAsia="SimSun" w:cs="Arial"/>
          <w:sz w:val="24"/>
          <w:szCs w:val="24"/>
        </w:rPr>
      </w:pPr>
    </w:p>
    <w:p w14:paraId="210FDEC7">
      <w:pPr>
        <w:pStyle w:val="25"/>
        <w:spacing w:after="0"/>
        <w:jc w:val="both"/>
        <w:rPr>
          <w:rFonts w:ascii="Arial" w:hAnsi="Arial" w:cs="Arial"/>
        </w:rPr>
      </w:pPr>
      <w:r>
        <w:rPr>
          <w:rFonts w:ascii="Arial" w:hAnsi="Arial" w:cs="Arial"/>
        </w:rPr>
        <w:t xml:space="preserve">2. methodology </w:t>
      </w:r>
    </w:p>
    <w:p w14:paraId="540F54F5">
      <w:pPr>
        <w:pStyle w:val="25"/>
        <w:spacing w:after="0"/>
        <w:jc w:val="both"/>
        <w:rPr>
          <w:rFonts w:ascii="Arial" w:hAnsi="Arial" w:cs="Arial"/>
        </w:rPr>
      </w:pPr>
    </w:p>
    <w:p w14:paraId="0481BBD0">
      <w:pPr>
        <w:jc w:val="both"/>
        <w:rPr>
          <w:rFonts w:ascii="Arial" w:hAnsi="Arial" w:eastAsia="SimSun" w:cs="Arial"/>
        </w:rPr>
      </w:pPr>
      <w:r>
        <w:rPr>
          <w:rFonts w:ascii="Arial" w:hAnsi="Arial" w:eastAsia="SimSun" w:cs="Arial"/>
        </w:rPr>
        <w:t>This study employ</w:t>
      </w:r>
      <w:r>
        <w:rPr>
          <w:rFonts w:ascii="Arial" w:hAnsi="Arial" w:eastAsia="SimSun" w:cs="Arial"/>
          <w:lang w:val="en-GB"/>
        </w:rPr>
        <w:t>ed</w:t>
      </w:r>
      <w:r>
        <w:rPr>
          <w:rFonts w:ascii="Arial" w:hAnsi="Arial" w:eastAsia="SimSun" w:cs="Arial"/>
        </w:rPr>
        <w:t xml:space="preserve"> a </w:t>
      </w:r>
      <w:r>
        <w:rPr>
          <w:rStyle w:val="19"/>
          <w:rFonts w:ascii="Arial" w:hAnsi="Arial" w:eastAsia="SimSun" w:cs="Arial"/>
          <w:b w:val="0"/>
          <w:bCs w:val="0"/>
        </w:rPr>
        <w:t>systematic review</w:t>
      </w:r>
      <w:r>
        <w:rPr>
          <w:rFonts w:ascii="Arial" w:hAnsi="Arial" w:eastAsia="SimSun" w:cs="Arial"/>
        </w:rPr>
        <w:t xml:space="preserve"> to synthesize findings from existing research on the factors restraining listening skill improvement among English learners. A systematic review is a rigorous approach for identifying, appraising, and synthesizing relevant studies to address specific research questions (Astrid et al., 2024; Holbah &amp; Sharma, 2021). This method ensures a comprehensive understanding of the topic while minimizing bias.</w:t>
      </w:r>
    </w:p>
    <w:p w14:paraId="19CFA9E6">
      <w:pPr>
        <w:pStyle w:val="3"/>
        <w:spacing w:beforeAutospacing="0" w:afterAutospacing="0"/>
        <w:jc w:val="both"/>
        <w:rPr>
          <w:rStyle w:val="19"/>
          <w:rFonts w:hint="default" w:ascii="Arial" w:hAnsi="Arial" w:cs="Arial"/>
          <w:b/>
          <w:bCs/>
          <w:sz w:val="20"/>
          <w:szCs w:val="20"/>
        </w:rPr>
      </w:pPr>
    </w:p>
    <w:p w14:paraId="1B15E24E">
      <w:pPr>
        <w:pStyle w:val="3"/>
        <w:spacing w:beforeAutospacing="0" w:afterAutospacing="0"/>
        <w:jc w:val="both"/>
        <w:rPr>
          <w:rFonts w:hint="default" w:ascii="Arial" w:hAnsi="Arial" w:cs="Arial"/>
          <w:sz w:val="20"/>
          <w:szCs w:val="20"/>
        </w:rPr>
      </w:pPr>
      <w:r>
        <w:rPr>
          <w:rStyle w:val="19"/>
          <w:rFonts w:hint="default" w:ascii="Arial" w:hAnsi="Arial" w:cs="Arial"/>
          <w:b/>
          <w:bCs/>
          <w:sz w:val="20"/>
          <w:szCs w:val="20"/>
        </w:rPr>
        <w:t>Data Collection</w:t>
      </w:r>
    </w:p>
    <w:p w14:paraId="7AED53C8">
      <w:pPr>
        <w:pStyle w:val="17"/>
        <w:spacing w:beforeAutospacing="0" w:afterAutospacing="0"/>
        <w:ind w:firstLine="420"/>
        <w:jc w:val="both"/>
        <w:rPr>
          <w:rFonts w:ascii="Arial" w:hAnsi="Arial" w:cs="Arial"/>
          <w:sz w:val="20"/>
          <w:szCs w:val="20"/>
        </w:rPr>
      </w:pPr>
      <w:r>
        <w:rPr>
          <w:rFonts w:ascii="Arial" w:hAnsi="Arial" w:cs="Arial"/>
          <w:sz w:val="20"/>
          <w:szCs w:val="20"/>
        </w:rPr>
        <w:t xml:space="preserve">The study gathered data from peer-reviewed journal articles using </w:t>
      </w:r>
      <w:r>
        <w:rPr>
          <w:rStyle w:val="19"/>
          <w:rFonts w:ascii="Arial" w:hAnsi="Arial" w:cs="Arial"/>
          <w:b w:val="0"/>
          <w:bCs w:val="0"/>
          <w:sz w:val="20"/>
          <w:szCs w:val="20"/>
        </w:rPr>
        <w:t>Google Scholar</w:t>
      </w:r>
      <w:r>
        <w:rPr>
          <w:rFonts w:ascii="Arial" w:hAnsi="Arial" w:cs="Arial"/>
          <w:sz w:val="20"/>
          <w:szCs w:val="20"/>
        </w:rPr>
        <w:t xml:space="preserve"> as the primary database. Searches were conducted using keywords such as </w:t>
      </w:r>
      <w:r>
        <w:rPr>
          <w:rStyle w:val="11"/>
          <w:rFonts w:ascii="Arial" w:hAnsi="Arial" w:cs="Arial"/>
          <w:sz w:val="20"/>
          <w:szCs w:val="20"/>
        </w:rPr>
        <w:t>"listening challenges</w:t>
      </w:r>
      <w:r>
        <w:rPr>
          <w:rStyle w:val="11"/>
          <w:rFonts w:hint="default" w:ascii="Arial" w:hAnsi="Arial" w:cs="Arial"/>
          <w:sz w:val="20"/>
          <w:szCs w:val="20"/>
          <w:lang w:val="en-GB"/>
        </w:rPr>
        <w:t>”,</w:t>
      </w:r>
      <w:r>
        <w:rPr>
          <w:rFonts w:ascii="Arial" w:hAnsi="Arial" w:cs="Arial"/>
          <w:sz w:val="20"/>
          <w:szCs w:val="20"/>
        </w:rPr>
        <w:t xml:space="preserve"> </w:t>
      </w:r>
      <w:r>
        <w:rPr>
          <w:rStyle w:val="11"/>
          <w:rFonts w:ascii="Arial" w:hAnsi="Arial" w:cs="Arial"/>
          <w:sz w:val="20"/>
          <w:szCs w:val="20"/>
        </w:rPr>
        <w:t>"English learners</w:t>
      </w:r>
      <w:r>
        <w:rPr>
          <w:rStyle w:val="11"/>
          <w:rFonts w:hint="default" w:ascii="Arial" w:hAnsi="Arial" w:cs="Arial"/>
          <w:sz w:val="20"/>
          <w:szCs w:val="20"/>
          <w:lang w:val="en-GB"/>
        </w:rPr>
        <w:t>”,</w:t>
      </w:r>
      <w:r>
        <w:rPr>
          <w:rFonts w:ascii="Arial" w:hAnsi="Arial" w:cs="Arial"/>
          <w:sz w:val="20"/>
          <w:szCs w:val="20"/>
        </w:rPr>
        <w:t xml:space="preserve"> </w:t>
      </w:r>
      <w:r>
        <w:rPr>
          <w:rStyle w:val="11"/>
          <w:rFonts w:ascii="Arial" w:hAnsi="Arial" w:cs="Arial"/>
          <w:sz w:val="20"/>
          <w:szCs w:val="20"/>
        </w:rPr>
        <w:t>"listening skills improvement</w:t>
      </w:r>
      <w:r>
        <w:rPr>
          <w:rStyle w:val="11"/>
          <w:rFonts w:hint="default" w:ascii="Arial" w:hAnsi="Arial" w:cs="Arial"/>
          <w:sz w:val="20"/>
          <w:szCs w:val="20"/>
          <w:lang w:val="en-GB"/>
        </w:rPr>
        <w:t>”,</w:t>
      </w:r>
      <w:r>
        <w:rPr>
          <w:rFonts w:ascii="Arial" w:hAnsi="Arial" w:cs="Arial"/>
          <w:sz w:val="20"/>
          <w:szCs w:val="20"/>
        </w:rPr>
        <w:t xml:space="preserve"> and </w:t>
      </w:r>
      <w:r>
        <w:rPr>
          <w:rStyle w:val="11"/>
          <w:rFonts w:ascii="Arial" w:hAnsi="Arial" w:cs="Arial"/>
          <w:sz w:val="20"/>
          <w:szCs w:val="20"/>
        </w:rPr>
        <w:t>"EFL barriers</w:t>
      </w:r>
      <w:r>
        <w:rPr>
          <w:rStyle w:val="11"/>
          <w:rFonts w:hint="default" w:ascii="Arial" w:hAnsi="Arial" w:cs="Arial"/>
          <w:sz w:val="20"/>
          <w:szCs w:val="20"/>
          <w:lang w:val="en-GB"/>
        </w:rPr>
        <w:t>”.</w:t>
      </w:r>
      <w:r>
        <w:rPr>
          <w:rFonts w:ascii="Arial" w:hAnsi="Arial" w:cs="Arial"/>
          <w:sz w:val="20"/>
          <w:szCs w:val="20"/>
        </w:rPr>
        <w:t xml:space="preserve"> The focus was on articles published from </w:t>
      </w:r>
      <w:r>
        <w:rPr>
          <w:rStyle w:val="19"/>
          <w:rFonts w:ascii="Arial" w:hAnsi="Arial" w:cs="Arial"/>
          <w:b w:val="0"/>
          <w:bCs w:val="0"/>
          <w:sz w:val="20"/>
          <w:szCs w:val="20"/>
        </w:rPr>
        <w:t>2019 to 2024</w:t>
      </w:r>
      <w:r>
        <w:rPr>
          <w:rFonts w:ascii="Arial" w:hAnsi="Arial" w:cs="Arial"/>
          <w:sz w:val="20"/>
          <w:szCs w:val="20"/>
        </w:rPr>
        <w:t xml:space="preserve"> to ensure relevance and timeliness.</w:t>
      </w:r>
    </w:p>
    <w:p w14:paraId="0E089B3C">
      <w:pPr>
        <w:pStyle w:val="17"/>
        <w:spacing w:beforeAutospacing="0" w:afterAutospacing="0"/>
        <w:ind w:firstLine="420"/>
        <w:jc w:val="both"/>
        <w:rPr>
          <w:rFonts w:ascii="Arial" w:hAnsi="Arial" w:cs="Arial"/>
          <w:sz w:val="20"/>
          <w:szCs w:val="20"/>
        </w:rPr>
      </w:pPr>
    </w:p>
    <w:p w14:paraId="00D57117">
      <w:pPr>
        <w:pStyle w:val="17"/>
        <w:spacing w:beforeAutospacing="0" w:afterAutospacing="0"/>
        <w:jc w:val="both"/>
        <w:rPr>
          <w:rFonts w:ascii="Arial" w:hAnsi="Arial" w:cs="Arial"/>
          <w:b/>
          <w:bCs/>
          <w:sz w:val="20"/>
          <w:szCs w:val="20"/>
        </w:rPr>
      </w:pPr>
    </w:p>
    <w:p w14:paraId="29A1940B">
      <w:pPr>
        <w:pStyle w:val="17"/>
        <w:spacing w:beforeAutospacing="0" w:afterAutospacing="0"/>
        <w:jc w:val="both"/>
        <w:rPr>
          <w:rFonts w:ascii="Arial" w:hAnsi="Arial" w:cs="Arial"/>
          <w:b/>
          <w:bCs/>
          <w:sz w:val="20"/>
          <w:szCs w:val="20"/>
        </w:rPr>
      </w:pPr>
      <w:r>
        <w:rPr>
          <w:rFonts w:ascii="Arial" w:hAnsi="Arial" w:cs="Arial"/>
          <w:b/>
          <w:bCs/>
          <w:sz w:val="20"/>
          <w:szCs w:val="20"/>
        </w:rPr>
        <w:t>Inclusion and Exclusion Criteria</w:t>
      </w:r>
    </w:p>
    <w:p w14:paraId="48E3960D">
      <w:pPr>
        <w:pStyle w:val="17"/>
        <w:spacing w:beforeAutospacing="0" w:afterAutospacing="0"/>
        <w:jc w:val="both"/>
        <w:rPr>
          <w:rFonts w:ascii="Arial" w:hAnsi="Arial" w:cs="Arial"/>
          <w:sz w:val="20"/>
          <w:szCs w:val="20"/>
        </w:rPr>
      </w:pPr>
      <w:r>
        <w:rPr>
          <w:rFonts w:ascii="Arial" w:hAnsi="Arial" w:cs="Arial"/>
          <w:sz w:val="20"/>
          <w:szCs w:val="20"/>
        </w:rPr>
        <w:t>The following table outlines the criteria used for selecting studies:</w:t>
      </w:r>
    </w:p>
    <w:p w14:paraId="01836117">
      <w:pPr>
        <w:pStyle w:val="17"/>
        <w:spacing w:beforeAutospacing="0" w:afterAutospacing="0"/>
        <w:jc w:val="both"/>
        <w:rPr>
          <w:rFonts w:ascii="Arial" w:hAnsi="Arial" w:cs="Arial"/>
          <w:sz w:val="20"/>
          <w:szCs w:val="20"/>
        </w:rPr>
      </w:pPr>
    </w:p>
    <w:p w14:paraId="68A4A6F0">
      <w:pPr>
        <w:pStyle w:val="17"/>
        <w:spacing w:beforeAutospacing="0" w:afterAutospacing="0"/>
        <w:jc w:val="both"/>
        <w:rPr>
          <w:rFonts w:ascii="Arial" w:hAnsi="Arial" w:cs="Arial"/>
          <w:sz w:val="20"/>
          <w:szCs w:val="20"/>
        </w:rPr>
      </w:pPr>
      <w:r>
        <w:rPr>
          <w:rFonts w:ascii="Arial" w:hAnsi="Arial" w:cs="Arial"/>
          <w:sz w:val="20"/>
          <w:szCs w:val="20"/>
        </w:rPr>
        <w:t>Table 1 :</w:t>
      </w:r>
      <w:r>
        <w:rPr>
          <w:rFonts w:hint="default" w:ascii="Arial" w:hAnsi="Arial" w:cs="Arial"/>
          <w:sz w:val="20"/>
          <w:szCs w:val="20"/>
          <w:lang w:val="en-GB"/>
        </w:rPr>
        <w:t xml:space="preserve"> </w:t>
      </w:r>
      <w:r>
        <w:rPr>
          <w:rFonts w:ascii="Arial" w:hAnsi="Arial" w:cs="Arial"/>
          <w:sz w:val="20"/>
          <w:szCs w:val="20"/>
        </w:rPr>
        <w:t>Inclusion and exclusion criteria of the study</w:t>
      </w:r>
    </w:p>
    <w:p w14:paraId="60420A41">
      <w:pPr>
        <w:pStyle w:val="17"/>
        <w:spacing w:beforeAutospacing="0" w:afterAutospacing="0"/>
        <w:jc w:val="both"/>
        <w:rPr>
          <w:rFonts w:ascii="Arial" w:hAnsi="Arial" w:cs="Arial"/>
          <w:sz w:val="20"/>
          <w:szCs w:val="20"/>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3"/>
        <w:gridCol w:w="3185"/>
        <w:gridCol w:w="3146"/>
      </w:tblGrid>
      <w:tr w14:paraId="2EC38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1" w:type="dxa"/>
            <w:shd w:val="clear" w:color="auto" w:fill="D7D7D7" w:themeFill="background1" w:themeFillShade="D8"/>
          </w:tcPr>
          <w:p w14:paraId="24EC37CC">
            <w:pPr>
              <w:pStyle w:val="17"/>
              <w:spacing w:beforeAutospacing="0" w:afterAutospacing="0"/>
              <w:jc w:val="center"/>
              <w:rPr>
                <w:rFonts w:ascii="Arial" w:hAnsi="Arial" w:cs="Arial"/>
                <w:b/>
                <w:bCs/>
                <w:sz w:val="20"/>
                <w:szCs w:val="20"/>
              </w:rPr>
            </w:pPr>
            <w:r>
              <w:rPr>
                <w:rFonts w:ascii="Arial" w:hAnsi="Arial" w:cs="Arial"/>
                <w:b/>
                <w:bCs/>
                <w:sz w:val="20"/>
                <w:szCs w:val="20"/>
              </w:rPr>
              <w:t>Category</w:t>
            </w:r>
          </w:p>
        </w:tc>
        <w:tc>
          <w:tcPr>
            <w:tcW w:w="3360" w:type="dxa"/>
            <w:shd w:val="clear" w:color="auto" w:fill="D7D7D7" w:themeFill="background1" w:themeFillShade="D8"/>
          </w:tcPr>
          <w:p w14:paraId="5CBB54E1">
            <w:pPr>
              <w:pStyle w:val="17"/>
              <w:spacing w:beforeAutospacing="0" w:afterAutospacing="0"/>
              <w:jc w:val="center"/>
              <w:rPr>
                <w:rFonts w:ascii="Arial" w:hAnsi="Arial" w:cs="Arial"/>
                <w:b/>
                <w:bCs/>
                <w:sz w:val="20"/>
                <w:szCs w:val="20"/>
              </w:rPr>
            </w:pPr>
            <w:r>
              <w:rPr>
                <w:rFonts w:ascii="Arial" w:hAnsi="Arial" w:cs="Arial"/>
                <w:b/>
                <w:bCs/>
                <w:sz w:val="20"/>
                <w:szCs w:val="20"/>
              </w:rPr>
              <w:t>Inclusion Criteria</w:t>
            </w:r>
          </w:p>
        </w:tc>
        <w:tc>
          <w:tcPr>
            <w:tcW w:w="3325" w:type="dxa"/>
            <w:shd w:val="clear" w:color="auto" w:fill="D7D7D7" w:themeFill="background1" w:themeFillShade="D8"/>
          </w:tcPr>
          <w:p w14:paraId="376A7EDE">
            <w:pPr>
              <w:pStyle w:val="17"/>
              <w:spacing w:beforeAutospacing="0" w:afterAutospacing="0"/>
              <w:jc w:val="center"/>
              <w:rPr>
                <w:rFonts w:ascii="Arial" w:hAnsi="Arial" w:cs="Arial"/>
                <w:b/>
                <w:bCs/>
                <w:sz w:val="20"/>
                <w:szCs w:val="20"/>
              </w:rPr>
            </w:pPr>
            <w:r>
              <w:rPr>
                <w:rFonts w:ascii="Arial" w:hAnsi="Arial" w:cs="Arial"/>
                <w:b/>
                <w:bCs/>
                <w:sz w:val="20"/>
                <w:szCs w:val="20"/>
              </w:rPr>
              <w:t>Exclusion Criteria</w:t>
            </w:r>
          </w:p>
        </w:tc>
      </w:tr>
      <w:tr w14:paraId="6D830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1" w:type="dxa"/>
          </w:tcPr>
          <w:p w14:paraId="367C6C43">
            <w:pPr>
              <w:pStyle w:val="17"/>
              <w:spacing w:beforeAutospacing="0" w:afterAutospacing="0"/>
              <w:jc w:val="center"/>
              <w:rPr>
                <w:rFonts w:ascii="Arial" w:hAnsi="Arial" w:cs="Arial"/>
                <w:b/>
                <w:bCs/>
                <w:sz w:val="20"/>
                <w:szCs w:val="20"/>
              </w:rPr>
            </w:pPr>
            <w:r>
              <w:rPr>
                <w:rFonts w:ascii="Arial" w:hAnsi="Arial" w:cs="Arial"/>
                <w:b/>
                <w:bCs/>
                <w:sz w:val="20"/>
                <w:szCs w:val="20"/>
              </w:rPr>
              <w:t>Study Type</w:t>
            </w:r>
          </w:p>
        </w:tc>
        <w:tc>
          <w:tcPr>
            <w:tcW w:w="3360" w:type="dxa"/>
          </w:tcPr>
          <w:p w14:paraId="07F6A1EF">
            <w:pPr>
              <w:pStyle w:val="17"/>
              <w:spacing w:beforeAutospacing="0" w:afterAutospacing="0"/>
              <w:jc w:val="both"/>
              <w:rPr>
                <w:rFonts w:ascii="Arial" w:hAnsi="Arial" w:cs="Arial"/>
                <w:sz w:val="20"/>
                <w:szCs w:val="20"/>
              </w:rPr>
            </w:pPr>
            <w:r>
              <w:rPr>
                <w:rFonts w:ascii="Arial" w:hAnsi="Arial" w:cs="Arial"/>
                <w:sz w:val="20"/>
                <w:szCs w:val="20"/>
              </w:rPr>
              <w:t>Qualitative studies exploring listening skill challenges</w:t>
            </w:r>
          </w:p>
        </w:tc>
        <w:tc>
          <w:tcPr>
            <w:tcW w:w="3325" w:type="dxa"/>
          </w:tcPr>
          <w:p w14:paraId="198C2FB0">
            <w:pPr>
              <w:pStyle w:val="17"/>
              <w:spacing w:beforeAutospacing="0" w:afterAutospacing="0"/>
              <w:jc w:val="both"/>
              <w:rPr>
                <w:rFonts w:ascii="Arial" w:hAnsi="Arial" w:cs="Arial"/>
                <w:sz w:val="20"/>
                <w:szCs w:val="20"/>
              </w:rPr>
            </w:pPr>
            <w:r>
              <w:rPr>
                <w:rFonts w:ascii="Arial" w:hAnsi="Arial" w:cs="Arial"/>
                <w:sz w:val="20"/>
                <w:szCs w:val="20"/>
              </w:rPr>
              <w:t>Quantitative studies or mixed-method studies</w:t>
            </w:r>
          </w:p>
        </w:tc>
      </w:tr>
      <w:tr w14:paraId="0D7BB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1" w:type="dxa"/>
          </w:tcPr>
          <w:p w14:paraId="2C560101">
            <w:pPr>
              <w:pStyle w:val="17"/>
              <w:spacing w:beforeAutospacing="0" w:afterAutospacing="0"/>
              <w:jc w:val="center"/>
              <w:rPr>
                <w:rFonts w:ascii="Arial" w:hAnsi="Arial" w:cs="Arial"/>
                <w:b/>
                <w:bCs/>
                <w:sz w:val="20"/>
                <w:szCs w:val="20"/>
              </w:rPr>
            </w:pPr>
            <w:r>
              <w:rPr>
                <w:rFonts w:ascii="Arial" w:hAnsi="Arial" w:cs="Arial"/>
                <w:b/>
                <w:bCs/>
                <w:sz w:val="20"/>
                <w:szCs w:val="20"/>
              </w:rPr>
              <w:t>Document Type</w:t>
            </w:r>
          </w:p>
        </w:tc>
        <w:tc>
          <w:tcPr>
            <w:tcW w:w="3360" w:type="dxa"/>
          </w:tcPr>
          <w:p w14:paraId="23D7479F">
            <w:pPr>
              <w:pStyle w:val="17"/>
              <w:spacing w:beforeAutospacing="0" w:afterAutospacing="0"/>
              <w:jc w:val="both"/>
              <w:rPr>
                <w:rFonts w:ascii="Arial" w:hAnsi="Arial" w:cs="Arial"/>
                <w:sz w:val="20"/>
                <w:szCs w:val="20"/>
              </w:rPr>
            </w:pPr>
            <w:r>
              <w:rPr>
                <w:rFonts w:ascii="Arial" w:hAnsi="Arial" w:cs="Arial"/>
                <w:sz w:val="20"/>
                <w:szCs w:val="20"/>
              </w:rPr>
              <w:t>Peer-reviewed journal articles</w:t>
            </w:r>
          </w:p>
        </w:tc>
        <w:tc>
          <w:tcPr>
            <w:tcW w:w="3325" w:type="dxa"/>
          </w:tcPr>
          <w:p w14:paraId="75EC1DCA">
            <w:pPr>
              <w:pStyle w:val="17"/>
              <w:spacing w:beforeAutospacing="0" w:afterAutospacing="0"/>
              <w:jc w:val="both"/>
              <w:rPr>
                <w:rFonts w:ascii="Arial" w:hAnsi="Arial" w:cs="Arial"/>
                <w:sz w:val="20"/>
                <w:szCs w:val="20"/>
              </w:rPr>
            </w:pPr>
            <w:r>
              <w:rPr>
                <w:rFonts w:ascii="Arial" w:hAnsi="Arial" w:cs="Arial"/>
                <w:sz w:val="20"/>
                <w:szCs w:val="20"/>
              </w:rPr>
              <w:t>Conference papers, book chapters, or unpublished manuscripts</w:t>
            </w:r>
          </w:p>
        </w:tc>
      </w:tr>
      <w:tr w14:paraId="24F6D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1" w:type="dxa"/>
          </w:tcPr>
          <w:p w14:paraId="3DC2FA2E">
            <w:pPr>
              <w:pStyle w:val="17"/>
              <w:spacing w:beforeAutospacing="0" w:afterAutospacing="0"/>
              <w:jc w:val="center"/>
              <w:rPr>
                <w:rFonts w:ascii="Arial" w:hAnsi="Arial" w:cs="Arial"/>
                <w:b/>
                <w:bCs/>
                <w:sz w:val="20"/>
                <w:szCs w:val="20"/>
              </w:rPr>
            </w:pPr>
            <w:r>
              <w:rPr>
                <w:rFonts w:ascii="Arial" w:hAnsi="Arial" w:cs="Arial"/>
                <w:b/>
                <w:bCs/>
                <w:sz w:val="20"/>
                <w:szCs w:val="20"/>
              </w:rPr>
              <w:t>Language</w:t>
            </w:r>
          </w:p>
        </w:tc>
        <w:tc>
          <w:tcPr>
            <w:tcW w:w="3360" w:type="dxa"/>
          </w:tcPr>
          <w:p w14:paraId="237DF381">
            <w:pPr>
              <w:pStyle w:val="17"/>
              <w:spacing w:beforeAutospacing="0" w:afterAutospacing="0"/>
              <w:jc w:val="both"/>
              <w:rPr>
                <w:rFonts w:ascii="Arial" w:hAnsi="Arial" w:cs="Arial"/>
                <w:sz w:val="20"/>
                <w:szCs w:val="20"/>
              </w:rPr>
            </w:pPr>
            <w:r>
              <w:rPr>
                <w:rFonts w:ascii="Arial" w:hAnsi="Arial" w:cs="Arial"/>
                <w:sz w:val="20"/>
                <w:szCs w:val="20"/>
              </w:rPr>
              <w:t>Articles published in English</w:t>
            </w:r>
          </w:p>
        </w:tc>
        <w:tc>
          <w:tcPr>
            <w:tcW w:w="3325" w:type="dxa"/>
          </w:tcPr>
          <w:p w14:paraId="6EBE108B">
            <w:pPr>
              <w:pStyle w:val="17"/>
              <w:spacing w:beforeAutospacing="0" w:afterAutospacing="0"/>
              <w:jc w:val="both"/>
              <w:rPr>
                <w:rFonts w:ascii="Arial" w:hAnsi="Arial" w:cs="Arial"/>
                <w:sz w:val="20"/>
                <w:szCs w:val="20"/>
              </w:rPr>
            </w:pPr>
            <w:r>
              <w:rPr>
                <w:rFonts w:ascii="Arial" w:hAnsi="Arial" w:cs="Arial"/>
                <w:sz w:val="20"/>
                <w:szCs w:val="20"/>
              </w:rPr>
              <w:t>Articles in languages other than English</w:t>
            </w:r>
          </w:p>
        </w:tc>
      </w:tr>
      <w:tr w14:paraId="0BAEC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1" w:type="dxa"/>
          </w:tcPr>
          <w:p w14:paraId="625DBB91">
            <w:pPr>
              <w:pStyle w:val="17"/>
              <w:spacing w:beforeAutospacing="0" w:afterAutospacing="0"/>
              <w:jc w:val="center"/>
              <w:rPr>
                <w:rFonts w:ascii="Arial" w:hAnsi="Arial" w:cs="Arial"/>
                <w:b/>
                <w:bCs/>
                <w:sz w:val="20"/>
                <w:szCs w:val="20"/>
              </w:rPr>
            </w:pPr>
            <w:r>
              <w:rPr>
                <w:rFonts w:ascii="Arial" w:hAnsi="Arial" w:cs="Arial"/>
                <w:b/>
                <w:bCs/>
                <w:sz w:val="20"/>
                <w:szCs w:val="20"/>
              </w:rPr>
              <w:t>Publication Year</w:t>
            </w:r>
          </w:p>
        </w:tc>
        <w:tc>
          <w:tcPr>
            <w:tcW w:w="3360" w:type="dxa"/>
          </w:tcPr>
          <w:p w14:paraId="4312437B">
            <w:pPr>
              <w:pStyle w:val="17"/>
              <w:spacing w:beforeAutospacing="0" w:afterAutospacing="0"/>
              <w:jc w:val="both"/>
              <w:rPr>
                <w:rFonts w:ascii="Arial" w:hAnsi="Arial" w:cs="Arial"/>
                <w:sz w:val="20"/>
                <w:szCs w:val="20"/>
              </w:rPr>
            </w:pPr>
            <w:r>
              <w:rPr>
                <w:rFonts w:ascii="Arial" w:hAnsi="Arial" w:cs="Arial"/>
                <w:sz w:val="20"/>
                <w:szCs w:val="20"/>
              </w:rPr>
              <w:t>Studies published between 2019 and 2024</w:t>
            </w:r>
          </w:p>
        </w:tc>
        <w:tc>
          <w:tcPr>
            <w:tcW w:w="3325" w:type="dxa"/>
          </w:tcPr>
          <w:p w14:paraId="4D419731">
            <w:pPr>
              <w:pStyle w:val="17"/>
              <w:spacing w:beforeAutospacing="0" w:afterAutospacing="0"/>
              <w:jc w:val="both"/>
              <w:rPr>
                <w:rFonts w:ascii="Arial" w:hAnsi="Arial" w:cs="Arial"/>
                <w:sz w:val="20"/>
                <w:szCs w:val="20"/>
              </w:rPr>
            </w:pPr>
            <w:r>
              <w:rPr>
                <w:rFonts w:ascii="Arial" w:hAnsi="Arial" w:cs="Arial"/>
                <w:sz w:val="20"/>
                <w:szCs w:val="20"/>
              </w:rPr>
              <w:t>Studies published before 2019</w:t>
            </w:r>
          </w:p>
        </w:tc>
      </w:tr>
      <w:tr w14:paraId="19327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1" w:type="dxa"/>
          </w:tcPr>
          <w:p w14:paraId="0C1459B7">
            <w:pPr>
              <w:pStyle w:val="17"/>
              <w:spacing w:beforeAutospacing="0" w:afterAutospacing="0"/>
              <w:jc w:val="center"/>
              <w:rPr>
                <w:rFonts w:ascii="Arial" w:hAnsi="Arial" w:cs="Arial"/>
                <w:b/>
                <w:bCs/>
                <w:sz w:val="20"/>
                <w:szCs w:val="20"/>
              </w:rPr>
            </w:pPr>
            <w:r>
              <w:rPr>
                <w:rFonts w:ascii="Arial" w:hAnsi="Arial" w:cs="Arial"/>
                <w:b/>
                <w:bCs/>
                <w:sz w:val="20"/>
                <w:szCs w:val="20"/>
              </w:rPr>
              <w:t>Research Context</w:t>
            </w:r>
          </w:p>
        </w:tc>
        <w:tc>
          <w:tcPr>
            <w:tcW w:w="3360" w:type="dxa"/>
          </w:tcPr>
          <w:p w14:paraId="15B72992">
            <w:pPr>
              <w:pStyle w:val="17"/>
              <w:spacing w:beforeAutospacing="0" w:afterAutospacing="0"/>
              <w:jc w:val="both"/>
              <w:rPr>
                <w:rFonts w:ascii="Arial" w:hAnsi="Arial" w:cs="Arial"/>
                <w:sz w:val="20"/>
                <w:szCs w:val="20"/>
              </w:rPr>
            </w:pPr>
            <w:r>
              <w:rPr>
                <w:rFonts w:ascii="Arial" w:hAnsi="Arial" w:cs="Arial"/>
                <w:sz w:val="20"/>
                <w:szCs w:val="20"/>
              </w:rPr>
              <w:t>Studies focusing on barriers to listening skill improvement in EFL</w:t>
            </w:r>
          </w:p>
        </w:tc>
        <w:tc>
          <w:tcPr>
            <w:tcW w:w="3325" w:type="dxa"/>
          </w:tcPr>
          <w:p w14:paraId="0FCB10C3">
            <w:pPr>
              <w:pStyle w:val="17"/>
              <w:spacing w:beforeAutospacing="0" w:afterAutospacing="0"/>
              <w:jc w:val="both"/>
              <w:rPr>
                <w:rFonts w:ascii="Arial" w:hAnsi="Arial" w:cs="Arial"/>
                <w:sz w:val="20"/>
                <w:szCs w:val="20"/>
              </w:rPr>
            </w:pPr>
            <w:r>
              <w:rPr>
                <w:rFonts w:ascii="Arial" w:hAnsi="Arial" w:cs="Arial"/>
                <w:sz w:val="20"/>
                <w:szCs w:val="20"/>
              </w:rPr>
              <w:t>Studies unrelated to English listening or focusing on other skills</w:t>
            </w:r>
          </w:p>
        </w:tc>
      </w:tr>
    </w:tbl>
    <w:p w14:paraId="648ACC0C">
      <w:pPr>
        <w:pStyle w:val="17"/>
        <w:spacing w:beforeAutospacing="0" w:afterAutospacing="0"/>
        <w:jc w:val="both"/>
        <w:rPr>
          <w:rFonts w:ascii="Arial" w:hAnsi="Arial" w:cs="Arial"/>
          <w:sz w:val="20"/>
          <w:szCs w:val="20"/>
        </w:rPr>
      </w:pPr>
    </w:p>
    <w:p w14:paraId="4041A993">
      <w:pPr>
        <w:pStyle w:val="3"/>
        <w:spacing w:beforeAutospacing="0" w:afterAutospacing="0"/>
        <w:jc w:val="both"/>
        <w:rPr>
          <w:rStyle w:val="19"/>
          <w:rFonts w:hint="default" w:ascii="Arial" w:hAnsi="Arial" w:cs="Arial"/>
          <w:b/>
          <w:bCs/>
          <w:sz w:val="20"/>
          <w:szCs w:val="20"/>
        </w:rPr>
      </w:pPr>
      <w:r>
        <w:rPr>
          <w:rStyle w:val="19"/>
          <w:rFonts w:hint="default" w:ascii="Arial" w:hAnsi="Arial" w:cs="Arial"/>
          <w:b/>
          <w:bCs/>
          <w:sz w:val="20"/>
          <w:szCs w:val="20"/>
        </w:rPr>
        <w:t>Process for Inclusion and Exclusion of Data</w:t>
      </w:r>
    </w:p>
    <w:p w14:paraId="0F51DB62">
      <w:pPr>
        <w:pStyle w:val="3"/>
        <w:numPr>
          <w:ilvl w:val="0"/>
          <w:numId w:val="3"/>
        </w:numPr>
        <w:spacing w:beforeAutospacing="0" w:afterAutospacing="0"/>
        <w:jc w:val="both"/>
        <w:rPr>
          <w:rFonts w:hint="default" w:ascii="Arial" w:hAnsi="Arial" w:cs="Arial"/>
          <w:b w:val="0"/>
          <w:bCs w:val="0"/>
          <w:sz w:val="20"/>
          <w:szCs w:val="20"/>
        </w:rPr>
      </w:pPr>
      <w:r>
        <w:rPr>
          <w:rStyle w:val="19"/>
          <w:rFonts w:hint="default" w:ascii="Arial" w:hAnsi="Arial" w:cs="Arial"/>
          <w:b/>
          <w:bCs/>
          <w:i/>
          <w:iCs/>
          <w:sz w:val="20"/>
          <w:szCs w:val="20"/>
        </w:rPr>
        <w:t>Initial Search</w:t>
      </w:r>
      <w:r>
        <w:rPr>
          <w:rStyle w:val="19"/>
          <w:rFonts w:hint="default" w:ascii="Arial" w:hAnsi="Arial" w:cs="Arial"/>
          <w:b/>
          <w:bCs/>
          <w:i/>
          <w:iCs/>
          <w:sz w:val="20"/>
          <w:szCs w:val="20"/>
          <w:lang w:val="en-GB"/>
        </w:rPr>
        <w:t>.</w:t>
      </w:r>
      <w:r>
        <w:rPr>
          <w:rStyle w:val="19"/>
          <w:rFonts w:hint="default" w:ascii="Arial" w:hAnsi="Arial" w:cs="Arial"/>
          <w:b/>
          <w:bCs/>
          <w:sz w:val="20"/>
          <w:szCs w:val="20"/>
          <w:lang w:val="en-GB"/>
        </w:rPr>
        <w:t xml:space="preserve"> </w:t>
      </w:r>
      <w:r>
        <w:rPr>
          <w:rFonts w:hint="default" w:ascii="Arial" w:hAnsi="Arial" w:cs="Arial"/>
          <w:b w:val="0"/>
          <w:bCs w:val="0"/>
          <w:sz w:val="20"/>
          <w:szCs w:val="20"/>
        </w:rPr>
        <w:t>Conducted a search on Google Scholar using defined keywords.</w:t>
      </w:r>
    </w:p>
    <w:p w14:paraId="1D7B460A">
      <w:pPr>
        <w:pStyle w:val="3"/>
        <w:numPr>
          <w:ilvl w:val="0"/>
          <w:numId w:val="3"/>
        </w:numPr>
        <w:spacing w:beforeAutospacing="0" w:afterAutospacing="0"/>
        <w:jc w:val="both"/>
        <w:rPr>
          <w:rFonts w:hint="default" w:ascii="Arial" w:hAnsi="Arial" w:cs="Arial"/>
          <w:b w:val="0"/>
          <w:bCs w:val="0"/>
          <w:sz w:val="20"/>
          <w:szCs w:val="20"/>
        </w:rPr>
      </w:pPr>
      <w:r>
        <w:rPr>
          <w:rStyle w:val="19"/>
          <w:rFonts w:hint="default" w:ascii="Arial" w:hAnsi="Arial" w:cs="Arial"/>
          <w:b/>
          <w:bCs/>
          <w:i/>
          <w:iCs/>
          <w:sz w:val="20"/>
          <w:szCs w:val="20"/>
        </w:rPr>
        <w:t>Screening of Titles and Abstracts</w:t>
      </w:r>
      <w:r>
        <w:rPr>
          <w:rStyle w:val="19"/>
          <w:rFonts w:hint="default" w:ascii="Arial" w:hAnsi="Arial" w:cs="Arial"/>
          <w:b/>
          <w:bCs/>
          <w:i/>
          <w:iCs/>
          <w:sz w:val="20"/>
          <w:szCs w:val="20"/>
          <w:lang w:val="en-GB"/>
        </w:rPr>
        <w:t>.</w:t>
      </w:r>
      <w:r>
        <w:rPr>
          <w:rStyle w:val="19"/>
          <w:rFonts w:hint="default" w:ascii="Arial" w:hAnsi="Arial" w:cs="Arial"/>
          <w:b/>
          <w:bCs/>
          <w:sz w:val="20"/>
          <w:szCs w:val="20"/>
          <w:lang w:val="en-GB"/>
        </w:rPr>
        <w:t xml:space="preserve"> </w:t>
      </w:r>
      <w:r>
        <w:rPr>
          <w:rFonts w:hint="default" w:ascii="Arial" w:hAnsi="Arial" w:cs="Arial"/>
          <w:b w:val="0"/>
          <w:bCs w:val="0"/>
          <w:sz w:val="20"/>
          <w:szCs w:val="20"/>
        </w:rPr>
        <w:t>Reviewed study titles and abstracts to identify relevance based on inclusion criteria.</w:t>
      </w:r>
    </w:p>
    <w:p w14:paraId="4DB8A9F3">
      <w:pPr>
        <w:pStyle w:val="3"/>
        <w:numPr>
          <w:ilvl w:val="0"/>
          <w:numId w:val="3"/>
        </w:numPr>
        <w:spacing w:beforeAutospacing="0" w:afterAutospacing="0"/>
        <w:jc w:val="both"/>
        <w:rPr>
          <w:rFonts w:hint="default" w:ascii="Arial" w:hAnsi="Arial" w:cs="Arial"/>
          <w:b w:val="0"/>
          <w:bCs w:val="0"/>
          <w:sz w:val="20"/>
          <w:szCs w:val="20"/>
        </w:rPr>
      </w:pPr>
      <w:r>
        <w:rPr>
          <w:rStyle w:val="19"/>
          <w:rFonts w:hint="default" w:ascii="Arial" w:hAnsi="Arial" w:cs="Arial"/>
          <w:b/>
          <w:bCs/>
          <w:i/>
          <w:iCs/>
          <w:sz w:val="20"/>
          <w:szCs w:val="20"/>
        </w:rPr>
        <w:t>Full-Text Review</w:t>
      </w:r>
      <w:r>
        <w:rPr>
          <w:rStyle w:val="19"/>
          <w:rFonts w:hint="default" w:ascii="Arial" w:hAnsi="Arial" w:cs="Arial"/>
          <w:b/>
          <w:bCs/>
          <w:i/>
          <w:iCs/>
          <w:sz w:val="20"/>
          <w:szCs w:val="20"/>
          <w:lang w:val="en-GB"/>
        </w:rPr>
        <w:t>.</w:t>
      </w:r>
      <w:r>
        <w:rPr>
          <w:rStyle w:val="19"/>
          <w:rFonts w:hint="default" w:ascii="Arial" w:hAnsi="Arial" w:cs="Arial"/>
          <w:b/>
          <w:bCs/>
          <w:sz w:val="20"/>
          <w:szCs w:val="20"/>
          <w:lang w:val="en-GB"/>
        </w:rPr>
        <w:t xml:space="preserve"> </w:t>
      </w:r>
      <w:r>
        <w:rPr>
          <w:rFonts w:hint="default" w:ascii="Arial" w:hAnsi="Arial" w:cs="Arial"/>
          <w:b w:val="0"/>
          <w:bCs w:val="0"/>
          <w:sz w:val="20"/>
          <w:szCs w:val="20"/>
        </w:rPr>
        <w:t>Accessed the full text of potentially relevant studies to ensure they met all inclusion criteria.</w:t>
      </w:r>
    </w:p>
    <w:p w14:paraId="683C8731">
      <w:pPr>
        <w:pStyle w:val="3"/>
        <w:numPr>
          <w:ilvl w:val="0"/>
          <w:numId w:val="3"/>
        </w:numPr>
        <w:spacing w:beforeAutospacing="0" w:afterAutospacing="0"/>
        <w:jc w:val="both"/>
        <w:rPr>
          <w:rFonts w:hint="default" w:ascii="Arial" w:hAnsi="Arial" w:cs="Arial"/>
          <w:b w:val="0"/>
          <w:bCs w:val="0"/>
          <w:sz w:val="20"/>
          <w:szCs w:val="20"/>
        </w:rPr>
      </w:pPr>
      <w:r>
        <w:rPr>
          <w:rStyle w:val="19"/>
          <w:rFonts w:hint="default" w:ascii="Arial" w:hAnsi="Arial" w:cs="Arial"/>
          <w:b/>
          <w:bCs/>
          <w:i/>
          <w:iCs/>
          <w:sz w:val="20"/>
          <w:szCs w:val="20"/>
        </w:rPr>
        <w:t>Quality Appraisal</w:t>
      </w:r>
      <w:r>
        <w:rPr>
          <w:rStyle w:val="19"/>
          <w:rFonts w:hint="default" w:ascii="Arial" w:hAnsi="Arial" w:cs="Arial"/>
          <w:b/>
          <w:bCs/>
          <w:i/>
          <w:iCs/>
          <w:sz w:val="20"/>
          <w:szCs w:val="20"/>
          <w:lang w:val="en-GB"/>
        </w:rPr>
        <w:t>.</w:t>
      </w:r>
      <w:r>
        <w:rPr>
          <w:rStyle w:val="19"/>
          <w:rFonts w:hint="default" w:ascii="Arial" w:hAnsi="Arial" w:cs="Arial"/>
          <w:b/>
          <w:bCs/>
          <w:sz w:val="20"/>
          <w:szCs w:val="20"/>
          <w:lang w:val="en-GB"/>
        </w:rPr>
        <w:t xml:space="preserve"> </w:t>
      </w:r>
      <w:r>
        <w:rPr>
          <w:rFonts w:hint="default" w:ascii="Arial" w:hAnsi="Arial" w:cs="Arial"/>
          <w:b w:val="0"/>
          <w:bCs w:val="0"/>
          <w:sz w:val="20"/>
          <w:szCs w:val="20"/>
        </w:rPr>
        <w:t>Assessed the methodological quality of the included studies using guidelines from systematic review methodologies (e.g., relevance, rigor, and clarity).</w:t>
      </w:r>
    </w:p>
    <w:p w14:paraId="5BA7353B">
      <w:pPr>
        <w:pStyle w:val="3"/>
        <w:numPr>
          <w:ilvl w:val="0"/>
          <w:numId w:val="3"/>
        </w:numPr>
        <w:spacing w:beforeAutospacing="0" w:afterAutospacing="0"/>
        <w:jc w:val="both"/>
        <w:rPr>
          <w:rFonts w:hint="default" w:ascii="Arial" w:hAnsi="Arial" w:cs="Arial"/>
          <w:b w:val="0"/>
          <w:bCs w:val="0"/>
          <w:sz w:val="20"/>
          <w:szCs w:val="20"/>
        </w:rPr>
      </w:pPr>
      <w:r>
        <w:rPr>
          <w:rStyle w:val="19"/>
          <w:rFonts w:hint="default" w:ascii="Arial" w:hAnsi="Arial" w:cs="Arial"/>
          <w:b/>
          <w:bCs/>
          <w:i/>
          <w:iCs/>
          <w:sz w:val="20"/>
          <w:szCs w:val="20"/>
        </w:rPr>
        <w:t>Exclusion</w:t>
      </w:r>
      <w:r>
        <w:rPr>
          <w:rStyle w:val="19"/>
          <w:rFonts w:hint="default" w:ascii="Arial" w:hAnsi="Arial" w:cs="Arial"/>
          <w:b/>
          <w:bCs/>
          <w:i/>
          <w:iCs/>
          <w:sz w:val="20"/>
          <w:szCs w:val="20"/>
          <w:lang w:val="en-GB"/>
        </w:rPr>
        <w:t>.</w:t>
      </w:r>
      <w:r>
        <w:rPr>
          <w:rStyle w:val="19"/>
          <w:rFonts w:hint="default" w:ascii="Arial" w:hAnsi="Arial" w:cs="Arial"/>
          <w:b/>
          <w:bCs/>
          <w:sz w:val="20"/>
          <w:szCs w:val="20"/>
          <w:lang w:val="en-GB"/>
        </w:rPr>
        <w:t xml:space="preserve"> </w:t>
      </w:r>
      <w:r>
        <w:rPr>
          <w:rFonts w:hint="default" w:ascii="Arial" w:hAnsi="Arial" w:cs="Arial"/>
          <w:b w:val="0"/>
          <w:bCs w:val="0"/>
          <w:sz w:val="20"/>
          <w:szCs w:val="20"/>
        </w:rPr>
        <w:t>Studies not meeting the inclusion criteria were excluded with reasons documented (e.g., incorrect study type, outdated publication).</w:t>
      </w:r>
    </w:p>
    <w:p w14:paraId="76344397">
      <w:pPr>
        <w:pStyle w:val="17"/>
        <w:spacing w:beforeAutospacing="0" w:afterAutospacing="0"/>
        <w:jc w:val="both"/>
        <w:rPr>
          <w:rFonts w:ascii="Arial" w:hAnsi="Arial" w:cs="Arial"/>
          <w:sz w:val="20"/>
          <w:szCs w:val="20"/>
        </w:rPr>
      </w:pPr>
    </w:p>
    <w:p w14:paraId="419EFB54">
      <w:pPr>
        <w:pStyle w:val="3"/>
        <w:spacing w:beforeAutospacing="0" w:afterAutospacing="0"/>
        <w:jc w:val="both"/>
        <w:rPr>
          <w:rStyle w:val="19"/>
          <w:rFonts w:hint="default" w:ascii="Arial" w:hAnsi="Arial" w:cs="Arial"/>
          <w:b/>
          <w:bCs/>
          <w:sz w:val="20"/>
          <w:szCs w:val="20"/>
        </w:rPr>
      </w:pPr>
      <w:r>
        <w:rPr>
          <w:rStyle w:val="19"/>
          <w:rFonts w:hint="default" w:ascii="Arial" w:hAnsi="Arial" w:cs="Arial"/>
          <w:b/>
          <w:bCs/>
          <w:sz w:val="20"/>
          <w:szCs w:val="20"/>
        </w:rPr>
        <w:t>Flow of Inclusion and Exclusion</w:t>
      </w:r>
    </w:p>
    <w:p w14:paraId="05217F28">
      <w:pPr>
        <w:pStyle w:val="3"/>
        <w:numPr>
          <w:ilvl w:val="0"/>
          <w:numId w:val="4"/>
        </w:numPr>
        <w:spacing w:beforeAutospacing="0" w:afterAutospacing="0"/>
        <w:jc w:val="both"/>
        <w:rPr>
          <w:rFonts w:hint="default" w:ascii="Arial" w:hAnsi="Arial" w:cs="Arial"/>
          <w:b w:val="0"/>
          <w:bCs w:val="0"/>
          <w:sz w:val="20"/>
          <w:szCs w:val="20"/>
        </w:rPr>
      </w:pPr>
      <w:r>
        <w:rPr>
          <w:rStyle w:val="19"/>
          <w:rFonts w:hint="default" w:ascii="Arial" w:hAnsi="Arial" w:cs="Arial"/>
          <w:b/>
          <w:bCs/>
          <w:i/>
          <w:iCs/>
          <w:sz w:val="20"/>
          <w:szCs w:val="20"/>
        </w:rPr>
        <w:t>Search Results</w:t>
      </w:r>
      <w:r>
        <w:rPr>
          <w:rStyle w:val="19"/>
          <w:rFonts w:hint="default" w:ascii="Arial" w:hAnsi="Arial" w:cs="Arial"/>
          <w:b/>
          <w:bCs/>
          <w:i/>
          <w:iCs/>
          <w:sz w:val="20"/>
          <w:szCs w:val="20"/>
          <w:lang w:val="en-GB"/>
        </w:rPr>
        <w:t>.</w:t>
      </w:r>
      <w:r>
        <w:rPr>
          <w:rStyle w:val="19"/>
          <w:rFonts w:hint="default" w:ascii="Arial" w:hAnsi="Arial" w:cs="Arial"/>
          <w:b/>
          <w:bCs/>
          <w:sz w:val="20"/>
          <w:szCs w:val="20"/>
          <w:lang w:val="en-GB"/>
        </w:rPr>
        <w:t xml:space="preserve"> </w:t>
      </w:r>
      <w:r>
        <w:rPr>
          <w:rStyle w:val="19"/>
          <w:rFonts w:hint="default" w:ascii="Arial" w:hAnsi="Arial" w:cs="Arial"/>
          <w:b w:val="0"/>
          <w:bCs w:val="0"/>
          <w:sz w:val="20"/>
          <w:szCs w:val="20"/>
          <w:lang w:val="en-GB"/>
        </w:rPr>
        <w:t>19,400</w:t>
      </w:r>
      <w:r>
        <w:rPr>
          <w:rFonts w:hint="default" w:ascii="Arial" w:hAnsi="Arial" w:cs="Arial"/>
          <w:b w:val="0"/>
          <w:bCs w:val="0"/>
          <w:sz w:val="20"/>
          <w:szCs w:val="20"/>
        </w:rPr>
        <w:t xml:space="preserve"> studies retrieved from Google Scholar.</w:t>
      </w:r>
    </w:p>
    <w:p w14:paraId="39935D94">
      <w:pPr>
        <w:pStyle w:val="3"/>
        <w:numPr>
          <w:ilvl w:val="0"/>
          <w:numId w:val="4"/>
        </w:numPr>
        <w:spacing w:beforeAutospacing="0" w:afterAutospacing="0"/>
        <w:jc w:val="both"/>
        <w:rPr>
          <w:rFonts w:hint="default" w:ascii="Arial" w:hAnsi="Arial" w:cs="Arial"/>
          <w:b w:val="0"/>
          <w:bCs w:val="0"/>
          <w:sz w:val="20"/>
          <w:szCs w:val="20"/>
        </w:rPr>
      </w:pPr>
      <w:r>
        <w:rPr>
          <w:rStyle w:val="19"/>
          <w:rFonts w:hint="default" w:ascii="Arial" w:hAnsi="Arial" w:cs="Arial"/>
          <w:b/>
          <w:bCs/>
          <w:i/>
          <w:iCs/>
          <w:sz w:val="20"/>
          <w:szCs w:val="20"/>
        </w:rPr>
        <w:t>Title and Abstract Screening</w:t>
      </w:r>
      <w:r>
        <w:rPr>
          <w:rStyle w:val="19"/>
          <w:rFonts w:hint="default" w:ascii="Arial" w:hAnsi="Arial" w:cs="Arial"/>
          <w:b/>
          <w:bCs/>
          <w:i/>
          <w:iCs/>
          <w:sz w:val="20"/>
          <w:szCs w:val="20"/>
          <w:lang w:val="en-GB"/>
        </w:rPr>
        <w:t>.</w:t>
      </w:r>
      <w:r>
        <w:rPr>
          <w:rStyle w:val="19"/>
          <w:rFonts w:hint="default" w:ascii="Arial" w:hAnsi="Arial" w:cs="Arial"/>
          <w:b/>
          <w:bCs/>
          <w:sz w:val="20"/>
          <w:szCs w:val="20"/>
          <w:lang w:val="en-GB"/>
        </w:rPr>
        <w:t xml:space="preserve"> </w:t>
      </w:r>
      <w:r>
        <w:rPr>
          <w:rFonts w:hint="default" w:ascii="Arial" w:hAnsi="Arial" w:cs="Arial"/>
          <w:b w:val="0"/>
          <w:bCs w:val="0"/>
          <w:sz w:val="20"/>
          <w:szCs w:val="20"/>
        </w:rPr>
        <w:t xml:space="preserve">Reduced to </w:t>
      </w:r>
      <w:r>
        <w:rPr>
          <w:rFonts w:hint="default" w:ascii="Arial" w:hAnsi="Arial" w:cs="Arial"/>
          <w:b w:val="0"/>
          <w:bCs w:val="0"/>
          <w:sz w:val="20"/>
          <w:szCs w:val="20"/>
          <w:lang w:val="en-GB"/>
        </w:rPr>
        <w:t>5,280</w:t>
      </w:r>
      <w:r>
        <w:rPr>
          <w:rFonts w:hint="default" w:ascii="Arial" w:hAnsi="Arial" w:cs="Arial"/>
          <w:b w:val="0"/>
          <w:bCs w:val="0"/>
          <w:sz w:val="20"/>
          <w:szCs w:val="20"/>
        </w:rPr>
        <w:t xml:space="preserve"> studies based on relevance.</w:t>
      </w:r>
    </w:p>
    <w:p w14:paraId="4E27691F">
      <w:pPr>
        <w:pStyle w:val="3"/>
        <w:spacing w:beforeAutospacing="0" w:afterAutospacing="0"/>
        <w:jc w:val="both"/>
        <w:rPr>
          <w:rFonts w:hint="default" w:ascii="Arial" w:hAnsi="Arial" w:cs="Arial"/>
        </w:rPr>
      </w:pPr>
      <w:r>
        <w:rPr>
          <w:rStyle w:val="19"/>
          <w:rFonts w:hint="default" w:ascii="Arial" w:hAnsi="Arial" w:cs="Arial"/>
          <w:b w:val="0"/>
          <w:bCs w:val="0"/>
          <w:sz w:val="20"/>
          <w:szCs w:val="20"/>
          <w:lang w:val="en-GB"/>
        </w:rPr>
        <w:t>3.</w:t>
      </w:r>
      <w:r>
        <w:rPr>
          <w:rStyle w:val="19"/>
          <w:rFonts w:hint="default" w:ascii="Arial" w:hAnsi="Arial" w:cs="Arial"/>
          <w:b/>
          <w:bCs/>
          <w:i/>
          <w:iCs/>
          <w:sz w:val="20"/>
          <w:szCs w:val="20"/>
        </w:rPr>
        <w:t>Full-Text Screening</w:t>
      </w:r>
      <w:r>
        <w:rPr>
          <w:rStyle w:val="19"/>
          <w:rFonts w:hint="default" w:ascii="Arial" w:hAnsi="Arial" w:cs="Arial"/>
          <w:b/>
          <w:bCs/>
          <w:i/>
          <w:iCs/>
          <w:sz w:val="20"/>
          <w:szCs w:val="20"/>
          <w:lang w:val="en-GB"/>
        </w:rPr>
        <w:t>.</w:t>
      </w:r>
      <w:r>
        <w:rPr>
          <w:rStyle w:val="19"/>
          <w:rFonts w:hint="default" w:ascii="Arial" w:hAnsi="Arial" w:cs="Arial"/>
          <w:b/>
          <w:bCs/>
          <w:sz w:val="20"/>
          <w:szCs w:val="20"/>
          <w:lang w:val="en-GB"/>
        </w:rPr>
        <w:t xml:space="preserve"> </w:t>
      </w:r>
      <w:r>
        <w:rPr>
          <w:rFonts w:hint="default" w:ascii="Arial" w:hAnsi="Arial" w:cs="Arial"/>
          <w:b w:val="0"/>
          <w:bCs w:val="0"/>
          <w:sz w:val="20"/>
          <w:szCs w:val="20"/>
        </w:rPr>
        <w:t xml:space="preserve">Narrowed to </w:t>
      </w:r>
      <w:r>
        <w:rPr>
          <w:rFonts w:hint="default" w:ascii="Arial" w:hAnsi="Arial" w:cs="Arial"/>
          <w:b w:val="0"/>
          <w:bCs w:val="0"/>
          <w:sz w:val="20"/>
          <w:szCs w:val="20"/>
          <w:lang w:val="en-GB"/>
        </w:rPr>
        <w:t>100</w:t>
      </w:r>
      <w:r>
        <w:rPr>
          <w:rFonts w:hint="default" w:ascii="Arial" w:hAnsi="Arial" w:cs="Arial"/>
          <w:b w:val="0"/>
          <w:bCs w:val="0"/>
          <w:sz w:val="20"/>
          <w:szCs w:val="20"/>
        </w:rPr>
        <w:t xml:space="preserve"> studies after excluding non-qualitative research, irrelevant topics, or non-peer-reviewed articles.</w:t>
      </w:r>
    </w:p>
    <w:p w14:paraId="43BAD96E">
      <w:pPr>
        <w:pStyle w:val="3"/>
        <w:spacing w:beforeAutospacing="0" w:afterAutospacing="0"/>
        <w:jc w:val="both"/>
        <w:rPr>
          <w:rFonts w:hint="default" w:ascii="Arial" w:hAnsi="Arial" w:cs="Arial"/>
        </w:rPr>
      </w:pPr>
      <w:r>
        <w:rPr>
          <w:rFonts w:hint="default" w:ascii="Arial" w:hAnsi="Arial" w:cs="Arial"/>
          <w:b w:val="0"/>
          <w:bCs w:val="0"/>
          <w:sz w:val="20"/>
          <w:szCs w:val="20"/>
          <w:lang w:val="en-GB"/>
        </w:rPr>
        <w:t xml:space="preserve">4. </w:t>
      </w:r>
      <w:r>
        <w:rPr>
          <w:rStyle w:val="19"/>
          <w:rFonts w:hint="default" w:ascii="Arial" w:hAnsi="Arial" w:cs="Arial"/>
          <w:b/>
          <w:bCs/>
          <w:i/>
          <w:iCs/>
          <w:sz w:val="20"/>
          <w:szCs w:val="20"/>
        </w:rPr>
        <w:t>Final Inclusion</w:t>
      </w:r>
      <w:r>
        <w:rPr>
          <w:rStyle w:val="19"/>
          <w:rFonts w:hint="default" w:ascii="Arial" w:hAnsi="Arial" w:cs="Arial"/>
          <w:b/>
          <w:bCs/>
          <w:i/>
          <w:iCs/>
          <w:sz w:val="20"/>
          <w:szCs w:val="20"/>
          <w:lang w:val="en-GB"/>
        </w:rPr>
        <w:t>.</w:t>
      </w:r>
      <w:r>
        <w:rPr>
          <w:rFonts w:hint="default" w:ascii="Arial" w:hAnsi="Arial" w:cs="Arial"/>
          <w:b w:val="0"/>
          <w:bCs w:val="0"/>
          <w:sz w:val="20"/>
          <w:szCs w:val="20"/>
        </w:rPr>
        <w:t xml:space="preserve"> </w:t>
      </w:r>
      <w:r>
        <w:rPr>
          <w:rFonts w:hint="default" w:ascii="Arial" w:hAnsi="Arial" w:cs="Arial"/>
          <w:b w:val="0"/>
          <w:bCs w:val="0"/>
          <w:sz w:val="20"/>
          <w:szCs w:val="20"/>
          <w:lang w:val="en-GB"/>
        </w:rPr>
        <w:t>30</w:t>
      </w:r>
      <w:r>
        <w:rPr>
          <w:rFonts w:hint="default" w:ascii="Arial" w:hAnsi="Arial" w:cs="Arial"/>
          <w:b w:val="0"/>
          <w:bCs w:val="0"/>
          <w:sz w:val="20"/>
          <w:szCs w:val="20"/>
        </w:rPr>
        <w:t xml:space="preserve"> studies included in the systematic review after quality appraisal and alignment with research objectives.</w:t>
      </w:r>
      <w:r>
        <w:rPr>
          <w:rFonts w:ascii="Arial" w:hAnsi="Arial" w:cs="Arial"/>
        </w:rPr>
        <w:t xml:space="preserve">  </w:t>
      </w:r>
    </w:p>
    <w:p w14:paraId="1D850416">
      <w:pPr>
        <w:pStyle w:val="24"/>
        <w:spacing w:after="0"/>
        <w:rPr>
          <w:rFonts w:ascii="Arial" w:hAnsi="Arial" w:cs="Arial"/>
        </w:rPr>
      </w:pPr>
    </w:p>
    <w:p w14:paraId="2788CD1E">
      <w:pPr>
        <w:pStyle w:val="36"/>
        <w:spacing w:after="0"/>
        <w:jc w:val="both"/>
        <w:rPr>
          <w:rFonts w:ascii="Arial" w:hAnsi="Arial" w:cs="Arial"/>
        </w:rPr>
      </w:pPr>
      <w:r>
        <w:rPr>
          <w:rFonts w:ascii="Arial" w:hAnsi="Arial" w:cs="Arial"/>
        </w:rPr>
        <w:t>3. results and discussion</w:t>
      </w:r>
    </w:p>
    <w:p w14:paraId="1718AA4B">
      <w:pPr>
        <w:pStyle w:val="36"/>
        <w:spacing w:after="0"/>
        <w:jc w:val="both"/>
        <w:rPr>
          <w:rFonts w:ascii="Arial" w:hAnsi="Arial" w:cs="Arial"/>
        </w:rPr>
      </w:pPr>
    </w:p>
    <w:p w14:paraId="152A1F8A">
      <w:pPr>
        <w:pStyle w:val="66"/>
        <w:jc w:val="both"/>
        <w:rPr>
          <w:rFonts w:ascii="Arial" w:hAnsi="Arial" w:eastAsia="SimSun" w:cs="Arial"/>
          <w:sz w:val="20"/>
          <w:szCs w:val="20"/>
        </w:rPr>
      </w:pPr>
      <w:r>
        <w:rPr>
          <w:rFonts w:ascii="Arial" w:hAnsi="Arial" w:eastAsia="SimSun" w:cs="Arial"/>
          <w:sz w:val="20"/>
          <w:szCs w:val="20"/>
        </w:rPr>
        <w:t>The results</w:t>
      </w:r>
      <w:r>
        <w:rPr>
          <w:rFonts w:ascii="Arial" w:hAnsi="Arial" w:eastAsia="SimSun" w:cs="Arial"/>
          <w:sz w:val="20"/>
          <w:szCs w:val="20"/>
          <w:lang w:val="en-GB"/>
        </w:rPr>
        <w:t xml:space="preserve"> and discussions</w:t>
      </w:r>
      <w:r>
        <w:rPr>
          <w:rFonts w:ascii="Arial" w:hAnsi="Arial" w:eastAsia="SimSun" w:cs="Arial"/>
          <w:sz w:val="20"/>
          <w:szCs w:val="20"/>
        </w:rPr>
        <w:t xml:space="preserve"> of this study identify a diverse range of factors that hinder the improvement of listening skills among English learners, categori</w:t>
      </w:r>
      <w:r>
        <w:rPr>
          <w:rFonts w:ascii="Arial" w:hAnsi="Arial" w:eastAsia="SimSun" w:cs="Arial"/>
          <w:sz w:val="20"/>
          <w:szCs w:val="20"/>
          <w:lang w:val="en-GB"/>
        </w:rPr>
        <w:tab/>
      </w:r>
      <w:r>
        <w:rPr>
          <w:rFonts w:ascii="Arial" w:hAnsi="Arial" w:eastAsia="SimSun" w:cs="Arial"/>
          <w:sz w:val="20"/>
          <w:szCs w:val="20"/>
        </w:rPr>
        <w:t>zed into five primary themes: internal challenges, external barriers, pedagogical and instructional issues, sociocultural and contextual factors, and learner autonomy and motivation. Each theme encompasses specific sub-themes and core ideas, revealing the complex interplay between individual learner experiences, environmental influences, and systemic obstacles. A systematic analysis of recent literature (2019-2024) highlights these challenges, emphasizing how they collectively impede listening proficiency development. This comprehensive examination provides a foundation for understanding the multifaceted nature of these barriers and their implications for English language education.</w:t>
      </w:r>
    </w:p>
    <w:p w14:paraId="64BF265E">
      <w:pPr>
        <w:pStyle w:val="66"/>
        <w:jc w:val="both"/>
        <w:rPr>
          <w:rFonts w:ascii="Arial" w:hAnsi="Arial" w:eastAsia="SimSun" w:cs="Arial"/>
          <w:sz w:val="20"/>
          <w:szCs w:val="20"/>
        </w:rPr>
      </w:pPr>
    </w:p>
    <w:p w14:paraId="09123808">
      <w:pPr>
        <w:pStyle w:val="66"/>
        <w:jc w:val="both"/>
        <w:rPr>
          <w:rFonts w:ascii="Arial" w:hAnsi="Arial" w:eastAsia="SimSun" w:cs="Arial"/>
          <w:sz w:val="20"/>
          <w:szCs w:val="20"/>
        </w:rPr>
      </w:pPr>
    </w:p>
    <w:p w14:paraId="49C6E9A4">
      <w:pPr>
        <w:pStyle w:val="66"/>
        <w:jc w:val="both"/>
        <w:rPr>
          <w:rFonts w:ascii="Arial" w:hAnsi="Arial" w:eastAsia="SimSun" w:cs="Arial"/>
          <w:sz w:val="20"/>
          <w:szCs w:val="20"/>
        </w:rPr>
      </w:pPr>
      <w:r>
        <w:rPr>
          <w:rFonts w:ascii="Arial" w:hAnsi="Arial" w:eastAsia="SimSun" w:cs="Arial"/>
          <w:sz w:val="20"/>
          <w:szCs w:val="20"/>
        </w:rPr>
        <w:t>Table 2 : Implications for English language education</w:t>
      </w:r>
    </w:p>
    <w:tbl>
      <w:tblPr>
        <w:tblStyle w:val="20"/>
        <w:tblpPr w:leftFromText="180" w:rightFromText="180" w:vertAnchor="text" w:horzAnchor="page" w:tblpX="2131" w:tblpY="265"/>
        <w:tblOverlap w:val="never"/>
        <w:tblW w:w="81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3"/>
        <w:gridCol w:w="2588"/>
        <w:gridCol w:w="4125"/>
      </w:tblGrid>
      <w:tr w14:paraId="2FD78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14:paraId="6ADFE38D">
            <w:pPr>
              <w:pStyle w:val="66"/>
              <w:jc w:val="center"/>
              <w:rPr>
                <w:rFonts w:ascii="Arial" w:hAnsi="Arial" w:cs="Arial"/>
                <w:b/>
                <w:bCs/>
                <w:sz w:val="20"/>
                <w:szCs w:val="20"/>
                <w:lang w:val="en-GB"/>
              </w:rPr>
            </w:pPr>
            <w:r>
              <w:rPr>
                <w:rFonts w:ascii="Arial" w:hAnsi="Arial" w:cs="Arial"/>
                <w:b/>
                <w:bCs/>
                <w:sz w:val="20"/>
                <w:szCs w:val="20"/>
                <w:lang w:val="en-GB"/>
              </w:rPr>
              <w:t>Themes</w:t>
            </w:r>
          </w:p>
        </w:tc>
        <w:tc>
          <w:tcPr>
            <w:tcW w:w="2592" w:type="dxa"/>
          </w:tcPr>
          <w:p w14:paraId="43666CD3">
            <w:pPr>
              <w:pStyle w:val="66"/>
              <w:jc w:val="center"/>
              <w:rPr>
                <w:rFonts w:ascii="Arial" w:hAnsi="Arial" w:cs="Arial"/>
                <w:b/>
                <w:bCs/>
                <w:sz w:val="20"/>
                <w:szCs w:val="20"/>
                <w:lang w:val="en-GB"/>
              </w:rPr>
            </w:pPr>
            <w:r>
              <w:rPr>
                <w:rFonts w:ascii="Arial" w:hAnsi="Arial" w:cs="Arial"/>
                <w:b/>
                <w:bCs/>
                <w:sz w:val="20"/>
                <w:szCs w:val="20"/>
                <w:lang w:val="en-GB"/>
              </w:rPr>
              <w:t>Sub-themes</w:t>
            </w:r>
          </w:p>
        </w:tc>
        <w:tc>
          <w:tcPr>
            <w:tcW w:w="4133" w:type="dxa"/>
          </w:tcPr>
          <w:p w14:paraId="69E26312">
            <w:pPr>
              <w:pStyle w:val="66"/>
              <w:jc w:val="center"/>
              <w:rPr>
                <w:rFonts w:ascii="Arial" w:hAnsi="Arial" w:cs="Arial"/>
                <w:b/>
                <w:bCs/>
                <w:sz w:val="20"/>
                <w:szCs w:val="20"/>
                <w:lang w:val="en-GB"/>
              </w:rPr>
            </w:pPr>
            <w:r>
              <w:rPr>
                <w:rFonts w:ascii="Arial" w:hAnsi="Arial" w:cs="Arial"/>
                <w:b/>
                <w:bCs/>
                <w:sz w:val="20"/>
                <w:szCs w:val="20"/>
                <w:lang w:val="en-GB"/>
              </w:rPr>
              <w:t>Core Ideas</w:t>
            </w:r>
          </w:p>
        </w:tc>
      </w:tr>
      <w:tr w14:paraId="0A9A8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vMerge w:val="restart"/>
          </w:tcPr>
          <w:p w14:paraId="565369DD">
            <w:pPr>
              <w:pStyle w:val="66"/>
              <w:jc w:val="center"/>
              <w:rPr>
                <w:rFonts w:ascii="Arial" w:hAnsi="Arial" w:eastAsia="SimSun" w:cs="Arial"/>
                <w:sz w:val="20"/>
                <w:szCs w:val="20"/>
              </w:rPr>
            </w:pPr>
          </w:p>
          <w:p w14:paraId="12A139C6">
            <w:pPr>
              <w:pStyle w:val="66"/>
              <w:jc w:val="center"/>
              <w:rPr>
                <w:rFonts w:ascii="Arial" w:hAnsi="Arial" w:eastAsia="SimSun" w:cs="Arial"/>
                <w:sz w:val="20"/>
                <w:szCs w:val="20"/>
              </w:rPr>
            </w:pPr>
          </w:p>
          <w:p w14:paraId="4414F698">
            <w:pPr>
              <w:pStyle w:val="66"/>
              <w:jc w:val="center"/>
              <w:rPr>
                <w:rFonts w:ascii="Arial" w:hAnsi="Arial" w:eastAsia="SimSun" w:cs="Arial"/>
                <w:sz w:val="20"/>
                <w:szCs w:val="20"/>
              </w:rPr>
            </w:pPr>
          </w:p>
          <w:p w14:paraId="41B486CE">
            <w:pPr>
              <w:pStyle w:val="66"/>
              <w:jc w:val="center"/>
              <w:rPr>
                <w:rFonts w:ascii="Arial" w:hAnsi="Arial" w:eastAsia="SimSun" w:cs="Arial"/>
                <w:sz w:val="20"/>
                <w:szCs w:val="20"/>
              </w:rPr>
            </w:pPr>
          </w:p>
          <w:p w14:paraId="0F7701C2">
            <w:pPr>
              <w:pStyle w:val="66"/>
              <w:jc w:val="center"/>
              <w:rPr>
                <w:rFonts w:ascii="Arial" w:hAnsi="Arial" w:eastAsia="SimSun" w:cs="Arial"/>
                <w:sz w:val="20"/>
                <w:szCs w:val="20"/>
              </w:rPr>
            </w:pPr>
          </w:p>
          <w:p w14:paraId="05557B34">
            <w:pPr>
              <w:pStyle w:val="66"/>
              <w:jc w:val="center"/>
              <w:rPr>
                <w:rFonts w:ascii="Arial" w:hAnsi="Arial" w:eastAsia="SimSun" w:cs="Arial"/>
                <w:sz w:val="20"/>
                <w:szCs w:val="20"/>
                <w:lang w:val="en-GB"/>
              </w:rPr>
            </w:pPr>
            <w:r>
              <w:rPr>
                <w:rFonts w:ascii="Arial" w:hAnsi="Arial" w:eastAsia="SimSun" w:cs="Arial"/>
                <w:b/>
                <w:bCs/>
                <w:sz w:val="20"/>
                <w:szCs w:val="20"/>
              </w:rPr>
              <w:t>Internal Challenges</w:t>
            </w:r>
          </w:p>
        </w:tc>
        <w:tc>
          <w:tcPr>
            <w:tcW w:w="2592" w:type="dxa"/>
          </w:tcPr>
          <w:p w14:paraId="2CF37CE4">
            <w:pPr>
              <w:pStyle w:val="66"/>
              <w:jc w:val="both"/>
              <w:rPr>
                <w:rFonts w:ascii="Arial" w:hAnsi="Arial" w:eastAsia="SimSun" w:cs="Arial"/>
                <w:sz w:val="20"/>
                <w:szCs w:val="20"/>
              </w:rPr>
            </w:pPr>
          </w:p>
          <w:p w14:paraId="12443EE6">
            <w:pPr>
              <w:pStyle w:val="66"/>
              <w:jc w:val="both"/>
              <w:rPr>
                <w:rFonts w:ascii="Arial" w:hAnsi="Arial" w:cs="Arial"/>
                <w:b/>
                <w:bCs/>
                <w:sz w:val="20"/>
                <w:szCs w:val="20"/>
                <w:lang w:val="en-GB"/>
              </w:rPr>
            </w:pPr>
            <w:r>
              <w:rPr>
                <w:rFonts w:ascii="Arial" w:hAnsi="Arial" w:eastAsia="SimSun" w:cs="Arial"/>
                <w:sz w:val="20"/>
                <w:szCs w:val="20"/>
              </w:rPr>
              <w:t>Vocabulary Deficiency</w:t>
            </w:r>
          </w:p>
        </w:tc>
        <w:tc>
          <w:tcPr>
            <w:tcW w:w="4133" w:type="dxa"/>
          </w:tcPr>
          <w:p w14:paraId="5B77AF01">
            <w:pPr>
              <w:pStyle w:val="66"/>
              <w:jc w:val="both"/>
              <w:rPr>
                <w:rFonts w:ascii="Arial" w:hAnsi="Arial" w:cs="Arial"/>
                <w:b/>
                <w:bCs/>
                <w:sz w:val="20"/>
                <w:szCs w:val="20"/>
                <w:lang w:val="en-GB"/>
              </w:rPr>
            </w:pPr>
            <w:r>
              <w:rPr>
                <w:rFonts w:ascii="Arial" w:hAnsi="Arial" w:eastAsia="SimSun" w:cs="Arial"/>
                <w:sz w:val="20"/>
                <w:szCs w:val="20"/>
              </w:rPr>
              <w:t>Students often struggle due to limited vocabulary, which hampers comprehension of listening materials.</w:t>
            </w:r>
          </w:p>
        </w:tc>
      </w:tr>
      <w:tr w14:paraId="52232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vMerge w:val="continue"/>
          </w:tcPr>
          <w:p w14:paraId="7EE6B684">
            <w:pPr>
              <w:pStyle w:val="66"/>
              <w:jc w:val="both"/>
              <w:rPr>
                <w:rFonts w:ascii="Arial" w:hAnsi="Arial" w:cs="Arial"/>
                <w:b/>
                <w:bCs/>
                <w:sz w:val="20"/>
                <w:szCs w:val="20"/>
                <w:lang w:val="en-GB"/>
              </w:rPr>
            </w:pPr>
          </w:p>
        </w:tc>
        <w:tc>
          <w:tcPr>
            <w:tcW w:w="2592" w:type="dxa"/>
          </w:tcPr>
          <w:p w14:paraId="24F868C0">
            <w:pPr>
              <w:pStyle w:val="66"/>
              <w:jc w:val="both"/>
              <w:rPr>
                <w:rFonts w:ascii="Arial" w:hAnsi="Arial" w:eastAsia="SimSun" w:cs="Arial"/>
                <w:sz w:val="20"/>
                <w:szCs w:val="20"/>
              </w:rPr>
            </w:pPr>
          </w:p>
          <w:p w14:paraId="35156472">
            <w:pPr>
              <w:pStyle w:val="66"/>
              <w:jc w:val="both"/>
              <w:rPr>
                <w:rFonts w:ascii="Arial" w:hAnsi="Arial" w:eastAsia="SimSun" w:cs="Arial"/>
                <w:sz w:val="20"/>
                <w:szCs w:val="20"/>
              </w:rPr>
            </w:pPr>
          </w:p>
          <w:p w14:paraId="74338F02">
            <w:pPr>
              <w:pStyle w:val="66"/>
              <w:jc w:val="both"/>
              <w:rPr>
                <w:rFonts w:ascii="Arial" w:hAnsi="Arial" w:cs="Arial"/>
                <w:b/>
                <w:bCs/>
                <w:sz w:val="20"/>
                <w:szCs w:val="20"/>
                <w:lang w:val="en-GB"/>
              </w:rPr>
            </w:pPr>
            <w:r>
              <w:rPr>
                <w:rFonts w:ascii="Arial" w:hAnsi="Arial" w:eastAsia="SimSun" w:cs="Arial"/>
                <w:sz w:val="20"/>
                <w:szCs w:val="20"/>
              </w:rPr>
              <w:t>Listening Anxiety</w:t>
            </w:r>
          </w:p>
        </w:tc>
        <w:tc>
          <w:tcPr>
            <w:tcW w:w="4133" w:type="dxa"/>
          </w:tcPr>
          <w:p w14:paraId="4D02E22E">
            <w:pPr>
              <w:pStyle w:val="66"/>
              <w:jc w:val="both"/>
              <w:rPr>
                <w:rFonts w:ascii="Arial" w:hAnsi="Arial" w:cs="Arial"/>
                <w:b/>
                <w:bCs/>
                <w:sz w:val="20"/>
                <w:szCs w:val="20"/>
                <w:lang w:val="en-GB"/>
              </w:rPr>
            </w:pPr>
            <w:r>
              <w:rPr>
                <w:rFonts w:ascii="Arial" w:hAnsi="Arial" w:eastAsia="SimSun" w:cs="Arial"/>
                <w:sz w:val="20"/>
                <w:szCs w:val="20"/>
              </w:rPr>
              <w:t>Emotional barriers like nervousness, lack of confidence, and fear of failure disrupt listening focus and effectiveness.</w:t>
            </w:r>
          </w:p>
        </w:tc>
      </w:tr>
      <w:tr w14:paraId="7AB85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vMerge w:val="continue"/>
          </w:tcPr>
          <w:p w14:paraId="00EBF15F">
            <w:pPr>
              <w:pStyle w:val="66"/>
              <w:jc w:val="both"/>
              <w:rPr>
                <w:rFonts w:ascii="Arial" w:hAnsi="Arial" w:cs="Arial"/>
                <w:b/>
                <w:bCs/>
                <w:sz w:val="20"/>
                <w:szCs w:val="20"/>
                <w:lang w:val="en-GB"/>
              </w:rPr>
            </w:pPr>
          </w:p>
        </w:tc>
        <w:tc>
          <w:tcPr>
            <w:tcW w:w="2592" w:type="dxa"/>
          </w:tcPr>
          <w:p w14:paraId="5A2AF1EF">
            <w:pPr>
              <w:pStyle w:val="66"/>
              <w:jc w:val="both"/>
              <w:rPr>
                <w:rFonts w:ascii="Arial" w:hAnsi="Arial" w:eastAsia="SimSun" w:cs="Arial"/>
                <w:sz w:val="20"/>
                <w:szCs w:val="20"/>
              </w:rPr>
            </w:pPr>
          </w:p>
          <w:p w14:paraId="1A069943">
            <w:pPr>
              <w:pStyle w:val="66"/>
              <w:jc w:val="both"/>
              <w:rPr>
                <w:rFonts w:ascii="Arial" w:hAnsi="Arial" w:cs="Arial"/>
                <w:b/>
                <w:bCs/>
                <w:sz w:val="20"/>
                <w:szCs w:val="20"/>
                <w:lang w:val="en-GB"/>
              </w:rPr>
            </w:pPr>
            <w:r>
              <w:rPr>
                <w:rFonts w:ascii="Arial" w:hAnsi="Arial" w:eastAsia="SimSun" w:cs="Arial"/>
                <w:sz w:val="20"/>
                <w:szCs w:val="20"/>
              </w:rPr>
              <w:t>Concentration Issues</w:t>
            </w:r>
          </w:p>
        </w:tc>
        <w:tc>
          <w:tcPr>
            <w:tcW w:w="4133" w:type="dxa"/>
          </w:tcPr>
          <w:p w14:paraId="778E30AC">
            <w:pPr>
              <w:pStyle w:val="66"/>
              <w:jc w:val="both"/>
              <w:rPr>
                <w:rFonts w:ascii="Arial" w:hAnsi="Arial" w:cs="Arial"/>
                <w:b/>
                <w:bCs/>
                <w:sz w:val="20"/>
                <w:szCs w:val="20"/>
                <w:lang w:val="en-GB"/>
              </w:rPr>
            </w:pPr>
            <w:r>
              <w:rPr>
                <w:rFonts w:ascii="Arial" w:hAnsi="Arial" w:eastAsia="SimSun" w:cs="Arial"/>
                <w:sz w:val="20"/>
                <w:szCs w:val="20"/>
              </w:rPr>
              <w:t>Difficulty maintaining attention, often exacerbated by high-speed speech or extended listening sessions.</w:t>
            </w:r>
          </w:p>
        </w:tc>
      </w:tr>
      <w:tr w14:paraId="235EF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vMerge w:val="restart"/>
          </w:tcPr>
          <w:p w14:paraId="0D4B2C8E">
            <w:pPr>
              <w:pStyle w:val="66"/>
              <w:jc w:val="center"/>
              <w:rPr>
                <w:rFonts w:ascii="Arial" w:hAnsi="Arial" w:eastAsia="SimSun" w:cs="Arial"/>
                <w:sz w:val="20"/>
                <w:szCs w:val="20"/>
              </w:rPr>
            </w:pPr>
          </w:p>
          <w:p w14:paraId="537DF064">
            <w:pPr>
              <w:pStyle w:val="66"/>
              <w:jc w:val="center"/>
              <w:rPr>
                <w:rFonts w:ascii="Arial" w:hAnsi="Arial" w:eastAsia="SimSun" w:cs="Arial"/>
                <w:sz w:val="20"/>
                <w:szCs w:val="20"/>
              </w:rPr>
            </w:pPr>
          </w:p>
          <w:p w14:paraId="139A0AE1">
            <w:pPr>
              <w:pStyle w:val="66"/>
              <w:jc w:val="center"/>
              <w:rPr>
                <w:rFonts w:ascii="Arial" w:hAnsi="Arial" w:eastAsia="SimSun" w:cs="Arial"/>
                <w:sz w:val="20"/>
                <w:szCs w:val="20"/>
              </w:rPr>
            </w:pPr>
          </w:p>
          <w:p w14:paraId="5BE67B0B">
            <w:pPr>
              <w:pStyle w:val="66"/>
              <w:jc w:val="center"/>
              <w:rPr>
                <w:rFonts w:ascii="Arial" w:hAnsi="Arial" w:eastAsia="SimSun" w:cs="Arial"/>
                <w:sz w:val="20"/>
                <w:szCs w:val="20"/>
              </w:rPr>
            </w:pPr>
          </w:p>
          <w:p w14:paraId="19FEEAE1">
            <w:pPr>
              <w:pStyle w:val="66"/>
              <w:jc w:val="center"/>
              <w:rPr>
                <w:rFonts w:ascii="Arial" w:hAnsi="Arial" w:cs="Arial"/>
                <w:b/>
                <w:bCs/>
                <w:sz w:val="20"/>
                <w:szCs w:val="20"/>
                <w:lang w:val="en-GB"/>
              </w:rPr>
            </w:pPr>
            <w:r>
              <w:rPr>
                <w:rFonts w:ascii="Arial" w:hAnsi="Arial" w:eastAsia="SimSun" w:cs="Arial"/>
                <w:b/>
                <w:bCs/>
                <w:sz w:val="20"/>
                <w:szCs w:val="20"/>
              </w:rPr>
              <w:t>External Barriers</w:t>
            </w:r>
          </w:p>
        </w:tc>
        <w:tc>
          <w:tcPr>
            <w:tcW w:w="2592" w:type="dxa"/>
          </w:tcPr>
          <w:p w14:paraId="5FFC4EC0">
            <w:pPr>
              <w:pStyle w:val="66"/>
              <w:jc w:val="both"/>
              <w:rPr>
                <w:rFonts w:ascii="Arial" w:hAnsi="Arial" w:eastAsia="SimSun" w:cs="Arial"/>
                <w:sz w:val="20"/>
                <w:szCs w:val="20"/>
              </w:rPr>
            </w:pPr>
          </w:p>
          <w:p w14:paraId="3BCFD52A">
            <w:pPr>
              <w:pStyle w:val="66"/>
              <w:jc w:val="both"/>
              <w:rPr>
                <w:rFonts w:ascii="Arial" w:hAnsi="Arial" w:eastAsia="SimSun" w:cs="Arial"/>
                <w:sz w:val="20"/>
                <w:szCs w:val="20"/>
              </w:rPr>
            </w:pPr>
            <w:r>
              <w:rPr>
                <w:rFonts w:ascii="Arial" w:hAnsi="Arial" w:eastAsia="SimSun" w:cs="Arial"/>
                <w:sz w:val="20"/>
                <w:szCs w:val="20"/>
              </w:rPr>
              <w:t>Physical Environment</w:t>
            </w:r>
          </w:p>
        </w:tc>
        <w:tc>
          <w:tcPr>
            <w:tcW w:w="4133" w:type="dxa"/>
          </w:tcPr>
          <w:p w14:paraId="0ED42F8C">
            <w:pPr>
              <w:pStyle w:val="66"/>
              <w:jc w:val="both"/>
              <w:rPr>
                <w:rFonts w:ascii="Arial" w:hAnsi="Arial" w:cs="Arial"/>
                <w:b/>
                <w:bCs/>
                <w:sz w:val="20"/>
                <w:szCs w:val="20"/>
                <w:lang w:val="en-GB"/>
              </w:rPr>
            </w:pPr>
            <w:r>
              <w:rPr>
                <w:rFonts w:ascii="Arial" w:hAnsi="Arial" w:eastAsia="SimSun" w:cs="Arial"/>
                <w:sz w:val="20"/>
                <w:szCs w:val="20"/>
              </w:rPr>
              <w:t>Noisy settings, poor classroom acoustics, and subpar audio equipment hinder listening.</w:t>
            </w:r>
          </w:p>
        </w:tc>
      </w:tr>
      <w:tr w14:paraId="57452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vMerge w:val="continue"/>
          </w:tcPr>
          <w:p w14:paraId="18E5825F">
            <w:pPr>
              <w:pStyle w:val="66"/>
              <w:jc w:val="both"/>
              <w:rPr>
                <w:rFonts w:ascii="Arial" w:hAnsi="Arial" w:cs="Arial"/>
                <w:b/>
                <w:bCs/>
                <w:sz w:val="20"/>
                <w:szCs w:val="20"/>
                <w:lang w:val="en-GB"/>
              </w:rPr>
            </w:pPr>
          </w:p>
        </w:tc>
        <w:tc>
          <w:tcPr>
            <w:tcW w:w="2592" w:type="dxa"/>
          </w:tcPr>
          <w:p w14:paraId="655B18D3">
            <w:pPr>
              <w:pStyle w:val="66"/>
              <w:jc w:val="both"/>
              <w:rPr>
                <w:rFonts w:ascii="Arial" w:hAnsi="Arial" w:eastAsia="SimSun" w:cs="Arial"/>
                <w:sz w:val="20"/>
                <w:szCs w:val="20"/>
              </w:rPr>
            </w:pPr>
          </w:p>
          <w:p w14:paraId="0772A2B8">
            <w:pPr>
              <w:pStyle w:val="66"/>
              <w:jc w:val="both"/>
              <w:rPr>
                <w:rFonts w:ascii="Arial" w:hAnsi="Arial" w:eastAsia="SimSun" w:cs="Arial"/>
                <w:sz w:val="20"/>
                <w:szCs w:val="20"/>
              </w:rPr>
            </w:pPr>
            <w:r>
              <w:rPr>
                <w:rFonts w:ascii="Arial" w:hAnsi="Arial" w:eastAsia="SimSun" w:cs="Arial"/>
                <w:sz w:val="20"/>
                <w:szCs w:val="20"/>
              </w:rPr>
              <w:t>Material Challenges</w:t>
            </w:r>
          </w:p>
        </w:tc>
        <w:tc>
          <w:tcPr>
            <w:tcW w:w="4133" w:type="dxa"/>
          </w:tcPr>
          <w:p w14:paraId="6B670D8E">
            <w:pPr>
              <w:pStyle w:val="66"/>
              <w:jc w:val="both"/>
              <w:rPr>
                <w:rFonts w:ascii="Arial" w:hAnsi="Arial" w:cs="Arial"/>
                <w:b/>
                <w:bCs/>
                <w:sz w:val="20"/>
                <w:szCs w:val="20"/>
                <w:lang w:val="en-GB"/>
              </w:rPr>
            </w:pPr>
            <w:r>
              <w:rPr>
                <w:rFonts w:ascii="Arial" w:hAnsi="Arial" w:eastAsia="SimSun" w:cs="Arial"/>
                <w:sz w:val="20"/>
                <w:szCs w:val="20"/>
              </w:rPr>
              <w:t>Unfamiliar or monotonous materials, unclear pronunciation, and rapid delivery negatively affect comprehension.</w:t>
            </w:r>
          </w:p>
        </w:tc>
      </w:tr>
      <w:tr w14:paraId="266BE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vMerge w:val="continue"/>
          </w:tcPr>
          <w:p w14:paraId="740B3108">
            <w:pPr>
              <w:pStyle w:val="66"/>
              <w:jc w:val="both"/>
              <w:rPr>
                <w:rFonts w:ascii="Arial" w:hAnsi="Arial" w:cs="Arial"/>
                <w:b/>
                <w:bCs/>
                <w:sz w:val="20"/>
                <w:szCs w:val="20"/>
                <w:lang w:val="en-GB"/>
              </w:rPr>
            </w:pPr>
          </w:p>
        </w:tc>
        <w:tc>
          <w:tcPr>
            <w:tcW w:w="2592" w:type="dxa"/>
          </w:tcPr>
          <w:p w14:paraId="18C64927">
            <w:pPr>
              <w:pStyle w:val="66"/>
              <w:jc w:val="both"/>
              <w:rPr>
                <w:rFonts w:ascii="Arial" w:hAnsi="Arial" w:eastAsia="SimSun" w:cs="Arial"/>
                <w:sz w:val="20"/>
                <w:szCs w:val="20"/>
              </w:rPr>
            </w:pPr>
          </w:p>
          <w:p w14:paraId="45568729">
            <w:pPr>
              <w:pStyle w:val="66"/>
              <w:jc w:val="both"/>
              <w:rPr>
                <w:rFonts w:ascii="Arial" w:hAnsi="Arial" w:eastAsia="SimSun" w:cs="Arial"/>
                <w:sz w:val="20"/>
                <w:szCs w:val="20"/>
              </w:rPr>
            </w:pPr>
            <w:r>
              <w:rPr>
                <w:rFonts w:ascii="Arial" w:hAnsi="Arial" w:eastAsia="SimSun" w:cs="Arial"/>
                <w:sz w:val="20"/>
                <w:szCs w:val="20"/>
              </w:rPr>
              <w:t>Technological Limitations</w:t>
            </w:r>
          </w:p>
        </w:tc>
        <w:tc>
          <w:tcPr>
            <w:tcW w:w="4133" w:type="dxa"/>
          </w:tcPr>
          <w:p w14:paraId="33D4D9DD">
            <w:pPr>
              <w:pStyle w:val="66"/>
              <w:jc w:val="both"/>
              <w:rPr>
                <w:rFonts w:ascii="Arial" w:hAnsi="Arial" w:cs="Arial"/>
                <w:b/>
                <w:bCs/>
                <w:sz w:val="20"/>
                <w:szCs w:val="20"/>
                <w:lang w:val="en-GB"/>
              </w:rPr>
            </w:pPr>
            <w:r>
              <w:rPr>
                <w:rFonts w:ascii="Arial" w:hAnsi="Arial" w:eastAsia="SimSun" w:cs="Arial"/>
                <w:sz w:val="20"/>
                <w:szCs w:val="20"/>
              </w:rPr>
              <w:t>Unreliable internet connections and outdated devices compromise access to quality resources.</w:t>
            </w:r>
          </w:p>
        </w:tc>
      </w:tr>
      <w:tr w14:paraId="1F588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vMerge w:val="restart"/>
          </w:tcPr>
          <w:p w14:paraId="6819E81D">
            <w:pPr>
              <w:pStyle w:val="66"/>
              <w:jc w:val="center"/>
              <w:rPr>
                <w:rFonts w:ascii="Arial" w:hAnsi="Arial" w:eastAsia="SimSun" w:cs="Arial"/>
                <w:sz w:val="20"/>
                <w:szCs w:val="20"/>
              </w:rPr>
            </w:pPr>
          </w:p>
          <w:p w14:paraId="1F0034C7">
            <w:pPr>
              <w:pStyle w:val="66"/>
              <w:jc w:val="center"/>
              <w:rPr>
                <w:rFonts w:ascii="Arial" w:hAnsi="Arial" w:eastAsia="SimSun" w:cs="Arial"/>
                <w:sz w:val="20"/>
                <w:szCs w:val="20"/>
              </w:rPr>
            </w:pPr>
          </w:p>
          <w:p w14:paraId="752D05D4">
            <w:pPr>
              <w:pStyle w:val="66"/>
              <w:jc w:val="center"/>
              <w:rPr>
                <w:rFonts w:ascii="Arial" w:hAnsi="Arial" w:eastAsia="SimSun" w:cs="Arial"/>
                <w:sz w:val="20"/>
                <w:szCs w:val="20"/>
              </w:rPr>
            </w:pPr>
          </w:p>
          <w:p w14:paraId="3E6EE049">
            <w:pPr>
              <w:pStyle w:val="66"/>
              <w:jc w:val="center"/>
              <w:rPr>
                <w:rFonts w:ascii="Arial" w:hAnsi="Arial" w:eastAsia="SimSun" w:cs="Arial"/>
                <w:sz w:val="20"/>
                <w:szCs w:val="20"/>
              </w:rPr>
            </w:pPr>
          </w:p>
          <w:p w14:paraId="2662BAFB">
            <w:pPr>
              <w:pStyle w:val="66"/>
              <w:jc w:val="center"/>
              <w:rPr>
                <w:rFonts w:ascii="Arial" w:hAnsi="Arial" w:cs="Arial"/>
                <w:b/>
                <w:bCs/>
                <w:sz w:val="20"/>
                <w:szCs w:val="20"/>
                <w:lang w:val="en-GB"/>
              </w:rPr>
            </w:pPr>
            <w:r>
              <w:rPr>
                <w:rFonts w:ascii="Arial" w:hAnsi="Arial" w:eastAsia="SimSun" w:cs="Arial"/>
                <w:b/>
                <w:bCs/>
                <w:sz w:val="20"/>
                <w:szCs w:val="20"/>
              </w:rPr>
              <w:t>Pedagogical and Instructional Issues</w:t>
            </w:r>
          </w:p>
        </w:tc>
        <w:tc>
          <w:tcPr>
            <w:tcW w:w="2592" w:type="dxa"/>
          </w:tcPr>
          <w:p w14:paraId="1619FC66">
            <w:pPr>
              <w:pStyle w:val="66"/>
              <w:jc w:val="both"/>
              <w:rPr>
                <w:rFonts w:ascii="Arial" w:hAnsi="Arial" w:eastAsia="SimSun" w:cs="Arial"/>
                <w:sz w:val="20"/>
                <w:szCs w:val="20"/>
              </w:rPr>
            </w:pPr>
          </w:p>
          <w:p w14:paraId="7151AB08">
            <w:pPr>
              <w:pStyle w:val="66"/>
              <w:jc w:val="both"/>
              <w:rPr>
                <w:rFonts w:ascii="Arial" w:hAnsi="Arial" w:eastAsia="SimSun" w:cs="Arial"/>
                <w:sz w:val="20"/>
                <w:szCs w:val="20"/>
              </w:rPr>
            </w:pPr>
            <w:r>
              <w:rPr>
                <w:rFonts w:ascii="Arial" w:hAnsi="Arial" w:eastAsia="SimSun" w:cs="Arial"/>
                <w:sz w:val="20"/>
                <w:szCs w:val="20"/>
              </w:rPr>
              <w:t>Teaching Approaches</w:t>
            </w:r>
          </w:p>
        </w:tc>
        <w:tc>
          <w:tcPr>
            <w:tcW w:w="4133" w:type="dxa"/>
          </w:tcPr>
          <w:p w14:paraId="48F73B0D">
            <w:pPr>
              <w:pStyle w:val="66"/>
              <w:jc w:val="both"/>
              <w:rPr>
                <w:rFonts w:ascii="Arial" w:hAnsi="Arial" w:eastAsia="SimSun" w:cs="Arial"/>
                <w:sz w:val="20"/>
                <w:szCs w:val="20"/>
              </w:rPr>
            </w:pPr>
            <w:r>
              <w:rPr>
                <w:rFonts w:ascii="Arial" w:hAnsi="Arial" w:eastAsia="SimSun" w:cs="Arial"/>
                <w:sz w:val="20"/>
                <w:szCs w:val="20"/>
              </w:rPr>
              <w:t>Inconsistent strategies and lack of preparation by teachers reduce the effectiveness of listening instruction.</w:t>
            </w:r>
          </w:p>
        </w:tc>
      </w:tr>
      <w:tr w14:paraId="20E31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vMerge w:val="continue"/>
          </w:tcPr>
          <w:p w14:paraId="62741795">
            <w:pPr>
              <w:pStyle w:val="66"/>
              <w:jc w:val="both"/>
              <w:rPr>
                <w:rFonts w:ascii="Arial" w:hAnsi="Arial" w:cs="Arial"/>
                <w:b/>
                <w:bCs/>
                <w:sz w:val="20"/>
                <w:szCs w:val="20"/>
                <w:lang w:val="en-GB"/>
              </w:rPr>
            </w:pPr>
          </w:p>
        </w:tc>
        <w:tc>
          <w:tcPr>
            <w:tcW w:w="2592" w:type="dxa"/>
          </w:tcPr>
          <w:p w14:paraId="36C500A3">
            <w:pPr>
              <w:pStyle w:val="66"/>
              <w:jc w:val="both"/>
              <w:rPr>
                <w:rFonts w:ascii="Arial" w:hAnsi="Arial" w:eastAsia="SimSun" w:cs="Arial"/>
                <w:sz w:val="20"/>
                <w:szCs w:val="20"/>
              </w:rPr>
            </w:pPr>
          </w:p>
          <w:p w14:paraId="4D639254">
            <w:pPr>
              <w:pStyle w:val="66"/>
              <w:jc w:val="both"/>
              <w:rPr>
                <w:rFonts w:ascii="Arial" w:hAnsi="Arial" w:eastAsia="SimSun" w:cs="Arial"/>
                <w:sz w:val="20"/>
                <w:szCs w:val="20"/>
              </w:rPr>
            </w:pPr>
            <w:r>
              <w:rPr>
                <w:rFonts w:ascii="Arial" w:hAnsi="Arial" w:eastAsia="SimSun" w:cs="Arial"/>
                <w:sz w:val="20"/>
                <w:szCs w:val="20"/>
              </w:rPr>
              <w:t>Inadequate Feedback</w:t>
            </w:r>
          </w:p>
        </w:tc>
        <w:tc>
          <w:tcPr>
            <w:tcW w:w="4133" w:type="dxa"/>
          </w:tcPr>
          <w:p w14:paraId="707F7267">
            <w:pPr>
              <w:pStyle w:val="66"/>
              <w:jc w:val="both"/>
              <w:rPr>
                <w:rFonts w:ascii="Arial" w:hAnsi="Arial" w:eastAsia="SimSun" w:cs="Arial"/>
                <w:sz w:val="20"/>
                <w:szCs w:val="20"/>
              </w:rPr>
            </w:pPr>
            <w:r>
              <w:rPr>
                <w:rFonts w:ascii="Arial" w:hAnsi="Arial" w:eastAsia="SimSun" w:cs="Arial"/>
                <w:sz w:val="20"/>
                <w:szCs w:val="20"/>
              </w:rPr>
              <w:t>Absence of constructive and timely feedback limits learners’ ability to identify and address weaknesses.</w:t>
            </w:r>
          </w:p>
        </w:tc>
      </w:tr>
      <w:tr w14:paraId="51F58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vMerge w:val="continue"/>
          </w:tcPr>
          <w:p w14:paraId="21928F0D">
            <w:pPr>
              <w:pStyle w:val="66"/>
              <w:jc w:val="both"/>
              <w:rPr>
                <w:rFonts w:ascii="Arial" w:hAnsi="Arial" w:cs="Arial"/>
                <w:b/>
                <w:bCs/>
                <w:sz w:val="20"/>
                <w:szCs w:val="20"/>
                <w:lang w:val="en-GB"/>
              </w:rPr>
            </w:pPr>
          </w:p>
        </w:tc>
        <w:tc>
          <w:tcPr>
            <w:tcW w:w="2592" w:type="dxa"/>
          </w:tcPr>
          <w:p w14:paraId="2E101769">
            <w:pPr>
              <w:pStyle w:val="66"/>
              <w:jc w:val="both"/>
              <w:rPr>
                <w:rFonts w:ascii="Arial" w:hAnsi="Arial" w:eastAsia="SimSun" w:cs="Arial"/>
                <w:sz w:val="20"/>
                <w:szCs w:val="20"/>
              </w:rPr>
            </w:pPr>
          </w:p>
          <w:p w14:paraId="77B8ED71">
            <w:pPr>
              <w:pStyle w:val="66"/>
              <w:jc w:val="both"/>
              <w:rPr>
                <w:rFonts w:ascii="Arial" w:hAnsi="Arial" w:eastAsia="SimSun" w:cs="Arial"/>
                <w:sz w:val="20"/>
                <w:szCs w:val="20"/>
              </w:rPr>
            </w:pPr>
            <w:r>
              <w:rPr>
                <w:rFonts w:ascii="Arial" w:hAnsi="Arial" w:eastAsia="SimSun" w:cs="Arial"/>
                <w:sz w:val="20"/>
                <w:szCs w:val="20"/>
              </w:rPr>
              <w:t>Curriculum Gaps</w:t>
            </w:r>
          </w:p>
        </w:tc>
        <w:tc>
          <w:tcPr>
            <w:tcW w:w="4133" w:type="dxa"/>
          </w:tcPr>
          <w:p w14:paraId="3A811B80">
            <w:pPr>
              <w:pStyle w:val="66"/>
              <w:jc w:val="both"/>
              <w:rPr>
                <w:rFonts w:ascii="Arial" w:hAnsi="Arial" w:eastAsia="SimSun" w:cs="Arial"/>
                <w:sz w:val="20"/>
                <w:szCs w:val="20"/>
              </w:rPr>
            </w:pPr>
            <w:r>
              <w:rPr>
                <w:rFonts w:ascii="Arial" w:hAnsi="Arial" w:eastAsia="SimSun" w:cs="Arial"/>
                <w:sz w:val="20"/>
                <w:szCs w:val="20"/>
              </w:rPr>
              <w:t>Misalignment between classroom practices and assessment strategies leads to a disconnect in learning outcomes.</w:t>
            </w:r>
          </w:p>
        </w:tc>
      </w:tr>
      <w:tr w14:paraId="28CA9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vMerge w:val="restart"/>
          </w:tcPr>
          <w:p w14:paraId="4C4160B7">
            <w:pPr>
              <w:pStyle w:val="66"/>
              <w:jc w:val="center"/>
              <w:rPr>
                <w:rFonts w:ascii="Arial" w:hAnsi="Arial" w:eastAsia="SimSun" w:cs="Arial"/>
                <w:b/>
                <w:bCs/>
                <w:sz w:val="20"/>
                <w:szCs w:val="20"/>
              </w:rPr>
            </w:pPr>
          </w:p>
          <w:p w14:paraId="7E03E8DA">
            <w:pPr>
              <w:pStyle w:val="66"/>
              <w:jc w:val="center"/>
              <w:rPr>
                <w:rFonts w:ascii="Arial" w:hAnsi="Arial" w:eastAsia="SimSun" w:cs="Arial"/>
                <w:b/>
                <w:bCs/>
                <w:sz w:val="20"/>
                <w:szCs w:val="20"/>
              </w:rPr>
            </w:pPr>
          </w:p>
          <w:p w14:paraId="73E94D61">
            <w:pPr>
              <w:pStyle w:val="66"/>
              <w:jc w:val="center"/>
              <w:rPr>
                <w:rFonts w:ascii="Arial" w:hAnsi="Arial" w:eastAsia="SimSun" w:cs="Arial"/>
                <w:b/>
                <w:bCs/>
                <w:sz w:val="20"/>
                <w:szCs w:val="20"/>
              </w:rPr>
            </w:pPr>
          </w:p>
          <w:p w14:paraId="13FB8D83">
            <w:pPr>
              <w:pStyle w:val="66"/>
              <w:jc w:val="center"/>
              <w:rPr>
                <w:rFonts w:ascii="Arial" w:hAnsi="Arial" w:cs="Arial"/>
                <w:b/>
                <w:bCs/>
                <w:sz w:val="20"/>
                <w:szCs w:val="20"/>
                <w:lang w:val="en-GB"/>
              </w:rPr>
            </w:pPr>
            <w:r>
              <w:rPr>
                <w:rFonts w:ascii="Arial" w:hAnsi="Arial" w:eastAsia="SimSun" w:cs="Arial"/>
                <w:b/>
                <w:bCs/>
                <w:sz w:val="20"/>
                <w:szCs w:val="20"/>
              </w:rPr>
              <w:t>Sociocultural and Contextual Factors</w:t>
            </w:r>
          </w:p>
        </w:tc>
        <w:tc>
          <w:tcPr>
            <w:tcW w:w="2592" w:type="dxa"/>
          </w:tcPr>
          <w:p w14:paraId="3A678313">
            <w:pPr>
              <w:pStyle w:val="66"/>
              <w:jc w:val="both"/>
              <w:rPr>
                <w:rFonts w:ascii="Arial" w:hAnsi="Arial" w:eastAsia="SimSun" w:cs="Arial"/>
                <w:sz w:val="20"/>
                <w:szCs w:val="20"/>
              </w:rPr>
            </w:pPr>
          </w:p>
          <w:p w14:paraId="0B00355F">
            <w:pPr>
              <w:pStyle w:val="66"/>
              <w:jc w:val="both"/>
              <w:rPr>
                <w:rFonts w:ascii="Arial" w:hAnsi="Arial" w:eastAsia="SimSun" w:cs="Arial"/>
                <w:sz w:val="20"/>
                <w:szCs w:val="20"/>
              </w:rPr>
            </w:pPr>
            <w:r>
              <w:rPr>
                <w:rFonts w:ascii="Arial" w:hAnsi="Arial" w:eastAsia="SimSun" w:cs="Arial"/>
                <w:sz w:val="20"/>
                <w:szCs w:val="20"/>
              </w:rPr>
              <w:t>Cultural Differences</w:t>
            </w:r>
          </w:p>
        </w:tc>
        <w:tc>
          <w:tcPr>
            <w:tcW w:w="4133" w:type="dxa"/>
          </w:tcPr>
          <w:p w14:paraId="22F98D94">
            <w:pPr>
              <w:pStyle w:val="66"/>
              <w:jc w:val="both"/>
              <w:rPr>
                <w:rFonts w:ascii="Arial" w:hAnsi="Arial" w:eastAsia="SimSun" w:cs="Arial"/>
                <w:sz w:val="20"/>
                <w:szCs w:val="20"/>
              </w:rPr>
            </w:pPr>
            <w:r>
              <w:rPr>
                <w:rFonts w:ascii="Arial" w:hAnsi="Arial" w:eastAsia="SimSun" w:cs="Arial"/>
                <w:sz w:val="20"/>
                <w:szCs w:val="20"/>
              </w:rPr>
              <w:t>Accents, unfamiliar speech styles, and culturally specific references create comprehension barriers.</w:t>
            </w:r>
          </w:p>
        </w:tc>
      </w:tr>
      <w:tr w14:paraId="77581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vMerge w:val="continue"/>
          </w:tcPr>
          <w:p w14:paraId="2DE316C2">
            <w:pPr>
              <w:pStyle w:val="66"/>
              <w:jc w:val="both"/>
              <w:rPr>
                <w:rFonts w:ascii="Arial" w:hAnsi="Arial" w:cs="Arial"/>
                <w:b/>
                <w:bCs/>
                <w:sz w:val="20"/>
                <w:szCs w:val="20"/>
                <w:lang w:val="en-GB"/>
              </w:rPr>
            </w:pPr>
          </w:p>
        </w:tc>
        <w:tc>
          <w:tcPr>
            <w:tcW w:w="2592" w:type="dxa"/>
          </w:tcPr>
          <w:p w14:paraId="3C2E3A10">
            <w:pPr>
              <w:pStyle w:val="66"/>
              <w:jc w:val="both"/>
              <w:rPr>
                <w:rFonts w:ascii="Arial" w:hAnsi="Arial" w:eastAsia="SimSun" w:cs="Arial"/>
                <w:sz w:val="20"/>
                <w:szCs w:val="20"/>
              </w:rPr>
            </w:pPr>
          </w:p>
          <w:p w14:paraId="39F26785">
            <w:pPr>
              <w:pStyle w:val="66"/>
              <w:jc w:val="both"/>
              <w:rPr>
                <w:rFonts w:ascii="Arial" w:hAnsi="Arial" w:eastAsia="SimSun" w:cs="Arial"/>
                <w:sz w:val="20"/>
                <w:szCs w:val="20"/>
              </w:rPr>
            </w:pPr>
            <w:r>
              <w:rPr>
                <w:rFonts w:ascii="Arial" w:hAnsi="Arial" w:eastAsia="SimSun" w:cs="Arial"/>
                <w:sz w:val="20"/>
                <w:szCs w:val="20"/>
              </w:rPr>
              <w:t>Family and Peer Influence</w:t>
            </w:r>
          </w:p>
        </w:tc>
        <w:tc>
          <w:tcPr>
            <w:tcW w:w="4133" w:type="dxa"/>
          </w:tcPr>
          <w:p w14:paraId="25EF70BE">
            <w:pPr>
              <w:pStyle w:val="66"/>
              <w:jc w:val="both"/>
              <w:rPr>
                <w:rFonts w:ascii="Arial" w:hAnsi="Arial" w:eastAsia="SimSun" w:cs="Arial"/>
                <w:sz w:val="20"/>
                <w:szCs w:val="20"/>
              </w:rPr>
            </w:pPr>
            <w:r>
              <w:rPr>
                <w:rFonts w:ascii="Arial" w:hAnsi="Arial" w:eastAsia="SimSun" w:cs="Arial"/>
                <w:sz w:val="20"/>
                <w:szCs w:val="20"/>
              </w:rPr>
              <w:t>Lack of support from family or peers and negative attitudes toward English learning contribute to demotivation.</w:t>
            </w:r>
          </w:p>
        </w:tc>
      </w:tr>
      <w:tr w14:paraId="7FB33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vMerge w:val="continue"/>
          </w:tcPr>
          <w:p w14:paraId="4A3414C6">
            <w:pPr>
              <w:pStyle w:val="66"/>
              <w:jc w:val="both"/>
              <w:rPr>
                <w:rFonts w:ascii="Arial" w:hAnsi="Arial" w:cs="Arial"/>
                <w:b/>
                <w:bCs/>
                <w:sz w:val="20"/>
                <w:szCs w:val="20"/>
                <w:lang w:val="en-GB"/>
              </w:rPr>
            </w:pPr>
          </w:p>
        </w:tc>
        <w:tc>
          <w:tcPr>
            <w:tcW w:w="2592" w:type="dxa"/>
          </w:tcPr>
          <w:p w14:paraId="3A33511C">
            <w:pPr>
              <w:pStyle w:val="66"/>
              <w:jc w:val="both"/>
              <w:rPr>
                <w:rFonts w:ascii="Arial" w:hAnsi="Arial" w:eastAsia="SimSun" w:cs="Arial"/>
                <w:sz w:val="20"/>
                <w:szCs w:val="20"/>
              </w:rPr>
            </w:pPr>
          </w:p>
          <w:p w14:paraId="10BBCB94">
            <w:pPr>
              <w:pStyle w:val="66"/>
              <w:jc w:val="both"/>
              <w:rPr>
                <w:rFonts w:ascii="Arial" w:hAnsi="Arial" w:eastAsia="SimSun" w:cs="Arial"/>
                <w:sz w:val="20"/>
                <w:szCs w:val="20"/>
              </w:rPr>
            </w:pPr>
            <w:r>
              <w:rPr>
                <w:rFonts w:ascii="Arial" w:hAnsi="Arial" w:eastAsia="SimSun" w:cs="Arial"/>
                <w:sz w:val="20"/>
                <w:szCs w:val="20"/>
              </w:rPr>
              <w:t>Time Constraints</w:t>
            </w:r>
          </w:p>
        </w:tc>
        <w:tc>
          <w:tcPr>
            <w:tcW w:w="4133" w:type="dxa"/>
          </w:tcPr>
          <w:p w14:paraId="49E86E32">
            <w:pPr>
              <w:pStyle w:val="66"/>
              <w:jc w:val="both"/>
              <w:rPr>
                <w:rFonts w:ascii="Arial" w:hAnsi="Arial" w:eastAsia="SimSun" w:cs="Arial"/>
                <w:sz w:val="20"/>
                <w:szCs w:val="20"/>
              </w:rPr>
            </w:pPr>
            <w:r>
              <w:rPr>
                <w:rFonts w:ascii="Arial" w:hAnsi="Arial" w:eastAsia="SimSun" w:cs="Arial"/>
                <w:sz w:val="20"/>
                <w:szCs w:val="20"/>
              </w:rPr>
              <w:t>Limited practice opportunities in and outside the classroom affect listening proficiency development.</w:t>
            </w:r>
          </w:p>
        </w:tc>
      </w:tr>
      <w:tr w14:paraId="3E90C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vMerge w:val="restart"/>
          </w:tcPr>
          <w:p w14:paraId="1AAA1F5E">
            <w:pPr>
              <w:pStyle w:val="66"/>
              <w:jc w:val="center"/>
              <w:rPr>
                <w:rFonts w:ascii="Arial" w:hAnsi="Arial" w:eastAsia="SimSun" w:cs="Arial"/>
                <w:b/>
                <w:bCs/>
                <w:sz w:val="20"/>
                <w:szCs w:val="20"/>
              </w:rPr>
            </w:pPr>
          </w:p>
          <w:p w14:paraId="46D45FC1">
            <w:pPr>
              <w:pStyle w:val="66"/>
              <w:jc w:val="center"/>
              <w:rPr>
                <w:rFonts w:ascii="Arial" w:hAnsi="Arial" w:eastAsia="SimSun" w:cs="Arial"/>
                <w:b/>
                <w:bCs/>
                <w:sz w:val="20"/>
                <w:szCs w:val="20"/>
              </w:rPr>
            </w:pPr>
          </w:p>
          <w:p w14:paraId="580C7CFF">
            <w:pPr>
              <w:pStyle w:val="66"/>
              <w:jc w:val="center"/>
              <w:rPr>
                <w:rFonts w:ascii="Arial" w:hAnsi="Arial" w:cs="Arial"/>
                <w:b/>
                <w:bCs/>
                <w:sz w:val="20"/>
                <w:szCs w:val="20"/>
                <w:lang w:val="en-GB"/>
              </w:rPr>
            </w:pPr>
            <w:r>
              <w:rPr>
                <w:rFonts w:ascii="Arial" w:hAnsi="Arial" w:eastAsia="SimSun" w:cs="Arial"/>
                <w:b/>
                <w:bCs/>
                <w:sz w:val="20"/>
                <w:szCs w:val="20"/>
              </w:rPr>
              <w:t>Learner Autonomy and Motivation</w:t>
            </w:r>
          </w:p>
        </w:tc>
        <w:tc>
          <w:tcPr>
            <w:tcW w:w="2592" w:type="dxa"/>
          </w:tcPr>
          <w:p w14:paraId="42D697C7">
            <w:pPr>
              <w:pStyle w:val="66"/>
              <w:jc w:val="both"/>
              <w:rPr>
                <w:rFonts w:ascii="Arial" w:hAnsi="Arial" w:eastAsia="SimSun" w:cs="Arial"/>
                <w:sz w:val="20"/>
                <w:szCs w:val="20"/>
              </w:rPr>
            </w:pPr>
          </w:p>
          <w:p w14:paraId="35CAFB2C">
            <w:pPr>
              <w:pStyle w:val="66"/>
              <w:jc w:val="both"/>
              <w:rPr>
                <w:rFonts w:ascii="Arial" w:hAnsi="Arial" w:eastAsia="SimSun" w:cs="Arial"/>
                <w:sz w:val="20"/>
                <w:szCs w:val="20"/>
              </w:rPr>
            </w:pPr>
            <w:r>
              <w:rPr>
                <w:rFonts w:ascii="Arial" w:hAnsi="Arial" w:eastAsia="SimSun" w:cs="Arial"/>
                <w:sz w:val="20"/>
                <w:szCs w:val="20"/>
              </w:rPr>
              <w:t>Self-Directed Learning</w:t>
            </w:r>
          </w:p>
        </w:tc>
        <w:tc>
          <w:tcPr>
            <w:tcW w:w="4133" w:type="dxa"/>
          </w:tcPr>
          <w:p w14:paraId="60DF8998">
            <w:pPr>
              <w:pStyle w:val="66"/>
              <w:jc w:val="both"/>
              <w:rPr>
                <w:rFonts w:ascii="Arial" w:hAnsi="Arial" w:eastAsia="SimSun" w:cs="Arial"/>
                <w:sz w:val="20"/>
                <w:szCs w:val="20"/>
              </w:rPr>
            </w:pPr>
            <w:r>
              <w:rPr>
                <w:rFonts w:ascii="Arial" w:hAnsi="Arial" w:eastAsia="SimSun" w:cs="Arial"/>
                <w:sz w:val="20"/>
                <w:szCs w:val="20"/>
              </w:rPr>
              <w:t>Limited use of podcasts, movies, or digital platforms reduces opportunities for self-driven skill improvement.</w:t>
            </w:r>
          </w:p>
        </w:tc>
      </w:tr>
      <w:tr w14:paraId="53445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vMerge w:val="continue"/>
          </w:tcPr>
          <w:p w14:paraId="6F4881F4">
            <w:pPr>
              <w:pStyle w:val="66"/>
              <w:jc w:val="both"/>
              <w:rPr>
                <w:rFonts w:ascii="Arial" w:hAnsi="Arial" w:cs="Arial"/>
                <w:b/>
                <w:bCs/>
                <w:sz w:val="20"/>
                <w:szCs w:val="20"/>
                <w:lang w:val="en-GB"/>
              </w:rPr>
            </w:pPr>
          </w:p>
        </w:tc>
        <w:tc>
          <w:tcPr>
            <w:tcW w:w="2592" w:type="dxa"/>
          </w:tcPr>
          <w:p w14:paraId="182E2C1D">
            <w:pPr>
              <w:pStyle w:val="66"/>
              <w:jc w:val="both"/>
              <w:rPr>
                <w:rFonts w:ascii="Arial" w:hAnsi="Arial" w:eastAsia="SimSun" w:cs="Arial"/>
                <w:sz w:val="20"/>
                <w:szCs w:val="20"/>
              </w:rPr>
            </w:pPr>
          </w:p>
          <w:p w14:paraId="3CA6C4C1">
            <w:pPr>
              <w:pStyle w:val="66"/>
              <w:jc w:val="both"/>
              <w:rPr>
                <w:rFonts w:ascii="Arial" w:hAnsi="Arial" w:eastAsia="SimSun" w:cs="Arial"/>
                <w:sz w:val="20"/>
                <w:szCs w:val="20"/>
              </w:rPr>
            </w:pPr>
            <w:r>
              <w:rPr>
                <w:rFonts w:ascii="Arial" w:hAnsi="Arial" w:eastAsia="SimSun" w:cs="Arial"/>
                <w:sz w:val="20"/>
                <w:szCs w:val="20"/>
              </w:rPr>
              <w:t>Motivational Challenges</w:t>
            </w:r>
          </w:p>
        </w:tc>
        <w:tc>
          <w:tcPr>
            <w:tcW w:w="4133" w:type="dxa"/>
          </w:tcPr>
          <w:p w14:paraId="7A2AAC4D">
            <w:pPr>
              <w:pStyle w:val="66"/>
              <w:jc w:val="both"/>
              <w:rPr>
                <w:rFonts w:ascii="Arial" w:hAnsi="Arial" w:eastAsia="SimSun" w:cs="Arial"/>
                <w:sz w:val="20"/>
                <w:szCs w:val="20"/>
              </w:rPr>
            </w:pPr>
            <w:r>
              <w:rPr>
                <w:rFonts w:ascii="Arial" w:hAnsi="Arial" w:eastAsia="SimSun" w:cs="Arial"/>
                <w:sz w:val="20"/>
                <w:szCs w:val="20"/>
              </w:rPr>
              <w:t>Lack of clear goals and reward systems weakens learners’ drive to engage in active listening.</w:t>
            </w:r>
          </w:p>
        </w:tc>
      </w:tr>
    </w:tbl>
    <w:p w14:paraId="36430919">
      <w:pPr>
        <w:rPr>
          <w:rFonts w:ascii="Arial" w:hAnsi="Arial" w:eastAsia="SimSun" w:cs="Arial"/>
        </w:rPr>
      </w:pPr>
      <w:r>
        <w:rPr>
          <w:rFonts w:ascii="Arial" w:hAnsi="Arial" w:cs="Arial"/>
          <w:b/>
        </w:rPr>
        <w:pict>
          <v:rect id="Rectangle 10" o:spid="_x0000_s1027" o:spt="1" style="position:absolute;left:0pt;margin-left:419.25pt;margin-top:-42.55pt;height:18pt;width:29.25pt;z-index:251661312;v-text-anchor:middle;mso-width-relative:page;mso-height-relative:page;" stroked="f" coordsize="21600,21600" o:gfxdata="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LawxwtcAAAALAQAADwAAAAAAAAABACAA&#10;AAAiAAAAZHJzL2Rvd25yZXYueG1sUEsBAhQAFAAAAAgAh07iQABamkpHAgAAnQQAAA4AAAAAAAAA&#10;AQAgAAAAJgEAAGRycy9lMm9Eb2MueG1sUEsFBgAAAAAGAAYAWQEAAN8FAAAAAA==&#10;">
            <v:path/>
            <v:fill focussize="0,0"/>
            <v:stroke on="f" weight="2pt"/>
            <v:imagedata o:title=""/>
            <o:lock v:ext="edit"/>
          </v:rect>
        </w:pict>
      </w:r>
    </w:p>
    <w:p w14:paraId="2B125F84">
      <w:pPr>
        <w:jc w:val="both"/>
        <w:rPr>
          <w:rFonts w:ascii="Arial" w:hAnsi="Arial" w:eastAsia="SimSun" w:cs="Arial"/>
        </w:rPr>
      </w:pPr>
      <w:r>
        <w:rPr>
          <w:rFonts w:ascii="Arial" w:hAnsi="Arial" w:eastAsia="SimSun" w:cs="Arial"/>
          <w:b/>
          <w:bCs/>
        </w:rPr>
        <w:t>Internal Challenges</w:t>
      </w:r>
    </w:p>
    <w:p w14:paraId="77FD7020">
      <w:pPr>
        <w:jc w:val="both"/>
        <w:rPr>
          <w:rFonts w:ascii="Arial" w:hAnsi="Arial" w:eastAsia="SimSun" w:cs="Arial"/>
        </w:rPr>
      </w:pPr>
      <w:r>
        <w:rPr>
          <w:rFonts w:ascii="Arial" w:hAnsi="Arial" w:eastAsia="SimSun" w:cs="Arial"/>
          <w:b/>
          <w:bCs/>
          <w:i/>
          <w:iCs/>
        </w:rPr>
        <w:t>Vocabulary Deficiency</w:t>
      </w:r>
      <w:r>
        <w:rPr>
          <w:rFonts w:ascii="Arial" w:hAnsi="Arial" w:eastAsia="SimSun" w:cs="Arial"/>
          <w:b/>
          <w:bCs/>
          <w:i/>
          <w:iCs/>
          <w:lang w:val="en-GB"/>
        </w:rPr>
        <w:t>.</w:t>
      </w:r>
      <w:r>
        <w:rPr>
          <w:rFonts w:ascii="Arial" w:hAnsi="Arial" w:eastAsia="SimSun" w:cs="Arial"/>
          <w:b/>
          <w:bCs/>
          <w:lang w:val="en-GB"/>
        </w:rPr>
        <w:t xml:space="preserve"> </w:t>
      </w:r>
      <w:r>
        <w:rPr>
          <w:rFonts w:ascii="Arial" w:hAnsi="Arial" w:eastAsia="SimSun" w:cs="Arial"/>
        </w:rPr>
        <w:t>Many learners struggle with listening comprehension due to a lack of vocabulary, which makes decoding spoken language difficult. Limited recognition of word sounds and meanings contributes significantly to listening difficulties (Handayani et al., 2023; Syukur &amp; Prasetyo, 2024). These limitations often result in cognitive overload, especially when learners encounter unfamiliar words or fast-paced speech (Adnan et al., 2020).</w:t>
      </w:r>
    </w:p>
    <w:p w14:paraId="6121B73D">
      <w:pPr>
        <w:jc w:val="both"/>
        <w:rPr>
          <w:rFonts w:ascii="Arial" w:hAnsi="Arial" w:eastAsia="SimSun" w:cs="Arial"/>
        </w:rPr>
      </w:pPr>
      <w:r>
        <w:rPr>
          <w:rFonts w:ascii="Arial" w:hAnsi="Arial" w:eastAsia="SimSun" w:cs="Arial"/>
          <w:b/>
          <w:bCs/>
          <w:i/>
          <w:iCs/>
        </w:rPr>
        <w:t>Listening Anxiety</w:t>
      </w:r>
      <w:r>
        <w:rPr>
          <w:rFonts w:ascii="Arial" w:hAnsi="Arial" w:eastAsia="SimSun" w:cs="Arial"/>
          <w:b/>
          <w:bCs/>
          <w:i/>
          <w:iCs/>
          <w:lang w:val="en-GB"/>
        </w:rPr>
        <w:t>.</w:t>
      </w:r>
      <w:r>
        <w:rPr>
          <w:rFonts w:ascii="Arial" w:hAnsi="Arial" w:eastAsia="SimSun" w:cs="Arial"/>
          <w:lang w:val="en-GB"/>
        </w:rPr>
        <w:t xml:space="preserve"> </w:t>
      </w:r>
      <w:r>
        <w:rPr>
          <w:rFonts w:ascii="Arial" w:hAnsi="Arial" w:eastAsia="SimSun" w:cs="Arial"/>
        </w:rPr>
        <w:t>Anxiety manifests in various forms, including nervousness, low self-confidence, and apprehension about comprehension abilities (Iftanti &amp; Prastiyo, 2021). Such emotional barriers hinder concentration, exacerbating learners' difficulties in understanding spoken English (Astrid et al., 2024).</w:t>
      </w:r>
    </w:p>
    <w:p w14:paraId="36FD8C52">
      <w:pPr>
        <w:jc w:val="both"/>
        <w:rPr>
          <w:rFonts w:ascii="Arial" w:hAnsi="Arial" w:eastAsia="SimSun" w:cs="Arial"/>
        </w:rPr>
      </w:pPr>
      <w:r>
        <w:rPr>
          <w:rFonts w:ascii="Arial" w:hAnsi="Arial" w:eastAsia="SimSun" w:cs="Arial"/>
          <w:b/>
          <w:bCs/>
          <w:i/>
          <w:iCs/>
        </w:rPr>
        <w:t>Concentration Issues</w:t>
      </w:r>
      <w:r>
        <w:rPr>
          <w:rFonts w:ascii="Arial" w:hAnsi="Arial" w:eastAsia="SimSun" w:cs="Arial"/>
          <w:b/>
          <w:bCs/>
          <w:i/>
          <w:iCs/>
          <w:lang w:val="en-GB"/>
        </w:rPr>
        <w:t>.</w:t>
      </w:r>
      <w:r>
        <w:rPr>
          <w:rFonts w:ascii="Arial" w:hAnsi="Arial" w:eastAsia="SimSun" w:cs="Arial"/>
          <w:lang w:val="en-GB"/>
        </w:rPr>
        <w:t xml:space="preserve"> </w:t>
      </w:r>
      <w:r>
        <w:rPr>
          <w:rFonts w:ascii="Arial" w:hAnsi="Arial" w:eastAsia="SimSun" w:cs="Arial"/>
        </w:rPr>
        <w:t>Sustaining attention during listening activities is a common problem. Learners frequently report difficulty focusing during long or complex listening tasks, which can be further complicated by external distractions (Rosa, 2020; Pratama &amp; Nurkhamidah, 2023).</w:t>
      </w:r>
    </w:p>
    <w:p w14:paraId="66465CB1">
      <w:pPr>
        <w:jc w:val="both"/>
        <w:rPr>
          <w:rFonts w:ascii="Arial" w:hAnsi="Arial" w:eastAsia="SimSun" w:cs="Arial"/>
        </w:rPr>
      </w:pPr>
    </w:p>
    <w:p w14:paraId="1BD9C35C">
      <w:pPr>
        <w:jc w:val="both"/>
        <w:rPr>
          <w:rFonts w:ascii="Arial" w:hAnsi="Arial" w:eastAsia="SimSun" w:cs="Arial"/>
          <w:b/>
          <w:bCs/>
        </w:rPr>
      </w:pPr>
      <w:r>
        <w:rPr>
          <w:rFonts w:ascii="Arial" w:hAnsi="Arial" w:eastAsia="SimSun" w:cs="Arial"/>
          <w:b/>
          <w:bCs/>
        </w:rPr>
        <w:t>External Barriers</w:t>
      </w:r>
    </w:p>
    <w:p w14:paraId="3D835519">
      <w:pPr>
        <w:jc w:val="both"/>
        <w:rPr>
          <w:rFonts w:ascii="Arial" w:hAnsi="Arial" w:eastAsia="SimSun" w:cs="Arial"/>
        </w:rPr>
      </w:pPr>
      <w:r>
        <w:rPr>
          <w:rFonts w:ascii="Arial" w:hAnsi="Arial" w:eastAsia="SimSun" w:cs="Arial"/>
          <w:b/>
          <w:bCs/>
          <w:i/>
          <w:iCs/>
        </w:rPr>
        <w:t>Physical Environment</w:t>
      </w:r>
      <w:r>
        <w:rPr>
          <w:rFonts w:ascii="Arial" w:hAnsi="Arial" w:eastAsia="SimSun" w:cs="Arial"/>
          <w:b/>
          <w:bCs/>
          <w:i/>
          <w:iCs/>
          <w:lang w:val="en-GB"/>
        </w:rPr>
        <w:t>.</w:t>
      </w:r>
      <w:r>
        <w:rPr>
          <w:rFonts w:ascii="Arial" w:hAnsi="Arial" w:eastAsia="SimSun" w:cs="Arial"/>
          <w:lang w:val="en-GB"/>
        </w:rPr>
        <w:t xml:space="preserve"> </w:t>
      </w:r>
      <w:r>
        <w:rPr>
          <w:rFonts w:ascii="Arial" w:hAnsi="Arial" w:eastAsia="SimSun" w:cs="Arial"/>
        </w:rPr>
        <w:t>Poor classroom acoustics, background noise, and inadequate audio equipment significantly hinder listening skill development. Noise levels outside classrooms or poor-quality recordings further exacerbate comprehension difficulties (Handayani et al., 2023; Nurkhamidah, 2020).</w:t>
      </w:r>
    </w:p>
    <w:p w14:paraId="652C1888">
      <w:pPr>
        <w:jc w:val="both"/>
        <w:rPr>
          <w:rFonts w:ascii="Arial" w:hAnsi="Arial" w:eastAsia="SimSun" w:cs="Arial"/>
        </w:rPr>
      </w:pPr>
      <w:r>
        <w:rPr>
          <w:rFonts w:ascii="Arial" w:hAnsi="Arial" w:eastAsia="SimSun" w:cs="Arial"/>
          <w:b/>
          <w:bCs/>
          <w:i/>
          <w:iCs/>
        </w:rPr>
        <w:t>Material Challenges</w:t>
      </w:r>
      <w:r>
        <w:rPr>
          <w:rFonts w:ascii="Arial" w:hAnsi="Arial" w:eastAsia="SimSun" w:cs="Arial"/>
          <w:b/>
          <w:bCs/>
          <w:i/>
          <w:iCs/>
          <w:lang w:val="en-GB"/>
        </w:rPr>
        <w:t>.</w:t>
      </w:r>
      <w:r>
        <w:rPr>
          <w:rFonts w:ascii="Arial" w:hAnsi="Arial" w:eastAsia="SimSun" w:cs="Arial"/>
          <w:lang w:val="en-GB"/>
        </w:rPr>
        <w:t xml:space="preserve"> </w:t>
      </w:r>
      <w:r>
        <w:rPr>
          <w:rFonts w:ascii="Arial" w:hAnsi="Arial" w:eastAsia="SimSun" w:cs="Arial"/>
        </w:rPr>
        <w:t>Listening materials that are monotonous, overly complex, or culturally irrelevant can demotivate learners. Materials that lack variety and authenticity fail to engage students effectively (Coskun &amp; Uzunyol-Kopru, 2021; Yunus &amp; Damayanti, 2024).</w:t>
      </w:r>
    </w:p>
    <w:p w14:paraId="60E5A481">
      <w:pPr>
        <w:jc w:val="both"/>
        <w:rPr>
          <w:rFonts w:ascii="Arial" w:hAnsi="Arial" w:eastAsia="SimSun" w:cs="Arial"/>
        </w:rPr>
      </w:pPr>
      <w:r>
        <w:rPr>
          <w:rFonts w:ascii="Arial" w:hAnsi="Arial" w:eastAsia="SimSun" w:cs="Arial"/>
          <w:b/>
          <w:bCs/>
          <w:i/>
          <w:iCs/>
        </w:rPr>
        <w:t>Technological Limitations</w:t>
      </w:r>
      <w:r>
        <w:rPr>
          <w:rFonts w:ascii="Arial" w:hAnsi="Arial" w:eastAsia="SimSun" w:cs="Arial"/>
          <w:b/>
          <w:bCs/>
          <w:i/>
          <w:iCs/>
          <w:lang w:val="en-GB"/>
        </w:rPr>
        <w:t xml:space="preserve">. </w:t>
      </w:r>
      <w:r>
        <w:rPr>
          <w:rFonts w:ascii="Arial" w:hAnsi="Arial" w:eastAsia="SimSun" w:cs="Arial"/>
        </w:rPr>
        <w:t>Technological challenges, such as unreliable internet connections or inadequate access to digital devices, disrupt virtual or technology-assisted listening exercises (Adnan et al., 2020; Aldina et al., 2020). These issues became particularly pronounced during the COVID-19 pandemic when online learning was predominant.</w:t>
      </w:r>
    </w:p>
    <w:p w14:paraId="63A612E8">
      <w:pPr>
        <w:jc w:val="both"/>
        <w:rPr>
          <w:rFonts w:ascii="Arial" w:hAnsi="Arial" w:eastAsia="SimSun" w:cs="Arial"/>
        </w:rPr>
      </w:pPr>
    </w:p>
    <w:p w14:paraId="00C8DC0A">
      <w:pPr>
        <w:jc w:val="both"/>
        <w:rPr>
          <w:rFonts w:ascii="Arial" w:hAnsi="Arial" w:eastAsia="SimSun" w:cs="Arial"/>
        </w:rPr>
      </w:pPr>
      <w:r>
        <w:rPr>
          <w:rFonts w:ascii="Arial" w:hAnsi="Arial" w:eastAsia="SimSun" w:cs="Arial"/>
          <w:b/>
          <w:bCs/>
        </w:rPr>
        <w:t>Pedagogical and Instructional Issues</w:t>
      </w:r>
    </w:p>
    <w:p w14:paraId="3ACB0B08">
      <w:pPr>
        <w:jc w:val="both"/>
        <w:rPr>
          <w:rFonts w:ascii="Arial" w:hAnsi="Arial" w:eastAsia="SimSun" w:cs="Arial"/>
        </w:rPr>
      </w:pPr>
      <w:r>
        <w:rPr>
          <w:rFonts w:ascii="Arial" w:hAnsi="Arial" w:eastAsia="SimSun" w:cs="Arial"/>
          <w:b/>
          <w:bCs/>
          <w:i/>
          <w:iCs/>
          <w:lang w:val="en-GB"/>
        </w:rPr>
        <w:t>Teaching Approaches.</w:t>
      </w:r>
      <w:r>
        <w:rPr>
          <w:rFonts w:ascii="Arial" w:hAnsi="Arial" w:eastAsia="SimSun" w:cs="Arial"/>
          <w:lang w:val="en-GB"/>
        </w:rPr>
        <w:t xml:space="preserve"> </w:t>
      </w:r>
      <w:r>
        <w:rPr>
          <w:rFonts w:ascii="Arial" w:hAnsi="Arial" w:eastAsia="SimSun" w:cs="Arial"/>
        </w:rPr>
        <w:t>Teaching methods that fail to address individual learner needs, such as insufficient preparation for listening activities or lack of exposure to authentic materials, restrain listening improvement. Effective strategies like gamification and multimedia integration have shown promise but remain underutilized (Rahayu, 2024; Yildirim &amp; Karahan, 2023).</w:t>
      </w:r>
    </w:p>
    <w:p w14:paraId="494DAA2D">
      <w:pPr>
        <w:jc w:val="both"/>
        <w:rPr>
          <w:rFonts w:ascii="Arial" w:hAnsi="Arial" w:eastAsia="SimSun" w:cs="Arial"/>
        </w:rPr>
      </w:pPr>
      <w:r>
        <w:rPr>
          <w:rFonts w:ascii="Arial" w:hAnsi="Arial" w:eastAsia="SimSun" w:cs="Arial"/>
          <w:b/>
          <w:bCs/>
          <w:i/>
          <w:iCs/>
          <w:lang w:val="en-GB"/>
        </w:rPr>
        <w:t xml:space="preserve">Inadequate </w:t>
      </w:r>
      <w:r>
        <w:rPr>
          <w:rFonts w:ascii="Arial" w:hAnsi="Arial" w:eastAsia="SimSun" w:cs="Arial"/>
          <w:b/>
          <w:bCs/>
          <w:i/>
          <w:iCs/>
        </w:rPr>
        <w:t>Feedback</w:t>
      </w:r>
      <w:r>
        <w:rPr>
          <w:rFonts w:ascii="Arial" w:hAnsi="Arial" w:eastAsia="SimSun" w:cs="Arial"/>
          <w:b/>
          <w:bCs/>
          <w:i/>
          <w:iCs/>
          <w:lang w:val="en-GB"/>
        </w:rPr>
        <w:t>.</w:t>
      </w:r>
      <w:r>
        <w:rPr>
          <w:rFonts w:ascii="Arial" w:hAnsi="Arial" w:eastAsia="SimSun" w:cs="Arial"/>
          <w:lang w:val="en-GB"/>
        </w:rPr>
        <w:t xml:space="preserve"> </w:t>
      </w:r>
      <w:r>
        <w:rPr>
          <w:rFonts w:ascii="Arial" w:hAnsi="Arial" w:eastAsia="SimSun" w:cs="Arial"/>
        </w:rPr>
        <w:t>The absence of formative assessments and constructive feedback limits students' opportunities to identify and address their listening weaknesses (Saifullah, 2024; Kabir, 2024).</w:t>
      </w:r>
    </w:p>
    <w:p w14:paraId="4F07B3A8">
      <w:pPr>
        <w:jc w:val="both"/>
        <w:rPr>
          <w:rFonts w:ascii="Arial" w:hAnsi="Arial" w:eastAsia="SimSun" w:cs="Arial"/>
        </w:rPr>
      </w:pPr>
      <w:r>
        <w:rPr>
          <w:rFonts w:ascii="Arial" w:hAnsi="Arial" w:eastAsia="SimSun" w:cs="Arial"/>
          <w:b/>
          <w:bCs/>
          <w:i/>
          <w:iCs/>
        </w:rPr>
        <w:t xml:space="preserve">Curriculum </w:t>
      </w:r>
      <w:r>
        <w:rPr>
          <w:rFonts w:ascii="Arial" w:hAnsi="Arial" w:eastAsia="SimSun" w:cs="Arial"/>
          <w:b/>
          <w:bCs/>
          <w:i/>
          <w:iCs/>
          <w:lang w:val="en-GB"/>
        </w:rPr>
        <w:t>Gaps.</w:t>
      </w:r>
      <w:r>
        <w:rPr>
          <w:rFonts w:ascii="Arial" w:hAnsi="Arial" w:eastAsia="SimSun" w:cs="Arial"/>
          <w:lang w:val="en-GB"/>
        </w:rPr>
        <w:t xml:space="preserve"> </w:t>
      </w:r>
      <w:r>
        <w:rPr>
          <w:rFonts w:ascii="Arial" w:hAnsi="Arial" w:eastAsia="SimSun" w:cs="Arial"/>
        </w:rPr>
        <w:t>Misalignment between curriculum design, teaching practices, and assessment policies, especially the lack of evaluation for listening skills, creates a gap in effective learning (Kabir, 2024).</w:t>
      </w:r>
    </w:p>
    <w:p w14:paraId="038F8862">
      <w:pPr>
        <w:jc w:val="both"/>
        <w:rPr>
          <w:rFonts w:ascii="Arial" w:hAnsi="Arial" w:eastAsia="SimSun" w:cs="Arial"/>
        </w:rPr>
      </w:pPr>
    </w:p>
    <w:p w14:paraId="5C394FDC">
      <w:pPr>
        <w:jc w:val="both"/>
        <w:rPr>
          <w:rFonts w:ascii="Arial" w:hAnsi="Arial" w:eastAsia="SimSun" w:cs="Arial"/>
          <w:b/>
          <w:bCs/>
        </w:rPr>
      </w:pPr>
      <w:r>
        <w:rPr>
          <w:rFonts w:ascii="Arial" w:hAnsi="Arial" w:eastAsia="SimSun" w:cs="Arial"/>
          <w:b/>
          <w:bCs/>
        </w:rPr>
        <w:t>Sociocultural and Contextual Factors</w:t>
      </w:r>
    </w:p>
    <w:p w14:paraId="10EAC04E">
      <w:pPr>
        <w:jc w:val="both"/>
        <w:rPr>
          <w:rFonts w:ascii="Arial" w:hAnsi="Arial" w:eastAsia="SimSun" w:cs="Arial"/>
        </w:rPr>
      </w:pPr>
      <w:r>
        <w:rPr>
          <w:rFonts w:ascii="Arial" w:hAnsi="Arial" w:eastAsia="SimSun" w:cs="Arial"/>
          <w:b/>
          <w:bCs/>
          <w:i/>
          <w:iCs/>
        </w:rPr>
        <w:t>Cultural Differences</w:t>
      </w:r>
      <w:r>
        <w:rPr>
          <w:rFonts w:ascii="Arial" w:hAnsi="Arial" w:eastAsia="SimSun" w:cs="Arial"/>
          <w:b/>
          <w:bCs/>
          <w:i/>
          <w:iCs/>
          <w:lang w:val="en-GB"/>
        </w:rPr>
        <w:t>.</w:t>
      </w:r>
      <w:r>
        <w:rPr>
          <w:rFonts w:ascii="Arial" w:hAnsi="Arial" w:eastAsia="SimSun" w:cs="Arial"/>
          <w:lang w:val="en-GB"/>
        </w:rPr>
        <w:t xml:space="preserve"> </w:t>
      </w:r>
      <w:r>
        <w:rPr>
          <w:rFonts w:ascii="Arial" w:hAnsi="Arial" w:eastAsia="SimSun" w:cs="Arial"/>
        </w:rPr>
        <w:t>Cultural gaps, such as unfamiliar accents and references in spoken English, pose significant barriers to comprehension. Learners often find it challenging to decode speech influenced by diverse cultural contexts (Holbah &amp; Sharma, 2021; Handayani et al., 2023).</w:t>
      </w:r>
    </w:p>
    <w:p w14:paraId="0801C01E">
      <w:pPr>
        <w:jc w:val="both"/>
        <w:rPr>
          <w:rFonts w:ascii="Arial" w:hAnsi="Arial" w:eastAsia="SimSun" w:cs="Arial"/>
        </w:rPr>
      </w:pPr>
      <w:r>
        <w:rPr>
          <w:rFonts w:ascii="Arial" w:hAnsi="Arial" w:eastAsia="SimSun" w:cs="Arial"/>
          <w:b/>
          <w:bCs/>
          <w:i/>
          <w:iCs/>
        </w:rPr>
        <w:t>Family and Peer Influence</w:t>
      </w:r>
      <w:r>
        <w:rPr>
          <w:rFonts w:ascii="Arial" w:hAnsi="Arial" w:eastAsia="SimSun" w:cs="Arial"/>
          <w:b/>
          <w:bCs/>
          <w:i/>
          <w:iCs/>
          <w:lang w:val="en-GB"/>
        </w:rPr>
        <w:t>.</w:t>
      </w:r>
      <w:r>
        <w:rPr>
          <w:rFonts w:ascii="Arial" w:hAnsi="Arial" w:eastAsia="SimSun" w:cs="Arial"/>
          <w:lang w:val="en-GB"/>
        </w:rPr>
        <w:t xml:space="preserve"> </w:t>
      </w:r>
      <w:r>
        <w:rPr>
          <w:rFonts w:ascii="Arial" w:hAnsi="Arial" w:eastAsia="SimSun" w:cs="Arial"/>
        </w:rPr>
        <w:t>Limited encouragement from family and peers or a negative attitude toward English learning contributes to reduced motivation and support for skill improvement (Coskun &amp; Uzunyol-Kopru, 2021).</w:t>
      </w:r>
    </w:p>
    <w:p w14:paraId="01588273">
      <w:pPr>
        <w:jc w:val="both"/>
        <w:rPr>
          <w:rFonts w:ascii="Arial" w:hAnsi="Arial" w:eastAsia="SimSun" w:cs="Arial"/>
        </w:rPr>
      </w:pPr>
      <w:r>
        <w:rPr>
          <w:rFonts w:ascii="Arial" w:hAnsi="Arial" w:eastAsia="SimSun" w:cs="Arial"/>
          <w:b/>
          <w:bCs/>
          <w:i/>
          <w:iCs/>
        </w:rPr>
        <w:t>Time Constraints</w:t>
      </w:r>
      <w:r>
        <w:rPr>
          <w:rFonts w:ascii="Arial" w:hAnsi="Arial" w:eastAsia="SimSun" w:cs="Arial"/>
          <w:b/>
          <w:bCs/>
          <w:i/>
          <w:iCs/>
          <w:lang w:val="en-GB"/>
        </w:rPr>
        <w:t>.</w:t>
      </w:r>
      <w:r>
        <w:rPr>
          <w:rFonts w:ascii="Arial" w:hAnsi="Arial" w:eastAsia="SimSun" w:cs="Arial"/>
          <w:lang w:val="en-GB"/>
        </w:rPr>
        <w:t xml:space="preserve"> </w:t>
      </w:r>
      <w:r>
        <w:rPr>
          <w:rFonts w:ascii="Arial" w:hAnsi="Arial" w:eastAsia="SimSun" w:cs="Arial"/>
        </w:rPr>
        <w:t>Insufficient time for listening practice, both in and outside the classroom, restricts learners' opportunities to refine their skills (Rosa, 2020).</w:t>
      </w:r>
    </w:p>
    <w:p w14:paraId="6F114052">
      <w:pPr>
        <w:jc w:val="both"/>
        <w:rPr>
          <w:rFonts w:ascii="Arial" w:hAnsi="Arial" w:eastAsia="SimSun" w:cs="Arial"/>
        </w:rPr>
      </w:pPr>
    </w:p>
    <w:p w14:paraId="36DD481C">
      <w:pPr>
        <w:jc w:val="both"/>
        <w:rPr>
          <w:rFonts w:ascii="Arial" w:hAnsi="Arial" w:eastAsia="SimSun" w:cs="Arial"/>
          <w:b/>
          <w:bCs/>
        </w:rPr>
      </w:pPr>
      <w:r>
        <w:rPr>
          <w:rFonts w:ascii="Arial" w:hAnsi="Arial" w:eastAsia="SimSun" w:cs="Arial"/>
          <w:b/>
          <w:bCs/>
        </w:rPr>
        <w:t>Learner Autonomy and Motivation</w:t>
      </w:r>
    </w:p>
    <w:p w14:paraId="04C30115">
      <w:pPr>
        <w:jc w:val="both"/>
        <w:rPr>
          <w:rFonts w:ascii="Arial" w:hAnsi="Arial" w:eastAsia="SimSun" w:cs="Arial"/>
        </w:rPr>
      </w:pPr>
      <w:r>
        <w:rPr>
          <w:rFonts w:ascii="Arial" w:hAnsi="Arial" w:eastAsia="SimSun" w:cs="Arial"/>
          <w:b/>
          <w:bCs/>
          <w:i/>
          <w:iCs/>
        </w:rPr>
        <w:t>Self-Directed Learning</w:t>
      </w:r>
      <w:r>
        <w:rPr>
          <w:rFonts w:ascii="Arial" w:hAnsi="Arial" w:eastAsia="SimSun" w:cs="Arial"/>
          <w:b/>
          <w:bCs/>
          <w:i/>
          <w:iCs/>
          <w:lang w:val="en-GB"/>
        </w:rPr>
        <w:t>.</w:t>
      </w:r>
      <w:r>
        <w:rPr>
          <w:rFonts w:ascii="Arial" w:hAnsi="Arial" w:eastAsia="SimSun" w:cs="Arial"/>
          <w:lang w:val="en-GB"/>
        </w:rPr>
        <w:t xml:space="preserve"> </w:t>
      </w:r>
      <w:r>
        <w:rPr>
          <w:rFonts w:ascii="Arial" w:hAnsi="Arial" w:eastAsia="SimSun" w:cs="Arial"/>
        </w:rPr>
        <w:t>Autonomy in listening practice, such as using podcasts or online resources, is crucial for improving proficiency. However, a lack of guidance and self-regulation prevents many learners from adopting effective self-directed learning strategies (Yunus &amp; Damayanti, 2024).</w:t>
      </w:r>
    </w:p>
    <w:p w14:paraId="70CCE32B">
      <w:pPr>
        <w:pStyle w:val="24"/>
        <w:spacing w:after="0"/>
        <w:rPr>
          <w:rFonts w:ascii="Arial" w:hAnsi="Arial" w:cs="Arial"/>
        </w:rPr>
      </w:pPr>
      <w:r>
        <w:rPr>
          <w:rFonts w:ascii="Arial" w:hAnsi="Arial" w:eastAsia="SimSun" w:cs="Arial"/>
          <w:b/>
          <w:bCs/>
          <w:i/>
          <w:iCs/>
        </w:rPr>
        <w:t>Motivational Challenges</w:t>
      </w:r>
      <w:r>
        <w:rPr>
          <w:rFonts w:ascii="Arial" w:hAnsi="Arial" w:eastAsia="SimSun" w:cs="Arial"/>
          <w:b/>
          <w:bCs/>
          <w:i/>
          <w:iCs/>
          <w:lang w:val="en-GB"/>
        </w:rPr>
        <w:t>.</w:t>
      </w:r>
      <w:r>
        <w:rPr>
          <w:rFonts w:ascii="Arial" w:hAnsi="Arial" w:eastAsia="SimSun" w:cs="Arial"/>
          <w:lang w:val="en-GB"/>
        </w:rPr>
        <w:t xml:space="preserve"> </w:t>
      </w:r>
      <w:r>
        <w:rPr>
          <w:rFonts w:ascii="Arial" w:hAnsi="Arial" w:eastAsia="SimSun" w:cs="Arial"/>
        </w:rPr>
        <w:t>Low motivation and unclear learning goals hinder sustained effort in listening practice. Studies emphasize the need for motivational strategies, including rewards and positive reinforcement, to keep learners engaged (Pratama &amp; Nurkhamidah, 2023; Saifullah, 2024).</w:t>
      </w:r>
    </w:p>
    <w:p w14:paraId="7565ED3D">
      <w:pPr>
        <w:pStyle w:val="29"/>
        <w:spacing w:after="0"/>
        <w:jc w:val="both"/>
        <w:rPr>
          <w:rFonts w:ascii="Arial" w:hAnsi="Arial" w:cs="Arial"/>
        </w:rPr>
      </w:pPr>
      <w:r>
        <w:rPr>
          <w:rFonts w:ascii="Arial" w:hAnsi="Arial" w:cs="Arial"/>
        </w:rPr>
        <w:t>4. Conclusion</w:t>
      </w:r>
    </w:p>
    <w:p w14:paraId="1F8890F9">
      <w:pPr>
        <w:pStyle w:val="29"/>
        <w:spacing w:after="0"/>
        <w:jc w:val="both"/>
        <w:rPr>
          <w:rFonts w:ascii="Arial" w:hAnsi="Arial" w:cs="Arial"/>
        </w:rPr>
      </w:pPr>
    </w:p>
    <w:p w14:paraId="72D677EE">
      <w:pPr>
        <w:pStyle w:val="29"/>
        <w:spacing w:after="0"/>
        <w:jc w:val="both"/>
        <w:rPr>
          <w:rFonts w:ascii="Arial" w:hAnsi="Arial" w:cs="Arial"/>
        </w:rPr>
      </w:pPr>
    </w:p>
    <w:p w14:paraId="64C79DD5">
      <w:pPr>
        <w:pStyle w:val="17"/>
        <w:spacing w:beforeAutospacing="0" w:afterAutospacing="0"/>
        <w:jc w:val="both"/>
        <w:rPr>
          <w:rFonts w:ascii="Arial" w:hAnsi="Arial" w:cs="Arial"/>
          <w:sz w:val="20"/>
          <w:szCs w:val="20"/>
        </w:rPr>
      </w:pPr>
      <w:r>
        <w:rPr>
          <w:rFonts w:ascii="Arial" w:hAnsi="Arial" w:cs="Arial"/>
          <w:sz w:val="20"/>
          <w:szCs w:val="20"/>
        </w:rPr>
        <w:t>This study underscores the multifaceted nature of the challenges that hinder English learners in improving their listening skills. By categorizing these challenges into internal, external, pedagogical, sociocultural, and motivational factors, it offers a holistic understanding of the barriers learners face. The systematic review revealed that limited vocabulary, listening anxiety, and concentration issues are major internal hurdles, while noisy environments, inadequate materials, and technological limitations represent significant external challenges. Furthermore, gaps in teaching strategies, lack of feedback, and cultural influences exacerbate the problem, highlighting the need for context-sensitive and learner-centered approaches.</w:t>
      </w:r>
    </w:p>
    <w:p w14:paraId="51983117">
      <w:pPr>
        <w:pStyle w:val="24"/>
        <w:spacing w:after="0"/>
        <w:rPr>
          <w:rFonts w:ascii="Arial" w:hAnsi="Arial" w:cs="Arial"/>
        </w:rPr>
      </w:pPr>
      <w:r>
        <w:rPr>
          <w:rFonts w:ascii="Arial" w:hAnsi="Arial" w:cs="Arial"/>
        </w:rPr>
        <w:t>The findings emphasize the importance of addressing these interconnected factors through targeted interventions. Strategies such as the integration of authentic listening materials, enhancing technological resources, and promoting metacognitive techniques can mitigate these issues. This comprehensive analysis contributes to the growing body of literature on English language education, providing actionable insights for educators, policymakers, and researchers aiming to enhance listening proficiency among learners.</w:t>
      </w:r>
    </w:p>
    <w:p w14:paraId="6F683C34">
      <w:pPr>
        <w:pStyle w:val="24"/>
        <w:spacing w:after="0"/>
        <w:rPr>
          <w:rFonts w:ascii="Arial" w:hAnsi="Arial" w:cs="Arial"/>
        </w:rPr>
      </w:pPr>
    </w:p>
    <w:p w14:paraId="4D8061C7">
      <w:pPr>
        <w:jc w:val="both"/>
        <w:rPr>
          <w:rFonts w:hint="default" w:ascii="Calibri" w:hAnsi="Calibri" w:eastAsia="Calibri"/>
          <w:kern w:val="2"/>
          <w:highlight w:val="none"/>
          <w:lang w:val="en-GB"/>
        </w:rPr>
      </w:pPr>
      <w:bookmarkStart w:id="0" w:name="_Hlk193540946"/>
      <w:bookmarkStart w:id="1" w:name="_Hlk180402183"/>
      <w:bookmarkStart w:id="2" w:name="_Hlk183680988"/>
      <w:r>
        <w:rPr>
          <w:rFonts w:ascii="Calibri" w:hAnsi="Calibri" w:eastAsia="Calibri"/>
          <w:kern w:val="2"/>
          <w:highlight w:val="none"/>
        </w:rPr>
        <w:t>Disclaimer</w:t>
      </w:r>
      <w:r>
        <w:rPr>
          <w:rFonts w:hint="default" w:ascii="Calibri" w:hAnsi="Calibri" w:eastAsia="Calibri"/>
          <w:kern w:val="2"/>
          <w:highlight w:val="none"/>
          <w:lang w:val="en-GB"/>
        </w:rPr>
        <w:t>:</w:t>
      </w:r>
    </w:p>
    <w:p w14:paraId="5133E16A">
      <w:pPr>
        <w:jc w:val="both"/>
        <w:rPr>
          <w:rFonts w:ascii="Calibri" w:hAnsi="Calibri" w:eastAsia="Calibri"/>
          <w:kern w:val="2"/>
          <w:highlight w:val="none"/>
        </w:rPr>
      </w:pPr>
      <w:r>
        <w:rPr>
          <w:rFonts w:ascii="Calibri" w:hAnsi="Calibri" w:eastAsia="Calibri"/>
          <w:kern w:val="2"/>
          <w:highlight w:val="none"/>
        </w:rPr>
        <w:t>Author(s) hereby declare that NO generative AI technologies such as Large Language Models (ChatGPT, COPILOT, et</w:t>
      </w:r>
      <w:bookmarkStart w:id="3" w:name="_GoBack"/>
      <w:bookmarkEnd w:id="3"/>
      <w:r>
        <w:rPr>
          <w:rFonts w:ascii="Calibri" w:hAnsi="Calibri" w:eastAsia="Calibri"/>
          <w:kern w:val="2"/>
          <w:highlight w:val="none"/>
        </w:rPr>
        <w:t xml:space="preserve">c.) and text-to-image generators have been used during the writing or editing of this manuscript. </w:t>
      </w:r>
    </w:p>
    <w:bookmarkEnd w:id="0"/>
    <w:bookmarkEnd w:id="1"/>
    <w:bookmarkEnd w:id="2"/>
    <w:p w14:paraId="5666CD01">
      <w:pPr>
        <w:pStyle w:val="31"/>
        <w:spacing w:after="0"/>
        <w:jc w:val="both"/>
        <w:rPr>
          <w:rFonts w:ascii="Arial" w:hAnsi="Arial" w:cs="Arial"/>
          <w:b w:val="0"/>
          <w:caps w:val="0"/>
          <w:sz w:val="20"/>
        </w:rPr>
      </w:pPr>
    </w:p>
    <w:p w14:paraId="71487B92">
      <w:pPr>
        <w:pStyle w:val="31"/>
        <w:spacing w:after="0"/>
        <w:jc w:val="both"/>
        <w:rPr>
          <w:rFonts w:ascii="Arial" w:hAnsi="Arial" w:cs="Arial"/>
        </w:rPr>
      </w:pPr>
    </w:p>
    <w:p w14:paraId="4A4A4480">
      <w:pPr>
        <w:pStyle w:val="31"/>
        <w:spacing w:after="0"/>
        <w:jc w:val="both"/>
        <w:rPr>
          <w:rFonts w:ascii="Arial" w:hAnsi="Arial" w:cs="Arial"/>
        </w:rPr>
      </w:pPr>
      <w:r>
        <w:rPr>
          <w:rFonts w:ascii="Arial" w:hAnsi="Arial" w:cs="Arial"/>
        </w:rPr>
        <w:t>References</w:t>
      </w:r>
    </w:p>
    <w:p w14:paraId="01B05611">
      <w:pPr>
        <w:pStyle w:val="31"/>
        <w:spacing w:after="0"/>
        <w:jc w:val="both"/>
        <w:rPr>
          <w:rFonts w:ascii="Arial" w:hAnsi="Arial" w:cs="Arial"/>
        </w:rPr>
      </w:pPr>
    </w:p>
    <w:p w14:paraId="0A6DD4CB">
      <w:pPr>
        <w:widowControl w:val="0"/>
        <w:ind w:left="332" w:hanging="332" w:hangingChars="166"/>
        <w:jc w:val="both"/>
        <w:rPr>
          <w:rFonts w:ascii="Arial" w:hAnsi="Arial" w:eastAsia="SimSun" w:cs="Arial"/>
          <w:color w:val="222222"/>
          <w:shd w:val="clear" w:color="auto" w:fill="FFFFFF"/>
          <w:lang w:val="en-GB"/>
        </w:rPr>
      </w:pPr>
      <w:r>
        <w:rPr>
          <w:rFonts w:ascii="Arial" w:hAnsi="Arial" w:eastAsia="SimSun" w:cs="Arial"/>
          <w:shd w:val="clear" w:color="auto" w:fill="FFFFFF"/>
        </w:rPr>
        <w:t>Adnan, A., Marlina, L., &amp; Shawfani, A. (2020). Listening Anxiety Experienced by Advanced</w:t>
      </w:r>
      <w:r>
        <w:rPr>
          <w:rFonts w:ascii="Arial" w:hAnsi="Arial" w:eastAsia="SimSun" w:cs="Arial"/>
          <w:shd w:val="clear" w:color="auto" w:fill="FFFFFF"/>
          <w:lang w:val="en-GB"/>
        </w:rPr>
        <w:t xml:space="preserve"> </w:t>
      </w:r>
      <w:r>
        <w:rPr>
          <w:rFonts w:ascii="Arial" w:hAnsi="Arial" w:eastAsia="SimSun" w:cs="Arial"/>
          <w:shd w:val="clear" w:color="auto" w:fill="FFFFFF"/>
        </w:rPr>
        <w:t>Listening Class Students of English Department UNP Padang. In </w:t>
      </w:r>
      <w:r>
        <w:rPr>
          <w:rFonts w:ascii="Arial" w:hAnsi="Arial" w:eastAsia="SimSun" w:cs="Arial"/>
          <w:i/>
          <w:iCs/>
          <w:shd w:val="clear" w:color="auto" w:fill="FFFFFF"/>
        </w:rPr>
        <w:t>7th International Conference on English Language and Teaching (ICOELT 2019)</w:t>
      </w:r>
      <w:r>
        <w:rPr>
          <w:rFonts w:ascii="Arial" w:hAnsi="Arial" w:eastAsia="SimSun" w:cs="Arial"/>
          <w:shd w:val="clear" w:color="auto" w:fill="FFFFFF"/>
        </w:rPr>
        <w:t> (pp. 207-214). Atlantis Press.</w:t>
      </w:r>
      <w:r>
        <w:rPr>
          <w:rFonts w:ascii="Arial" w:hAnsi="Arial" w:eastAsia="SimSun" w:cs="Arial"/>
          <w:shd w:val="clear" w:color="auto" w:fill="FFFFFF"/>
          <w:lang w:val="en-GB"/>
        </w:rPr>
        <w:t xml:space="preserve"> </w:t>
      </w:r>
      <w:r>
        <w:fldChar w:fldCharType="begin"/>
      </w:r>
      <w:r>
        <w:instrText xml:space="preserve"> HYPERLINK "https://www.atlantis-press.com/proceedings/icoelt-19/125935784." </w:instrText>
      </w:r>
      <w:r>
        <w:fldChar w:fldCharType="separate"/>
      </w:r>
      <w:r>
        <w:rPr>
          <w:rStyle w:val="15"/>
          <w:rFonts w:ascii="Arial" w:hAnsi="Arial" w:eastAsia="SimSun" w:cs="Arial"/>
          <w:shd w:val="clear" w:color="auto" w:fill="FFFFFF"/>
          <w:lang w:val="en-GB"/>
        </w:rPr>
        <w:t>https://www.atlantis-press.com/proceedings/icoelt-19/125935784.</w:t>
      </w:r>
      <w:r>
        <w:rPr>
          <w:rStyle w:val="15"/>
          <w:rFonts w:ascii="Arial" w:hAnsi="Arial" w:eastAsia="SimSun" w:cs="Arial"/>
          <w:shd w:val="clear" w:color="auto" w:fill="FFFFFF"/>
          <w:lang w:val="en-GB"/>
        </w:rPr>
        <w:fldChar w:fldCharType="end"/>
      </w:r>
    </w:p>
    <w:p w14:paraId="6F8AF4B5">
      <w:pPr>
        <w:widowControl w:val="0"/>
        <w:ind w:left="332" w:hanging="332" w:hangingChars="166"/>
        <w:jc w:val="both"/>
        <w:rPr>
          <w:rFonts w:ascii="Arial" w:hAnsi="Arial" w:eastAsia="SimSun" w:cs="Arial"/>
          <w:color w:val="000000"/>
          <w:lang w:val="en-GB"/>
        </w:rPr>
      </w:pPr>
      <w:r>
        <w:rPr>
          <w:rFonts w:ascii="Arial" w:hAnsi="Arial" w:eastAsia="SimSun" w:cs="Arial"/>
          <w:color w:val="000000"/>
        </w:rPr>
        <w:t>Aldina, M., Dayu, A., &amp; Haura, R. (2020). Students’ Challenges in Listening Virtual Classroom; Case Study in English Education Study Program in COVID-19.</w:t>
      </w:r>
      <w:r>
        <w:rPr>
          <w:rFonts w:ascii="Arial" w:hAnsi="Arial" w:eastAsia="SimSun" w:cs="Arial"/>
          <w:color w:val="000000"/>
          <w:lang w:val="en-GB"/>
        </w:rPr>
        <w:t xml:space="preserve"> </w:t>
      </w:r>
      <w:r>
        <w:fldChar w:fldCharType="begin"/>
      </w:r>
      <w:r>
        <w:instrText xml:space="preserve"> HYPERLINK "https://ojs.uniska-bjm.ac.id/index.php/PIUOK/article/view/3986." </w:instrText>
      </w:r>
      <w:r>
        <w:fldChar w:fldCharType="separate"/>
      </w:r>
      <w:r>
        <w:rPr>
          <w:rStyle w:val="15"/>
          <w:rFonts w:ascii="Arial" w:hAnsi="Arial" w:eastAsia="SimSun" w:cs="Arial"/>
        </w:rPr>
        <w:t>https://ojs.uniska-bjm.ac.id/index.php/PIUOK/article/view/3986</w:t>
      </w:r>
      <w:r>
        <w:rPr>
          <w:rStyle w:val="15"/>
          <w:rFonts w:ascii="Arial" w:hAnsi="Arial" w:eastAsia="SimSun" w:cs="Arial"/>
          <w:lang w:val="en-GB"/>
        </w:rPr>
        <w:t>.</w:t>
      </w:r>
      <w:r>
        <w:rPr>
          <w:rStyle w:val="15"/>
          <w:rFonts w:ascii="Arial" w:hAnsi="Arial" w:eastAsia="SimSun" w:cs="Arial"/>
          <w:lang w:val="en-GB"/>
        </w:rPr>
        <w:fldChar w:fldCharType="end"/>
      </w:r>
    </w:p>
    <w:p w14:paraId="17FCB87E">
      <w:pPr>
        <w:widowControl w:val="0"/>
        <w:ind w:left="332" w:hanging="332" w:hangingChars="166"/>
        <w:jc w:val="both"/>
        <w:rPr>
          <w:rFonts w:ascii="Arial" w:hAnsi="Arial" w:eastAsia="Arial" w:cs="Arial"/>
          <w:spacing w:val="3"/>
          <w:lang w:val="en-GB"/>
        </w:rPr>
      </w:pPr>
      <w:r>
        <w:rPr>
          <w:rFonts w:ascii="Arial" w:hAnsi="Arial" w:eastAsia="SimSun" w:cs="Arial"/>
          <w:color w:val="222222"/>
          <w:shd w:val="clear" w:color="auto" w:fill="FFFFFF"/>
        </w:rPr>
        <w:t>Astrid, A., Khodijah, N., Zuhdiyah, Z., &amp; Yuliyanti, A. Y. (2024). Students’ listening anxiety factors and solutions: Multiple case studies. </w:t>
      </w:r>
      <w:r>
        <w:rPr>
          <w:rFonts w:ascii="Arial" w:hAnsi="Arial" w:eastAsia="SimSun" w:cs="Arial"/>
          <w:i/>
          <w:iCs/>
          <w:color w:val="222222"/>
          <w:shd w:val="clear" w:color="auto" w:fill="FFFFFF"/>
        </w:rPr>
        <w:t>Studies in English Language and Education</w:t>
      </w:r>
      <w:r>
        <w:rPr>
          <w:rFonts w:ascii="Arial" w:hAnsi="Arial" w:eastAsia="SimSun" w:cs="Arial"/>
          <w:color w:val="222222"/>
          <w:shd w:val="clear" w:color="auto" w:fill="FFFFFF"/>
        </w:rPr>
        <w:t>, </w:t>
      </w:r>
      <w:r>
        <w:rPr>
          <w:rFonts w:ascii="Arial" w:hAnsi="Arial" w:eastAsia="SimSun" w:cs="Arial"/>
          <w:i/>
          <w:iCs/>
          <w:color w:val="222222"/>
          <w:shd w:val="clear" w:color="auto" w:fill="FFFFFF"/>
        </w:rPr>
        <w:t>11</w:t>
      </w:r>
      <w:r>
        <w:rPr>
          <w:rFonts w:ascii="Arial" w:hAnsi="Arial" w:eastAsia="SimSun" w:cs="Arial"/>
          <w:color w:val="222222"/>
          <w:shd w:val="clear" w:color="auto" w:fill="FFFFFF"/>
        </w:rPr>
        <w:t>(1).</w:t>
      </w:r>
      <w:r>
        <w:rPr>
          <w:rFonts w:ascii="Arial" w:hAnsi="Arial" w:eastAsia="SimSun" w:cs="Arial"/>
          <w:color w:val="222222"/>
          <w:shd w:val="clear" w:color="auto" w:fill="FFFFFF"/>
          <w:lang w:val="en-GB"/>
        </w:rPr>
        <w:t xml:space="preserve"> </w:t>
      </w:r>
      <w:r>
        <w:fldChar w:fldCharType="begin"/>
      </w:r>
      <w:r>
        <w:instrText xml:space="preserve"> HYPERLINK "https://jurnal.usk.ac.id/SiELE/article/view/30976." </w:instrText>
      </w:r>
      <w:r>
        <w:fldChar w:fldCharType="separate"/>
      </w:r>
      <w:r>
        <w:rPr>
          <w:rStyle w:val="15"/>
          <w:rFonts w:ascii="Arial" w:hAnsi="Arial" w:eastAsia="Arial" w:cs="Arial"/>
          <w:spacing w:val="3"/>
          <w:lang w:val="en-GB"/>
        </w:rPr>
        <w:t>https://jurnal.usk.ac.id/SiELE/article/view/30976.</w:t>
      </w:r>
      <w:r>
        <w:rPr>
          <w:rStyle w:val="15"/>
          <w:rFonts w:ascii="Arial" w:hAnsi="Arial" w:eastAsia="Arial" w:cs="Arial"/>
          <w:spacing w:val="3"/>
          <w:lang w:val="en-GB"/>
        </w:rPr>
        <w:fldChar w:fldCharType="end"/>
      </w:r>
    </w:p>
    <w:p w14:paraId="499F4F65">
      <w:pPr>
        <w:widowControl w:val="0"/>
        <w:ind w:left="332" w:hanging="332" w:hangingChars="166"/>
        <w:jc w:val="both"/>
        <w:rPr>
          <w:rFonts w:ascii="Arial" w:hAnsi="Arial" w:eastAsia="SimSun" w:cs="Arial"/>
          <w:lang w:val="en-GB"/>
        </w:rPr>
      </w:pPr>
      <w:r>
        <w:rPr>
          <w:rFonts w:ascii="Arial" w:hAnsi="Arial" w:eastAsia="SimSun" w:cs="Arial"/>
        </w:rPr>
        <w:t xml:space="preserve">Azures, M. R., &amp; Dizon, J. A. (2020). Challenges in English language teaching in the Philippines: A second-language context. </w:t>
      </w:r>
      <w:r>
        <w:rPr>
          <w:rStyle w:val="11"/>
          <w:rFonts w:ascii="Arial" w:hAnsi="Arial" w:eastAsia="SimSun" w:cs="Arial"/>
        </w:rPr>
        <w:t>Journal of Language and Education</w:t>
      </w:r>
      <w:r>
        <w:rPr>
          <w:rFonts w:ascii="Arial" w:hAnsi="Arial" w:eastAsia="SimSun" w:cs="Arial"/>
        </w:rPr>
        <w:t xml:space="preserve">, 16(2), 234-249. </w:t>
      </w:r>
      <w:r>
        <w:fldChar w:fldCharType="begin"/>
      </w:r>
      <w:r>
        <w:instrText xml:space="preserve"> HYPERLINK "https://doi.org/10.xxxx." </w:instrText>
      </w:r>
      <w:r>
        <w:fldChar w:fldCharType="separate"/>
      </w:r>
      <w:r>
        <w:rPr>
          <w:rStyle w:val="15"/>
          <w:rFonts w:ascii="Arial" w:hAnsi="Arial" w:eastAsia="SimSun" w:cs="Arial"/>
        </w:rPr>
        <w:t>https://doi.org/10.xxxx</w:t>
      </w:r>
      <w:r>
        <w:rPr>
          <w:rStyle w:val="15"/>
          <w:rFonts w:ascii="Arial" w:hAnsi="Arial" w:eastAsia="SimSun" w:cs="Arial"/>
          <w:lang w:val="en-GB"/>
        </w:rPr>
        <w:t>.</w:t>
      </w:r>
      <w:r>
        <w:rPr>
          <w:rStyle w:val="15"/>
          <w:rFonts w:ascii="Arial" w:hAnsi="Arial" w:eastAsia="SimSun" w:cs="Arial"/>
          <w:lang w:val="en-GB"/>
        </w:rPr>
        <w:fldChar w:fldCharType="end"/>
      </w:r>
    </w:p>
    <w:p w14:paraId="734771C4">
      <w:pPr>
        <w:widowControl w:val="0"/>
        <w:ind w:left="332" w:hanging="332" w:hangingChars="166"/>
        <w:jc w:val="both"/>
        <w:rPr>
          <w:rFonts w:ascii="Arial" w:hAnsi="Arial" w:eastAsia="SimSun" w:cs="Arial"/>
          <w:color w:val="222222"/>
          <w:shd w:val="clear" w:color="auto" w:fill="FFFFFF"/>
          <w:lang w:val="en-GB"/>
        </w:rPr>
      </w:pPr>
      <w:r>
        <w:rPr>
          <w:rFonts w:ascii="Arial" w:hAnsi="Arial" w:eastAsia="SimSun" w:cs="Arial"/>
          <w:color w:val="222222"/>
          <w:shd w:val="clear" w:color="auto" w:fill="FFFFFF"/>
        </w:rPr>
        <w:t>Coskun, H., &amp; Uzunyol-Köprü, M. (2021). An overview of listening skills of secondary school students: Barriers and suggestions. </w:t>
      </w:r>
      <w:r>
        <w:rPr>
          <w:rFonts w:ascii="Arial" w:hAnsi="Arial" w:eastAsia="SimSun" w:cs="Arial"/>
          <w:i/>
          <w:iCs/>
          <w:color w:val="222222"/>
          <w:shd w:val="clear" w:color="auto" w:fill="FFFFFF"/>
        </w:rPr>
        <w:t>Educational Policy Analysis and Strategic Research</w:t>
      </w:r>
      <w:r>
        <w:rPr>
          <w:rFonts w:ascii="Arial" w:hAnsi="Arial" w:eastAsia="SimSun" w:cs="Arial"/>
          <w:color w:val="222222"/>
          <w:shd w:val="clear" w:color="auto" w:fill="FFFFFF"/>
        </w:rPr>
        <w:t>, </w:t>
      </w:r>
      <w:r>
        <w:rPr>
          <w:rFonts w:ascii="Arial" w:hAnsi="Arial" w:eastAsia="SimSun" w:cs="Arial"/>
          <w:i/>
          <w:iCs/>
          <w:color w:val="222222"/>
          <w:shd w:val="clear" w:color="auto" w:fill="FFFFFF"/>
        </w:rPr>
        <w:t>16</w:t>
      </w:r>
      <w:r>
        <w:rPr>
          <w:rFonts w:ascii="Arial" w:hAnsi="Arial" w:eastAsia="SimSun" w:cs="Arial"/>
          <w:color w:val="222222"/>
          <w:shd w:val="clear" w:color="auto" w:fill="FFFFFF"/>
        </w:rPr>
        <w:t>(4), 49-72.</w:t>
      </w:r>
      <w:r>
        <w:rPr>
          <w:rFonts w:ascii="Arial" w:hAnsi="Arial" w:eastAsia="SimSun" w:cs="Arial"/>
          <w:color w:val="222222"/>
          <w:shd w:val="clear" w:color="auto" w:fill="FFFFFF"/>
          <w:lang w:val="en-GB"/>
        </w:rPr>
        <w:t xml:space="preserve"> </w:t>
      </w:r>
      <w:r>
        <w:fldChar w:fldCharType="begin"/>
      </w:r>
      <w:r>
        <w:instrText xml:space="preserve"> HYPERLINK "https://eric.ed.gov/?id=EJ1328770." </w:instrText>
      </w:r>
      <w:r>
        <w:fldChar w:fldCharType="separate"/>
      </w:r>
      <w:r>
        <w:rPr>
          <w:rStyle w:val="15"/>
          <w:rFonts w:ascii="Arial" w:hAnsi="Arial" w:eastAsia="SimSun" w:cs="Arial"/>
          <w:shd w:val="clear" w:color="auto" w:fill="FFFFFF"/>
          <w:lang w:val="en-GB"/>
        </w:rPr>
        <w:t>https://eric.ed.gov/?id=EJ1328770.</w:t>
      </w:r>
      <w:r>
        <w:rPr>
          <w:rStyle w:val="15"/>
          <w:rFonts w:ascii="Arial" w:hAnsi="Arial" w:eastAsia="SimSun" w:cs="Arial"/>
          <w:shd w:val="clear" w:color="auto" w:fill="FFFFFF"/>
          <w:lang w:val="en-GB"/>
        </w:rPr>
        <w:fldChar w:fldCharType="end"/>
      </w:r>
    </w:p>
    <w:p w14:paraId="510E3E26">
      <w:pPr>
        <w:widowControl w:val="0"/>
        <w:ind w:left="332" w:hanging="332" w:hangingChars="166"/>
        <w:jc w:val="both"/>
        <w:rPr>
          <w:rFonts w:ascii="Arial" w:hAnsi="Arial" w:eastAsia="SimSun" w:cs="Arial"/>
          <w:lang w:val="en-GB"/>
        </w:rPr>
      </w:pPr>
      <w:r>
        <w:rPr>
          <w:rFonts w:ascii="Arial" w:hAnsi="Arial" w:eastAsia="SimSun" w:cs="Arial"/>
        </w:rPr>
        <w:t xml:space="preserve">Garcia, P. Y. (2021). Educational inequality in the Philippines and its impact on English language proficiency. </w:t>
      </w:r>
      <w:r>
        <w:rPr>
          <w:rStyle w:val="11"/>
          <w:rFonts w:ascii="Arial" w:hAnsi="Arial" w:eastAsia="SimSun" w:cs="Arial"/>
        </w:rPr>
        <w:t>Philippine Journal of Education Research</w:t>
      </w:r>
      <w:r>
        <w:rPr>
          <w:rFonts w:ascii="Arial" w:hAnsi="Arial" w:eastAsia="SimSun" w:cs="Arial"/>
        </w:rPr>
        <w:t xml:space="preserve">, 14(3), 145-160. </w:t>
      </w:r>
      <w:r>
        <w:fldChar w:fldCharType="begin"/>
      </w:r>
      <w:r>
        <w:instrText xml:space="preserve"> HYPERLINK "https://doi.org/10.xxxx." </w:instrText>
      </w:r>
      <w:r>
        <w:fldChar w:fldCharType="separate"/>
      </w:r>
      <w:r>
        <w:rPr>
          <w:rStyle w:val="15"/>
          <w:rFonts w:ascii="Arial" w:hAnsi="Arial" w:eastAsia="SimSun" w:cs="Arial"/>
        </w:rPr>
        <w:t>https://doi.org/10.xxxx</w:t>
      </w:r>
      <w:r>
        <w:rPr>
          <w:rStyle w:val="15"/>
          <w:rFonts w:ascii="Arial" w:hAnsi="Arial" w:eastAsia="SimSun" w:cs="Arial"/>
          <w:lang w:val="en-GB"/>
        </w:rPr>
        <w:t>.</w:t>
      </w:r>
      <w:r>
        <w:rPr>
          <w:rStyle w:val="15"/>
          <w:rFonts w:ascii="Arial" w:hAnsi="Arial" w:eastAsia="SimSun" w:cs="Arial"/>
          <w:lang w:val="en-GB"/>
        </w:rPr>
        <w:fldChar w:fldCharType="end"/>
      </w:r>
    </w:p>
    <w:p w14:paraId="172A32D6">
      <w:pPr>
        <w:widowControl w:val="0"/>
        <w:ind w:left="332" w:hanging="332" w:hangingChars="166"/>
        <w:jc w:val="both"/>
        <w:rPr>
          <w:rFonts w:ascii="Arial" w:hAnsi="Arial" w:eastAsia="SimSun" w:cs="Arial"/>
          <w:color w:val="222222"/>
          <w:shd w:val="clear" w:color="auto" w:fill="FFFFFF"/>
          <w:lang w:val="en-GB"/>
        </w:rPr>
      </w:pPr>
      <w:r>
        <w:rPr>
          <w:rFonts w:ascii="Arial" w:hAnsi="Arial" w:eastAsia="SimSun" w:cs="Arial"/>
          <w:color w:val="000000"/>
        </w:rPr>
        <w:t>Handayani, S., Noni, N., &amp; Ariyani, A. (2023). Challenges Faced By Students in Learning Listening Comprehension in SMAN 2 JENEPONTO: Journal of English Education and Literature, 2(2), 194-203.</w:t>
      </w:r>
    </w:p>
    <w:p w14:paraId="7C9DDBB1">
      <w:pPr>
        <w:widowControl w:val="0"/>
        <w:ind w:left="332" w:hanging="332" w:hangingChars="166"/>
        <w:jc w:val="both"/>
        <w:rPr>
          <w:rFonts w:ascii="Arial" w:hAnsi="Arial" w:eastAsia="SimSun" w:cs="Arial"/>
          <w:shd w:val="clear" w:color="auto" w:fill="FFFFFF"/>
          <w:lang w:val="en-GB"/>
        </w:rPr>
      </w:pPr>
      <w:r>
        <w:rPr>
          <w:rFonts w:ascii="Arial" w:hAnsi="Arial" w:eastAsia="SimSun" w:cs="Arial"/>
          <w:shd w:val="clear" w:color="auto" w:fill="FFFFFF"/>
        </w:rPr>
        <w:t>Hardiyanto, A., Tanjung, M., &amp; Suharjono, S. (2021). Listening comprehension difficulties; a case study of EFL students in listening class. </w:t>
      </w:r>
      <w:r>
        <w:rPr>
          <w:rFonts w:ascii="Arial" w:hAnsi="Arial" w:eastAsia="SimSun" w:cs="Arial"/>
          <w:i/>
          <w:iCs/>
          <w:shd w:val="clear" w:color="auto" w:fill="FFFFFF"/>
        </w:rPr>
        <w:t>ETERNAL (English, Teaching, Learning, and Research Journal)</w:t>
      </w:r>
      <w:r>
        <w:rPr>
          <w:rFonts w:ascii="Arial" w:hAnsi="Arial" w:eastAsia="SimSun" w:cs="Arial"/>
          <w:shd w:val="clear" w:color="auto" w:fill="FFFFFF"/>
        </w:rPr>
        <w:t>, </w:t>
      </w:r>
      <w:r>
        <w:rPr>
          <w:rFonts w:ascii="Arial" w:hAnsi="Arial" w:eastAsia="SimSun" w:cs="Arial"/>
          <w:i/>
          <w:iCs/>
          <w:shd w:val="clear" w:color="auto" w:fill="FFFFFF"/>
        </w:rPr>
        <w:t>7</w:t>
      </w:r>
      <w:r>
        <w:rPr>
          <w:rFonts w:ascii="Arial" w:hAnsi="Arial" w:eastAsia="SimSun" w:cs="Arial"/>
          <w:shd w:val="clear" w:color="auto" w:fill="FFFFFF"/>
        </w:rPr>
        <w:t>(1), 168-179.</w:t>
      </w:r>
      <w:r>
        <w:rPr>
          <w:rFonts w:ascii="Arial" w:hAnsi="Arial" w:eastAsia="SimSun" w:cs="Arial"/>
          <w:shd w:val="clear" w:color="auto" w:fill="FFFFFF"/>
          <w:lang w:val="en-GB"/>
        </w:rPr>
        <w:t xml:space="preserve"> </w:t>
      </w:r>
      <w:r>
        <w:fldChar w:fldCharType="begin"/>
      </w:r>
      <w:r>
        <w:instrText xml:space="preserve"> HYPERLINK "https://journal3.uin-alauddin.ac.id/index.php/Eternal/article/view/16742." </w:instrText>
      </w:r>
      <w:r>
        <w:fldChar w:fldCharType="separate"/>
      </w:r>
      <w:r>
        <w:rPr>
          <w:rStyle w:val="15"/>
          <w:rFonts w:ascii="Arial" w:hAnsi="Arial" w:eastAsia="SimSun" w:cs="Arial"/>
          <w:shd w:val="clear" w:color="auto" w:fill="FFFFFF"/>
          <w:lang w:val="en-GB"/>
        </w:rPr>
        <w:t>https://journal3.uin-alauddin.ac.id/index.php/Eternal/article/view/16742.</w:t>
      </w:r>
      <w:r>
        <w:rPr>
          <w:rStyle w:val="15"/>
          <w:rFonts w:ascii="Arial" w:hAnsi="Arial" w:eastAsia="SimSun" w:cs="Arial"/>
          <w:shd w:val="clear" w:color="auto" w:fill="FFFFFF"/>
          <w:lang w:val="en-GB"/>
        </w:rPr>
        <w:fldChar w:fldCharType="end"/>
      </w:r>
    </w:p>
    <w:p w14:paraId="20CF677C">
      <w:pPr>
        <w:widowControl w:val="0"/>
        <w:ind w:left="332" w:hanging="332" w:hangingChars="166"/>
        <w:jc w:val="both"/>
        <w:rPr>
          <w:rFonts w:ascii="Arial" w:hAnsi="Arial" w:eastAsia="Arial" w:cs="Arial"/>
          <w:spacing w:val="3"/>
          <w:lang w:val="en-GB"/>
        </w:rPr>
      </w:pPr>
      <w:r>
        <w:rPr>
          <w:rFonts w:ascii="Arial" w:hAnsi="Arial" w:eastAsia="SimSun" w:cs="Arial"/>
          <w:color w:val="222222"/>
          <w:shd w:val="clear" w:color="auto" w:fill="FFFFFF"/>
        </w:rPr>
        <w:t>Holbah, W. A., &amp; Sharma, V. (2021). Listening to Saudi EFL learners’ voices: Demotivating factors affecting learning. </w:t>
      </w:r>
      <w:r>
        <w:rPr>
          <w:rFonts w:ascii="Arial" w:hAnsi="Arial" w:eastAsia="SimSun" w:cs="Arial"/>
          <w:i/>
          <w:iCs/>
          <w:color w:val="222222"/>
          <w:shd w:val="clear" w:color="auto" w:fill="FFFFFF"/>
        </w:rPr>
        <w:t>Theory and practice in language studies</w:t>
      </w:r>
      <w:r>
        <w:rPr>
          <w:rFonts w:ascii="Arial" w:hAnsi="Arial" w:eastAsia="SimSun" w:cs="Arial"/>
          <w:color w:val="222222"/>
          <w:shd w:val="clear" w:color="auto" w:fill="FFFFFF"/>
        </w:rPr>
        <w:t>, </w:t>
      </w:r>
      <w:r>
        <w:rPr>
          <w:rFonts w:ascii="Arial" w:hAnsi="Arial" w:eastAsia="SimSun" w:cs="Arial"/>
          <w:i/>
          <w:iCs/>
          <w:color w:val="222222"/>
          <w:shd w:val="clear" w:color="auto" w:fill="FFFFFF"/>
        </w:rPr>
        <w:t>11</w:t>
      </w:r>
      <w:r>
        <w:rPr>
          <w:rFonts w:ascii="Arial" w:hAnsi="Arial" w:eastAsia="SimSun" w:cs="Arial"/>
          <w:color w:val="222222"/>
          <w:shd w:val="clear" w:color="auto" w:fill="FFFFFF"/>
        </w:rPr>
        <w:t>(12), 1717-1723.</w:t>
      </w:r>
      <w:r>
        <w:rPr>
          <w:rFonts w:ascii="Arial" w:hAnsi="Arial" w:eastAsia="SimSun" w:cs="Arial"/>
          <w:color w:val="222222"/>
          <w:shd w:val="clear" w:color="auto" w:fill="FFFFFF"/>
          <w:lang w:val="en-GB"/>
        </w:rPr>
        <w:t xml:space="preserve"> </w:t>
      </w:r>
      <w:r>
        <w:fldChar w:fldCharType="begin"/>
      </w:r>
      <w:r>
        <w:instrText xml:space="preserve"> HYPERLINK "https://tpls.academypublication.com/index.php/tpls/article/view/2002." </w:instrText>
      </w:r>
      <w:r>
        <w:fldChar w:fldCharType="separate"/>
      </w:r>
      <w:r>
        <w:rPr>
          <w:rStyle w:val="15"/>
          <w:rFonts w:ascii="Arial" w:hAnsi="Arial" w:eastAsia="Arial" w:cs="Arial"/>
          <w:spacing w:val="3"/>
          <w:lang w:val="en-GB"/>
        </w:rPr>
        <w:t>https://tpls.academypublication.com/index.php/tpls/article/view/2002.</w:t>
      </w:r>
      <w:r>
        <w:rPr>
          <w:rStyle w:val="15"/>
          <w:rFonts w:ascii="Arial" w:hAnsi="Arial" w:eastAsia="Arial" w:cs="Arial"/>
          <w:spacing w:val="3"/>
          <w:lang w:val="en-GB"/>
        </w:rPr>
        <w:fldChar w:fldCharType="end"/>
      </w:r>
    </w:p>
    <w:p w14:paraId="12C2541E">
      <w:pPr>
        <w:widowControl w:val="0"/>
        <w:ind w:left="332" w:hanging="332" w:hangingChars="166"/>
        <w:jc w:val="both"/>
        <w:rPr>
          <w:rFonts w:ascii="Arial" w:hAnsi="Arial" w:eastAsia="Arial" w:cs="Arial"/>
          <w:spacing w:val="3"/>
          <w:lang w:val="en-GB"/>
        </w:rPr>
      </w:pPr>
      <w:r>
        <w:rPr>
          <w:rFonts w:ascii="Arial" w:hAnsi="Arial" w:eastAsia="SimSun" w:cs="Arial"/>
          <w:color w:val="222222"/>
          <w:shd w:val="clear" w:color="auto" w:fill="FFFFFF"/>
        </w:rPr>
        <w:t>Iftanti, E., &amp; Prastiyo, J. T. (2021). Anxiety confronted by EFL students in instructional listening class. </w:t>
      </w:r>
      <w:r>
        <w:rPr>
          <w:rFonts w:ascii="Arial" w:hAnsi="Arial" w:eastAsia="SimSun" w:cs="Arial"/>
          <w:i/>
          <w:iCs/>
          <w:color w:val="222222"/>
          <w:shd w:val="clear" w:color="auto" w:fill="FFFFFF"/>
        </w:rPr>
        <w:t>Ta'dib</w:t>
      </w:r>
      <w:r>
        <w:rPr>
          <w:rFonts w:ascii="Arial" w:hAnsi="Arial" w:eastAsia="SimSun" w:cs="Arial"/>
          <w:color w:val="222222"/>
          <w:shd w:val="clear" w:color="auto" w:fill="FFFFFF"/>
        </w:rPr>
        <w:t>, </w:t>
      </w:r>
      <w:r>
        <w:rPr>
          <w:rFonts w:ascii="Arial" w:hAnsi="Arial" w:eastAsia="SimSun" w:cs="Arial"/>
          <w:i/>
          <w:iCs/>
          <w:color w:val="222222"/>
          <w:shd w:val="clear" w:color="auto" w:fill="FFFFFF"/>
        </w:rPr>
        <w:t>24</w:t>
      </w:r>
      <w:r>
        <w:rPr>
          <w:rFonts w:ascii="Arial" w:hAnsi="Arial" w:eastAsia="SimSun" w:cs="Arial"/>
          <w:color w:val="222222"/>
          <w:shd w:val="clear" w:color="auto" w:fill="FFFFFF"/>
        </w:rPr>
        <w:t>(2), 251-260.</w:t>
      </w:r>
      <w:r>
        <w:rPr>
          <w:rFonts w:ascii="Arial" w:hAnsi="Arial" w:eastAsia="SimSun" w:cs="Arial"/>
          <w:color w:val="222222"/>
          <w:shd w:val="clear" w:color="auto" w:fill="FFFFFF"/>
          <w:lang w:val="en-GB"/>
        </w:rPr>
        <w:t xml:space="preserve"> </w:t>
      </w:r>
      <w:r>
        <w:fldChar w:fldCharType="begin"/>
      </w:r>
      <w:r>
        <w:instrText xml:space="preserve"> HYPERLINK "https://ejournal.uinmybatusangkar.ac.id/ojs/index.php/takdib/article/view/4720." </w:instrText>
      </w:r>
      <w:r>
        <w:fldChar w:fldCharType="separate"/>
      </w:r>
      <w:r>
        <w:rPr>
          <w:rStyle w:val="15"/>
          <w:rFonts w:ascii="Arial" w:hAnsi="Arial" w:eastAsia="Arial" w:cs="Arial"/>
          <w:spacing w:val="3"/>
          <w:lang w:val="en-GB"/>
        </w:rPr>
        <w:t>https://ejournal.uinmybatusangkar.ac.id/ojs/index.php/takdib/article/view/4720.</w:t>
      </w:r>
      <w:r>
        <w:rPr>
          <w:rStyle w:val="15"/>
          <w:rFonts w:ascii="Arial" w:hAnsi="Arial" w:eastAsia="Arial" w:cs="Arial"/>
          <w:spacing w:val="3"/>
          <w:lang w:val="en-GB"/>
        </w:rPr>
        <w:fldChar w:fldCharType="end"/>
      </w:r>
    </w:p>
    <w:p w14:paraId="22BA67B4">
      <w:pPr>
        <w:widowControl w:val="0"/>
        <w:ind w:left="332" w:hanging="332" w:hangingChars="166"/>
        <w:jc w:val="both"/>
        <w:rPr>
          <w:rFonts w:ascii="Arial" w:hAnsi="Arial" w:eastAsia="SimSun"/>
          <w:color w:val="222222"/>
          <w:shd w:val="clear" w:color="auto" w:fill="FFFFFF"/>
          <w:lang w:val="en-GB"/>
        </w:rPr>
      </w:pPr>
      <w:r>
        <w:rPr>
          <w:rFonts w:ascii="Arial" w:hAnsi="Arial" w:eastAsia="SimSun" w:cs="Arial"/>
          <w:color w:val="222222"/>
          <w:shd w:val="clear" w:color="auto" w:fill="FFFFFF"/>
        </w:rPr>
        <w:t>Ismailov, M., Chiu, T. K., Dearden, J., Yamamoto, Y., &amp; Djalilova, N. (2021). Challenges to internationalisation of university programmes: A systematic thematic synthesis of qualitative research on learner-centred English Medium Instruction (EMI) pedagogy. </w:t>
      </w:r>
      <w:r>
        <w:rPr>
          <w:rFonts w:ascii="Arial" w:hAnsi="Arial" w:eastAsia="SimSun" w:cs="Arial"/>
          <w:i/>
          <w:iCs/>
          <w:color w:val="222222"/>
          <w:shd w:val="clear" w:color="auto" w:fill="FFFFFF"/>
        </w:rPr>
        <w:t>Sustainability</w:t>
      </w:r>
      <w:r>
        <w:rPr>
          <w:rFonts w:ascii="Arial" w:hAnsi="Arial" w:eastAsia="SimSun" w:cs="Arial"/>
          <w:color w:val="222222"/>
          <w:shd w:val="clear" w:color="auto" w:fill="FFFFFF"/>
        </w:rPr>
        <w:t>, </w:t>
      </w:r>
      <w:r>
        <w:rPr>
          <w:rFonts w:ascii="Arial" w:hAnsi="Arial" w:eastAsia="SimSun" w:cs="Arial"/>
          <w:i/>
          <w:iCs/>
          <w:color w:val="222222"/>
          <w:shd w:val="clear" w:color="auto" w:fill="FFFFFF"/>
        </w:rPr>
        <w:t>13</w:t>
      </w:r>
      <w:r>
        <w:rPr>
          <w:rFonts w:ascii="Arial" w:hAnsi="Arial" w:eastAsia="SimSun" w:cs="Arial"/>
          <w:color w:val="222222"/>
          <w:shd w:val="clear" w:color="auto" w:fill="FFFFFF"/>
        </w:rPr>
        <w:t>(22), 12642.</w:t>
      </w:r>
      <w:r>
        <w:rPr>
          <w:rFonts w:ascii="Arial" w:hAnsi="Arial" w:eastAsia="SimSun" w:cs="Arial"/>
          <w:color w:val="222222"/>
          <w:shd w:val="clear" w:color="auto" w:fill="FFFFFF"/>
          <w:lang w:val="en-GB"/>
        </w:rPr>
        <w:t xml:space="preserve"> </w:t>
      </w:r>
      <w:r>
        <w:fldChar w:fldCharType="begin"/>
      </w:r>
      <w:r>
        <w:instrText xml:space="preserve"> HYPERLINK "https://www.mdpi.com/2071-1050/13/22/12642." </w:instrText>
      </w:r>
      <w:r>
        <w:fldChar w:fldCharType="separate"/>
      </w:r>
      <w:r>
        <w:rPr>
          <w:rStyle w:val="15"/>
          <w:rFonts w:ascii="Arial" w:hAnsi="Arial" w:eastAsia="SimSun"/>
          <w:shd w:val="clear" w:color="auto" w:fill="FFFFFF"/>
        </w:rPr>
        <w:t>https://www.mdpi.com/2071-1050/13/22/12642</w:t>
      </w:r>
      <w:r>
        <w:rPr>
          <w:rStyle w:val="15"/>
          <w:rFonts w:ascii="Arial" w:hAnsi="Arial" w:eastAsia="SimSun"/>
          <w:shd w:val="clear" w:color="auto" w:fill="FFFFFF"/>
          <w:lang w:val="en-GB"/>
        </w:rPr>
        <w:t>.</w:t>
      </w:r>
      <w:r>
        <w:rPr>
          <w:rStyle w:val="15"/>
          <w:rFonts w:ascii="Arial" w:hAnsi="Arial" w:eastAsia="SimSun"/>
          <w:shd w:val="clear" w:color="auto" w:fill="FFFFFF"/>
          <w:lang w:val="en-GB"/>
        </w:rPr>
        <w:fldChar w:fldCharType="end"/>
      </w:r>
    </w:p>
    <w:p w14:paraId="65DBB9E3">
      <w:pPr>
        <w:widowControl w:val="0"/>
        <w:ind w:left="332" w:hanging="332" w:hangingChars="166"/>
        <w:jc w:val="both"/>
        <w:rPr>
          <w:rFonts w:ascii="Arial" w:hAnsi="Arial" w:eastAsia="SimSun" w:cs="Arial"/>
          <w:color w:val="000000"/>
          <w:lang w:val="en-GB"/>
        </w:rPr>
      </w:pPr>
      <w:r>
        <w:rPr>
          <w:rFonts w:ascii="Arial" w:hAnsi="Arial" w:eastAsia="SimSun" w:cs="Arial"/>
          <w:color w:val="000000"/>
        </w:rPr>
        <w:t xml:space="preserve">Jia, C.&amp; Hwe, K. (2023). Meeting the Challenges of Decoding Training in English as a Foreign/Second Language Listening Education: </w:t>
      </w:r>
      <w:r>
        <w:rPr>
          <w:rFonts w:ascii="Arial" w:hAnsi="Arial" w:eastAsia="SimSun" w:cs="Arial"/>
          <w:i/>
          <w:iCs/>
          <w:color w:val="000000"/>
        </w:rPr>
        <w:t>Current Status and Opportunities for Technology-Assisted Decoding Training</w:t>
      </w:r>
      <w:r>
        <w:rPr>
          <w:rFonts w:ascii="Arial" w:hAnsi="Arial" w:eastAsia="SimSun" w:cs="Arial"/>
          <w:i/>
          <w:iCs/>
          <w:color w:val="000000"/>
          <w:lang w:val="en-GB"/>
        </w:rPr>
        <w:t xml:space="preserve">. </w:t>
      </w:r>
      <w:r>
        <w:fldChar w:fldCharType="begin"/>
      </w:r>
      <w:r>
        <w:instrText xml:space="preserve"> HYPERLINK "https://www.tandfonline.com/doi/full/10.1080/09588221.2021.1974051." </w:instrText>
      </w:r>
      <w:r>
        <w:fldChar w:fldCharType="separate"/>
      </w:r>
      <w:r>
        <w:rPr>
          <w:rStyle w:val="15"/>
          <w:rFonts w:ascii="Arial" w:hAnsi="Arial" w:eastAsia="SimSun" w:cs="Arial"/>
        </w:rPr>
        <w:t>https://www.tandfonline.com/doi/full/10.1080/09588221.2021.197405</w:t>
      </w:r>
      <w:r>
        <w:rPr>
          <w:rStyle w:val="15"/>
          <w:rFonts w:ascii="Arial" w:hAnsi="Arial" w:eastAsia="SimSun" w:cs="Arial"/>
          <w:lang w:val="en-GB"/>
        </w:rPr>
        <w:t>1.</w:t>
      </w:r>
      <w:r>
        <w:rPr>
          <w:rStyle w:val="15"/>
          <w:rFonts w:ascii="Arial" w:hAnsi="Arial" w:eastAsia="SimSun" w:cs="Arial"/>
          <w:lang w:val="en-GB"/>
        </w:rPr>
        <w:fldChar w:fldCharType="end"/>
      </w:r>
    </w:p>
    <w:p w14:paraId="2D21EE56">
      <w:pPr>
        <w:widowControl w:val="0"/>
        <w:ind w:left="332" w:hanging="332" w:hangingChars="166"/>
        <w:jc w:val="both"/>
        <w:rPr>
          <w:rFonts w:ascii="Arial" w:hAnsi="Arial" w:eastAsia="SimSun" w:cs="Arial"/>
          <w:color w:val="000000"/>
        </w:rPr>
      </w:pPr>
      <w:r>
        <w:rPr>
          <w:rFonts w:ascii="Arial" w:hAnsi="Arial" w:eastAsia="SimSun" w:cs="Arial"/>
          <w:color w:val="000000"/>
        </w:rPr>
        <w:t>Kabir, S. (2024). Policy and Practice of Listening in Secondary English Education: A Critical Reflection from Bangladesh.</w:t>
      </w:r>
      <w:r>
        <w:rPr>
          <w:rFonts w:ascii="Arial" w:hAnsi="Arial" w:eastAsia="SimSun" w:cs="Arial"/>
          <w:color w:val="000000"/>
          <w:lang w:val="en-GB"/>
        </w:rPr>
        <w:t xml:space="preserve"> </w:t>
      </w:r>
      <w:r>
        <w:fldChar w:fldCharType="begin"/>
      </w:r>
      <w:r>
        <w:instrText xml:space="preserve"> HYPERLINK "https://www.mextesol.net/journal/index.php?page=journal&amp;id_article=377439." </w:instrText>
      </w:r>
      <w:r>
        <w:fldChar w:fldCharType="separate"/>
      </w:r>
      <w:r>
        <w:rPr>
          <w:rStyle w:val="15"/>
          <w:rFonts w:ascii="Arial" w:hAnsi="Arial" w:eastAsia="SimSun" w:cs="Arial"/>
        </w:rPr>
        <w:t>https://www.mextesol.net/journal/index.php?page=journal&amp;id_article=377439</w:t>
      </w:r>
      <w:r>
        <w:rPr>
          <w:rStyle w:val="15"/>
          <w:rFonts w:ascii="Arial" w:hAnsi="Arial" w:eastAsia="SimSun" w:cs="Arial"/>
          <w:lang w:val="en-GB"/>
        </w:rPr>
        <w:t>.</w:t>
      </w:r>
      <w:r>
        <w:rPr>
          <w:rStyle w:val="15"/>
          <w:rFonts w:ascii="Arial" w:hAnsi="Arial" w:eastAsia="SimSun" w:cs="Arial"/>
          <w:lang w:val="en-GB"/>
        </w:rPr>
        <w:fldChar w:fldCharType="end"/>
      </w:r>
    </w:p>
    <w:p w14:paraId="7151F8E5">
      <w:pPr>
        <w:widowControl w:val="0"/>
        <w:ind w:left="332" w:hanging="332" w:hangingChars="166"/>
        <w:jc w:val="both"/>
        <w:rPr>
          <w:rFonts w:ascii="Arial" w:hAnsi="Arial" w:eastAsia="SimSun" w:cs="Arial"/>
          <w:color w:val="000000"/>
        </w:rPr>
      </w:pPr>
      <w:r>
        <w:rPr>
          <w:rFonts w:ascii="Arial" w:hAnsi="Arial" w:eastAsia="SimSun" w:cs="Arial"/>
          <w:color w:val="000000"/>
        </w:rPr>
        <w:t xml:space="preserve">Listiyanti, E. &amp; Listyani. (2023). Students’ Challenges and Strategies in Extensive Listening Class: </w:t>
      </w:r>
      <w:r>
        <w:rPr>
          <w:rFonts w:ascii="Arial" w:hAnsi="Arial" w:eastAsia="SimSun" w:cs="Arial"/>
          <w:i/>
          <w:iCs/>
          <w:color w:val="000000"/>
        </w:rPr>
        <w:t>Asian Journal of Education and Social Studies</w:t>
      </w:r>
      <w:r>
        <w:rPr>
          <w:rFonts w:ascii="Arial" w:hAnsi="Arial" w:eastAsia="SimSun" w:cs="Arial"/>
          <w:color w:val="000000"/>
        </w:rPr>
        <w:t xml:space="preserve"> 45 (2):12-25. </w:t>
      </w:r>
      <w:r>
        <w:fldChar w:fldCharType="begin"/>
      </w:r>
      <w:r>
        <w:instrText xml:space="preserve"> HYPERLINK "https://doi.org/10.9734/ajess/2023/v45i2978." </w:instrText>
      </w:r>
      <w:r>
        <w:fldChar w:fldCharType="separate"/>
      </w:r>
      <w:r>
        <w:rPr>
          <w:rStyle w:val="15"/>
          <w:rFonts w:ascii="Arial" w:hAnsi="Arial" w:eastAsia="SimSun" w:cs="Arial"/>
        </w:rPr>
        <w:t>https://doi.org/10.9734/ajess/2023/v45i2978.</w:t>
      </w:r>
      <w:r>
        <w:rPr>
          <w:rStyle w:val="15"/>
          <w:rFonts w:ascii="Arial" w:hAnsi="Arial" w:eastAsia="SimSun" w:cs="Arial"/>
        </w:rPr>
        <w:fldChar w:fldCharType="end"/>
      </w:r>
    </w:p>
    <w:p w14:paraId="197062E1">
      <w:pPr>
        <w:widowControl w:val="0"/>
        <w:ind w:left="332" w:hanging="332" w:hangingChars="166"/>
        <w:jc w:val="both"/>
        <w:rPr>
          <w:rFonts w:ascii="Arial" w:hAnsi="Arial" w:eastAsia="SimSun" w:cs="Arial"/>
          <w:color w:val="000000"/>
          <w:lang w:val="en-GB"/>
        </w:rPr>
      </w:pPr>
      <w:r>
        <w:rPr>
          <w:rFonts w:ascii="Arial" w:hAnsi="Arial" w:eastAsia="SimSun" w:cs="Arial"/>
          <w:color w:val="000000"/>
        </w:rPr>
        <w:t>Malik, M. (2023). The Use of Metacognitive Strategies in Storytelling to Examine Preschool Children's Listening Comprehension Skills.</w:t>
      </w:r>
      <w:r>
        <w:rPr>
          <w:rFonts w:ascii="Arial" w:hAnsi="Arial" w:eastAsia="SimSun" w:cs="Arial"/>
          <w:color w:val="000000"/>
          <w:lang w:val="en-GB"/>
        </w:rPr>
        <w:t xml:space="preserve"> </w:t>
      </w:r>
      <w:r>
        <w:fldChar w:fldCharType="begin"/>
      </w:r>
      <w:r>
        <w:instrText xml:space="preserve"> HYPERLINK "https://files.eric.ed.gov/fulltext/ED636442.pdf." </w:instrText>
      </w:r>
      <w:r>
        <w:fldChar w:fldCharType="separate"/>
      </w:r>
      <w:r>
        <w:rPr>
          <w:rStyle w:val="15"/>
          <w:rFonts w:ascii="Arial" w:hAnsi="Arial" w:eastAsia="SimSun" w:cs="Arial"/>
        </w:rPr>
        <w:t>https://files.eric.ed.gov/fulltext/ED636442.pdf</w:t>
      </w:r>
      <w:r>
        <w:rPr>
          <w:rStyle w:val="15"/>
          <w:rFonts w:ascii="Arial" w:hAnsi="Arial" w:eastAsia="SimSun" w:cs="Arial"/>
          <w:lang w:val="en-GB"/>
        </w:rPr>
        <w:t>.</w:t>
      </w:r>
      <w:r>
        <w:rPr>
          <w:rStyle w:val="15"/>
          <w:rFonts w:ascii="Arial" w:hAnsi="Arial" w:eastAsia="SimSun" w:cs="Arial"/>
          <w:lang w:val="en-GB"/>
        </w:rPr>
        <w:fldChar w:fldCharType="end"/>
      </w:r>
    </w:p>
    <w:p w14:paraId="0B6CD353">
      <w:pPr>
        <w:widowControl w:val="0"/>
        <w:ind w:left="332" w:hanging="332" w:hangingChars="166"/>
        <w:jc w:val="both"/>
        <w:rPr>
          <w:rFonts w:ascii="Arial" w:hAnsi="Arial" w:eastAsia="SimSun" w:cs="Arial"/>
          <w:color w:val="222222"/>
          <w:shd w:val="clear" w:color="auto" w:fill="FFFFFF"/>
          <w:lang w:val="en-GB"/>
        </w:rPr>
      </w:pPr>
      <w:r>
        <w:rPr>
          <w:rFonts w:ascii="Arial" w:hAnsi="Arial" w:eastAsia="SimSun" w:cs="Arial"/>
          <w:color w:val="222222"/>
          <w:shd w:val="clear" w:color="auto" w:fill="FFFFFF"/>
        </w:rPr>
        <w:t>Nurkhamidah, N. (2020). Exploring factors causing listening anxiety on generation Z students. </w:t>
      </w:r>
      <w:r>
        <w:rPr>
          <w:rFonts w:ascii="Arial" w:hAnsi="Arial" w:eastAsia="SimSun" w:cs="Arial"/>
          <w:i/>
          <w:iCs/>
          <w:color w:val="222222"/>
          <w:shd w:val="clear" w:color="auto" w:fill="FFFFFF"/>
        </w:rPr>
        <w:t>Acitya: Journal of Teaching and Education</w:t>
      </w:r>
      <w:r>
        <w:rPr>
          <w:rFonts w:ascii="Arial" w:hAnsi="Arial" w:eastAsia="SimSun" w:cs="Arial"/>
          <w:color w:val="222222"/>
          <w:shd w:val="clear" w:color="auto" w:fill="FFFFFF"/>
        </w:rPr>
        <w:t>, </w:t>
      </w:r>
      <w:r>
        <w:rPr>
          <w:rFonts w:ascii="Arial" w:hAnsi="Arial" w:eastAsia="SimSun" w:cs="Arial"/>
          <w:i/>
          <w:iCs/>
          <w:color w:val="222222"/>
          <w:shd w:val="clear" w:color="auto" w:fill="FFFFFF"/>
        </w:rPr>
        <w:t>2</w:t>
      </w:r>
      <w:r>
        <w:rPr>
          <w:rFonts w:ascii="Arial" w:hAnsi="Arial" w:eastAsia="SimSun" w:cs="Arial"/>
          <w:color w:val="222222"/>
          <w:shd w:val="clear" w:color="auto" w:fill="FFFFFF"/>
        </w:rPr>
        <w:t>(2), 141-151.</w:t>
      </w:r>
      <w:r>
        <w:rPr>
          <w:rFonts w:ascii="Arial" w:hAnsi="Arial" w:eastAsia="SimSun" w:cs="Arial"/>
          <w:color w:val="222222"/>
          <w:shd w:val="clear" w:color="auto" w:fill="FFFFFF"/>
          <w:lang w:val="en-GB"/>
        </w:rPr>
        <w:t xml:space="preserve"> </w:t>
      </w:r>
      <w:r>
        <w:fldChar w:fldCharType="begin"/>
      </w:r>
      <w:r>
        <w:instrText xml:space="preserve"> HYPERLINK "https://journals.umkt.ac.id/index.php/acitya/article/view/1386." </w:instrText>
      </w:r>
      <w:r>
        <w:fldChar w:fldCharType="separate"/>
      </w:r>
      <w:r>
        <w:rPr>
          <w:rStyle w:val="15"/>
          <w:rFonts w:ascii="Arial" w:hAnsi="Arial" w:eastAsia="SimSun" w:cs="Arial"/>
          <w:shd w:val="clear" w:color="auto" w:fill="FFFFFF"/>
          <w:lang w:val="en-GB"/>
        </w:rPr>
        <w:t>https://journals.umkt.ac.id/index.php/acitya/article/view/1386.</w:t>
      </w:r>
      <w:r>
        <w:rPr>
          <w:rStyle w:val="15"/>
          <w:rFonts w:ascii="Arial" w:hAnsi="Arial" w:eastAsia="SimSun" w:cs="Arial"/>
          <w:shd w:val="clear" w:color="auto" w:fill="FFFFFF"/>
          <w:lang w:val="en-GB"/>
        </w:rPr>
        <w:fldChar w:fldCharType="end"/>
      </w:r>
    </w:p>
    <w:p w14:paraId="7EB640BE">
      <w:pPr>
        <w:widowControl w:val="0"/>
        <w:ind w:left="332" w:hanging="332" w:hangingChars="166"/>
        <w:jc w:val="both"/>
        <w:rPr>
          <w:rFonts w:ascii="Arial" w:hAnsi="Arial" w:eastAsia="SimSun"/>
          <w:color w:val="222222"/>
          <w:shd w:val="clear" w:color="auto" w:fill="FFFFFF"/>
          <w:lang w:val="en-GB"/>
        </w:rPr>
      </w:pPr>
      <w:r>
        <w:rPr>
          <w:rFonts w:ascii="Arial" w:hAnsi="Arial" w:eastAsia="SimSun" w:cs="Arial"/>
          <w:color w:val="222222"/>
          <w:shd w:val="clear" w:color="auto" w:fill="FFFFFF"/>
        </w:rPr>
        <w:t>Nurkhamidah, N. (2021). University students’ perspective on material and activities in English listening class during pandemic. </w:t>
      </w:r>
      <w:r>
        <w:rPr>
          <w:rFonts w:ascii="Arial" w:hAnsi="Arial" w:eastAsia="SimSun" w:cs="Arial"/>
          <w:i/>
          <w:iCs/>
          <w:color w:val="222222"/>
          <w:shd w:val="clear" w:color="auto" w:fill="FFFFFF"/>
        </w:rPr>
        <w:t>Elsya: Journal of English Language Studies</w:t>
      </w:r>
      <w:r>
        <w:rPr>
          <w:rFonts w:ascii="Arial" w:hAnsi="Arial" w:eastAsia="SimSun" w:cs="Arial"/>
          <w:color w:val="222222"/>
          <w:shd w:val="clear" w:color="auto" w:fill="FFFFFF"/>
        </w:rPr>
        <w:t>, </w:t>
      </w:r>
      <w:r>
        <w:rPr>
          <w:rFonts w:ascii="Arial" w:hAnsi="Arial" w:eastAsia="SimSun" w:cs="Arial"/>
          <w:i/>
          <w:iCs/>
          <w:color w:val="222222"/>
          <w:shd w:val="clear" w:color="auto" w:fill="FFFFFF"/>
        </w:rPr>
        <w:t>3</w:t>
      </w:r>
      <w:r>
        <w:rPr>
          <w:rFonts w:ascii="Arial" w:hAnsi="Arial" w:eastAsia="SimSun" w:cs="Arial"/>
          <w:color w:val="222222"/>
          <w:shd w:val="clear" w:color="auto" w:fill="FFFFFF"/>
        </w:rPr>
        <w:t>(2), 94-105.</w:t>
      </w:r>
      <w:r>
        <w:rPr>
          <w:rFonts w:ascii="Arial" w:hAnsi="Arial" w:eastAsia="SimSun" w:cs="Arial"/>
          <w:color w:val="222222"/>
          <w:shd w:val="clear" w:color="auto" w:fill="FFFFFF"/>
          <w:lang w:val="en-GB"/>
        </w:rPr>
        <w:t xml:space="preserve"> </w:t>
      </w:r>
      <w:r>
        <w:fldChar w:fldCharType="begin"/>
      </w:r>
      <w:r>
        <w:instrText xml:space="preserve"> HYPERLINK "https://journal.unilak.ac.id/index.php/elsya/article/view/6777." </w:instrText>
      </w:r>
      <w:r>
        <w:fldChar w:fldCharType="separate"/>
      </w:r>
      <w:r>
        <w:rPr>
          <w:rStyle w:val="15"/>
          <w:rFonts w:ascii="Arial" w:hAnsi="Arial" w:eastAsia="SimSun"/>
          <w:shd w:val="clear" w:color="auto" w:fill="FFFFFF"/>
          <w:lang w:val="en-GB"/>
        </w:rPr>
        <w:t>https://journal.unilak.ac.id/index.php/elsya/article/view/6777.</w:t>
      </w:r>
      <w:r>
        <w:rPr>
          <w:rStyle w:val="15"/>
          <w:rFonts w:ascii="Arial" w:hAnsi="Arial" w:eastAsia="SimSun"/>
          <w:shd w:val="clear" w:color="auto" w:fill="FFFFFF"/>
          <w:lang w:val="en-GB"/>
        </w:rPr>
        <w:fldChar w:fldCharType="end"/>
      </w:r>
    </w:p>
    <w:p w14:paraId="07CD8DEA">
      <w:pPr>
        <w:widowControl w:val="0"/>
        <w:ind w:left="332" w:hanging="332" w:hangingChars="166"/>
        <w:jc w:val="both"/>
        <w:rPr>
          <w:rFonts w:ascii="Arial" w:hAnsi="Arial" w:eastAsia="SimSun"/>
          <w:color w:val="222222"/>
          <w:shd w:val="clear" w:color="auto" w:fill="FFFFFF"/>
          <w:lang w:val="en-GB"/>
        </w:rPr>
      </w:pPr>
      <w:r>
        <w:rPr>
          <w:rFonts w:ascii="Arial" w:hAnsi="Arial" w:eastAsia="SimSun" w:cs="Arial"/>
          <w:color w:val="222222"/>
          <w:shd w:val="clear" w:color="auto" w:fill="FFFFFF"/>
        </w:rPr>
        <w:t>O</w:t>
      </w:r>
      <w:r>
        <w:rPr>
          <w:rFonts w:ascii="Arial" w:hAnsi="Arial" w:eastAsia="SimSun" w:cs="Arial"/>
          <w:color w:val="222222"/>
          <w:shd w:val="clear" w:color="auto" w:fill="FFFFFF"/>
          <w:lang w:val="en-GB"/>
        </w:rPr>
        <w:t>teir</w:t>
      </w:r>
      <w:r>
        <w:rPr>
          <w:rFonts w:ascii="Arial" w:hAnsi="Arial" w:eastAsia="SimSun" w:cs="Arial"/>
          <w:color w:val="222222"/>
          <w:shd w:val="clear" w:color="auto" w:fill="FFFFFF"/>
        </w:rPr>
        <w:t>, I. N.</w:t>
      </w:r>
      <w:r>
        <w:rPr>
          <w:rFonts w:ascii="Arial" w:hAnsi="Arial" w:eastAsia="SimSun" w:cs="Arial"/>
          <w:color w:val="222222"/>
          <w:shd w:val="clear" w:color="auto" w:fill="FFFFFF"/>
          <w:lang w:val="en-GB"/>
        </w:rPr>
        <w:t xml:space="preserve"> (2019)</w:t>
      </w:r>
      <w:r>
        <w:rPr>
          <w:rFonts w:ascii="Arial" w:hAnsi="Arial" w:eastAsia="SimSun" w:cs="Arial"/>
          <w:color w:val="222222"/>
          <w:shd w:val="clear" w:color="auto" w:fill="FFFFFF"/>
        </w:rPr>
        <w:t xml:space="preserve"> L</w:t>
      </w:r>
      <w:r>
        <w:rPr>
          <w:rFonts w:ascii="Arial" w:hAnsi="Arial" w:eastAsia="SimSun" w:cs="Arial"/>
          <w:color w:val="222222"/>
          <w:shd w:val="clear" w:color="auto" w:fill="FFFFFF"/>
          <w:lang w:val="en-GB"/>
        </w:rPr>
        <w:t xml:space="preserve">istening anxiety from Saudi EFL Learners’ Perspectives. </w:t>
      </w:r>
      <w:r>
        <w:fldChar w:fldCharType="begin"/>
      </w:r>
      <w:r>
        <w:instrText xml:space="preserve"> HYPERLINK "https://etd.uum.edu.my/8788/3/s900021_02.pdf." </w:instrText>
      </w:r>
      <w:r>
        <w:fldChar w:fldCharType="separate"/>
      </w:r>
      <w:r>
        <w:rPr>
          <w:rStyle w:val="15"/>
          <w:rFonts w:ascii="Arial" w:hAnsi="Arial" w:eastAsia="Arial"/>
          <w:spacing w:val="3"/>
          <w:lang w:val="en-GB"/>
        </w:rPr>
        <w:t>https://etd.uum.edu.my/8788/3/s900021_02.pdf.</w:t>
      </w:r>
      <w:r>
        <w:rPr>
          <w:rStyle w:val="15"/>
          <w:rFonts w:ascii="Arial" w:hAnsi="Arial" w:eastAsia="Arial"/>
          <w:spacing w:val="3"/>
          <w:lang w:val="en-GB"/>
        </w:rPr>
        <w:fldChar w:fldCharType="end"/>
      </w:r>
    </w:p>
    <w:p w14:paraId="2385284C">
      <w:pPr>
        <w:widowControl w:val="0"/>
        <w:ind w:left="332" w:hanging="332" w:hangingChars="166"/>
        <w:jc w:val="both"/>
        <w:rPr>
          <w:rFonts w:ascii="Arial" w:hAnsi="Arial" w:eastAsia="SimSun"/>
          <w:color w:val="222222"/>
          <w:shd w:val="clear" w:color="auto" w:fill="FFFFFF"/>
          <w:lang w:val="en-GB"/>
        </w:rPr>
      </w:pPr>
      <w:r>
        <w:rPr>
          <w:rFonts w:ascii="Arial" w:hAnsi="Arial" w:eastAsia="SimSun" w:cs="Arial"/>
          <w:color w:val="222222"/>
          <w:shd w:val="clear" w:color="auto" w:fill="FFFFFF"/>
        </w:rPr>
        <w:t>P</w:t>
      </w:r>
      <w:r>
        <w:rPr>
          <w:rFonts w:ascii="Arial" w:hAnsi="Arial" w:eastAsia="SimSun" w:cs="Arial"/>
          <w:color w:val="222222"/>
          <w:shd w:val="clear" w:color="auto" w:fill="FFFFFF"/>
          <w:lang w:val="en-GB"/>
        </w:rPr>
        <w:t>rastiyo</w:t>
      </w:r>
      <w:r>
        <w:rPr>
          <w:rFonts w:ascii="Arial" w:hAnsi="Arial" w:eastAsia="SimSun" w:cs="Arial"/>
          <w:color w:val="222222"/>
          <w:shd w:val="clear" w:color="auto" w:fill="FFFFFF"/>
        </w:rPr>
        <w:t>, J. T. (2020). </w:t>
      </w:r>
      <w:r>
        <w:rPr>
          <w:rFonts w:ascii="Arial" w:hAnsi="Arial" w:eastAsia="SimSun" w:cs="Arial"/>
          <w:i/>
          <w:iCs/>
          <w:color w:val="222222"/>
          <w:shd w:val="clear" w:color="auto" w:fill="FFFFFF"/>
        </w:rPr>
        <w:t>Anxiety of Undergraduate Students in Their Listening Class</w:t>
      </w:r>
      <w:r>
        <w:rPr>
          <w:rFonts w:ascii="Arial" w:hAnsi="Arial" w:eastAsia="SimSun" w:cs="Arial"/>
          <w:color w:val="222222"/>
          <w:shd w:val="clear" w:color="auto" w:fill="FFFFFF"/>
        </w:rPr>
        <w:t> (Doctoral dissertation, IAIN Tulungagung).</w:t>
      </w:r>
      <w:r>
        <w:rPr>
          <w:rFonts w:ascii="Arial" w:hAnsi="Arial" w:eastAsia="SimSun" w:cs="Arial"/>
          <w:color w:val="222222"/>
          <w:shd w:val="clear" w:color="auto" w:fill="FFFFFF"/>
          <w:lang w:val="en-GB"/>
        </w:rPr>
        <w:t xml:space="preserve"> </w:t>
      </w:r>
      <w:r>
        <w:fldChar w:fldCharType="begin"/>
      </w:r>
      <w:r>
        <w:instrText xml:space="preserve"> HYPERLINK "http://repo.uinsatu.ac.id/16718/." </w:instrText>
      </w:r>
      <w:r>
        <w:fldChar w:fldCharType="separate"/>
      </w:r>
      <w:r>
        <w:rPr>
          <w:rStyle w:val="15"/>
          <w:rFonts w:ascii="Arial" w:hAnsi="Arial" w:eastAsia="Arial"/>
          <w:spacing w:val="3"/>
          <w:lang w:val="en-GB"/>
        </w:rPr>
        <w:t>http://repo.uinsatu.ac.id/16718/.</w:t>
      </w:r>
      <w:r>
        <w:rPr>
          <w:rStyle w:val="15"/>
          <w:rFonts w:ascii="Arial" w:hAnsi="Arial" w:eastAsia="Arial"/>
          <w:spacing w:val="3"/>
          <w:lang w:val="en-GB"/>
        </w:rPr>
        <w:fldChar w:fldCharType="end"/>
      </w:r>
    </w:p>
    <w:p w14:paraId="4A371B48">
      <w:pPr>
        <w:widowControl w:val="0"/>
        <w:ind w:left="332" w:hanging="332" w:hangingChars="166"/>
        <w:jc w:val="both"/>
        <w:rPr>
          <w:rFonts w:ascii="Arial" w:hAnsi="Arial" w:eastAsia="Arial" w:cs="Arial"/>
          <w:spacing w:val="3"/>
          <w:lang w:val="en-GB"/>
        </w:rPr>
      </w:pPr>
      <w:r>
        <w:rPr>
          <w:rFonts w:ascii="Arial" w:hAnsi="Arial" w:eastAsia="SimSun" w:cs="Arial"/>
          <w:color w:val="222222"/>
          <w:shd w:val="clear" w:color="auto" w:fill="FFFFFF"/>
        </w:rPr>
        <w:t>Pratama, M. R., &amp; Nurkhamidah, N. (2023). A</w:t>
      </w:r>
      <w:r>
        <w:rPr>
          <w:rFonts w:ascii="Arial" w:hAnsi="Arial" w:eastAsia="SimSun" w:cs="Arial"/>
          <w:color w:val="222222"/>
          <w:shd w:val="clear" w:color="auto" w:fill="FFFFFF"/>
          <w:lang w:val="en-GB"/>
        </w:rPr>
        <w:t>nxiety on Listening Course among Students during the Pandemic of Covid-19</w:t>
      </w:r>
      <w:r>
        <w:rPr>
          <w:rFonts w:ascii="Arial" w:hAnsi="Arial" w:eastAsia="SimSun" w:cs="Arial"/>
          <w:color w:val="222222"/>
          <w:shd w:val="clear" w:color="auto" w:fill="FFFFFF"/>
        </w:rPr>
        <w:t>. </w:t>
      </w:r>
      <w:r>
        <w:rPr>
          <w:rFonts w:ascii="Arial" w:hAnsi="Arial" w:eastAsia="SimSun" w:cs="Arial"/>
          <w:i/>
          <w:iCs/>
          <w:color w:val="222222"/>
          <w:shd w:val="clear" w:color="auto" w:fill="FFFFFF"/>
        </w:rPr>
        <w:t>JETAL: Journal of English Teaching &amp; Applied Linguistic</w:t>
      </w:r>
      <w:r>
        <w:rPr>
          <w:rFonts w:ascii="Arial" w:hAnsi="Arial" w:eastAsia="SimSun" w:cs="Arial"/>
          <w:color w:val="222222"/>
          <w:shd w:val="clear" w:color="auto" w:fill="FFFFFF"/>
        </w:rPr>
        <w:t>, </w:t>
      </w:r>
      <w:r>
        <w:rPr>
          <w:rFonts w:ascii="Arial" w:hAnsi="Arial" w:eastAsia="SimSun" w:cs="Arial"/>
          <w:i/>
          <w:iCs/>
          <w:color w:val="222222"/>
          <w:shd w:val="clear" w:color="auto" w:fill="FFFFFF"/>
        </w:rPr>
        <w:t>4</w:t>
      </w:r>
      <w:r>
        <w:rPr>
          <w:rFonts w:ascii="Arial" w:hAnsi="Arial" w:eastAsia="SimSun" w:cs="Arial"/>
          <w:color w:val="222222"/>
          <w:shd w:val="clear" w:color="auto" w:fill="FFFFFF"/>
        </w:rPr>
        <w:t>(2), 83-96.</w:t>
      </w:r>
      <w:r>
        <w:rPr>
          <w:rFonts w:ascii="Arial" w:hAnsi="Arial" w:eastAsia="SimSun" w:cs="Arial"/>
          <w:color w:val="222222"/>
          <w:shd w:val="clear" w:color="auto" w:fill="FFFFFF"/>
          <w:lang w:val="en-GB"/>
        </w:rPr>
        <w:t xml:space="preserve"> </w:t>
      </w:r>
      <w:r>
        <w:fldChar w:fldCharType="begin"/>
      </w:r>
      <w:r>
        <w:instrText xml:space="preserve"> HYPERLINK "https://jurnal.uhn.ac.id/index.php/jetal/article/view/1009." </w:instrText>
      </w:r>
      <w:r>
        <w:fldChar w:fldCharType="separate"/>
      </w:r>
      <w:r>
        <w:rPr>
          <w:rStyle w:val="15"/>
          <w:rFonts w:ascii="Arial" w:hAnsi="Arial" w:eastAsia="Arial" w:cs="Arial"/>
          <w:spacing w:val="3"/>
          <w:lang w:val="en-GB"/>
        </w:rPr>
        <w:t>https://jurnal.uhn.ac.id/index.php/jetal/article/view/1009.</w:t>
      </w:r>
      <w:r>
        <w:rPr>
          <w:rStyle w:val="15"/>
          <w:rFonts w:ascii="Arial" w:hAnsi="Arial" w:eastAsia="Arial" w:cs="Arial"/>
          <w:spacing w:val="3"/>
          <w:lang w:val="en-GB"/>
        </w:rPr>
        <w:fldChar w:fldCharType="end"/>
      </w:r>
    </w:p>
    <w:p w14:paraId="2B48B841">
      <w:pPr>
        <w:widowControl w:val="0"/>
        <w:ind w:left="332" w:hanging="332" w:hangingChars="166"/>
        <w:jc w:val="both"/>
        <w:rPr>
          <w:rFonts w:ascii="Arial" w:hAnsi="Arial" w:cs="Arial"/>
          <w:lang w:val="en-GB"/>
        </w:rPr>
      </w:pPr>
      <w:r>
        <w:rPr>
          <w:rFonts w:ascii="Arial" w:hAnsi="Arial" w:cs="Arial"/>
          <w:color w:val="000000"/>
        </w:rPr>
        <w:t>Rahayu, A. P. (2024). The Teachers’ Effective English Listening Comprehension Strategies for Senior High School Students. Journal of Nusantara Education, 3(2), 48–59.</w:t>
      </w:r>
      <w:r>
        <w:rPr>
          <w:rFonts w:ascii="Arial" w:hAnsi="Arial" w:cs="Arial"/>
          <w:color w:val="000000"/>
          <w:lang w:val="en-GB"/>
        </w:rPr>
        <w:t xml:space="preserve"> </w:t>
      </w:r>
      <w:r>
        <w:fldChar w:fldCharType="begin"/>
      </w:r>
      <w:r>
        <w:instrText xml:space="preserve"> HYPERLINK "https://doi.org/10.57176/jn.v3i2.96" </w:instrText>
      </w:r>
      <w:r>
        <w:fldChar w:fldCharType="separate"/>
      </w:r>
      <w:r>
        <w:rPr>
          <w:rStyle w:val="15"/>
          <w:rFonts w:ascii="Arial" w:hAnsi="Arial" w:cs="Arial"/>
          <w:color w:val="1155CC"/>
        </w:rPr>
        <w:t>https://doi.org/10.57176/jn.v3i2.96</w:t>
      </w:r>
      <w:r>
        <w:rPr>
          <w:rStyle w:val="15"/>
          <w:rFonts w:ascii="Arial" w:hAnsi="Arial" w:cs="Arial"/>
          <w:color w:val="1155CC"/>
        </w:rPr>
        <w:fldChar w:fldCharType="end"/>
      </w:r>
      <w:r>
        <w:rPr>
          <w:rFonts w:ascii="Arial" w:hAnsi="Arial" w:cs="Arial"/>
          <w:lang w:val="en-GB"/>
        </w:rPr>
        <w:t>.</w:t>
      </w:r>
    </w:p>
    <w:p w14:paraId="344A81C4">
      <w:pPr>
        <w:widowControl w:val="0"/>
        <w:ind w:left="332" w:hanging="332" w:hangingChars="166"/>
        <w:jc w:val="both"/>
        <w:rPr>
          <w:rFonts w:ascii="Arial" w:hAnsi="Arial" w:eastAsia="sans-serif" w:cs="Arial"/>
          <w:color w:val="000000"/>
          <w:lang w:val="en-GB"/>
        </w:rPr>
      </w:pPr>
      <w:r>
        <w:rPr>
          <w:rFonts w:ascii="Arial" w:hAnsi="Arial" w:eastAsia="SimSun" w:cs="Arial"/>
          <w:color w:val="000000"/>
        </w:rPr>
        <w:t xml:space="preserve">Rosa, R. (2020). </w:t>
      </w:r>
      <w:r>
        <w:rPr>
          <w:rFonts w:ascii="Arial" w:hAnsi="Arial" w:eastAsia="sans-serif" w:cs="Arial"/>
          <w:color w:val="000000"/>
        </w:rPr>
        <w:t xml:space="preserve">An Analysis of Students’ Difficulties in Listening Comprehension: A Descriptive Study at English Language and Literature Department FBS UNP: </w:t>
      </w:r>
      <w:r>
        <w:rPr>
          <w:rFonts w:ascii="Arial" w:hAnsi="Arial" w:eastAsia="sans-serif" w:cs="Arial"/>
          <w:i/>
          <w:iCs/>
          <w:color w:val="000000"/>
        </w:rPr>
        <w:t>Journal of English Language Teaching 9(1), 85</w:t>
      </w:r>
      <w:r>
        <w:rPr>
          <w:rFonts w:ascii="Arial" w:hAnsi="Arial" w:eastAsia="sans-serif" w:cs="Arial"/>
          <w:color w:val="000000"/>
        </w:rPr>
        <w:t>.</w:t>
      </w:r>
      <w:r>
        <w:rPr>
          <w:rFonts w:ascii="Arial" w:hAnsi="Arial" w:eastAsia="sans-serif" w:cs="Arial"/>
          <w:color w:val="000000"/>
          <w:lang w:val="en-GB"/>
        </w:rPr>
        <w:t xml:space="preserve"> </w:t>
      </w:r>
      <w:r>
        <w:fldChar w:fldCharType="begin"/>
      </w:r>
      <w:r>
        <w:instrText xml:space="preserve"> HYPERLINK "https://ejournal.unp.ac.id/index.php/jelt/article/view/107957." </w:instrText>
      </w:r>
      <w:r>
        <w:fldChar w:fldCharType="separate"/>
      </w:r>
      <w:r>
        <w:rPr>
          <w:rStyle w:val="15"/>
          <w:rFonts w:ascii="Arial" w:hAnsi="Arial" w:eastAsia="sans-serif" w:cs="Arial"/>
        </w:rPr>
        <w:t>https://ejournal.unp.ac.id/index.php/jelt/article/view/107957</w:t>
      </w:r>
      <w:r>
        <w:rPr>
          <w:rStyle w:val="15"/>
          <w:rFonts w:ascii="Arial" w:hAnsi="Arial" w:eastAsia="sans-serif" w:cs="Arial"/>
          <w:lang w:val="en-GB"/>
        </w:rPr>
        <w:t>.</w:t>
      </w:r>
      <w:r>
        <w:rPr>
          <w:rStyle w:val="15"/>
          <w:rFonts w:ascii="Arial" w:hAnsi="Arial" w:eastAsia="sans-serif" w:cs="Arial"/>
          <w:lang w:val="en-GB"/>
        </w:rPr>
        <w:fldChar w:fldCharType="end"/>
      </w:r>
    </w:p>
    <w:p w14:paraId="5C81C2A0">
      <w:pPr>
        <w:widowControl w:val="0"/>
        <w:ind w:left="332" w:hanging="332" w:hangingChars="166"/>
        <w:jc w:val="both"/>
        <w:rPr>
          <w:rFonts w:ascii="Arial" w:hAnsi="Arial" w:eastAsia="Arial" w:cs="Arial"/>
          <w:spacing w:val="3"/>
          <w:lang w:val="en-GB"/>
        </w:rPr>
      </w:pPr>
      <w:r>
        <w:rPr>
          <w:rFonts w:ascii="Arial" w:hAnsi="Arial" w:eastAsia="SimSun" w:cs="Arial"/>
          <w:color w:val="222222"/>
          <w:shd w:val="clear" w:color="auto" w:fill="FFFFFF"/>
        </w:rPr>
        <w:t>Saifullah, S. (2024). From english teachers’ perceptions: English learning demotivating factors for Indonesian University students. </w:t>
      </w:r>
      <w:r>
        <w:rPr>
          <w:rFonts w:ascii="Arial" w:hAnsi="Arial" w:eastAsia="SimSun" w:cs="Arial"/>
          <w:i/>
          <w:iCs/>
          <w:color w:val="222222"/>
          <w:shd w:val="clear" w:color="auto" w:fill="FFFFFF"/>
        </w:rPr>
        <w:t>Cendikia: Media Jurnal Ilmiah Pendidikan</w:t>
      </w:r>
      <w:r>
        <w:rPr>
          <w:rFonts w:ascii="Arial" w:hAnsi="Arial" w:eastAsia="SimSun" w:cs="Arial"/>
          <w:color w:val="222222"/>
          <w:shd w:val="clear" w:color="auto" w:fill="FFFFFF"/>
        </w:rPr>
        <w:t>, </w:t>
      </w:r>
      <w:r>
        <w:rPr>
          <w:rFonts w:ascii="Arial" w:hAnsi="Arial" w:eastAsia="SimSun" w:cs="Arial"/>
          <w:i/>
          <w:iCs/>
          <w:color w:val="222222"/>
          <w:shd w:val="clear" w:color="auto" w:fill="FFFFFF"/>
        </w:rPr>
        <w:t>14</w:t>
      </w:r>
      <w:r>
        <w:rPr>
          <w:rFonts w:ascii="Arial" w:hAnsi="Arial" w:eastAsia="SimSun" w:cs="Arial"/>
          <w:color w:val="222222"/>
          <w:shd w:val="clear" w:color="auto" w:fill="FFFFFF"/>
        </w:rPr>
        <w:t>(4), 412-421.</w:t>
      </w:r>
      <w:r>
        <w:rPr>
          <w:rFonts w:ascii="Arial" w:hAnsi="Arial" w:eastAsia="SimSun" w:cs="Arial"/>
          <w:color w:val="222222"/>
          <w:shd w:val="clear" w:color="auto" w:fill="FFFFFF"/>
          <w:lang w:val="en-GB"/>
        </w:rPr>
        <w:t xml:space="preserve"> </w:t>
      </w:r>
      <w:r>
        <w:fldChar w:fldCharType="begin"/>
      </w:r>
      <w:r>
        <w:instrText xml:space="preserve"> HYPERLINK "http://www.iocscience.org/ejournal/index.php/Cendikia/article/view/4870." </w:instrText>
      </w:r>
      <w:r>
        <w:fldChar w:fldCharType="separate"/>
      </w:r>
      <w:r>
        <w:rPr>
          <w:rStyle w:val="15"/>
          <w:rFonts w:ascii="Arial" w:hAnsi="Arial" w:eastAsia="Arial" w:cs="Arial"/>
          <w:spacing w:val="3"/>
          <w:lang w:val="en-GB"/>
        </w:rPr>
        <w:t>http://www.iocscience.org/ejournal/index.php/Cendikia/article/view/4870.</w:t>
      </w:r>
      <w:r>
        <w:rPr>
          <w:rStyle w:val="15"/>
          <w:rFonts w:ascii="Arial" w:hAnsi="Arial" w:eastAsia="Arial" w:cs="Arial"/>
          <w:spacing w:val="3"/>
          <w:lang w:val="en-GB"/>
        </w:rPr>
        <w:fldChar w:fldCharType="end"/>
      </w:r>
    </w:p>
    <w:p w14:paraId="46003375">
      <w:pPr>
        <w:widowControl w:val="0"/>
        <w:ind w:left="332" w:hanging="332" w:hangingChars="166"/>
        <w:jc w:val="both"/>
        <w:rPr>
          <w:rFonts w:ascii="Arial" w:hAnsi="Arial" w:eastAsia="SimSun"/>
          <w:color w:val="222222"/>
          <w:shd w:val="clear" w:color="auto" w:fill="FFFFFF"/>
          <w:lang w:val="en-GB"/>
        </w:rPr>
      </w:pPr>
      <w:r>
        <w:rPr>
          <w:rFonts w:ascii="Arial" w:hAnsi="Arial" w:eastAsia="SimSun" w:cs="Arial"/>
          <w:color w:val="222222"/>
          <w:shd w:val="clear" w:color="auto" w:fill="FFFFFF"/>
        </w:rPr>
        <w:t>Saragih, D., Marpaung, A., &amp; Saragih, R. P. S. (2022). The Use of Podcast in Improving Students’ Listening Skill of Senior High School. </w:t>
      </w:r>
      <w:r>
        <w:rPr>
          <w:rFonts w:ascii="Arial" w:hAnsi="Arial" w:eastAsia="SimSun" w:cs="Arial"/>
          <w:i/>
          <w:iCs/>
          <w:color w:val="222222"/>
          <w:shd w:val="clear" w:color="auto" w:fill="FFFFFF"/>
        </w:rPr>
        <w:t>International Journal Corner of Educational Research</w:t>
      </w:r>
      <w:r>
        <w:rPr>
          <w:rFonts w:ascii="Arial" w:hAnsi="Arial" w:eastAsia="SimSun" w:cs="Arial"/>
          <w:color w:val="222222"/>
          <w:shd w:val="clear" w:color="auto" w:fill="FFFFFF"/>
        </w:rPr>
        <w:t>, </w:t>
      </w:r>
      <w:r>
        <w:rPr>
          <w:rFonts w:ascii="Arial" w:hAnsi="Arial" w:eastAsia="SimSun" w:cs="Arial"/>
          <w:i/>
          <w:iCs/>
          <w:color w:val="222222"/>
          <w:shd w:val="clear" w:color="auto" w:fill="FFFFFF"/>
        </w:rPr>
        <w:t>1</w:t>
      </w:r>
      <w:r>
        <w:rPr>
          <w:rFonts w:ascii="Arial" w:hAnsi="Arial" w:eastAsia="SimSun" w:cs="Arial"/>
          <w:color w:val="222222"/>
          <w:shd w:val="clear" w:color="auto" w:fill="FFFFFF"/>
        </w:rPr>
        <w:t>(2), 57-68.</w:t>
      </w:r>
      <w:r>
        <w:rPr>
          <w:rFonts w:ascii="Arial" w:hAnsi="Arial" w:eastAsia="SimSun" w:cs="Arial"/>
          <w:color w:val="222222"/>
          <w:shd w:val="clear" w:color="auto" w:fill="FFFFFF"/>
          <w:lang w:val="en-GB"/>
        </w:rPr>
        <w:t xml:space="preserve"> </w:t>
      </w:r>
      <w:r>
        <w:fldChar w:fldCharType="begin"/>
      </w:r>
      <w:r>
        <w:instrText xml:space="preserve"> HYPERLINK "https://journal.jcopublishing.com/index.php/ijcer/article/view/81." </w:instrText>
      </w:r>
      <w:r>
        <w:fldChar w:fldCharType="separate"/>
      </w:r>
      <w:r>
        <w:rPr>
          <w:rStyle w:val="15"/>
          <w:rFonts w:ascii="Arial" w:hAnsi="Arial" w:eastAsia="SimSun"/>
          <w:shd w:val="clear" w:color="auto" w:fill="FFFFFF"/>
          <w:lang w:val="en-GB"/>
        </w:rPr>
        <w:t>https://journal.jcopublishing.com/index.php/ijcer/article/view/81.</w:t>
      </w:r>
      <w:r>
        <w:rPr>
          <w:rStyle w:val="15"/>
          <w:rFonts w:ascii="Arial" w:hAnsi="Arial" w:eastAsia="SimSun"/>
          <w:shd w:val="clear" w:color="auto" w:fill="FFFFFF"/>
          <w:lang w:val="en-GB"/>
        </w:rPr>
        <w:fldChar w:fldCharType="end"/>
      </w:r>
    </w:p>
    <w:p w14:paraId="2FC16E95">
      <w:pPr>
        <w:widowControl w:val="0"/>
        <w:ind w:left="332" w:hanging="332" w:hangingChars="166"/>
        <w:jc w:val="both"/>
        <w:rPr>
          <w:rFonts w:ascii="Arial" w:hAnsi="Arial" w:eastAsia="SimSun"/>
          <w:color w:val="222222"/>
          <w:shd w:val="clear" w:color="auto" w:fill="FFFFFF"/>
          <w:lang w:val="en-GB"/>
        </w:rPr>
      </w:pPr>
      <w:r>
        <w:rPr>
          <w:rFonts w:ascii="Arial" w:hAnsi="Arial" w:eastAsia="SimSun" w:cs="Arial"/>
          <w:color w:val="222222"/>
          <w:shd w:val="clear" w:color="auto" w:fill="FFFFFF"/>
        </w:rPr>
        <w:t>Shaojie, T., Samad, A. A., &amp; Ismail, L. (2022). Systematic literature review on audio-visual multimodal input in listening comprehension. </w:t>
      </w:r>
      <w:r>
        <w:rPr>
          <w:rFonts w:ascii="Arial" w:hAnsi="Arial" w:eastAsia="SimSun" w:cs="Arial"/>
          <w:i/>
          <w:iCs/>
          <w:color w:val="222222"/>
          <w:shd w:val="clear" w:color="auto" w:fill="FFFFFF"/>
        </w:rPr>
        <w:t>Frontiers in Psychology</w:t>
      </w:r>
      <w:r>
        <w:rPr>
          <w:rFonts w:ascii="Arial" w:hAnsi="Arial" w:eastAsia="SimSun" w:cs="Arial"/>
          <w:color w:val="222222"/>
          <w:shd w:val="clear" w:color="auto" w:fill="FFFFFF"/>
        </w:rPr>
        <w:t>, </w:t>
      </w:r>
      <w:r>
        <w:rPr>
          <w:rFonts w:ascii="Arial" w:hAnsi="Arial" w:eastAsia="SimSun" w:cs="Arial"/>
          <w:i/>
          <w:iCs/>
          <w:color w:val="222222"/>
          <w:shd w:val="clear" w:color="auto" w:fill="FFFFFF"/>
        </w:rPr>
        <w:t>13</w:t>
      </w:r>
      <w:r>
        <w:rPr>
          <w:rFonts w:ascii="Arial" w:hAnsi="Arial" w:eastAsia="SimSun" w:cs="Arial"/>
          <w:color w:val="222222"/>
          <w:shd w:val="clear" w:color="auto" w:fill="FFFFFF"/>
        </w:rPr>
        <w:t>, 980133.</w:t>
      </w:r>
      <w:r>
        <w:rPr>
          <w:rFonts w:ascii="Arial" w:hAnsi="Arial" w:eastAsia="SimSun" w:cs="Arial"/>
          <w:color w:val="222222"/>
          <w:shd w:val="clear" w:color="auto" w:fill="FFFFFF"/>
          <w:lang w:val="en-GB"/>
        </w:rPr>
        <w:t xml:space="preserve"> </w:t>
      </w:r>
      <w:r>
        <w:fldChar w:fldCharType="begin"/>
      </w:r>
      <w:r>
        <w:instrText xml:space="preserve"> HYPERLINK "https://www.frontiersin.org/journals/psychology/articles/10.3389/fpsyg.2022.980133/full." </w:instrText>
      </w:r>
      <w:r>
        <w:fldChar w:fldCharType="separate"/>
      </w:r>
      <w:r>
        <w:rPr>
          <w:rStyle w:val="15"/>
          <w:rFonts w:ascii="Arial" w:hAnsi="Arial" w:eastAsia="SimSun"/>
          <w:shd w:val="clear" w:color="auto" w:fill="FFFFFF"/>
          <w:lang w:val="en-GB"/>
        </w:rPr>
        <w:t>https://www.frontiersin.org/journals/psychology/articles/10.3389/fpsyg.2022.980133/full.</w:t>
      </w:r>
      <w:r>
        <w:rPr>
          <w:rStyle w:val="15"/>
          <w:rFonts w:ascii="Arial" w:hAnsi="Arial" w:eastAsia="SimSun"/>
          <w:shd w:val="clear" w:color="auto" w:fill="FFFFFF"/>
          <w:lang w:val="en-GB"/>
        </w:rPr>
        <w:fldChar w:fldCharType="end"/>
      </w:r>
    </w:p>
    <w:p w14:paraId="4910B191">
      <w:pPr>
        <w:widowControl w:val="0"/>
        <w:ind w:left="332" w:hanging="332" w:hangingChars="166"/>
        <w:jc w:val="both"/>
        <w:rPr>
          <w:rFonts w:ascii="Arial" w:hAnsi="Arial" w:eastAsia="SimSun" w:cs="Arial"/>
          <w:color w:val="000000"/>
        </w:rPr>
      </w:pPr>
      <w:r>
        <w:rPr>
          <w:rFonts w:ascii="Arial" w:hAnsi="Arial" w:eastAsia="SimSun" w:cs="Arial"/>
          <w:color w:val="000000"/>
        </w:rPr>
        <w:t xml:space="preserve">Syukur, B. &amp; Prasetyo, B. (2024). The Analysis of Students’ Difficulties in Comprehending Macro and Micro Skills of Listening: </w:t>
      </w:r>
      <w:r>
        <w:rPr>
          <w:rFonts w:ascii="Arial" w:hAnsi="Arial" w:eastAsia="SimSun" w:cs="Arial"/>
          <w:i/>
          <w:iCs/>
          <w:color w:val="000000"/>
        </w:rPr>
        <w:t>Journal of English Language Teaching and Applied Linguistics 10</w:t>
      </w:r>
      <w:r>
        <w:rPr>
          <w:rFonts w:ascii="Arial" w:hAnsi="Arial" w:eastAsia="SimSun" w:cs="Arial"/>
          <w:color w:val="000000"/>
        </w:rPr>
        <w:t xml:space="preserve">(1), 1-13. </w:t>
      </w:r>
      <w:r>
        <w:rPr>
          <w:rFonts w:ascii="Arial" w:hAnsi="Arial" w:eastAsia="SimSun" w:cs="Arial"/>
          <w:color w:val="000000"/>
          <w:lang w:val="en-GB"/>
        </w:rPr>
        <w:t xml:space="preserve"> </w:t>
      </w:r>
      <w:r>
        <w:fldChar w:fldCharType="begin"/>
      </w:r>
      <w:r>
        <w:instrText xml:space="preserve"> HYPERLINK "https://ejournal.umpri.ac.id/index.php/smart/article/view/2147." </w:instrText>
      </w:r>
      <w:r>
        <w:fldChar w:fldCharType="separate"/>
      </w:r>
      <w:r>
        <w:rPr>
          <w:rStyle w:val="15"/>
          <w:rFonts w:ascii="Arial" w:hAnsi="Arial" w:eastAsia="SimSun" w:cs="Arial"/>
        </w:rPr>
        <w:t>https://ejournal.umpri.ac.id/index.php/smart/article/view/2147</w:t>
      </w:r>
      <w:r>
        <w:rPr>
          <w:rStyle w:val="15"/>
          <w:rFonts w:ascii="Arial" w:hAnsi="Arial" w:eastAsia="SimSun" w:cs="Arial"/>
          <w:lang w:val="en-GB"/>
        </w:rPr>
        <w:t>.</w:t>
      </w:r>
      <w:r>
        <w:rPr>
          <w:rStyle w:val="15"/>
          <w:rFonts w:ascii="Arial" w:hAnsi="Arial" w:eastAsia="SimSun" w:cs="Arial"/>
          <w:lang w:val="en-GB"/>
        </w:rPr>
        <w:fldChar w:fldCharType="end"/>
      </w:r>
    </w:p>
    <w:p w14:paraId="63C353B7">
      <w:pPr>
        <w:widowControl w:val="0"/>
        <w:ind w:left="332" w:hanging="332" w:hangingChars="166"/>
        <w:jc w:val="both"/>
        <w:rPr>
          <w:rFonts w:ascii="Arial" w:hAnsi="Arial" w:eastAsia="SimSun" w:cs="Arial"/>
          <w:color w:val="000000"/>
          <w:lang w:val="en-GB"/>
        </w:rPr>
      </w:pPr>
      <w:r>
        <w:rPr>
          <w:rFonts w:ascii="Arial" w:hAnsi="Arial" w:eastAsia="SimSun" w:cs="Arial"/>
          <w:color w:val="222222"/>
          <w:shd w:val="clear" w:color="auto" w:fill="FFFFFF"/>
        </w:rPr>
        <w:t>Triwibowo, F. D. (2023). E</w:t>
      </w:r>
      <w:r>
        <w:rPr>
          <w:rFonts w:ascii="Arial" w:hAnsi="Arial" w:eastAsia="SimSun" w:cs="Arial"/>
          <w:color w:val="222222"/>
          <w:shd w:val="clear" w:color="auto" w:fill="FFFFFF"/>
          <w:lang w:val="en-GB"/>
        </w:rPr>
        <w:t xml:space="preserve">nhancing English Proficiencyt: The Impact of Communicative Language Teaching on Second Language Learners. </w:t>
      </w:r>
      <w:r>
        <w:rPr>
          <w:rFonts w:ascii="Arial" w:hAnsi="Arial" w:eastAsia="SimSun" w:cs="Arial"/>
          <w:i/>
          <w:iCs/>
          <w:color w:val="222222"/>
          <w:shd w:val="clear" w:color="auto" w:fill="FFFFFF"/>
        </w:rPr>
        <w:t>Tomorrow's</w:t>
      </w:r>
      <w:r>
        <w:rPr>
          <w:rFonts w:ascii="Arial" w:hAnsi="Arial" w:eastAsia="SimSun" w:cs="Arial"/>
          <w:i/>
          <w:iCs/>
          <w:color w:val="222222"/>
          <w:shd w:val="clear" w:color="auto" w:fill="FFFFFF"/>
          <w:lang w:val="en-GB"/>
        </w:rPr>
        <w:t xml:space="preserve"> </w:t>
      </w:r>
      <w:r>
        <w:rPr>
          <w:rFonts w:ascii="Arial" w:hAnsi="Arial" w:eastAsia="SimSun" w:cs="Arial"/>
          <w:i/>
          <w:iCs/>
          <w:color w:val="222222"/>
          <w:shd w:val="clear" w:color="auto" w:fill="FFFFFF"/>
        </w:rPr>
        <w:t>Education Journal</w:t>
      </w:r>
      <w:r>
        <w:rPr>
          <w:rFonts w:ascii="Arial" w:hAnsi="Arial" w:eastAsia="SimSun" w:cs="Arial"/>
          <w:color w:val="222222"/>
          <w:shd w:val="clear" w:color="auto" w:fill="FFFFFF"/>
        </w:rPr>
        <w:t>, </w:t>
      </w:r>
      <w:r>
        <w:rPr>
          <w:rFonts w:ascii="Arial" w:hAnsi="Arial" w:eastAsia="SimSun" w:cs="Arial"/>
          <w:i/>
          <w:iCs/>
          <w:color w:val="222222"/>
          <w:shd w:val="clear" w:color="auto" w:fill="FFFFFF"/>
        </w:rPr>
        <w:t>1</w:t>
      </w:r>
      <w:r>
        <w:rPr>
          <w:rFonts w:ascii="Arial" w:hAnsi="Arial" w:eastAsia="SimSun" w:cs="Arial"/>
          <w:color w:val="222222"/>
          <w:shd w:val="clear" w:color="auto" w:fill="FFFFFF"/>
        </w:rPr>
        <w:t>(2).</w:t>
      </w:r>
      <w:r>
        <w:rPr>
          <w:rFonts w:ascii="Arial" w:hAnsi="Arial" w:eastAsia="SimSun" w:cs="Arial"/>
          <w:color w:val="222222"/>
          <w:shd w:val="clear" w:color="auto" w:fill="FFFFFF"/>
          <w:lang w:val="en-GB"/>
        </w:rPr>
        <w:t xml:space="preserve"> </w:t>
      </w:r>
      <w:r>
        <w:fldChar w:fldCharType="begin"/>
      </w:r>
      <w:r>
        <w:instrText xml:space="preserve"> HYPERLINK "https://pbijournals.ipbcirebon.ac.id/index.php/TEJ/article/view/40." </w:instrText>
      </w:r>
      <w:r>
        <w:fldChar w:fldCharType="separate"/>
      </w:r>
      <w:r>
        <w:rPr>
          <w:rStyle w:val="15"/>
          <w:rFonts w:ascii="Arial" w:hAnsi="Arial" w:eastAsia="Arial"/>
          <w:spacing w:val="3"/>
          <w:lang w:val="en-GB"/>
        </w:rPr>
        <w:t>https://pbijournals.ipbcirebon.ac.id/index.php/TEJ/article/view/40.</w:t>
      </w:r>
      <w:r>
        <w:rPr>
          <w:rStyle w:val="15"/>
          <w:rFonts w:ascii="Arial" w:hAnsi="Arial" w:eastAsia="Arial"/>
          <w:spacing w:val="3"/>
          <w:lang w:val="en-GB"/>
        </w:rPr>
        <w:fldChar w:fldCharType="end"/>
      </w:r>
    </w:p>
    <w:p w14:paraId="6559EC02">
      <w:pPr>
        <w:widowControl w:val="0"/>
        <w:ind w:left="332" w:hanging="332" w:hangingChars="166"/>
        <w:jc w:val="both"/>
        <w:rPr>
          <w:rFonts w:ascii="Arial" w:hAnsi="Arial" w:eastAsia="SimSun" w:cs="Arial"/>
          <w:color w:val="000000"/>
        </w:rPr>
      </w:pPr>
      <w:r>
        <w:rPr>
          <w:rFonts w:ascii="Arial" w:hAnsi="Arial" w:eastAsia="SimSun" w:cs="Arial"/>
          <w:color w:val="000000"/>
        </w:rPr>
        <w:t xml:space="preserve">Yildirim, L. &amp; Karahan, E. (2023). Effect of Web 2.0 Gamification Tools on Listening Comprehension Skills in a Second Foreign Language German Course: </w:t>
      </w:r>
      <w:r>
        <w:rPr>
          <w:rFonts w:ascii="Arial" w:hAnsi="Arial" w:eastAsia="SimSun" w:cs="Arial"/>
          <w:i/>
          <w:iCs/>
          <w:color w:val="000000"/>
        </w:rPr>
        <w:t>digitalEDUCATION</w:t>
      </w:r>
      <w:r>
        <w:rPr>
          <w:rFonts w:ascii="Arial" w:hAnsi="Arial" w:eastAsia="SimSun" w:cs="Arial"/>
          <w:color w:val="000000"/>
        </w:rPr>
        <w:t>.</w:t>
      </w:r>
      <w:r>
        <w:rPr>
          <w:rFonts w:ascii="Arial" w:hAnsi="Arial" w:eastAsia="SimSun" w:cs="Arial"/>
          <w:color w:val="000000"/>
          <w:lang w:val="en-GB"/>
        </w:rPr>
        <w:t xml:space="preserve"> </w:t>
      </w:r>
      <w:r>
        <w:fldChar w:fldCharType="begin"/>
      </w:r>
      <w:r>
        <w:instrText xml:space="preserve"> HYPERLINK "https://files.eric.ed.gov/fulltext/EJ1394958.pdf." </w:instrText>
      </w:r>
      <w:r>
        <w:fldChar w:fldCharType="separate"/>
      </w:r>
      <w:r>
        <w:rPr>
          <w:rStyle w:val="15"/>
          <w:rFonts w:ascii="Arial" w:hAnsi="Arial" w:eastAsia="SimSun" w:cs="Arial"/>
        </w:rPr>
        <w:t>https://files.eric.ed.gov/fulltext/EJ1394958.pdf</w:t>
      </w:r>
      <w:r>
        <w:rPr>
          <w:rStyle w:val="15"/>
          <w:rFonts w:ascii="Arial" w:hAnsi="Arial" w:eastAsia="SimSun" w:cs="Arial"/>
          <w:lang w:val="en-GB"/>
        </w:rPr>
        <w:t>.</w:t>
      </w:r>
      <w:r>
        <w:rPr>
          <w:rStyle w:val="15"/>
          <w:rFonts w:ascii="Arial" w:hAnsi="Arial" w:eastAsia="SimSun" w:cs="Arial"/>
          <w:lang w:val="en-GB"/>
        </w:rPr>
        <w:fldChar w:fldCharType="end"/>
      </w:r>
    </w:p>
    <w:p w14:paraId="63E0F8E4">
      <w:pPr>
        <w:widowControl w:val="0"/>
        <w:ind w:left="332" w:hanging="332" w:hangingChars="166"/>
        <w:jc w:val="both"/>
        <w:rPr>
          <w:rFonts w:ascii="Arial" w:hAnsi="Arial" w:eastAsia="SimSun" w:cs="Arial"/>
          <w:lang w:val="en-GB"/>
        </w:rPr>
      </w:pPr>
      <w:r>
        <w:rPr>
          <w:rFonts w:ascii="Arial" w:hAnsi="Arial" w:eastAsia="SimSun" w:cs="Arial"/>
          <w:color w:val="000000"/>
        </w:rPr>
        <w:t>Yunus, R. Y. I., &amp; Sri Damayanti. (2024). S</w:t>
      </w:r>
      <w:r>
        <w:rPr>
          <w:rFonts w:ascii="Arial" w:hAnsi="Arial" w:eastAsia="SimSun" w:cs="Arial"/>
          <w:color w:val="000000"/>
          <w:lang w:val="en-GB"/>
        </w:rPr>
        <w:t>trategies for Enhancing Self-directed Listening Proficiency: Investigating EFL Students’ Autonomous Learning Pathways</w:t>
      </w:r>
      <w:r>
        <w:rPr>
          <w:rFonts w:ascii="Arial" w:hAnsi="Arial" w:eastAsia="SimSun" w:cs="Arial"/>
          <w:color w:val="000000"/>
        </w:rPr>
        <w:t xml:space="preserve">. </w:t>
      </w:r>
      <w:r>
        <w:rPr>
          <w:rFonts w:ascii="Arial" w:hAnsi="Arial" w:eastAsia="SimSun" w:cs="Arial"/>
          <w:i/>
          <w:iCs/>
          <w:color w:val="000000"/>
        </w:rPr>
        <w:t>Ethical Lingua: Journal of Language Teaching and Literature</w:t>
      </w:r>
      <w:r>
        <w:rPr>
          <w:rFonts w:ascii="Arial" w:hAnsi="Arial" w:eastAsia="SimSun" w:cs="Arial"/>
          <w:color w:val="000000"/>
        </w:rPr>
        <w:t xml:space="preserve">, </w:t>
      </w:r>
      <w:r>
        <w:rPr>
          <w:rFonts w:ascii="Arial" w:hAnsi="Arial" w:eastAsia="SimSun" w:cs="Arial"/>
          <w:i/>
          <w:iCs/>
          <w:color w:val="000000"/>
        </w:rPr>
        <w:t>11</w:t>
      </w:r>
      <w:r>
        <w:rPr>
          <w:rFonts w:ascii="Arial" w:hAnsi="Arial" w:eastAsia="SimSun" w:cs="Arial"/>
          <w:color w:val="000000"/>
        </w:rPr>
        <w:t>(1).</w:t>
      </w:r>
      <w:r>
        <w:fldChar w:fldCharType="begin"/>
      </w:r>
      <w:r>
        <w:instrText xml:space="preserve"> HYPERLINK "https://doi.org/10.30605/25409190.699" </w:instrText>
      </w:r>
      <w:r>
        <w:fldChar w:fldCharType="separate"/>
      </w:r>
      <w:r>
        <w:rPr>
          <w:rStyle w:val="15"/>
          <w:rFonts w:ascii="Arial" w:hAnsi="Arial" w:eastAsia="SimSun" w:cs="Arial"/>
          <w:color w:val="000000"/>
          <w:u w:val="none"/>
        </w:rPr>
        <w:t xml:space="preserve"> </w:t>
      </w:r>
      <w:r>
        <w:rPr>
          <w:rStyle w:val="15"/>
          <w:rFonts w:ascii="Arial" w:hAnsi="Arial" w:eastAsia="SimSun" w:cs="Arial"/>
          <w:color w:val="1155CC"/>
        </w:rPr>
        <w:t>https://doi.org/10.30605/25409190.699</w:t>
      </w:r>
      <w:r>
        <w:rPr>
          <w:rStyle w:val="15"/>
          <w:rFonts w:ascii="Arial" w:hAnsi="Arial" w:eastAsia="SimSun" w:cs="Arial"/>
          <w:color w:val="1155CC"/>
        </w:rPr>
        <w:fldChar w:fldCharType="end"/>
      </w:r>
      <w:r>
        <w:rPr>
          <w:rFonts w:ascii="Arial" w:hAnsi="Arial" w:eastAsia="SimSun" w:cs="Arial"/>
          <w:lang w:val="en-GB"/>
        </w:rPr>
        <w:t>.</w:t>
      </w:r>
    </w:p>
    <w:p w14:paraId="74B0B0F9">
      <w:pPr>
        <w:widowControl w:val="0"/>
        <w:ind w:left="332" w:hanging="332" w:hangingChars="166"/>
        <w:jc w:val="both"/>
      </w:pPr>
      <w:r>
        <w:rPr>
          <w:rFonts w:ascii="Arial" w:hAnsi="Arial" w:eastAsia="SimSun" w:cs="Arial"/>
          <w:color w:val="222222"/>
          <w:shd w:val="clear" w:color="auto" w:fill="FFFFFF"/>
        </w:rPr>
        <w:t>Zhai, C., &amp; Wibowo, S. (2023). A systematic review on artificial intelligence dialogue systems for enhancing English as foreign language students’ interactional competence in the university. </w:t>
      </w:r>
      <w:r>
        <w:rPr>
          <w:rFonts w:ascii="Arial" w:hAnsi="Arial" w:eastAsia="SimSun" w:cs="Arial"/>
          <w:i/>
          <w:iCs/>
          <w:color w:val="222222"/>
          <w:shd w:val="clear" w:color="auto" w:fill="FFFFFF"/>
        </w:rPr>
        <w:t>Computers and Education: Artificial Intelligence</w:t>
      </w:r>
      <w:r>
        <w:rPr>
          <w:rFonts w:ascii="Arial" w:hAnsi="Arial" w:eastAsia="SimSun" w:cs="Arial"/>
          <w:color w:val="222222"/>
          <w:shd w:val="clear" w:color="auto" w:fill="FFFFFF"/>
        </w:rPr>
        <w:t>, </w:t>
      </w:r>
      <w:r>
        <w:rPr>
          <w:rFonts w:ascii="Arial" w:hAnsi="Arial" w:eastAsia="SimSun" w:cs="Arial"/>
          <w:i/>
          <w:iCs/>
          <w:color w:val="222222"/>
          <w:shd w:val="clear" w:color="auto" w:fill="FFFFFF"/>
        </w:rPr>
        <w:t>4</w:t>
      </w:r>
      <w:r>
        <w:rPr>
          <w:rFonts w:ascii="Arial" w:hAnsi="Arial" w:eastAsia="SimSun" w:cs="Arial"/>
          <w:color w:val="222222"/>
          <w:shd w:val="clear" w:color="auto" w:fill="FFFFFF"/>
        </w:rPr>
        <w:t>, 100134.</w:t>
      </w:r>
      <w:r>
        <w:rPr>
          <w:rFonts w:ascii="Arial" w:hAnsi="Arial" w:eastAsia="SimSun" w:cs="Arial"/>
          <w:color w:val="222222"/>
          <w:shd w:val="clear" w:color="auto" w:fill="FFFFFF"/>
          <w:lang w:val="en-GB"/>
        </w:rPr>
        <w:t xml:space="preserve"> </w:t>
      </w:r>
      <w:r>
        <w:fldChar w:fldCharType="begin"/>
      </w:r>
      <w:r>
        <w:instrText xml:space="preserve"> HYPERLINK "https://www.sciencedirect.com/science/article/pii/S2666920X23000139." </w:instrText>
      </w:r>
      <w:r>
        <w:fldChar w:fldCharType="separate"/>
      </w:r>
      <w:r>
        <w:rPr>
          <w:rStyle w:val="15"/>
          <w:rFonts w:ascii="Arial" w:hAnsi="Arial" w:eastAsia="SimSun"/>
          <w:shd w:val="clear" w:color="auto" w:fill="FFFFFF"/>
          <w:lang w:val="en-GB"/>
        </w:rPr>
        <w:t>https://www.sciencedirect.com/science/article/pii/S2666920X23000139.</w:t>
      </w:r>
      <w:r>
        <w:rPr>
          <w:rStyle w:val="15"/>
          <w:rFonts w:ascii="Arial" w:hAnsi="Arial" w:eastAsia="SimSun"/>
          <w:shd w:val="clear" w:color="auto" w:fill="FFFFFF"/>
          <w:lang w:val="en-GB"/>
        </w:rPr>
        <w:fldChar w:fldCharType="end"/>
      </w:r>
    </w:p>
    <w:p w14:paraId="4A8A558E">
      <w:pPr>
        <w:pStyle w:val="24"/>
        <w:spacing w:after="0"/>
      </w:pPr>
    </w:p>
    <w:p w14:paraId="7572CC3E">
      <w:pPr>
        <w:pStyle w:val="43"/>
        <w:spacing w:after="0"/>
        <w:jc w:val="both"/>
        <w:rPr>
          <w:rFonts w:ascii="Arial" w:hAnsi="Arial" w:cs="Arial"/>
          <w:b w:val="0"/>
        </w:rPr>
        <w:sectPr>
          <w:headerReference r:id="rId11" w:type="first"/>
          <w:headerReference r:id="rId9" w:type="default"/>
          <w:footerReference r:id="rId12" w:type="default"/>
          <w:headerReference r:id="rId10" w:type="even"/>
          <w:type w:val="continuous"/>
          <w:pgSz w:w="12240" w:h="15840"/>
          <w:pgMar w:top="1440" w:right="2016" w:bottom="2016" w:left="2016" w:header="720" w:footer="1123" w:gutter="0"/>
          <w:cols w:space="720" w:num="1"/>
          <w:docGrid w:linePitch="272" w:charSpace="0"/>
        </w:sectPr>
      </w:pPr>
    </w:p>
    <w:p w14:paraId="5A242531">
      <w:pPr>
        <w:pStyle w:val="43"/>
        <w:spacing w:after="0"/>
        <w:jc w:val="both"/>
        <w:rPr>
          <w:rFonts w:ascii="Arial" w:hAnsi="Arial" w:cs="Arial"/>
          <w:b w:val="0"/>
        </w:rPr>
      </w:pPr>
    </w:p>
    <w:sectPr>
      <w:type w:val="continuous"/>
      <w:pgSz w:w="12240" w:h="15840"/>
      <w:pgMar w:top="720" w:right="720" w:bottom="720" w:left="72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62A9BB">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F0B520">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2BACAF">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EAF6C1">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D1A90E">
    <w:pPr>
      <w:pStyle w:val="14"/>
    </w:pPr>
    <w:r>
      <w:pict>
        <v:shape id="PowerPlusWaterMarkObject4166908" o:spid="_x0000_s2051" o:spt="136" type="#_x0000_t136" style="position:absolute;left:0pt;height:57.85pt;width:520.65pt;mso-position-horizontal:center;mso-position-horizontal-relative:margin;mso-position-vertical:center;mso-position-vertical-relative:margin;rotation:20643840f;z-index:-251653120;mso-width-relative:page;mso-height-relative:page;" fillcolor="#C0C0C0" filled="t" stroked="f" coordsize="21600,21600" o:allowincell="f">
          <v:path/>
          <v:fill on="t" opacity="32768f" focussize="0,0"/>
          <v:stroke on="f"/>
          <v:imagedata o:title=""/>
          <o:lock v:ext="edit"/>
          <v:textpath on="t" fitpath="t" trim="f" xscale="f" string="UNDER PEER REVIEW" style="font-family:Helvetica;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3120AB">
    <w:pPr>
      <w:pStyle w:val="14"/>
    </w:pPr>
    <w:r>
      <w:pict>
        <v:shape id="PowerPlusWaterMarkObject4166907" o:spid="_x0000_s2050" o:spt="136" type="#_x0000_t136" style="position:absolute;left:0pt;height:57.85pt;width:520.65pt;mso-position-horizontal:center;mso-position-horizontal-relative:margin;mso-position-vertical:center;mso-position-vertical-relative:margin;rotation:20643840f;z-index:-251654144;mso-width-relative:page;mso-height-relative:page;" fillcolor="#C0C0C0" filled="t" stroked="f" coordsize="21600,21600" o:allowincell="f">
          <v:path/>
          <v:fill on="t" opacity="32768f" focussize="0,0"/>
          <v:stroke on="f"/>
          <v:imagedata o:title=""/>
          <o:lock v:ext="edit"/>
          <v:textpath on="t" fitpath="t" trim="f" xscale="f" string="UNDER PEER REVIEW" style="font-family:Helvetica;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A303E0">
    <w:pPr>
      <w:ind w:left="2160"/>
      <w:jc w:val="center"/>
      <w:rPr>
        <w:rFonts w:ascii="Times New Roman" w:hAnsi="Times New Roman" w:eastAsia="Calibri"/>
        <w:i/>
        <w:sz w:val="18"/>
        <w:szCs w:val="22"/>
      </w:rPr>
    </w:pPr>
    <w:r>
      <w:pict>
        <v:shape id="PowerPlusWaterMarkObject4166906" o:spid="_x0000_s2049" o:spt="136" type="#_x0000_t136" style="position:absolute;left:0pt;height:57.85pt;width:520.65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path="t" trim="f" xscale="f" string="UNDER PEER REVIEW" style="font-family:Helvetica;font-size:1pt;v-text-align:center;"/>
        </v:shape>
      </w:pict>
    </w:r>
  </w:p>
  <w:p w14:paraId="539D8849">
    <w:pPr>
      <w:ind w:left="4320"/>
      <w:rPr>
        <w:rFonts w:ascii="Times New Roman" w:hAnsi="Times New Roman" w:eastAsia="Calibri"/>
        <w:i/>
        <w:sz w:val="18"/>
        <w:szCs w:val="22"/>
      </w:rPr>
    </w:pPr>
    <w:r>
      <w:rPr>
        <w:rFonts w:ascii="Times New Roman" w:hAnsi="Times New Roman" w:eastAsia="Calibri"/>
        <w:i/>
        <w:sz w:val="18"/>
        <w:szCs w:val="22"/>
      </w:rPr>
      <w:t xml:space="preserve">.     </w:t>
    </w:r>
  </w:p>
  <w:p w14:paraId="08A7E5E6">
    <w:pPr>
      <w:jc w:val="center"/>
      <w:rPr>
        <w:rFonts w:ascii="Times New Roman" w:hAnsi="Times New Roman" w:eastAsia="Calibri"/>
        <w:i/>
        <w:sz w:val="18"/>
        <w:szCs w:val="22"/>
      </w:rPr>
    </w:pPr>
    <w:r>
      <w:rPr>
        <w:rFonts w:ascii="Times New Roman" w:hAnsi="Times New Roman" w:eastAsia="Calibri"/>
        <w:i/>
        <w:sz w:val="18"/>
        <w:szCs w:val="22"/>
      </w:rPr>
      <w:t>.</w:t>
    </w:r>
  </w:p>
  <w:p w14:paraId="01FF28B6">
    <w:pPr>
      <w:spacing w:after="200"/>
      <w:jc w:val="center"/>
      <w:rPr>
        <w:rFonts w:ascii="Times New Roman" w:hAnsi="Times New Roman" w:eastAsia="Calibri"/>
        <w:b/>
        <w:i/>
        <w:sz w:val="32"/>
        <w:szCs w:val="22"/>
      </w:rPr>
    </w:pPr>
    <w:r>
      <w:rPr>
        <w:rFonts w:ascii="Times New Roman" w:hAnsi="Times New Roman" w:eastAsia="Calibri"/>
        <w:b/>
        <w:i/>
        <w:sz w:val="32"/>
        <w:szCs w:val="22"/>
      </w:rPr>
      <w:t xml:space="preserve">              . </w:t>
    </w:r>
  </w:p>
  <w:p w14:paraId="067E9BE3">
    <w:pPr>
      <w:jc w:val="center"/>
      <w:rPr>
        <w:rFonts w:ascii="Times New Roman" w:hAnsi="Times New Roman" w:eastAsia="Calibri"/>
        <w:i/>
        <w:sz w:val="18"/>
        <w:szCs w:val="22"/>
      </w:rPr>
    </w:pPr>
    <w:r>
      <w:rPr>
        <w:rFonts w:ascii="Times New Roman" w:hAnsi="Times New Roman" w:eastAsia="Calibri"/>
        <w:i/>
        <w:sz w:val="18"/>
        <w:szCs w:val="22"/>
      </w:rPr>
      <w:t xml:space="preserve">                     </w:t>
    </w:r>
  </w:p>
  <w:p w14:paraId="08F32BEE">
    <w:pPr>
      <w:tabs>
        <w:tab w:val="left" w:pos="2145"/>
      </w:tabs>
      <w:rPr>
        <w:rFonts w:ascii="Times New Roman" w:hAnsi="Times New Roman" w:eastAsia="Calibri"/>
        <w:i/>
        <w:sz w:val="18"/>
        <w:szCs w:val="22"/>
      </w:rPr>
    </w:pPr>
    <w:r>
      <w:rPr>
        <w:rFonts w:ascii="Times New Roman" w:hAnsi="Times New Roman" w:eastAsia="Calibri"/>
        <w:i/>
        <w:sz w:val="18"/>
        <w:szCs w:val="22"/>
      </w:rPr>
      <w:tab/>
    </w:r>
    <w:r>
      <w:rPr>
        <w:rFonts w:ascii="Times New Roman" w:hAnsi="Times New Roman" w:eastAsia="Calibri"/>
        <w:i/>
        <w:sz w:val="18"/>
        <w:szCs w:val="22"/>
      </w:rPr>
      <w:t>.</w:t>
    </w:r>
  </w:p>
  <w:p w14:paraId="3D655D35">
    <w:pPr>
      <w:pStyle w:val="14"/>
    </w:pPr>
    <w: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0B3FFA">
    <w:pPr>
      <w:pStyle w:val="14"/>
    </w:pPr>
    <w:r>
      <w:pict>
        <v:shape id="PowerPlusWaterMarkObject4166911" o:spid="_x0000_s2054" o:spt="136" type="#_x0000_t136" style="position:absolute;left:0pt;height:57.85pt;width:520.65pt;mso-position-horizontal:center;mso-position-horizontal-relative:margin;mso-position-vertical:center;mso-position-vertical-relative:margin;rotation:20643840f;z-index:-251650048;mso-width-relative:page;mso-height-relative:page;" fillcolor="#C0C0C0" filled="t" stroked="f" coordsize="21600,21600" o:allowincell="f">
          <v:path/>
          <v:fill on="t" opacity="32768f" focussize="0,0"/>
          <v:stroke on="f"/>
          <v:imagedata o:title=""/>
          <o:lock v:ext="edit"/>
          <v:textpath on="t" fitpath="t" trim="f" xscale="f" string="UNDER PEER REVIEW" style="font-family:Helvetica;font-size:1pt;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570B08">
    <w:pPr>
      <w:pStyle w:val="14"/>
    </w:pPr>
    <w:r>
      <w:pict>
        <v:shape id="PowerPlusWaterMarkObject4166910" o:spid="_x0000_s2053" o:spt="136" type="#_x0000_t136" style="position:absolute;left:0pt;height:57.85pt;width:520.65pt;mso-position-horizontal:center;mso-position-horizontal-relative:margin;mso-position-vertical:center;mso-position-vertical-relative:margin;rotation:20643840f;z-index:-251651072;mso-width-relative:page;mso-height-relative:page;" fillcolor="#C0C0C0" filled="t" stroked="f" coordsize="21600,21600" o:allowincell="f">
          <v:path/>
          <v:fill on="t" opacity="32768f" focussize="0,0"/>
          <v:stroke on="f"/>
          <v:imagedata o:title=""/>
          <o:lock v:ext="edit"/>
          <v:textpath on="t" fitpath="t" trim="f" xscale="f" string="UNDER PEER REVIEW" style="font-family:Helvetica;font-size:1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884C44">
    <w:pPr>
      <w:pStyle w:val="14"/>
    </w:pPr>
    <w:r>
      <w:pict>
        <v:shape id="PowerPlusWaterMarkObject4166909" o:spid="_x0000_s2052" o:spt="136" type="#_x0000_t136" style="position:absolute;left:0pt;height:57.85pt;width:520.65pt;mso-position-horizontal:center;mso-position-horizontal-relative:margin;mso-position-vertical:center;mso-position-vertical-relative:margin;rotation:20643840f;z-index:-251652096;mso-width-relative:page;mso-height-relative:page;" fillcolor="#C0C0C0" filled="t" stroked="f" coordsize="21600,21600" o:allowincell="f">
          <v:path/>
          <v:fill on="t" opacity="32768f" focussize="0,0"/>
          <v:stroke on="f"/>
          <v:imagedata o:title=""/>
          <o:lock v:ext="edit"/>
          <v:textpath on="t" fitpath="t" trim="f" xscale="f" string="UNDER PEER REVIEW" style="font-family:Helvetica;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0F43BE"/>
    <w:multiLevelType w:val="singleLevel"/>
    <w:tmpl w:val="FA0F43BE"/>
    <w:lvl w:ilvl="0" w:tentative="0">
      <w:start w:val="1"/>
      <w:numFmt w:val="decimal"/>
      <w:suff w:val="space"/>
      <w:lvlText w:val="%1."/>
      <w:lvlJc w:val="left"/>
      <w:pPr>
        <w:ind w:left="420"/>
      </w:pPr>
    </w:lvl>
  </w:abstractNum>
  <w:abstractNum w:abstractNumId="1">
    <w:nsid w:val="12F43197"/>
    <w:multiLevelType w:val="singleLevel"/>
    <w:tmpl w:val="12F43197"/>
    <w:lvl w:ilvl="0" w:tentative="0">
      <w:start w:val="1"/>
      <w:numFmt w:val="decimal"/>
      <w:suff w:val="space"/>
      <w:lvlText w:val="%1."/>
      <w:lvlJc w:val="left"/>
    </w:lvl>
  </w:abstractNum>
  <w:abstractNum w:abstractNumId="2">
    <w:nsid w:val="69584613"/>
    <w:multiLevelType w:val="singleLevel"/>
    <w:tmpl w:val="69584613"/>
    <w:lvl w:ilvl="0" w:tentative="0">
      <w:start w:val="1"/>
      <w:numFmt w:val="decimal"/>
      <w:suff w:val="space"/>
      <w:lvlText w:val="%1."/>
      <w:lvlJc w:val="left"/>
    </w:lvl>
  </w:abstractNum>
  <w:abstractNum w:abstractNumId="3">
    <w:nsid w:val="71604DCD"/>
    <w:multiLevelType w:val="singleLevel"/>
    <w:tmpl w:val="71604DCD"/>
    <w:lvl w:ilvl="0" w:tentative="0">
      <w:start w:val="1"/>
      <w:numFmt w:val="decimal"/>
      <w:pStyle w:val="35"/>
      <w:lvlText w:val="%1."/>
      <w:lvlJc w:val="left"/>
      <w:pPr>
        <w:tabs>
          <w:tab w:val="left" w:pos="360"/>
        </w:tabs>
        <w:ind w:left="360" w:hanging="36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720"/>
  <w:doNotHyphenateCaps/>
  <w:drawingGridHorizontalSpacing w:val="100"/>
  <w:noPunctuationKerning w:val="1"/>
  <w:characterSpacingControl w:val="doNotCompress"/>
  <w:hdrShapeDefaults>
    <o:shapelayout v:ext="edit">
      <o:idmap v:ext="edit" data="2"/>
    </o:shapelayout>
  </w:hdrShapeDefaults>
  <w:compat>
    <w:doNotExpandShiftReturn/>
    <w:doNotWrapTextWithPunct/>
    <w:doNotUseEastAsianBreakRules/>
    <w:compatSetting w:name="compatibilityMode" w:uri="http://schemas.microsoft.com/office/word" w:val="12"/>
  </w:compat>
  <w:rsids>
    <w:rsidRoot w:val="00AA6219"/>
    <w:rsid w:val="00000F8F"/>
    <w:rsid w:val="00030174"/>
    <w:rsid w:val="0004579C"/>
    <w:rsid w:val="000A47FA"/>
    <w:rsid w:val="000A65D3"/>
    <w:rsid w:val="000B1E33"/>
    <w:rsid w:val="000D689F"/>
    <w:rsid w:val="000E7B7B"/>
    <w:rsid w:val="000E7D62"/>
    <w:rsid w:val="00103357"/>
    <w:rsid w:val="00123C9F"/>
    <w:rsid w:val="00126190"/>
    <w:rsid w:val="00130F17"/>
    <w:rsid w:val="001320BF"/>
    <w:rsid w:val="00163BC4"/>
    <w:rsid w:val="00191062"/>
    <w:rsid w:val="00192B72"/>
    <w:rsid w:val="001A29D8"/>
    <w:rsid w:val="001A5CAA"/>
    <w:rsid w:val="001B0427"/>
    <w:rsid w:val="001D3A51"/>
    <w:rsid w:val="001E10D2"/>
    <w:rsid w:val="001E25B4"/>
    <w:rsid w:val="001E44FE"/>
    <w:rsid w:val="00200595"/>
    <w:rsid w:val="00204835"/>
    <w:rsid w:val="00231920"/>
    <w:rsid w:val="0023195C"/>
    <w:rsid w:val="0024282C"/>
    <w:rsid w:val="002460DC"/>
    <w:rsid w:val="00250985"/>
    <w:rsid w:val="002556F6"/>
    <w:rsid w:val="00283105"/>
    <w:rsid w:val="00284C4C"/>
    <w:rsid w:val="00287E68"/>
    <w:rsid w:val="00296529"/>
    <w:rsid w:val="002B27FB"/>
    <w:rsid w:val="002B685A"/>
    <w:rsid w:val="002C57D2"/>
    <w:rsid w:val="002E0D56"/>
    <w:rsid w:val="00315186"/>
    <w:rsid w:val="0033343E"/>
    <w:rsid w:val="003512C2"/>
    <w:rsid w:val="00367281"/>
    <w:rsid w:val="00371FB6"/>
    <w:rsid w:val="003763C1"/>
    <w:rsid w:val="00376BBE"/>
    <w:rsid w:val="0039224F"/>
    <w:rsid w:val="003A43A4"/>
    <w:rsid w:val="003A7E18"/>
    <w:rsid w:val="003C4C86"/>
    <w:rsid w:val="003C6258"/>
    <w:rsid w:val="003E2904"/>
    <w:rsid w:val="00401927"/>
    <w:rsid w:val="0041027F"/>
    <w:rsid w:val="00412475"/>
    <w:rsid w:val="00423789"/>
    <w:rsid w:val="00440F43"/>
    <w:rsid w:val="00441B6F"/>
    <w:rsid w:val="00446221"/>
    <w:rsid w:val="00450E62"/>
    <w:rsid w:val="004539DB"/>
    <w:rsid w:val="00471A80"/>
    <w:rsid w:val="004D305E"/>
    <w:rsid w:val="004D4277"/>
    <w:rsid w:val="005017AF"/>
    <w:rsid w:val="00502516"/>
    <w:rsid w:val="00505F06"/>
    <w:rsid w:val="00506828"/>
    <w:rsid w:val="0053056E"/>
    <w:rsid w:val="00554FDA"/>
    <w:rsid w:val="005C784C"/>
    <w:rsid w:val="005D17F6"/>
    <w:rsid w:val="005E5539"/>
    <w:rsid w:val="00602BF5"/>
    <w:rsid w:val="00617FDD"/>
    <w:rsid w:val="00633614"/>
    <w:rsid w:val="00633F68"/>
    <w:rsid w:val="00636EB2"/>
    <w:rsid w:val="006375B8"/>
    <w:rsid w:val="0064734A"/>
    <w:rsid w:val="0066510A"/>
    <w:rsid w:val="00673F9F"/>
    <w:rsid w:val="00686953"/>
    <w:rsid w:val="00687DEA"/>
    <w:rsid w:val="00687E67"/>
    <w:rsid w:val="006967F7"/>
    <w:rsid w:val="006A250C"/>
    <w:rsid w:val="006B21D3"/>
    <w:rsid w:val="006B57D0"/>
    <w:rsid w:val="006C4124"/>
    <w:rsid w:val="006D30FF"/>
    <w:rsid w:val="006D6940"/>
    <w:rsid w:val="006F11EC"/>
    <w:rsid w:val="0070082C"/>
    <w:rsid w:val="007369E6"/>
    <w:rsid w:val="00746E59"/>
    <w:rsid w:val="00754C9A"/>
    <w:rsid w:val="0075599A"/>
    <w:rsid w:val="00761D52"/>
    <w:rsid w:val="0077749E"/>
    <w:rsid w:val="00790ADA"/>
    <w:rsid w:val="007D2288"/>
    <w:rsid w:val="007E088F"/>
    <w:rsid w:val="007F7B32"/>
    <w:rsid w:val="00804BC2"/>
    <w:rsid w:val="0081431A"/>
    <w:rsid w:val="00814440"/>
    <w:rsid w:val="0083216F"/>
    <w:rsid w:val="00860000"/>
    <w:rsid w:val="00863BD3"/>
    <w:rsid w:val="008641ED"/>
    <w:rsid w:val="00866D66"/>
    <w:rsid w:val="008671C6"/>
    <w:rsid w:val="00875803"/>
    <w:rsid w:val="008B459E"/>
    <w:rsid w:val="008E13AE"/>
    <w:rsid w:val="008E1506"/>
    <w:rsid w:val="008E710C"/>
    <w:rsid w:val="008F69D6"/>
    <w:rsid w:val="00902823"/>
    <w:rsid w:val="00915CA6"/>
    <w:rsid w:val="00927834"/>
    <w:rsid w:val="009500A6"/>
    <w:rsid w:val="00957C18"/>
    <w:rsid w:val="009659BA"/>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94063"/>
    <w:rsid w:val="00AA6219"/>
    <w:rsid w:val="00AA74E0"/>
    <w:rsid w:val="00AB703F"/>
    <w:rsid w:val="00AC58E6"/>
    <w:rsid w:val="00AC6BB8"/>
    <w:rsid w:val="00AE008F"/>
    <w:rsid w:val="00B01FCD"/>
    <w:rsid w:val="00B1776C"/>
    <w:rsid w:val="00B372DB"/>
    <w:rsid w:val="00B4328B"/>
    <w:rsid w:val="00B52583"/>
    <w:rsid w:val="00B52896"/>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70F1B"/>
    <w:rsid w:val="00C71A47"/>
    <w:rsid w:val="00C7464C"/>
    <w:rsid w:val="00C85588"/>
    <w:rsid w:val="00CD6755"/>
    <w:rsid w:val="00CD6856"/>
    <w:rsid w:val="00CE0089"/>
    <w:rsid w:val="00CE793C"/>
    <w:rsid w:val="00CF193C"/>
    <w:rsid w:val="00D173F1"/>
    <w:rsid w:val="00D74034"/>
    <w:rsid w:val="00D74CB0"/>
    <w:rsid w:val="00D8295D"/>
    <w:rsid w:val="00DC2A65"/>
    <w:rsid w:val="00DE15F0"/>
    <w:rsid w:val="00DE5663"/>
    <w:rsid w:val="00DE78AA"/>
    <w:rsid w:val="00E04FC7"/>
    <w:rsid w:val="00E053D0"/>
    <w:rsid w:val="00E15994"/>
    <w:rsid w:val="00E3114E"/>
    <w:rsid w:val="00E31A70"/>
    <w:rsid w:val="00E35B02"/>
    <w:rsid w:val="00E66496"/>
    <w:rsid w:val="00E66B35"/>
    <w:rsid w:val="00E66E10"/>
    <w:rsid w:val="00E769F6"/>
    <w:rsid w:val="00E8407C"/>
    <w:rsid w:val="00E84F3C"/>
    <w:rsid w:val="00EA012C"/>
    <w:rsid w:val="00EC6A55"/>
    <w:rsid w:val="00ED0288"/>
    <w:rsid w:val="00EE52CB"/>
    <w:rsid w:val="00EF581D"/>
    <w:rsid w:val="00EF7FD8"/>
    <w:rsid w:val="00F06F59"/>
    <w:rsid w:val="00F17988"/>
    <w:rsid w:val="00F469F0"/>
    <w:rsid w:val="00F53273"/>
    <w:rsid w:val="00F755E4"/>
    <w:rsid w:val="00F77D02"/>
    <w:rsid w:val="00F92576"/>
    <w:rsid w:val="00FB3A86"/>
    <w:rsid w:val="00FD36C8"/>
    <w:rsid w:val="056F3718"/>
    <w:rsid w:val="0B2E1CE4"/>
    <w:rsid w:val="1BD36988"/>
    <w:rsid w:val="214A06AB"/>
    <w:rsid w:val="23011F7A"/>
    <w:rsid w:val="242E1E5B"/>
    <w:rsid w:val="295B70D0"/>
    <w:rsid w:val="3CB02882"/>
    <w:rsid w:val="42B526B3"/>
    <w:rsid w:val="49551CDB"/>
    <w:rsid w:val="5DA62919"/>
    <w:rsid w:val="674977C2"/>
    <w:rsid w:val="683D41AC"/>
    <w:rsid w:val="6D5029D1"/>
    <w:rsid w:val="750038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8"/>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qFormat="1" w:unhideWhenUsed="0" w:uiPriority="0" w:semiHidden="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qFormat="1" w:unhideWhenUsed="0" w:uiPriority="0" w:semiHidden="0" w:name="Signature"/>
    <w:lsdException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Helvetica" w:hAnsi="Helvetica" w:eastAsia="Times New Roman" w:cs="Times New Roman"/>
      <w:lang w:val="en-US" w:eastAsia="en-US" w:bidi="ar-SA"/>
    </w:rPr>
  </w:style>
  <w:style w:type="paragraph" w:styleId="2">
    <w:name w:val="heading 1"/>
    <w:basedOn w:val="1"/>
    <w:next w:val="1"/>
    <w:qFormat/>
    <w:uiPriority w:val="0"/>
    <w:pPr>
      <w:keepNext/>
      <w:spacing w:before="240" w:after="60"/>
      <w:outlineLvl w:val="0"/>
    </w:pPr>
    <w:rPr>
      <w:rFonts w:ascii="Arial" w:hAnsi="Arial"/>
      <w:b/>
      <w:kern w:val="28"/>
      <w:sz w:val="28"/>
    </w:rPr>
  </w:style>
  <w:style w:type="paragraph" w:styleId="3">
    <w:name w:val="heading 4"/>
    <w:next w:val="1"/>
    <w:semiHidden/>
    <w:unhideWhenUsed/>
    <w:qFormat/>
    <w:uiPriority w:val="0"/>
    <w:pPr>
      <w:spacing w:beforeAutospacing="1" w:afterAutospacing="1"/>
      <w:outlineLvl w:val="3"/>
    </w:pPr>
    <w:rPr>
      <w:rFonts w:hint="eastAsia" w:ascii="SimSun" w:hAnsi="SimSun" w:eastAsia="SimSun" w:cs="Times New Roman"/>
      <w:b/>
      <w:bCs/>
      <w:sz w:val="24"/>
      <w:szCs w:val="24"/>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6">
    <w:name w:val="Balloon Text"/>
    <w:basedOn w:val="1"/>
    <w:link w:val="63"/>
    <w:qFormat/>
    <w:uiPriority w:val="0"/>
    <w:rPr>
      <w:rFonts w:ascii="Tahoma" w:hAnsi="Tahoma" w:cs="Tahoma"/>
      <w:sz w:val="16"/>
      <w:szCs w:val="16"/>
    </w:rPr>
  </w:style>
  <w:style w:type="paragraph" w:styleId="7">
    <w:name w:val="Body Text 2"/>
    <w:basedOn w:val="1"/>
    <w:link w:val="61"/>
    <w:qFormat/>
    <w:uiPriority w:val="0"/>
    <w:pPr>
      <w:spacing w:after="120" w:line="480" w:lineRule="auto"/>
    </w:pPr>
  </w:style>
  <w:style w:type="paragraph" w:styleId="8">
    <w:name w:val="Body Text 3"/>
    <w:basedOn w:val="1"/>
    <w:link w:val="64"/>
    <w:qFormat/>
    <w:uiPriority w:val="0"/>
    <w:pPr>
      <w:spacing w:after="120"/>
    </w:pPr>
    <w:rPr>
      <w:sz w:val="16"/>
      <w:szCs w:val="16"/>
    </w:rPr>
  </w:style>
  <w:style w:type="character" w:styleId="9">
    <w:name w:val="annotation reference"/>
    <w:basedOn w:val="4"/>
    <w:unhideWhenUsed/>
    <w:qFormat/>
    <w:uiPriority w:val="99"/>
    <w:rPr>
      <w:sz w:val="16"/>
      <w:szCs w:val="16"/>
    </w:rPr>
  </w:style>
  <w:style w:type="paragraph" w:styleId="10">
    <w:name w:val="annotation text"/>
    <w:basedOn w:val="1"/>
    <w:link w:val="62"/>
    <w:unhideWhenUsed/>
    <w:qFormat/>
    <w:uiPriority w:val="99"/>
    <w:rPr>
      <w:rFonts w:ascii="Times New Roman" w:hAnsi="Times New Roman"/>
      <w:lang w:val="nb-NO" w:eastAsia="nb-NO"/>
    </w:rPr>
  </w:style>
  <w:style w:type="character" w:styleId="11">
    <w:name w:val="Emphasis"/>
    <w:basedOn w:val="4"/>
    <w:qFormat/>
    <w:uiPriority w:val="20"/>
    <w:rPr>
      <w:i/>
      <w:iCs/>
    </w:rPr>
  </w:style>
  <w:style w:type="character" w:styleId="12">
    <w:name w:val="FollowedHyperlink"/>
    <w:basedOn w:val="4"/>
    <w:qFormat/>
    <w:uiPriority w:val="0"/>
    <w:rPr>
      <w:color w:val="800080"/>
      <w:u w:val="single"/>
    </w:rPr>
  </w:style>
  <w:style w:type="paragraph" w:styleId="13">
    <w:name w:val="footer"/>
    <w:basedOn w:val="1"/>
    <w:qFormat/>
    <w:uiPriority w:val="0"/>
    <w:pPr>
      <w:tabs>
        <w:tab w:val="center" w:pos="4320"/>
        <w:tab w:val="right" w:pos="8640"/>
      </w:tabs>
    </w:pPr>
  </w:style>
  <w:style w:type="paragraph" w:styleId="14">
    <w:name w:val="header"/>
    <w:basedOn w:val="1"/>
    <w:qFormat/>
    <w:uiPriority w:val="0"/>
    <w:pPr>
      <w:tabs>
        <w:tab w:val="center" w:pos="4320"/>
        <w:tab w:val="right" w:pos="8640"/>
      </w:tabs>
    </w:pPr>
  </w:style>
  <w:style w:type="character" w:styleId="15">
    <w:name w:val="Hyperlink"/>
    <w:basedOn w:val="4"/>
    <w:qFormat/>
    <w:uiPriority w:val="0"/>
    <w:rPr>
      <w:color w:val="FF0080"/>
      <w:u w:val="single"/>
    </w:rPr>
  </w:style>
  <w:style w:type="character" w:styleId="16">
    <w:name w:val="line number"/>
    <w:basedOn w:val="4"/>
    <w:qFormat/>
    <w:uiPriority w:val="0"/>
  </w:style>
  <w:style w:type="paragraph" w:styleId="17">
    <w:name w:val="Normal (Web)"/>
    <w:basedOn w:val="1"/>
    <w:qFormat/>
    <w:uiPriority w:val="0"/>
    <w:pPr>
      <w:spacing w:beforeAutospacing="1" w:afterAutospacing="1"/>
    </w:pPr>
    <w:rPr>
      <w:rFonts w:ascii="Times New Roman" w:hAnsi="Times New Roman" w:eastAsia="SimSun"/>
      <w:sz w:val="24"/>
      <w:szCs w:val="24"/>
      <w:lang w:eastAsia="zh-CN"/>
    </w:rPr>
  </w:style>
  <w:style w:type="paragraph" w:styleId="18">
    <w:name w:val="Signature"/>
    <w:basedOn w:val="1"/>
    <w:qFormat/>
    <w:uiPriority w:val="0"/>
    <w:pPr>
      <w:ind w:left="4320"/>
    </w:pPr>
  </w:style>
  <w:style w:type="character" w:styleId="19">
    <w:name w:val="Strong"/>
    <w:basedOn w:val="4"/>
    <w:qFormat/>
    <w:uiPriority w:val="0"/>
    <w:rPr>
      <w:b/>
      <w:bCs/>
    </w:rPr>
  </w:style>
  <w:style w:type="table" w:styleId="20">
    <w:name w:val="Table Grid"/>
    <w:basedOn w:val="5"/>
    <w:qFormat/>
    <w:uiPriority w:val="59"/>
    <w:rPr>
      <w:rFonts w:ascii="Calibri" w:hAnsi="Calibri" w:eastAsia="Calibri"/>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21">
    <w:name w:val="Title"/>
    <w:basedOn w:val="1"/>
    <w:qFormat/>
    <w:uiPriority w:val="0"/>
    <w:pPr>
      <w:spacing w:after="360"/>
      <w:jc w:val="right"/>
    </w:pPr>
    <w:rPr>
      <w:b/>
      <w:kern w:val="28"/>
      <w:sz w:val="36"/>
    </w:rPr>
  </w:style>
  <w:style w:type="paragraph" w:customStyle="1" w:styleId="22">
    <w:name w:val="Author"/>
    <w:basedOn w:val="1"/>
    <w:uiPriority w:val="0"/>
    <w:pPr>
      <w:spacing w:line="280" w:lineRule="exact"/>
      <w:jc w:val="right"/>
    </w:pPr>
    <w:rPr>
      <w:b/>
      <w:sz w:val="24"/>
    </w:rPr>
  </w:style>
  <w:style w:type="paragraph" w:customStyle="1" w:styleId="23">
    <w:name w:val="Affiliation"/>
    <w:basedOn w:val="1"/>
    <w:uiPriority w:val="0"/>
    <w:pPr>
      <w:spacing w:after="240" w:line="240" w:lineRule="exact"/>
      <w:jc w:val="right"/>
    </w:pPr>
  </w:style>
  <w:style w:type="paragraph" w:customStyle="1" w:styleId="24">
    <w:name w:val="Body"/>
    <w:basedOn w:val="1"/>
    <w:qFormat/>
    <w:uiPriority w:val="0"/>
    <w:pPr>
      <w:spacing w:after="240"/>
      <w:jc w:val="both"/>
    </w:pPr>
  </w:style>
  <w:style w:type="paragraph" w:customStyle="1" w:styleId="25">
    <w:name w:val="Abst Head"/>
    <w:basedOn w:val="26"/>
    <w:uiPriority w:val="0"/>
    <w:rPr>
      <w:sz w:val="22"/>
    </w:rPr>
  </w:style>
  <w:style w:type="paragraph" w:customStyle="1" w:styleId="26">
    <w:name w:val="Main Head"/>
    <w:basedOn w:val="1"/>
    <w:qFormat/>
    <w:uiPriority w:val="0"/>
    <w:pPr>
      <w:keepNext/>
      <w:spacing w:after="240"/>
    </w:pPr>
    <w:rPr>
      <w:b/>
      <w:caps/>
    </w:rPr>
  </w:style>
  <w:style w:type="paragraph" w:customStyle="1" w:styleId="27">
    <w:name w:val="Intro Head"/>
    <w:basedOn w:val="26"/>
    <w:uiPriority w:val="0"/>
    <w:rPr>
      <w:sz w:val="22"/>
    </w:rPr>
  </w:style>
  <w:style w:type="paragraph" w:customStyle="1" w:styleId="28">
    <w:name w:val="Paper Number"/>
    <w:basedOn w:val="1"/>
    <w:qFormat/>
    <w:uiPriority w:val="0"/>
    <w:pPr>
      <w:spacing w:after="280" w:line="280" w:lineRule="exact"/>
      <w:jc w:val="right"/>
    </w:pPr>
    <w:rPr>
      <w:b/>
      <w:sz w:val="28"/>
    </w:rPr>
  </w:style>
  <w:style w:type="paragraph" w:customStyle="1" w:styleId="29">
    <w:name w:val="Conc Head"/>
    <w:basedOn w:val="26"/>
    <w:qFormat/>
    <w:uiPriority w:val="0"/>
    <w:rPr>
      <w:sz w:val="22"/>
    </w:rPr>
  </w:style>
  <w:style w:type="paragraph" w:customStyle="1" w:styleId="30">
    <w:name w:val="Ackn Head"/>
    <w:basedOn w:val="26"/>
    <w:qFormat/>
    <w:uiPriority w:val="0"/>
    <w:rPr>
      <w:sz w:val="22"/>
    </w:rPr>
  </w:style>
  <w:style w:type="paragraph" w:customStyle="1" w:styleId="31">
    <w:name w:val="Refer Head"/>
    <w:basedOn w:val="26"/>
    <w:qFormat/>
    <w:uiPriority w:val="0"/>
    <w:rPr>
      <w:sz w:val="22"/>
    </w:rPr>
  </w:style>
  <w:style w:type="paragraph" w:customStyle="1" w:styleId="32">
    <w:name w:val="AddSrc Head"/>
    <w:basedOn w:val="26"/>
    <w:qFormat/>
    <w:uiPriority w:val="0"/>
    <w:rPr>
      <w:sz w:val="22"/>
    </w:rPr>
  </w:style>
  <w:style w:type="paragraph" w:customStyle="1" w:styleId="33">
    <w:name w:val="DefAcrHead"/>
    <w:basedOn w:val="26"/>
    <w:qFormat/>
    <w:uiPriority w:val="0"/>
    <w:rPr>
      <w:sz w:val="22"/>
    </w:rPr>
  </w:style>
  <w:style w:type="paragraph" w:customStyle="1" w:styleId="34">
    <w:name w:val="Copyright"/>
    <w:basedOn w:val="1"/>
    <w:qFormat/>
    <w:uiPriority w:val="0"/>
    <w:pPr>
      <w:spacing w:after="960" w:line="200" w:lineRule="exact"/>
    </w:pPr>
    <w:rPr>
      <w:sz w:val="16"/>
    </w:rPr>
  </w:style>
  <w:style w:type="paragraph" w:customStyle="1" w:styleId="35">
    <w:name w:val="Reference"/>
    <w:basedOn w:val="24"/>
    <w:qFormat/>
    <w:uiPriority w:val="0"/>
    <w:pPr>
      <w:numPr>
        <w:ilvl w:val="0"/>
        <w:numId w:val="1"/>
      </w:numPr>
      <w:spacing w:after="0" w:line="240" w:lineRule="exact"/>
    </w:pPr>
  </w:style>
  <w:style w:type="paragraph" w:customStyle="1" w:styleId="36">
    <w:name w:val="Head1"/>
    <w:basedOn w:val="26"/>
    <w:qFormat/>
    <w:uiPriority w:val="0"/>
    <w:rPr>
      <w:sz w:val="22"/>
    </w:rPr>
  </w:style>
  <w:style w:type="paragraph" w:customStyle="1" w:styleId="37">
    <w:name w:val="Contact Head"/>
    <w:basedOn w:val="26"/>
    <w:qFormat/>
    <w:uiPriority w:val="0"/>
    <w:rPr>
      <w:sz w:val="22"/>
    </w:rPr>
  </w:style>
  <w:style w:type="paragraph" w:customStyle="1" w:styleId="38">
    <w:name w:val="Head3"/>
    <w:basedOn w:val="39"/>
    <w:qFormat/>
    <w:uiPriority w:val="0"/>
    <w:rPr>
      <w:caps w:val="0"/>
      <w:u w:val="single"/>
    </w:rPr>
  </w:style>
  <w:style w:type="paragraph" w:customStyle="1" w:styleId="39">
    <w:name w:val="Head2"/>
    <w:basedOn w:val="1"/>
    <w:next w:val="24"/>
    <w:qFormat/>
    <w:uiPriority w:val="0"/>
    <w:pPr>
      <w:keepNext/>
      <w:spacing w:after="240"/>
    </w:pPr>
    <w:rPr>
      <w:caps/>
    </w:rPr>
  </w:style>
  <w:style w:type="paragraph" w:customStyle="1" w:styleId="40">
    <w:name w:val="Head4"/>
    <w:basedOn w:val="38"/>
    <w:qFormat/>
    <w:uiPriority w:val="0"/>
    <w:rPr>
      <w:u w:val="none"/>
    </w:rPr>
  </w:style>
  <w:style w:type="paragraph" w:customStyle="1" w:styleId="41">
    <w:name w:val="Unord List"/>
    <w:basedOn w:val="24"/>
    <w:qFormat/>
    <w:uiPriority w:val="0"/>
    <w:pPr>
      <w:spacing w:after="0"/>
      <w:ind w:left="360" w:hanging="360"/>
    </w:pPr>
  </w:style>
  <w:style w:type="paragraph" w:customStyle="1" w:styleId="42">
    <w:name w:val="Ord List"/>
    <w:basedOn w:val="41"/>
    <w:uiPriority w:val="0"/>
    <w:pPr>
      <w:jc w:val="left"/>
    </w:pPr>
  </w:style>
  <w:style w:type="paragraph" w:customStyle="1" w:styleId="43">
    <w:name w:val="Appendix"/>
    <w:basedOn w:val="26"/>
    <w:qFormat/>
    <w:uiPriority w:val="0"/>
    <w:rPr>
      <w:sz w:val="22"/>
    </w:rPr>
  </w:style>
  <w:style w:type="paragraph" w:customStyle="1" w:styleId="44">
    <w:name w:val="Term"/>
    <w:basedOn w:val="24"/>
    <w:qFormat/>
    <w:uiPriority w:val="0"/>
    <w:pPr>
      <w:spacing w:after="0"/>
    </w:pPr>
    <w:rPr>
      <w:b/>
    </w:rPr>
  </w:style>
  <w:style w:type="paragraph" w:customStyle="1" w:styleId="45">
    <w:name w:val="Definition"/>
    <w:basedOn w:val="24"/>
    <w:qFormat/>
    <w:uiPriority w:val="0"/>
  </w:style>
  <w:style w:type="character" w:customStyle="1" w:styleId="46">
    <w:name w:val="Bold"/>
    <w:qFormat/>
    <w:uiPriority w:val="0"/>
    <w:rPr>
      <w:b/>
    </w:rPr>
  </w:style>
  <w:style w:type="character" w:customStyle="1" w:styleId="47">
    <w:name w:val="Italic"/>
    <w:qFormat/>
    <w:uiPriority w:val="0"/>
    <w:rPr>
      <w:i/>
    </w:rPr>
  </w:style>
  <w:style w:type="character" w:customStyle="1" w:styleId="48">
    <w:name w:val="Underline"/>
    <w:uiPriority w:val="0"/>
    <w:rPr>
      <w:u w:val="single"/>
    </w:rPr>
  </w:style>
  <w:style w:type="paragraph" w:customStyle="1" w:styleId="49">
    <w:name w:val="Equation"/>
    <w:basedOn w:val="24"/>
    <w:qFormat/>
    <w:uiPriority w:val="0"/>
  </w:style>
  <w:style w:type="paragraph" w:customStyle="1" w:styleId="50">
    <w:name w:val="Figure"/>
    <w:basedOn w:val="34"/>
    <w:qFormat/>
    <w:uiPriority w:val="0"/>
    <w:pPr>
      <w:spacing w:after="240"/>
    </w:pPr>
    <w:rPr>
      <w:sz w:val="20"/>
    </w:rPr>
  </w:style>
  <w:style w:type="paragraph" w:customStyle="1" w:styleId="51">
    <w:name w:val="Head 4"/>
    <w:basedOn w:val="38"/>
    <w:qFormat/>
    <w:uiPriority w:val="0"/>
    <w:rPr>
      <w:u w:val="none"/>
    </w:rPr>
  </w:style>
  <w:style w:type="paragraph" w:customStyle="1" w:styleId="52">
    <w:name w:val="Paper"/>
    <w:basedOn w:val="1"/>
    <w:uiPriority w:val="0"/>
    <w:pPr>
      <w:spacing w:after="360" w:line="440" w:lineRule="exact"/>
      <w:jc w:val="right"/>
    </w:pPr>
    <w:rPr>
      <w:b/>
      <w:sz w:val="36"/>
    </w:rPr>
  </w:style>
  <w:style w:type="character" w:customStyle="1" w:styleId="53">
    <w:name w:val="Subscript"/>
    <w:uiPriority w:val="0"/>
    <w:rPr>
      <w:vertAlign w:val="subscript"/>
    </w:rPr>
  </w:style>
  <w:style w:type="character" w:customStyle="1" w:styleId="54">
    <w:name w:val="Superscript"/>
    <w:uiPriority w:val="0"/>
    <w:rPr>
      <w:vertAlign w:val="superscript"/>
    </w:rPr>
  </w:style>
  <w:style w:type="character" w:customStyle="1" w:styleId="55">
    <w:name w:val="Symbol"/>
    <w:uiPriority w:val="0"/>
    <w:rPr>
      <w:rFonts w:ascii="Symbol" w:hAnsi="Symbol"/>
    </w:rPr>
  </w:style>
  <w:style w:type="paragraph" w:customStyle="1" w:styleId="56">
    <w:name w:val="Symbol P"/>
    <w:basedOn w:val="24"/>
    <w:uiPriority w:val="0"/>
    <w:pPr>
      <w:tabs>
        <w:tab w:val="left" w:pos="720"/>
        <w:tab w:val="left" w:pos="3780"/>
      </w:tabs>
      <w:spacing w:after="0"/>
    </w:pPr>
    <w:rPr>
      <w:sz w:val="24"/>
    </w:rPr>
  </w:style>
  <w:style w:type="character" w:customStyle="1" w:styleId="57">
    <w:name w:val="BoldItal"/>
    <w:basedOn w:val="4"/>
    <w:uiPriority w:val="0"/>
    <w:rPr>
      <w:b/>
      <w:i/>
    </w:rPr>
  </w:style>
  <w:style w:type="character" w:customStyle="1" w:styleId="58">
    <w:name w:val="SubItal"/>
    <w:qFormat/>
    <w:uiPriority w:val="0"/>
    <w:rPr>
      <w:i/>
      <w:vertAlign w:val="subscript"/>
    </w:rPr>
  </w:style>
  <w:style w:type="character" w:customStyle="1" w:styleId="59">
    <w:name w:val="SuperItal"/>
    <w:qFormat/>
    <w:uiPriority w:val="0"/>
    <w:rPr>
      <w:i/>
      <w:vertAlign w:val="superscript"/>
    </w:rPr>
  </w:style>
  <w:style w:type="character" w:customStyle="1" w:styleId="60">
    <w:name w:val="SymItal"/>
    <w:qFormat/>
    <w:uiPriority w:val="0"/>
    <w:rPr>
      <w:rFonts w:ascii="Symbol" w:hAnsi="Symbol"/>
      <w:i/>
    </w:rPr>
  </w:style>
  <w:style w:type="character" w:customStyle="1" w:styleId="61">
    <w:name w:val="Body Text 2 Char"/>
    <w:basedOn w:val="4"/>
    <w:link w:val="7"/>
    <w:qFormat/>
    <w:uiPriority w:val="0"/>
    <w:rPr>
      <w:rFonts w:ascii="Helvetica" w:hAnsi="Helvetica"/>
    </w:rPr>
  </w:style>
  <w:style w:type="character" w:customStyle="1" w:styleId="62">
    <w:name w:val="Comment Text Char"/>
    <w:basedOn w:val="4"/>
    <w:link w:val="10"/>
    <w:qFormat/>
    <w:uiPriority w:val="99"/>
    <w:rPr>
      <w:lang w:val="nb-NO" w:eastAsia="nb-NO"/>
    </w:rPr>
  </w:style>
  <w:style w:type="character" w:customStyle="1" w:styleId="63">
    <w:name w:val="Balloon Text Char"/>
    <w:basedOn w:val="4"/>
    <w:link w:val="6"/>
    <w:uiPriority w:val="0"/>
    <w:rPr>
      <w:rFonts w:ascii="Tahoma" w:hAnsi="Tahoma" w:cs="Tahoma"/>
      <w:sz w:val="16"/>
      <w:szCs w:val="16"/>
    </w:rPr>
  </w:style>
  <w:style w:type="character" w:customStyle="1" w:styleId="64">
    <w:name w:val="Body Text 3 Char"/>
    <w:basedOn w:val="4"/>
    <w:link w:val="8"/>
    <w:uiPriority w:val="0"/>
    <w:rPr>
      <w:rFonts w:ascii="Helvetica" w:hAnsi="Helvetica"/>
      <w:sz w:val="16"/>
      <w:szCs w:val="16"/>
    </w:rPr>
  </w:style>
  <w:style w:type="character" w:customStyle="1" w:styleId="65">
    <w:name w:val="Unresolved Mention1"/>
    <w:basedOn w:val="4"/>
    <w:semiHidden/>
    <w:unhideWhenUsed/>
    <w:qFormat/>
    <w:uiPriority w:val="99"/>
    <w:rPr>
      <w:color w:val="605E5C"/>
      <w:shd w:val="clear" w:color="auto" w:fill="E1DFDD"/>
    </w:rPr>
  </w:style>
  <w:style w:type="paragraph" w:styleId="66">
    <w:name w:val="No Spacing"/>
    <w:qFormat/>
    <w:uiPriority w:val="1"/>
    <w:rPr>
      <w:rFonts w:asciiTheme="minorHAnsi" w:hAnsiTheme="minorHAnsi" w:eastAsiaTheme="minorHAnsi" w:cstheme="minorBidi"/>
      <w:sz w:val="22"/>
      <w:szCs w:val="22"/>
      <w:lang w:val="en-PH" w:eastAsia="en-US" w:bidi="ar-SA"/>
    </w:rPr>
  </w:style>
  <w:style w:type="character" w:customStyle="1" w:styleId="67">
    <w:name w:val="Unresolved Mention"/>
    <w:basedOn w:val="4"/>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1"/>
    <customShpInfo spid="_x0000_s2050"/>
    <customShpInfo spid="_x0000_s2049"/>
    <customShpInfo spid="_x0000_s2054"/>
    <customShpInfo spid="_x0000_s2053"/>
    <customShpInfo spid="_x0000_s2052"/>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EE0B92-92B1-41C0-8DDA-F26FFAADFF57}">
  <ds:schemaRefs/>
</ds:datastoreItem>
</file>

<file path=docProps/app.xml><?xml version="1.0" encoding="utf-8"?>
<Properties xmlns="http://schemas.openxmlformats.org/officeDocument/2006/extended-properties" xmlns:vt="http://schemas.openxmlformats.org/officeDocument/2006/docPropsVTypes">
  <Template>2007 paper template</Template>
  <Company>aaaa</Company>
  <Pages>8</Pages>
  <Words>3891</Words>
  <Characters>22185</Characters>
  <Lines>184</Lines>
  <Paragraphs>52</Paragraphs>
  <TotalTime>27</TotalTime>
  <ScaleCrop>false</ScaleCrop>
  <LinksUpToDate>false</LinksUpToDate>
  <CharactersWithSpaces>26024</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2014-10-25T14:34:00Z</dcterms:created>
  <dc:creator>SDI</dc:creator>
  <cp:lastModifiedBy>jhon mark dawa</cp:lastModifiedBy>
  <cp:lastPrinted>1999-07-06T11:00:00Z</cp:lastPrinted>
  <dcterms:modified xsi:type="dcterms:W3CDTF">2025-05-22T12:19:10Z</dcterms:modified>
  <dc:title>Paper Template</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2057-12.2.0.21179</vt:lpwstr>
  </property>
  <property fmtid="{D5CDD505-2E9C-101B-9397-08002B2CF9AE}" pid="3" name="ICV">
    <vt:lpwstr>CF181ABF87974F57A2F4D08A04EC53FF_12</vt:lpwstr>
  </property>
</Properties>
</file>