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EE85" w14:textId="77777777" w:rsidR="00754C9A" w:rsidRDefault="00754C9A" w:rsidP="00441B6F">
      <w:pPr>
        <w:pStyle w:val="Title"/>
        <w:spacing w:after="0"/>
        <w:jc w:val="both"/>
        <w:rPr>
          <w:rFonts w:ascii="Arial" w:hAnsi="Arial" w:cs="Arial"/>
        </w:rPr>
      </w:pPr>
    </w:p>
    <w:p w14:paraId="7DC20417" w14:textId="31DC6E01" w:rsidR="00D90ED4" w:rsidRDefault="00D90ED4" w:rsidP="00441B6F">
      <w:pPr>
        <w:pStyle w:val="Author"/>
        <w:spacing w:line="240" w:lineRule="auto"/>
        <w:rPr>
          <w:rFonts w:ascii="Arial" w:hAnsi="Arial" w:cs="Arial"/>
          <w:bCs/>
          <w:i/>
          <w:iCs/>
          <w:kern w:val="28"/>
          <w:sz w:val="36"/>
          <w:u w:val="single"/>
        </w:rPr>
      </w:pPr>
      <w:r w:rsidRPr="00D90ED4">
        <w:rPr>
          <w:rFonts w:ascii="Arial" w:hAnsi="Arial" w:cs="Arial"/>
          <w:bCs/>
          <w:i/>
          <w:iCs/>
          <w:kern w:val="28"/>
          <w:sz w:val="36"/>
          <w:u w:val="single"/>
        </w:rPr>
        <w:t>Original Research Article</w:t>
      </w:r>
    </w:p>
    <w:p w14:paraId="62F7D51D" w14:textId="77777777" w:rsidR="00D90ED4" w:rsidRDefault="00D90ED4" w:rsidP="00441B6F">
      <w:pPr>
        <w:pStyle w:val="Author"/>
        <w:spacing w:line="240" w:lineRule="auto"/>
        <w:rPr>
          <w:rFonts w:ascii="Arial" w:hAnsi="Arial" w:cs="Arial"/>
          <w:bCs/>
          <w:iCs/>
          <w:kern w:val="28"/>
          <w:sz w:val="36"/>
        </w:rPr>
      </w:pPr>
    </w:p>
    <w:p w14:paraId="025F4499" w14:textId="01891B58" w:rsidR="00914660" w:rsidRDefault="00914660" w:rsidP="00441B6F">
      <w:pPr>
        <w:pStyle w:val="Author"/>
        <w:spacing w:line="240" w:lineRule="auto"/>
        <w:rPr>
          <w:rFonts w:ascii="Arial" w:hAnsi="Arial" w:cs="Arial"/>
          <w:bCs/>
          <w:iCs/>
          <w:kern w:val="28"/>
          <w:sz w:val="36"/>
        </w:rPr>
      </w:pPr>
    </w:p>
    <w:p w14:paraId="708BC910" w14:textId="77777777" w:rsidR="00BE3DFA" w:rsidRPr="006D5DAF" w:rsidRDefault="00BE3DFA" w:rsidP="006D5DAF">
      <w:pPr>
        <w:pStyle w:val="Author"/>
        <w:spacing w:line="240" w:lineRule="auto"/>
        <w:jc w:val="center"/>
        <w:rPr>
          <w:b w:val="0"/>
          <w:bCs/>
          <w:sz w:val="32"/>
          <w:szCs w:val="32"/>
          <w:lang w:val="en-GB"/>
        </w:rPr>
      </w:pPr>
    </w:p>
    <w:p w14:paraId="300C76E8" w14:textId="23FE5EE9" w:rsidR="00914660" w:rsidRPr="006D5DAF" w:rsidRDefault="00914660" w:rsidP="006D5DAF">
      <w:pPr>
        <w:pStyle w:val="Author"/>
        <w:spacing w:line="240" w:lineRule="auto"/>
        <w:jc w:val="center"/>
        <w:rPr>
          <w:rFonts w:ascii="Arial" w:hAnsi="Arial" w:cs="Arial"/>
          <w:iCs/>
          <w:kern w:val="28"/>
          <w:sz w:val="32"/>
          <w:szCs w:val="32"/>
        </w:rPr>
      </w:pPr>
      <w:r w:rsidRPr="006D5DAF">
        <w:rPr>
          <w:sz w:val="32"/>
          <w:szCs w:val="32"/>
          <w:highlight w:val="yellow"/>
          <w:lang w:val="en-GB"/>
        </w:rPr>
        <w:t>The Impact of Assessment Practices, Collaboration, and Autonomy on Language Assessment Literacy of Teachers</w:t>
      </w:r>
    </w:p>
    <w:p w14:paraId="02B8393D" w14:textId="77777777" w:rsidR="00A258C3" w:rsidRPr="00543CDD" w:rsidRDefault="00A258C3" w:rsidP="00441B6F">
      <w:pPr>
        <w:pStyle w:val="Author"/>
        <w:spacing w:line="240" w:lineRule="auto"/>
        <w:jc w:val="both"/>
        <w:rPr>
          <w:rFonts w:ascii="Arial" w:hAnsi="Arial" w:cs="Arial"/>
          <w:sz w:val="36"/>
        </w:rPr>
      </w:pPr>
    </w:p>
    <w:p w14:paraId="033351E3" w14:textId="7671E74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2D920A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D76244" w14:textId="77777777" w:rsidTr="001E44FE">
        <w:tc>
          <w:tcPr>
            <w:tcW w:w="9576" w:type="dxa"/>
            <w:shd w:val="clear" w:color="auto" w:fill="F2F2F2"/>
          </w:tcPr>
          <w:p w14:paraId="2DBA53B8" w14:textId="70904CA5" w:rsidR="00FC21FA" w:rsidRDefault="00FC21FA" w:rsidP="00441B6F">
            <w:pPr>
              <w:pStyle w:val="Body"/>
              <w:spacing w:after="0"/>
              <w:rPr>
                <w:rFonts w:ascii="Arial" w:eastAsia="Calibri" w:hAnsi="Arial" w:cs="Arial"/>
                <w:b/>
                <w:szCs w:val="22"/>
              </w:rPr>
            </w:pPr>
            <w:r w:rsidRPr="006D5DAF">
              <w:rPr>
                <w:rFonts w:ascii="Arial" w:eastAsia="Calibri" w:hAnsi="Arial" w:cs="Arial"/>
                <w:b/>
                <w:szCs w:val="22"/>
                <w:highlight w:val="yellow"/>
              </w:rPr>
              <w:t xml:space="preserve">Background: </w:t>
            </w:r>
            <w:r w:rsidR="00DC78C1" w:rsidRPr="006D5DAF">
              <w:rPr>
                <w:highlight w:val="yellow"/>
              </w:rPr>
              <w:t>Assessment literacy of language teachers, which plays a crucial role in language education, has been criticized by many researchers for being lower than appropriate and thus hindering the implementation of quality assessments</w:t>
            </w:r>
            <w:r w:rsidR="00DC78C1" w:rsidRPr="006D5DAF">
              <w:rPr>
                <w:highlight w:val="yellow"/>
              </w:rPr>
              <w:t>.</w:t>
            </w:r>
            <w:r w:rsidR="00DC78C1">
              <w:t xml:space="preserve"> </w:t>
            </w:r>
          </w:p>
          <w:p w14:paraId="0986D122" w14:textId="5F873D2B" w:rsidR="00BA1B01" w:rsidRPr="00BA1B01" w:rsidRDefault="00BA1B01" w:rsidP="00441B6F">
            <w:pPr>
              <w:pStyle w:val="Body"/>
              <w:spacing w:after="0"/>
              <w:rPr>
                <w:rFonts w:ascii="Arial" w:eastAsia="Calibri" w:hAnsi="Arial" w:cs="Arial"/>
                <w:szCs w:val="22"/>
              </w:rPr>
            </w:pPr>
            <w:r w:rsidRPr="006D5DAF">
              <w:rPr>
                <w:rFonts w:ascii="Arial" w:eastAsia="Calibri" w:hAnsi="Arial" w:cs="Arial"/>
                <w:b/>
                <w:szCs w:val="22"/>
                <w:highlight w:val="yellow"/>
              </w:rPr>
              <w:t xml:space="preserve">Aims: </w:t>
            </w:r>
            <w:r w:rsidR="00FC21FA" w:rsidRPr="006D5DAF">
              <w:rPr>
                <w:rFonts w:ascii="Arial" w:hAnsi="Arial" w:cs="Arial"/>
                <w:color w:val="000000" w:themeColor="text1"/>
                <w:highlight w:val="yellow"/>
              </w:rPr>
              <w:t xml:space="preserve">This study explores how assessment practices, collaborations, and autonomy influence </w:t>
            </w:r>
            <w:r w:rsidR="007D0C0B" w:rsidRPr="006D5DAF">
              <w:rPr>
                <w:rFonts w:ascii="Arial" w:hAnsi="Arial" w:cs="Arial"/>
                <w:highlight w:val="yellow"/>
                <w:lang w:val="en-GB"/>
              </w:rPr>
              <w:t xml:space="preserve">Language Assessment Literacy </w:t>
            </w:r>
            <w:r w:rsidR="007D0C0B" w:rsidRPr="006D5DAF">
              <w:rPr>
                <w:rFonts w:ascii="Arial" w:hAnsi="Arial" w:cs="Arial"/>
                <w:highlight w:val="yellow"/>
                <w:lang w:val="en-GB"/>
              </w:rPr>
              <w:t>(</w:t>
            </w:r>
            <w:r w:rsidR="00FC21FA" w:rsidRPr="006D5DAF">
              <w:rPr>
                <w:rFonts w:ascii="Arial" w:hAnsi="Arial" w:cs="Arial"/>
                <w:color w:val="000000" w:themeColor="text1"/>
                <w:highlight w:val="yellow"/>
              </w:rPr>
              <w:t>LAL</w:t>
            </w:r>
            <w:r w:rsidR="007D0C0B" w:rsidRPr="006D5DAF">
              <w:rPr>
                <w:rFonts w:ascii="Arial" w:hAnsi="Arial" w:cs="Arial"/>
                <w:color w:val="000000" w:themeColor="text1"/>
                <w:highlight w:val="yellow"/>
              </w:rPr>
              <w:t>)</w:t>
            </w:r>
            <w:r w:rsidR="00FC21FA" w:rsidRPr="006D5DAF">
              <w:rPr>
                <w:rFonts w:ascii="Arial" w:hAnsi="Arial" w:cs="Arial"/>
                <w:color w:val="000000" w:themeColor="text1"/>
                <w:highlight w:val="yellow"/>
              </w:rPr>
              <w:t xml:space="preserve"> of language teachers</w:t>
            </w:r>
            <w:r w:rsidR="00FC21FA" w:rsidRPr="006D5DAF">
              <w:rPr>
                <w:rFonts w:ascii="Arial" w:hAnsi="Arial" w:cs="Arial"/>
                <w:color w:val="000000" w:themeColor="text1"/>
                <w:highlight w:val="yellow"/>
              </w:rPr>
              <w:t>.</w:t>
            </w:r>
            <w:r w:rsidR="00FC21FA">
              <w:rPr>
                <w:rFonts w:ascii="Arial" w:hAnsi="Arial" w:cs="Arial"/>
                <w:color w:val="000000" w:themeColor="text1"/>
              </w:rPr>
              <w:t xml:space="preserve"> </w:t>
            </w:r>
          </w:p>
          <w:p w14:paraId="62AC2603" w14:textId="0AB5C4B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A1321" w:rsidRPr="006D5DAF">
              <w:rPr>
                <w:rFonts w:ascii="Arial" w:eastAsia="Calibri" w:hAnsi="Arial" w:cs="Arial"/>
                <w:szCs w:val="22"/>
                <w:highlight w:val="yellow"/>
              </w:rPr>
              <w:t xml:space="preserve">The </w:t>
            </w:r>
            <w:r w:rsidR="001A1321" w:rsidRPr="006D5DAF">
              <w:rPr>
                <w:rFonts w:ascii="Arial" w:eastAsia="Calibri" w:hAnsi="Arial" w:cs="Arial"/>
                <w:szCs w:val="22"/>
                <w:highlight w:val="yellow"/>
              </w:rPr>
              <w:t>Quantitative Predictive</w:t>
            </w:r>
            <w:r w:rsidR="001A1321" w:rsidRPr="006D5DAF">
              <w:rPr>
                <w:rFonts w:ascii="Arial" w:eastAsia="Calibri" w:hAnsi="Arial" w:cs="Arial"/>
                <w:szCs w:val="22"/>
                <w:highlight w:val="yellow"/>
              </w:rPr>
              <w:t xml:space="preserve"> study design was adopted, and the</w:t>
            </w:r>
            <w:r w:rsidR="001A1321" w:rsidRPr="006D5DAF">
              <w:rPr>
                <w:rFonts w:ascii="Arial" w:hAnsi="Arial" w:cs="Arial"/>
                <w:highlight w:val="yellow"/>
              </w:rPr>
              <w:t xml:space="preserve"> researcher gathered data from 103 language teachers from seven private schools in Davao Region</w:t>
            </w:r>
            <w:r w:rsidR="001A1321" w:rsidRPr="006D5DAF">
              <w:rPr>
                <w:rFonts w:ascii="Arial" w:eastAsia="Calibri" w:hAnsi="Arial" w:cs="Arial"/>
                <w:szCs w:val="22"/>
                <w:highlight w:val="yellow"/>
              </w:rPr>
              <w:t>.</w:t>
            </w:r>
            <w:r w:rsidR="001A1321">
              <w:rPr>
                <w:rFonts w:ascii="Arial" w:eastAsia="Calibri" w:hAnsi="Arial" w:cs="Arial"/>
                <w:szCs w:val="22"/>
              </w:rPr>
              <w:t xml:space="preserve"> </w:t>
            </w:r>
            <w:r w:rsidR="00C0212D" w:rsidRPr="00CB21EA">
              <w:rPr>
                <w:rFonts w:ascii="Arial" w:hAnsi="Arial" w:cs="Arial"/>
                <w:color w:val="000000" w:themeColor="text1"/>
              </w:rPr>
              <w:t xml:space="preserve">Using </w:t>
            </w:r>
            <w:r w:rsidR="00C0212D" w:rsidRPr="00CB21EA">
              <w:rPr>
                <w:rFonts w:ascii="Arial" w:hAnsi="Arial" w:cs="Arial"/>
              </w:rPr>
              <w:t xml:space="preserve">a quantitative predictive approach, the researcher gathered data from 103 language teachers from seven private schools in Davao Region through a validated and pilot-tested survey questionnaire. Data were </w:t>
            </w:r>
            <w:r w:rsidR="00D649B3" w:rsidRPr="006D5DAF">
              <w:rPr>
                <w:rFonts w:ascii="Arial" w:hAnsi="Arial" w:cs="Arial"/>
                <w:highlight w:val="yellow"/>
              </w:rPr>
              <w:t>analysed</w:t>
            </w:r>
            <w:r w:rsidR="00D649B3" w:rsidRPr="00CB21EA">
              <w:rPr>
                <w:rFonts w:ascii="Arial" w:hAnsi="Arial" w:cs="Arial"/>
              </w:rPr>
              <w:t xml:space="preserve"> </w:t>
            </w:r>
            <w:r w:rsidR="00C0212D" w:rsidRPr="00CB21EA">
              <w:rPr>
                <w:rFonts w:ascii="Arial" w:hAnsi="Arial" w:cs="Arial"/>
              </w:rPr>
              <w:t>using the mean, standard deviation, correlation, and regression tests</w:t>
            </w:r>
            <w:r w:rsidRPr="00BA1B01">
              <w:rPr>
                <w:rFonts w:ascii="Arial" w:eastAsia="Calibri" w:hAnsi="Arial" w:cs="Arial"/>
                <w:szCs w:val="22"/>
              </w:rPr>
              <w:t>.</w:t>
            </w:r>
          </w:p>
          <w:p w14:paraId="45B76F45" w14:textId="41E6E562" w:rsidR="00C0212D" w:rsidRPr="00C0212D" w:rsidRDefault="00BA1B01" w:rsidP="00441B6F">
            <w:pPr>
              <w:pStyle w:val="Body"/>
              <w:spacing w:after="0"/>
              <w:rPr>
                <w:rFonts w:ascii="Arial" w:hAnsi="Arial" w:cs="Arial"/>
              </w:rPr>
            </w:pPr>
            <w:r w:rsidRPr="00BA1B01">
              <w:rPr>
                <w:rFonts w:ascii="Arial" w:eastAsia="Calibri" w:hAnsi="Arial" w:cs="Arial"/>
                <w:b/>
                <w:bCs/>
                <w:szCs w:val="22"/>
              </w:rPr>
              <w:t>Results:</w:t>
            </w:r>
            <w:r w:rsidRPr="00BA1B01">
              <w:rPr>
                <w:rFonts w:ascii="Arial" w:eastAsia="Calibri" w:hAnsi="Arial" w:cs="Arial"/>
                <w:szCs w:val="22"/>
              </w:rPr>
              <w:t xml:space="preserve"> </w:t>
            </w:r>
            <w:r w:rsidR="00C0212D" w:rsidRPr="00CB21EA">
              <w:rPr>
                <w:rFonts w:ascii="Arial" w:hAnsi="Arial" w:cs="Arial"/>
              </w:rPr>
              <w:t>Findings revealed that language teachers possessed high assessment-related competencies—practices</w:t>
            </w:r>
            <w:r w:rsidR="00C0212D">
              <w:rPr>
                <w:rFonts w:ascii="Arial" w:hAnsi="Arial" w:cs="Arial"/>
              </w:rPr>
              <w:t xml:space="preserve"> (</w:t>
            </w:r>
            <w:r w:rsidR="00C0212D">
              <w:t>(M = 4.32, SD = 0.38)</w:t>
            </w:r>
            <w:r w:rsidR="00C0212D" w:rsidRPr="00CB21EA">
              <w:rPr>
                <w:rFonts w:ascii="Arial" w:hAnsi="Arial" w:cs="Arial"/>
              </w:rPr>
              <w:t>, collaborations</w:t>
            </w:r>
            <w:r w:rsidR="00C0212D">
              <w:rPr>
                <w:rFonts w:ascii="Arial" w:hAnsi="Arial" w:cs="Arial"/>
              </w:rPr>
              <w:t xml:space="preserve"> (</w:t>
            </w:r>
            <w:r w:rsidR="00C0212D">
              <w:t>(M = 4.13, SD = 0.39)</w:t>
            </w:r>
            <w:r w:rsidR="00C0212D" w:rsidRPr="00CB21EA">
              <w:rPr>
                <w:rFonts w:ascii="Arial" w:hAnsi="Arial" w:cs="Arial"/>
              </w:rPr>
              <w:t>, and autonomy</w:t>
            </w:r>
            <w:r w:rsidR="00C0212D">
              <w:rPr>
                <w:rFonts w:ascii="Arial" w:hAnsi="Arial" w:cs="Arial"/>
              </w:rPr>
              <w:t xml:space="preserve"> </w:t>
            </w:r>
            <w:r w:rsidR="00C0212D">
              <w:t>(M = 4.16, SD = 0.43)</w:t>
            </w:r>
            <w:r w:rsidR="00C0212D" w:rsidRPr="00CB21EA">
              <w:rPr>
                <w:rFonts w:ascii="Arial" w:hAnsi="Arial" w:cs="Arial"/>
              </w:rPr>
              <w:t>, and are significantly correlated to LAL (p=.000). It was also found that these predictors can significantly influence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00C0212D" w:rsidRPr="00CB21EA">
              <w:rPr>
                <w:rFonts w:ascii="Arial" w:hAnsi="Arial" w:cs="Arial"/>
              </w:rPr>
              <w:t>=.359, p = .000) LAL.</w:t>
            </w:r>
            <w:r w:rsidR="00C0212D">
              <w:rPr>
                <w:rFonts w:ascii="Arial" w:hAnsi="Arial" w:cs="Arial"/>
              </w:rPr>
              <w:t xml:space="preserve"> </w:t>
            </w:r>
            <w:r w:rsidR="005F5526" w:rsidRPr="006D5DAF">
              <w:rPr>
                <w:rFonts w:ascii="Arial" w:hAnsi="Arial" w:cs="Arial"/>
                <w:highlight w:val="yellow"/>
              </w:rPr>
              <w:t>T</w:t>
            </w:r>
            <w:r w:rsidR="005F5526" w:rsidRPr="006D5DAF">
              <w:rPr>
                <w:rFonts w:ascii="Arial" w:hAnsi="Arial" w:cs="Arial"/>
                <w:highlight w:val="yellow"/>
              </w:rPr>
              <w:t>he combined predictive variables obtained an r-squared value of 0.359, meaning they had a 35.9% combined degree of influence on language assessment literacy. Also, since the p-value of 0.000 was obtained, which is less than 0.05 degrees of confidence, it indicates that their combined influence is significant.</w:t>
            </w:r>
            <w:r w:rsidR="005F5526" w:rsidRPr="00C0212D">
              <w:rPr>
                <w:rFonts w:ascii="Arial" w:hAnsi="Arial" w:cs="Arial"/>
              </w:rPr>
              <w:t xml:space="preserve"> </w:t>
            </w:r>
          </w:p>
          <w:p w14:paraId="58339834" w14:textId="0C902A98"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0212D">
              <w:rPr>
                <w:rFonts w:ascii="Arial" w:eastAsia="Calibri" w:hAnsi="Arial" w:cs="Arial"/>
                <w:szCs w:val="22"/>
              </w:rPr>
              <w:t>A</w:t>
            </w:r>
            <w:r w:rsidR="00C0212D" w:rsidRPr="00CB21EA">
              <w:rPr>
                <w:rFonts w:ascii="Arial" w:hAnsi="Arial" w:cs="Arial"/>
              </w:rPr>
              <w:t>ssessment practices significantly influence language assessment literacy</w:t>
            </w:r>
            <w:r w:rsidRPr="00BA1B01">
              <w:rPr>
                <w:rFonts w:ascii="Arial" w:eastAsia="Calibri" w:hAnsi="Arial" w:cs="Arial"/>
                <w:szCs w:val="22"/>
              </w:rPr>
              <w:t xml:space="preserve">. </w:t>
            </w:r>
            <w:r w:rsidR="00C0212D" w:rsidRPr="00CB21EA">
              <w:rPr>
                <w:rFonts w:ascii="Arial" w:hAnsi="Arial" w:cs="Arial"/>
              </w:rPr>
              <w:t>However, assessment collaborations and autonomy have an insignificant influence on LAL. Nonetheless, the combined influence of these three predictors on LAL is significant</w:t>
            </w:r>
            <w:r w:rsidRPr="00BA1B01">
              <w:rPr>
                <w:rFonts w:ascii="Arial" w:eastAsia="Calibri" w:hAnsi="Arial" w:cs="Arial"/>
                <w:szCs w:val="22"/>
              </w:rPr>
              <w:t>.</w:t>
            </w:r>
          </w:p>
          <w:p w14:paraId="4E62E426" w14:textId="036EE902" w:rsidR="00505F06" w:rsidRPr="00BA1B01" w:rsidRDefault="00505F06" w:rsidP="00441B6F">
            <w:pPr>
              <w:pStyle w:val="Body"/>
              <w:spacing w:after="0"/>
              <w:rPr>
                <w:rFonts w:ascii="Arial" w:eastAsia="Calibri" w:hAnsi="Arial" w:cs="Arial"/>
                <w:szCs w:val="22"/>
              </w:rPr>
            </w:pPr>
          </w:p>
        </w:tc>
      </w:tr>
    </w:tbl>
    <w:p w14:paraId="5BE1AA16" w14:textId="77777777" w:rsidR="00636EB2" w:rsidRDefault="00636EB2" w:rsidP="00441B6F">
      <w:pPr>
        <w:pStyle w:val="Body"/>
        <w:spacing w:after="0"/>
        <w:rPr>
          <w:rFonts w:ascii="Arial" w:hAnsi="Arial" w:cs="Arial"/>
          <w:i/>
        </w:rPr>
      </w:pPr>
    </w:p>
    <w:p w14:paraId="7B46F098" w14:textId="6CAF125B" w:rsidR="00A24E7E" w:rsidRDefault="00A24E7E" w:rsidP="00441B6F">
      <w:pPr>
        <w:pStyle w:val="Body"/>
        <w:spacing w:after="0"/>
        <w:rPr>
          <w:rFonts w:ascii="Arial" w:hAnsi="Arial" w:cs="Arial"/>
          <w:i/>
          <w:iCs/>
        </w:rPr>
      </w:pPr>
      <w:r>
        <w:rPr>
          <w:rFonts w:ascii="Arial" w:hAnsi="Arial" w:cs="Arial"/>
          <w:i/>
        </w:rPr>
        <w:t xml:space="preserve">Keywords: </w:t>
      </w:r>
      <w:r w:rsidR="00C0212D" w:rsidRPr="00CB21EA">
        <w:rPr>
          <w:rFonts w:ascii="Arial" w:hAnsi="Arial" w:cs="Arial"/>
          <w:i/>
          <w:iCs/>
        </w:rPr>
        <w:t>Assessment practices, assessment collaborations, assessment                    autonomy, language assessment literacy</w:t>
      </w:r>
    </w:p>
    <w:p w14:paraId="68C574BF" w14:textId="77777777" w:rsidR="00E2666E" w:rsidRDefault="00E2666E" w:rsidP="00441B6F">
      <w:pPr>
        <w:pStyle w:val="Body"/>
        <w:spacing w:after="0"/>
        <w:rPr>
          <w:rFonts w:ascii="Arial" w:hAnsi="Arial" w:cs="Arial"/>
          <w:i/>
        </w:rPr>
      </w:pPr>
    </w:p>
    <w:p w14:paraId="4BE681E7" w14:textId="77777777" w:rsidR="00505F06" w:rsidRPr="00A24E7E" w:rsidRDefault="00505F06" w:rsidP="00441B6F">
      <w:pPr>
        <w:pStyle w:val="Body"/>
        <w:spacing w:after="0"/>
        <w:rPr>
          <w:rFonts w:ascii="Arial" w:hAnsi="Arial" w:cs="Arial"/>
          <w:i/>
        </w:rPr>
      </w:pPr>
    </w:p>
    <w:p w14:paraId="6512586D" w14:textId="3D5A44D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D741D1" w14:textId="77777777" w:rsidR="00790ADA" w:rsidRPr="00FB3A86" w:rsidRDefault="00790ADA" w:rsidP="00441B6F">
      <w:pPr>
        <w:pStyle w:val="AbstHead"/>
        <w:spacing w:after="0"/>
        <w:jc w:val="both"/>
        <w:rPr>
          <w:rFonts w:ascii="Arial" w:hAnsi="Arial" w:cs="Arial"/>
        </w:rPr>
      </w:pPr>
    </w:p>
    <w:p w14:paraId="7F91E90E" w14:textId="7A47AF69" w:rsidR="00C0212D" w:rsidRDefault="003766EA" w:rsidP="00F80E99">
      <w:pPr>
        <w:pStyle w:val="Body"/>
        <w:rPr>
          <w:rFonts w:ascii="Arial" w:hAnsi="Arial" w:cs="Arial"/>
        </w:rPr>
      </w:pPr>
      <w:r w:rsidRPr="006D5DAF">
        <w:rPr>
          <w:rFonts w:ascii="Arial" w:hAnsi="Arial" w:cs="Arial"/>
          <w:highlight w:val="yellow"/>
        </w:rPr>
        <w:t xml:space="preserve">In educational discourses, assessment has always been one of the </w:t>
      </w:r>
      <w:r w:rsidRPr="006D5DAF">
        <w:rPr>
          <w:rFonts w:ascii="Arial" w:hAnsi="Arial" w:cs="Arial"/>
          <w:highlight w:val="yellow"/>
        </w:rPr>
        <w:t>popular</w:t>
      </w:r>
      <w:r w:rsidRPr="006D5DAF">
        <w:rPr>
          <w:rFonts w:ascii="Arial" w:hAnsi="Arial" w:cs="Arial"/>
          <w:highlight w:val="yellow"/>
        </w:rPr>
        <w:t xml:space="preserve"> to</w:t>
      </w:r>
      <w:r w:rsidRPr="006D5DAF">
        <w:rPr>
          <w:rFonts w:ascii="Arial" w:hAnsi="Arial" w:cs="Arial"/>
          <w:highlight w:val="yellow"/>
        </w:rPr>
        <w:t xml:space="preserve">pics. </w:t>
      </w:r>
      <w:r w:rsidRPr="006D5DAF">
        <w:rPr>
          <w:rFonts w:ascii="Arial" w:hAnsi="Arial" w:cs="Arial"/>
          <w:highlight w:val="yellow"/>
        </w:rPr>
        <w:t>Given its strategic</w:t>
      </w:r>
      <w:r w:rsidRPr="006D5DAF">
        <w:rPr>
          <w:rFonts w:ascii="Arial" w:hAnsi="Arial" w:cs="Arial"/>
          <w:highlight w:val="yellow"/>
        </w:rPr>
        <w:t xml:space="preserve"> </w:t>
      </w:r>
      <w:r w:rsidRPr="006D5DAF">
        <w:rPr>
          <w:rFonts w:ascii="Arial" w:hAnsi="Arial" w:cs="Arial"/>
          <w:highlight w:val="yellow"/>
        </w:rPr>
        <w:t>nature, assessment has been identified as a core principle underlying curriculum in many</w:t>
      </w:r>
      <w:r w:rsidRPr="006D5DAF">
        <w:rPr>
          <w:rFonts w:ascii="Arial" w:hAnsi="Arial" w:cs="Arial"/>
          <w:highlight w:val="yellow"/>
        </w:rPr>
        <w:t xml:space="preserve"> </w:t>
      </w:r>
      <w:r w:rsidRPr="006D5DAF">
        <w:rPr>
          <w:rFonts w:ascii="Arial" w:hAnsi="Arial" w:cs="Arial"/>
          <w:highlight w:val="yellow"/>
        </w:rPr>
        <w:t>educational systems around the world, as well as a key aspect of teacher professionalism</w:t>
      </w:r>
      <w:r w:rsidRPr="006D5DAF">
        <w:rPr>
          <w:rFonts w:ascii="Arial" w:hAnsi="Arial" w:cs="Arial"/>
          <w:highlight w:val="yellow"/>
        </w:rPr>
        <w:t xml:space="preserve"> </w:t>
      </w:r>
      <w:r w:rsidRPr="006D5DAF">
        <w:rPr>
          <w:rFonts w:ascii="Arial" w:hAnsi="Arial" w:cs="Arial"/>
          <w:highlight w:val="yellow"/>
        </w:rPr>
        <w:t>and teaching quality</w:t>
      </w:r>
      <w:r w:rsidR="009854E0">
        <w:rPr>
          <w:rFonts w:ascii="Arial" w:hAnsi="Arial" w:cs="Arial"/>
          <w:highlight w:val="yellow"/>
        </w:rPr>
        <w:t xml:space="preserve"> (</w:t>
      </w:r>
      <w:r w:rsidR="00457281" w:rsidRPr="006D5DAF">
        <w:rPr>
          <w:rFonts w:ascii="Arial" w:hAnsi="Arial" w:cs="Arial"/>
          <w:bCs/>
          <w:highlight w:val="yellow"/>
        </w:rPr>
        <w:t>Pastore</w:t>
      </w:r>
      <w:r w:rsidR="00457281" w:rsidRPr="00D07104">
        <w:rPr>
          <w:rFonts w:ascii="Arial" w:hAnsi="Arial" w:cs="Arial"/>
          <w:highlight w:val="yellow"/>
        </w:rPr>
        <w:t>,</w:t>
      </w:r>
      <w:r w:rsidR="00457281">
        <w:rPr>
          <w:rFonts w:ascii="Arial" w:hAnsi="Arial" w:cs="Arial"/>
          <w:highlight w:val="yellow"/>
        </w:rPr>
        <w:t xml:space="preserve"> </w:t>
      </w:r>
      <w:r w:rsidR="00457281" w:rsidRPr="00D07104">
        <w:rPr>
          <w:rFonts w:ascii="Arial" w:hAnsi="Arial" w:cs="Arial"/>
          <w:highlight w:val="yellow"/>
        </w:rPr>
        <w:t>2023</w:t>
      </w:r>
      <w:r w:rsidR="009854E0">
        <w:rPr>
          <w:rFonts w:ascii="Arial" w:hAnsi="Arial" w:cs="Arial"/>
          <w:highlight w:val="yellow"/>
        </w:rPr>
        <w:t>)</w:t>
      </w:r>
      <w:r w:rsidRPr="006D5DAF">
        <w:rPr>
          <w:rFonts w:ascii="Arial" w:hAnsi="Arial" w:cs="Arial"/>
          <w:highlight w:val="yellow"/>
        </w:rPr>
        <w:t xml:space="preserve">. </w:t>
      </w:r>
      <w:r w:rsidR="00F80E99" w:rsidRPr="00F80E99">
        <w:rPr>
          <w:rFonts w:ascii="Arial" w:hAnsi="Arial" w:cs="Arial"/>
          <w:highlight w:val="yellow"/>
        </w:rPr>
        <w:t>Language assessment has been widely researched across varying educational and</w:t>
      </w:r>
      <w:r w:rsidR="00F80E99">
        <w:rPr>
          <w:rFonts w:ascii="Arial" w:hAnsi="Arial" w:cs="Arial"/>
          <w:highlight w:val="yellow"/>
        </w:rPr>
        <w:t xml:space="preserve"> </w:t>
      </w:r>
      <w:r w:rsidR="00F80E99" w:rsidRPr="00F80E99">
        <w:rPr>
          <w:rFonts w:ascii="Arial" w:hAnsi="Arial" w:cs="Arial"/>
          <w:highlight w:val="yellow"/>
        </w:rPr>
        <w:t xml:space="preserve">professional contexts and is considered </w:t>
      </w:r>
      <w:r w:rsidR="00F80E99" w:rsidRPr="00F80E99">
        <w:rPr>
          <w:rFonts w:ascii="Arial" w:hAnsi="Arial" w:cs="Arial"/>
          <w:highlight w:val="yellow"/>
        </w:rPr>
        <w:lastRenderedPageBreak/>
        <w:t>vitally important to students’ academic</w:t>
      </w:r>
      <w:r w:rsidR="00F80E99">
        <w:rPr>
          <w:rFonts w:ascii="Arial" w:hAnsi="Arial" w:cs="Arial"/>
          <w:highlight w:val="yellow"/>
        </w:rPr>
        <w:t xml:space="preserve"> </w:t>
      </w:r>
      <w:r w:rsidR="00F80E99" w:rsidRPr="00F80E99">
        <w:rPr>
          <w:rFonts w:ascii="Arial" w:hAnsi="Arial" w:cs="Arial"/>
          <w:highlight w:val="yellow"/>
        </w:rPr>
        <w:t>growth. Effective assessment enables language teachers to achieve and maintain high</w:t>
      </w:r>
      <w:r w:rsidR="00F80E99">
        <w:rPr>
          <w:rFonts w:ascii="Arial" w:hAnsi="Arial" w:cs="Arial"/>
          <w:highlight w:val="yellow"/>
        </w:rPr>
        <w:t xml:space="preserve"> </w:t>
      </w:r>
      <w:r w:rsidR="00F80E99" w:rsidRPr="00F80E99">
        <w:rPr>
          <w:rFonts w:ascii="Arial" w:hAnsi="Arial" w:cs="Arial"/>
          <w:highlight w:val="yellow"/>
        </w:rPr>
        <w:t>teaching quality</w:t>
      </w:r>
      <w:r w:rsidR="00F00B86">
        <w:rPr>
          <w:rFonts w:ascii="Arial" w:hAnsi="Arial" w:cs="Arial"/>
          <w:highlight w:val="yellow"/>
        </w:rPr>
        <w:t xml:space="preserve"> (</w:t>
      </w:r>
      <w:r w:rsidR="00E0752B" w:rsidRPr="006D5DAF">
        <w:rPr>
          <w:rFonts w:ascii="Arial" w:hAnsi="Arial" w:cs="Arial"/>
          <w:bCs/>
          <w:highlight w:val="yellow"/>
        </w:rPr>
        <w:t>Wang et al</w:t>
      </w:r>
      <w:r w:rsidR="00E0752B" w:rsidRPr="006D5DAF">
        <w:rPr>
          <w:rFonts w:ascii="Arial" w:hAnsi="Arial" w:cs="Arial"/>
          <w:bCs/>
          <w:caps/>
          <w:highlight w:val="yellow"/>
        </w:rPr>
        <w:t>., 2023</w:t>
      </w:r>
      <w:r w:rsidR="00F00B86">
        <w:rPr>
          <w:rFonts w:ascii="Arial" w:hAnsi="Arial" w:cs="Arial"/>
          <w:highlight w:val="yellow"/>
        </w:rPr>
        <w:t>)</w:t>
      </w:r>
      <w:r w:rsidR="00F80E99">
        <w:rPr>
          <w:rFonts w:ascii="Arial" w:hAnsi="Arial" w:cs="Arial"/>
          <w:highlight w:val="yellow"/>
        </w:rPr>
        <w:t xml:space="preserve">. </w:t>
      </w:r>
      <w:r w:rsidRPr="006D5DAF">
        <w:rPr>
          <w:rFonts w:ascii="Arial" w:hAnsi="Arial" w:cs="Arial"/>
          <w:highlight w:val="yellow"/>
        </w:rPr>
        <w:t>However,</w:t>
      </w:r>
      <w:r>
        <w:rPr>
          <w:rFonts w:ascii="Arial" w:hAnsi="Arial" w:cs="Arial"/>
        </w:rPr>
        <w:t xml:space="preserve"> </w:t>
      </w:r>
      <w:r w:rsidR="00C0212D" w:rsidRPr="00C0212D">
        <w:rPr>
          <w:rFonts w:ascii="Arial" w:hAnsi="Arial" w:cs="Arial"/>
        </w:rPr>
        <w:t>Low language assessment literacy</w:t>
      </w:r>
      <w:r w:rsidR="00B000C2">
        <w:rPr>
          <w:rFonts w:ascii="Arial" w:hAnsi="Arial" w:cs="Arial"/>
        </w:rPr>
        <w:t xml:space="preserve"> </w:t>
      </w:r>
      <w:r w:rsidR="00C0212D" w:rsidRPr="00C0212D">
        <w:rPr>
          <w:rFonts w:ascii="Arial" w:hAnsi="Arial" w:cs="Arial"/>
        </w:rPr>
        <w:t xml:space="preserve">has been repeatedly found by researchers globally (Coombe et al., 2020; DeLuca et al., 2016; Lee &amp; Butler, 2020; Lewkowicz &amp; Leung, 2021; Xu &amp; Brown, 2016). Despite its importance in supporting students' language development, teachers' language assessment literacy remains poor (Xu &amp; Brown, 2017; Weng &amp; Shen, 2022). </w:t>
      </w:r>
    </w:p>
    <w:p w14:paraId="6CE44233" w14:textId="4227AA19" w:rsidR="00932A45" w:rsidRPr="006D5DAF" w:rsidRDefault="00932A45" w:rsidP="00F80E99">
      <w:pPr>
        <w:pStyle w:val="Body"/>
        <w:rPr>
          <w:rFonts w:ascii="Arial" w:hAnsi="Arial" w:cs="Arial"/>
          <w:highlight w:val="yellow"/>
        </w:rPr>
      </w:pPr>
      <w:r w:rsidRPr="00932A45">
        <w:rPr>
          <w:rFonts w:ascii="Arial" w:hAnsi="Arial" w:cs="Arial"/>
          <w:highlight w:val="yellow"/>
        </w:rPr>
        <w:t>Generally</w:t>
      </w:r>
      <w:r w:rsidRPr="004A15A1">
        <w:rPr>
          <w:rFonts w:ascii="Arial" w:hAnsi="Arial" w:cs="Arial"/>
          <w:highlight w:val="yellow"/>
        </w:rPr>
        <w:t xml:space="preserve">, </w:t>
      </w:r>
      <w:r w:rsidR="004A15A1" w:rsidRPr="006D5DAF">
        <w:rPr>
          <w:rFonts w:ascii="Arial" w:hAnsi="Arial" w:cs="Arial"/>
          <w:highlight w:val="yellow"/>
        </w:rPr>
        <w:t>Language Assessment Literacy (</w:t>
      </w:r>
      <w:r w:rsidRPr="004A15A1">
        <w:rPr>
          <w:rFonts w:ascii="Arial" w:hAnsi="Arial" w:cs="Arial"/>
          <w:highlight w:val="yellow"/>
        </w:rPr>
        <w:t>LAL</w:t>
      </w:r>
      <w:r w:rsidR="004A15A1" w:rsidRPr="004A15A1">
        <w:rPr>
          <w:rFonts w:ascii="Arial" w:hAnsi="Arial" w:cs="Arial"/>
          <w:highlight w:val="yellow"/>
        </w:rPr>
        <w:t>)</w:t>
      </w:r>
      <w:r w:rsidRPr="004A15A1">
        <w:rPr>
          <w:rFonts w:ascii="Arial" w:hAnsi="Arial" w:cs="Arial"/>
          <w:highlight w:val="yellow"/>
        </w:rPr>
        <w:t xml:space="preserve"> pertains to the ability </w:t>
      </w:r>
      <w:r w:rsidRPr="00932A45">
        <w:rPr>
          <w:rFonts w:ascii="Arial" w:hAnsi="Arial" w:cs="Arial"/>
          <w:highlight w:val="yellow"/>
        </w:rPr>
        <w:t xml:space="preserve">of an individual to design language assessment tools and examine assessment results based on a set of competencies in using appropriate and effective methods of assessment. This ability requires practical skills in assessment construction and knowledge of principles in measurement and language </w:t>
      </w:r>
      <w:r w:rsidRPr="00DB2ACA">
        <w:rPr>
          <w:rFonts w:ascii="Arial" w:hAnsi="Arial" w:cs="Arial"/>
          <w:highlight w:val="yellow"/>
        </w:rPr>
        <w:t>structure</w:t>
      </w:r>
      <w:r w:rsidR="004A15A1" w:rsidRPr="00DB2ACA">
        <w:rPr>
          <w:rFonts w:ascii="Arial" w:hAnsi="Arial" w:cs="Arial"/>
          <w:highlight w:val="yellow"/>
        </w:rPr>
        <w:t xml:space="preserve"> (</w:t>
      </w:r>
      <w:r w:rsidR="00567667" w:rsidRPr="006D5DAF">
        <w:rPr>
          <w:rFonts w:ascii="Arial" w:hAnsi="Arial" w:cs="Arial"/>
          <w:bCs/>
          <w:highlight w:val="yellow"/>
        </w:rPr>
        <w:t>Alcazaren</w:t>
      </w:r>
      <w:r w:rsidR="00567667" w:rsidRPr="006D5DAF">
        <w:rPr>
          <w:rFonts w:ascii="Arial" w:hAnsi="Arial" w:cs="Arial"/>
          <w:bCs/>
          <w:highlight w:val="yellow"/>
        </w:rPr>
        <w:t>,</w:t>
      </w:r>
      <w:r w:rsidR="00567667" w:rsidRPr="006D5DAF">
        <w:rPr>
          <w:rFonts w:ascii="Arial" w:hAnsi="Arial" w:cs="Arial"/>
          <w:highlight w:val="yellow"/>
        </w:rPr>
        <w:t xml:space="preserve"> 2024</w:t>
      </w:r>
      <w:r w:rsidR="004A15A1" w:rsidRPr="00DB2ACA">
        <w:rPr>
          <w:rFonts w:ascii="Arial" w:hAnsi="Arial" w:cs="Arial"/>
          <w:highlight w:val="yellow"/>
        </w:rPr>
        <w:t>)</w:t>
      </w:r>
      <w:r w:rsidRPr="00DB2ACA">
        <w:rPr>
          <w:rFonts w:ascii="Arial" w:hAnsi="Arial" w:cs="Arial"/>
          <w:highlight w:val="yellow"/>
        </w:rPr>
        <w:t xml:space="preserve">. </w:t>
      </w:r>
    </w:p>
    <w:p w14:paraId="1BA6B0BB" w14:textId="77777777" w:rsidR="00C0212D" w:rsidRPr="00C0212D" w:rsidRDefault="00C0212D" w:rsidP="00C0212D">
      <w:pPr>
        <w:pStyle w:val="Body"/>
        <w:rPr>
          <w:rFonts w:ascii="Arial" w:hAnsi="Arial" w:cs="Arial"/>
        </w:rPr>
      </w:pPr>
      <w:r w:rsidRPr="00C0212D">
        <w:rPr>
          <w:rFonts w:ascii="Arial" w:hAnsi="Arial" w:cs="Arial"/>
        </w:rPr>
        <w:t>A study across four European countries revealed that teachers with low language assessment literacy used traditional assessment methods (Vogt et al., 2020). Low language assessment literacy among teachers is one of the major issues identified in the field of education in Central Europe, specifically Cyprus, Germany, Greece, Hungary, and another study conducted in China (Csépes, 2021; Lam, 2015; Vogt et al., 2020).</w:t>
      </w:r>
    </w:p>
    <w:p w14:paraId="64D6A5F6" w14:textId="77777777" w:rsidR="00C0212D" w:rsidRPr="00C0212D" w:rsidRDefault="00C0212D" w:rsidP="00C0212D">
      <w:pPr>
        <w:pStyle w:val="Body"/>
        <w:rPr>
          <w:rFonts w:ascii="Arial" w:hAnsi="Arial" w:cs="Arial"/>
        </w:rPr>
      </w:pPr>
      <w:r w:rsidRPr="00C0212D">
        <w:rPr>
          <w:rFonts w:ascii="Arial" w:hAnsi="Arial" w:cs="Arial"/>
        </w:rPr>
        <w:t>In the Philippines, language assessment literacy remains a problem. A study in Bontoc, Northern Luzon, found that teachers exhibited poor language assessment literacy (Napanoy &amp; Peckley, 2020). Additionally, two studies conducted in Naga City and Manila showed similar results: teachers demonstrate low language assessment literacy (Clores &amp; Reganit, 2020; Alonzo et al., 2023).</w:t>
      </w:r>
    </w:p>
    <w:p w14:paraId="41D1BC54" w14:textId="6189B371" w:rsidR="00C0212D" w:rsidRDefault="00C0212D" w:rsidP="00C0212D">
      <w:pPr>
        <w:pStyle w:val="Body"/>
        <w:spacing w:after="0"/>
        <w:rPr>
          <w:rFonts w:ascii="Arial" w:hAnsi="Arial" w:cs="Arial"/>
        </w:rPr>
      </w:pPr>
      <w:r w:rsidRPr="00C0212D">
        <w:rPr>
          <w:rFonts w:ascii="Arial" w:hAnsi="Arial" w:cs="Arial"/>
        </w:rPr>
        <w:t>Consequently, poor language assessment literacy often leads to poorly designed language tests, incorrect interpretation of assessment results, and misguided educational decisions, which seriously adversely affect student learning outcomes (Coombe et al., 2020; Weng &amp; Shen, 2022). Due to these consequences, the call for further investigation into language assessment literacy of language teachers has been articulated (Csépes, 2021; DeLuca et al., 2016; Lee &amp; Butler, 2020). However, there is very little literature discussing this topic. Hence, this study was pursued</w:t>
      </w:r>
      <w:r>
        <w:rPr>
          <w:rFonts w:ascii="Arial" w:hAnsi="Arial" w:cs="Arial"/>
        </w:rPr>
        <w:t>.</w:t>
      </w:r>
    </w:p>
    <w:p w14:paraId="73397A76" w14:textId="77777777" w:rsidR="00C0212D" w:rsidRDefault="00C0212D" w:rsidP="00C0212D">
      <w:pPr>
        <w:pStyle w:val="Body"/>
        <w:spacing w:after="0"/>
        <w:rPr>
          <w:rFonts w:ascii="Arial" w:hAnsi="Arial" w:cs="Arial"/>
        </w:rPr>
      </w:pPr>
    </w:p>
    <w:p w14:paraId="5ADF4398" w14:textId="4B04976C" w:rsidR="00C0212D" w:rsidRDefault="00C0212D" w:rsidP="00C0212D">
      <w:pPr>
        <w:pStyle w:val="Body"/>
        <w:spacing w:after="0"/>
        <w:rPr>
          <w:rFonts w:ascii="Arial" w:hAnsi="Arial" w:cs="Arial"/>
          <w:b/>
          <w:sz w:val="22"/>
        </w:rPr>
      </w:pPr>
      <w:r>
        <w:rPr>
          <w:rFonts w:ascii="Arial" w:hAnsi="Arial" w:cs="Arial"/>
          <w:b/>
          <w:caps/>
          <w:sz w:val="22"/>
        </w:rPr>
        <w:t>1</w:t>
      </w:r>
      <w:r w:rsidRPr="00C30A0F">
        <w:rPr>
          <w:rFonts w:ascii="Arial" w:hAnsi="Arial" w:cs="Arial"/>
          <w:b/>
          <w:caps/>
          <w:sz w:val="22"/>
        </w:rPr>
        <w:t xml:space="preserve">.1 </w:t>
      </w:r>
      <w:r>
        <w:rPr>
          <w:rFonts w:ascii="Arial" w:hAnsi="Arial" w:cs="Arial"/>
          <w:b/>
          <w:sz w:val="22"/>
        </w:rPr>
        <w:t>Research Objectives</w:t>
      </w:r>
    </w:p>
    <w:p w14:paraId="15720A52" w14:textId="2B214BAD" w:rsidR="00C0212D" w:rsidRPr="006D5DAF" w:rsidRDefault="00CE1B4F" w:rsidP="00C0212D">
      <w:pPr>
        <w:pStyle w:val="Body"/>
        <w:rPr>
          <w:rFonts w:ascii="Arial" w:hAnsi="Arial" w:cs="Arial"/>
          <w:highlight w:val="yellow"/>
        </w:rPr>
      </w:pPr>
      <w:r w:rsidRPr="006D5DAF">
        <w:rPr>
          <w:rFonts w:ascii="Arial" w:hAnsi="Arial" w:cs="Arial"/>
          <w:highlight w:val="yellow"/>
        </w:rPr>
        <w:t xml:space="preserve">The objective of the study is to </w:t>
      </w:r>
      <w:r w:rsidR="00C0212D" w:rsidRPr="00C0212D">
        <w:rPr>
          <w:rFonts w:ascii="Arial" w:hAnsi="Arial" w:cs="Arial"/>
        </w:rPr>
        <w:t>determine the levels of assessment practices in terms of assessment as learning, assessment of learning, assessment to inform, assessment for learning; assessment collaborations in terms of dialogue, decision-making, actions, and evaluations; assessment autonomy in terms of general autonomy and curriculum autonomy; and language assessment literacy in terms of knowledge, and skills.</w:t>
      </w:r>
      <w:r>
        <w:rPr>
          <w:rFonts w:ascii="Arial" w:hAnsi="Arial" w:cs="Arial"/>
        </w:rPr>
        <w:t xml:space="preserve"> </w:t>
      </w:r>
      <w:r w:rsidRPr="006D5DAF">
        <w:rPr>
          <w:rFonts w:ascii="Arial" w:hAnsi="Arial" w:cs="Arial"/>
          <w:highlight w:val="yellow"/>
        </w:rPr>
        <w:t>The primary objectives of the study are:</w:t>
      </w:r>
    </w:p>
    <w:p w14:paraId="5302A09D" w14:textId="1F8309DB" w:rsidR="00C0212D" w:rsidRPr="00C0212D" w:rsidRDefault="00C0212D" w:rsidP="006D5DAF">
      <w:pPr>
        <w:pStyle w:val="Body"/>
        <w:numPr>
          <w:ilvl w:val="0"/>
          <w:numId w:val="31"/>
        </w:numPr>
        <w:rPr>
          <w:rFonts w:ascii="Arial" w:hAnsi="Arial" w:cs="Arial"/>
        </w:rPr>
      </w:pPr>
      <w:r w:rsidRPr="00C0212D">
        <w:rPr>
          <w:rFonts w:ascii="Arial" w:hAnsi="Arial" w:cs="Arial"/>
        </w:rPr>
        <w:t xml:space="preserve">To determine the significance of the relationships between assessment practices, collaborations, autonomy, </w:t>
      </w:r>
      <w:r w:rsidRPr="006D5DAF">
        <w:rPr>
          <w:rFonts w:ascii="Arial" w:hAnsi="Arial" w:cs="Arial"/>
          <w:highlight w:val="yellow"/>
        </w:rPr>
        <w:t>and</w:t>
      </w:r>
      <w:r w:rsidRPr="00C0212D">
        <w:rPr>
          <w:rFonts w:ascii="Arial" w:hAnsi="Arial" w:cs="Arial"/>
        </w:rPr>
        <w:t xml:space="preserve"> language assessment literacy.</w:t>
      </w:r>
    </w:p>
    <w:p w14:paraId="7D8F8DCE" w14:textId="45ED315A" w:rsidR="00C0212D" w:rsidRDefault="00C0212D" w:rsidP="006D5DAF">
      <w:pPr>
        <w:pStyle w:val="Body"/>
        <w:numPr>
          <w:ilvl w:val="0"/>
          <w:numId w:val="31"/>
        </w:numPr>
        <w:spacing w:after="0"/>
        <w:rPr>
          <w:rFonts w:ascii="Arial" w:hAnsi="Arial" w:cs="Arial"/>
          <w:b/>
          <w:sz w:val="22"/>
        </w:rPr>
      </w:pPr>
      <w:r w:rsidRPr="00C0212D">
        <w:rPr>
          <w:rFonts w:ascii="Arial" w:hAnsi="Arial" w:cs="Arial"/>
        </w:rPr>
        <w:t>To determine the significance of the degree of influence of assessment practices, collaborations, and autonomy on language assessment literacy.</w:t>
      </w:r>
    </w:p>
    <w:p w14:paraId="3B8B526D" w14:textId="77777777" w:rsidR="00C0212D" w:rsidRDefault="00C0212D" w:rsidP="00C0212D">
      <w:pPr>
        <w:pStyle w:val="Body"/>
        <w:spacing w:after="0"/>
        <w:rPr>
          <w:rFonts w:ascii="Arial" w:hAnsi="Arial" w:cs="Arial"/>
        </w:rPr>
      </w:pPr>
    </w:p>
    <w:p w14:paraId="35ADBAF0" w14:textId="00E8000A" w:rsidR="00C0212D" w:rsidRDefault="00C0212D" w:rsidP="00C0212D">
      <w:pPr>
        <w:pStyle w:val="Body"/>
        <w:spacing w:after="0"/>
        <w:rPr>
          <w:rFonts w:ascii="Arial" w:hAnsi="Arial" w:cs="Arial"/>
          <w:b/>
          <w:sz w:val="22"/>
        </w:rPr>
      </w:pPr>
      <w:r>
        <w:rPr>
          <w:rFonts w:ascii="Arial" w:hAnsi="Arial" w:cs="Arial"/>
          <w:b/>
          <w:caps/>
          <w:sz w:val="22"/>
        </w:rPr>
        <w:t>1</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Theoretical Framework</w:t>
      </w:r>
    </w:p>
    <w:p w14:paraId="474C9445" w14:textId="77777777" w:rsidR="00C0212D" w:rsidRDefault="00C0212D" w:rsidP="00C0212D">
      <w:pPr>
        <w:pStyle w:val="Body"/>
        <w:spacing w:after="0"/>
        <w:rPr>
          <w:rFonts w:ascii="Arial" w:hAnsi="Arial" w:cs="Arial"/>
          <w:b/>
          <w:sz w:val="22"/>
        </w:rPr>
      </w:pPr>
    </w:p>
    <w:p w14:paraId="7854C4DF" w14:textId="7AA4A6B8" w:rsidR="00C0212D" w:rsidRPr="00C0212D" w:rsidRDefault="00C0212D" w:rsidP="00C0212D">
      <w:pPr>
        <w:pStyle w:val="Body"/>
        <w:rPr>
          <w:rFonts w:ascii="Arial" w:hAnsi="Arial" w:cs="Arial"/>
        </w:rPr>
      </w:pPr>
      <w:r w:rsidRPr="00C0212D">
        <w:rPr>
          <w:rFonts w:ascii="Arial" w:hAnsi="Arial" w:cs="Arial"/>
        </w:rPr>
        <w:t xml:space="preserve">This study is anchored on the Professional Capital theory of Hargreaves and Fullan (2012). This theory posits that professional capital results from the dynamic interaction among three key components: human capital, social capital, and decisional capital. The theory further </w:t>
      </w:r>
      <w:r w:rsidRPr="00C0212D">
        <w:rPr>
          <w:rFonts w:ascii="Arial" w:hAnsi="Arial" w:cs="Arial"/>
        </w:rPr>
        <w:lastRenderedPageBreak/>
        <w:t xml:space="preserve">asserts that human capital means the </w:t>
      </w:r>
      <w:r w:rsidR="00D44BC3" w:rsidRPr="006D5DAF">
        <w:rPr>
          <w:rFonts w:ascii="Arial" w:hAnsi="Arial" w:cs="Arial"/>
          <w:highlight w:val="yellow"/>
        </w:rPr>
        <w:t>specialised</w:t>
      </w:r>
      <w:r w:rsidR="00D44BC3" w:rsidRPr="00C0212D">
        <w:rPr>
          <w:rFonts w:ascii="Arial" w:hAnsi="Arial" w:cs="Arial"/>
        </w:rPr>
        <w:t xml:space="preserve"> </w:t>
      </w:r>
      <w:r w:rsidRPr="00C0212D">
        <w:rPr>
          <w:rFonts w:ascii="Arial" w:hAnsi="Arial" w:cs="Arial"/>
        </w:rPr>
        <w:t xml:space="preserve">knowledge, skills, and </w:t>
      </w:r>
      <w:r w:rsidRPr="006D5DAF">
        <w:rPr>
          <w:rFonts w:ascii="Arial" w:hAnsi="Arial" w:cs="Arial"/>
          <w:highlight w:val="yellow"/>
        </w:rPr>
        <w:t xml:space="preserve">practices </w:t>
      </w:r>
      <w:r w:rsidR="00D44BC3" w:rsidRPr="006D5DAF">
        <w:rPr>
          <w:rFonts w:ascii="Arial" w:hAnsi="Arial" w:cs="Arial"/>
          <w:highlight w:val="yellow"/>
        </w:rPr>
        <w:t>a</w:t>
      </w:r>
      <w:r w:rsidR="00D44BC3" w:rsidRPr="006D5DAF">
        <w:rPr>
          <w:rFonts w:ascii="Arial" w:hAnsi="Arial" w:cs="Arial"/>
          <w:highlight w:val="yellow"/>
        </w:rPr>
        <w:t xml:space="preserve"> </w:t>
      </w:r>
      <w:r w:rsidRPr="006D5DAF">
        <w:rPr>
          <w:rFonts w:ascii="Arial" w:hAnsi="Arial" w:cs="Arial"/>
          <w:highlight w:val="yellow"/>
        </w:rPr>
        <w:t>person</w:t>
      </w:r>
      <w:r w:rsidRPr="00C0212D">
        <w:rPr>
          <w:rFonts w:ascii="Arial" w:hAnsi="Arial" w:cs="Arial"/>
        </w:rPr>
        <w:t xml:space="preserve"> carries into their respective working roles. Also, social capital is based on professionals' relationships and collaborative efforts to grow and learn together. Lastly, decisional capital is the ability, or freedom, to make reasoned professional decisions from experience and evidence. Enhancing professional capital requires investment in all </w:t>
      </w:r>
      <w:r w:rsidRPr="006D5DAF">
        <w:rPr>
          <w:rFonts w:ascii="Arial" w:hAnsi="Arial" w:cs="Arial"/>
          <w:highlight w:val="yellow"/>
        </w:rPr>
        <w:t>three</w:t>
      </w:r>
      <w:r w:rsidRPr="00C0212D">
        <w:rPr>
          <w:rFonts w:ascii="Arial" w:hAnsi="Arial" w:cs="Arial"/>
        </w:rPr>
        <w:t xml:space="preserve"> forms of capital.</w:t>
      </w:r>
    </w:p>
    <w:p w14:paraId="67119612" w14:textId="199CE1CC" w:rsidR="00C0212D" w:rsidRPr="00C0212D" w:rsidRDefault="00C0212D" w:rsidP="00C0212D">
      <w:pPr>
        <w:pStyle w:val="Body"/>
        <w:rPr>
          <w:rFonts w:ascii="Arial" w:hAnsi="Arial" w:cs="Arial"/>
        </w:rPr>
      </w:pPr>
      <w:r w:rsidRPr="00C0212D">
        <w:rPr>
          <w:rFonts w:ascii="Arial" w:hAnsi="Arial" w:cs="Arial"/>
        </w:rPr>
        <w:t xml:space="preserve">In this study, the first predictive variable includes assessment practices, which are indicated by assessment as learning, assessment of learning, assessment to inform, and assessment for learning (Gonzales &amp; Callueng, 2014; Navalta, 2024). This variable reflects the human capital identified in the theory. Secondly, assessment collaborations are also considered a predictive variable, as reflected in dialogue, decision-making, actions, and evaluations (Woodland &amp; Randall, 2013; Johari et al., 2021). This variable is </w:t>
      </w:r>
      <w:r w:rsidR="00D44BC3" w:rsidRPr="006D5DAF">
        <w:rPr>
          <w:rFonts w:ascii="Arial" w:hAnsi="Arial" w:cs="Arial"/>
          <w:highlight w:val="yellow"/>
        </w:rPr>
        <w:t>categorised</w:t>
      </w:r>
      <w:r w:rsidR="00D44BC3" w:rsidRPr="00C0212D">
        <w:rPr>
          <w:rFonts w:ascii="Arial" w:hAnsi="Arial" w:cs="Arial"/>
        </w:rPr>
        <w:t xml:space="preserve"> </w:t>
      </w:r>
      <w:r w:rsidRPr="00C0212D">
        <w:rPr>
          <w:rFonts w:ascii="Arial" w:hAnsi="Arial" w:cs="Arial"/>
        </w:rPr>
        <w:t xml:space="preserve">under social capital, which the theory mentions. Lastly, assessment autonomy is another predictive variable indicated by general autonomy and curriculum autonomy (Pearson &amp; Moomaw, 2005; Fadaee et al., 2021). This predictive factor represents the decisional capital from the theory. </w:t>
      </w:r>
    </w:p>
    <w:p w14:paraId="18F65EC6" w14:textId="503EB13A" w:rsidR="00C0212D" w:rsidRDefault="00C0212D" w:rsidP="00C0212D">
      <w:pPr>
        <w:pStyle w:val="Body"/>
        <w:spacing w:after="0"/>
        <w:rPr>
          <w:rFonts w:ascii="Arial" w:hAnsi="Arial" w:cs="Arial"/>
        </w:rPr>
      </w:pPr>
      <w:r w:rsidRPr="00C0212D">
        <w:rPr>
          <w:rFonts w:ascii="Arial" w:hAnsi="Arial" w:cs="Arial"/>
        </w:rPr>
        <w:t>On the other hand, the criterion variable language assessment literacy refers to knowledge and skills (Kremmel &amp; Harding, 2020). This variable connects with the idea of professional capital. Thus, promoting language assessment literacy or professional capital involves investment in assessment practices or human capital, assessment collaborations or social capital, and assessment autonomy or decisional capital</w:t>
      </w:r>
      <w:r>
        <w:rPr>
          <w:rFonts w:ascii="Arial" w:hAnsi="Arial" w:cs="Arial"/>
        </w:rPr>
        <w:t>.</w:t>
      </w:r>
    </w:p>
    <w:p w14:paraId="1F01B306" w14:textId="77777777" w:rsidR="00790ADA" w:rsidRPr="00FB3A86" w:rsidRDefault="00790ADA" w:rsidP="00441B6F">
      <w:pPr>
        <w:pStyle w:val="Body"/>
        <w:spacing w:after="0"/>
        <w:rPr>
          <w:rFonts w:ascii="Arial" w:hAnsi="Arial" w:cs="Arial"/>
        </w:rPr>
      </w:pPr>
    </w:p>
    <w:p w14:paraId="1F3DB6D6" w14:textId="6678062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C12B197" w14:textId="77777777" w:rsidR="00C0212D" w:rsidRDefault="00C0212D" w:rsidP="00C0212D">
      <w:pPr>
        <w:pStyle w:val="Body"/>
        <w:spacing w:after="0"/>
        <w:rPr>
          <w:rFonts w:ascii="Arial" w:hAnsi="Arial" w:cs="Arial"/>
          <w:b/>
          <w:caps/>
          <w:sz w:val="22"/>
        </w:rPr>
      </w:pPr>
    </w:p>
    <w:p w14:paraId="1D9BF86D" w14:textId="74D8D9D7" w:rsidR="00790ADA" w:rsidRPr="00FB3A86" w:rsidRDefault="00C0212D" w:rsidP="00C0212D">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Research Design</w:t>
      </w:r>
      <w:r w:rsidRPr="00C30A0F">
        <w:rPr>
          <w:rFonts w:ascii="Arial" w:hAnsi="Arial" w:cs="Arial"/>
          <w:b/>
          <w:sz w:val="22"/>
        </w:rPr>
        <w:t xml:space="preserve"> </w:t>
      </w:r>
      <w:r w:rsidRPr="00FB3A86">
        <w:rPr>
          <w:rFonts w:ascii="Arial" w:hAnsi="Arial" w:cs="Arial"/>
        </w:rPr>
        <w:t xml:space="preserve"> </w:t>
      </w:r>
    </w:p>
    <w:p w14:paraId="0396286C" w14:textId="36DE1E13" w:rsidR="00B95236" w:rsidRDefault="00C0212D" w:rsidP="00441B6F">
      <w:pPr>
        <w:pStyle w:val="Body"/>
        <w:spacing w:after="0"/>
        <w:rPr>
          <w:rFonts w:ascii="Arial" w:hAnsi="Arial" w:cs="Arial"/>
        </w:rPr>
      </w:pPr>
      <w:r w:rsidRPr="00C0212D">
        <w:rPr>
          <w:rFonts w:ascii="Arial" w:hAnsi="Arial" w:cs="Arial"/>
        </w:rPr>
        <w:t>This study employed the predictive correlational approach. This design means that the research looked at how well certain factors</w:t>
      </w:r>
      <w:r w:rsidR="00D44BC3">
        <w:rPr>
          <w:rFonts w:ascii="Arial" w:hAnsi="Arial" w:cs="Arial"/>
        </w:rPr>
        <w:t xml:space="preserve">, </w:t>
      </w:r>
      <w:r w:rsidRPr="00C0212D">
        <w:rPr>
          <w:rFonts w:ascii="Arial" w:hAnsi="Arial" w:cs="Arial"/>
        </w:rPr>
        <w:t>like assessment practices, collaboration, and autonomy</w:t>
      </w:r>
      <w:r w:rsidR="00D44BC3">
        <w:rPr>
          <w:rFonts w:ascii="Arial" w:hAnsi="Arial" w:cs="Arial"/>
        </w:rPr>
        <w:t xml:space="preserve">, </w:t>
      </w:r>
      <w:r w:rsidRPr="00C0212D">
        <w:rPr>
          <w:rFonts w:ascii="Arial" w:hAnsi="Arial" w:cs="Arial"/>
        </w:rPr>
        <w:t>can predict language assessment literacy without manipulating any of these variables (Chiang et al., 2020). The correlational approach examines the connections between these factors to see how one might predict another (Bordens &amp; Abbot, 2022; Hassan, 2024; Imai, 2021)</w:t>
      </w:r>
      <w:r w:rsidR="00B95236" w:rsidRPr="00B95236">
        <w:rPr>
          <w:rFonts w:ascii="Arial" w:hAnsi="Arial" w:cs="Arial"/>
        </w:rPr>
        <w:t>.</w:t>
      </w:r>
    </w:p>
    <w:p w14:paraId="407E62AF" w14:textId="77777777" w:rsidR="00C0212D" w:rsidRDefault="00C0212D" w:rsidP="00441B6F">
      <w:pPr>
        <w:pStyle w:val="Body"/>
        <w:spacing w:after="0"/>
        <w:rPr>
          <w:rFonts w:ascii="Arial" w:hAnsi="Arial" w:cs="Arial"/>
        </w:rPr>
      </w:pPr>
    </w:p>
    <w:p w14:paraId="69EBEB0B" w14:textId="05CF56CF"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Locale of the Study</w:t>
      </w:r>
      <w:r w:rsidRPr="00C30A0F">
        <w:rPr>
          <w:rFonts w:ascii="Arial" w:hAnsi="Arial" w:cs="Arial"/>
          <w:b/>
          <w:sz w:val="22"/>
        </w:rPr>
        <w:t xml:space="preserve"> </w:t>
      </w:r>
      <w:r w:rsidRPr="00FB3A86">
        <w:rPr>
          <w:rFonts w:ascii="Arial" w:hAnsi="Arial" w:cs="Arial"/>
        </w:rPr>
        <w:t xml:space="preserve"> </w:t>
      </w:r>
    </w:p>
    <w:p w14:paraId="7EC42919" w14:textId="77777777" w:rsidR="00C0212D" w:rsidRDefault="00C0212D" w:rsidP="00441B6F">
      <w:pPr>
        <w:pStyle w:val="Body"/>
        <w:spacing w:after="0"/>
        <w:rPr>
          <w:rFonts w:ascii="Arial" w:hAnsi="Arial" w:cs="Arial"/>
        </w:rPr>
      </w:pPr>
      <w:r w:rsidRPr="00CB21EA">
        <w:rPr>
          <w:rFonts w:ascii="Arial" w:hAnsi="Arial" w:cs="Arial"/>
        </w:rPr>
        <w:t>The researcher conducted this study among the language teachers of seven private educational institutions run by a religious congregation in the Davao region.</w:t>
      </w:r>
    </w:p>
    <w:p w14:paraId="3E8D5DB0" w14:textId="77777777" w:rsidR="00C0212D" w:rsidRDefault="00C0212D" w:rsidP="00441B6F">
      <w:pPr>
        <w:pStyle w:val="Body"/>
        <w:spacing w:after="0"/>
        <w:rPr>
          <w:rFonts w:ascii="Arial" w:hAnsi="Arial" w:cs="Arial"/>
        </w:rPr>
      </w:pPr>
    </w:p>
    <w:p w14:paraId="7BA9FAEA" w14:textId="74D30B0A"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Sample and Sampling Technique</w:t>
      </w:r>
      <w:r w:rsidRPr="00C30A0F">
        <w:rPr>
          <w:rFonts w:ascii="Arial" w:hAnsi="Arial" w:cs="Arial"/>
          <w:b/>
          <w:sz w:val="22"/>
        </w:rPr>
        <w:t xml:space="preserve"> </w:t>
      </w:r>
      <w:r w:rsidRPr="00FB3A86">
        <w:rPr>
          <w:rFonts w:ascii="Arial" w:hAnsi="Arial" w:cs="Arial"/>
        </w:rPr>
        <w:t xml:space="preserve"> </w:t>
      </w:r>
    </w:p>
    <w:p w14:paraId="57981E82" w14:textId="02348CC2" w:rsidR="00C0212D" w:rsidRDefault="00C0212D" w:rsidP="00441B6F">
      <w:pPr>
        <w:pStyle w:val="Body"/>
        <w:spacing w:after="0"/>
        <w:rPr>
          <w:rFonts w:ascii="Arial" w:hAnsi="Arial" w:cs="Arial"/>
        </w:rPr>
      </w:pPr>
      <w:r w:rsidRPr="00CB21EA">
        <w:rPr>
          <w:rFonts w:ascii="Arial" w:hAnsi="Arial" w:cs="Arial"/>
        </w:rPr>
        <w:t xml:space="preserve">The respondents of this study included 103 language teachers from the seven private institutions run by a religious congregation in the Davao region. Also, the researcher identified the respondents through census sampling. All members of the identified population were involved in the data gathering (Hayes, 2023); furthermore, the selection criteria for respondents should require a minimum of six months of experience as a language teacher and </w:t>
      </w:r>
      <w:r w:rsidR="00D44BC3" w:rsidRPr="006D5DAF">
        <w:rPr>
          <w:rFonts w:ascii="Arial" w:hAnsi="Arial" w:cs="Arial"/>
          <w:highlight w:val="yellow"/>
        </w:rPr>
        <w:t>having</w:t>
      </w:r>
      <w:r w:rsidR="00D44BC3" w:rsidRPr="006D5DAF">
        <w:rPr>
          <w:rFonts w:ascii="Arial" w:hAnsi="Arial" w:cs="Arial"/>
          <w:highlight w:val="yellow"/>
        </w:rPr>
        <w:t xml:space="preserve"> </w:t>
      </w:r>
      <w:r w:rsidRPr="00CB21EA">
        <w:rPr>
          <w:rFonts w:ascii="Arial" w:hAnsi="Arial" w:cs="Arial"/>
        </w:rPr>
        <w:t>independently designed at least two language assessments.</w:t>
      </w:r>
    </w:p>
    <w:p w14:paraId="0BEC6F4E" w14:textId="77777777" w:rsidR="00C0212D" w:rsidRDefault="00C0212D" w:rsidP="00441B6F">
      <w:pPr>
        <w:pStyle w:val="Body"/>
        <w:spacing w:after="0"/>
        <w:rPr>
          <w:rFonts w:ascii="Arial" w:hAnsi="Arial" w:cs="Arial"/>
        </w:rPr>
      </w:pPr>
    </w:p>
    <w:p w14:paraId="506F8428" w14:textId="7F6BC31D"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Research Instrument</w:t>
      </w:r>
      <w:r w:rsidRPr="00C30A0F">
        <w:rPr>
          <w:rFonts w:ascii="Arial" w:hAnsi="Arial" w:cs="Arial"/>
          <w:b/>
          <w:sz w:val="22"/>
        </w:rPr>
        <w:t xml:space="preserve"> </w:t>
      </w:r>
      <w:r w:rsidRPr="00FB3A86">
        <w:rPr>
          <w:rFonts w:ascii="Arial" w:hAnsi="Arial" w:cs="Arial"/>
        </w:rPr>
        <w:t xml:space="preserve"> </w:t>
      </w:r>
    </w:p>
    <w:p w14:paraId="40BE72FF" w14:textId="35089763" w:rsidR="00C0212D" w:rsidRDefault="00C0212D" w:rsidP="00441B6F">
      <w:pPr>
        <w:pStyle w:val="Body"/>
        <w:spacing w:after="0"/>
        <w:rPr>
          <w:rFonts w:ascii="Arial" w:hAnsi="Arial" w:cs="Arial"/>
        </w:rPr>
      </w:pPr>
      <w:r w:rsidRPr="00CB21EA">
        <w:rPr>
          <w:rFonts w:ascii="Arial" w:hAnsi="Arial" w:cs="Arial"/>
        </w:rPr>
        <w:t xml:space="preserve">The researcher </w:t>
      </w:r>
      <w:r w:rsidR="00D44BC3" w:rsidRPr="006D5DAF">
        <w:rPr>
          <w:rFonts w:ascii="Arial" w:hAnsi="Arial" w:cs="Arial"/>
          <w:highlight w:val="yellow"/>
        </w:rPr>
        <w:t>utilised</w:t>
      </w:r>
      <w:r w:rsidR="00D44BC3" w:rsidRPr="006D5DAF">
        <w:rPr>
          <w:rFonts w:ascii="Arial" w:hAnsi="Arial" w:cs="Arial"/>
          <w:highlight w:val="yellow"/>
        </w:rPr>
        <w:t xml:space="preserve"> </w:t>
      </w:r>
      <w:r w:rsidRPr="00CB21EA">
        <w:rPr>
          <w:rFonts w:ascii="Arial" w:hAnsi="Arial" w:cs="Arial"/>
        </w:rPr>
        <w:t>an adapted survey questionnaire with four parts. The first part was adapted from the Classroom Assessment Practices Survey Questionnaire (Gonzales &amp; Callueng, 2014, used by Navalta, 2024)</w:t>
      </w:r>
      <w:r>
        <w:rPr>
          <w:rFonts w:ascii="Arial" w:hAnsi="Arial" w:cs="Arial"/>
        </w:rPr>
        <w:t xml:space="preserve">; </w:t>
      </w:r>
      <w:r w:rsidRPr="00CB21EA">
        <w:rPr>
          <w:rFonts w:ascii="Arial" w:hAnsi="Arial" w:cs="Arial"/>
        </w:rPr>
        <w:t>The second part was adapted from the Teacher Collaboration Assessment Survey (Woodland &amp; Randall, 2013, used by Johari et al., 2021</w:t>
      </w:r>
      <w:r>
        <w:rPr>
          <w:rFonts w:ascii="Arial" w:hAnsi="Arial" w:cs="Arial"/>
        </w:rPr>
        <w:t xml:space="preserve">); </w:t>
      </w:r>
      <w:r w:rsidRPr="00CB21EA">
        <w:rPr>
          <w:rFonts w:ascii="Arial" w:hAnsi="Arial" w:cs="Arial"/>
        </w:rPr>
        <w:t>The third part was adapted from the Survey Questionnaire on Teaching Autonomy Scale (Pearson &amp; Moomaw, 2005, used by Fadaee et al., 2021)</w:t>
      </w:r>
      <w:r>
        <w:rPr>
          <w:rFonts w:ascii="Arial" w:hAnsi="Arial" w:cs="Arial"/>
        </w:rPr>
        <w:t xml:space="preserve">; </w:t>
      </w:r>
      <w:r w:rsidRPr="00CB21EA">
        <w:rPr>
          <w:rFonts w:ascii="Arial" w:hAnsi="Arial" w:cs="Arial"/>
        </w:rPr>
        <w:t>Lastly, the fourth part was adapted from Kremmel and Harding's (2020) Language Assessment Literacy Survey</w:t>
      </w:r>
      <w:r>
        <w:rPr>
          <w:rFonts w:ascii="Arial" w:hAnsi="Arial" w:cs="Arial"/>
        </w:rPr>
        <w:t xml:space="preserve">. It went </w:t>
      </w:r>
      <w:r>
        <w:rPr>
          <w:rFonts w:ascii="Arial" w:hAnsi="Arial" w:cs="Arial"/>
        </w:rPr>
        <w:lastRenderedPageBreak/>
        <w:t xml:space="preserve">through validation and garnered an average rating of 4.55 from the validators. </w:t>
      </w:r>
      <w:r w:rsidRPr="00CB21EA">
        <w:rPr>
          <w:rFonts w:ascii="Arial" w:hAnsi="Arial" w:cs="Arial"/>
        </w:rPr>
        <w:t>The reliability of the survey instrument on assessment practices (α = 0.927, 16 items), collaborations (α = 0.927, 27 items), autonomy (α = 0.858, 14 items), and language assessment literacy (α = 0.916, 56 items) as defined by Cronbach's Alpha test results showed excellent to good reliability.</w:t>
      </w:r>
    </w:p>
    <w:p w14:paraId="6A14A7A1" w14:textId="77777777" w:rsidR="00C0212D" w:rsidRDefault="00C0212D" w:rsidP="00441B6F">
      <w:pPr>
        <w:pStyle w:val="Body"/>
        <w:spacing w:after="0"/>
        <w:rPr>
          <w:rFonts w:ascii="Arial" w:hAnsi="Arial" w:cs="Arial"/>
        </w:rPr>
      </w:pPr>
    </w:p>
    <w:p w14:paraId="6490D2E0" w14:textId="0BEB4590"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Data Gathering Procedure</w:t>
      </w:r>
      <w:r w:rsidRPr="00C30A0F">
        <w:rPr>
          <w:rFonts w:ascii="Arial" w:hAnsi="Arial" w:cs="Arial"/>
          <w:b/>
          <w:sz w:val="22"/>
        </w:rPr>
        <w:t xml:space="preserve"> </w:t>
      </w:r>
      <w:r w:rsidRPr="00FB3A86">
        <w:rPr>
          <w:rFonts w:ascii="Arial" w:hAnsi="Arial" w:cs="Arial"/>
        </w:rPr>
        <w:t xml:space="preserve"> </w:t>
      </w:r>
    </w:p>
    <w:p w14:paraId="7A9796B4" w14:textId="35709DDF" w:rsidR="00C0212D" w:rsidRDefault="00C0212D" w:rsidP="00441B6F">
      <w:pPr>
        <w:pStyle w:val="Body"/>
        <w:spacing w:after="0"/>
        <w:rPr>
          <w:rFonts w:ascii="Arial" w:hAnsi="Arial" w:cs="Arial"/>
        </w:rPr>
      </w:pPr>
      <w:r w:rsidRPr="00C0212D">
        <w:rPr>
          <w:rFonts w:ascii="Arial" w:hAnsi="Arial" w:cs="Arial"/>
        </w:rPr>
        <w:t xml:space="preserve">The researcher followed proper protocols by securing approval from the graduate school dean and obtaining an ethics certificate after a thorough review. With school heads' consent, identified language teachers were oriented and given informed consent forms, assuring voluntary participation. Only those who gave full consent received the survey, which was then administered. Finally, the researcher encoded, </w:t>
      </w:r>
      <w:r w:rsidR="00D44BC3" w:rsidRPr="006D5DAF">
        <w:rPr>
          <w:rFonts w:ascii="Arial" w:hAnsi="Arial" w:cs="Arial"/>
          <w:highlight w:val="yellow"/>
        </w:rPr>
        <w:t>organised</w:t>
      </w:r>
      <w:r w:rsidRPr="00C0212D">
        <w:rPr>
          <w:rFonts w:ascii="Arial" w:hAnsi="Arial" w:cs="Arial"/>
        </w:rPr>
        <w:t xml:space="preserve">, and </w:t>
      </w:r>
      <w:r w:rsidR="00D44BC3" w:rsidRPr="006D5DAF">
        <w:rPr>
          <w:rFonts w:ascii="Arial" w:hAnsi="Arial" w:cs="Arial"/>
          <w:highlight w:val="yellow"/>
        </w:rPr>
        <w:t>analysed</w:t>
      </w:r>
      <w:r w:rsidR="00D44BC3" w:rsidRPr="006D5DAF">
        <w:rPr>
          <w:rFonts w:ascii="Arial" w:hAnsi="Arial" w:cs="Arial"/>
          <w:highlight w:val="yellow"/>
        </w:rPr>
        <w:t xml:space="preserve"> </w:t>
      </w:r>
      <w:r w:rsidRPr="00C0212D">
        <w:rPr>
          <w:rFonts w:ascii="Arial" w:hAnsi="Arial" w:cs="Arial"/>
        </w:rPr>
        <w:t>the collected data.</w:t>
      </w:r>
    </w:p>
    <w:p w14:paraId="09429537" w14:textId="77777777" w:rsidR="00C0212D" w:rsidRPr="006D5DAF" w:rsidRDefault="00C0212D" w:rsidP="00441B6F">
      <w:pPr>
        <w:pStyle w:val="Body"/>
        <w:spacing w:after="0"/>
        <w:rPr>
          <w:rFonts w:ascii="Arial" w:hAnsi="Arial" w:cs="Arial"/>
          <w:highlight w:val="yellow"/>
        </w:rPr>
      </w:pPr>
    </w:p>
    <w:p w14:paraId="5DA9968E" w14:textId="75D4FBE6"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Pr>
          <w:rFonts w:ascii="Arial" w:hAnsi="Arial" w:cs="Arial"/>
          <w:b/>
          <w:sz w:val="22"/>
        </w:rPr>
        <w:t>Data Analysis</w:t>
      </w:r>
      <w:r w:rsidRPr="00C30A0F">
        <w:rPr>
          <w:rFonts w:ascii="Arial" w:hAnsi="Arial" w:cs="Arial"/>
          <w:b/>
          <w:sz w:val="22"/>
        </w:rPr>
        <w:t xml:space="preserve"> </w:t>
      </w:r>
      <w:r w:rsidRPr="00FB3A86">
        <w:rPr>
          <w:rFonts w:ascii="Arial" w:hAnsi="Arial" w:cs="Arial"/>
        </w:rPr>
        <w:t xml:space="preserve"> </w:t>
      </w:r>
    </w:p>
    <w:p w14:paraId="0D52BEB4" w14:textId="15E4104F" w:rsidR="00AA74E0" w:rsidRDefault="00C0212D" w:rsidP="00441B6F">
      <w:pPr>
        <w:pStyle w:val="Body"/>
        <w:spacing w:after="0"/>
        <w:rPr>
          <w:rFonts w:ascii="Arial" w:hAnsi="Arial" w:cs="Arial"/>
        </w:rPr>
      </w:pPr>
      <w:r w:rsidRPr="00CB21EA">
        <w:rPr>
          <w:rFonts w:ascii="Arial" w:hAnsi="Arial" w:cs="Arial"/>
        </w:rPr>
        <w:t xml:space="preserve">For the first research objective, the mean was used to measure the level of assessment practices, collaborations, autonomy, and language assessment literacy. </w:t>
      </w:r>
      <w:r w:rsidR="006833F6" w:rsidRPr="006D5DAF">
        <w:rPr>
          <w:rFonts w:ascii="Arial" w:hAnsi="Arial" w:cs="Arial"/>
          <w:highlight w:val="yellow"/>
        </w:rPr>
        <w:t>In order</w:t>
      </w:r>
      <w:r w:rsidRPr="006D5DAF">
        <w:rPr>
          <w:rFonts w:ascii="Arial" w:hAnsi="Arial" w:cs="Arial"/>
          <w:highlight w:val="yellow"/>
        </w:rPr>
        <w:t xml:space="preserve"> </w:t>
      </w:r>
      <w:r w:rsidRPr="00CB21EA">
        <w:rPr>
          <w:rFonts w:ascii="Arial" w:hAnsi="Arial" w:cs="Arial"/>
        </w:rPr>
        <w:t>to find the relationship between the independent variables and the dependent variable</w:t>
      </w:r>
      <w:r w:rsidR="00D44BC3">
        <w:rPr>
          <w:rFonts w:ascii="Arial" w:hAnsi="Arial" w:cs="Arial"/>
        </w:rPr>
        <w:t>,</w:t>
      </w:r>
      <w:r w:rsidRPr="00CB21EA">
        <w:rPr>
          <w:rFonts w:ascii="Arial" w:hAnsi="Arial" w:cs="Arial"/>
        </w:rPr>
        <w:t xml:space="preserve"> the Pearson-R formula was used.</w:t>
      </w:r>
      <w:r>
        <w:rPr>
          <w:rFonts w:ascii="Arial" w:hAnsi="Arial" w:cs="Arial"/>
        </w:rPr>
        <w:t xml:space="preserve"> </w:t>
      </w:r>
      <w:r w:rsidRPr="00CB21EA">
        <w:rPr>
          <w:rFonts w:ascii="Arial" w:hAnsi="Arial" w:cs="Arial"/>
        </w:rPr>
        <w:t xml:space="preserve">Lastly, the multiple regression analysis was </w:t>
      </w:r>
      <w:r w:rsidR="00D44BC3" w:rsidRPr="006D5DAF">
        <w:rPr>
          <w:rFonts w:ascii="Arial" w:hAnsi="Arial" w:cs="Arial"/>
          <w:highlight w:val="yellow"/>
        </w:rPr>
        <w:t>utilised</w:t>
      </w:r>
      <w:r w:rsidR="00D44BC3" w:rsidRPr="006D5DAF">
        <w:rPr>
          <w:rFonts w:ascii="Arial" w:hAnsi="Arial" w:cs="Arial"/>
          <w:highlight w:val="yellow"/>
        </w:rPr>
        <w:t xml:space="preserve"> </w:t>
      </w:r>
      <w:r w:rsidRPr="00CB21EA">
        <w:rPr>
          <w:rFonts w:ascii="Arial" w:hAnsi="Arial" w:cs="Arial"/>
        </w:rPr>
        <w:t>to examine the predictive variables on language assessment literacy and the degree to which the variables contributed.</w:t>
      </w:r>
      <w:r w:rsidR="00AA74E0" w:rsidRPr="00FB3A86">
        <w:rPr>
          <w:rFonts w:ascii="Arial" w:hAnsi="Arial" w:cs="Arial"/>
        </w:rPr>
        <w:t xml:space="preserve"> </w:t>
      </w:r>
    </w:p>
    <w:p w14:paraId="3A6AAC6C" w14:textId="77777777" w:rsidR="00790ADA" w:rsidRPr="00FB3A86" w:rsidRDefault="00790ADA" w:rsidP="00441B6F">
      <w:pPr>
        <w:pStyle w:val="Body"/>
        <w:spacing w:after="0"/>
        <w:rPr>
          <w:rFonts w:ascii="Arial" w:hAnsi="Arial" w:cs="Arial"/>
        </w:rPr>
      </w:pPr>
    </w:p>
    <w:p w14:paraId="29658B7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29E223" w14:textId="77777777" w:rsidR="00C0212D" w:rsidRDefault="00C0212D" w:rsidP="00C0212D">
      <w:pPr>
        <w:pStyle w:val="Body"/>
        <w:spacing w:after="0"/>
        <w:rPr>
          <w:rFonts w:ascii="Arial" w:hAnsi="Arial" w:cs="Arial"/>
          <w:b/>
          <w:caps/>
          <w:sz w:val="22"/>
        </w:rPr>
      </w:pPr>
    </w:p>
    <w:p w14:paraId="37A35095" w14:textId="6E556346" w:rsidR="00790ADA" w:rsidRPr="00FB3A86" w:rsidRDefault="00C0212D" w:rsidP="00C0212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Pr>
          <w:rFonts w:ascii="Arial" w:hAnsi="Arial" w:cs="Arial"/>
          <w:b/>
          <w:sz w:val="22"/>
        </w:rPr>
        <w:t>Descriptive Analysis</w:t>
      </w:r>
      <w:r w:rsidRPr="00C30A0F">
        <w:rPr>
          <w:rFonts w:ascii="Arial" w:hAnsi="Arial" w:cs="Arial"/>
          <w:b/>
          <w:sz w:val="22"/>
        </w:rPr>
        <w:t xml:space="preserve"> </w:t>
      </w:r>
      <w:r w:rsidRPr="00FB3A86">
        <w:rPr>
          <w:rFonts w:ascii="Arial" w:hAnsi="Arial" w:cs="Arial"/>
        </w:rPr>
        <w:t xml:space="preserve"> </w:t>
      </w:r>
    </w:p>
    <w:p w14:paraId="0F573880" w14:textId="0F825306" w:rsidR="00B95236" w:rsidRDefault="00C0212D" w:rsidP="00441B6F">
      <w:pPr>
        <w:pStyle w:val="Body"/>
        <w:spacing w:after="0"/>
        <w:rPr>
          <w:rFonts w:ascii="Arial" w:eastAsia="Calibri" w:hAnsi="Arial" w:cs="Arial"/>
          <w:color w:val="FF0000"/>
          <w:szCs w:val="22"/>
        </w:rPr>
      </w:pPr>
      <w:r w:rsidRPr="00CB21EA">
        <w:rPr>
          <w:rFonts w:ascii="Arial" w:hAnsi="Arial" w:cs="Arial"/>
        </w:rPr>
        <w:t>Table 1 is a descriptive table that shows the variables involved in the study, namely assessment practices, collaborations, autonomy, and language assessment literacy. It also contains the number of samples, standard deviation, mean, and their corresponding descriptive interpretation.</w:t>
      </w:r>
    </w:p>
    <w:p w14:paraId="2C152A10" w14:textId="77777777" w:rsidR="00C0212D" w:rsidRDefault="00C0212D" w:rsidP="00441B6F">
      <w:pPr>
        <w:pStyle w:val="Body"/>
        <w:spacing w:after="0"/>
        <w:rPr>
          <w:rFonts w:ascii="Arial" w:eastAsia="Calibri" w:hAnsi="Arial" w:cs="Arial"/>
          <w:color w:val="FF0000"/>
          <w:szCs w:val="22"/>
        </w:rPr>
      </w:pPr>
    </w:p>
    <w:p w14:paraId="2C8BC04D" w14:textId="77777777" w:rsidR="00C0212D" w:rsidRPr="00C0212D" w:rsidRDefault="00C0212D" w:rsidP="00C0212D">
      <w:pPr>
        <w:pStyle w:val="NormalWeb"/>
        <w:spacing w:before="0" w:beforeAutospacing="0" w:after="0" w:afterAutospacing="0"/>
        <w:rPr>
          <w:rFonts w:ascii="Arial" w:hAnsi="Arial" w:cs="Arial"/>
          <w:b/>
          <w:bCs/>
          <w:sz w:val="20"/>
          <w:szCs w:val="20"/>
        </w:rPr>
      </w:pPr>
      <w:r w:rsidRPr="00C0212D">
        <w:rPr>
          <w:rFonts w:ascii="Arial" w:hAnsi="Arial" w:cs="Arial"/>
          <w:b/>
          <w:bCs/>
          <w:sz w:val="20"/>
          <w:szCs w:val="20"/>
        </w:rPr>
        <w:t>Table 1. Descriptive Table</w:t>
      </w:r>
    </w:p>
    <w:p w14:paraId="75199CF3" w14:textId="77777777" w:rsidR="00C0212D" w:rsidRDefault="00C0212D" w:rsidP="00441B6F">
      <w:pPr>
        <w:pStyle w:val="Body"/>
        <w:spacing w:after="0"/>
        <w:rPr>
          <w:rFonts w:ascii="Arial" w:hAnsi="Arial" w:cs="Arial"/>
        </w:rPr>
      </w:pPr>
    </w:p>
    <w:tbl>
      <w:tblPr>
        <w:tblStyle w:val="PlainTable21"/>
        <w:tblW w:w="8926" w:type="dxa"/>
        <w:jc w:val="center"/>
        <w:tblLayout w:type="fixed"/>
        <w:tblLook w:val="04A0" w:firstRow="1" w:lastRow="0" w:firstColumn="1" w:lastColumn="0" w:noHBand="0" w:noVBand="1"/>
      </w:tblPr>
      <w:tblGrid>
        <w:gridCol w:w="3114"/>
        <w:gridCol w:w="709"/>
        <w:gridCol w:w="1134"/>
        <w:gridCol w:w="1559"/>
        <w:gridCol w:w="2410"/>
      </w:tblGrid>
      <w:tr w:rsidR="00C0212D" w:rsidRPr="00C0212D" w14:paraId="6F323D23" w14:textId="77777777" w:rsidTr="00E2666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239ADF2" w14:textId="77777777" w:rsidR="00C0212D" w:rsidRPr="00C0212D" w:rsidRDefault="00C0212D" w:rsidP="00E2666E">
            <w:pPr>
              <w:rPr>
                <w:rFonts w:ascii="Arial" w:hAnsi="Arial" w:cs="Arial"/>
                <w:b w:val="0"/>
                <w:bCs w:val="0"/>
              </w:rPr>
            </w:pPr>
            <w:r w:rsidRPr="00C0212D">
              <w:rPr>
                <w:rFonts w:ascii="Arial" w:hAnsi="Arial" w:cs="Arial"/>
              </w:rPr>
              <w:t>Variables</w:t>
            </w:r>
          </w:p>
        </w:tc>
        <w:tc>
          <w:tcPr>
            <w:tcW w:w="709" w:type="dxa"/>
          </w:tcPr>
          <w:p w14:paraId="59D301B1"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N</w:t>
            </w:r>
          </w:p>
        </w:tc>
        <w:tc>
          <w:tcPr>
            <w:tcW w:w="1134" w:type="dxa"/>
          </w:tcPr>
          <w:p w14:paraId="0EF4C8E8"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SD</w:t>
            </w:r>
          </w:p>
        </w:tc>
        <w:tc>
          <w:tcPr>
            <w:tcW w:w="1559" w:type="dxa"/>
          </w:tcPr>
          <w:p w14:paraId="5FCC2B72"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Mean</w:t>
            </w:r>
          </w:p>
        </w:tc>
        <w:tc>
          <w:tcPr>
            <w:tcW w:w="2410" w:type="dxa"/>
          </w:tcPr>
          <w:p w14:paraId="36AB92F9" w14:textId="77777777" w:rsidR="00C0212D" w:rsidRPr="00C0212D" w:rsidRDefault="00C0212D" w:rsidP="00E2666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Descriptive Level</w:t>
            </w:r>
          </w:p>
        </w:tc>
      </w:tr>
      <w:tr w:rsidR="00C0212D" w:rsidRPr="00C0212D" w14:paraId="4C90C62C"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5604A05" w14:textId="77777777" w:rsidR="00C0212D" w:rsidRPr="00C0212D" w:rsidRDefault="00C0212D" w:rsidP="00E2666E">
            <w:pPr>
              <w:rPr>
                <w:rFonts w:ascii="Arial" w:hAnsi="Arial" w:cs="Arial"/>
              </w:rPr>
            </w:pPr>
            <w:r w:rsidRPr="00C0212D">
              <w:rPr>
                <w:rFonts w:ascii="Arial" w:hAnsi="Arial" w:cs="Arial"/>
              </w:rPr>
              <w:t>Assessment Practices</w:t>
            </w:r>
          </w:p>
        </w:tc>
        <w:tc>
          <w:tcPr>
            <w:tcW w:w="709" w:type="dxa"/>
          </w:tcPr>
          <w:p w14:paraId="0A0487A6"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6AD49915"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 xml:space="preserve">  0.38</w:t>
            </w:r>
          </w:p>
        </w:tc>
        <w:tc>
          <w:tcPr>
            <w:tcW w:w="1559" w:type="dxa"/>
          </w:tcPr>
          <w:p w14:paraId="7901BA27"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eastAsia="SimSun" w:hAnsi="Arial" w:cs="Arial"/>
                <w:b/>
                <w:bCs/>
                <w:lang w:eastAsia="zh-CN" w:bidi="ar"/>
              </w:rPr>
              <w:t>4.32</w:t>
            </w:r>
          </w:p>
        </w:tc>
        <w:tc>
          <w:tcPr>
            <w:tcW w:w="2410" w:type="dxa"/>
          </w:tcPr>
          <w:p w14:paraId="524F7037"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Very High</w:t>
            </w:r>
          </w:p>
        </w:tc>
      </w:tr>
      <w:tr w:rsidR="00C0212D" w:rsidRPr="00C0212D" w14:paraId="5CA2A85B"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90F57CE"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as Learning</w:t>
            </w:r>
          </w:p>
        </w:tc>
        <w:tc>
          <w:tcPr>
            <w:tcW w:w="709" w:type="dxa"/>
          </w:tcPr>
          <w:p w14:paraId="0CA8612A"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2A44E3E"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0.50</w:t>
            </w:r>
          </w:p>
        </w:tc>
        <w:tc>
          <w:tcPr>
            <w:tcW w:w="1559" w:type="dxa"/>
          </w:tcPr>
          <w:p w14:paraId="645A6D06"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4.32</w:t>
            </w:r>
          </w:p>
        </w:tc>
        <w:tc>
          <w:tcPr>
            <w:tcW w:w="2410" w:type="dxa"/>
          </w:tcPr>
          <w:p w14:paraId="7C156A79"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0753ABCF"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7218366"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of Learning</w:t>
            </w:r>
          </w:p>
        </w:tc>
        <w:tc>
          <w:tcPr>
            <w:tcW w:w="709" w:type="dxa"/>
          </w:tcPr>
          <w:p w14:paraId="0BBABFD1"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165D6DA6"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0.51</w:t>
            </w:r>
          </w:p>
        </w:tc>
        <w:tc>
          <w:tcPr>
            <w:tcW w:w="1559" w:type="dxa"/>
          </w:tcPr>
          <w:p w14:paraId="1944400A"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4.29</w:t>
            </w:r>
          </w:p>
        </w:tc>
        <w:tc>
          <w:tcPr>
            <w:tcW w:w="2410" w:type="dxa"/>
          </w:tcPr>
          <w:p w14:paraId="6A598517"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167E604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FF2DF9E"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to Inform</w:t>
            </w:r>
          </w:p>
        </w:tc>
        <w:tc>
          <w:tcPr>
            <w:tcW w:w="709" w:type="dxa"/>
          </w:tcPr>
          <w:p w14:paraId="13798BD0"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8F5751E"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0.50</w:t>
            </w:r>
          </w:p>
        </w:tc>
        <w:tc>
          <w:tcPr>
            <w:tcW w:w="1559" w:type="dxa"/>
          </w:tcPr>
          <w:p w14:paraId="3B9ACF79"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4.26</w:t>
            </w:r>
          </w:p>
        </w:tc>
        <w:tc>
          <w:tcPr>
            <w:tcW w:w="2410" w:type="dxa"/>
          </w:tcPr>
          <w:p w14:paraId="3D162B0D"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1E23406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093F3884"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Assessment for Learning</w:t>
            </w:r>
          </w:p>
        </w:tc>
        <w:tc>
          <w:tcPr>
            <w:tcW w:w="709" w:type="dxa"/>
          </w:tcPr>
          <w:p w14:paraId="5967DB7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005A86CD"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0.48</w:t>
            </w:r>
          </w:p>
        </w:tc>
        <w:tc>
          <w:tcPr>
            <w:tcW w:w="1559" w:type="dxa"/>
          </w:tcPr>
          <w:p w14:paraId="2BF2068B"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4.40</w:t>
            </w:r>
          </w:p>
        </w:tc>
        <w:tc>
          <w:tcPr>
            <w:tcW w:w="2410" w:type="dxa"/>
          </w:tcPr>
          <w:p w14:paraId="7EF1D271"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7340BE4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49695800" w14:textId="77777777" w:rsidR="00C0212D" w:rsidRPr="00C0212D" w:rsidRDefault="00C0212D" w:rsidP="00E2666E">
            <w:pPr>
              <w:widowControl w:val="0"/>
              <w:autoSpaceDE w:val="0"/>
              <w:autoSpaceDN w:val="0"/>
              <w:rPr>
                <w:rFonts w:ascii="Arial" w:hAnsi="Arial" w:cs="Arial"/>
                <w:b w:val="0"/>
                <w:bCs w:val="0"/>
              </w:rPr>
            </w:pPr>
          </w:p>
        </w:tc>
        <w:tc>
          <w:tcPr>
            <w:tcW w:w="709" w:type="dxa"/>
          </w:tcPr>
          <w:p w14:paraId="6961C985" w14:textId="77777777" w:rsidR="00C0212D" w:rsidRPr="00C0212D" w:rsidRDefault="00C0212D" w:rsidP="00E2666E">
            <w:pPr>
              <w:widowControl w:val="0"/>
              <w:autoSpaceDE w:val="0"/>
              <w:autoSpaceDN w:val="0"/>
              <w:ind w:left="22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134" w:type="dxa"/>
          </w:tcPr>
          <w:p w14:paraId="677CE521" w14:textId="77777777" w:rsidR="00C0212D" w:rsidRPr="00C0212D" w:rsidRDefault="00C0212D" w:rsidP="00E2666E">
            <w:pPr>
              <w:widowControl w:val="0"/>
              <w:autoSpaceDE w:val="0"/>
              <w:autoSpaceDN w:val="0"/>
              <w:ind w:left="22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559" w:type="dxa"/>
          </w:tcPr>
          <w:p w14:paraId="3D6F1FD2"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6B24864A"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3FF9909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5D01A70" w14:textId="77777777" w:rsidR="00C0212D" w:rsidRPr="00C0212D" w:rsidRDefault="00C0212D" w:rsidP="00E2666E">
            <w:pPr>
              <w:widowControl w:val="0"/>
              <w:autoSpaceDE w:val="0"/>
              <w:autoSpaceDN w:val="0"/>
              <w:rPr>
                <w:rFonts w:ascii="Arial" w:hAnsi="Arial" w:cs="Arial"/>
                <w:b w:val="0"/>
                <w:bCs w:val="0"/>
              </w:rPr>
            </w:pPr>
            <w:r w:rsidRPr="00C0212D">
              <w:rPr>
                <w:rFonts w:ascii="Arial" w:hAnsi="Arial" w:cs="Arial"/>
              </w:rPr>
              <w:t>Assessment Collaborations</w:t>
            </w:r>
          </w:p>
        </w:tc>
        <w:tc>
          <w:tcPr>
            <w:tcW w:w="709" w:type="dxa"/>
          </w:tcPr>
          <w:p w14:paraId="6B92E52B"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7D6EA27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0.39</w:t>
            </w:r>
          </w:p>
        </w:tc>
        <w:tc>
          <w:tcPr>
            <w:tcW w:w="1559" w:type="dxa"/>
          </w:tcPr>
          <w:p w14:paraId="185AEAF9"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4.13</w:t>
            </w:r>
          </w:p>
        </w:tc>
        <w:tc>
          <w:tcPr>
            <w:tcW w:w="2410" w:type="dxa"/>
          </w:tcPr>
          <w:p w14:paraId="72F51A29"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4DE6CC4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42C5701" w14:textId="77777777" w:rsidR="00C0212D" w:rsidRPr="00C0212D" w:rsidRDefault="00C0212D" w:rsidP="00E2666E">
            <w:pPr>
              <w:widowControl w:val="0"/>
              <w:autoSpaceDE w:val="0"/>
              <w:autoSpaceDN w:val="0"/>
              <w:rPr>
                <w:rFonts w:ascii="Arial" w:hAnsi="Arial" w:cs="Arial"/>
                <w:lang w:val="en-US"/>
              </w:rPr>
            </w:pPr>
            <w:r w:rsidRPr="00C0212D">
              <w:rPr>
                <w:rFonts w:ascii="Arial" w:hAnsi="Arial" w:cs="Arial"/>
                <w:b w:val="0"/>
                <w:bCs w:val="0"/>
              </w:rPr>
              <w:t>Dialogue</w:t>
            </w:r>
          </w:p>
        </w:tc>
        <w:tc>
          <w:tcPr>
            <w:tcW w:w="709" w:type="dxa"/>
          </w:tcPr>
          <w:p w14:paraId="1412A805"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2AC47573"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0.41</w:t>
            </w:r>
          </w:p>
        </w:tc>
        <w:tc>
          <w:tcPr>
            <w:tcW w:w="1559" w:type="dxa"/>
          </w:tcPr>
          <w:p w14:paraId="4DDA8801"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4.18</w:t>
            </w:r>
          </w:p>
        </w:tc>
        <w:tc>
          <w:tcPr>
            <w:tcW w:w="2410" w:type="dxa"/>
          </w:tcPr>
          <w:p w14:paraId="53A0764A"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43C3C337"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A368526"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Decision - Making</w:t>
            </w:r>
          </w:p>
        </w:tc>
        <w:tc>
          <w:tcPr>
            <w:tcW w:w="709" w:type="dxa"/>
          </w:tcPr>
          <w:p w14:paraId="089ECABD"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ED47686"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0.48</w:t>
            </w:r>
          </w:p>
        </w:tc>
        <w:tc>
          <w:tcPr>
            <w:tcW w:w="1559" w:type="dxa"/>
          </w:tcPr>
          <w:p w14:paraId="47D3BF8E"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4.15</w:t>
            </w:r>
          </w:p>
        </w:tc>
        <w:tc>
          <w:tcPr>
            <w:tcW w:w="2410" w:type="dxa"/>
          </w:tcPr>
          <w:p w14:paraId="2168925D"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0D44510C"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4824EF1E"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Actions</w:t>
            </w:r>
          </w:p>
        </w:tc>
        <w:tc>
          <w:tcPr>
            <w:tcW w:w="709" w:type="dxa"/>
          </w:tcPr>
          <w:p w14:paraId="4BF63F71"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0ECC15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0.49</w:t>
            </w:r>
          </w:p>
        </w:tc>
        <w:tc>
          <w:tcPr>
            <w:tcW w:w="1559" w:type="dxa"/>
          </w:tcPr>
          <w:p w14:paraId="55C13683"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4.06</w:t>
            </w:r>
          </w:p>
        </w:tc>
        <w:tc>
          <w:tcPr>
            <w:tcW w:w="2410" w:type="dxa"/>
          </w:tcPr>
          <w:p w14:paraId="7055239E"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091812FA"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0E5FB60"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Evaluations</w:t>
            </w:r>
          </w:p>
        </w:tc>
        <w:tc>
          <w:tcPr>
            <w:tcW w:w="709" w:type="dxa"/>
          </w:tcPr>
          <w:p w14:paraId="61E94653"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D3BBDAF"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0.46</w:t>
            </w:r>
          </w:p>
        </w:tc>
        <w:tc>
          <w:tcPr>
            <w:tcW w:w="1559" w:type="dxa"/>
          </w:tcPr>
          <w:p w14:paraId="07E8D31F"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4.14</w:t>
            </w:r>
          </w:p>
        </w:tc>
        <w:tc>
          <w:tcPr>
            <w:tcW w:w="2410" w:type="dxa"/>
          </w:tcPr>
          <w:p w14:paraId="09F7F8FF"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7330AFD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B9CA71B" w14:textId="77777777" w:rsidR="00C0212D" w:rsidRPr="00C0212D" w:rsidRDefault="00C0212D" w:rsidP="00E2666E">
            <w:pPr>
              <w:rPr>
                <w:rFonts w:ascii="Arial" w:hAnsi="Arial" w:cs="Arial"/>
                <w:b w:val="0"/>
                <w:bCs w:val="0"/>
              </w:rPr>
            </w:pPr>
          </w:p>
        </w:tc>
        <w:tc>
          <w:tcPr>
            <w:tcW w:w="709" w:type="dxa"/>
          </w:tcPr>
          <w:p w14:paraId="43C3B00B"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134" w:type="dxa"/>
          </w:tcPr>
          <w:p w14:paraId="45456BCA"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559" w:type="dxa"/>
          </w:tcPr>
          <w:p w14:paraId="1344FD67"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58BA03CD"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0662B5D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DD6487C" w14:textId="77777777" w:rsidR="00C0212D" w:rsidRPr="00C0212D" w:rsidRDefault="00C0212D" w:rsidP="00E2666E">
            <w:pPr>
              <w:rPr>
                <w:rFonts w:ascii="Arial" w:hAnsi="Arial" w:cs="Arial"/>
                <w:b w:val="0"/>
                <w:bCs w:val="0"/>
              </w:rPr>
            </w:pPr>
            <w:r w:rsidRPr="00C0212D">
              <w:rPr>
                <w:rFonts w:ascii="Arial" w:hAnsi="Arial" w:cs="Arial"/>
              </w:rPr>
              <w:t>Assessment Autonomy</w:t>
            </w:r>
          </w:p>
        </w:tc>
        <w:tc>
          <w:tcPr>
            <w:tcW w:w="709" w:type="dxa"/>
          </w:tcPr>
          <w:p w14:paraId="10A78941"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06492BA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0.43</w:t>
            </w:r>
          </w:p>
        </w:tc>
        <w:tc>
          <w:tcPr>
            <w:tcW w:w="1559" w:type="dxa"/>
          </w:tcPr>
          <w:p w14:paraId="401D5401"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4.16</w:t>
            </w:r>
          </w:p>
        </w:tc>
        <w:tc>
          <w:tcPr>
            <w:tcW w:w="2410" w:type="dxa"/>
          </w:tcPr>
          <w:p w14:paraId="402C8121"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42E05FD3"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3E7C830" w14:textId="77777777" w:rsidR="00C0212D" w:rsidRPr="00C0212D" w:rsidRDefault="00C0212D" w:rsidP="00E2666E">
            <w:pPr>
              <w:rPr>
                <w:rFonts w:ascii="Arial" w:hAnsi="Arial" w:cs="Arial"/>
                <w:lang w:val="en-US"/>
              </w:rPr>
            </w:pPr>
            <w:r w:rsidRPr="00C0212D">
              <w:rPr>
                <w:rFonts w:ascii="Arial" w:hAnsi="Arial" w:cs="Arial"/>
                <w:b w:val="0"/>
                <w:bCs w:val="0"/>
              </w:rPr>
              <w:t>General Autonomy</w:t>
            </w:r>
          </w:p>
        </w:tc>
        <w:tc>
          <w:tcPr>
            <w:tcW w:w="709" w:type="dxa"/>
          </w:tcPr>
          <w:p w14:paraId="3DF7984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E9AAB05"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0.48</w:t>
            </w:r>
          </w:p>
        </w:tc>
        <w:tc>
          <w:tcPr>
            <w:tcW w:w="1559" w:type="dxa"/>
          </w:tcPr>
          <w:p w14:paraId="6E9FD1FB"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4.20</w:t>
            </w:r>
          </w:p>
        </w:tc>
        <w:tc>
          <w:tcPr>
            <w:tcW w:w="2410" w:type="dxa"/>
          </w:tcPr>
          <w:p w14:paraId="04476AFF"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795B0DB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34C8FB6B" w14:textId="77777777" w:rsidR="00C0212D" w:rsidRPr="00C0212D" w:rsidRDefault="00C0212D" w:rsidP="00E2666E">
            <w:pPr>
              <w:rPr>
                <w:rFonts w:ascii="Arial" w:hAnsi="Arial" w:cs="Arial"/>
              </w:rPr>
            </w:pPr>
            <w:r w:rsidRPr="00C0212D">
              <w:rPr>
                <w:rFonts w:ascii="Arial" w:hAnsi="Arial" w:cs="Arial"/>
                <w:b w:val="0"/>
                <w:bCs w:val="0"/>
              </w:rPr>
              <w:t>Curriculum Autonomy</w:t>
            </w:r>
          </w:p>
        </w:tc>
        <w:tc>
          <w:tcPr>
            <w:tcW w:w="709" w:type="dxa"/>
          </w:tcPr>
          <w:p w14:paraId="1D620294"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4099EE9"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0.47</w:t>
            </w:r>
          </w:p>
        </w:tc>
        <w:tc>
          <w:tcPr>
            <w:tcW w:w="1559" w:type="dxa"/>
          </w:tcPr>
          <w:p w14:paraId="102244DD"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4.12</w:t>
            </w:r>
          </w:p>
        </w:tc>
        <w:tc>
          <w:tcPr>
            <w:tcW w:w="2410" w:type="dxa"/>
          </w:tcPr>
          <w:p w14:paraId="0DB87B33"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3038153F"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352B3766" w14:textId="77777777" w:rsidR="00C0212D" w:rsidRPr="00C0212D" w:rsidRDefault="00C0212D" w:rsidP="00E2666E">
            <w:pPr>
              <w:rPr>
                <w:rFonts w:ascii="Arial" w:hAnsi="Arial" w:cs="Arial"/>
                <w:b w:val="0"/>
                <w:bCs w:val="0"/>
              </w:rPr>
            </w:pPr>
          </w:p>
        </w:tc>
        <w:tc>
          <w:tcPr>
            <w:tcW w:w="709" w:type="dxa"/>
          </w:tcPr>
          <w:p w14:paraId="55F903D1"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34" w:type="dxa"/>
          </w:tcPr>
          <w:p w14:paraId="4D1458DE"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20A224BA"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0767B284"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43A83ED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293DA90" w14:textId="77777777" w:rsidR="00C0212D" w:rsidRPr="00C0212D" w:rsidRDefault="00C0212D" w:rsidP="00E2666E">
            <w:pPr>
              <w:jc w:val="both"/>
              <w:rPr>
                <w:rFonts w:ascii="Arial" w:hAnsi="Arial" w:cs="Arial"/>
                <w:b w:val="0"/>
                <w:bCs w:val="0"/>
              </w:rPr>
            </w:pPr>
            <w:r w:rsidRPr="00C0212D">
              <w:rPr>
                <w:rFonts w:ascii="Arial" w:hAnsi="Arial" w:cs="Arial"/>
              </w:rPr>
              <w:t>Language Assessment Literacy</w:t>
            </w:r>
          </w:p>
        </w:tc>
        <w:tc>
          <w:tcPr>
            <w:tcW w:w="709" w:type="dxa"/>
          </w:tcPr>
          <w:p w14:paraId="2D34CDDC"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212D">
              <w:rPr>
                <w:rFonts w:ascii="Arial" w:hAnsi="Arial" w:cs="Arial"/>
                <w:b/>
                <w:bCs/>
                <w:sz w:val="20"/>
                <w:szCs w:val="20"/>
              </w:rPr>
              <w:t>103</w:t>
            </w:r>
          </w:p>
        </w:tc>
        <w:tc>
          <w:tcPr>
            <w:tcW w:w="1134" w:type="dxa"/>
          </w:tcPr>
          <w:p w14:paraId="5DCA3B06"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212D">
              <w:rPr>
                <w:rFonts w:ascii="Arial" w:hAnsi="Arial" w:cs="Arial"/>
                <w:b/>
                <w:bCs/>
                <w:sz w:val="20"/>
                <w:szCs w:val="20"/>
              </w:rPr>
              <w:t>0.47</w:t>
            </w:r>
          </w:p>
        </w:tc>
        <w:tc>
          <w:tcPr>
            <w:tcW w:w="1559" w:type="dxa"/>
          </w:tcPr>
          <w:p w14:paraId="324747AC"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4.07</w:t>
            </w:r>
          </w:p>
        </w:tc>
        <w:tc>
          <w:tcPr>
            <w:tcW w:w="2410" w:type="dxa"/>
          </w:tcPr>
          <w:p w14:paraId="739559F0"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5F9BE20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87F2169" w14:textId="77777777" w:rsidR="00C0212D" w:rsidRPr="00C0212D" w:rsidRDefault="00C0212D" w:rsidP="00E2666E">
            <w:pPr>
              <w:jc w:val="both"/>
              <w:rPr>
                <w:rFonts w:ascii="Arial" w:hAnsi="Arial" w:cs="Arial"/>
                <w:lang w:val="en-US"/>
              </w:rPr>
            </w:pPr>
            <w:r w:rsidRPr="00C0212D">
              <w:rPr>
                <w:rFonts w:ascii="Arial" w:hAnsi="Arial" w:cs="Arial"/>
                <w:b w:val="0"/>
                <w:bCs w:val="0"/>
              </w:rPr>
              <w:t>Knowledge</w:t>
            </w:r>
          </w:p>
        </w:tc>
        <w:tc>
          <w:tcPr>
            <w:tcW w:w="709" w:type="dxa"/>
          </w:tcPr>
          <w:p w14:paraId="30317D2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759C24D9"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0.46</w:t>
            </w:r>
          </w:p>
        </w:tc>
        <w:tc>
          <w:tcPr>
            <w:tcW w:w="1559" w:type="dxa"/>
          </w:tcPr>
          <w:p w14:paraId="023EA28E"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4.08</w:t>
            </w:r>
          </w:p>
        </w:tc>
        <w:tc>
          <w:tcPr>
            <w:tcW w:w="2410" w:type="dxa"/>
          </w:tcPr>
          <w:p w14:paraId="37EECF85"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4DF491C7"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A3C2187" w14:textId="77777777" w:rsidR="00C0212D" w:rsidRPr="00C0212D" w:rsidRDefault="00C0212D" w:rsidP="00E2666E">
            <w:pPr>
              <w:jc w:val="both"/>
              <w:rPr>
                <w:rFonts w:ascii="Arial" w:hAnsi="Arial" w:cs="Arial"/>
              </w:rPr>
            </w:pPr>
            <w:r w:rsidRPr="00C0212D">
              <w:rPr>
                <w:rFonts w:ascii="Arial" w:hAnsi="Arial" w:cs="Arial"/>
                <w:b w:val="0"/>
                <w:bCs w:val="0"/>
              </w:rPr>
              <w:t>Skills</w:t>
            </w:r>
          </w:p>
        </w:tc>
        <w:tc>
          <w:tcPr>
            <w:tcW w:w="709" w:type="dxa"/>
          </w:tcPr>
          <w:p w14:paraId="6FDF2E34"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FFC6BF6"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0.51</w:t>
            </w:r>
          </w:p>
        </w:tc>
        <w:tc>
          <w:tcPr>
            <w:tcW w:w="1559" w:type="dxa"/>
          </w:tcPr>
          <w:p w14:paraId="71C6ABEF"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4.06</w:t>
            </w:r>
          </w:p>
        </w:tc>
        <w:tc>
          <w:tcPr>
            <w:tcW w:w="2410" w:type="dxa"/>
          </w:tcPr>
          <w:p w14:paraId="6DBEDB6B"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bl>
    <w:p w14:paraId="6237DA83" w14:textId="77777777" w:rsidR="00C0212D" w:rsidRDefault="00C0212D" w:rsidP="00C0212D">
      <w:pPr>
        <w:jc w:val="both"/>
        <w:rPr>
          <w:rFonts w:ascii="Arial" w:hAnsi="Arial" w:cs="Arial"/>
          <w:lang w:val="en-GB" w:eastAsia="en-GB"/>
        </w:rPr>
      </w:pPr>
    </w:p>
    <w:p w14:paraId="1AB0C798" w14:textId="3A336F0B" w:rsidR="00C0212D" w:rsidRDefault="00C0212D" w:rsidP="00C0212D">
      <w:pPr>
        <w:jc w:val="both"/>
        <w:rPr>
          <w:rFonts w:ascii="Arial" w:hAnsi="Arial" w:cs="Arial"/>
          <w:lang w:val="en-GB" w:eastAsia="en-GB"/>
        </w:rPr>
      </w:pPr>
      <w:r w:rsidRPr="00C0212D">
        <w:rPr>
          <w:rFonts w:ascii="Arial" w:hAnsi="Arial" w:cs="Arial"/>
          <w:lang w:val="en-GB" w:eastAsia="en-GB"/>
        </w:rPr>
        <w:t>Table 1 shows that the assessment practices variable obtained a mean of 4.32 (SD = 0.38), which is very high. It indicates that language teachers' self-perceived assessment practices were excellent. A low Standard Deviation (SD) suggests that the respondents gave similar answers or that the responses were close to the mean, with a high level of consensus among respondents concerning their assessment practices</w:t>
      </w:r>
      <w:r>
        <w:rPr>
          <w:rFonts w:ascii="Arial" w:hAnsi="Arial" w:cs="Arial"/>
          <w:lang w:val="en-GB" w:eastAsia="en-GB"/>
        </w:rPr>
        <w:t>.</w:t>
      </w:r>
    </w:p>
    <w:p w14:paraId="3B49087D" w14:textId="77777777" w:rsidR="00C0212D" w:rsidRDefault="00C0212D" w:rsidP="00C0212D">
      <w:pPr>
        <w:jc w:val="both"/>
        <w:rPr>
          <w:rFonts w:ascii="Arial" w:hAnsi="Arial" w:cs="Arial"/>
          <w:lang w:val="en-GB" w:eastAsia="en-GB"/>
        </w:rPr>
      </w:pPr>
    </w:p>
    <w:p w14:paraId="66C28326" w14:textId="19798994" w:rsidR="00C0212D" w:rsidRDefault="00C0212D" w:rsidP="00C0212D">
      <w:pPr>
        <w:jc w:val="both"/>
        <w:rPr>
          <w:rFonts w:ascii="Arial" w:hAnsi="Arial" w:cs="Arial"/>
        </w:rPr>
      </w:pPr>
      <w:r w:rsidRPr="00C0212D">
        <w:rPr>
          <w:rFonts w:ascii="Arial" w:hAnsi="Arial" w:cs="Arial"/>
        </w:rPr>
        <w:t xml:space="preserve">The results show that language teachers excel in their assessment practices. Such results affirm the assertion of Dunn and Thompson (2023), which explains that if language teachers practice valid and effective assessment practices, give corrective instruction, and allow students to retake assessments, the quality of teaching and students' learning is positively impacted. Similarly, the study's results echo Nishizuka's (2020) findings, showing how strong language assessment practices of teachers can improve learning and promote a </w:t>
      </w:r>
      <w:r w:rsidR="00F27DC0" w:rsidRPr="006D5DAF">
        <w:rPr>
          <w:rFonts w:ascii="Arial" w:hAnsi="Arial" w:cs="Arial"/>
          <w:highlight w:val="yellow"/>
        </w:rPr>
        <w:t>learner-centred</w:t>
      </w:r>
      <w:r w:rsidRPr="006D5DAF">
        <w:rPr>
          <w:rFonts w:ascii="Arial" w:hAnsi="Arial" w:cs="Arial"/>
          <w:highlight w:val="yellow"/>
        </w:rPr>
        <w:t xml:space="preserve"> </w:t>
      </w:r>
      <w:r w:rsidRPr="00C0212D">
        <w:rPr>
          <w:rFonts w:ascii="Arial" w:hAnsi="Arial" w:cs="Arial"/>
        </w:rPr>
        <w:t>environment.</w:t>
      </w:r>
    </w:p>
    <w:p w14:paraId="76BFC934" w14:textId="77777777" w:rsidR="00C0212D" w:rsidRDefault="00C0212D" w:rsidP="00C0212D">
      <w:pPr>
        <w:jc w:val="both"/>
        <w:rPr>
          <w:rFonts w:ascii="Arial" w:hAnsi="Arial" w:cs="Arial"/>
          <w:lang w:val="en-GB" w:eastAsia="en-GB"/>
        </w:rPr>
      </w:pPr>
    </w:p>
    <w:p w14:paraId="22425199" w14:textId="68126673" w:rsidR="00C0212D" w:rsidRDefault="00C0212D" w:rsidP="00C0212D">
      <w:pPr>
        <w:jc w:val="both"/>
        <w:rPr>
          <w:rFonts w:ascii="Arial" w:hAnsi="Arial" w:cs="Arial"/>
        </w:rPr>
      </w:pPr>
      <w:r w:rsidRPr="00CB21EA">
        <w:rPr>
          <w:rFonts w:ascii="Arial" w:hAnsi="Arial" w:cs="Arial"/>
        </w:rPr>
        <w:t>Furthermore, the assessment collaboration variable resulted in an overall mean of 4.13 (SD = 0.39), which is high. It denotes that language teachers perceived their assessment collaborations as very good. The relatively low SD suggests a consistent perception among respondents.</w:t>
      </w:r>
    </w:p>
    <w:p w14:paraId="68090213" w14:textId="77777777" w:rsidR="00C0212D" w:rsidRDefault="00C0212D" w:rsidP="00C0212D">
      <w:pPr>
        <w:jc w:val="both"/>
        <w:rPr>
          <w:rFonts w:ascii="Arial" w:hAnsi="Arial" w:cs="Arial"/>
        </w:rPr>
      </w:pPr>
    </w:p>
    <w:p w14:paraId="70A2D1F8" w14:textId="37B7092D" w:rsidR="00C0212D" w:rsidRDefault="00C0212D" w:rsidP="00C0212D">
      <w:pPr>
        <w:jc w:val="both"/>
        <w:rPr>
          <w:rFonts w:ascii="Arial" w:hAnsi="Arial" w:cs="Arial"/>
        </w:rPr>
      </w:pPr>
      <w:r w:rsidRPr="00C0212D">
        <w:rPr>
          <w:rFonts w:ascii="Arial" w:hAnsi="Arial" w:cs="Arial"/>
        </w:rPr>
        <w:t xml:space="preserve">The data on assessment collaborations show teachers engaging in high levels of assessment collaboration. This discovery aligns with the collaborative assessment framework identified by Sims et al. (2021), where professional dialogue or collaboration enhances the meaning of language assessment literacy by stimulating the construction of principles that contribute to a common understanding among practitioners. They also explained that quality discourse allows teachers to share perceptions, see whether they match, and look at the fidelity with which assessment is used. Similarly, Schaffalitzky (2024) </w:t>
      </w:r>
      <w:r w:rsidR="00F27DC0" w:rsidRPr="006D5DAF">
        <w:rPr>
          <w:rFonts w:ascii="Arial" w:hAnsi="Arial" w:cs="Arial"/>
          <w:highlight w:val="yellow"/>
        </w:rPr>
        <w:t>emphasised</w:t>
      </w:r>
      <w:r w:rsidR="00F27DC0" w:rsidRPr="006D5DAF">
        <w:rPr>
          <w:rFonts w:ascii="Arial" w:hAnsi="Arial" w:cs="Arial"/>
          <w:highlight w:val="yellow"/>
        </w:rPr>
        <w:t xml:space="preserve"> </w:t>
      </w:r>
      <w:r w:rsidRPr="00C0212D">
        <w:rPr>
          <w:rFonts w:ascii="Arial" w:hAnsi="Arial" w:cs="Arial"/>
        </w:rPr>
        <w:t>the significance of professional cooperation, enabling teachers to agree on shared expectations about the standard of assessment and for teachers to plan and provide engaging learning experiences.  Correia and Harriston (2020) suggested that the meanings and experiences of the teacher and the student can be connected through dialogue in formative assessment, yielding more effective learning that comes from formative assessment.</w:t>
      </w:r>
    </w:p>
    <w:p w14:paraId="06B18168" w14:textId="77777777" w:rsidR="00C0212D" w:rsidRDefault="00C0212D" w:rsidP="00C0212D">
      <w:pPr>
        <w:jc w:val="both"/>
        <w:rPr>
          <w:rFonts w:ascii="Arial" w:hAnsi="Arial" w:cs="Arial"/>
        </w:rPr>
      </w:pPr>
    </w:p>
    <w:p w14:paraId="4F5DB29B" w14:textId="5215DC44" w:rsidR="00C0212D" w:rsidRDefault="00C0212D" w:rsidP="00C0212D">
      <w:pPr>
        <w:jc w:val="both"/>
        <w:rPr>
          <w:rFonts w:ascii="Arial" w:hAnsi="Arial" w:cs="Arial"/>
        </w:rPr>
      </w:pPr>
      <w:r w:rsidRPr="00CB21EA">
        <w:rPr>
          <w:rFonts w:ascii="Arial" w:hAnsi="Arial" w:cs="Arial"/>
        </w:rPr>
        <w:t>Moreover, the assessment autonomy obtained a mean of 4.16 (SD = 0.43), which is described as high. This level indicates that language teachers' self-perceived assessment autonomy was excellent. The SD shows moderately consistent responses across participants.</w:t>
      </w:r>
    </w:p>
    <w:p w14:paraId="1064F774" w14:textId="77777777" w:rsidR="00C0212D" w:rsidRDefault="00C0212D" w:rsidP="00C0212D">
      <w:pPr>
        <w:jc w:val="both"/>
        <w:rPr>
          <w:rFonts w:ascii="Arial" w:hAnsi="Arial" w:cs="Arial"/>
        </w:rPr>
      </w:pPr>
    </w:p>
    <w:p w14:paraId="20E448D7" w14:textId="03E7E1FC" w:rsidR="00C0212D" w:rsidRDefault="00C0212D" w:rsidP="00C0212D">
      <w:pPr>
        <w:jc w:val="both"/>
        <w:rPr>
          <w:rFonts w:ascii="Arial" w:hAnsi="Arial" w:cs="Arial"/>
        </w:rPr>
      </w:pPr>
      <w:r w:rsidRPr="00CB21EA">
        <w:rPr>
          <w:rFonts w:ascii="Arial" w:hAnsi="Arial" w:cs="Arial"/>
        </w:rPr>
        <w:t xml:space="preserve">Moving on, the results on assessment autonomy of language teachers suggest that teachers perceive themselves to have a good level of assessment autonomy. This discovery affirms the contention of Guo and Wang (2021) that teachers feel confident in making independent decisions in their teaching and assessment practices, including the varying designs and implementing the assessment practices. This finding was also in line with the theory of teacher autonomy in assessment proposed by Xu et al. (2024), which </w:t>
      </w:r>
      <w:r w:rsidR="00F27DC0" w:rsidRPr="006D5DAF">
        <w:rPr>
          <w:rFonts w:ascii="Arial" w:hAnsi="Arial" w:cs="Arial"/>
          <w:highlight w:val="yellow"/>
        </w:rPr>
        <w:t>emphasised</w:t>
      </w:r>
      <w:r w:rsidR="00F27DC0" w:rsidRPr="00CB21EA">
        <w:rPr>
          <w:rFonts w:ascii="Arial" w:hAnsi="Arial" w:cs="Arial"/>
        </w:rPr>
        <w:t xml:space="preserve"> </w:t>
      </w:r>
      <w:r w:rsidRPr="00CB21EA">
        <w:rPr>
          <w:rFonts w:ascii="Arial" w:hAnsi="Arial" w:cs="Arial"/>
        </w:rPr>
        <w:t>the empowerment of teachers' content in making the right decisions in performance assessment, aligning with the needs of their students and their instructional context. In addition, as explained by Salokangas et al. (2020), the high assessment autonomy is linked to the trust their schools have given them to apply professional judgment in their modes of assessment without so much external control.</w:t>
      </w:r>
    </w:p>
    <w:p w14:paraId="6CD2D89E" w14:textId="77777777" w:rsidR="00C0212D" w:rsidRDefault="00C0212D" w:rsidP="00C0212D">
      <w:pPr>
        <w:jc w:val="both"/>
        <w:rPr>
          <w:rFonts w:ascii="Arial" w:hAnsi="Arial" w:cs="Arial"/>
        </w:rPr>
      </w:pPr>
    </w:p>
    <w:p w14:paraId="41AB6D45" w14:textId="25CDD420" w:rsidR="00C0212D" w:rsidRDefault="00C0212D" w:rsidP="00C0212D">
      <w:pPr>
        <w:jc w:val="both"/>
        <w:rPr>
          <w:rFonts w:ascii="Arial" w:hAnsi="Arial" w:cs="Arial"/>
        </w:rPr>
      </w:pPr>
      <w:r w:rsidRPr="00CB21EA">
        <w:rPr>
          <w:rFonts w:ascii="Arial" w:hAnsi="Arial" w:cs="Arial"/>
        </w:rPr>
        <w:t xml:space="preserve">Finally, the language assessment literacy, as shown in Table 1, obtained a mean of 4.07 (SD = 0.47), which is described as high. This level means language teachers' self-perceived </w:t>
      </w:r>
      <w:r w:rsidRPr="00CB21EA">
        <w:rPr>
          <w:rFonts w:ascii="Arial" w:hAnsi="Arial" w:cs="Arial"/>
        </w:rPr>
        <w:lastRenderedPageBreak/>
        <w:t>language assessment literacy is very good. The SD shows a moderate range of variability in responses.</w:t>
      </w:r>
    </w:p>
    <w:p w14:paraId="263752E7" w14:textId="77777777" w:rsidR="00C0212D" w:rsidRDefault="00C0212D" w:rsidP="00C0212D">
      <w:pPr>
        <w:jc w:val="both"/>
        <w:rPr>
          <w:rFonts w:ascii="Arial" w:hAnsi="Arial" w:cs="Arial"/>
        </w:rPr>
      </w:pPr>
    </w:p>
    <w:p w14:paraId="1AED3E4E" w14:textId="2839C8AB" w:rsidR="00C0212D" w:rsidRDefault="00C0212D" w:rsidP="00C0212D">
      <w:pPr>
        <w:jc w:val="both"/>
        <w:rPr>
          <w:rFonts w:ascii="Arial" w:hAnsi="Arial" w:cs="Arial"/>
        </w:rPr>
      </w:pPr>
      <w:r w:rsidRPr="00CB21EA">
        <w:rPr>
          <w:rFonts w:ascii="Arial" w:hAnsi="Arial" w:cs="Arial"/>
        </w:rPr>
        <w:t>Language Assessment Literacy (LAL), as revealed by the results on language assessment literacy, shows that teachers are highly skilled in Language Assessment Literacy (LAL). This finding resonates with that of Kusmawan (2023), who reported that language teachers with good basic assessment knowledge can design valid, reliable, and fair assessments. In addition, teachers with good language assessment knowledge make sound judgments about suitable and effective assessment instruments for students' performance measurement (Byrd &amp; Alexander, 2020).</w:t>
      </w:r>
    </w:p>
    <w:p w14:paraId="143A8FE2" w14:textId="77777777" w:rsidR="00C0212D" w:rsidRDefault="00C0212D" w:rsidP="00C0212D">
      <w:pPr>
        <w:jc w:val="both"/>
        <w:rPr>
          <w:rFonts w:ascii="Arial" w:hAnsi="Arial" w:cs="Arial"/>
        </w:rPr>
      </w:pPr>
    </w:p>
    <w:p w14:paraId="40F09242" w14:textId="670D37F7" w:rsidR="00C0212D" w:rsidRPr="00FB3A86" w:rsidRDefault="00C0212D" w:rsidP="00C0212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Correlation Analysis</w:t>
      </w:r>
      <w:r w:rsidRPr="00C30A0F">
        <w:rPr>
          <w:rFonts w:ascii="Arial" w:hAnsi="Arial" w:cs="Arial"/>
          <w:b/>
          <w:sz w:val="22"/>
        </w:rPr>
        <w:t xml:space="preserve"> </w:t>
      </w:r>
      <w:r w:rsidRPr="00FB3A86">
        <w:rPr>
          <w:rFonts w:ascii="Arial" w:hAnsi="Arial" w:cs="Arial"/>
        </w:rPr>
        <w:t xml:space="preserve"> </w:t>
      </w:r>
    </w:p>
    <w:p w14:paraId="53A4FFD8" w14:textId="71D543D4" w:rsidR="00C0212D" w:rsidRDefault="00C0212D" w:rsidP="00C0212D">
      <w:pPr>
        <w:jc w:val="both"/>
        <w:rPr>
          <w:rFonts w:ascii="Arial" w:hAnsi="Arial" w:cs="Arial"/>
        </w:rPr>
      </w:pPr>
      <w:r w:rsidRPr="00C0212D">
        <w:rPr>
          <w:rFonts w:ascii="Arial" w:hAnsi="Arial" w:cs="Arial"/>
        </w:rPr>
        <w:t xml:space="preserve">Table 2 is a correlational table. It contains the independent variables, namely assessment practices, collaborations, and autonomy, and the dependent variable, specifically language assessment literacy (LAL). It also shows the r-value and p-value, the decision of the null </w:t>
      </w:r>
      <w:r w:rsidR="00F27DC0" w:rsidRPr="006D5DAF">
        <w:rPr>
          <w:rFonts w:ascii="Arial" w:hAnsi="Arial" w:cs="Arial"/>
          <w:highlight w:val="yellow"/>
        </w:rPr>
        <w:t>hypothesis</w:t>
      </w:r>
      <w:r w:rsidRPr="00C0212D">
        <w:rPr>
          <w:rFonts w:ascii="Arial" w:hAnsi="Arial" w:cs="Arial"/>
        </w:rPr>
        <w:t>, and the corresponding interpretation</w:t>
      </w:r>
      <w:r>
        <w:rPr>
          <w:rFonts w:ascii="Arial" w:hAnsi="Arial" w:cs="Arial"/>
        </w:rPr>
        <w:t>.</w:t>
      </w:r>
    </w:p>
    <w:p w14:paraId="3C2D3AD0" w14:textId="77777777" w:rsidR="00C0212D" w:rsidRPr="00C0212D" w:rsidRDefault="00C0212D" w:rsidP="00C0212D">
      <w:pPr>
        <w:jc w:val="both"/>
        <w:rPr>
          <w:rFonts w:ascii="Arial" w:hAnsi="Arial" w:cs="Arial"/>
        </w:rPr>
      </w:pPr>
    </w:p>
    <w:p w14:paraId="05A3D26E" w14:textId="6E088E23" w:rsidR="00C0212D" w:rsidRPr="00C0212D" w:rsidRDefault="00C0212D" w:rsidP="00C0212D">
      <w:pPr>
        <w:pStyle w:val="NoSpacing"/>
        <w:jc w:val="both"/>
        <w:rPr>
          <w:rFonts w:ascii="Arial" w:hAnsi="Arial" w:cs="Arial"/>
          <w:b/>
          <w:bCs/>
          <w:sz w:val="20"/>
          <w:szCs w:val="20"/>
        </w:rPr>
      </w:pPr>
      <w:r w:rsidRPr="00C0212D">
        <w:rPr>
          <w:rFonts w:ascii="Arial" w:hAnsi="Arial" w:cs="Arial"/>
          <w:b/>
          <w:bCs/>
          <w:sz w:val="20"/>
          <w:szCs w:val="20"/>
        </w:rPr>
        <w:t>Table 2. Test of Significant Relationship</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1380"/>
        <w:gridCol w:w="1251"/>
        <w:gridCol w:w="1766"/>
        <w:gridCol w:w="1764"/>
      </w:tblGrid>
      <w:tr w:rsidR="00C0212D" w:rsidRPr="00C0212D" w14:paraId="59879E73" w14:textId="77777777" w:rsidTr="009539FB">
        <w:trPr>
          <w:trHeight w:val="284"/>
        </w:trPr>
        <w:tc>
          <w:tcPr>
            <w:tcW w:w="2344" w:type="dxa"/>
            <w:vMerge w:val="restart"/>
            <w:tcBorders>
              <w:top w:val="single" w:sz="4" w:space="0" w:color="auto"/>
              <w:bottom w:val="single" w:sz="4" w:space="0" w:color="auto"/>
            </w:tcBorders>
          </w:tcPr>
          <w:p w14:paraId="15E00363" w14:textId="77777777" w:rsidR="00C0212D" w:rsidRPr="00C0212D" w:rsidRDefault="00C0212D" w:rsidP="009539FB">
            <w:pPr>
              <w:pStyle w:val="NoSpacing"/>
              <w:rPr>
                <w:rFonts w:ascii="Arial" w:hAnsi="Arial" w:cs="Arial"/>
                <w:sz w:val="20"/>
                <w:szCs w:val="20"/>
              </w:rPr>
            </w:pPr>
          </w:p>
        </w:tc>
        <w:tc>
          <w:tcPr>
            <w:tcW w:w="6161" w:type="dxa"/>
            <w:gridSpan w:val="4"/>
            <w:tcBorders>
              <w:top w:val="single" w:sz="4" w:space="0" w:color="auto"/>
              <w:bottom w:val="single" w:sz="4" w:space="0" w:color="auto"/>
            </w:tcBorders>
          </w:tcPr>
          <w:p w14:paraId="4DEEB44C" w14:textId="77777777" w:rsidR="00C0212D" w:rsidRPr="00C0212D" w:rsidRDefault="00C0212D" w:rsidP="009539FB">
            <w:pPr>
              <w:pStyle w:val="NoSpacing"/>
              <w:jc w:val="center"/>
              <w:rPr>
                <w:rFonts w:ascii="Arial" w:hAnsi="Arial" w:cs="Arial"/>
                <w:sz w:val="20"/>
                <w:szCs w:val="20"/>
              </w:rPr>
            </w:pPr>
            <w:r w:rsidRPr="00C0212D">
              <w:rPr>
                <w:rFonts w:ascii="Arial" w:hAnsi="Arial" w:cs="Arial"/>
                <w:sz w:val="20"/>
                <w:szCs w:val="20"/>
              </w:rPr>
              <w:t>Language Assessment Literacy</w:t>
            </w:r>
          </w:p>
        </w:tc>
      </w:tr>
      <w:tr w:rsidR="00C0212D" w:rsidRPr="00C0212D" w14:paraId="66C3163E" w14:textId="77777777" w:rsidTr="009539FB">
        <w:trPr>
          <w:trHeight w:val="148"/>
        </w:trPr>
        <w:tc>
          <w:tcPr>
            <w:tcW w:w="2344" w:type="dxa"/>
            <w:vMerge/>
            <w:tcBorders>
              <w:top w:val="single" w:sz="4" w:space="0" w:color="auto"/>
            </w:tcBorders>
          </w:tcPr>
          <w:p w14:paraId="42D68F9F" w14:textId="77777777" w:rsidR="00C0212D" w:rsidRPr="00C0212D" w:rsidRDefault="00C0212D" w:rsidP="009539FB">
            <w:pPr>
              <w:pStyle w:val="NoSpacing"/>
              <w:rPr>
                <w:rFonts w:ascii="Arial" w:hAnsi="Arial" w:cs="Arial"/>
                <w:sz w:val="20"/>
                <w:szCs w:val="20"/>
              </w:rPr>
            </w:pPr>
          </w:p>
        </w:tc>
        <w:tc>
          <w:tcPr>
            <w:tcW w:w="1380" w:type="dxa"/>
            <w:tcBorders>
              <w:top w:val="single" w:sz="4" w:space="0" w:color="auto"/>
              <w:bottom w:val="single" w:sz="4" w:space="0" w:color="auto"/>
            </w:tcBorders>
          </w:tcPr>
          <w:p w14:paraId="3C50AB8A" w14:textId="77777777" w:rsidR="00C0212D" w:rsidRPr="00C0212D" w:rsidRDefault="00C0212D" w:rsidP="009539FB">
            <w:pPr>
              <w:pStyle w:val="NoSpacing"/>
              <w:jc w:val="center"/>
              <w:rPr>
                <w:rFonts w:ascii="Arial" w:hAnsi="Arial" w:cs="Arial"/>
                <w:b/>
                <w:bCs/>
                <w:sz w:val="20"/>
                <w:szCs w:val="20"/>
              </w:rPr>
            </w:pPr>
            <m:oMathPara>
              <m:oMath>
                <m:r>
                  <m:rPr>
                    <m:sty m:val="bi"/>
                  </m:rPr>
                  <w:rPr>
                    <w:rFonts w:ascii="Cambria Math" w:hAnsi="Cambria Math" w:cs="Arial"/>
                    <w:sz w:val="20"/>
                    <w:szCs w:val="20"/>
                  </w:rPr>
                  <m:t>r-Value</m:t>
                </m:r>
              </m:oMath>
            </m:oMathPara>
          </w:p>
        </w:tc>
        <w:tc>
          <w:tcPr>
            <w:tcW w:w="1251" w:type="dxa"/>
            <w:tcBorders>
              <w:top w:val="single" w:sz="4" w:space="0" w:color="auto"/>
              <w:bottom w:val="single" w:sz="4" w:space="0" w:color="auto"/>
            </w:tcBorders>
          </w:tcPr>
          <w:p w14:paraId="7DD1B2BB" w14:textId="77777777" w:rsidR="00C0212D" w:rsidRPr="00C0212D" w:rsidRDefault="00C0212D" w:rsidP="009539FB">
            <w:pPr>
              <w:pStyle w:val="NoSpacing"/>
              <w:jc w:val="center"/>
              <w:rPr>
                <w:rFonts w:ascii="Arial" w:hAnsi="Arial" w:cs="Arial"/>
                <w:b/>
                <w:bCs/>
                <w:sz w:val="20"/>
                <w:szCs w:val="20"/>
              </w:rPr>
            </w:pPr>
            <m:oMathPara>
              <m:oMath>
                <m:r>
                  <m:rPr>
                    <m:sty m:val="bi"/>
                  </m:rPr>
                  <w:rPr>
                    <w:rFonts w:ascii="Cambria Math" w:hAnsi="Cambria Math" w:cs="Arial"/>
                    <w:sz w:val="20"/>
                    <w:szCs w:val="20"/>
                  </w:rPr>
                  <m:t>p-Value</m:t>
                </m:r>
              </m:oMath>
            </m:oMathPara>
          </w:p>
        </w:tc>
        <w:tc>
          <w:tcPr>
            <w:tcW w:w="1766" w:type="dxa"/>
            <w:tcBorders>
              <w:top w:val="single" w:sz="4" w:space="0" w:color="auto"/>
              <w:bottom w:val="single" w:sz="4" w:space="0" w:color="auto"/>
            </w:tcBorders>
          </w:tcPr>
          <w:p w14:paraId="70C2BBD2" w14:textId="77777777" w:rsidR="00C0212D" w:rsidRPr="00C0212D" w:rsidRDefault="00C0212D" w:rsidP="009539FB">
            <w:pPr>
              <w:pStyle w:val="NoSpacing"/>
              <w:jc w:val="center"/>
              <w:rPr>
                <w:rFonts w:ascii="Arial" w:hAnsi="Arial" w:cs="Arial"/>
                <w:b/>
                <w:bCs/>
                <w:sz w:val="20"/>
                <w:szCs w:val="20"/>
              </w:rPr>
            </w:pPr>
            <w:r w:rsidRPr="00C0212D">
              <w:rPr>
                <w:rFonts w:ascii="Arial" w:hAnsi="Arial" w:cs="Arial"/>
                <w:b/>
                <w:bCs/>
                <w:sz w:val="20"/>
                <w:szCs w:val="20"/>
              </w:rPr>
              <w:t xml:space="preserve">Decision on </w:t>
            </w:r>
            <m:oMath>
              <m:r>
                <m:rPr>
                  <m:sty m:val="bi"/>
                </m:rPr>
                <w:rPr>
                  <w:rFonts w:ascii="Cambria Math" w:hAnsi="Cambria Math" w:cs="Arial"/>
                  <w:sz w:val="20"/>
                  <w:szCs w:val="20"/>
                </w:rPr>
                <m:t>Ho</m:t>
              </m:r>
            </m:oMath>
          </w:p>
        </w:tc>
        <w:tc>
          <w:tcPr>
            <w:tcW w:w="1764" w:type="dxa"/>
            <w:tcBorders>
              <w:top w:val="single" w:sz="4" w:space="0" w:color="auto"/>
              <w:bottom w:val="single" w:sz="4" w:space="0" w:color="auto"/>
            </w:tcBorders>
          </w:tcPr>
          <w:p w14:paraId="79AC6C49" w14:textId="77777777" w:rsidR="00C0212D" w:rsidRPr="00C0212D" w:rsidRDefault="00C0212D" w:rsidP="009539FB">
            <w:pPr>
              <w:pStyle w:val="NoSpacing"/>
              <w:jc w:val="center"/>
              <w:rPr>
                <w:rFonts w:ascii="Arial" w:hAnsi="Arial" w:cs="Arial"/>
                <w:b/>
                <w:bCs/>
                <w:sz w:val="20"/>
                <w:szCs w:val="20"/>
              </w:rPr>
            </w:pPr>
            <w:r w:rsidRPr="00C0212D">
              <w:rPr>
                <w:rFonts w:ascii="Arial" w:hAnsi="Arial" w:cs="Arial"/>
                <w:b/>
                <w:bCs/>
                <w:sz w:val="20"/>
                <w:szCs w:val="20"/>
              </w:rPr>
              <w:t>Interpretation</w:t>
            </w:r>
          </w:p>
        </w:tc>
      </w:tr>
      <w:tr w:rsidR="00C0212D" w:rsidRPr="00C0212D" w14:paraId="34F2263D" w14:textId="77777777" w:rsidTr="009539FB">
        <w:trPr>
          <w:trHeight w:val="791"/>
        </w:trPr>
        <w:tc>
          <w:tcPr>
            <w:tcW w:w="2344" w:type="dxa"/>
          </w:tcPr>
          <w:p w14:paraId="65392DC0" w14:textId="77777777" w:rsidR="00C0212D" w:rsidRPr="00C0212D" w:rsidRDefault="00C0212D" w:rsidP="009539FB">
            <w:pPr>
              <w:rPr>
                <w:rFonts w:ascii="Arial" w:hAnsi="Arial" w:cs="Arial"/>
                <w:sz w:val="20"/>
                <w:szCs w:val="20"/>
              </w:rPr>
            </w:pPr>
            <w:r w:rsidRPr="00C0212D">
              <w:rPr>
                <w:rFonts w:ascii="Arial" w:hAnsi="Arial" w:cs="Arial"/>
                <w:sz w:val="20"/>
                <w:szCs w:val="20"/>
              </w:rPr>
              <w:t>Assessment Practices</w:t>
            </w:r>
          </w:p>
        </w:tc>
        <w:tc>
          <w:tcPr>
            <w:tcW w:w="1380" w:type="dxa"/>
            <w:tcBorders>
              <w:top w:val="single" w:sz="4" w:space="0" w:color="auto"/>
            </w:tcBorders>
          </w:tcPr>
          <w:p w14:paraId="5D9D07CC" w14:textId="77777777" w:rsidR="00C0212D" w:rsidRPr="00C0212D" w:rsidRDefault="00C0212D" w:rsidP="009539FB">
            <w:pPr>
              <w:jc w:val="center"/>
              <w:rPr>
                <w:rFonts w:ascii="Arial" w:eastAsiaTheme="minorEastAsia" w:hAnsi="Arial" w:cs="Arial"/>
                <w:sz w:val="20"/>
                <w:szCs w:val="20"/>
              </w:rPr>
            </w:pPr>
          </w:p>
          <w:p w14:paraId="6C41104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.506</w:t>
            </w:r>
          </w:p>
        </w:tc>
        <w:tc>
          <w:tcPr>
            <w:tcW w:w="1251" w:type="dxa"/>
            <w:tcBorders>
              <w:top w:val="single" w:sz="4" w:space="0" w:color="auto"/>
            </w:tcBorders>
          </w:tcPr>
          <w:p w14:paraId="171A2E3D" w14:textId="77777777" w:rsidR="00C0212D" w:rsidRPr="00C0212D" w:rsidRDefault="00C0212D" w:rsidP="009539FB">
            <w:pPr>
              <w:jc w:val="center"/>
              <w:rPr>
                <w:rFonts w:ascii="Arial" w:eastAsiaTheme="minorEastAsia" w:hAnsi="Arial" w:cs="Arial"/>
                <w:sz w:val="20"/>
                <w:szCs w:val="20"/>
              </w:rPr>
            </w:pPr>
          </w:p>
          <w:p w14:paraId="626CA7B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Borders>
              <w:top w:val="single" w:sz="4" w:space="0" w:color="auto"/>
            </w:tcBorders>
          </w:tcPr>
          <w:p w14:paraId="7D6ACAE1" w14:textId="77777777" w:rsidR="00C0212D" w:rsidRPr="00C0212D" w:rsidRDefault="00C0212D" w:rsidP="009539FB">
            <w:pPr>
              <w:rPr>
                <w:rFonts w:ascii="Arial" w:eastAsiaTheme="minorEastAsia" w:hAnsi="Arial" w:cs="Arial"/>
                <w:sz w:val="20"/>
                <w:szCs w:val="20"/>
              </w:rPr>
            </w:pPr>
          </w:p>
          <w:p w14:paraId="04F60ACF"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Borders>
              <w:top w:val="single" w:sz="4" w:space="0" w:color="auto"/>
            </w:tcBorders>
          </w:tcPr>
          <w:p w14:paraId="6E095E6B" w14:textId="77777777" w:rsidR="00C0212D" w:rsidRPr="00C0212D" w:rsidRDefault="00C0212D" w:rsidP="009539FB">
            <w:pPr>
              <w:rPr>
                <w:rFonts w:ascii="Arial" w:eastAsiaTheme="minorEastAsia" w:hAnsi="Arial" w:cs="Arial"/>
                <w:sz w:val="20"/>
                <w:szCs w:val="20"/>
              </w:rPr>
            </w:pPr>
          </w:p>
          <w:p w14:paraId="78782A0D"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r w:rsidR="00C0212D" w:rsidRPr="00C0212D" w14:paraId="0A1EE807" w14:textId="77777777" w:rsidTr="009539FB">
        <w:trPr>
          <w:trHeight w:val="720"/>
        </w:trPr>
        <w:tc>
          <w:tcPr>
            <w:tcW w:w="2344" w:type="dxa"/>
          </w:tcPr>
          <w:p w14:paraId="48B1D331" w14:textId="77777777" w:rsidR="00C0212D" w:rsidRPr="00C0212D" w:rsidRDefault="00C0212D" w:rsidP="009539FB">
            <w:pPr>
              <w:rPr>
                <w:rFonts w:ascii="Arial" w:hAnsi="Arial" w:cs="Arial"/>
                <w:sz w:val="20"/>
                <w:szCs w:val="20"/>
              </w:rPr>
            </w:pPr>
            <w:r w:rsidRPr="00C0212D">
              <w:rPr>
                <w:rFonts w:ascii="Arial" w:hAnsi="Arial" w:cs="Arial"/>
                <w:sz w:val="20"/>
                <w:szCs w:val="20"/>
              </w:rPr>
              <w:t>Assessment Collaborations</w:t>
            </w:r>
          </w:p>
        </w:tc>
        <w:tc>
          <w:tcPr>
            <w:tcW w:w="1380" w:type="dxa"/>
          </w:tcPr>
          <w:p w14:paraId="68FFE141"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.540</w:t>
            </w:r>
          </w:p>
        </w:tc>
        <w:tc>
          <w:tcPr>
            <w:tcW w:w="1251" w:type="dxa"/>
          </w:tcPr>
          <w:p w14:paraId="3B716E61"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Pr>
          <w:p w14:paraId="09A44B12"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Pr>
          <w:p w14:paraId="7EE09E1E"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r w:rsidR="00C0212D" w:rsidRPr="00C0212D" w14:paraId="41A7CDE2" w14:textId="77777777" w:rsidTr="009539FB">
        <w:trPr>
          <w:trHeight w:val="279"/>
        </w:trPr>
        <w:tc>
          <w:tcPr>
            <w:tcW w:w="2344" w:type="dxa"/>
            <w:tcBorders>
              <w:bottom w:val="single" w:sz="4" w:space="0" w:color="auto"/>
            </w:tcBorders>
          </w:tcPr>
          <w:p w14:paraId="5EB80312" w14:textId="77777777" w:rsidR="00C0212D" w:rsidRPr="00C0212D" w:rsidRDefault="00C0212D" w:rsidP="009539FB">
            <w:pPr>
              <w:rPr>
                <w:rFonts w:ascii="Arial" w:hAnsi="Arial" w:cs="Arial"/>
                <w:sz w:val="20"/>
                <w:szCs w:val="20"/>
              </w:rPr>
            </w:pPr>
            <w:r w:rsidRPr="00C0212D">
              <w:rPr>
                <w:rFonts w:ascii="Arial" w:hAnsi="Arial" w:cs="Arial"/>
                <w:iCs/>
                <w:sz w:val="20"/>
                <w:szCs w:val="20"/>
              </w:rPr>
              <w:t>Assessment Autonomy</w:t>
            </w:r>
          </w:p>
        </w:tc>
        <w:tc>
          <w:tcPr>
            <w:tcW w:w="1380" w:type="dxa"/>
            <w:tcBorders>
              <w:bottom w:val="single" w:sz="4" w:space="0" w:color="auto"/>
            </w:tcBorders>
          </w:tcPr>
          <w:p w14:paraId="545AC20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.535</w:t>
            </w:r>
          </w:p>
        </w:tc>
        <w:tc>
          <w:tcPr>
            <w:tcW w:w="1251" w:type="dxa"/>
            <w:tcBorders>
              <w:bottom w:val="single" w:sz="4" w:space="0" w:color="auto"/>
            </w:tcBorders>
          </w:tcPr>
          <w:p w14:paraId="38D23D04"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Borders>
              <w:bottom w:val="single" w:sz="4" w:space="0" w:color="auto"/>
            </w:tcBorders>
          </w:tcPr>
          <w:p w14:paraId="747B9E50"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Borders>
              <w:bottom w:val="single" w:sz="4" w:space="0" w:color="auto"/>
            </w:tcBorders>
          </w:tcPr>
          <w:p w14:paraId="4575576D"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bl>
    <w:p w14:paraId="629BE8A1" w14:textId="77777777" w:rsidR="00C0212D" w:rsidRPr="00C0212D" w:rsidRDefault="00C0212D" w:rsidP="00C0212D">
      <w:pPr>
        <w:jc w:val="both"/>
        <w:rPr>
          <w:rFonts w:ascii="Arial" w:hAnsi="Arial" w:cs="Arial"/>
          <w:lang w:val="en-GB" w:eastAsia="en-GB"/>
        </w:rPr>
      </w:pPr>
      <w:r w:rsidRPr="00C0212D">
        <w:rPr>
          <w:rFonts w:ascii="Arial" w:hAnsi="Arial" w:cs="Arial"/>
          <w:lang w:val="en-GB" w:eastAsia="en-GB"/>
        </w:rPr>
        <w:t>Specifically, the table shows that the correlation between assessment practices and LAL obtained a p-value of 0.000, less than the 0.05 degree of confidence. Therefore, the null hypothesis was rejected, which indicates that the correlation between assessment practices and LAL is significant. Similarly, the correlation between the two variables resulted in an r-value of 0.506, indicating a moderately high and positive</w:t>
      </w:r>
    </w:p>
    <w:p w14:paraId="12385284" w14:textId="77777777" w:rsidR="00C0212D" w:rsidRPr="00C0212D" w:rsidRDefault="00C0212D" w:rsidP="00C0212D">
      <w:pPr>
        <w:jc w:val="both"/>
        <w:rPr>
          <w:rFonts w:ascii="Arial" w:hAnsi="Arial" w:cs="Arial"/>
          <w:lang w:val="en-GB" w:eastAsia="en-GB"/>
        </w:rPr>
      </w:pPr>
      <w:r w:rsidRPr="00C0212D">
        <w:rPr>
          <w:rFonts w:ascii="Arial" w:hAnsi="Arial" w:cs="Arial"/>
          <w:lang w:val="en-GB" w:eastAsia="en-GB"/>
        </w:rPr>
        <w:t xml:space="preserve"> correlation. </w:t>
      </w:r>
    </w:p>
    <w:p w14:paraId="15C24642" w14:textId="77777777" w:rsidR="00C0212D" w:rsidRPr="00C0212D" w:rsidRDefault="00C0212D" w:rsidP="00C0212D">
      <w:pPr>
        <w:jc w:val="both"/>
        <w:rPr>
          <w:rFonts w:ascii="Arial" w:hAnsi="Arial" w:cs="Arial"/>
          <w:lang w:val="en-GB" w:eastAsia="en-GB"/>
        </w:rPr>
      </w:pPr>
    </w:p>
    <w:p w14:paraId="590DFD36" w14:textId="77777777" w:rsidR="00C0212D" w:rsidRDefault="00C0212D" w:rsidP="00C0212D">
      <w:pPr>
        <w:jc w:val="both"/>
        <w:rPr>
          <w:rFonts w:ascii="Arial" w:hAnsi="Arial" w:cs="Arial"/>
          <w:lang w:val="en-GB" w:eastAsia="en-GB"/>
        </w:rPr>
      </w:pPr>
      <w:r w:rsidRPr="00C0212D">
        <w:rPr>
          <w:rFonts w:ascii="Arial" w:hAnsi="Arial" w:cs="Arial"/>
          <w:lang w:val="en-GB" w:eastAsia="en-GB"/>
        </w:rPr>
        <w:t xml:space="preserve">In addition, the correlation analysis between assessment collaborations and LAL obtained a p-value of 0.000, less than the 0.05 confidence level. Thus, the null hypothesis was rejected. This decision implies that the relationship between assessment collaborations and LAL is statistically significant. Similarly, the computed r-value of 0.540 indicates a moderately high positive correlation between the two variables. </w:t>
      </w:r>
    </w:p>
    <w:p w14:paraId="53017653" w14:textId="77777777" w:rsidR="00C0212D" w:rsidRPr="00C0212D" w:rsidRDefault="00C0212D" w:rsidP="00C0212D">
      <w:pPr>
        <w:jc w:val="both"/>
        <w:rPr>
          <w:rFonts w:ascii="Arial" w:hAnsi="Arial" w:cs="Arial"/>
          <w:lang w:val="en-GB" w:eastAsia="en-GB"/>
        </w:rPr>
      </w:pPr>
    </w:p>
    <w:p w14:paraId="1736DAFE" w14:textId="1D982091" w:rsidR="00C0212D" w:rsidRDefault="00C0212D" w:rsidP="00C0212D">
      <w:pPr>
        <w:jc w:val="both"/>
        <w:rPr>
          <w:rFonts w:ascii="Arial" w:hAnsi="Arial" w:cs="Arial"/>
          <w:lang w:val="en-GB" w:eastAsia="en-GB"/>
        </w:rPr>
      </w:pPr>
      <w:r w:rsidRPr="00C0212D">
        <w:rPr>
          <w:rFonts w:ascii="Arial" w:hAnsi="Arial" w:cs="Arial"/>
          <w:lang w:val="en-GB" w:eastAsia="en-GB"/>
        </w:rPr>
        <w:t xml:space="preserve">In addition, the correlation between assessment autonomy and LAL showed a p-value of 0.000, less than the 0.05 degree of significance. Therefore, the null hypothesis was rejected, which indicates that the correlation between assessment autonomy and LAL is significant. Likewise, the correlation between the two obtained an r-value of 0.535, indicating that these two variables are moderately highly </w:t>
      </w:r>
      <w:r w:rsidR="00F27DC0" w:rsidRPr="006D5DAF">
        <w:rPr>
          <w:rFonts w:ascii="Arial" w:hAnsi="Arial" w:cs="Arial"/>
          <w:highlight w:val="yellow"/>
          <w:lang w:val="en-GB" w:eastAsia="en-GB"/>
        </w:rPr>
        <w:t>positively</w:t>
      </w:r>
      <w:r w:rsidR="00F27DC0" w:rsidRPr="00C0212D">
        <w:rPr>
          <w:rFonts w:ascii="Arial" w:hAnsi="Arial" w:cs="Arial"/>
          <w:lang w:val="en-GB" w:eastAsia="en-GB"/>
        </w:rPr>
        <w:t xml:space="preserve"> </w:t>
      </w:r>
      <w:r w:rsidRPr="00C0212D">
        <w:rPr>
          <w:rFonts w:ascii="Arial" w:hAnsi="Arial" w:cs="Arial"/>
          <w:lang w:val="en-GB" w:eastAsia="en-GB"/>
        </w:rPr>
        <w:t>correlated</w:t>
      </w:r>
      <w:r>
        <w:rPr>
          <w:rFonts w:ascii="Arial" w:hAnsi="Arial" w:cs="Arial"/>
          <w:lang w:val="en-GB" w:eastAsia="en-GB"/>
        </w:rPr>
        <w:t>.</w:t>
      </w:r>
    </w:p>
    <w:p w14:paraId="389DB38D" w14:textId="77777777" w:rsidR="00C0212D" w:rsidRDefault="00C0212D" w:rsidP="00C0212D">
      <w:pPr>
        <w:jc w:val="both"/>
        <w:rPr>
          <w:rFonts w:ascii="Arial" w:hAnsi="Arial" w:cs="Arial"/>
          <w:lang w:val="en-GB" w:eastAsia="en-GB"/>
        </w:rPr>
      </w:pPr>
    </w:p>
    <w:p w14:paraId="2645E2F3" w14:textId="2A712DAF" w:rsidR="00C0212D" w:rsidRDefault="00C0212D" w:rsidP="00C0212D">
      <w:pPr>
        <w:jc w:val="both"/>
        <w:rPr>
          <w:rFonts w:ascii="Arial" w:hAnsi="Arial" w:cs="Arial"/>
        </w:rPr>
      </w:pPr>
      <w:r w:rsidRPr="00CB21EA">
        <w:rPr>
          <w:rFonts w:ascii="Arial" w:hAnsi="Arial" w:cs="Arial"/>
        </w:rPr>
        <w:t>The correlational test results indicate a significant positive relationship between assessment practices, collaborations, and autonomy with language assessment literacy (LAL). Of the independent variables, assessment collaboration had the highest correlation; this corresponds to Pastore</w:t>
      </w:r>
      <w:r>
        <w:rPr>
          <w:rFonts w:ascii="Arial" w:hAnsi="Arial" w:cs="Arial"/>
        </w:rPr>
        <w:t>’</w:t>
      </w:r>
      <w:r w:rsidRPr="00CB21EA">
        <w:rPr>
          <w:rFonts w:ascii="Arial" w:hAnsi="Arial" w:cs="Arial"/>
        </w:rPr>
        <w:t xml:space="preserve">s (2023) claim that teachers who participate in collaborative discussions, collective decision-making, and collaborative assessment processes are relatively assessment literate. This result is consistent with the recent study by Iraola et al. </w:t>
      </w:r>
      <w:r w:rsidRPr="00CB21EA">
        <w:rPr>
          <w:rFonts w:ascii="Arial" w:hAnsi="Arial" w:cs="Arial"/>
        </w:rPr>
        <w:lastRenderedPageBreak/>
        <w:t>(2024), which points to in-depth professional dialogue enabling better understanding and implementation of assessment principles. They further pointed out that collaborative practices allow teachers to share ideas; these collaborative practices can result in the refinement of assessment methods and better and more consistent ways of evaluating a student more validly.</w:t>
      </w:r>
    </w:p>
    <w:p w14:paraId="79C98B0D" w14:textId="77777777" w:rsidR="00C0212D" w:rsidRDefault="00C0212D" w:rsidP="00C0212D">
      <w:pPr>
        <w:jc w:val="both"/>
        <w:rPr>
          <w:rFonts w:ascii="Arial" w:hAnsi="Arial" w:cs="Arial"/>
        </w:rPr>
      </w:pPr>
    </w:p>
    <w:p w14:paraId="5430E692" w14:textId="4FEA1E58" w:rsidR="00C0212D" w:rsidRDefault="00875051" w:rsidP="00C0212D">
      <w:pPr>
        <w:jc w:val="both"/>
        <w:rPr>
          <w:rFonts w:ascii="Arial" w:hAnsi="Arial" w:cs="Arial"/>
          <w:lang w:val="en-GB" w:eastAsia="en-GB"/>
        </w:rPr>
      </w:pPr>
      <w:r w:rsidRPr="006D5DAF">
        <w:rPr>
          <w:rFonts w:ascii="Arial" w:hAnsi="Arial" w:cs="Arial"/>
          <w:highlight w:val="yellow"/>
        </w:rPr>
        <w:t>Additionally</w:t>
      </w:r>
      <w:r w:rsidR="00C0212D" w:rsidRPr="00CB21EA">
        <w:rPr>
          <w:rFonts w:ascii="Arial" w:hAnsi="Arial" w:cs="Arial"/>
        </w:rPr>
        <w:t xml:space="preserve">, the result, which posits that assessment practices, collaborations, and autonomy are correlated to language assessment literacy, aligns with Professional Capital Theory, which </w:t>
      </w:r>
      <w:r w:rsidR="009903B5" w:rsidRPr="006D5DAF">
        <w:rPr>
          <w:rFonts w:ascii="Arial" w:hAnsi="Arial" w:cs="Arial"/>
          <w:highlight w:val="yellow"/>
        </w:rPr>
        <w:t>emphasises</w:t>
      </w:r>
      <w:r w:rsidR="009903B5" w:rsidRPr="00CB21EA">
        <w:rPr>
          <w:rFonts w:ascii="Arial" w:hAnsi="Arial" w:cs="Arial"/>
        </w:rPr>
        <w:t xml:space="preserve"> </w:t>
      </w:r>
      <w:r w:rsidR="00C0212D" w:rsidRPr="00CB21EA">
        <w:rPr>
          <w:rFonts w:ascii="Arial" w:hAnsi="Arial" w:cs="Arial"/>
        </w:rPr>
        <w:t xml:space="preserve">the dynamic relationship between human, social, and decisional capital in influencing teachers' language assessment literacy (Hargreaves &amp; Fullan, 2012). The direct relationship between assessment collaboration and LAL </w:t>
      </w:r>
      <w:r w:rsidR="009903B5" w:rsidRPr="006D5DAF">
        <w:rPr>
          <w:rFonts w:ascii="Arial" w:hAnsi="Arial" w:cs="Arial"/>
          <w:highlight w:val="yellow"/>
        </w:rPr>
        <w:t>emphasises</w:t>
      </w:r>
      <w:r w:rsidR="009903B5" w:rsidRPr="00CB21EA">
        <w:rPr>
          <w:rFonts w:ascii="Arial" w:hAnsi="Arial" w:cs="Arial"/>
        </w:rPr>
        <w:t xml:space="preserve"> </w:t>
      </w:r>
      <w:r w:rsidR="00C0212D" w:rsidRPr="00CB21EA">
        <w:rPr>
          <w:rFonts w:ascii="Arial" w:hAnsi="Arial" w:cs="Arial"/>
        </w:rPr>
        <w:t>how valuable social interaction, such as professional networks, shared knowledge, and mentoring, enhances teachers' assessment skills (Wu &amp; Chen, 2023). Also, language assessment literacy, as correlated to assessment autonomy, represents decisional capital, where teachers feel better able to make choices about assessments, adding to their professional capital as effective teachers. These results supported Xu and Brown (2016), who stated that language assessment literate teachers can design and administer practical testing activities. Similarly, the importance of assessment practices in developing language assessment literacy supports the concept of human capital, wherein teachers engage in various assessment practices, mining opportunities to continuously develop skills and knowledge (Center for Applied Linguistics, 2022).</w:t>
      </w:r>
    </w:p>
    <w:p w14:paraId="4FB4804C" w14:textId="77777777" w:rsidR="00C0212D" w:rsidRDefault="00C0212D" w:rsidP="00C0212D">
      <w:pPr>
        <w:rPr>
          <w:rFonts w:ascii="Arial" w:hAnsi="Arial" w:cs="Arial"/>
          <w:lang w:val="en-GB" w:eastAsia="en-GB"/>
        </w:rPr>
      </w:pPr>
    </w:p>
    <w:p w14:paraId="5448801E" w14:textId="77777777" w:rsidR="00C0212D" w:rsidRDefault="00C0212D" w:rsidP="00C0212D">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Regression Analysis</w:t>
      </w:r>
      <w:r w:rsidRPr="00C30A0F">
        <w:rPr>
          <w:rFonts w:ascii="Arial" w:hAnsi="Arial" w:cs="Arial"/>
          <w:b/>
          <w:sz w:val="22"/>
        </w:rPr>
        <w:t xml:space="preserve"> </w:t>
      </w:r>
    </w:p>
    <w:p w14:paraId="33AE7B03" w14:textId="67F8F128" w:rsidR="00C0212D" w:rsidRPr="00FB3A86" w:rsidRDefault="00C0212D" w:rsidP="00C0212D">
      <w:pPr>
        <w:pStyle w:val="Body"/>
        <w:spacing w:after="0"/>
        <w:rPr>
          <w:rFonts w:ascii="Arial" w:hAnsi="Arial" w:cs="Arial"/>
        </w:rPr>
      </w:pPr>
      <w:r w:rsidRPr="00FB3A86">
        <w:rPr>
          <w:rFonts w:ascii="Arial" w:hAnsi="Arial" w:cs="Arial"/>
        </w:rPr>
        <w:t xml:space="preserve"> </w:t>
      </w:r>
    </w:p>
    <w:p w14:paraId="5B71C08C" w14:textId="639AFC05" w:rsidR="00C0212D" w:rsidRDefault="00C0212D" w:rsidP="00C0212D">
      <w:pPr>
        <w:jc w:val="both"/>
        <w:rPr>
          <w:rFonts w:ascii="Arial" w:hAnsi="Arial" w:cs="Arial"/>
        </w:rPr>
      </w:pPr>
      <w:r w:rsidRPr="00C0212D">
        <w:rPr>
          <w:rFonts w:ascii="Arial" w:hAnsi="Arial" w:cs="Arial"/>
        </w:rPr>
        <w:t xml:space="preserve">Table 3 is a regression table. It includes the predictor variables: assessment practices, assessment collaborations, and assessment autonomy, as well as the criterion variable, language assessment literacy (LAL). The table also displays </w:t>
      </w:r>
      <w:r w:rsidR="009903B5" w:rsidRPr="006D5DAF">
        <w:rPr>
          <w:rFonts w:ascii="Arial" w:hAnsi="Arial" w:cs="Arial"/>
          <w:highlight w:val="yellow"/>
        </w:rPr>
        <w:t>standardised</w:t>
      </w:r>
      <w:r w:rsidR="009903B5" w:rsidRPr="00C0212D">
        <w:rPr>
          <w:rFonts w:ascii="Arial" w:hAnsi="Arial" w:cs="Arial"/>
        </w:rPr>
        <w:t xml:space="preserve"> </w:t>
      </w:r>
      <w:r w:rsidRPr="00C0212D">
        <w:rPr>
          <w:rFonts w:ascii="Arial" w:hAnsi="Arial" w:cs="Arial"/>
        </w:rPr>
        <w:t>coefficients (Beta), t-values, and p-values (Sig.), the decision on the null hypotheses, and their corresponding interpretation</w:t>
      </w:r>
      <w:r>
        <w:rPr>
          <w:rFonts w:ascii="Arial" w:hAnsi="Arial" w:cs="Arial"/>
        </w:rPr>
        <w:t>.</w:t>
      </w:r>
    </w:p>
    <w:p w14:paraId="3BDD4876" w14:textId="77777777" w:rsidR="00C0212D" w:rsidRDefault="00C0212D" w:rsidP="00C0212D">
      <w:pPr>
        <w:pStyle w:val="NoSpacing"/>
        <w:spacing w:line="480" w:lineRule="auto"/>
        <w:jc w:val="both"/>
        <w:rPr>
          <w:rFonts w:ascii="Arial" w:hAnsi="Arial" w:cs="Arial"/>
          <w:b/>
          <w:bCs/>
          <w:sz w:val="20"/>
          <w:szCs w:val="20"/>
        </w:rPr>
      </w:pPr>
    </w:p>
    <w:p w14:paraId="512588A0" w14:textId="5E2B3D58" w:rsidR="00C0212D" w:rsidRPr="00C0212D" w:rsidRDefault="00C0212D" w:rsidP="00C0212D">
      <w:pPr>
        <w:pStyle w:val="NoSpacing"/>
        <w:spacing w:line="480" w:lineRule="auto"/>
        <w:jc w:val="both"/>
        <w:rPr>
          <w:rFonts w:ascii="Arial" w:hAnsi="Arial" w:cs="Arial"/>
          <w:sz w:val="20"/>
          <w:szCs w:val="20"/>
          <w:lang w:val="en-PH"/>
        </w:rPr>
      </w:pPr>
      <w:r w:rsidRPr="00C0212D">
        <w:rPr>
          <w:rFonts w:ascii="Arial" w:hAnsi="Arial" w:cs="Arial"/>
          <w:b/>
          <w:bCs/>
          <w:sz w:val="20"/>
          <w:szCs w:val="20"/>
        </w:rPr>
        <w:t>Table 3. Regression Table</w:t>
      </w:r>
    </w:p>
    <w:tbl>
      <w:tblPr>
        <w:tblStyle w:val="PlainTable21"/>
        <w:tblW w:w="4972" w:type="pct"/>
        <w:tblLayout w:type="fixed"/>
        <w:tblLook w:val="04A0" w:firstRow="1" w:lastRow="0" w:firstColumn="1" w:lastColumn="0" w:noHBand="0" w:noVBand="1"/>
      </w:tblPr>
      <w:tblGrid>
        <w:gridCol w:w="2109"/>
        <w:gridCol w:w="928"/>
        <w:gridCol w:w="833"/>
        <w:gridCol w:w="950"/>
        <w:gridCol w:w="1541"/>
        <w:gridCol w:w="2016"/>
      </w:tblGrid>
      <w:tr w:rsidR="00C0212D" w:rsidRPr="00C0212D" w14:paraId="4462F6F4" w14:textId="77777777" w:rsidTr="00C0212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9" w:type="pct"/>
          </w:tcPr>
          <w:p w14:paraId="27F746D5" w14:textId="77777777" w:rsidR="00C0212D" w:rsidRPr="00C0212D" w:rsidRDefault="00C0212D" w:rsidP="009539FB">
            <w:pPr>
              <w:jc w:val="center"/>
              <w:rPr>
                <w:rFonts w:ascii="Arial" w:hAnsi="Arial" w:cs="Arial"/>
                <w:b w:val="0"/>
                <w:kern w:val="2"/>
              </w:rPr>
            </w:pPr>
          </w:p>
        </w:tc>
        <w:tc>
          <w:tcPr>
            <w:tcW w:w="3741" w:type="pct"/>
            <w:gridSpan w:val="5"/>
          </w:tcPr>
          <w:p w14:paraId="546511A6" w14:textId="77777777" w:rsidR="00C0212D" w:rsidRPr="00C0212D" w:rsidRDefault="00C0212D" w:rsidP="009539F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rPr>
              <w:t>Language Assessment Literacy</w:t>
            </w:r>
          </w:p>
        </w:tc>
      </w:tr>
      <w:tr w:rsidR="00C0212D" w:rsidRPr="00C0212D" w14:paraId="7B1A4384" w14:textId="77777777" w:rsidTr="00C0212D">
        <w:trPr>
          <w:trHeight w:val="252"/>
        </w:trPr>
        <w:tc>
          <w:tcPr>
            <w:cnfStyle w:val="001000000000" w:firstRow="0" w:lastRow="0" w:firstColumn="1" w:lastColumn="0" w:oddVBand="0" w:evenVBand="0" w:oddHBand="0" w:evenHBand="0" w:firstRowFirstColumn="0" w:firstRowLastColumn="0" w:lastRowFirstColumn="0" w:lastRowLastColumn="0"/>
            <w:tcW w:w="1259" w:type="pct"/>
          </w:tcPr>
          <w:p w14:paraId="23A8CCD4" w14:textId="77777777" w:rsidR="00C0212D" w:rsidRPr="00C0212D" w:rsidRDefault="00C0212D" w:rsidP="009539FB">
            <w:pPr>
              <w:jc w:val="center"/>
              <w:rPr>
                <w:rFonts w:ascii="Arial" w:hAnsi="Arial" w:cs="Arial"/>
                <w:b w:val="0"/>
                <w:kern w:val="2"/>
              </w:rPr>
            </w:pPr>
          </w:p>
        </w:tc>
        <w:tc>
          <w:tcPr>
            <w:tcW w:w="1618" w:type="pct"/>
            <w:gridSpan w:val="3"/>
          </w:tcPr>
          <w:p w14:paraId="1DC6A0DB"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eastAsia="SimSun" w:hAnsi="Arial" w:cs="Arial" w:hint="eastAsia"/>
                <w:b/>
                <w:color w:val="000000"/>
                <w:kern w:val="2"/>
                <w:lang w:eastAsia="zh-CN" w:bidi="ar"/>
              </w:rPr>
              <w:t>Standardized Coefficients</w:t>
            </w:r>
          </w:p>
        </w:tc>
        <w:tc>
          <w:tcPr>
            <w:tcW w:w="920" w:type="pct"/>
          </w:tcPr>
          <w:p w14:paraId="6815C21B"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color w:val="000000"/>
                <w:kern w:val="2"/>
                <w:lang w:eastAsia="zh-CN" w:bidi="ar"/>
              </w:rPr>
            </w:pPr>
          </w:p>
        </w:tc>
        <w:tc>
          <w:tcPr>
            <w:tcW w:w="1203" w:type="pct"/>
          </w:tcPr>
          <w:p w14:paraId="25C469C4"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color w:val="000000"/>
                <w:kern w:val="2"/>
                <w:lang w:eastAsia="zh-CN" w:bidi="ar"/>
              </w:rPr>
            </w:pPr>
          </w:p>
        </w:tc>
      </w:tr>
      <w:tr w:rsidR="00C0212D" w:rsidRPr="00C0212D" w14:paraId="619D07C0" w14:textId="77777777" w:rsidTr="00C0212D">
        <w:trPr>
          <w:trHeight w:val="737"/>
        </w:trPr>
        <w:tc>
          <w:tcPr>
            <w:cnfStyle w:val="001000000000" w:firstRow="0" w:lastRow="0" w:firstColumn="1" w:lastColumn="0" w:oddVBand="0" w:evenVBand="0" w:oddHBand="0" w:evenHBand="0" w:firstRowFirstColumn="0" w:firstRowLastColumn="0" w:lastRowFirstColumn="0" w:lastRowLastColumn="0"/>
            <w:tcW w:w="1259" w:type="pct"/>
          </w:tcPr>
          <w:p w14:paraId="399D0B73" w14:textId="77777777" w:rsidR="00C0212D" w:rsidRPr="00C0212D" w:rsidRDefault="00C0212D" w:rsidP="009539FB">
            <w:pPr>
              <w:rPr>
                <w:rFonts w:ascii="Arial" w:eastAsia="Calibri" w:hAnsi="Arial" w:cs="Arial"/>
                <w:kern w:val="2"/>
              </w:rPr>
            </w:pPr>
            <w:r w:rsidRPr="00C0212D">
              <w:rPr>
                <w:rFonts w:ascii="Arial" w:eastAsia="Calibri" w:hAnsi="Arial" w:cs="Arial"/>
                <w:kern w:val="2"/>
              </w:rPr>
              <w:t>Independent Variables</w:t>
            </w:r>
          </w:p>
        </w:tc>
        <w:tc>
          <w:tcPr>
            <w:tcW w:w="554" w:type="pct"/>
          </w:tcPr>
          <w:p w14:paraId="58CD1537"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Beta</w:t>
            </w:r>
          </w:p>
        </w:tc>
        <w:tc>
          <w:tcPr>
            <w:tcW w:w="497" w:type="pct"/>
          </w:tcPr>
          <w:p w14:paraId="4EB3C209"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t</w:t>
            </w:r>
          </w:p>
        </w:tc>
        <w:tc>
          <w:tcPr>
            <w:tcW w:w="567" w:type="pct"/>
          </w:tcPr>
          <w:p w14:paraId="6127B20D"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Sig.</w:t>
            </w:r>
          </w:p>
        </w:tc>
        <w:tc>
          <w:tcPr>
            <w:tcW w:w="920" w:type="pct"/>
          </w:tcPr>
          <w:p w14:paraId="4AE6944F"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p>
          <w:p w14:paraId="0AD470A5"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vertAlign w:val="subscript"/>
              </w:rPr>
            </w:pPr>
            <w:r w:rsidRPr="00C0212D">
              <w:rPr>
                <w:rFonts w:ascii="Arial" w:hAnsi="Arial" w:cs="Arial" w:hint="eastAsia"/>
                <w:b/>
                <w:kern w:val="2"/>
              </w:rPr>
              <w:t>Decision on H</w:t>
            </w:r>
            <w:r w:rsidRPr="00C0212D">
              <w:rPr>
                <w:rFonts w:ascii="Arial" w:hAnsi="Arial" w:cs="Arial" w:hint="eastAsia"/>
                <w:b/>
                <w:kern w:val="2"/>
                <w:vertAlign w:val="subscript"/>
              </w:rPr>
              <w:t>0</w:t>
            </w:r>
          </w:p>
        </w:tc>
        <w:tc>
          <w:tcPr>
            <w:tcW w:w="1203" w:type="pct"/>
          </w:tcPr>
          <w:p w14:paraId="12F22A88"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p>
          <w:p w14:paraId="6F566CE9"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Interpretation</w:t>
            </w:r>
          </w:p>
        </w:tc>
      </w:tr>
      <w:tr w:rsidR="00C0212D" w:rsidRPr="00C0212D" w14:paraId="5D345152"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603F3A2C" w14:textId="77777777" w:rsidR="00C0212D" w:rsidRPr="00C0212D" w:rsidRDefault="00C0212D" w:rsidP="009539FB">
            <w:pPr>
              <w:spacing w:line="256" w:lineRule="auto"/>
              <w:rPr>
                <w:rFonts w:ascii="Arial" w:hAnsi="Arial" w:cs="Arial"/>
                <w:kern w:val="2"/>
              </w:rPr>
            </w:pPr>
            <w:r w:rsidRPr="00C0212D">
              <w:rPr>
                <w:rFonts w:ascii="Arial" w:eastAsia="Calibri" w:hAnsi="Arial" w:cs="Arial"/>
                <w:kern w:val="2"/>
                <w:lang w:eastAsia="zh-CN" w:bidi="ar"/>
              </w:rPr>
              <w:t>(Constant)</w:t>
            </w:r>
          </w:p>
        </w:tc>
        <w:tc>
          <w:tcPr>
            <w:tcW w:w="554" w:type="pct"/>
          </w:tcPr>
          <w:p w14:paraId="74A799A0"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.708</w:t>
            </w:r>
          </w:p>
        </w:tc>
        <w:tc>
          <w:tcPr>
            <w:tcW w:w="497" w:type="pct"/>
          </w:tcPr>
          <w:p w14:paraId="5CBD81B0"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1.527</w:t>
            </w:r>
          </w:p>
        </w:tc>
        <w:tc>
          <w:tcPr>
            <w:tcW w:w="567" w:type="pct"/>
          </w:tcPr>
          <w:p w14:paraId="6D2532C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eastAsia="Calibri" w:hAnsi="Arial" w:cs="Arial"/>
                <w:kern w:val="2"/>
                <w:lang w:eastAsia="zh-CN" w:bidi="ar"/>
              </w:rPr>
              <w:t>.130</w:t>
            </w:r>
          </w:p>
        </w:tc>
        <w:tc>
          <w:tcPr>
            <w:tcW w:w="920" w:type="pct"/>
          </w:tcPr>
          <w:p w14:paraId="471AB199"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p>
        </w:tc>
        <w:tc>
          <w:tcPr>
            <w:tcW w:w="1203" w:type="pct"/>
          </w:tcPr>
          <w:p w14:paraId="661C0D3A"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p>
        </w:tc>
      </w:tr>
      <w:tr w:rsidR="00C0212D" w:rsidRPr="00C0212D" w14:paraId="64F0E008"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3B209C2B"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hAnsi="Arial" w:cs="Arial"/>
              </w:rPr>
              <w:t xml:space="preserve">Assessment Practices </w:t>
            </w:r>
          </w:p>
        </w:tc>
        <w:tc>
          <w:tcPr>
            <w:tcW w:w="554" w:type="pct"/>
          </w:tcPr>
          <w:p w14:paraId="6D13EE3E"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.217</w:t>
            </w:r>
          </w:p>
        </w:tc>
        <w:tc>
          <w:tcPr>
            <w:tcW w:w="497" w:type="pct"/>
          </w:tcPr>
          <w:p w14:paraId="30A7AB73"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2.008</w:t>
            </w:r>
          </w:p>
        </w:tc>
        <w:tc>
          <w:tcPr>
            <w:tcW w:w="567" w:type="pct"/>
          </w:tcPr>
          <w:p w14:paraId="2B69160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.047</w:t>
            </w:r>
          </w:p>
        </w:tc>
        <w:tc>
          <w:tcPr>
            <w:tcW w:w="920" w:type="pct"/>
          </w:tcPr>
          <w:p w14:paraId="797F97D5"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Reject</w:t>
            </w:r>
          </w:p>
        </w:tc>
        <w:tc>
          <w:tcPr>
            <w:tcW w:w="1203" w:type="pct"/>
          </w:tcPr>
          <w:p w14:paraId="2EF0BF8A"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Significant</w:t>
            </w:r>
          </w:p>
        </w:tc>
      </w:tr>
      <w:tr w:rsidR="00C0212D" w:rsidRPr="00C0212D" w14:paraId="770C15F2" w14:textId="77777777" w:rsidTr="00C0212D">
        <w:trPr>
          <w:trHeight w:val="666"/>
        </w:trPr>
        <w:tc>
          <w:tcPr>
            <w:cnfStyle w:val="001000000000" w:firstRow="0" w:lastRow="0" w:firstColumn="1" w:lastColumn="0" w:oddVBand="0" w:evenVBand="0" w:oddHBand="0" w:evenHBand="0" w:firstRowFirstColumn="0" w:firstRowLastColumn="0" w:lastRowFirstColumn="0" w:lastRowLastColumn="0"/>
            <w:tcW w:w="1259" w:type="pct"/>
          </w:tcPr>
          <w:p w14:paraId="07CF7704"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hAnsi="Arial" w:cs="Arial"/>
              </w:rPr>
              <w:t>Assessment Collaborations</w:t>
            </w:r>
          </w:p>
        </w:tc>
        <w:tc>
          <w:tcPr>
            <w:tcW w:w="554" w:type="pct"/>
          </w:tcPr>
          <w:p w14:paraId="3D157B57"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.237</w:t>
            </w:r>
          </w:p>
        </w:tc>
        <w:tc>
          <w:tcPr>
            <w:tcW w:w="497" w:type="pct"/>
          </w:tcPr>
          <w:p w14:paraId="7C299CDB"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1.885</w:t>
            </w:r>
          </w:p>
        </w:tc>
        <w:tc>
          <w:tcPr>
            <w:tcW w:w="567" w:type="pct"/>
          </w:tcPr>
          <w:p w14:paraId="63737F1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.062</w:t>
            </w:r>
          </w:p>
        </w:tc>
        <w:tc>
          <w:tcPr>
            <w:tcW w:w="920" w:type="pct"/>
          </w:tcPr>
          <w:p w14:paraId="60E03142"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Failed to Reject</w:t>
            </w:r>
          </w:p>
        </w:tc>
        <w:tc>
          <w:tcPr>
            <w:tcW w:w="1203" w:type="pct"/>
          </w:tcPr>
          <w:p w14:paraId="13CE93E3"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Not Significant</w:t>
            </w:r>
          </w:p>
        </w:tc>
      </w:tr>
      <w:tr w:rsidR="00C0212D" w:rsidRPr="00C0212D" w14:paraId="3DA20767"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25B2E4BE"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eastAsia="Calibri" w:hAnsi="Arial" w:cs="Arial"/>
                <w:iCs/>
              </w:rPr>
              <w:t>Assessment Autonomy</w:t>
            </w:r>
          </w:p>
        </w:tc>
        <w:tc>
          <w:tcPr>
            <w:tcW w:w="554" w:type="pct"/>
          </w:tcPr>
          <w:p w14:paraId="5AFE2237"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.227</w:t>
            </w:r>
          </w:p>
        </w:tc>
        <w:tc>
          <w:tcPr>
            <w:tcW w:w="497" w:type="pct"/>
          </w:tcPr>
          <w:p w14:paraId="627385F9"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1.833</w:t>
            </w:r>
          </w:p>
        </w:tc>
        <w:tc>
          <w:tcPr>
            <w:tcW w:w="567" w:type="pct"/>
          </w:tcPr>
          <w:p w14:paraId="04E7942D"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.070</w:t>
            </w:r>
          </w:p>
        </w:tc>
        <w:tc>
          <w:tcPr>
            <w:tcW w:w="920" w:type="pct"/>
          </w:tcPr>
          <w:p w14:paraId="432C3958"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Failed to Reject</w:t>
            </w:r>
          </w:p>
        </w:tc>
        <w:tc>
          <w:tcPr>
            <w:tcW w:w="1203" w:type="pct"/>
          </w:tcPr>
          <w:p w14:paraId="12A0CB40"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Not Significant</w:t>
            </w:r>
          </w:p>
        </w:tc>
      </w:tr>
    </w:tbl>
    <w:p w14:paraId="0C02DA41" w14:textId="77777777" w:rsidR="00C0212D" w:rsidRPr="00C0212D" w:rsidRDefault="00C0212D" w:rsidP="00C0212D">
      <w:pPr>
        <w:pStyle w:val="NoSpacing"/>
        <w:spacing w:line="480" w:lineRule="auto"/>
        <w:rPr>
          <w:rFonts w:ascii="Arial" w:hAnsi="Arial" w:cs="Arial"/>
          <w:sz w:val="20"/>
          <w:szCs w:val="20"/>
        </w:rPr>
      </w:pPr>
      <m:oMath>
        <m:r>
          <w:rPr>
            <w:rFonts w:ascii="Cambria Math" w:eastAsiaTheme="minorEastAsia" w:hAnsi="Cambria Math" w:cs="Arial"/>
            <w:sz w:val="20"/>
            <w:szCs w:val="20"/>
          </w:rPr>
          <m:t>R</m:t>
        </m:r>
      </m:oMath>
      <w:r w:rsidRPr="00C0212D">
        <w:rPr>
          <w:rFonts w:eastAsiaTheme="minorEastAsia"/>
          <w:sz w:val="20"/>
          <w:szCs w:val="20"/>
        </w:rPr>
        <w:t>=.599</w:t>
      </w:r>
      <w:r w:rsidRPr="00C0212D">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oMath>
      <w:r w:rsidRPr="00C0212D">
        <w:rPr>
          <w:rFonts w:ascii="Arial" w:eastAsia="Times New Roman" w:hAnsi="Arial" w:cs="Arial"/>
          <w:sz w:val="20"/>
          <w:szCs w:val="20"/>
        </w:rPr>
        <w:t>=.359</w:t>
      </w:r>
      <m:oMath>
        <m:r>
          <w:rPr>
            <w:rFonts w:ascii="Cambria Math" w:eastAsia="Times New Roman" w:hAnsi="Cambria Math" w:cs="Arial"/>
            <w:sz w:val="20"/>
            <w:szCs w:val="20"/>
          </w:rPr>
          <m:t xml:space="preserve">;  F-value </m:t>
        </m:r>
      </m:oMath>
      <w:r w:rsidRPr="00C0212D">
        <w:rPr>
          <w:rFonts w:ascii="Arial" w:eastAsia="Times New Roman" w:hAnsi="Arial" w:cs="Arial"/>
          <w:sz w:val="20"/>
          <w:szCs w:val="20"/>
        </w:rPr>
        <w:t>= 18.495</w:t>
      </w:r>
      <m:oMath>
        <m:r>
          <w:rPr>
            <w:rFonts w:ascii="Cambria Math" w:eastAsia="Times New Roman" w:hAnsi="Cambria Math" w:cs="Arial"/>
            <w:sz w:val="20"/>
            <w:szCs w:val="20"/>
          </w:rPr>
          <m:t>;</m:t>
        </m:r>
      </m:oMath>
      <w:r w:rsidRPr="00C0212D">
        <w:rPr>
          <w:rFonts w:ascii="Arial" w:eastAsia="Times New Roman" w:hAnsi="Arial" w:cs="Arial"/>
          <w:sz w:val="20"/>
          <w:szCs w:val="20"/>
        </w:rPr>
        <w:t xml:space="preserve">  </w:t>
      </w:r>
      <m:oMath>
        <m:r>
          <w:rPr>
            <w:rFonts w:ascii="Cambria Math" w:eastAsia="Times New Roman" w:hAnsi="Cambria Math" w:cs="Arial"/>
            <w:sz w:val="20"/>
            <w:szCs w:val="20"/>
          </w:rPr>
          <m:t xml:space="preserve">p-value </m:t>
        </m:r>
      </m:oMath>
      <w:r w:rsidRPr="00C0212D">
        <w:rPr>
          <w:rFonts w:ascii="Arial" w:eastAsia="Times New Roman" w:hAnsi="Arial" w:cs="Arial"/>
          <w:sz w:val="20"/>
          <w:szCs w:val="20"/>
        </w:rPr>
        <w:t>=.000</w:t>
      </w:r>
    </w:p>
    <w:p w14:paraId="210F30D5" w14:textId="2EC07856" w:rsidR="00C0212D" w:rsidRPr="00C0212D" w:rsidRDefault="00C0212D" w:rsidP="00C0212D">
      <w:pPr>
        <w:pStyle w:val="Body"/>
        <w:rPr>
          <w:rFonts w:ascii="Arial" w:hAnsi="Arial" w:cs="Arial"/>
        </w:rPr>
      </w:pPr>
      <w:r w:rsidRPr="00C0212D">
        <w:rPr>
          <w:rFonts w:ascii="Arial" w:hAnsi="Arial" w:cs="Arial"/>
        </w:rPr>
        <w:lastRenderedPageBreak/>
        <w:t xml:space="preserve">Table 3 shows that the assessment practices variable obtained a beta coefficient </w:t>
      </w:r>
      <w:r w:rsidR="009903B5" w:rsidRPr="006D5DAF">
        <w:rPr>
          <w:rFonts w:ascii="Arial" w:hAnsi="Arial" w:cs="Arial"/>
          <w:highlight w:val="yellow"/>
        </w:rPr>
        <w:t xml:space="preserve">of </w:t>
      </w:r>
      <w:r w:rsidRPr="00C0212D">
        <w:rPr>
          <w:rFonts w:ascii="Arial" w:hAnsi="Arial" w:cs="Arial"/>
        </w:rPr>
        <w:t xml:space="preserve">0.217. It indicates that the assessment practices of language teachers have a 21.7% degree of influence on language assessment literacy. Such </w:t>
      </w:r>
      <w:r w:rsidR="009903B5" w:rsidRPr="006D5DAF">
        <w:rPr>
          <w:rFonts w:ascii="Arial" w:hAnsi="Arial" w:cs="Arial"/>
          <w:highlight w:val="yellow"/>
        </w:rPr>
        <w:t xml:space="preserve">a </w:t>
      </w:r>
      <w:r w:rsidRPr="00C0212D">
        <w:rPr>
          <w:rFonts w:ascii="Arial" w:hAnsi="Arial" w:cs="Arial"/>
        </w:rPr>
        <w:t>degree of influence is significant, as indicated by the p-value of 0.047, which is less than the 0.05 degree of significance. It further indicates that the 21.7% degree of influence of assessment practices on language assessment literacy is significant. This implies that for every 0.217 increase in assessment practices, there is a corresponding unit increase in language assessment literacy.</w:t>
      </w:r>
    </w:p>
    <w:p w14:paraId="5ED12389" w14:textId="77777777" w:rsidR="00C0212D" w:rsidRPr="00C0212D" w:rsidRDefault="00C0212D" w:rsidP="00C0212D">
      <w:pPr>
        <w:pStyle w:val="Body"/>
        <w:rPr>
          <w:rFonts w:ascii="Arial" w:hAnsi="Arial" w:cs="Arial"/>
        </w:rPr>
      </w:pPr>
      <w:r w:rsidRPr="00C0212D">
        <w:rPr>
          <w:rFonts w:ascii="Arial" w:hAnsi="Arial" w:cs="Arial"/>
        </w:rPr>
        <w:t>On the other hand, the assessment collaborations obtained a beta coefficient of 0.237. This denotes that they have a 23.7% degree of influence on language assessment literacy. It also resulted in a p-value of 0.62, greater than the 0.05 alpha. Therefore, it failed to reject the null hypothesis. This signifies that the 23.7% degree of influence of assessment collaborations on language assessment literacy is insignificant. This implies that for every 0.237 increase in assessment practices, there is a corresponding unit increase in language assessment literacy.</w:t>
      </w:r>
    </w:p>
    <w:p w14:paraId="184D158A" w14:textId="77777777" w:rsidR="00C0212D" w:rsidRPr="00C0212D" w:rsidRDefault="00C0212D" w:rsidP="00C0212D">
      <w:pPr>
        <w:pStyle w:val="Body"/>
        <w:rPr>
          <w:rFonts w:ascii="Arial" w:hAnsi="Arial" w:cs="Arial"/>
        </w:rPr>
      </w:pPr>
      <w:r w:rsidRPr="00C0212D">
        <w:rPr>
          <w:rFonts w:ascii="Arial" w:hAnsi="Arial" w:cs="Arial"/>
        </w:rPr>
        <w:t>Likewise, assessment autonomy attained a beta coefficient of 0.227. It insinuates that assessment autonomy has a 22.7% degree of influence on language assessment literacy. Furthermore, the p-value is 0.070, greater than 0.05 degrees of confidence. Hence, it failed to reject the null hypothesis. It purports that 22.7% of the degree of influence of assessment autonomy on language assessment literacy is insignificant. This implies that for every 0.227 increase in assessment practices, there is a corresponding unit increase in language assessment literacy.</w:t>
      </w:r>
    </w:p>
    <w:p w14:paraId="778C4BF1" w14:textId="5EB44764" w:rsidR="00231920" w:rsidRDefault="00C0212D" w:rsidP="00C0212D">
      <w:pPr>
        <w:pStyle w:val="Body"/>
        <w:spacing w:after="0"/>
        <w:rPr>
          <w:rFonts w:ascii="Arial" w:hAnsi="Arial" w:cs="Arial"/>
        </w:rPr>
      </w:pPr>
      <w:r w:rsidRPr="00C0212D">
        <w:rPr>
          <w:rFonts w:ascii="Arial" w:hAnsi="Arial" w:cs="Arial"/>
        </w:rPr>
        <w:t>Nonetheless, the combined predictive variables obtained an r-squared value of 0.359, meaning they had a 35.9% combined degree of influence on language assessment literacy. Also, since the p-value of 0.000 was obtained, which is less than 0.05 degrees of confidence, it indicates that their combined influence is significant. Finally, based on the statistical result of the regression, the regression formula for language assessment literacy is LAL= 0.217 AP + 0.237 AC + 0.227 AA + 0.708</w:t>
      </w:r>
      <w:r w:rsidR="00790ADA">
        <w:rPr>
          <w:rFonts w:ascii="Arial" w:hAnsi="Arial" w:cs="Arial"/>
        </w:rPr>
        <w:t>.</w:t>
      </w:r>
      <w:r w:rsidR="00863BD3">
        <w:rPr>
          <w:rFonts w:ascii="Arial" w:hAnsi="Arial" w:cs="Arial"/>
        </w:rPr>
        <w:t xml:space="preserve"> </w:t>
      </w:r>
    </w:p>
    <w:p w14:paraId="07883F92" w14:textId="77777777" w:rsidR="00C0212D" w:rsidRDefault="00C0212D" w:rsidP="00C0212D">
      <w:pPr>
        <w:pStyle w:val="Body"/>
        <w:spacing w:after="0"/>
        <w:rPr>
          <w:rFonts w:ascii="Arial" w:hAnsi="Arial" w:cs="Arial"/>
        </w:rPr>
      </w:pPr>
    </w:p>
    <w:p w14:paraId="01D609E4" w14:textId="5F7F3C6F" w:rsidR="00C0212D" w:rsidRDefault="00C0212D" w:rsidP="00C0212D">
      <w:pPr>
        <w:pStyle w:val="Body"/>
        <w:spacing w:after="0"/>
        <w:rPr>
          <w:rFonts w:ascii="Arial" w:hAnsi="Arial" w:cs="Arial"/>
        </w:rPr>
      </w:pPr>
      <w:r w:rsidRPr="00CB21EA">
        <w:rPr>
          <w:rFonts w:ascii="Arial" w:hAnsi="Arial" w:cs="Arial"/>
        </w:rPr>
        <w:t>As provided by the test of significant influence, only one out of the three independent variables significantly influences language assessment literacy, as evidenced by its p-value. The results showed that assessment practices significantly influence language assessment literacy. Such a finding agrees with Ismail et al. (2022), arguing that when teachers are allowed to participate in a range of assessments—formative, summative, and diagnostic—they can learn more about the key principles of assessment, thereby making more informed choices regarding assessments. The fact that the impact of assessment practices is statistically significant could suggest that teachers' practice of using assessments in their teaching is an important part of their language assessment literacy, which could be consistent with (Tajeddin et al., 2022), who argued that teaching teachers effective assessment practices will increase their knowledge and help them in making informed decisions. Similarly, Yan and Pastore (2022) developed the Teacher Formative Assessment Literacy Scale (TFALS) to evaluate teachers' competencies in formative assessment and highlight the importance of educators understanding various assessment types to promote student learning better.</w:t>
      </w:r>
    </w:p>
    <w:p w14:paraId="2AEA80B5" w14:textId="2977B6C0" w:rsidR="00790ADA" w:rsidRPr="00FB3A86" w:rsidRDefault="00790ADA" w:rsidP="00441B6F">
      <w:pPr>
        <w:pStyle w:val="Body"/>
        <w:spacing w:after="0"/>
        <w:rPr>
          <w:rFonts w:ascii="Arial" w:hAnsi="Arial" w:cs="Arial"/>
        </w:rPr>
      </w:pPr>
    </w:p>
    <w:p w14:paraId="0158622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6B9D65F" w14:textId="77777777" w:rsidR="00790ADA" w:rsidRPr="00FB3A86" w:rsidRDefault="00790ADA" w:rsidP="00441B6F">
      <w:pPr>
        <w:pStyle w:val="ConcHead"/>
        <w:spacing w:after="0"/>
        <w:jc w:val="both"/>
        <w:rPr>
          <w:rFonts w:ascii="Arial" w:hAnsi="Arial" w:cs="Arial"/>
        </w:rPr>
      </w:pPr>
    </w:p>
    <w:p w14:paraId="1261C572" w14:textId="1130CA64" w:rsidR="00B01FCD" w:rsidRDefault="00C0212D" w:rsidP="00441B6F">
      <w:pPr>
        <w:pStyle w:val="Body"/>
        <w:spacing w:after="0"/>
        <w:rPr>
          <w:rFonts w:ascii="Arial" w:hAnsi="Arial" w:cs="Arial"/>
        </w:rPr>
      </w:pPr>
      <w:r w:rsidRPr="00CB21EA">
        <w:rPr>
          <w:rFonts w:ascii="Arial" w:hAnsi="Arial" w:cs="Arial"/>
        </w:rPr>
        <w:t xml:space="preserve">The study concludes that assessment practices significantly influence language assessment literacy (LAL). However, assessment collaborations and autonomy have an insignificant influence on LAL. Nonetheless, the combined influence of these three predictors on LAL is significant. Therefore, the professional capital theory, which states that professional capital </w:t>
      </w:r>
      <w:r w:rsidRPr="00CB21EA">
        <w:rPr>
          <w:rFonts w:ascii="Arial" w:hAnsi="Arial" w:cs="Arial"/>
        </w:rPr>
        <w:lastRenderedPageBreak/>
        <w:t>results from the dynamic interaction among three key components: human capital, social capital, and decisional capital, was partially affirmed</w:t>
      </w:r>
      <w:r>
        <w:rPr>
          <w:rFonts w:ascii="Arial" w:hAnsi="Arial" w:cs="Arial"/>
        </w:rPr>
        <w:t>.</w:t>
      </w:r>
    </w:p>
    <w:p w14:paraId="17D10B5D" w14:textId="77777777" w:rsidR="000D6BB3" w:rsidRDefault="000D6BB3" w:rsidP="00441B6F">
      <w:pPr>
        <w:pStyle w:val="Body"/>
        <w:spacing w:after="0"/>
        <w:rPr>
          <w:rFonts w:ascii="Arial" w:hAnsi="Arial" w:cs="Arial"/>
        </w:rPr>
      </w:pPr>
    </w:p>
    <w:p w14:paraId="1E00F541" w14:textId="77777777" w:rsidR="008B7DA9" w:rsidRPr="009C5487" w:rsidRDefault="008B7DA9" w:rsidP="008B7DA9">
      <w:pPr>
        <w:rPr>
          <w:rFonts w:ascii="Calibri" w:eastAsia="Calibri" w:hAnsi="Calibri"/>
          <w:kern w:val="2"/>
          <w:highlight w:val="yellow"/>
        </w:rPr>
      </w:pPr>
      <w:bookmarkStart w:id="0" w:name="_Hlk193540946"/>
      <w:bookmarkStart w:id="1" w:name="_Hlk180402183"/>
      <w:bookmarkStart w:id="2" w:name="_Hlk183680988"/>
      <w:r w:rsidRPr="009C5487">
        <w:rPr>
          <w:rFonts w:ascii="Calibri" w:eastAsia="Calibri" w:hAnsi="Calibri"/>
          <w:kern w:val="2"/>
          <w:highlight w:val="yellow"/>
        </w:rPr>
        <w:t>Disclaimer (Artificial intelligence)</w:t>
      </w:r>
    </w:p>
    <w:p w14:paraId="25CD8BB7"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 xml:space="preserve">Option 1: </w:t>
      </w:r>
    </w:p>
    <w:p w14:paraId="5975C1CC"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598928B"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 xml:space="preserve">Option 2: </w:t>
      </w:r>
    </w:p>
    <w:p w14:paraId="193A9366"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356CAB"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796DA4D"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1.</w:t>
      </w:r>
    </w:p>
    <w:p w14:paraId="51419151" w14:textId="77777777" w:rsidR="008B7DA9" w:rsidRPr="009C5487" w:rsidRDefault="008B7DA9" w:rsidP="008B7DA9">
      <w:pPr>
        <w:rPr>
          <w:rFonts w:ascii="Calibri" w:eastAsia="Calibri" w:hAnsi="Calibri"/>
          <w:kern w:val="2"/>
          <w:highlight w:val="yellow"/>
        </w:rPr>
      </w:pPr>
      <w:r w:rsidRPr="009C5487">
        <w:rPr>
          <w:rFonts w:ascii="Calibri" w:eastAsia="Calibri" w:hAnsi="Calibri"/>
          <w:kern w:val="2"/>
          <w:highlight w:val="yellow"/>
        </w:rPr>
        <w:t>2.</w:t>
      </w:r>
    </w:p>
    <w:p w14:paraId="5B70A5FE" w14:textId="77777777" w:rsidR="008B7DA9" w:rsidRPr="009C5487" w:rsidRDefault="008B7DA9" w:rsidP="008B7DA9">
      <w:pPr>
        <w:rPr>
          <w:rFonts w:ascii="Calibri" w:eastAsia="Calibri" w:hAnsi="Calibri"/>
          <w:kern w:val="2"/>
        </w:rPr>
      </w:pPr>
      <w:r w:rsidRPr="009C5487">
        <w:rPr>
          <w:rFonts w:ascii="Calibri" w:eastAsia="Calibri" w:hAnsi="Calibri"/>
          <w:kern w:val="2"/>
          <w:highlight w:val="yellow"/>
        </w:rPr>
        <w:t>3.</w:t>
      </w:r>
      <w:bookmarkEnd w:id="0"/>
    </w:p>
    <w:bookmarkEnd w:id="1"/>
    <w:bookmarkEnd w:id="2"/>
    <w:p w14:paraId="4BE05791" w14:textId="77777777" w:rsidR="00790ADA" w:rsidRPr="00FB3A86" w:rsidRDefault="00790ADA" w:rsidP="00441B6F">
      <w:pPr>
        <w:pStyle w:val="Body"/>
        <w:spacing w:after="0"/>
        <w:rPr>
          <w:rFonts w:ascii="Arial" w:hAnsi="Arial" w:cs="Arial"/>
        </w:rPr>
      </w:pPr>
    </w:p>
    <w:p w14:paraId="518E3FBF" w14:textId="77777777" w:rsidR="00860000" w:rsidRDefault="00860000" w:rsidP="00441B6F">
      <w:pPr>
        <w:pStyle w:val="ReferHead"/>
        <w:spacing w:after="0"/>
        <w:jc w:val="both"/>
        <w:rPr>
          <w:rFonts w:ascii="Arial" w:hAnsi="Arial" w:cs="Arial"/>
        </w:rPr>
      </w:pPr>
    </w:p>
    <w:p w14:paraId="59305A6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09F1D9" w14:textId="23171285" w:rsidR="00790ADA" w:rsidRDefault="00790ADA" w:rsidP="00441B6F">
      <w:pPr>
        <w:pStyle w:val="ReferHead"/>
        <w:spacing w:after="0"/>
        <w:jc w:val="both"/>
        <w:rPr>
          <w:rFonts w:ascii="Arial" w:hAnsi="Arial" w:cs="Arial"/>
        </w:rPr>
      </w:pPr>
    </w:p>
    <w:p w14:paraId="68F9BA1D" w14:textId="0B05E6F0" w:rsidR="0064265E" w:rsidRDefault="0064265E" w:rsidP="0064265E">
      <w:pPr>
        <w:pStyle w:val="ReferHead"/>
        <w:spacing w:after="0"/>
        <w:jc w:val="both"/>
        <w:rPr>
          <w:rFonts w:ascii="Arial" w:hAnsi="Arial" w:cs="Arial"/>
          <w:b w:val="0"/>
          <w:caps w:val="0"/>
        </w:rPr>
      </w:pPr>
      <w:r w:rsidRPr="0064265E">
        <w:rPr>
          <w:rFonts w:ascii="Arial" w:hAnsi="Arial" w:cs="Arial"/>
          <w:b w:val="0"/>
          <w:caps w:val="0"/>
        </w:rPr>
        <w:t>COOMBE, C., VAFADAR, H., &amp; MOHEBBI, H. (2020). LANGUAGE ASSESSMENT LITERACY: WHAT DO WE NEED TO LEARN, UNLEARN, AND RELEARN?. </w:t>
      </w:r>
      <w:r w:rsidRPr="0064265E">
        <w:rPr>
          <w:rFonts w:ascii="Arial" w:hAnsi="Arial" w:cs="Arial"/>
          <w:b w:val="0"/>
          <w:i/>
          <w:iCs/>
          <w:caps w:val="0"/>
        </w:rPr>
        <w:t>LANGUAGE TESTING IN ASIA</w:t>
      </w:r>
      <w:r w:rsidRPr="0064265E">
        <w:rPr>
          <w:rFonts w:ascii="Arial" w:hAnsi="Arial" w:cs="Arial"/>
          <w:b w:val="0"/>
          <w:caps w:val="0"/>
        </w:rPr>
        <w:t>, </w:t>
      </w:r>
      <w:r w:rsidRPr="0064265E">
        <w:rPr>
          <w:rFonts w:ascii="Arial" w:hAnsi="Arial" w:cs="Arial"/>
          <w:b w:val="0"/>
          <w:i/>
          <w:iCs/>
          <w:caps w:val="0"/>
        </w:rPr>
        <w:t>10</w:t>
      </w:r>
      <w:r w:rsidRPr="0064265E">
        <w:rPr>
          <w:rFonts w:ascii="Arial" w:hAnsi="Arial" w:cs="Arial"/>
          <w:b w:val="0"/>
          <w:caps w:val="0"/>
        </w:rPr>
        <w:t>(1), 3.</w:t>
      </w:r>
    </w:p>
    <w:p w14:paraId="7C7938F6" w14:textId="2C86274C" w:rsidR="0064265E" w:rsidRDefault="0064265E" w:rsidP="0064265E">
      <w:pPr>
        <w:pStyle w:val="ReferHead"/>
        <w:spacing w:after="0"/>
        <w:jc w:val="both"/>
        <w:rPr>
          <w:rFonts w:ascii="Arial" w:hAnsi="Arial" w:cs="Arial"/>
          <w:b w:val="0"/>
          <w:caps w:val="0"/>
        </w:rPr>
      </w:pPr>
    </w:p>
    <w:p w14:paraId="319E5F62" w14:textId="5E13F4C2" w:rsidR="0064265E" w:rsidRDefault="0064265E"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DeLuca, C., LaPointe-McEwan, D., &amp; Luhanga, U. (2016). Teacher assessment literacy: A review of international standards and measures. </w:t>
      </w:r>
      <w:r>
        <w:rPr>
          <w:rFonts w:ascii="Arial" w:hAnsi="Arial" w:cs="Arial"/>
          <w:i/>
          <w:iCs/>
          <w:color w:val="222222"/>
          <w:sz w:val="20"/>
          <w:shd w:val="clear" w:color="auto" w:fill="FFFFFF"/>
        </w:rPr>
        <w:t>Educational Assessment, Evaluation and Accountability</w:t>
      </w:r>
      <w:r>
        <w:rPr>
          <w:rFonts w:ascii="Arial" w:hAnsi="Arial" w:cs="Arial"/>
          <w:color w:val="222222"/>
          <w:sz w:val="20"/>
          <w:shd w:val="clear" w:color="auto" w:fill="FFFFFF"/>
        </w:rPr>
        <w:t>, </w:t>
      </w:r>
      <w:r>
        <w:rPr>
          <w:rFonts w:ascii="Arial" w:hAnsi="Arial" w:cs="Arial"/>
          <w:i/>
          <w:iCs/>
          <w:color w:val="222222"/>
          <w:sz w:val="20"/>
          <w:shd w:val="clear" w:color="auto" w:fill="FFFFFF"/>
        </w:rPr>
        <w:t>28</w:t>
      </w:r>
      <w:r>
        <w:rPr>
          <w:rFonts w:ascii="Arial" w:hAnsi="Arial" w:cs="Arial"/>
          <w:color w:val="222222"/>
          <w:sz w:val="20"/>
          <w:shd w:val="clear" w:color="auto" w:fill="FFFFFF"/>
        </w:rPr>
        <w:t>, 251-272.</w:t>
      </w:r>
    </w:p>
    <w:p w14:paraId="3EA18FDE" w14:textId="051ADD41" w:rsidR="0064265E" w:rsidRDefault="0064265E" w:rsidP="0064265E">
      <w:pPr>
        <w:pStyle w:val="ReferHead"/>
        <w:spacing w:after="0"/>
        <w:jc w:val="both"/>
        <w:rPr>
          <w:rFonts w:ascii="Arial" w:hAnsi="Arial" w:cs="Arial"/>
          <w:b w:val="0"/>
        </w:rPr>
      </w:pPr>
    </w:p>
    <w:p w14:paraId="72A6BAC3" w14:textId="1723EF39" w:rsidR="0064265E" w:rsidRDefault="0064265E" w:rsidP="0064265E">
      <w:pPr>
        <w:pStyle w:val="ReferHead"/>
        <w:spacing w:after="0"/>
        <w:jc w:val="both"/>
        <w:rPr>
          <w:rFonts w:ascii="Arial" w:hAnsi="Arial" w:cs="Arial"/>
          <w:b w:val="0"/>
        </w:rPr>
      </w:pPr>
      <w:r w:rsidRPr="0064265E">
        <w:rPr>
          <w:rFonts w:ascii="Arial" w:hAnsi="Arial" w:cs="Arial"/>
          <w:b w:val="0"/>
        </w:rPr>
        <w:t>Lee, J., &amp; Butler, Y. G. (2020). Reconceptualizing language assessment literacy. </w:t>
      </w:r>
      <w:r w:rsidRPr="0064265E">
        <w:rPr>
          <w:rFonts w:ascii="Arial" w:hAnsi="Arial" w:cs="Arial"/>
          <w:b w:val="0"/>
          <w:i/>
          <w:iCs/>
        </w:rPr>
        <w:t>Tesol Quarterly</w:t>
      </w:r>
      <w:r w:rsidRPr="0064265E">
        <w:rPr>
          <w:rFonts w:ascii="Arial" w:hAnsi="Arial" w:cs="Arial"/>
          <w:b w:val="0"/>
        </w:rPr>
        <w:t>, </w:t>
      </w:r>
      <w:r w:rsidRPr="0064265E">
        <w:rPr>
          <w:rFonts w:ascii="Arial" w:hAnsi="Arial" w:cs="Arial"/>
          <w:b w:val="0"/>
          <w:i/>
          <w:iCs/>
        </w:rPr>
        <w:t>54</w:t>
      </w:r>
      <w:r w:rsidRPr="0064265E">
        <w:rPr>
          <w:rFonts w:ascii="Arial" w:hAnsi="Arial" w:cs="Arial"/>
          <w:b w:val="0"/>
        </w:rPr>
        <w:t>(4), 1098-1111.</w:t>
      </w:r>
    </w:p>
    <w:p w14:paraId="589D2975" w14:textId="4C79F18C" w:rsidR="004B0E04" w:rsidRDefault="004B0E04" w:rsidP="0064265E">
      <w:pPr>
        <w:pStyle w:val="ReferHead"/>
        <w:spacing w:after="0"/>
        <w:jc w:val="both"/>
        <w:rPr>
          <w:rFonts w:ascii="Arial" w:hAnsi="Arial" w:cs="Arial"/>
          <w:b w:val="0"/>
        </w:rPr>
      </w:pPr>
    </w:p>
    <w:p w14:paraId="7D3471BB" w14:textId="2FB68237" w:rsidR="004B0E04" w:rsidRDefault="004B0E04"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Lewkowicz, J., &amp; Leung, C. (2021). Classroom-based assessment. </w:t>
      </w:r>
      <w:r>
        <w:rPr>
          <w:rFonts w:ascii="Arial" w:hAnsi="Arial" w:cs="Arial"/>
          <w:i/>
          <w:iCs/>
          <w:color w:val="222222"/>
          <w:sz w:val="20"/>
          <w:shd w:val="clear" w:color="auto" w:fill="FFFFFF"/>
        </w:rPr>
        <w:t>Language Teaching</w:t>
      </w:r>
      <w:r>
        <w:rPr>
          <w:rFonts w:ascii="Arial" w:hAnsi="Arial" w:cs="Arial"/>
          <w:color w:val="222222"/>
          <w:sz w:val="20"/>
          <w:shd w:val="clear" w:color="auto" w:fill="FFFFFF"/>
        </w:rPr>
        <w:t>, </w:t>
      </w:r>
      <w:r>
        <w:rPr>
          <w:rFonts w:ascii="Arial" w:hAnsi="Arial" w:cs="Arial"/>
          <w:i/>
          <w:iCs/>
          <w:color w:val="222222"/>
          <w:sz w:val="20"/>
          <w:shd w:val="clear" w:color="auto" w:fill="FFFFFF"/>
        </w:rPr>
        <w:t>54</w:t>
      </w:r>
      <w:r>
        <w:rPr>
          <w:rFonts w:ascii="Arial" w:hAnsi="Arial" w:cs="Arial"/>
          <w:color w:val="222222"/>
          <w:sz w:val="20"/>
          <w:shd w:val="clear" w:color="auto" w:fill="FFFFFF"/>
        </w:rPr>
        <w:t>(1), 47-57.</w:t>
      </w:r>
    </w:p>
    <w:p w14:paraId="07AE36B3" w14:textId="355C1BB8" w:rsidR="001919DC" w:rsidRDefault="001919DC" w:rsidP="0064265E">
      <w:pPr>
        <w:pStyle w:val="ReferHead"/>
        <w:spacing w:after="0"/>
        <w:jc w:val="both"/>
        <w:rPr>
          <w:rFonts w:ascii="Arial" w:hAnsi="Arial" w:cs="Arial"/>
          <w:color w:val="222222"/>
          <w:sz w:val="20"/>
          <w:shd w:val="clear" w:color="auto" w:fill="FFFFFF"/>
        </w:rPr>
      </w:pPr>
    </w:p>
    <w:p w14:paraId="29A03F35" w14:textId="55EA14C9" w:rsidR="001919DC" w:rsidRDefault="001919DC"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Xu, Y., &amp; Brown, G. T. (2017). University English teacher assessment literacy: A survey-test report from China. </w:t>
      </w:r>
      <w:r>
        <w:rPr>
          <w:rFonts w:ascii="Arial" w:hAnsi="Arial" w:cs="Arial"/>
          <w:i/>
          <w:iCs/>
          <w:color w:val="222222"/>
          <w:sz w:val="20"/>
          <w:shd w:val="clear" w:color="auto" w:fill="FFFFFF"/>
        </w:rPr>
        <w:t>Papers in Language Testing and Assessment</w:t>
      </w:r>
      <w:r>
        <w:rPr>
          <w:rFonts w:ascii="Arial" w:hAnsi="Arial" w:cs="Arial"/>
          <w:color w:val="222222"/>
          <w:sz w:val="20"/>
          <w:shd w:val="clear" w:color="auto" w:fill="FFFFFF"/>
        </w:rPr>
        <w:t>, </w:t>
      </w:r>
      <w:r>
        <w:rPr>
          <w:rFonts w:ascii="Arial" w:hAnsi="Arial" w:cs="Arial"/>
          <w:i/>
          <w:iCs/>
          <w:color w:val="222222"/>
          <w:sz w:val="20"/>
          <w:shd w:val="clear" w:color="auto" w:fill="FFFFFF"/>
        </w:rPr>
        <w:t>6</w:t>
      </w:r>
      <w:r>
        <w:rPr>
          <w:rFonts w:ascii="Arial" w:hAnsi="Arial" w:cs="Arial"/>
          <w:color w:val="222222"/>
          <w:sz w:val="20"/>
          <w:shd w:val="clear" w:color="auto" w:fill="FFFFFF"/>
        </w:rPr>
        <w:t>(1), 133-158.</w:t>
      </w:r>
    </w:p>
    <w:p w14:paraId="102C3DB0" w14:textId="3BFE7CAE" w:rsidR="001919DC" w:rsidRDefault="001919DC" w:rsidP="0064265E">
      <w:pPr>
        <w:pStyle w:val="ReferHead"/>
        <w:spacing w:after="0"/>
        <w:jc w:val="both"/>
        <w:rPr>
          <w:rFonts w:ascii="Arial" w:hAnsi="Arial" w:cs="Arial"/>
          <w:color w:val="222222"/>
          <w:sz w:val="20"/>
          <w:shd w:val="clear" w:color="auto" w:fill="FFFFFF"/>
        </w:rPr>
      </w:pPr>
    </w:p>
    <w:p w14:paraId="2D01F4A1" w14:textId="570D86C7" w:rsidR="001919DC" w:rsidRDefault="001919DC"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Weng, F., &amp; Shen, B. (2022). Language assessment literacy of teachers. </w:t>
      </w:r>
      <w:r>
        <w:rPr>
          <w:rFonts w:ascii="Arial" w:hAnsi="Arial" w:cs="Arial"/>
          <w:i/>
          <w:iCs/>
          <w:color w:val="222222"/>
          <w:sz w:val="20"/>
          <w:shd w:val="clear" w:color="auto" w:fill="FFFFFF"/>
        </w:rPr>
        <w:t>Frontiers in Psychology</w:t>
      </w:r>
      <w:r>
        <w:rPr>
          <w:rFonts w:ascii="Arial" w:hAnsi="Arial" w:cs="Arial"/>
          <w:color w:val="222222"/>
          <w:sz w:val="20"/>
          <w:shd w:val="clear" w:color="auto" w:fill="FFFFFF"/>
        </w:rPr>
        <w:t>, </w:t>
      </w:r>
      <w:r>
        <w:rPr>
          <w:rFonts w:ascii="Arial" w:hAnsi="Arial" w:cs="Arial"/>
          <w:i/>
          <w:iCs/>
          <w:color w:val="222222"/>
          <w:sz w:val="20"/>
          <w:shd w:val="clear" w:color="auto" w:fill="FFFFFF"/>
        </w:rPr>
        <w:t>13</w:t>
      </w:r>
      <w:r>
        <w:rPr>
          <w:rFonts w:ascii="Arial" w:hAnsi="Arial" w:cs="Arial"/>
          <w:color w:val="222222"/>
          <w:sz w:val="20"/>
          <w:shd w:val="clear" w:color="auto" w:fill="FFFFFF"/>
        </w:rPr>
        <w:t>, 864582.</w:t>
      </w:r>
    </w:p>
    <w:p w14:paraId="3CF8636C" w14:textId="18CA23EF" w:rsidR="00B4544B" w:rsidRDefault="00B4544B" w:rsidP="0064265E">
      <w:pPr>
        <w:pStyle w:val="ReferHead"/>
        <w:spacing w:after="0"/>
        <w:jc w:val="both"/>
        <w:rPr>
          <w:rFonts w:ascii="Arial" w:hAnsi="Arial" w:cs="Arial"/>
          <w:b w:val="0"/>
        </w:rPr>
      </w:pPr>
    </w:p>
    <w:p w14:paraId="1DD15288" w14:textId="506A3347" w:rsidR="00B4544B" w:rsidRDefault="00B4544B"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Csépes, I. (2021). The evolving concept of (language) assessment literacy. Implications for teacher education. </w:t>
      </w:r>
      <w:r>
        <w:rPr>
          <w:rFonts w:ascii="Arial" w:hAnsi="Arial" w:cs="Arial"/>
          <w:i/>
          <w:iCs/>
          <w:color w:val="222222"/>
          <w:sz w:val="20"/>
          <w:shd w:val="clear" w:color="auto" w:fill="FFFFFF"/>
        </w:rPr>
        <w:t>Central European Journal of Educational Research</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(1), 120-130.</w:t>
      </w:r>
    </w:p>
    <w:p w14:paraId="153E023D" w14:textId="2547D185" w:rsidR="00843328" w:rsidRDefault="00843328" w:rsidP="0064265E">
      <w:pPr>
        <w:pStyle w:val="ReferHead"/>
        <w:spacing w:after="0"/>
        <w:jc w:val="both"/>
        <w:rPr>
          <w:rFonts w:ascii="Arial" w:hAnsi="Arial" w:cs="Arial"/>
          <w:color w:val="222222"/>
          <w:sz w:val="20"/>
          <w:shd w:val="clear" w:color="auto" w:fill="FFFFFF"/>
        </w:rPr>
      </w:pPr>
    </w:p>
    <w:p w14:paraId="4F3DAD83" w14:textId="3DEE8DBF" w:rsidR="00843328" w:rsidRDefault="00843328"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 xml:space="preserve">Vogt, K., Tsagari, D., Csépes, I., Green, A., &amp; Sifakis, N. (2020). Linking learners’ perspectives on language assessment practices to teachers’ assessment literacy enhancement (TALE): Insights from </w:t>
      </w:r>
      <w:r>
        <w:rPr>
          <w:rFonts w:ascii="Arial" w:hAnsi="Arial" w:cs="Arial"/>
          <w:color w:val="222222"/>
          <w:sz w:val="20"/>
          <w:shd w:val="clear" w:color="auto" w:fill="FFFFFF"/>
        </w:rPr>
        <w:lastRenderedPageBreak/>
        <w:t>four European countries. </w:t>
      </w:r>
      <w:r>
        <w:rPr>
          <w:rFonts w:ascii="Arial" w:hAnsi="Arial" w:cs="Arial"/>
          <w:i/>
          <w:iCs/>
          <w:color w:val="222222"/>
          <w:sz w:val="20"/>
          <w:shd w:val="clear" w:color="auto" w:fill="FFFFFF"/>
        </w:rPr>
        <w:t>Language Assessment Quarterly</w:t>
      </w:r>
      <w:r>
        <w:rPr>
          <w:rFonts w:ascii="Arial" w:hAnsi="Arial" w:cs="Arial"/>
          <w:color w:val="222222"/>
          <w:sz w:val="20"/>
          <w:shd w:val="clear" w:color="auto" w:fill="FFFFFF"/>
        </w:rPr>
        <w:t>, </w:t>
      </w:r>
      <w:r>
        <w:rPr>
          <w:rFonts w:ascii="Arial" w:hAnsi="Arial" w:cs="Arial"/>
          <w:i/>
          <w:iCs/>
          <w:color w:val="222222"/>
          <w:sz w:val="20"/>
          <w:shd w:val="clear" w:color="auto" w:fill="FFFFFF"/>
        </w:rPr>
        <w:t>17</w:t>
      </w:r>
      <w:r>
        <w:rPr>
          <w:rFonts w:ascii="Arial" w:hAnsi="Arial" w:cs="Arial"/>
          <w:color w:val="222222"/>
          <w:sz w:val="20"/>
          <w:shd w:val="clear" w:color="auto" w:fill="FFFFFF"/>
        </w:rPr>
        <w:t>(4), 410-433.</w:t>
      </w:r>
    </w:p>
    <w:p w14:paraId="03C0A98A" w14:textId="728F2A1F" w:rsidR="00843328" w:rsidRDefault="00843328" w:rsidP="0064265E">
      <w:pPr>
        <w:pStyle w:val="ReferHead"/>
        <w:spacing w:after="0"/>
        <w:jc w:val="both"/>
        <w:rPr>
          <w:rFonts w:ascii="Arial" w:hAnsi="Arial" w:cs="Arial"/>
          <w:color w:val="222222"/>
          <w:sz w:val="20"/>
          <w:shd w:val="clear" w:color="auto" w:fill="FFFFFF"/>
        </w:rPr>
      </w:pPr>
    </w:p>
    <w:p w14:paraId="794FE9C9" w14:textId="2D706B73" w:rsidR="00843328" w:rsidRDefault="00843328"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Napanoy, J. B., &amp; Peckley, M. K. (2020). Assessment literacy of public elementary school teachers in the indigenous communities in Northern Philippines. </w:t>
      </w:r>
      <w:r>
        <w:rPr>
          <w:rFonts w:ascii="Arial" w:hAnsi="Arial" w:cs="Arial"/>
          <w:i/>
          <w:iCs/>
          <w:color w:val="222222"/>
          <w:sz w:val="20"/>
          <w:shd w:val="clear" w:color="auto" w:fill="FFFFFF"/>
        </w:rPr>
        <w:t>Universal Journal of Educational Research</w:t>
      </w:r>
      <w:r>
        <w:rPr>
          <w:rFonts w:ascii="Arial" w:hAnsi="Arial" w:cs="Arial"/>
          <w:color w:val="222222"/>
          <w:sz w:val="20"/>
          <w:shd w:val="clear" w:color="auto" w:fill="FFFFFF"/>
        </w:rPr>
        <w:t>, </w:t>
      </w:r>
      <w:r>
        <w:rPr>
          <w:rFonts w:ascii="Arial" w:hAnsi="Arial" w:cs="Arial"/>
          <w:i/>
          <w:iCs/>
          <w:color w:val="222222"/>
          <w:sz w:val="20"/>
          <w:shd w:val="clear" w:color="auto" w:fill="FFFFFF"/>
        </w:rPr>
        <w:t>8</w:t>
      </w:r>
      <w:r>
        <w:rPr>
          <w:rFonts w:ascii="Arial" w:hAnsi="Arial" w:cs="Arial"/>
          <w:color w:val="222222"/>
          <w:sz w:val="20"/>
          <w:shd w:val="clear" w:color="auto" w:fill="FFFFFF"/>
        </w:rPr>
        <w:t>(11B), 5693-5703.</w:t>
      </w:r>
    </w:p>
    <w:p w14:paraId="4CD6F644" w14:textId="69C404E4" w:rsidR="00843328" w:rsidRDefault="00843328" w:rsidP="0064265E">
      <w:pPr>
        <w:pStyle w:val="ReferHead"/>
        <w:spacing w:after="0"/>
        <w:jc w:val="both"/>
        <w:rPr>
          <w:rFonts w:ascii="Arial" w:hAnsi="Arial" w:cs="Arial"/>
          <w:b w:val="0"/>
        </w:rPr>
      </w:pPr>
    </w:p>
    <w:p w14:paraId="1FFC9059" w14:textId="549770A2" w:rsidR="00843328" w:rsidRDefault="00843328" w:rsidP="0064265E">
      <w:pPr>
        <w:pStyle w:val="ReferHead"/>
        <w:spacing w:after="0"/>
        <w:jc w:val="both"/>
        <w:rPr>
          <w:rFonts w:ascii="Arial" w:hAnsi="Arial" w:cs="Arial"/>
          <w:b w:val="0"/>
        </w:rPr>
      </w:pPr>
      <w:r>
        <w:rPr>
          <w:rFonts w:ascii="Arial" w:hAnsi="Arial" w:cs="Arial"/>
          <w:color w:val="222222"/>
          <w:sz w:val="20"/>
          <w:shd w:val="clear" w:color="auto" w:fill="FFFFFF"/>
        </w:rPr>
        <w:t>Clores, M. A., &amp; Reganit, A. A. R. (2020). Investigating the assessment literacy of teachers in private Junior High Schools in the Philippines. </w:t>
      </w:r>
      <w:r>
        <w:rPr>
          <w:rFonts w:ascii="Arial" w:hAnsi="Arial" w:cs="Arial"/>
          <w:i/>
          <w:iCs/>
          <w:color w:val="222222"/>
          <w:sz w:val="20"/>
          <w:shd w:val="clear" w:color="auto" w:fill="FFFFFF"/>
        </w:rPr>
        <w:t>Humanities, Arts and Social Sciences Studies</w:t>
      </w:r>
      <w:r>
        <w:rPr>
          <w:rFonts w:ascii="Arial" w:hAnsi="Arial" w:cs="Arial"/>
          <w:color w:val="222222"/>
          <w:sz w:val="20"/>
          <w:shd w:val="clear" w:color="auto" w:fill="FFFFFF"/>
        </w:rPr>
        <w:t>, 461-476.</w:t>
      </w:r>
    </w:p>
    <w:p w14:paraId="524668BF" w14:textId="77777777" w:rsidR="0064265E" w:rsidRDefault="0064265E" w:rsidP="00441B6F">
      <w:pPr>
        <w:pStyle w:val="ReferHead"/>
        <w:spacing w:after="0"/>
        <w:jc w:val="both"/>
        <w:rPr>
          <w:rFonts w:ascii="Arial" w:hAnsi="Arial" w:cs="Arial"/>
          <w:b w:val="0"/>
        </w:rPr>
      </w:pPr>
    </w:p>
    <w:p w14:paraId="45E547F9" w14:textId="2EAC9B75" w:rsidR="001F7B32" w:rsidRDefault="001F7B32" w:rsidP="00441B6F">
      <w:pPr>
        <w:pStyle w:val="ReferHead"/>
        <w:spacing w:after="0"/>
        <w:jc w:val="both"/>
        <w:rPr>
          <w:rFonts w:ascii="Arial" w:hAnsi="Arial" w:cs="Arial"/>
          <w:b w:val="0"/>
        </w:rPr>
      </w:pPr>
      <w:r w:rsidRPr="006D5DAF">
        <w:rPr>
          <w:rFonts w:ascii="Arial" w:hAnsi="Arial" w:cs="Arial"/>
          <w:b w:val="0"/>
          <w:caps w:val="0"/>
          <w:highlight w:val="yellow"/>
        </w:rPr>
        <w:t>Pastore</w:t>
      </w:r>
      <w:r w:rsidRPr="006D5DAF">
        <w:rPr>
          <w:rFonts w:ascii="Arial" w:hAnsi="Arial" w:cs="Arial"/>
          <w:b w:val="0"/>
          <w:highlight w:val="yellow"/>
        </w:rPr>
        <w:t xml:space="preserve">, S. (2023, July). </w:t>
      </w:r>
      <w:r w:rsidRPr="006D5DAF">
        <w:rPr>
          <w:rFonts w:ascii="Arial" w:hAnsi="Arial" w:cs="Arial"/>
          <w:b w:val="0"/>
          <w:caps w:val="0"/>
          <w:highlight w:val="yellow"/>
        </w:rPr>
        <w:t xml:space="preserve">Teacher assessment literacy: a systematic review. In Frontiers in Education </w:t>
      </w:r>
      <w:r w:rsidRPr="006D5DAF">
        <w:rPr>
          <w:rFonts w:ascii="Arial" w:hAnsi="Arial" w:cs="Arial"/>
          <w:b w:val="0"/>
          <w:highlight w:val="yellow"/>
        </w:rPr>
        <w:t xml:space="preserve">(Vol. 8, p. 1217167). </w:t>
      </w:r>
      <w:r w:rsidRPr="006D5DAF">
        <w:rPr>
          <w:rFonts w:ascii="Arial" w:hAnsi="Arial" w:cs="Arial"/>
          <w:b w:val="0"/>
          <w:caps w:val="0"/>
          <w:highlight w:val="yellow"/>
        </w:rPr>
        <w:t xml:space="preserve">Frontiers Media </w:t>
      </w:r>
      <w:r w:rsidRPr="006D5DAF">
        <w:rPr>
          <w:rFonts w:ascii="Arial" w:hAnsi="Arial" w:cs="Arial"/>
          <w:b w:val="0"/>
          <w:highlight w:val="yellow"/>
        </w:rPr>
        <w:t>SA.</w:t>
      </w:r>
      <w:r>
        <w:rPr>
          <w:rFonts w:ascii="Arial" w:hAnsi="Arial" w:cs="Arial"/>
          <w:b w:val="0"/>
        </w:rPr>
        <w:t xml:space="preserve"> </w:t>
      </w:r>
    </w:p>
    <w:p w14:paraId="64F38F44" w14:textId="77777777" w:rsidR="001F7B32" w:rsidRDefault="001F7B32" w:rsidP="00441B6F">
      <w:pPr>
        <w:pStyle w:val="ReferHead"/>
        <w:spacing w:after="0"/>
        <w:jc w:val="both"/>
        <w:rPr>
          <w:rFonts w:ascii="Arial" w:hAnsi="Arial" w:cs="Arial"/>
          <w:b w:val="0"/>
        </w:rPr>
      </w:pPr>
    </w:p>
    <w:p w14:paraId="6E3DB937" w14:textId="2F69B604" w:rsidR="00432CFE" w:rsidRDefault="00432CFE" w:rsidP="00441B6F">
      <w:pPr>
        <w:pStyle w:val="ReferHead"/>
        <w:spacing w:after="0"/>
        <w:jc w:val="both"/>
        <w:rPr>
          <w:rFonts w:ascii="Arial" w:hAnsi="Arial" w:cs="Arial"/>
          <w:b w:val="0"/>
        </w:rPr>
      </w:pPr>
      <w:r w:rsidRPr="006D5DAF">
        <w:rPr>
          <w:rFonts w:ascii="Arial" w:hAnsi="Arial" w:cs="Arial"/>
          <w:b w:val="0"/>
          <w:caps w:val="0"/>
          <w:highlight w:val="yellow"/>
        </w:rPr>
        <w:t>Wang</w:t>
      </w:r>
      <w:r w:rsidRPr="006D5DAF">
        <w:rPr>
          <w:rFonts w:ascii="Arial" w:hAnsi="Arial" w:cs="Arial"/>
          <w:b w:val="0"/>
          <w:highlight w:val="yellow"/>
        </w:rPr>
        <w:t xml:space="preserve">, X., </w:t>
      </w:r>
      <w:r w:rsidRPr="006D5DAF">
        <w:rPr>
          <w:rFonts w:ascii="Arial" w:hAnsi="Arial" w:cs="Arial"/>
          <w:b w:val="0"/>
          <w:caps w:val="0"/>
          <w:highlight w:val="yellow"/>
        </w:rPr>
        <w:t>Zuo</w:t>
      </w:r>
      <w:r w:rsidRPr="006D5DAF">
        <w:rPr>
          <w:rFonts w:ascii="Arial" w:hAnsi="Arial" w:cs="Arial"/>
          <w:b w:val="0"/>
          <w:highlight w:val="yellow"/>
        </w:rPr>
        <w:t xml:space="preserve">, J., </w:t>
      </w:r>
      <w:r w:rsidRPr="006D5DAF">
        <w:rPr>
          <w:rFonts w:ascii="Arial" w:hAnsi="Arial" w:cs="Arial"/>
          <w:b w:val="0"/>
          <w:caps w:val="0"/>
          <w:highlight w:val="yellow"/>
        </w:rPr>
        <w:t>Liu</w:t>
      </w:r>
      <w:r w:rsidRPr="006D5DAF">
        <w:rPr>
          <w:rFonts w:ascii="Arial" w:hAnsi="Arial" w:cs="Arial"/>
          <w:b w:val="0"/>
          <w:highlight w:val="yellow"/>
        </w:rPr>
        <w:t xml:space="preserve">, F., &amp; </w:t>
      </w:r>
      <w:r w:rsidRPr="006D5DAF">
        <w:rPr>
          <w:rFonts w:ascii="Arial" w:hAnsi="Arial" w:cs="Arial"/>
          <w:b w:val="0"/>
          <w:caps w:val="0"/>
          <w:highlight w:val="yellow"/>
        </w:rPr>
        <w:t>Sun</w:t>
      </w:r>
      <w:r w:rsidRPr="006D5DAF">
        <w:rPr>
          <w:rFonts w:ascii="Arial" w:hAnsi="Arial" w:cs="Arial"/>
          <w:b w:val="0"/>
          <w:highlight w:val="yellow"/>
        </w:rPr>
        <w:t xml:space="preserve">, Z. (2023). </w:t>
      </w:r>
      <w:r w:rsidRPr="006D5DAF">
        <w:rPr>
          <w:rFonts w:ascii="Arial" w:hAnsi="Arial" w:cs="Arial"/>
          <w:b w:val="0"/>
          <w:caps w:val="0"/>
          <w:highlight w:val="yellow"/>
        </w:rPr>
        <w:t>A Scientometric Review of Research Trends in Language Assessment Literacy</w:t>
      </w:r>
      <w:r w:rsidRPr="006D5DAF">
        <w:rPr>
          <w:rFonts w:ascii="Arial" w:hAnsi="Arial" w:cs="Arial"/>
          <w:b w:val="0"/>
          <w:highlight w:val="yellow"/>
        </w:rPr>
        <w:t xml:space="preserve">. </w:t>
      </w:r>
      <w:r w:rsidRPr="006D5DAF">
        <w:rPr>
          <w:rFonts w:ascii="Arial" w:hAnsi="Arial" w:cs="Arial"/>
          <w:b w:val="0"/>
          <w:caps w:val="0"/>
          <w:highlight w:val="yellow"/>
        </w:rPr>
        <w:t>Education Sciences</w:t>
      </w:r>
      <w:r w:rsidRPr="006D5DAF">
        <w:rPr>
          <w:rFonts w:ascii="Arial" w:hAnsi="Arial" w:cs="Arial"/>
          <w:b w:val="0"/>
          <w:highlight w:val="yellow"/>
        </w:rPr>
        <w:t>, 13(2), 190.</w:t>
      </w:r>
    </w:p>
    <w:p w14:paraId="1DA70C24" w14:textId="77777777" w:rsidR="00EB5EEF" w:rsidRDefault="00EB5EEF" w:rsidP="00441B6F">
      <w:pPr>
        <w:pStyle w:val="ReferHead"/>
        <w:spacing w:after="0"/>
        <w:jc w:val="both"/>
        <w:rPr>
          <w:rFonts w:ascii="Arial" w:hAnsi="Arial" w:cs="Arial"/>
          <w:b w:val="0"/>
        </w:rPr>
      </w:pPr>
    </w:p>
    <w:p w14:paraId="5AB8F222" w14:textId="56FC0A51" w:rsidR="00EB5EEF" w:rsidRDefault="00EB5EEF" w:rsidP="00441B6F">
      <w:pPr>
        <w:pStyle w:val="ReferHead"/>
        <w:spacing w:after="0"/>
        <w:jc w:val="both"/>
        <w:rPr>
          <w:rFonts w:ascii="Arial" w:hAnsi="Arial" w:cs="Arial"/>
          <w:b w:val="0"/>
        </w:rPr>
      </w:pPr>
      <w:r w:rsidRPr="006D5DAF">
        <w:rPr>
          <w:rFonts w:ascii="Arial" w:hAnsi="Arial" w:cs="Arial"/>
          <w:b w:val="0"/>
          <w:caps w:val="0"/>
          <w:highlight w:val="yellow"/>
        </w:rPr>
        <w:t>Alcazaren</w:t>
      </w:r>
      <w:r w:rsidRPr="006D5DAF">
        <w:rPr>
          <w:rFonts w:ascii="Arial" w:hAnsi="Arial" w:cs="Arial"/>
          <w:b w:val="0"/>
          <w:highlight w:val="yellow"/>
        </w:rPr>
        <w:t xml:space="preserve">, H. K. G. (2024). </w:t>
      </w:r>
      <w:r w:rsidRPr="006D5DAF">
        <w:rPr>
          <w:rFonts w:ascii="Arial" w:hAnsi="Arial" w:cs="Arial"/>
          <w:b w:val="0"/>
          <w:caps w:val="0"/>
          <w:highlight w:val="yellow"/>
        </w:rPr>
        <w:t>Developing Language Assessment Literacy of Filipino Pre-Service Teachers: Reflections from a Language Assessment Course</w:t>
      </w:r>
      <w:r w:rsidRPr="006D5DAF">
        <w:rPr>
          <w:rFonts w:ascii="Arial" w:hAnsi="Arial" w:cs="Arial"/>
          <w:b w:val="0"/>
          <w:highlight w:val="yellow"/>
        </w:rPr>
        <w:t xml:space="preserve">. TEFLIN </w:t>
      </w:r>
      <w:r w:rsidRPr="006D5DAF">
        <w:rPr>
          <w:rFonts w:ascii="Arial" w:hAnsi="Arial" w:cs="Arial"/>
          <w:b w:val="0"/>
          <w:caps w:val="0"/>
          <w:highlight w:val="yellow"/>
        </w:rPr>
        <w:t>Journal</w:t>
      </w:r>
      <w:r w:rsidRPr="006D5DAF">
        <w:rPr>
          <w:rFonts w:ascii="Arial" w:hAnsi="Arial" w:cs="Arial"/>
          <w:b w:val="0"/>
          <w:highlight w:val="yellow"/>
        </w:rPr>
        <w:t>, 35(2), 216-231.</w:t>
      </w:r>
    </w:p>
    <w:p w14:paraId="047E1DF2" w14:textId="77777777" w:rsidR="001F7B32" w:rsidRPr="0064265E" w:rsidRDefault="001F7B32" w:rsidP="00441B6F">
      <w:pPr>
        <w:pStyle w:val="ReferHead"/>
        <w:spacing w:after="0"/>
        <w:jc w:val="both"/>
        <w:rPr>
          <w:rFonts w:ascii="Arial" w:hAnsi="Arial" w:cs="Arial"/>
          <w:b w:val="0"/>
        </w:rPr>
      </w:pPr>
    </w:p>
    <w:p w14:paraId="0F4E3F1E" w14:textId="77777777" w:rsidR="0064265E" w:rsidRPr="00FB3A86" w:rsidRDefault="0064265E" w:rsidP="00441B6F">
      <w:pPr>
        <w:pStyle w:val="ReferHead"/>
        <w:spacing w:after="0"/>
        <w:jc w:val="both"/>
        <w:rPr>
          <w:rFonts w:ascii="Arial" w:hAnsi="Arial" w:cs="Arial"/>
        </w:rPr>
      </w:pPr>
    </w:p>
    <w:p w14:paraId="64A6B459" w14:textId="77777777" w:rsidR="00790ADA" w:rsidRDefault="00790ADA" w:rsidP="00441B6F">
      <w:pPr>
        <w:pStyle w:val="Body"/>
        <w:spacing w:after="0"/>
        <w:rPr>
          <w:rFonts w:ascii="Arial" w:hAnsi="Arial" w:cs="Arial"/>
        </w:rPr>
      </w:pPr>
    </w:p>
    <w:p w14:paraId="0B0FE828" w14:textId="77777777" w:rsidR="00441B6F" w:rsidRDefault="00441B6F" w:rsidP="00441B6F">
      <w:pPr>
        <w:pStyle w:val="Body"/>
        <w:spacing w:after="0"/>
        <w:rPr>
          <w:i/>
        </w:rPr>
      </w:pPr>
    </w:p>
    <w:p w14:paraId="3D4C1739" w14:textId="77777777" w:rsidR="00D74CB0" w:rsidRDefault="00D74CB0" w:rsidP="00441B6F">
      <w:pPr>
        <w:pStyle w:val="Body"/>
        <w:spacing w:after="0"/>
      </w:pPr>
    </w:p>
    <w:p w14:paraId="46A6C514" w14:textId="77777777" w:rsidR="00441B6F" w:rsidRDefault="00441B6F" w:rsidP="00441B6F">
      <w:pPr>
        <w:pStyle w:val="Body"/>
        <w:spacing w:after="0"/>
        <w:jc w:val="left"/>
      </w:pPr>
    </w:p>
    <w:p w14:paraId="06E35940" w14:textId="77777777" w:rsidR="00441B6F" w:rsidRDefault="00441B6F" w:rsidP="00441B6F">
      <w:pPr>
        <w:pStyle w:val="Body"/>
        <w:spacing w:after="0"/>
        <w:jc w:val="left"/>
        <w:rPr>
          <w:rFonts w:ascii="Arial" w:hAnsi="Arial" w:cs="Arial"/>
        </w:rPr>
      </w:pPr>
    </w:p>
    <w:p w14:paraId="5AE39C94" w14:textId="77777777" w:rsidR="00B01FCD" w:rsidRPr="00FB3A86" w:rsidRDefault="00B01FCD" w:rsidP="00441B6F">
      <w:pPr>
        <w:pStyle w:val="Reference"/>
        <w:numPr>
          <w:ilvl w:val="0"/>
          <w:numId w:val="0"/>
        </w:numPr>
        <w:spacing w:line="240" w:lineRule="auto"/>
        <w:rPr>
          <w:rFonts w:ascii="Arial" w:hAnsi="Arial" w:cs="Arial"/>
        </w:rPr>
      </w:pPr>
    </w:p>
    <w:p w14:paraId="174A360E" w14:textId="77777777" w:rsidR="00790ADA" w:rsidRPr="00FB3A86" w:rsidRDefault="00790ADA" w:rsidP="00441B6F">
      <w:pPr>
        <w:pStyle w:val="Body"/>
        <w:spacing w:after="0"/>
        <w:rPr>
          <w:rFonts w:ascii="Arial" w:hAnsi="Arial" w:cs="Arial"/>
        </w:rPr>
      </w:pPr>
    </w:p>
    <w:p w14:paraId="15087222" w14:textId="5C9A129F" w:rsidR="004D4277" w:rsidRPr="00FB3A86" w:rsidRDefault="004D4277" w:rsidP="00441B6F">
      <w:pPr>
        <w:pStyle w:val="Appendix"/>
        <w:spacing w:after="0"/>
        <w:jc w:val="both"/>
        <w:rPr>
          <w:rFonts w:ascii="Arial" w:hAnsi="Arial" w:cs="Arial"/>
          <w:b w:val="0"/>
        </w:rPr>
        <w:sectPr w:rsidR="004D4277" w:rsidRPr="00FB3A86" w:rsidSect="0097632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000F3AED" w14:textId="77777777" w:rsidR="00B01FCD" w:rsidRPr="00FB3A86" w:rsidRDefault="00B01FCD" w:rsidP="00441B6F">
      <w:pPr>
        <w:pStyle w:val="Appendix"/>
        <w:spacing w:after="0"/>
        <w:jc w:val="both"/>
        <w:rPr>
          <w:rFonts w:ascii="Arial" w:hAnsi="Arial" w:cs="Arial"/>
          <w:b w:val="0"/>
        </w:rPr>
      </w:pPr>
    </w:p>
    <w:sectPr w:rsidR="00B01FCD" w:rsidRPr="00FB3A86" w:rsidSect="009763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3867" w14:textId="77777777" w:rsidR="00DD4698" w:rsidRDefault="00DD4698" w:rsidP="00C37E61">
      <w:r>
        <w:separator/>
      </w:r>
    </w:p>
  </w:endnote>
  <w:endnote w:type="continuationSeparator" w:id="0">
    <w:p w14:paraId="7DFA35C0" w14:textId="77777777" w:rsidR="00DD4698" w:rsidRDefault="00DD46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513A" w14:textId="77777777" w:rsidR="0097632C" w:rsidRDefault="0097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18B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447F" w14:textId="77777777" w:rsidR="0097632C" w:rsidRDefault="0097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C7E3" w14:textId="77777777" w:rsidR="00DD4698" w:rsidRDefault="00DD4698" w:rsidP="00C37E61">
      <w:r>
        <w:separator/>
      </w:r>
    </w:p>
  </w:footnote>
  <w:footnote w:type="continuationSeparator" w:id="0">
    <w:p w14:paraId="67105CD9" w14:textId="77777777" w:rsidR="00DD4698" w:rsidRDefault="00DD46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5321" w14:textId="586EC9EA" w:rsidR="0097632C" w:rsidRDefault="00000000">
    <w:pPr>
      <w:pStyle w:val="Header"/>
    </w:pPr>
    <w:r>
      <w:rPr>
        <w:noProof/>
      </w:rPr>
      <w:pict w14:anchorId="0D88E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7FDC" w14:textId="44A7FA48" w:rsidR="0097632C" w:rsidRDefault="00000000">
    <w:pPr>
      <w:pStyle w:val="Header"/>
    </w:pPr>
    <w:r>
      <w:rPr>
        <w:noProof/>
      </w:rPr>
      <w:pict w14:anchorId="316D2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C727" w14:textId="5B5F049B" w:rsidR="0097632C" w:rsidRDefault="00000000">
    <w:pPr>
      <w:pStyle w:val="Header"/>
    </w:pPr>
    <w:r>
      <w:rPr>
        <w:noProof/>
      </w:rPr>
      <w:pict w14:anchorId="1F5D5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0225E65"/>
    <w:multiLevelType w:val="hybridMultilevel"/>
    <w:tmpl w:val="4A52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75441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7085916">
    <w:abstractNumId w:val="15"/>
  </w:num>
  <w:num w:numId="3" w16cid:durableId="1276211674">
    <w:abstractNumId w:val="24"/>
  </w:num>
  <w:num w:numId="4" w16cid:durableId="16268113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15050136">
    <w:abstractNumId w:val="7"/>
  </w:num>
  <w:num w:numId="6" w16cid:durableId="1860855919">
    <w:abstractNumId w:val="6"/>
  </w:num>
  <w:num w:numId="7" w16cid:durableId="1023823605">
    <w:abstractNumId w:val="1"/>
  </w:num>
  <w:num w:numId="8" w16cid:durableId="326516155">
    <w:abstractNumId w:val="12"/>
  </w:num>
  <w:num w:numId="9" w16cid:durableId="1751385160">
    <w:abstractNumId w:val="26"/>
  </w:num>
  <w:num w:numId="10" w16cid:durableId="52387839">
    <w:abstractNumId w:val="2"/>
  </w:num>
  <w:num w:numId="11" w16cid:durableId="1234775102">
    <w:abstractNumId w:val="19"/>
  </w:num>
  <w:num w:numId="12" w16cid:durableId="2080858722">
    <w:abstractNumId w:val="3"/>
  </w:num>
  <w:num w:numId="13" w16cid:durableId="1371613826">
    <w:abstractNumId w:val="18"/>
  </w:num>
  <w:num w:numId="14" w16cid:durableId="1210605338">
    <w:abstractNumId w:val="8"/>
  </w:num>
  <w:num w:numId="15" w16cid:durableId="492574249">
    <w:abstractNumId w:val="22"/>
  </w:num>
  <w:num w:numId="16" w16cid:durableId="1617254818">
    <w:abstractNumId w:val="5"/>
  </w:num>
  <w:num w:numId="17" w16cid:durableId="582296531">
    <w:abstractNumId w:val="23"/>
  </w:num>
  <w:num w:numId="18" w16cid:durableId="688874178">
    <w:abstractNumId w:val="14"/>
  </w:num>
  <w:num w:numId="19" w16cid:durableId="335697621">
    <w:abstractNumId w:val="29"/>
  </w:num>
  <w:num w:numId="20" w16cid:durableId="1584953872">
    <w:abstractNumId w:val="11"/>
  </w:num>
  <w:num w:numId="21" w16cid:durableId="749305654">
    <w:abstractNumId w:val="9"/>
  </w:num>
  <w:num w:numId="22" w16cid:durableId="1959019987">
    <w:abstractNumId w:val="13"/>
  </w:num>
  <w:num w:numId="23" w16cid:durableId="1635065039">
    <w:abstractNumId w:val="20"/>
  </w:num>
  <w:num w:numId="24" w16cid:durableId="614992148">
    <w:abstractNumId w:val="27"/>
  </w:num>
  <w:num w:numId="25" w16cid:durableId="2019456964">
    <w:abstractNumId w:val="4"/>
  </w:num>
  <w:num w:numId="26" w16cid:durableId="1590963788">
    <w:abstractNumId w:val="17"/>
  </w:num>
  <w:num w:numId="27" w16cid:durableId="946735423">
    <w:abstractNumId w:val="21"/>
  </w:num>
  <w:num w:numId="28" w16cid:durableId="1323507421">
    <w:abstractNumId w:val="28"/>
  </w:num>
  <w:num w:numId="29" w16cid:durableId="617445478">
    <w:abstractNumId w:val="25"/>
  </w:num>
  <w:num w:numId="30" w16cid:durableId="1262639684">
    <w:abstractNumId w:val="10"/>
  </w:num>
  <w:num w:numId="31" w16cid:durableId="1686051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xNzU2MTE2Mzc1NDBU0lEKTi0uzszPAykwqgUAdWcXQiwAAAA="/>
  </w:docVars>
  <w:rsids>
    <w:rsidRoot w:val="00AA6219"/>
    <w:rsid w:val="00000F8F"/>
    <w:rsid w:val="00030174"/>
    <w:rsid w:val="0004579C"/>
    <w:rsid w:val="000A47FA"/>
    <w:rsid w:val="000A65D3"/>
    <w:rsid w:val="000B1E33"/>
    <w:rsid w:val="000B689D"/>
    <w:rsid w:val="000D689F"/>
    <w:rsid w:val="000D6BB3"/>
    <w:rsid w:val="000E47AA"/>
    <w:rsid w:val="000E7B7B"/>
    <w:rsid w:val="000E7D62"/>
    <w:rsid w:val="00103357"/>
    <w:rsid w:val="00123C9F"/>
    <w:rsid w:val="00126190"/>
    <w:rsid w:val="00130F17"/>
    <w:rsid w:val="001320BF"/>
    <w:rsid w:val="00134027"/>
    <w:rsid w:val="00163BC4"/>
    <w:rsid w:val="00191062"/>
    <w:rsid w:val="001919DC"/>
    <w:rsid w:val="00192B72"/>
    <w:rsid w:val="001A1321"/>
    <w:rsid w:val="001A29D8"/>
    <w:rsid w:val="001A5CAA"/>
    <w:rsid w:val="001B0427"/>
    <w:rsid w:val="001D3A51"/>
    <w:rsid w:val="001E10D2"/>
    <w:rsid w:val="001E25B4"/>
    <w:rsid w:val="001E32C0"/>
    <w:rsid w:val="001E44FE"/>
    <w:rsid w:val="001F37E1"/>
    <w:rsid w:val="001F7B32"/>
    <w:rsid w:val="00200595"/>
    <w:rsid w:val="00204835"/>
    <w:rsid w:val="00211FE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16CB"/>
    <w:rsid w:val="003512C2"/>
    <w:rsid w:val="00371FB6"/>
    <w:rsid w:val="003763C1"/>
    <w:rsid w:val="003766EA"/>
    <w:rsid w:val="00376BBE"/>
    <w:rsid w:val="0039224F"/>
    <w:rsid w:val="003A43A4"/>
    <w:rsid w:val="003A7E18"/>
    <w:rsid w:val="003C4C86"/>
    <w:rsid w:val="003C6258"/>
    <w:rsid w:val="003E2904"/>
    <w:rsid w:val="00401927"/>
    <w:rsid w:val="0041027F"/>
    <w:rsid w:val="00412475"/>
    <w:rsid w:val="00423789"/>
    <w:rsid w:val="00432CFE"/>
    <w:rsid w:val="00440F43"/>
    <w:rsid w:val="00441B6F"/>
    <w:rsid w:val="00446221"/>
    <w:rsid w:val="00450E62"/>
    <w:rsid w:val="004539DB"/>
    <w:rsid w:val="00457281"/>
    <w:rsid w:val="00471A80"/>
    <w:rsid w:val="004A15A1"/>
    <w:rsid w:val="004A48BD"/>
    <w:rsid w:val="004B0E04"/>
    <w:rsid w:val="004D305E"/>
    <w:rsid w:val="004D4277"/>
    <w:rsid w:val="00502516"/>
    <w:rsid w:val="00505F06"/>
    <w:rsid w:val="00506828"/>
    <w:rsid w:val="005142F5"/>
    <w:rsid w:val="0053056E"/>
    <w:rsid w:val="00543CDD"/>
    <w:rsid w:val="00554FDA"/>
    <w:rsid w:val="00567667"/>
    <w:rsid w:val="005A6B23"/>
    <w:rsid w:val="005C784C"/>
    <w:rsid w:val="005D17F6"/>
    <w:rsid w:val="005E5539"/>
    <w:rsid w:val="005F5526"/>
    <w:rsid w:val="00602BF5"/>
    <w:rsid w:val="00617FDD"/>
    <w:rsid w:val="00633614"/>
    <w:rsid w:val="00633F68"/>
    <w:rsid w:val="00636EB2"/>
    <w:rsid w:val="006375B8"/>
    <w:rsid w:val="0064265E"/>
    <w:rsid w:val="0066510A"/>
    <w:rsid w:val="00673F9F"/>
    <w:rsid w:val="006833F6"/>
    <w:rsid w:val="00686953"/>
    <w:rsid w:val="00687DEA"/>
    <w:rsid w:val="00687E67"/>
    <w:rsid w:val="006967F7"/>
    <w:rsid w:val="006A250C"/>
    <w:rsid w:val="006B21D3"/>
    <w:rsid w:val="006B57D0"/>
    <w:rsid w:val="006D30FF"/>
    <w:rsid w:val="006D5DAF"/>
    <w:rsid w:val="006D6940"/>
    <w:rsid w:val="006F11EC"/>
    <w:rsid w:val="0070082C"/>
    <w:rsid w:val="007369E6"/>
    <w:rsid w:val="0074413C"/>
    <w:rsid w:val="00746E59"/>
    <w:rsid w:val="00754C9A"/>
    <w:rsid w:val="0075599A"/>
    <w:rsid w:val="00757E7D"/>
    <w:rsid w:val="00761D52"/>
    <w:rsid w:val="0077749E"/>
    <w:rsid w:val="00790ADA"/>
    <w:rsid w:val="007A5180"/>
    <w:rsid w:val="007D0C0B"/>
    <w:rsid w:val="007D1C83"/>
    <w:rsid w:val="007D2288"/>
    <w:rsid w:val="007E088F"/>
    <w:rsid w:val="007F7B32"/>
    <w:rsid w:val="00804BC2"/>
    <w:rsid w:val="0081431A"/>
    <w:rsid w:val="0083216F"/>
    <w:rsid w:val="00843328"/>
    <w:rsid w:val="00860000"/>
    <w:rsid w:val="00863BD3"/>
    <w:rsid w:val="008641ED"/>
    <w:rsid w:val="00866D66"/>
    <w:rsid w:val="008671C6"/>
    <w:rsid w:val="00875051"/>
    <w:rsid w:val="00875803"/>
    <w:rsid w:val="008B459E"/>
    <w:rsid w:val="008B7DA9"/>
    <w:rsid w:val="008E13AE"/>
    <w:rsid w:val="008E1506"/>
    <w:rsid w:val="008E710C"/>
    <w:rsid w:val="008F69D6"/>
    <w:rsid w:val="00902823"/>
    <w:rsid w:val="00914660"/>
    <w:rsid w:val="00915CA6"/>
    <w:rsid w:val="00927834"/>
    <w:rsid w:val="00932A45"/>
    <w:rsid w:val="009500A6"/>
    <w:rsid w:val="00957C18"/>
    <w:rsid w:val="009659BA"/>
    <w:rsid w:val="0097632C"/>
    <w:rsid w:val="00983040"/>
    <w:rsid w:val="009854E0"/>
    <w:rsid w:val="009903B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00C2"/>
    <w:rsid w:val="00B01FCD"/>
    <w:rsid w:val="00B04F78"/>
    <w:rsid w:val="00B1776C"/>
    <w:rsid w:val="00B4544B"/>
    <w:rsid w:val="00B52583"/>
    <w:rsid w:val="00B52896"/>
    <w:rsid w:val="00B95236"/>
    <w:rsid w:val="00B96BD9"/>
    <w:rsid w:val="00BA1B01"/>
    <w:rsid w:val="00BA2641"/>
    <w:rsid w:val="00BB37AA"/>
    <w:rsid w:val="00BC53A0"/>
    <w:rsid w:val="00BE3DFA"/>
    <w:rsid w:val="00BE62AD"/>
    <w:rsid w:val="00BF121F"/>
    <w:rsid w:val="00BF1F80"/>
    <w:rsid w:val="00C0212D"/>
    <w:rsid w:val="00C166EF"/>
    <w:rsid w:val="00C17EB0"/>
    <w:rsid w:val="00C27F5F"/>
    <w:rsid w:val="00C30A0F"/>
    <w:rsid w:val="00C37E61"/>
    <w:rsid w:val="00C70F1B"/>
    <w:rsid w:val="00C71A47"/>
    <w:rsid w:val="00C7464C"/>
    <w:rsid w:val="00C85588"/>
    <w:rsid w:val="00CD6755"/>
    <w:rsid w:val="00CD6856"/>
    <w:rsid w:val="00CE0089"/>
    <w:rsid w:val="00CE1B4F"/>
    <w:rsid w:val="00CE793C"/>
    <w:rsid w:val="00CF193C"/>
    <w:rsid w:val="00D173F1"/>
    <w:rsid w:val="00D200CC"/>
    <w:rsid w:val="00D44BC3"/>
    <w:rsid w:val="00D649B3"/>
    <w:rsid w:val="00D74CB0"/>
    <w:rsid w:val="00D8295D"/>
    <w:rsid w:val="00D90ED4"/>
    <w:rsid w:val="00DB2ACA"/>
    <w:rsid w:val="00DC2A65"/>
    <w:rsid w:val="00DC78C1"/>
    <w:rsid w:val="00DD0BF7"/>
    <w:rsid w:val="00DD4698"/>
    <w:rsid w:val="00DE15F0"/>
    <w:rsid w:val="00DE5663"/>
    <w:rsid w:val="00DE78AA"/>
    <w:rsid w:val="00E053D0"/>
    <w:rsid w:val="00E0752B"/>
    <w:rsid w:val="00E15994"/>
    <w:rsid w:val="00E2666E"/>
    <w:rsid w:val="00E3114E"/>
    <w:rsid w:val="00E31A70"/>
    <w:rsid w:val="00E35B02"/>
    <w:rsid w:val="00E51EC6"/>
    <w:rsid w:val="00E66496"/>
    <w:rsid w:val="00E66B35"/>
    <w:rsid w:val="00E66E10"/>
    <w:rsid w:val="00E769F6"/>
    <w:rsid w:val="00E8407C"/>
    <w:rsid w:val="00E84F3C"/>
    <w:rsid w:val="00EA012C"/>
    <w:rsid w:val="00EA756C"/>
    <w:rsid w:val="00EB5EEF"/>
    <w:rsid w:val="00EC6A55"/>
    <w:rsid w:val="00ED0288"/>
    <w:rsid w:val="00EE52CB"/>
    <w:rsid w:val="00EF581D"/>
    <w:rsid w:val="00EF7FD8"/>
    <w:rsid w:val="00F00B86"/>
    <w:rsid w:val="00F06F59"/>
    <w:rsid w:val="00F17988"/>
    <w:rsid w:val="00F27DC0"/>
    <w:rsid w:val="00F469F0"/>
    <w:rsid w:val="00F53273"/>
    <w:rsid w:val="00F755E4"/>
    <w:rsid w:val="00F77D02"/>
    <w:rsid w:val="00F80E99"/>
    <w:rsid w:val="00F8297A"/>
    <w:rsid w:val="00FB3A86"/>
    <w:rsid w:val="00FC21FA"/>
    <w:rsid w:val="00FD0B6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5A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C0212D"/>
    <w:pPr>
      <w:spacing w:before="100" w:beforeAutospacing="1" w:after="100" w:afterAutospacing="1"/>
    </w:pPr>
    <w:rPr>
      <w:rFonts w:ascii="Times New Roman" w:hAnsi="Times New Roman"/>
      <w:sz w:val="24"/>
      <w:szCs w:val="24"/>
      <w:lang w:val="en-PH"/>
    </w:rPr>
  </w:style>
  <w:style w:type="paragraph" w:styleId="ListParagraph">
    <w:name w:val="List Paragraph"/>
    <w:basedOn w:val="Normal"/>
    <w:uiPriority w:val="34"/>
    <w:qFormat/>
    <w:rsid w:val="00C0212D"/>
    <w:pPr>
      <w:ind w:left="720"/>
      <w:contextualSpacing/>
    </w:pPr>
    <w:rPr>
      <w:rFonts w:ascii="Times New Roman" w:hAnsi="Times New Roman"/>
      <w:sz w:val="24"/>
      <w:szCs w:val="24"/>
      <w:lang w:val="en-PH"/>
    </w:rPr>
  </w:style>
  <w:style w:type="paragraph" w:styleId="NoSpacing">
    <w:name w:val="No Spacing"/>
    <w:link w:val="NoSpacingChar"/>
    <w:uiPriority w:val="1"/>
    <w:qFormat/>
    <w:rsid w:val="00C0212D"/>
    <w:rPr>
      <w:rFonts w:asciiTheme="minorHAnsi" w:eastAsiaTheme="minorHAnsi" w:hAnsiTheme="minorHAnsi" w:cstheme="minorBidi"/>
      <w:sz w:val="22"/>
      <w:szCs w:val="22"/>
    </w:rPr>
  </w:style>
  <w:style w:type="character" w:customStyle="1" w:styleId="NoSpacingChar">
    <w:name w:val="No Spacing Char"/>
    <w:link w:val="NoSpacing"/>
    <w:autoRedefine/>
    <w:uiPriority w:val="1"/>
    <w:qFormat/>
    <w:rsid w:val="00C0212D"/>
    <w:rPr>
      <w:rFonts w:asciiTheme="minorHAnsi" w:eastAsiaTheme="minorHAnsi" w:hAnsiTheme="minorHAnsi" w:cstheme="minorBidi"/>
      <w:sz w:val="22"/>
      <w:szCs w:val="22"/>
    </w:rPr>
  </w:style>
  <w:style w:type="table" w:customStyle="1" w:styleId="PlainTable21">
    <w:name w:val="Plain Table 21"/>
    <w:basedOn w:val="TableNormal"/>
    <w:uiPriority w:val="42"/>
    <w:rsid w:val="00C0212D"/>
    <w:rPr>
      <w:rFonts w:asciiTheme="minorHAnsi" w:eastAsiaTheme="minorHAnsi" w:hAnsiTheme="minorHAnsi" w:cstheme="minorBidi"/>
      <w:lang w:val="en-P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1466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88EB-7101-4DFD-9E8E-D5E2F30E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10</Pages>
  <Words>3905</Words>
  <Characters>24058</Characters>
  <Application>Microsoft Office Word</Application>
  <DocSecurity>0</DocSecurity>
  <Lines>616</Lines>
  <Paragraphs>251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27712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52</cp:revision>
  <cp:lastPrinted>1999-07-06T11:00:00Z</cp:lastPrinted>
  <dcterms:created xsi:type="dcterms:W3CDTF">2025-04-30T00:57:00Z</dcterms:created>
  <dcterms:modified xsi:type="dcterms:W3CDTF">2025-05-12T07:46:00Z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2025-04-30T00:57:39Z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c6aca9e9-e388-4163-80fe-6896aff50b34</vt:lpwstr>
  </property>
  <property fmtid="{D5CDD505-2E9C-101B-9397-08002B2CF9AE}" pid="7" name="MSIP_Label_defa4170-0d19-0005-0004-bc88714345d2_ActionId">
    <vt:lpwstr>554af5f8-49ec-4ca8-b7dd-2c89ead2bf67</vt:lpwstr>
  </property>
  <property fmtid="{D5CDD505-2E9C-101B-9397-08002B2CF9AE}" pid="8" name="MSIP_Label_defa4170-0d19-0005-0004-bc88714345d2_ContentBits">
    <vt:lpwstr>0</vt:lpwstr>
  </property>
  <property fmtid="{D5CDD505-2E9C-101B-9397-08002B2CF9AE}" pid="9" name="GrammarlyDocumentId">
    <vt:lpwstr>bdcfc03d-3e76-4405-8780-a9986da34a70</vt:lpwstr>
  </property>
</Properties>
</file>