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987CF" w14:textId="77777777" w:rsidR="00754C9A" w:rsidRDefault="00754C9A" w:rsidP="00441B6F">
      <w:pPr>
        <w:pStyle w:val="Title"/>
        <w:spacing w:after="0"/>
        <w:jc w:val="both"/>
        <w:rPr>
          <w:rFonts w:ascii="Arial" w:hAnsi="Arial" w:cs="Arial"/>
        </w:rPr>
      </w:pPr>
    </w:p>
    <w:p w14:paraId="0F4308CB" w14:textId="77777777" w:rsidR="00631EC6" w:rsidRPr="00631EC6" w:rsidRDefault="00631EC6" w:rsidP="00631EC6">
      <w:pPr>
        <w:pStyle w:val="Author"/>
        <w:ind w:right="-14"/>
        <w:jc w:val="both"/>
        <w:rPr>
          <w:rFonts w:ascii="Arial" w:hAnsi="Arial" w:cs="Arial"/>
          <w:bCs/>
          <w:i/>
          <w:iCs/>
          <w:kern w:val="28"/>
          <w:sz w:val="18"/>
          <w:szCs w:val="18"/>
          <w:u w:val="single"/>
        </w:rPr>
      </w:pPr>
      <w:r w:rsidRPr="00631EC6">
        <w:rPr>
          <w:rFonts w:ascii="Arial" w:hAnsi="Arial" w:cs="Arial"/>
          <w:bCs/>
          <w:i/>
          <w:iCs/>
          <w:kern w:val="28"/>
          <w:sz w:val="18"/>
          <w:szCs w:val="18"/>
          <w:u w:val="single"/>
        </w:rPr>
        <w:t>Original Research Article</w:t>
      </w:r>
    </w:p>
    <w:p w14:paraId="3516FB25" w14:textId="4838A8CB" w:rsidR="00607F07" w:rsidRPr="00790ADA" w:rsidRDefault="00187FB6" w:rsidP="00E80C00">
      <w:pPr>
        <w:pStyle w:val="Author"/>
        <w:spacing w:line="240" w:lineRule="auto"/>
        <w:ind w:right="-14"/>
        <w:jc w:val="both"/>
        <w:rPr>
          <w:rFonts w:ascii="Arial" w:hAnsi="Arial" w:cs="Arial"/>
          <w:sz w:val="36"/>
        </w:rPr>
      </w:pPr>
      <w:r w:rsidRPr="00187FB6">
        <w:rPr>
          <w:rFonts w:ascii="Arial" w:hAnsi="Arial" w:cs="Arial"/>
          <w:bCs/>
          <w:iCs/>
          <w:kern w:val="28"/>
          <w:sz w:val="36"/>
        </w:rPr>
        <w:t>Assessing Urban Green Infrastructure Transformation in Delhi (1991–2021): A Landscape Ecology and Remote Sensing Approach</w:t>
      </w:r>
    </w:p>
    <w:p w14:paraId="2652CE16" w14:textId="500E01BD" w:rsidR="00631EC6" w:rsidRDefault="00631EC6" w:rsidP="00441B6F">
      <w:pPr>
        <w:pStyle w:val="Affiliation"/>
        <w:spacing w:after="0" w:line="240" w:lineRule="auto"/>
        <w:jc w:val="both"/>
        <w:rPr>
          <w:rFonts w:ascii="Arial" w:hAnsi="Arial" w:cs="Arial"/>
        </w:rPr>
      </w:pPr>
    </w:p>
    <w:p w14:paraId="44659F3A" w14:textId="77777777" w:rsidR="00361CC0" w:rsidRPr="00FB3A86" w:rsidRDefault="00361CC0" w:rsidP="00441B6F">
      <w:pPr>
        <w:pStyle w:val="Affiliation"/>
        <w:spacing w:after="0" w:line="240" w:lineRule="auto"/>
        <w:jc w:val="both"/>
        <w:rPr>
          <w:rFonts w:ascii="Arial" w:hAnsi="Arial" w:cs="Arial"/>
        </w:rPr>
      </w:pPr>
    </w:p>
    <w:p w14:paraId="6AE11AA1" w14:textId="3A035176" w:rsidR="00B01FCD" w:rsidRPr="00FB3A86" w:rsidRDefault="008D286F" w:rsidP="00441B6F">
      <w:pPr>
        <w:pStyle w:val="Copyright"/>
        <w:spacing w:after="0" w:line="240" w:lineRule="auto"/>
        <w:jc w:val="both"/>
        <w:rPr>
          <w:rFonts w:ascii="Arial" w:hAnsi="Arial" w:cs="Arial"/>
        </w:rPr>
        <w:sectPr w:rsidR="00B01FCD" w:rsidRPr="00FB3A86" w:rsidSect="00361CC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63D8C7B" wp14:editId="3D09BF79">
                <wp:extent cx="5303520" cy="635"/>
                <wp:effectExtent l="15240" t="11430" r="15240" b="17145"/>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022EFE8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DF0yAfMAQAAfgMAAA4AAAAAAAAAAAAA&#10;AAAALgIAAGRycy9lMm9Eb2MueG1sUEsBAi0AFAAGAAgAAAAhAEnI0rfWAAAAAgEAAA8AAAAAAAAA&#10;AAAAAAAAJgQAAGRycy9kb3ducmV2LnhtbFBLBQYAAAAABAAEAPMAAAApBQAAAAA=&#10;" strokeweight="1.5pt">
                <w10:anchorlock/>
              </v:shape>
            </w:pict>
          </mc:Fallback>
        </mc:AlternateContent>
      </w:r>
      <w:r w:rsidR="00FB3A86">
        <w:rPr>
          <w:rFonts w:ascii="Arial" w:hAnsi="Arial" w:cs="Arial"/>
        </w:rPr>
        <w:t>.</w:t>
      </w:r>
    </w:p>
    <w:p w14:paraId="58C77FE2" w14:textId="7812B6D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881E26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D265EA7" w14:textId="77777777" w:rsidTr="001E44FE">
        <w:tc>
          <w:tcPr>
            <w:tcW w:w="9576" w:type="dxa"/>
            <w:shd w:val="clear" w:color="auto" w:fill="F2F2F2"/>
          </w:tcPr>
          <w:p w14:paraId="19BB24E9" w14:textId="20CE1C82" w:rsidR="00E3114E" w:rsidRDefault="00B654AF" w:rsidP="00441B6F">
            <w:pPr>
              <w:pStyle w:val="Body"/>
              <w:spacing w:after="0"/>
              <w:rPr>
                <w:rFonts w:ascii="Arial" w:eastAsia="Calibri" w:hAnsi="Arial" w:cs="Arial"/>
                <w:b/>
                <w:szCs w:val="22"/>
              </w:rPr>
            </w:pPr>
            <w:r w:rsidRPr="00B654AF">
              <w:rPr>
                <w:rFonts w:ascii="Arial" w:eastAsia="Calibri" w:hAnsi="Arial" w:cs="Arial"/>
                <w:sz w:val="22"/>
                <w:szCs w:val="24"/>
              </w:rPr>
              <w:t xml:space="preserve">Urban green spaces (UGS) play a crucial role in ensuring ecological stability and improving the quality of life in rapidly urbanizing regions. This study investigates the long-term transformation of UGS in the National Capital Territory of Delhi (NCTD), India, over </w:t>
            </w:r>
            <w:r w:rsidR="00B67293" w:rsidRPr="00B654AF">
              <w:rPr>
                <w:rFonts w:ascii="Arial" w:eastAsia="Calibri" w:hAnsi="Arial" w:cs="Arial"/>
                <w:sz w:val="22"/>
                <w:szCs w:val="24"/>
              </w:rPr>
              <w:t xml:space="preserve">a </w:t>
            </w:r>
            <w:r w:rsidR="00B67293" w:rsidRPr="00B67293">
              <w:rPr>
                <w:rFonts w:ascii="Arial" w:eastAsia="Calibri" w:hAnsi="Arial" w:cs="Arial"/>
                <w:sz w:val="22"/>
                <w:szCs w:val="24"/>
              </w:rPr>
              <w:t>three</w:t>
            </w:r>
            <w:r w:rsidR="006D54CD" w:rsidRPr="00B67293">
              <w:rPr>
                <w:rFonts w:ascii="Arial" w:eastAsia="Calibri" w:hAnsi="Arial" w:cs="Arial"/>
                <w:sz w:val="22"/>
                <w:szCs w:val="24"/>
              </w:rPr>
              <w:t xml:space="preserve"> decades </w:t>
            </w:r>
            <w:r w:rsidRPr="00B67293">
              <w:rPr>
                <w:rFonts w:ascii="Arial" w:eastAsia="Calibri" w:hAnsi="Arial" w:cs="Arial"/>
                <w:sz w:val="22"/>
                <w:szCs w:val="24"/>
              </w:rPr>
              <w:t xml:space="preserve">(1991–2021), </w:t>
            </w:r>
            <w:r w:rsidRPr="00B654AF">
              <w:rPr>
                <w:rFonts w:ascii="Arial" w:eastAsia="Calibri" w:hAnsi="Arial" w:cs="Arial"/>
                <w:sz w:val="22"/>
                <w:szCs w:val="24"/>
              </w:rPr>
              <w:t xml:space="preserve">a time marked by unprecedented urban expansion. </w:t>
            </w:r>
            <w:r w:rsidR="00B67293" w:rsidRPr="00B67293">
              <w:rPr>
                <w:rFonts w:ascii="Arial" w:eastAsia="Calibri" w:hAnsi="Arial" w:cs="Arial"/>
                <w:sz w:val="22"/>
                <w:szCs w:val="24"/>
              </w:rPr>
              <w:t xml:space="preserve">Multi-temporal Landsat satellite imagery was used for analysis, including Landsat 5 TM (1991, 2001), Landsat 8 OLI (2011), and Landsat 9 OLI-2 (2021). </w:t>
            </w:r>
            <w:r w:rsidR="004E1EB2" w:rsidRPr="00976E21">
              <w:rPr>
                <w:rFonts w:ascii="Arial" w:eastAsia="Calibri" w:hAnsi="Arial" w:cs="Arial"/>
                <w:sz w:val="22"/>
                <w:szCs w:val="24"/>
                <w:highlight w:val="green"/>
              </w:rPr>
              <w:t>An unsupervised classification was carried out using the ISODATA clustering algorithm in ERDAS Imagine software</w:t>
            </w:r>
            <w:r w:rsidR="00B67293" w:rsidRPr="00B67293">
              <w:rPr>
                <w:rFonts w:ascii="Arial" w:eastAsia="Calibri" w:hAnsi="Arial" w:cs="Arial"/>
                <w:sz w:val="22"/>
                <w:szCs w:val="24"/>
              </w:rPr>
              <w:t xml:space="preserve"> to classify six major land use/land cover (LULC) categories</w:t>
            </w:r>
            <w:r w:rsidR="00B67293">
              <w:rPr>
                <w:rFonts w:ascii="Arial" w:eastAsia="Calibri" w:hAnsi="Arial" w:cs="Arial"/>
                <w:sz w:val="22"/>
                <w:szCs w:val="24"/>
              </w:rPr>
              <w:t xml:space="preserve">. </w:t>
            </w:r>
            <w:r w:rsidRPr="00B654AF">
              <w:rPr>
                <w:rFonts w:ascii="Arial" w:eastAsia="Calibri" w:hAnsi="Arial" w:cs="Arial"/>
                <w:sz w:val="22"/>
                <w:szCs w:val="24"/>
              </w:rPr>
              <w:t>Change detection matrices were</w:t>
            </w:r>
            <w:r w:rsidR="00B67293">
              <w:rPr>
                <w:rFonts w:ascii="Arial" w:eastAsia="Calibri" w:hAnsi="Arial" w:cs="Arial"/>
                <w:sz w:val="22"/>
                <w:szCs w:val="24"/>
              </w:rPr>
              <w:t xml:space="preserve"> also</w:t>
            </w:r>
            <w:r w:rsidRPr="00B654AF">
              <w:rPr>
                <w:rFonts w:ascii="Arial" w:eastAsia="Calibri" w:hAnsi="Arial" w:cs="Arial"/>
                <w:sz w:val="22"/>
                <w:szCs w:val="24"/>
              </w:rPr>
              <w:t xml:space="preserve"> constructed to analyze land transitions across three decadal intervals and cumulatively over the entire study period. Landscape and class-level metrics (PLAND, PD, LPI, LSI, COHESION, CONTAG, SHDI, and SHEI) were computed to assess changes in landscape structure and spatial configuration. Results show a significant increase in built-up area (from 263.18 to 570.56 km²) primarily at the expense of agricultural land, vegetation, and open space. Forest cover demonstrated a net gain in the final decade, likely reflecting restoration efforts and reclassification, while vegetation showed consistent fragmentation and loss. The CONTAG index revealed increasing spatial aggregation, while SHDI and SHEI declined, indicating reduced landscape diversity and evenness. Class-level metrics revealed rising patch density and geometric irregularity in vegetation and forest classes, suggesting ecological fragmentation. The findings highlight the urgent need for integrated urban planning, policy reform, and proactive monitoring strategies to mitigate the ecological consequences of unbalanced urban growth. This research provides valuable insight for sustainable green space management in megacities undergoing intense land transformation.</w:t>
            </w:r>
          </w:p>
          <w:p w14:paraId="283C5219" w14:textId="084AA85E" w:rsidR="00505F06" w:rsidRPr="00BA1B01" w:rsidRDefault="00505F06" w:rsidP="00441B6F">
            <w:pPr>
              <w:pStyle w:val="Body"/>
              <w:spacing w:after="0"/>
              <w:rPr>
                <w:rFonts w:ascii="Arial" w:eastAsia="Calibri" w:hAnsi="Arial" w:cs="Arial"/>
                <w:szCs w:val="22"/>
              </w:rPr>
            </w:pPr>
          </w:p>
        </w:tc>
      </w:tr>
    </w:tbl>
    <w:p w14:paraId="3409F0C7" w14:textId="77777777" w:rsidR="00636EB2" w:rsidRDefault="00636EB2" w:rsidP="00441B6F">
      <w:pPr>
        <w:pStyle w:val="Body"/>
        <w:spacing w:after="0"/>
        <w:rPr>
          <w:rFonts w:ascii="Arial" w:hAnsi="Arial" w:cs="Arial"/>
          <w:i/>
        </w:rPr>
      </w:pPr>
    </w:p>
    <w:p w14:paraId="7C66E066" w14:textId="45236FBB" w:rsidR="00A24E7E" w:rsidRDefault="00A24E7E" w:rsidP="00441B6F">
      <w:pPr>
        <w:pStyle w:val="Body"/>
        <w:spacing w:after="0"/>
        <w:rPr>
          <w:rFonts w:ascii="Arial" w:hAnsi="Arial" w:cs="Arial"/>
          <w:i/>
        </w:rPr>
      </w:pPr>
      <w:r>
        <w:rPr>
          <w:rFonts w:ascii="Arial" w:hAnsi="Arial" w:cs="Arial"/>
          <w:i/>
        </w:rPr>
        <w:t>Keywords: [</w:t>
      </w:r>
      <w:r w:rsidR="00607F07">
        <w:rPr>
          <w:rFonts w:ascii="Arial" w:hAnsi="Arial" w:cs="Arial"/>
          <w:i/>
        </w:rPr>
        <w:t>Urban green space (UGS); Landscape Metrics; Urbanization; Remote Sensing &amp; GIS</w:t>
      </w:r>
      <w:r w:rsidR="00621DC7">
        <w:rPr>
          <w:rFonts w:ascii="Arial" w:hAnsi="Arial" w:cs="Arial"/>
          <w:i/>
        </w:rPr>
        <w:t>]</w:t>
      </w:r>
      <w:r w:rsidR="0066510A">
        <w:rPr>
          <w:rFonts w:ascii="Arial" w:hAnsi="Arial" w:cs="Arial"/>
          <w:i/>
        </w:rPr>
        <w:t xml:space="preserve"> </w:t>
      </w:r>
    </w:p>
    <w:p w14:paraId="11BBAEA8" w14:textId="77777777" w:rsidR="00790ADA" w:rsidRDefault="00790ADA" w:rsidP="00441B6F">
      <w:pPr>
        <w:pStyle w:val="Body"/>
        <w:spacing w:after="0"/>
        <w:rPr>
          <w:rFonts w:ascii="Arial" w:hAnsi="Arial" w:cs="Arial"/>
          <w:i/>
        </w:rPr>
      </w:pPr>
    </w:p>
    <w:p w14:paraId="756BEE59" w14:textId="77777777" w:rsidR="0024282C" w:rsidRDefault="0024282C" w:rsidP="00441B6F">
      <w:pPr>
        <w:pStyle w:val="Body"/>
        <w:spacing w:after="0"/>
        <w:rPr>
          <w:rFonts w:ascii="Arial" w:hAnsi="Arial" w:cs="Arial"/>
          <w:i/>
          <w:sz w:val="18"/>
        </w:rPr>
      </w:pPr>
    </w:p>
    <w:p w14:paraId="48A3C7BD" w14:textId="77777777" w:rsidR="00505F06" w:rsidRPr="00A24E7E" w:rsidRDefault="00505F06" w:rsidP="00441B6F">
      <w:pPr>
        <w:pStyle w:val="Body"/>
        <w:spacing w:after="0"/>
        <w:rPr>
          <w:rFonts w:ascii="Arial" w:hAnsi="Arial" w:cs="Arial"/>
          <w:i/>
        </w:rPr>
      </w:pPr>
    </w:p>
    <w:p w14:paraId="4E327DCB" w14:textId="6229199A"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0210B050" w14:textId="77777777" w:rsidR="00790ADA" w:rsidRPr="00FB3A86" w:rsidRDefault="00790ADA" w:rsidP="00441B6F">
      <w:pPr>
        <w:pStyle w:val="AbstHead"/>
        <w:spacing w:after="0"/>
        <w:jc w:val="both"/>
        <w:rPr>
          <w:rFonts w:ascii="Arial" w:hAnsi="Arial" w:cs="Arial"/>
        </w:rPr>
      </w:pPr>
    </w:p>
    <w:p w14:paraId="3B34910F" w14:textId="5DD38D5C" w:rsidR="004B047D" w:rsidRPr="004B047D" w:rsidRDefault="004B047D" w:rsidP="004B047D">
      <w:pPr>
        <w:jc w:val="both"/>
        <w:rPr>
          <w:rFonts w:ascii="Arial" w:hAnsi="Arial" w:cs="Arial"/>
        </w:rPr>
      </w:pPr>
      <w:r w:rsidRPr="004B047D">
        <w:rPr>
          <w:rFonts w:ascii="Arial" w:hAnsi="Arial" w:cs="Arial"/>
        </w:rPr>
        <w:t xml:space="preserve">Urbanization is rapidly transforming landscapes worldwide, particularly in developing countries like India. By 2030, nearly 60% of the global population is expected to reside in cities </w:t>
      </w:r>
      <w:r w:rsidR="000B654B" w:rsidRPr="000B654B">
        <w:rPr>
          <w:rFonts w:ascii="Arial" w:hAnsi="Arial" w:cs="Arial"/>
          <w:b/>
          <w:bCs/>
        </w:rPr>
        <w:fldChar w:fldCharType="begin"/>
      </w:r>
      <w:r w:rsidR="000B654B" w:rsidRPr="000B654B">
        <w:rPr>
          <w:rFonts w:ascii="Arial" w:hAnsi="Arial" w:cs="Arial"/>
          <w:b/>
          <w:bCs/>
        </w:rPr>
        <w:instrText xml:space="preserve"> ADDIN ZOTERO_ITEM CSL_CITATION {"citationID":"zu472cpG","properties":{"formattedCitation":"(Ramaiah &amp; Avtar, 2019)","plainCitation":"(Ramaiah &amp; Avtar, 2019)","noteIndex":0},"citationItems":[{"id":675,"uris":["http://zotero.org/users/local/l98j9GEk/items/KYBT4WS3"],"itemData":{"id":675,"type":"article-journal","container-title":"Urban science","issue":"3","note":"publisher: MDPI","page":"94","title":"Urban green spaces and their need in cities of rapidly urbanizing India: A review","volume":"3","author":[{"family":"Ramaiah","given":"Manish"},{"family":"Avtar","given":"Ram"}],"issued":{"date-parts":[["2019"]]}}}],"schema":"https://github.com/citation-style-language/schema/raw/master/csl-citation.json"} </w:instrText>
      </w:r>
      <w:r w:rsidR="000B654B" w:rsidRPr="000B654B">
        <w:rPr>
          <w:rFonts w:ascii="Arial" w:hAnsi="Arial" w:cs="Arial"/>
          <w:b/>
          <w:bCs/>
        </w:rPr>
        <w:fldChar w:fldCharType="separate"/>
      </w:r>
      <w:r w:rsidR="000B654B" w:rsidRPr="000B654B">
        <w:rPr>
          <w:rFonts w:ascii="Arial" w:hAnsi="Arial" w:cs="Arial"/>
          <w:b/>
          <w:bCs/>
        </w:rPr>
        <w:t>(Ramaiah &amp; Avtar, 2019)</w:t>
      </w:r>
      <w:r w:rsidR="000B654B" w:rsidRPr="000B654B">
        <w:rPr>
          <w:rFonts w:ascii="Arial" w:hAnsi="Arial" w:cs="Arial"/>
          <w:b/>
          <w:bCs/>
        </w:rPr>
        <w:fldChar w:fldCharType="end"/>
      </w:r>
      <w:r w:rsidRPr="004B047D">
        <w:rPr>
          <w:rFonts w:ascii="Arial" w:hAnsi="Arial" w:cs="Arial"/>
        </w:rPr>
        <w:t xml:space="preserve">. With Asia and Africa currently home to 90% of the world's rural population, these regions are experiencing urbanization at an unprecedented pace, projected to reach urbanization levels of 56% and 64%, respectively, by 2050 </w:t>
      </w:r>
      <w:r w:rsidR="000B654B" w:rsidRPr="000B654B">
        <w:rPr>
          <w:rFonts w:ascii="Arial" w:hAnsi="Arial" w:cs="Arial"/>
          <w:b/>
          <w:bCs/>
        </w:rPr>
        <w:fldChar w:fldCharType="begin"/>
      </w:r>
      <w:r w:rsidR="000B654B" w:rsidRPr="000B654B">
        <w:rPr>
          <w:rFonts w:ascii="Arial" w:hAnsi="Arial" w:cs="Arial"/>
          <w:b/>
          <w:bCs/>
        </w:rPr>
        <w:instrText xml:space="preserve"> ADDIN ZOTERO_ITEM CSL_CITATION {"citationID":"KNabRwlA","properties":{"formattedCitation":"(Kookana et al., 2020)","plainCitation":"(Kookana et al., 2020)","noteIndex":0},"citationItems":[{"id":1300,"uris":["http://zotero.org/users/local/l98j9GEk/items/H2P9UKC8"],"itemData":{"id":1300,"type":"article-journal","abstract":"Urbanisation will be one of the 21st century's most transformative trends. By 2050, it will increase from 55% to 68%, more than doubling the urban population in South Asia and Sub-Saharan Africa. Urbanisation has multifarious (positive as well as negative) impacts on the wellbeing of humans and the environment. The 17 UN Sustainable Development Goals (SDGs) form the blueprint to achieve a sustainable future for all. Clean Water and Sanitation is a specific goal (SDG 6) within the suite of 17 interconnected goals. Here we provide an overview of some of the challenges that urbanisation poses in relation to SDG 6, especially in developing economies. Worldwide, several cities are on the verge of water crisis. Water distribution to informal settlements or slums in megacities (e.g. &gt;50% population in the megacities of India) is essentially non-existent and limits access to adequate safe water supply. Besides due to poor sewer connectivity in the emerging economies, there is a heavy reliance on septic tanks, and other on-site sanitation (OSS) system and by 2030, 4.9 billion people are expected to rely on OSS. About 62–93% of the urban population in Vietnam, Sri Lanka, the Philippines and Indonesia rely on septic tanks, where septage treatment is rare. Globally, over 80% of wastewater is released to the environment without adequate treatment. About 11% of all irrigated croplands is irrigated with such untreated or poorly treated wastewater. In addition to acute and chronic health effects, this also results in significant pollution of often-limited surface and groundwater resources in Sub-Saharan Africa and Asia. Direct and indirect water reuse plays a key role in global water and food security. Here we offer several suggestions to mitigate water and food insecurity in emerging economies.","container-title":"Science of The Total Environment","DOI":"10.1016/j.scitotenv.2020.139057","ISSN":"0048-9697","journalAbbreviation":"Science of The Total Environment","page":"139057","source":"ScienceDirect","title":"Urbanisation and emerging economies: Issues and potential solutions for water and food security","title-short":"Urbanisation and emerging economies","volume":"732","author":[{"family":"Kookana","given":"Rai S."},{"family":"Drechsel","given":"Pay"},{"family":"Jamwal","given":"Priyanka"},{"family":"Vanderzalm","given":"Joanne"}],"issued":{"date-parts":[["2020",8,25]]}}}],"schema":"https://github.com/citation-style-language/schema/raw/master/csl-citation.json"} </w:instrText>
      </w:r>
      <w:r w:rsidR="000B654B" w:rsidRPr="000B654B">
        <w:rPr>
          <w:rFonts w:ascii="Arial" w:hAnsi="Arial" w:cs="Arial"/>
          <w:b/>
          <w:bCs/>
        </w:rPr>
        <w:fldChar w:fldCharType="separate"/>
      </w:r>
      <w:r w:rsidR="000B654B" w:rsidRPr="000B654B">
        <w:rPr>
          <w:rFonts w:ascii="Arial" w:hAnsi="Arial" w:cs="Arial"/>
          <w:b/>
          <w:bCs/>
        </w:rPr>
        <w:t>(Kookana et al., 2020)</w:t>
      </w:r>
      <w:r w:rsidR="000B654B" w:rsidRPr="000B654B">
        <w:rPr>
          <w:rFonts w:ascii="Arial" w:hAnsi="Arial" w:cs="Arial"/>
          <w:b/>
          <w:bCs/>
        </w:rPr>
        <w:fldChar w:fldCharType="end"/>
      </w:r>
      <w:r w:rsidRPr="004B047D">
        <w:rPr>
          <w:rFonts w:ascii="Arial" w:hAnsi="Arial" w:cs="Arial"/>
        </w:rPr>
        <w:t xml:space="preserve">. </w:t>
      </w:r>
      <w:r w:rsidRPr="006C6320">
        <w:rPr>
          <w:rFonts w:ascii="Arial" w:hAnsi="Arial" w:cs="Arial"/>
          <w:highlight w:val="magenta"/>
        </w:rPr>
        <w:t>This rapid expansion of urban areas has resulted in the continuous spread of built-up infrastructure at the expense of urban green spaces (UGS), leading to significant ecological and environmental challenges</w:t>
      </w:r>
      <w:r w:rsidR="000B654B" w:rsidRPr="006C6320">
        <w:rPr>
          <w:rFonts w:ascii="Arial" w:hAnsi="Arial" w:cs="Arial"/>
          <w:highlight w:val="magenta"/>
        </w:rPr>
        <w:t xml:space="preserve"> </w:t>
      </w:r>
      <w:r w:rsidR="000B654B" w:rsidRPr="006C6320">
        <w:rPr>
          <w:rFonts w:ascii="Arial" w:hAnsi="Arial" w:cs="Arial"/>
          <w:b/>
          <w:bCs/>
          <w:highlight w:val="magenta"/>
        </w:rPr>
        <w:fldChar w:fldCharType="begin"/>
      </w:r>
      <w:r w:rsidR="000B654B" w:rsidRPr="006C6320">
        <w:rPr>
          <w:rFonts w:ascii="Arial" w:hAnsi="Arial" w:cs="Arial"/>
          <w:b/>
          <w:bCs/>
          <w:highlight w:val="magenta"/>
        </w:rPr>
        <w:instrText xml:space="preserve"> ADDIN ZOTERO_ITEM CSL_CITATION {"citationID":"npdnAkkT","properties":{"formattedCitation":"(Li et al., 2022)","plainCitation":"(Li et al., 2022)","noteIndex":0},"citationItems":[{"id":1304,"uris":["http://zotero.org/users/local/l98j9GEk/items/S9IJLAKS"],"itemData":{"id":1304,"type":"article-journal","abstract":"Urban green space, comprising parks, fields, woodlands, and other semi-natural areas, is a fundamental component of urban ecosystems. The determination of the relationship between urban green space and urban sprawl is necessary to understand urbanization and the provision of urban ecosystem services. It has been hypothesized that the center of urban (i.e., population and economic) areas in fast-growing cities would migrate toward urban green space over time. To test this hypothesis, urban expansion and urban green space expansion were examined in five cities in China and five cities in the U.S. that were experiencing high rates of growth. Landsat images of those cities from 2000 to 2017 were combined with annual population and economic data and used to quantify the extent and migration of the urban green space. These data were analyzed using the center of gravity method by Grether and Mathys and circular statistics were used to determine the relationship between urban green space and urban expansion. Eight out of the ten cities showed a divergent pattern, i.e., the population and economic centers moved in a different direction to that of the urban green space. The movement of the mean centers of the urban green spaces in the U.S. cities was more consistent than that of the Chinese cities. Over 18 years, the movement of urban green space and urban expansion in the 10 cities showed a synchronous growth trend; however, the proportion of urban green space in the cities decreased. The urban expansion rate exceeded the population growth rate, which led to problems with an unreasonable urban sprawl that is likely to deplete the provision of ecosystem services in the future. In conclusion, the centrifugal forces of urban green space that lead to the movement of population and economic centers away from green spaces play a larger role in urban change than the centripetal forces that pull these centers toward urban green space.","container-title":"Sustainability","DOI":"10.3390/su14095396","ISSN":"2071-1050","issue":"9","language":"en","license":"http://creativecommons.org/licenses/by/3.0/","note":"number: 9\npublisher: Multidisciplinary Digital Publishing Institute","page":"5396","source":"www.mdpi.com","title":"The Relationship between Urban Green Space and Urban Expansion Based on Gravity Methods","volume":"14","author":[{"family":"Li","given":"Qizhen"},{"family":"Thapa","given":"Saroj"},{"family":"Hu","given":"Xijun"},{"family":"Luo","given":"Ziwei"},{"family":"Gibson","given":"David J."}],"issued":{"date-parts":[["2022",1]]}}}],"schema":"https://github.com/citation-style-language/schema/raw/master/csl-citation.json"} </w:instrText>
      </w:r>
      <w:r w:rsidR="000B654B" w:rsidRPr="006C6320">
        <w:rPr>
          <w:rFonts w:ascii="Arial" w:hAnsi="Arial" w:cs="Arial"/>
          <w:b/>
          <w:bCs/>
          <w:highlight w:val="magenta"/>
        </w:rPr>
        <w:fldChar w:fldCharType="separate"/>
      </w:r>
      <w:r w:rsidR="000B654B" w:rsidRPr="006C6320">
        <w:rPr>
          <w:rFonts w:ascii="Arial" w:hAnsi="Arial" w:cs="Arial"/>
          <w:b/>
          <w:bCs/>
          <w:highlight w:val="magenta"/>
        </w:rPr>
        <w:t>(Li et al., 2022)</w:t>
      </w:r>
      <w:r w:rsidR="000B654B" w:rsidRPr="006C6320">
        <w:rPr>
          <w:rFonts w:ascii="Arial" w:hAnsi="Arial" w:cs="Arial"/>
          <w:b/>
          <w:bCs/>
          <w:highlight w:val="magenta"/>
        </w:rPr>
        <w:fldChar w:fldCharType="end"/>
      </w:r>
      <w:r w:rsidRPr="006C6320">
        <w:rPr>
          <w:rFonts w:ascii="Arial" w:hAnsi="Arial" w:cs="Arial"/>
          <w:highlight w:val="magenta"/>
        </w:rPr>
        <w:t xml:space="preserve">. </w:t>
      </w:r>
      <w:r w:rsidR="006C6320" w:rsidRPr="006C6320">
        <w:rPr>
          <w:rFonts w:ascii="Arial" w:hAnsi="Arial" w:cs="Arial"/>
          <w:highlight w:val="magenta"/>
        </w:rPr>
        <w:t>I</w:t>
      </w:r>
      <w:r w:rsidR="006C6320" w:rsidRPr="006C6320">
        <w:rPr>
          <w:rFonts w:ascii="Arial" w:hAnsi="Arial" w:cs="Arial"/>
          <w:highlight w:val="magenta"/>
        </w:rPr>
        <w:t>n addition to urban expansion, other key drivers of UGS transformation include climate change, population growth, weak land-use policies, socio-economic development pressures, and poor urban planning practices. These factors collectively accelerate the fragmentation and reduction of green spaces, altering urban ecological functions and diminishing the quality of life in cities</w:t>
      </w:r>
      <w:r w:rsidR="009C644F" w:rsidRPr="009C644F">
        <w:rPr>
          <w:rFonts w:ascii="Arial" w:hAnsi="Arial" w:cs="Arial"/>
          <w:b/>
          <w:bCs/>
          <w:highlight w:val="yellow"/>
        </w:rPr>
        <w:fldChar w:fldCharType="begin"/>
      </w:r>
      <w:r w:rsidR="009C644F" w:rsidRPr="009C644F">
        <w:rPr>
          <w:rFonts w:ascii="Arial" w:hAnsi="Arial" w:cs="Arial"/>
          <w:b/>
          <w:bCs/>
          <w:highlight w:val="yellow"/>
        </w:rPr>
        <w:instrText xml:space="preserve"> ADDIN ZOTERO_ITEM CSL_CITATION {"citationID":"XPrAEUAh","properties":{"formattedCitation":"(Cheng et al., 2021; Rahmati &amp; Hanaei, 2024)","plainCitation":"(Cheng et al., 2021; Rahmati &amp; Hanaei, 2024)","noteIndex":0},"citationItems":[{"id":1421,"uris":["http://zotero.org/users/local/l98j9GEk/items/EFPMRL75"],"itemData":{"id":1421,"type":"article-journal","abstract":"Municipal parks and recreation departments (PRDs) have a crucial responsibility for stewarding urban and peri-urban ecology given they manage the majority of urban green spaces. However, the extent of climate adaptation planning and management activities by such agencies at the national level is unknown. This study aimed to fill this gap by conducting a national survey of the directors of PRDs (n = 413) to understand the progress and drivers of climate change adaptation efforts for urban green spaces. Overall, we found that while measured impacts of climate change were positively correlated with PRDs' climate-change adaptation plans and actions, most PRDs perceived few impacts of climate change on urban green spaces. We also found that levels of adaptation varied across ecoregions, with direct experiences with climate change impacts being a primary contributor to action. These findings indicate that U.S. municipal PRDs are unprepared for the changing climate and are unlikely to initiate urban green space adaptation planning and action until substantial climate change impacts are experienced firsthand.","container-title":"Urban Climate","DOI":"10.1016/j.uclim.2021.100962","ISSN":"2212-0955","journalAbbreviation":"Urban Climate","page":"100962","source":"ScienceDirect","title":"Climate change impacts and urban green space adaptation efforts: Evidence from U.S. municipal parks and recreation departments","title-short":"Climate change impacts and urban green space adaptation efforts","volume":"39","author":[{"family":"Cheng","given":"Yuan (Daniel)"},{"family":"Farmer","given":"James R."},{"family":"Dickinson","given":"Stephanie L."},{"family":"Robeson","given":"Scott M."},{"family":"Fischer","given":"Burnell C."},{"family":"Reynolds","given":"Heather L."}],"issued":{"date-parts":[["2021",9,1]]}}},{"id":1423,"uris":["http://zotero.org/users/local/l98j9GEk/items/BLCYDGGR"],"itemData":{"id":1423,"type":"article-journal","abstract":"This paper analyzed the role of national economic factors, in addition to some key city-level variables, in the variation of the urban green space (UGS) in Mashhad City (Iran) during three decades (1998–2018). The correlation result revealed the effects of the increasing trend of land price, population rate, and construction of built-up areas in the decreasing trend of UGS in the study area (R from − 0.95 to -0.99 at p-value &gt; 95%). Also, the country-level economic factors, i.e., GDP per capita, oil price, export total value, and FDI, represented the overall increasing trend from 1988 to 2018, correlating with the decrease of green space areas (R from − 0.76 to -0.92 at p-value &gt; 75%). Some statistical analyses, such as the run-test, the skewness and kurtosis tests, the Kolmogorov-Smirnov test, and the ANOVA test were done to confirm the normality of the data distribution and reliability of the results. Ultimately, clustering the research variables based on the significance and confidence levels of the estimated correlation results revealed that the change in the oil price and national export values in the petroleum-dependent economy of Iran can be assumed as the lead key economic factors to fluctuate all city-level variables, particularly the UGS variations.","container-title":"Environmental Systems Research","DOI":"10.1186/s40068-024-00346-7","ISSN":"2193-2697","issue":"1","journalAbbreviation":"Environmental Systems Research","page":"13","source":"BioMed Central","title":"Comparative analysis of key factors influencing urban green space in Mashhad, Iran (1988–2018)","volume":"13","author":[{"family":"Rahmati","given":"Leila"},{"family":"Hanaei","given":"Toktam"}],"issued":{"date-parts":[["2024",5,10]]}}}],"schema":"https://github.com/citation-style-language/schema/raw/master/csl-citation.json"} </w:instrText>
      </w:r>
      <w:r w:rsidR="009C644F" w:rsidRPr="009C644F">
        <w:rPr>
          <w:rFonts w:ascii="Arial" w:hAnsi="Arial" w:cs="Arial"/>
          <w:b/>
          <w:bCs/>
          <w:highlight w:val="yellow"/>
        </w:rPr>
        <w:fldChar w:fldCharType="separate"/>
      </w:r>
      <w:r w:rsidR="009C644F" w:rsidRPr="009C644F">
        <w:rPr>
          <w:rFonts w:ascii="Arial" w:hAnsi="Arial" w:cs="Arial"/>
          <w:b/>
          <w:bCs/>
          <w:highlight w:val="yellow"/>
        </w:rPr>
        <w:t xml:space="preserve">(Cheng et al., 2021; Rahmati &amp; </w:t>
      </w:r>
      <w:proofErr w:type="spellStart"/>
      <w:r w:rsidR="009C644F" w:rsidRPr="009C644F">
        <w:rPr>
          <w:rFonts w:ascii="Arial" w:hAnsi="Arial" w:cs="Arial"/>
          <w:b/>
          <w:bCs/>
          <w:highlight w:val="yellow"/>
        </w:rPr>
        <w:t>Hanaei</w:t>
      </w:r>
      <w:proofErr w:type="spellEnd"/>
      <w:r w:rsidR="009C644F" w:rsidRPr="009C644F">
        <w:rPr>
          <w:rFonts w:ascii="Arial" w:hAnsi="Arial" w:cs="Arial"/>
          <w:b/>
          <w:bCs/>
          <w:highlight w:val="yellow"/>
        </w:rPr>
        <w:t>, 2024)</w:t>
      </w:r>
      <w:r w:rsidR="009C644F" w:rsidRPr="009C644F">
        <w:rPr>
          <w:rFonts w:ascii="Arial" w:hAnsi="Arial" w:cs="Arial"/>
          <w:b/>
          <w:bCs/>
          <w:highlight w:val="yellow"/>
        </w:rPr>
        <w:fldChar w:fldCharType="end"/>
      </w:r>
      <w:r w:rsidR="006C6320" w:rsidRPr="009C644F">
        <w:rPr>
          <w:rFonts w:ascii="Arial" w:hAnsi="Arial" w:cs="Arial"/>
          <w:b/>
          <w:bCs/>
          <w:highlight w:val="yellow"/>
        </w:rPr>
        <w:t>.</w:t>
      </w:r>
      <w:r w:rsidR="006C6320">
        <w:rPr>
          <w:rFonts w:ascii="Arial" w:hAnsi="Arial" w:cs="Arial"/>
        </w:rPr>
        <w:t xml:space="preserve"> </w:t>
      </w:r>
      <w:r w:rsidRPr="004B047D">
        <w:rPr>
          <w:rFonts w:ascii="Arial" w:hAnsi="Arial" w:cs="Arial"/>
        </w:rPr>
        <w:t>As a crucial component of urban ecosystems, UGS plays a vital role in maintaining ecological balance. Its degradation not only alters urban ecosystem structures and processes but also threatens urban sustainability</w:t>
      </w:r>
      <w:r w:rsidR="000B7400">
        <w:rPr>
          <w:rFonts w:ascii="Arial" w:hAnsi="Arial" w:cs="Arial"/>
        </w:rPr>
        <w:t xml:space="preserve"> </w:t>
      </w:r>
      <w:r w:rsidR="000B7400" w:rsidRPr="00653772">
        <w:rPr>
          <w:rFonts w:ascii="Arial" w:hAnsi="Arial" w:cs="Arial"/>
          <w:b/>
          <w:bCs/>
        </w:rPr>
        <w:fldChar w:fldCharType="begin"/>
      </w:r>
      <w:r w:rsidR="00156EBC" w:rsidRPr="00653772">
        <w:rPr>
          <w:rFonts w:ascii="Arial" w:hAnsi="Arial" w:cs="Arial"/>
          <w:b/>
          <w:bCs/>
        </w:rPr>
        <w:instrText xml:space="preserve"> ADDIN ZOTERO_ITEM CSL_CITATION {"citationID":"i8uRO1ac","properties":{"formattedCitation":"(F. Zhang &amp; Qian, 2024)","plainCitation":"(F. Zhang &amp; Qian, 2024)","noteIndex":0},"citationItems":[{"id":1306,"uris":["http://zotero.org/users/local/l98j9GEk/items/CX9BCXYB"],"itemData":{"id":1306,"type":"article-journal","abstract":"This detailed analysis highlights the numerous environmental benefits provided by urban green spaces, emphasizing their critical role in improving urban life quality and advancing sustainable development. The review delves into critical themes such as the impact of urban green spaces on human health, the complex interplay between urban ecology and sustainability, and the evaluation of ecosystem services using a comprehensive review of existing literature. The investigation thoroughly examines various aspects of green infrastructure, shedding light on its contributions to social cohesion, human well-being, and environmental sustainability in general. The analysis summarizes the study's findings and demonstrates the critical role of urban green spaces in urban ecology, which significantly mitigates environmental challenges. The intricate links between these green spaces and human health are thoroughly investigated, with benefits ranging from enhanced mental and physical well-being to comprehensive mental health. Furthermore, the analysis emphasizes how green spaces benefit urban development by increasing property values, boosting tourism, and creating job opportunities. The discussion also considers possible futures, emphasizing the integration of technology, the advancement of natural solutions, and the critical importance of prioritizing health and well-being in the design of urban green spaces. To ensure that urban green spaces are developed and maintained as essential components of resilient and sustainable urban environments, the assessment concludes with practical recommendations for communities, urban planners, and legislators.","container-title":"Environmental Research","DOI":"10.1016/j.envres.2024.118837","ISSN":"0013-9351","journalAbbreviation":"Environmental Research","page":"118837","source":"ScienceDirect","title":"A comprehensive review of the environmental benefits of urban green spaces","volume":"252","author":[{"family":"Zhang","given":"Fan"},{"family":"Qian","given":"Haochen"}],"issued":{"date-parts":[["2024",7,1]]}}}],"schema":"https://github.com/citation-style-language/schema/raw/master/csl-citation.json"} </w:instrText>
      </w:r>
      <w:r w:rsidR="000B7400" w:rsidRPr="00653772">
        <w:rPr>
          <w:rFonts w:ascii="Arial" w:hAnsi="Arial" w:cs="Arial"/>
          <w:b/>
          <w:bCs/>
        </w:rPr>
        <w:fldChar w:fldCharType="separate"/>
      </w:r>
      <w:r w:rsidR="00156EBC" w:rsidRPr="00653772">
        <w:rPr>
          <w:rFonts w:ascii="Arial" w:hAnsi="Arial" w:cs="Arial"/>
          <w:b/>
          <w:bCs/>
        </w:rPr>
        <w:t>(F. Zhang &amp; Qian, 2024)</w:t>
      </w:r>
      <w:r w:rsidR="000B7400" w:rsidRPr="00653772">
        <w:rPr>
          <w:rFonts w:ascii="Arial" w:hAnsi="Arial" w:cs="Arial"/>
          <w:b/>
          <w:bCs/>
        </w:rPr>
        <w:fldChar w:fldCharType="end"/>
      </w:r>
      <w:r w:rsidRPr="00653772">
        <w:rPr>
          <w:rFonts w:ascii="Arial" w:hAnsi="Arial" w:cs="Arial"/>
          <w:b/>
          <w:bCs/>
        </w:rPr>
        <w:t>.</w:t>
      </w:r>
      <w:r w:rsidRPr="004B047D">
        <w:rPr>
          <w:rFonts w:ascii="Arial" w:hAnsi="Arial" w:cs="Arial"/>
        </w:rPr>
        <w:t xml:space="preserve"> Consequently, there is growing recognition of ecosystem services provided </w:t>
      </w:r>
      <w:r w:rsidR="00D50315" w:rsidRPr="004B047D">
        <w:rPr>
          <w:rFonts w:ascii="Arial" w:hAnsi="Arial" w:cs="Arial"/>
        </w:rPr>
        <w:t>through</w:t>
      </w:r>
      <w:r w:rsidRPr="004B047D">
        <w:rPr>
          <w:rFonts w:ascii="Arial" w:hAnsi="Arial" w:cs="Arial"/>
        </w:rPr>
        <w:t xml:space="preserve"> UGS, including microclimate regulation, mitigation of the urban heat island effect, air pollution reduction, aesthetic enhancement, recreational opportunities, and the promotion of both physical and psychological well-being</w:t>
      </w:r>
      <w:r w:rsidR="00653772" w:rsidRPr="00A3695C">
        <w:rPr>
          <w:rFonts w:ascii="Arial" w:hAnsi="Arial" w:cs="Arial"/>
          <w:b/>
          <w:bCs/>
          <w:highlight w:val="yellow"/>
        </w:rPr>
        <w:fldChar w:fldCharType="begin"/>
      </w:r>
      <w:r w:rsidR="00653772" w:rsidRPr="00A3695C">
        <w:rPr>
          <w:rFonts w:ascii="Arial" w:hAnsi="Arial" w:cs="Arial"/>
          <w:b/>
          <w:bCs/>
          <w:highlight w:val="yellow"/>
        </w:rPr>
        <w:instrText xml:space="preserve"> ADDIN ZOTERO_ITEM CSL_CITATION {"citationID":"wi9teLai","properties":{"formattedCitation":"(Derkzen et al., 2017)","plainCitation":"(Derkzen et al., 2017)","noteIndex":0},"citationItems":[{"id":1409,"uris":["http://zotero.org/users/local/l98j9GEk/items/QUGTV6JD"],"itemData":{"id":1409,"type":"article-journal","abstract":"Green space in cities is important, but not always and everywhere for the same reasons. Based on literature review and empirical evidence, we describe transformations in the roles of urban green space (UGS) across time and place using the ecosystem services concept. Urban development and societal change affect the degree of UGS functionality via different trajectories like degradation, revalorization and community action. We explain triggers of different trajectories of change and emerging trade-offs within society. An improved understanding of the shifting roles of UGS can guide urban planning and prioritize designs that fit current and future demand. Research on UGS and ecosystem services should more strongly connect to the development of urban lifestyles in diverse contexts, expose trade-offs between beneficiaries, and explore options for adaptive governance.","container-title":"Current Opinion in Environmental Sustainability","DOI":"10.1016/j.cosust.2017.10.001","ISSN":"1877-3435","journalAbbreviation":"Current Opinion in Environmental Sustainability","page":"32-39","source":"ScienceDirect","title":"Shifting roles of urban green space in the context of urban development and global change","volume":"29","author":[{"family":"Derkzen","given":"Marthe L"},{"family":"Teeffelen","given":"Astrid JA","non-dropping-particle":"van"},{"family":"Nagendra","given":"Harini"},{"family":"Verburg","given":"Peter H"}],"issued":{"date-parts":[["2017",12,1]]}}}],"schema":"https://github.com/citation-style-language/schema/raw/master/csl-citation.json"} </w:instrText>
      </w:r>
      <w:r w:rsidR="00653772" w:rsidRPr="00A3695C">
        <w:rPr>
          <w:rFonts w:ascii="Arial" w:hAnsi="Arial" w:cs="Arial"/>
          <w:b/>
          <w:bCs/>
          <w:highlight w:val="yellow"/>
        </w:rPr>
        <w:fldChar w:fldCharType="separate"/>
      </w:r>
      <w:r w:rsidR="00653772" w:rsidRPr="00A3695C">
        <w:rPr>
          <w:rFonts w:ascii="Arial" w:hAnsi="Arial" w:cs="Arial"/>
          <w:b/>
          <w:bCs/>
          <w:highlight w:val="yellow"/>
        </w:rPr>
        <w:t>(</w:t>
      </w:r>
      <w:proofErr w:type="spellStart"/>
      <w:r w:rsidR="00653772" w:rsidRPr="00A3695C">
        <w:rPr>
          <w:rFonts w:ascii="Arial" w:hAnsi="Arial" w:cs="Arial"/>
          <w:b/>
          <w:bCs/>
          <w:highlight w:val="yellow"/>
        </w:rPr>
        <w:t>Derkzen</w:t>
      </w:r>
      <w:proofErr w:type="spellEnd"/>
      <w:r w:rsidR="00653772" w:rsidRPr="00A3695C">
        <w:rPr>
          <w:rFonts w:ascii="Arial" w:hAnsi="Arial" w:cs="Arial"/>
          <w:b/>
          <w:bCs/>
          <w:highlight w:val="yellow"/>
        </w:rPr>
        <w:t xml:space="preserve"> et al., 2017)</w:t>
      </w:r>
      <w:r w:rsidR="00653772" w:rsidRPr="00A3695C">
        <w:rPr>
          <w:rFonts w:ascii="Arial" w:hAnsi="Arial" w:cs="Arial"/>
          <w:b/>
          <w:bCs/>
          <w:highlight w:val="yellow"/>
        </w:rPr>
        <w:fldChar w:fldCharType="end"/>
      </w:r>
      <w:r w:rsidRPr="00A3695C">
        <w:rPr>
          <w:rFonts w:ascii="Arial" w:hAnsi="Arial" w:cs="Arial"/>
          <w:b/>
          <w:bCs/>
        </w:rPr>
        <w:t>.</w:t>
      </w:r>
    </w:p>
    <w:p w14:paraId="6AADB3C7" w14:textId="64C89DAC" w:rsidR="004B047D" w:rsidRPr="004B047D" w:rsidRDefault="004B047D" w:rsidP="004B047D">
      <w:pPr>
        <w:ind w:firstLine="720"/>
        <w:jc w:val="both"/>
        <w:rPr>
          <w:rFonts w:ascii="Arial" w:hAnsi="Arial" w:cs="Arial"/>
        </w:rPr>
      </w:pPr>
      <w:r w:rsidRPr="00471A94">
        <w:rPr>
          <w:rFonts w:ascii="Arial" w:hAnsi="Arial" w:cs="Arial"/>
        </w:rPr>
        <w:t>Many countries and cities</w:t>
      </w:r>
      <w:r w:rsidR="00C6789B" w:rsidRPr="00471A94">
        <w:rPr>
          <w:rFonts w:ascii="Arial" w:hAnsi="Arial" w:cs="Arial"/>
        </w:rPr>
        <w:t xml:space="preserve"> across the world</w:t>
      </w:r>
      <w:r w:rsidRPr="00471A94">
        <w:rPr>
          <w:rFonts w:ascii="Arial" w:hAnsi="Arial" w:cs="Arial"/>
        </w:rPr>
        <w:t xml:space="preserve"> have actively formulated greening policies and </w:t>
      </w:r>
      <w:r w:rsidR="00C6789B" w:rsidRPr="00471A94">
        <w:rPr>
          <w:rFonts w:ascii="Arial" w:hAnsi="Arial" w:cs="Arial"/>
        </w:rPr>
        <w:t xml:space="preserve">urban green space </w:t>
      </w:r>
      <w:r w:rsidRPr="00471A94">
        <w:rPr>
          <w:rFonts w:ascii="Arial" w:hAnsi="Arial" w:cs="Arial"/>
        </w:rPr>
        <w:t xml:space="preserve">planning to safeguard urban ecosystems and improve quality of life </w:t>
      </w:r>
      <w:r w:rsidR="00C6789B" w:rsidRPr="00471A94">
        <w:rPr>
          <w:rFonts w:ascii="Arial" w:hAnsi="Arial" w:cs="Arial"/>
        </w:rPr>
        <w:t>for</w:t>
      </w:r>
      <w:r w:rsidRPr="00471A94">
        <w:rPr>
          <w:rFonts w:ascii="Arial" w:hAnsi="Arial" w:cs="Arial"/>
        </w:rPr>
        <w:t xml:space="preserve"> their citizens. For example, </w:t>
      </w:r>
      <w:r w:rsidR="00C6789B" w:rsidRPr="00471A94">
        <w:rPr>
          <w:rFonts w:ascii="Arial" w:hAnsi="Arial" w:cs="Arial"/>
        </w:rPr>
        <w:t xml:space="preserve">Brazil and </w:t>
      </w:r>
      <w:r w:rsidRPr="00471A94">
        <w:rPr>
          <w:rFonts w:ascii="Arial" w:hAnsi="Arial" w:cs="Arial"/>
        </w:rPr>
        <w:t>United Kingdom incorporated UGS planning into urban planning system and issued corresponding planning policies since the 1990s</w:t>
      </w:r>
      <w:r w:rsidR="007A66D3" w:rsidRPr="00471A94">
        <w:rPr>
          <w:rFonts w:ascii="Arial" w:hAnsi="Arial" w:cs="Arial"/>
        </w:rPr>
        <w:t xml:space="preserve"> </w:t>
      </w:r>
      <w:r w:rsidR="007A66D3" w:rsidRPr="00471A94">
        <w:rPr>
          <w:rFonts w:ascii="Arial" w:hAnsi="Arial" w:cs="Arial"/>
          <w:b/>
          <w:bCs/>
        </w:rPr>
        <w:fldChar w:fldCharType="begin"/>
      </w:r>
      <w:r w:rsidR="007A66D3" w:rsidRPr="00471A94">
        <w:rPr>
          <w:rFonts w:ascii="Arial" w:hAnsi="Arial" w:cs="Arial"/>
          <w:b/>
          <w:bCs/>
        </w:rPr>
        <w:instrText xml:space="preserve"> ADDIN ZOTERO_ITEM CSL_CITATION {"citationID":"dnENVUaA","properties":{"formattedCitation":"(Momm-Schult et al., 2013)","plainCitation":"(Momm-Schult et al., 2013)","noteIndex":0},"citationItems":[{"id":1310,"uris":["http://zotero.org/users/local/l98j9GEk/items/4YXAV8J5"],"itemData":{"id":1310,"type":"article-journal","abstract":"Whilst major metropolitan areas across the globe share some issues in attempting to improve quality of life for their citizens, other issues are specific to their particular situations of geography and governance. There are some approaches, nevertheless, which may have value in rather different contexts, and in this article the establishment and protection of green open spaces is discussed as a measure to help integrate urban and environmental policies and also to address some climate change impacts. The circumstances and policies of two contrasting metropolitan areas – São Paulo and London – are reviewed to demonstrate both the diversity of challenges that may exist and some of the measures that may be taken; the potential for cross-fertilization of ideas and policies in different urban contexts is then explored. São Paulo has experienced great increases in population and extent since the middle of the twentieth century, with illegal settlements in vulnerable areas and risks including flooding and landslides, as well as inadequate infrastructure systems. London faces risks of overheating, flooding and sea level rise as a result of climate change. Spatial planning policies to maintain and improve environmental functioning and ecosystem services delivery in São Paulo and London are reviewed, considering the relevant hierarchical levels and indicating some specific targets. Protection and expansion of green open spaces in many forms are seen in both cities as important and is incorporated into strategic planning. Barriers to achieving progress on green spaces as part of urban policy are explored and some ways forward are highlighted.","container-title":"International Journal of Urban Sustainable Development","DOI":"10.1080/19463138.2013.777671","ISSN":"1946-3138","issue":"1","note":"publisher: Taylor &amp; Francis\n_eprint: https://doi.org/10.1080/19463138.2013.777671","page":"89-104","source":"Taylor and Francis+NEJM","title":"Integration of urban and environmental policies in the metropolitan area of São Paulo and in Greater London: the value of establishing and protecting green open spaces","title-short":"Integration of urban and environmental policies in the metropolitan area of São Paulo and in Greater London","volume":"5","author":[{"family":"Momm-Schult","given":"Sandra Irene"},{"family":"","given":"Piper ,Jake"},{"family":"","given":"Denaldi ,Rosana"},{"family":"","given":"Freitas ,Simone Rodrigues"},{"family":"","given":"Fonseca ,Maria de Lourdes Pereira"},{"family":"Oliveira","given":"Vanessa Elias","non-dropping-particle":"and","dropping-particle":"de"}],"issued":{"date-parts":[["2013",5,1]]}}}],"schema":"https://github.com/citation-style-language/schema/raw/master/csl-citation.json"} </w:instrText>
      </w:r>
      <w:r w:rsidR="007A66D3" w:rsidRPr="00471A94">
        <w:rPr>
          <w:rFonts w:ascii="Arial" w:hAnsi="Arial" w:cs="Arial"/>
          <w:b/>
          <w:bCs/>
        </w:rPr>
        <w:fldChar w:fldCharType="separate"/>
      </w:r>
      <w:r w:rsidR="007A66D3" w:rsidRPr="00471A94">
        <w:rPr>
          <w:rFonts w:ascii="Arial" w:hAnsi="Arial" w:cs="Arial"/>
          <w:b/>
          <w:bCs/>
        </w:rPr>
        <w:t>(Momm-Schult et al., 2013)</w:t>
      </w:r>
      <w:r w:rsidR="007A66D3" w:rsidRPr="00471A94">
        <w:rPr>
          <w:rFonts w:ascii="Arial" w:hAnsi="Arial" w:cs="Arial"/>
          <w:b/>
          <w:bCs/>
        </w:rPr>
        <w:fldChar w:fldCharType="end"/>
      </w:r>
      <w:r w:rsidRPr="00471A94">
        <w:rPr>
          <w:rFonts w:ascii="Arial" w:hAnsi="Arial" w:cs="Arial"/>
        </w:rPr>
        <w:t>.</w:t>
      </w:r>
      <w:r w:rsidR="00C6789B" w:rsidRPr="00471A94">
        <w:rPr>
          <w:rFonts w:ascii="Arial" w:hAnsi="Arial" w:cs="Arial"/>
        </w:rPr>
        <w:t xml:space="preserve"> Same as in</w:t>
      </w:r>
      <w:r w:rsidRPr="00471A94">
        <w:rPr>
          <w:rFonts w:ascii="Arial" w:hAnsi="Arial" w:cs="Arial"/>
        </w:rPr>
        <w:t xml:space="preserve"> Maryland State Government of U</w:t>
      </w:r>
      <w:r w:rsidR="00C6789B" w:rsidRPr="00471A94">
        <w:rPr>
          <w:rFonts w:ascii="Arial" w:hAnsi="Arial" w:cs="Arial"/>
        </w:rPr>
        <w:t xml:space="preserve">nited </w:t>
      </w:r>
      <w:r w:rsidRPr="00471A94">
        <w:rPr>
          <w:rFonts w:ascii="Arial" w:hAnsi="Arial" w:cs="Arial"/>
        </w:rPr>
        <w:t>S</w:t>
      </w:r>
      <w:r w:rsidR="00C6789B" w:rsidRPr="00471A94">
        <w:rPr>
          <w:rFonts w:ascii="Arial" w:hAnsi="Arial" w:cs="Arial"/>
        </w:rPr>
        <w:t>tates of America</w:t>
      </w:r>
      <w:r w:rsidRPr="00471A94">
        <w:rPr>
          <w:rFonts w:ascii="Arial" w:hAnsi="Arial" w:cs="Arial"/>
        </w:rPr>
        <w:t xml:space="preserve"> established land protection programs to protect natural resources and developed Green Infrastructure Assessment to identify important ecological areas</w:t>
      </w:r>
      <w:r w:rsidR="00F84AAB" w:rsidRPr="00471A94">
        <w:rPr>
          <w:rFonts w:ascii="Arial" w:hAnsi="Arial" w:cs="Arial"/>
        </w:rPr>
        <w:t xml:space="preserve"> </w:t>
      </w:r>
      <w:r w:rsidR="00F84AAB" w:rsidRPr="00471A94">
        <w:rPr>
          <w:rFonts w:ascii="Arial" w:hAnsi="Arial" w:cs="Arial"/>
          <w:b/>
          <w:bCs/>
        </w:rPr>
        <w:fldChar w:fldCharType="begin"/>
      </w:r>
      <w:r w:rsidR="00F84AAB" w:rsidRPr="00471A94">
        <w:rPr>
          <w:rFonts w:ascii="Arial" w:hAnsi="Arial" w:cs="Arial"/>
          <w:b/>
          <w:bCs/>
        </w:rPr>
        <w:instrText xml:space="preserve"> ADDIN ZOTERO_ITEM CSL_CITATION {"citationID":"Nhchzem7","properties":{"formattedCitation":"(Weber et al., 2006)","plainCitation":"(Weber et al., 2006)","noteIndex":0},"citationItems":[{"id":1312,"uris":["http://zotero.org/users/local/l98j9GEk/items/IGCHRXGJ"],"itemData":{"id":1312,"type":"article-journal","abstract":"Like many parts of the US, Maryland is urbanizing rapidly. The scattered pattern of low-density development consumes an excessive amount of land, fragments the landscape, displaces many native species, and disrupts ecosystem functions. Maryland's Green Infrastructure Assessment is a tool developed in the Maryland Department of Natural Resources (DNR) to help identify and rank those areas of greatest statewide ecological importance, as well as those at greatest risk of loss to development. It identifies large contiguous blocks of natural land (hubs), interconnected by natural corridors to allow animal and plant propagule dispersal and migration. Hubs and corridors were ranked within their physiographic region for a variety of ecological and development risk parameters, as well as combinations of these. Prioritization was also done on a finer scale (0.127ha) for ecological importance and vulnerability to development, allowing a more detailed analysis for site prioritization within the network. The hub and corridor framework identified through the Green Infrastructure Assessment is being used to guide Maryland's ongoing land conservation efforts. At a multi-state scale, the green infrastructure method has been used as the framework for setting landscape ecological priorities within the Chesapeake Bay program. At a regional scale, the method has been used to rank or focus areas for state land conservation programs. Within a local government planning context, the method is now being translated into locally relevant criteria to support county-scale green infrastructure initiatives. Finally, the cell-based ranking method has been incorporated into parcel prioritization that has been used to aid state, local and private land trust conservation decision-making.","container-title":"Landscape and Urban Planning","DOI":"10.1016/j.landurbplan.2005.02.002","ISSN":"0169-2046","issue":"1","journalAbbreviation":"Landscape and Urban Planning","page":"94-110","source":"ScienceDirect","title":"Maryland's Green Infrastructure Assessment: Development of a comprehensive approach to land conservation","title-short":"Maryland's Green Infrastructure Assessment","volume":"77","author":[{"family":"Weber","given":"Ted"},{"family":"Sloan","given":"Anne"},{"family":"Wolf","given":"John"}],"issued":{"date-parts":[["2006",6,15]]}}}],"schema":"https://github.com/citation-style-language/schema/raw/master/csl-citation.json"} </w:instrText>
      </w:r>
      <w:r w:rsidR="00F84AAB" w:rsidRPr="00471A94">
        <w:rPr>
          <w:rFonts w:ascii="Arial" w:hAnsi="Arial" w:cs="Arial"/>
          <w:b/>
          <w:bCs/>
        </w:rPr>
        <w:fldChar w:fldCharType="separate"/>
      </w:r>
      <w:r w:rsidR="00F84AAB" w:rsidRPr="00471A94">
        <w:rPr>
          <w:rFonts w:ascii="Arial" w:hAnsi="Arial" w:cs="Arial"/>
          <w:b/>
          <w:bCs/>
        </w:rPr>
        <w:t>(Weber et al., 2006)</w:t>
      </w:r>
      <w:r w:rsidR="00F84AAB" w:rsidRPr="00471A94">
        <w:rPr>
          <w:rFonts w:ascii="Arial" w:hAnsi="Arial" w:cs="Arial"/>
          <w:b/>
          <w:bCs/>
        </w:rPr>
        <w:fldChar w:fldCharType="end"/>
      </w:r>
      <w:r w:rsidRPr="00471A94">
        <w:rPr>
          <w:rFonts w:ascii="Arial" w:hAnsi="Arial" w:cs="Arial"/>
        </w:rPr>
        <w:t>.</w:t>
      </w:r>
      <w:r w:rsidRPr="004B047D">
        <w:rPr>
          <w:rFonts w:ascii="Arial" w:hAnsi="Arial" w:cs="Arial"/>
        </w:rPr>
        <w:t xml:space="preserve"> </w:t>
      </w:r>
      <w:r w:rsidR="00D50315" w:rsidRPr="004B047D">
        <w:rPr>
          <w:rFonts w:ascii="Arial" w:hAnsi="Arial" w:cs="Arial"/>
        </w:rPr>
        <w:t>Countless</w:t>
      </w:r>
      <w:r w:rsidRPr="004B047D">
        <w:rPr>
          <w:rFonts w:ascii="Arial" w:hAnsi="Arial" w:cs="Arial"/>
        </w:rPr>
        <w:t xml:space="preserve"> efforts </w:t>
      </w:r>
      <w:r w:rsidR="00C6789B">
        <w:rPr>
          <w:rFonts w:ascii="Arial" w:hAnsi="Arial" w:cs="Arial"/>
        </w:rPr>
        <w:t xml:space="preserve">by Indian government </w:t>
      </w:r>
      <w:r w:rsidRPr="004B047D">
        <w:rPr>
          <w:rFonts w:ascii="Arial" w:hAnsi="Arial" w:cs="Arial"/>
        </w:rPr>
        <w:t>also have been made in recent years to protect ecosystems. Such as the National Urban Green Policy emphasizes the preservation and expansion of green spaces in cities</w:t>
      </w:r>
      <w:r w:rsidR="006D47CB">
        <w:rPr>
          <w:rFonts w:ascii="Arial" w:hAnsi="Arial" w:cs="Arial"/>
        </w:rPr>
        <w:t xml:space="preserve"> </w:t>
      </w:r>
      <w:r w:rsidR="006D47CB" w:rsidRPr="006D47CB">
        <w:rPr>
          <w:rFonts w:ascii="Arial" w:hAnsi="Arial" w:cs="Arial"/>
          <w:b/>
          <w:bCs/>
        </w:rPr>
        <w:fldChar w:fldCharType="begin"/>
      </w:r>
      <w:r w:rsidR="006D47CB" w:rsidRPr="006D47CB">
        <w:rPr>
          <w:rFonts w:ascii="Arial" w:hAnsi="Arial" w:cs="Arial"/>
          <w:b/>
          <w:bCs/>
        </w:rPr>
        <w:instrText xml:space="preserve"> ADDIN ZOTERO_ITEM CSL_CITATION {"citationID":"ddtAl1SQ","properties":{"formattedCitation":"(Govindarajulu, 2014)","plainCitation":"(Govindarajulu, 2014)","noteIndex":0},"citationItems":[{"id":1314,"uris":["http://zotero.org/users/local/l98j9GEk/items/M8JFWB9K"],"itemData":{"id":1314,"type":"article-journal","abstract":"Indian cities are currently facing high challenges because of growing urbanization and the impacts of climate change. And there is a lack of understanding on using urban green spaces for climate adaptation and mitigation. This article highlights urban green spaces as a cost effective measure for climate adaptation. Following a review of global literature, it also recommends best practices in green space planning for the conservation of urban biodiversity, climate change adaptation, disaster risk management and enhancement of ecosystem services for Indian cities. The article proposes that there should be guidelines for urban planners and foresters on green space planning, by using integrated approaches that meet the social and ecological needs of the cities.","container-title":"Urban Climate","DOI":"10.1016/j.uclim.2014.09.006","ISSN":"2212-0955","journalAbbreviation":"Urban Climate","page":"35-41","source":"ScienceDirect","title":"Urban green space planning for climate adaptation in Indian cities","volume":"10","author":[{"family":"Govindarajulu","given":"Dhanapal"}],"issued":{"date-parts":[["2014",12,1]]}}}],"schema":"https://github.com/citation-style-language/schema/raw/master/csl-citation.json"} </w:instrText>
      </w:r>
      <w:r w:rsidR="006D47CB" w:rsidRPr="006D47CB">
        <w:rPr>
          <w:rFonts w:ascii="Arial" w:hAnsi="Arial" w:cs="Arial"/>
          <w:b/>
          <w:bCs/>
        </w:rPr>
        <w:fldChar w:fldCharType="separate"/>
      </w:r>
      <w:r w:rsidR="006D47CB" w:rsidRPr="006D47CB">
        <w:rPr>
          <w:rFonts w:ascii="Arial" w:hAnsi="Arial" w:cs="Arial"/>
          <w:b/>
          <w:bCs/>
        </w:rPr>
        <w:t>(Govindarajulu, 2014)</w:t>
      </w:r>
      <w:r w:rsidR="006D47CB" w:rsidRPr="006D47CB">
        <w:rPr>
          <w:rFonts w:ascii="Arial" w:hAnsi="Arial" w:cs="Arial"/>
          <w:b/>
          <w:bCs/>
        </w:rPr>
        <w:fldChar w:fldCharType="end"/>
      </w:r>
      <w:r w:rsidRPr="004B047D">
        <w:rPr>
          <w:rFonts w:ascii="Arial" w:hAnsi="Arial" w:cs="Arial"/>
        </w:rPr>
        <w:t xml:space="preserve">, while </w:t>
      </w:r>
      <w:r w:rsidR="00C467E5" w:rsidRPr="004B047D">
        <w:rPr>
          <w:rFonts w:ascii="Arial" w:hAnsi="Arial" w:cs="Arial"/>
        </w:rPr>
        <w:t xml:space="preserve">AMRUT </w:t>
      </w:r>
      <w:r w:rsidRPr="004B047D">
        <w:rPr>
          <w:rFonts w:ascii="Arial" w:hAnsi="Arial" w:cs="Arial"/>
        </w:rPr>
        <w:t>(</w:t>
      </w:r>
      <w:r w:rsidR="00C467E5" w:rsidRPr="004B047D">
        <w:rPr>
          <w:rFonts w:ascii="Arial" w:hAnsi="Arial" w:cs="Arial"/>
        </w:rPr>
        <w:t>Atal Mission for Rejuvenation and Urban Transformation</w:t>
      </w:r>
      <w:r w:rsidRPr="004B047D">
        <w:rPr>
          <w:rFonts w:ascii="Arial" w:hAnsi="Arial" w:cs="Arial"/>
        </w:rPr>
        <w:t>) aims to enhance urban greenery and create sustainable urban infrastructure</w:t>
      </w:r>
      <w:r w:rsidR="006D47CB">
        <w:rPr>
          <w:rFonts w:ascii="Arial" w:hAnsi="Arial" w:cs="Arial"/>
        </w:rPr>
        <w:t xml:space="preserve"> </w:t>
      </w:r>
      <w:r w:rsidR="006D47CB" w:rsidRPr="006D47CB">
        <w:rPr>
          <w:rFonts w:ascii="Arial" w:hAnsi="Arial" w:cs="Arial"/>
          <w:b/>
          <w:bCs/>
        </w:rPr>
        <w:fldChar w:fldCharType="begin"/>
      </w:r>
      <w:r w:rsidR="006D47CB" w:rsidRPr="006D47CB">
        <w:rPr>
          <w:rFonts w:ascii="Arial" w:hAnsi="Arial" w:cs="Arial"/>
          <w:b/>
          <w:bCs/>
        </w:rPr>
        <w:instrText xml:space="preserve"> ADDIN ZOTERO_ITEM CSL_CITATION {"citationID":"FC34GSIL","properties":{"formattedCitation":"(Biswas et al., 2024)","plainCitation":"(Biswas et al., 2024)","noteIndex":0},"citationItems":[{"id":1317,"uris":["http://zotero.org/users/local/l98j9GEk/items/SAAPFGB2"],"itemData":{"id":1317,"type":"article","abstract":"Background The objective of this research is to propose a method for evaluating the effectiveness of Atal Mission for Rejuvenation and Urban Transformation (AMRUT) schemes across different parameters and subsequently rank different cities based on the perception of resident citizens. The research contributes to the academic literature of urban management by suggesting a comprehensive evaluation model based on academic literature review, identifying an assessment method to assign criteria to the parameters of the selected evaluation model, and finally proposing an approach to rank select cities covered under AMRUT scheme based on the suggested quantified model. Methods Conceptual research model is suggested based on review of the past literature. The study further purposes a quantitative method Analytic Hierarchy Process (AHP) to operationalize the identified model by assigning weights to the criteria. Finally, the research demonstrates how the weighted model can be applied to rank cities under AMRUT scheme by using Technique for Order of Preference by Similarity to the Ideal Solution (TOPSIS). Results Conceptual model to assess the effectiveness of AMRUT scheme has been arrived at by reviewing past literature. The model is found to be exhaustive and applicable for the research problem being investigated. The study further identifies the method for assigning the criteria weights and then eventually how to apply it to rank cities covered under AMRUT scheme on those weights. Conclusion The study contributes to the academic literature in the context of urban management by evaluating AMRUT scheme. The research proposes that impact of AMRUT can be studied by selecting a comprehensive evaluation model based on academic literature review, identifying an assessment method to assign criteria to the parameters of the selected evaluation model, and finally proposing a method to apply the weighted model to rank the cities covered under AMRUT scheme.","DOI":"10.12688/f1000research.151245.1","language":"en","license":"https://creativecommons.org/licenses/by/4.0/","number":"13:718","publisher":"F1000Research","source":"f1000research.com","title":"Evaluating the Transformation of City Facilities under AMRUT: A Conceptual Model","title-short":"Evaluating the Transformation of City Facilities under AMRUT","URL":"https://f1000research.com/articles/13-718","author":[{"family":"Biswas","given":"Joydeep"},{"family":"Ray","given":"Koustubh Kanti"},{"family":"Biswas","given":"Mohar Banerjee"},{"family":"Panda","given":"Anupriya"}],"accessed":{"date-parts":[["2025",4,3]]},"issued":{"date-parts":[["2024",7,1]]}}}],"schema":"https://github.com/citation-style-language/schema/raw/master/csl-citation.json"} </w:instrText>
      </w:r>
      <w:r w:rsidR="006D47CB" w:rsidRPr="006D47CB">
        <w:rPr>
          <w:rFonts w:ascii="Arial" w:hAnsi="Arial" w:cs="Arial"/>
          <w:b/>
          <w:bCs/>
        </w:rPr>
        <w:fldChar w:fldCharType="separate"/>
      </w:r>
      <w:r w:rsidR="006D47CB" w:rsidRPr="006D47CB">
        <w:rPr>
          <w:rFonts w:ascii="Arial" w:hAnsi="Arial" w:cs="Arial"/>
          <w:b/>
          <w:bCs/>
        </w:rPr>
        <w:t>(Biswas et al., 2024)</w:t>
      </w:r>
      <w:r w:rsidR="006D47CB" w:rsidRPr="006D47CB">
        <w:rPr>
          <w:rFonts w:ascii="Arial" w:hAnsi="Arial" w:cs="Arial"/>
          <w:b/>
          <w:bCs/>
        </w:rPr>
        <w:fldChar w:fldCharType="end"/>
      </w:r>
      <w:r w:rsidRPr="004B047D">
        <w:rPr>
          <w:rFonts w:ascii="Arial" w:hAnsi="Arial" w:cs="Arial"/>
        </w:rPr>
        <w:t>. Additionally, the Smart Cities Mission incorporates green and blue infrastructure planning to promote climate resilience</w:t>
      </w:r>
      <w:r w:rsidR="00E91035">
        <w:rPr>
          <w:rFonts w:ascii="Arial" w:hAnsi="Arial" w:cs="Arial"/>
        </w:rPr>
        <w:t xml:space="preserve"> </w:t>
      </w:r>
      <w:r w:rsidR="00E91035" w:rsidRPr="00E91035">
        <w:rPr>
          <w:rFonts w:ascii="Arial" w:hAnsi="Arial" w:cs="Arial"/>
          <w:b/>
          <w:bCs/>
        </w:rPr>
        <w:fldChar w:fldCharType="begin"/>
      </w:r>
      <w:r w:rsidR="00E91035" w:rsidRPr="00E91035">
        <w:rPr>
          <w:rFonts w:ascii="Arial" w:hAnsi="Arial" w:cs="Arial"/>
          <w:b/>
          <w:bCs/>
        </w:rPr>
        <w:instrText xml:space="preserve"> ADDIN ZOTERO_ITEM CSL_CITATION {"citationID":"ycmNNqF0","properties":{"formattedCitation":"(Garc\\uc0\\u237{}a S\\uc0\\u225{}nchez &amp; Govindarajulu, 2023)","plainCitation":"(García Sánchez &amp; Govindarajulu, 2023)","noteIndex":0},"citationItems":[{"id":1320,"uris":["http://zotero.org/users/local/l98j9GEk/items/E4DYIQFU"],"itemData":{"id":1320,"type":"article-journal","abstract":"Nature-based solutions, such as reviving blue-green infrastructure (BGI), for climate adaptation in cities have been gaining global attention. In the case of India, the rapid urbanization since the end of the twentieth century has exacerbated the impact of climate change at significant environmental, social, and economic costs. Coastal cities in India commonly face climate change related hazards of flooding, rise in sea level, and urban heat islands. This article has assessed the usefulness of scientific information and community knowledge in planning, reviving, and maintaining BGI to make it a successful climate adaptation practice in coastal cities. The existing waterways and water bodies in India's coastal cities are a network linked to the green infrastructure that has been altered by sprawling urbanization. In response to Sustainable Development Goals 11 and 13, the cities of Kochi and Chennai have begun a process of recovering their BGI for greater resilience. This research has detected a shift in the social and administrative perception of BGI as a valuable resource for climate adaptation in recent times. Actions in backwaters and canals, promoted by Chennai and Kochi municipal corporations, present new steps toward mainstreaming adaptation of BGI into the local regulatory framework.","container-title":"Land Use Policy","DOI":"10.1016/j.landusepol.2022.106455","ISSN":"0264-8377","journalAbbreviation":"Land Use Policy","page":"106455","source":"ScienceDirect","title":"Integrating blue-green infrastructure in urban planning for climate adaptation: Lessons from Chennai and Kochi, India","title-short":"Integrating blue-green infrastructure in urban planning for climate adaptation","volume":"124","author":[{"family":"García Sánchez","given":"Francisco"},{"family":"Govindarajulu","given":"Dhanapal"}],"issued":{"date-parts":[["2023",1,1]]}}}],"schema":"https://github.com/citation-style-language/schema/raw/master/csl-citation.json"} </w:instrText>
      </w:r>
      <w:r w:rsidR="00E91035" w:rsidRPr="00E91035">
        <w:rPr>
          <w:rFonts w:ascii="Arial" w:hAnsi="Arial" w:cs="Arial"/>
          <w:b/>
          <w:bCs/>
        </w:rPr>
        <w:fldChar w:fldCharType="separate"/>
      </w:r>
      <w:r w:rsidR="00E91035" w:rsidRPr="00E91035">
        <w:rPr>
          <w:rFonts w:ascii="Arial" w:hAnsi="Arial" w:cs="Arial"/>
          <w:b/>
          <w:bCs/>
          <w:szCs w:val="24"/>
        </w:rPr>
        <w:t>(García Sánchez &amp; Govindarajulu, 2023)</w:t>
      </w:r>
      <w:r w:rsidR="00E91035" w:rsidRPr="00E91035">
        <w:rPr>
          <w:rFonts w:ascii="Arial" w:hAnsi="Arial" w:cs="Arial"/>
          <w:b/>
          <w:bCs/>
        </w:rPr>
        <w:fldChar w:fldCharType="end"/>
      </w:r>
      <w:r w:rsidRPr="004B047D">
        <w:rPr>
          <w:rFonts w:ascii="Arial" w:hAnsi="Arial" w:cs="Arial"/>
        </w:rPr>
        <w:t>. Furthermore, the National Green Tribunal (NGT) plays a crucial role in enforcing environmental laws and safeguarding green spaces</w:t>
      </w:r>
      <w:r w:rsidR="00E91035">
        <w:rPr>
          <w:rFonts w:ascii="Arial" w:hAnsi="Arial" w:cs="Arial"/>
        </w:rPr>
        <w:t xml:space="preserve"> </w:t>
      </w:r>
      <w:r w:rsidR="00E91035" w:rsidRPr="00414BA8">
        <w:rPr>
          <w:rFonts w:ascii="Arial" w:hAnsi="Arial" w:cs="Arial"/>
          <w:b/>
          <w:bCs/>
        </w:rPr>
        <w:fldChar w:fldCharType="begin"/>
      </w:r>
      <w:r w:rsidR="00E91035" w:rsidRPr="00414BA8">
        <w:rPr>
          <w:rFonts w:ascii="Arial" w:hAnsi="Arial" w:cs="Arial"/>
          <w:b/>
          <w:bCs/>
        </w:rPr>
        <w:instrText xml:space="preserve"> ADDIN ZOTERO_ITEM CSL_CITATION {"citationID":"2bmeKFE2","properties":{"formattedCitation":"(Tripathi &amp; Sinha, 2024)","plainCitation":"(Tripathi &amp; Sinha, 2024)","noteIndex":0},"citationItems":[{"id":1324,"uris":["http://zotero.org/users/local/l98j9GEk/items/4LZI5IS7"],"itemData":{"id":1324,"type":"article-journal","abstract":"The environment is where we all meet; where we all have a mutual interest; it is the one thing all of us share.” - Lady Bird Johnson The National Green Tribunal (NGT) plays a crucial role in environment protection by providing a specialised forum to address issues related to environment laws and regulations. It is responsible for expeditious and effective resolution of cases involving environmental violations, conservation of natural resources, and prevention of environmental damage. The NGT plays a pivotal role in safeguarding the environment within the framework of the Constitution of India. Its is established as a specialised judicial body, the NGT’s mission is to address environment concerns and violations, aligning with constitutional provisions that guarantee the right to clean and healthy environment. This abstract explores how the NGT’s role encompasses interpretation, enforcement, and advocacy of constitutional principles related to related to environment protection. By providing swift justice, specialised expertise, and a platform for public interest litigation, the NGT become a guardian of environmental rights, upholding intergenerational equity and sustainable development. As a constitutional check against environmental harm, the NGT exemplifies the synergy between legal mechanisms and constitutional remedies, fostering a healthier and more balanced coexistence between human activities.","issue":"2","language":"en","source":"Zotero","title":"The Role of National Green Tribunal in Safeguarding of Environment with Respect to Constitution of India","volume":"6","author":[{"family":"Tripathi","given":"Unnati"},{"family":"Sinha","given":"Dr Rituraj"}],"issued":{"date-parts":[["2024"]]}}}],"schema":"https://github.com/citation-style-language/schema/raw/master/csl-citation.json"} </w:instrText>
      </w:r>
      <w:r w:rsidR="00E91035" w:rsidRPr="00414BA8">
        <w:rPr>
          <w:rFonts w:ascii="Arial" w:hAnsi="Arial" w:cs="Arial"/>
          <w:b/>
          <w:bCs/>
        </w:rPr>
        <w:fldChar w:fldCharType="separate"/>
      </w:r>
      <w:r w:rsidR="00E91035" w:rsidRPr="00414BA8">
        <w:rPr>
          <w:rFonts w:ascii="Arial" w:hAnsi="Arial" w:cs="Arial"/>
          <w:b/>
          <w:bCs/>
        </w:rPr>
        <w:t>(Tripathi &amp; Sinha, 2024)</w:t>
      </w:r>
      <w:r w:rsidR="00E91035" w:rsidRPr="00414BA8">
        <w:rPr>
          <w:rFonts w:ascii="Arial" w:hAnsi="Arial" w:cs="Arial"/>
          <w:b/>
          <w:bCs/>
        </w:rPr>
        <w:fldChar w:fldCharType="end"/>
      </w:r>
      <w:r w:rsidRPr="004B047D">
        <w:rPr>
          <w:rFonts w:ascii="Arial" w:hAnsi="Arial" w:cs="Arial"/>
        </w:rPr>
        <w:t>. These policies and regulatory frameworks have contributed to urban afforestation, improved air quality, and better ecosystem management. However, challenges such as rapid urbanization, land-use conflicts, and weak policy implementation continue to threaten urban green spaces, necessitating more comprehensive and enforceable strategies for sustainable urban development.</w:t>
      </w:r>
    </w:p>
    <w:p w14:paraId="24D6D680" w14:textId="2564EF3F" w:rsidR="004B047D" w:rsidRPr="004B047D" w:rsidRDefault="004B047D" w:rsidP="004B047D">
      <w:pPr>
        <w:jc w:val="both"/>
        <w:rPr>
          <w:rFonts w:ascii="Arial" w:hAnsi="Arial" w:cs="Arial"/>
        </w:rPr>
      </w:pPr>
      <w:r w:rsidRPr="004B047D">
        <w:rPr>
          <w:rFonts w:ascii="Arial" w:hAnsi="Arial" w:cs="Arial"/>
        </w:rPr>
        <w:tab/>
        <w:t xml:space="preserve">To evaluate the impact of rapid </w:t>
      </w:r>
      <w:r w:rsidR="00463F24">
        <w:rPr>
          <w:rFonts w:ascii="Arial" w:hAnsi="Arial" w:cs="Arial"/>
        </w:rPr>
        <w:t xml:space="preserve">growing </w:t>
      </w:r>
      <w:r w:rsidRPr="004B047D">
        <w:rPr>
          <w:rFonts w:ascii="Arial" w:hAnsi="Arial" w:cs="Arial"/>
        </w:rPr>
        <w:t xml:space="preserve">urbanization </w:t>
      </w:r>
      <w:r w:rsidR="00463F24">
        <w:rPr>
          <w:rFonts w:ascii="Arial" w:hAnsi="Arial" w:cs="Arial"/>
        </w:rPr>
        <w:t>&amp; various</w:t>
      </w:r>
      <w:r w:rsidRPr="004B047D">
        <w:rPr>
          <w:rFonts w:ascii="Arial" w:hAnsi="Arial" w:cs="Arial"/>
        </w:rPr>
        <w:t xml:space="preserve"> land-use policies on UGS dynamics, extensive research has been conducted on its spatiotemporal variations and long-term trends. Such studies seek to optimize the spatial distribution of UGS and support informed decision making for urban ecosystem conservation. Remote sensing techniques and geographic information systems (GIS) have been widely employed to monitor land-use transformations over time</w:t>
      </w:r>
      <w:r w:rsidR="000C19C3">
        <w:rPr>
          <w:rFonts w:ascii="Arial" w:hAnsi="Arial" w:cs="Arial"/>
        </w:rPr>
        <w:t xml:space="preserve"> </w:t>
      </w:r>
      <w:r w:rsidR="000C19C3" w:rsidRPr="006C6320">
        <w:rPr>
          <w:rFonts w:ascii="Arial" w:hAnsi="Arial" w:cs="Arial"/>
          <w:b/>
          <w:bCs/>
        </w:rPr>
        <w:fldChar w:fldCharType="begin"/>
      </w:r>
      <w:r w:rsidR="006C6320" w:rsidRPr="006C6320">
        <w:rPr>
          <w:rFonts w:ascii="Arial" w:hAnsi="Arial" w:cs="Arial"/>
          <w:b/>
          <w:bCs/>
        </w:rPr>
        <w:instrText xml:space="preserve"> ADDIN ZOTERO_ITEM CSL_CITATION {"citationID":"sBSffsWq","properties":{"formattedCitation":"(Balogun et al., 2011; Das &amp; Angadi, 2022; Rogan &amp; Chen, 2004; Subedi et al., 2023)","plainCitation":"(Balogun et al., 2011; Das &amp; Angadi, 2022; Rogan &amp; Chen, 2004; Subedi et al., 2023)","noteIndex":0},"citationItems":[{"id":1327,"uris":["http://zotero.org/users/local/l98j9GEk/items/H9XGN4XH"],"itemData":{"id":1327,"type":"article-journal","abstract":"Akure has since it became the administrative headquarters of Ondo State in 1976 been witnessing rapid developmental changes in terms of physical landscape, city growth and urban sprawl. These agents of landuse landcover changes are capable of creating environmental and climatic problems. In view of this,We fulti temporal remote sensing data and geographic information system (GIS) techniques with field survey were used to detect the land use and land cover change in Akure (Lat: 7.25 °N; Lon: 5.20 °E), a south-western city in Nigeria between 1986 and 2007. The main objective using this approach is to examine the landuse landcover changes (LULCC) in Akure at different epochs in order to detect the changes that have occurred and subsequently project the likely changes that might occur over a given period. We found changes in land use and land cover of Akure through our different classification scheme (arable land, bare-surface land, built-up/settlement, dense forest and water bodies with a percentage change of 11.24, -5.86, 28.36, -33.87 and 0.13, respectively between 1986 and 2007). Results further revealed through projection that change by 2020 may likely follow the trend observed between 1986/2007.","language":"en","source":"Zotero","title":"Analysis of urban expansion and land use changes in Akure, Nigeria, using remote sensing and geographic information system (GIS) techniques","author":[{"family":"Balogun","given":"Ifeoluwa A"},{"family":"Adeyewa","given":"Debo Z"},{"family":"Balogun","given":"Ahmed A"},{"family":"Morakinyo","given":"Tobi E"}],"issued":{"date-parts":[["2011"]]}}},{"id":1329,"uris":["http://zotero.org/users/local/l98j9GEk/items/3637SWY3"],"itemData":{"id":1329,"type":"article-journal","abstract":"Accurate information on the rate of land-use pattern changes and urban expansion is essential for the sustainable development and management of natural resources. The rapid urban growth is a major challenge for local government and urban planners in small cities of India due to an insufficient database and inadequate analysis of chaotic urban expansion. The present paper has evaluated the land use/land cover change (LULCC) dynamics of the Barrackpore Subdivision area, India using remote sensing data and utilized the urban growth. Multi-temporal Landsat images with the maximum likelihood classifier (MLC) method were applied to generate the land use land cover maps. The spatiotemporal changes were performed by the “from-to” change matrix identifier to study land transformation. LULCC matrix demonstrated that vegetation cover, agricultural/cropland, wetland, and water bodies have decreased area under 23%, 7%, 6%, 1.7%, while the area under built-up and fallow lands have increased by 32.2% and 6.3% during 1972–2016. The results also revealed marked variation in the growth of built-up areas. The positive correlation between population and built-up land growth indicated that the impact of population pressure has contributed to faster growth of built-up land in the study area. The study calls for policies for proper land use management and sustainable urban development.","container-title":"GeoJournal","DOI":"10.1007/s10708-020-10359-1","ISSN":"1572-9893","issue":"3","journalAbbreviation":"GeoJournal","language":"en","page":"2101-2123","source":"Springer Link","title":"Land use land cover change detection and monitoring of urban growth using remote sensing and GIS techniques: a micro-level study","title-short":"Land use land cover change detection and monitoring of urban growth using remote sensing and GIS techniques","volume":"87","author":[{"family":"Das","given":"Sandipta"},{"family":"Angadi","given":"Dasharatha P."}],"issued":{"date-parts":[["2022",6,1]]}}},{"id":1325,"uris":["http://zotero.org/users/local/l98j9GEk/items/447DZASQ"],"itemData":{"id":1325,"type":"article-journal","container-title":"Progress in Planning","DOI":"10.1016/S0305-9006(03)00066-7","ISSN":"0305-9006","issue":"4","journalAbbreviation":"Progress in Planning","page":"301-325","source":"ScienceDirect","title":"Remote sensing technology for mapping and monitoring land-cover and land-use change","volume":"61","author":[{"family":"Rogan","given":"John"},{"family":"Chen","given":"DongMei"}],"issued":{"date-parts":[["2004",5,1]]}}},{"id":1405,"uris":["http://zotero.org/users/local/l98j9GEk/items/HQLRU3V2"],"itemData":{"id":1405,"type":"article-journal","abstract":"Floods are devastating natural hazard responsible for direct mortality, deterioration of crops, and damage to infrastructure and property. So, their study is crucial for watershed management and mitigation of flood hazards. The main objective of this study was to create a scientifically valid flood hazard map of the Indrawati River Basin (IRB) through the use of the multi-criteria decision analysis approach. Topographical Wetness Index (TWI), Elevation (EL), Slope (SL), Precipitation (PPT), Land Use/Land Cover (LULC), Normalized Difference Vegetation Index (NDVI), Distance from the River (DRI), Distance from the Road (DRO), Drainage Density (DD), and Soil Type (ST) were chosen as flood triggering factors based on literature review, data availability, and catchment characteristics. The analytic hierarchy process (AHP) method was used for determining the relative weight of each flood causative factor. All these factors were resampled into a 30 m × 30 m pixel size. Based on an evaluation of satellite imagery, 30 flood points were identified in the IRB, and these points were used as the testing dataset for validating the outcome. Based on results, the IRB has been classified into five different flood susceptible zones; very low, low, moderate, high, and very high. According to the study, 13%, 26%, 30%, 23%, and 8% of the total area are in very low, low, moderate, high, and very high flood susceptible zones, respectively. The Area Under the Curve (AUC) value for the success rate was 0.792. The results of this study will be crucial for concerned parties to design early warning systems and flood risk reduction measures for flood preparedness.","archive_location":"Hydrology","container-title":"Jalawaayu","DOI":"10.3126/jalawaayu.v3i1.52058","ISSN":"2773-8205","issue":"1","language":"en","license":"Copyright (c) 2023","note":"number: 1","page":"25-42","source":"www.nepjol.info","title":"Flood Hazard Mapping Using a Multi-Criteria Decision Analysis Approach Over the Indrawati River Basin","volume":"3","author":[{"family":"Subedi","given":"Buddha"},{"family":"Devkota","given":"Binu"},{"family":"Shrestha","given":"Bishal"}],"issued":{"date-parts":[["2023",2,14]]}}}],"schema":"https://github.com/citation-style-language/schema/raw/master/csl-citation.json"} </w:instrText>
      </w:r>
      <w:r w:rsidR="000C19C3" w:rsidRPr="006C6320">
        <w:rPr>
          <w:rFonts w:ascii="Arial" w:hAnsi="Arial" w:cs="Arial"/>
          <w:b/>
          <w:bCs/>
        </w:rPr>
        <w:fldChar w:fldCharType="separate"/>
      </w:r>
      <w:r w:rsidR="006C6320" w:rsidRPr="006C6320">
        <w:rPr>
          <w:rFonts w:ascii="Arial" w:hAnsi="Arial" w:cs="Arial"/>
          <w:b/>
          <w:bCs/>
        </w:rPr>
        <w:t xml:space="preserve">(Balogun et al., 2011; Das &amp; </w:t>
      </w:r>
      <w:proofErr w:type="spellStart"/>
      <w:r w:rsidR="006C6320" w:rsidRPr="006C6320">
        <w:rPr>
          <w:rFonts w:ascii="Arial" w:hAnsi="Arial" w:cs="Arial"/>
          <w:b/>
          <w:bCs/>
        </w:rPr>
        <w:t>Angadi</w:t>
      </w:r>
      <w:proofErr w:type="spellEnd"/>
      <w:r w:rsidR="006C6320" w:rsidRPr="006C6320">
        <w:rPr>
          <w:rFonts w:ascii="Arial" w:hAnsi="Arial" w:cs="Arial"/>
          <w:b/>
          <w:bCs/>
        </w:rPr>
        <w:t xml:space="preserve">, 2022; Rogan &amp; Chen, 2004; </w:t>
      </w:r>
      <w:proofErr w:type="spellStart"/>
      <w:r w:rsidR="006C6320" w:rsidRPr="006C6320">
        <w:rPr>
          <w:rFonts w:ascii="Arial" w:hAnsi="Arial" w:cs="Arial"/>
          <w:b/>
          <w:bCs/>
          <w:highlight w:val="yellow"/>
        </w:rPr>
        <w:t>Subedi</w:t>
      </w:r>
      <w:proofErr w:type="spellEnd"/>
      <w:r w:rsidR="006C6320" w:rsidRPr="006C6320">
        <w:rPr>
          <w:rFonts w:ascii="Arial" w:hAnsi="Arial" w:cs="Arial"/>
          <w:b/>
          <w:bCs/>
          <w:highlight w:val="yellow"/>
        </w:rPr>
        <w:t xml:space="preserve"> et al., 2023)</w:t>
      </w:r>
      <w:r w:rsidR="000C19C3" w:rsidRPr="006C6320">
        <w:rPr>
          <w:rFonts w:ascii="Arial" w:hAnsi="Arial" w:cs="Arial"/>
          <w:b/>
          <w:bCs/>
        </w:rPr>
        <w:fldChar w:fldCharType="end"/>
      </w:r>
      <w:r w:rsidRPr="006C6320">
        <w:rPr>
          <w:rFonts w:ascii="Arial" w:hAnsi="Arial" w:cs="Arial"/>
          <w:b/>
          <w:bCs/>
        </w:rPr>
        <w:t>.</w:t>
      </w:r>
      <w:r w:rsidRPr="004B047D">
        <w:rPr>
          <w:rFonts w:ascii="Arial" w:hAnsi="Arial" w:cs="Arial"/>
        </w:rPr>
        <w:t xml:space="preserve"> Commonly utilized analytical approaches include land-use transition matrices, which depict changes among different land-use categories within a given period</w:t>
      </w:r>
      <w:r w:rsidR="009B1688">
        <w:rPr>
          <w:rFonts w:ascii="Arial" w:hAnsi="Arial" w:cs="Arial"/>
        </w:rPr>
        <w:t xml:space="preserve"> </w:t>
      </w:r>
      <w:r w:rsidR="009B1688" w:rsidRPr="001F21D0">
        <w:rPr>
          <w:rFonts w:ascii="Arial" w:hAnsi="Arial" w:cs="Arial"/>
          <w:b/>
          <w:bCs/>
        </w:rPr>
        <w:fldChar w:fldCharType="begin"/>
      </w:r>
      <w:r w:rsidR="009B1688" w:rsidRPr="001F21D0">
        <w:rPr>
          <w:rFonts w:ascii="Arial" w:hAnsi="Arial" w:cs="Arial"/>
          <w:b/>
          <w:bCs/>
        </w:rPr>
        <w:instrText xml:space="preserve"> ADDIN ZOTERO_ITEM CSL_CITATION {"citationID":"k71eRHXL","properties":{"formattedCitation":"(Noszczyk, 2019)","plainCitation":"(Noszczyk, 2019)","noteIndex":0},"citationItems":[{"id":1334,"uris":["http://zotero.org/users/local/l98j9GEk/items/G5TVNE9C"],"itemData":{"id":1334,"type":"article-journal","abstract":"Being a widespread phenomenon, land use changes are being increasingly evaluated by modeling methods, including statistical modeling. Land use changes models facilitate interpreting the causes and consequences of land use dynamics and support policy-makers in taking rational decisions. Literature offers numerous land use models developed by researchers from various fields. The goal of the article was to review the existing methods of land use change modeling, in particular, statistical models. It is, therefore, a synthesis of the knowledge found in previous studies in this domain. The discussion is based on four areas: (1) the role of modeling and models in land use changes studies, (2) major land use changes modeling methods, their advantages and limitations, (3) integrated approach to modeling, (4) and land use changes modeling in Poland. Results indicate that there are many land use changes modeling methods, each with its advantages and drawbacks. It is not an easy challenge to select the right one. Such factors as the goal of the model and research problem should be taken into consideration. The article is intended first of all for researchers and modelers in pursuit of new research methods or improving their models.","container-title":"Human and Ecological Risk Assessment: An International Journal","DOI":"10.1080/10807039.2018.1468994","ISSN":"1080-7039","issue":"6","note":"publisher: Taylor &amp; Francis\n_eprint: https://doi.org/10.1080/10807039.2018.1468994","page":"1377-1405","source":"Taylor and Francis+NEJM","title":"A review of approaches to land use changes modeling","volume":"25","author":[{"family":"Noszczyk","given":"Tomasz"}],"issued":{"date-parts":[["2019",8,18]]}}}],"schema":"https://github.com/citation-style-language/schema/raw/master/csl-citation.json"} </w:instrText>
      </w:r>
      <w:r w:rsidR="009B1688" w:rsidRPr="001F21D0">
        <w:rPr>
          <w:rFonts w:ascii="Arial" w:hAnsi="Arial" w:cs="Arial"/>
          <w:b/>
          <w:bCs/>
        </w:rPr>
        <w:fldChar w:fldCharType="separate"/>
      </w:r>
      <w:r w:rsidR="009B1688" w:rsidRPr="001F21D0">
        <w:rPr>
          <w:rFonts w:ascii="Arial" w:hAnsi="Arial" w:cs="Arial"/>
          <w:b/>
          <w:bCs/>
        </w:rPr>
        <w:t>(Noszczyk, 2019)</w:t>
      </w:r>
      <w:r w:rsidR="009B1688" w:rsidRPr="001F21D0">
        <w:rPr>
          <w:rFonts w:ascii="Arial" w:hAnsi="Arial" w:cs="Arial"/>
          <w:b/>
          <w:bCs/>
        </w:rPr>
        <w:fldChar w:fldCharType="end"/>
      </w:r>
      <w:r w:rsidRPr="004B047D">
        <w:rPr>
          <w:rFonts w:ascii="Arial" w:hAnsi="Arial" w:cs="Arial"/>
        </w:rPr>
        <w:t>, and landscape metrics, which assess spatial modifications in landscape composition and configuration</w:t>
      </w:r>
      <w:r w:rsidR="009B1688">
        <w:rPr>
          <w:rFonts w:ascii="Arial" w:hAnsi="Arial" w:cs="Arial"/>
        </w:rPr>
        <w:t xml:space="preserve"> </w:t>
      </w:r>
      <w:r w:rsidR="009B1688" w:rsidRPr="009B1688">
        <w:rPr>
          <w:rFonts w:ascii="Arial" w:hAnsi="Arial" w:cs="Arial"/>
          <w:b/>
          <w:bCs/>
        </w:rPr>
        <w:fldChar w:fldCharType="begin"/>
      </w:r>
      <w:r w:rsidR="009B1688" w:rsidRPr="009B1688">
        <w:rPr>
          <w:rFonts w:ascii="Arial" w:hAnsi="Arial" w:cs="Arial"/>
          <w:b/>
          <w:bCs/>
        </w:rPr>
        <w:instrText xml:space="preserve"> ADDIN ZOTERO_ITEM CSL_CITATION {"citationID":"1qkbSKcT","properties":{"formattedCitation":"(Machado et al., 2018)","plainCitation":"(Machado et al., 2018)","noteIndex":0},"citationItems":[{"id":1338,"uris":["http://zotero.org/users/local/l98j9GEk/items/Y2SJLUJ4"],"itemData":{"id":1338,"type":"article-journal","abstract":"Landscape transformations have been a central topic in landscape ecology due to their influence on ecosystem services and biodiversity conservation. Landscape dynamics can be very complex and one of the most difficult issues to analyse is the contribution and the effects of landscape composition and configuration changes to the overall impact. We enhanced an existing approach designed to assess landscape transformation via metrics combination. Based on the area and the number of patches, we defined a Landscape Dynamics Typology (LDT) with eight different dynamics. The agro-forestry areas dynamics between 1990 and 2006, in Portugal, is presented as a practical example to show the implementation steps and the outputs obtained. A diagnostic tree is provided to help identify which dynamics are present. This new method provides detailed results concerning the location of the different dynamics within a landscape. The LDT is a versatile tool and is able to accommodate upgrades.","container-title":"Landscape Research","DOI":"10.1080/01426397.2017.1336757","ISSN":"0142-6397","issue":"5","note":"publisher: Routledge\n_eprint: https://doi.org/10.1080/01426397.2017.1336757","page":"652-664","source":"Taylor and Francis+NEJM","title":"Assessment of landscape composition and configuration via spatial metrics combination: conceptual framework proposal and method improvement","title-short":"Assessment of landscape composition and configuration via spatial metrics combination","volume":"43","author":[{"family":"Machado","given":"Rui"},{"family":"","given":"Godinho ,Sérgio"},{"family":"","given":"Pirnat ,Janez"},{"family":"","given":"Neves ,Nuno"},{"family":"Santos","given":"Pedro","non-dropping-particle":"and"}],"issued":{"date-parts":[["2018",7,4]]}}}],"schema":"https://github.com/citation-style-language/schema/raw/master/csl-citation.json"} </w:instrText>
      </w:r>
      <w:r w:rsidR="009B1688" w:rsidRPr="009B1688">
        <w:rPr>
          <w:rFonts w:ascii="Arial" w:hAnsi="Arial" w:cs="Arial"/>
          <w:b/>
          <w:bCs/>
        </w:rPr>
        <w:fldChar w:fldCharType="separate"/>
      </w:r>
      <w:r w:rsidR="009B1688" w:rsidRPr="009B1688">
        <w:rPr>
          <w:rFonts w:ascii="Arial" w:hAnsi="Arial" w:cs="Arial"/>
          <w:b/>
          <w:bCs/>
        </w:rPr>
        <w:t>(Machado et al., 2018)</w:t>
      </w:r>
      <w:r w:rsidR="009B1688" w:rsidRPr="009B1688">
        <w:rPr>
          <w:rFonts w:ascii="Arial" w:hAnsi="Arial" w:cs="Arial"/>
          <w:b/>
          <w:bCs/>
        </w:rPr>
        <w:fldChar w:fldCharType="end"/>
      </w:r>
      <w:r w:rsidRPr="004B047D">
        <w:rPr>
          <w:rFonts w:ascii="Arial" w:hAnsi="Arial" w:cs="Arial"/>
        </w:rPr>
        <w:t>.</w:t>
      </w:r>
    </w:p>
    <w:p w14:paraId="60EFB3FB" w14:textId="36C210BB" w:rsidR="004B047D" w:rsidRPr="004B047D" w:rsidRDefault="004B047D" w:rsidP="004B047D">
      <w:pPr>
        <w:ind w:firstLine="720"/>
        <w:jc w:val="both"/>
        <w:rPr>
          <w:rFonts w:ascii="Arial" w:hAnsi="Arial" w:cs="Arial"/>
        </w:rPr>
      </w:pPr>
      <w:r w:rsidRPr="004B047D">
        <w:rPr>
          <w:rFonts w:ascii="Arial" w:hAnsi="Arial" w:cs="Arial"/>
        </w:rPr>
        <w:t>In recent decades, India has experienced rapid urbanization, leading to significant transformations in its urban landscapes</w:t>
      </w:r>
      <w:r w:rsidR="00FF3281">
        <w:rPr>
          <w:rFonts w:ascii="Arial" w:hAnsi="Arial" w:cs="Arial"/>
        </w:rPr>
        <w:t xml:space="preserve"> </w:t>
      </w:r>
      <w:r w:rsidR="00FF3281" w:rsidRPr="00FF3281">
        <w:rPr>
          <w:rFonts w:ascii="Arial" w:hAnsi="Arial" w:cs="Arial"/>
          <w:b/>
          <w:bCs/>
        </w:rPr>
        <w:fldChar w:fldCharType="begin"/>
      </w:r>
      <w:r w:rsidR="00FF3281" w:rsidRPr="00FF3281">
        <w:rPr>
          <w:rFonts w:ascii="Arial" w:hAnsi="Arial" w:cs="Arial"/>
          <w:b/>
          <w:bCs/>
        </w:rPr>
        <w:instrText xml:space="preserve"> ADDIN ZOTERO_ITEM CSL_CITATION {"citationID":"fCdenemr","properties":{"formattedCitation":"(Bharath et al., 2018)","plainCitation":"(Bharath et al., 2018)","noteIndex":0},"citationItems":[{"id":1340,"uris":["http://zotero.org/users/local/l98j9GEk/items/XUKBWQ7U"],"itemData":{"id":1340,"type":"article-journal","abstract":"Metropolitan cities in India are emerging as major economic hubs with an unprecedented land use changes and decline of environmental resources. Globalisation and consequent relaxations of Indian markets to global players has given impetus to rapid urbanisation process. Urbanisation being irreversible and rapid coupled with fast growth of population during the last century, contributed to serious ecological and environmental consequences. This necessitates monitoring and advance visualisation of spatial patterns of landscape dynamics for evolving appropriate management strategies towards sustainable development approaches. This study visualises the growth of Indian mega cities Delhi, Mumbai, Pune, Chennai and Coimbatore, through Cellular Automata Markov model considering the influence of agent(s) of urban growth through soft computing techniques. CA Markov model is considered to be one of most effective algorithm to visualise the growth of urban spatial structures. Prediction of growth using agent based modelling considering the spatial patterns of urbanisation during the past four decades has provided insights to the urban dynamics. The industrial, infrastructural, socio-economic factors significantly influence the urban growth compared to the biophysical factors. Visualisation of urban growth suggest agents driven growth in the cities and its surroundings with large land use transformations in urban corridors and upcoming Industrial and ear marked developmental zones. Integrating local agents of urban growth help in identifying specific regions of intense growth, likely challenges and provide opportunities for evolving appropriate management strategies towards sustainable cities during the 21st century.","container-title":"The Egyptian Journal of Remote Sensing and Space Science","DOI":"10.1016/j.ejrs.2017.08.002","ISSN":"1110-9823","issue":"3","journalAbbreviation":"The Egyptian Journal of Remote Sensing and Space Science","page":"201-210","source":"ScienceDirect","title":"Modelling urban dynamics in rapidly urbanising Indian cities","volume":"21","author":[{"family":"Bharath","given":"H. A."},{"family":"Chandan","given":"M. C."},{"family":"Vinay","given":"S."},{"family":"Ramachandra","given":"T. V."}],"issued":{"date-parts":[["2018",12,1]]}}}],"schema":"https://github.com/citation-style-language/schema/raw/master/csl-citation.json"} </w:instrText>
      </w:r>
      <w:r w:rsidR="00FF3281" w:rsidRPr="00FF3281">
        <w:rPr>
          <w:rFonts w:ascii="Arial" w:hAnsi="Arial" w:cs="Arial"/>
          <w:b/>
          <w:bCs/>
        </w:rPr>
        <w:fldChar w:fldCharType="separate"/>
      </w:r>
      <w:r w:rsidR="00FF3281" w:rsidRPr="00FF3281">
        <w:rPr>
          <w:rFonts w:ascii="Arial" w:hAnsi="Arial" w:cs="Arial"/>
          <w:b/>
          <w:bCs/>
        </w:rPr>
        <w:t>(Bharath et al., 2018)</w:t>
      </w:r>
      <w:r w:rsidR="00FF3281" w:rsidRPr="00FF3281">
        <w:rPr>
          <w:rFonts w:ascii="Arial" w:hAnsi="Arial" w:cs="Arial"/>
          <w:b/>
          <w:bCs/>
        </w:rPr>
        <w:fldChar w:fldCharType="end"/>
      </w:r>
      <w:r w:rsidRPr="004B047D">
        <w:rPr>
          <w:rFonts w:ascii="Arial" w:hAnsi="Arial" w:cs="Arial"/>
        </w:rPr>
        <w:t xml:space="preserve">. </w:t>
      </w:r>
      <w:r w:rsidRPr="009C644F">
        <w:rPr>
          <w:rFonts w:ascii="Arial" w:hAnsi="Arial" w:cs="Arial"/>
          <w:highlight w:val="magenta"/>
        </w:rPr>
        <w:t xml:space="preserve">The National Capital Territory </w:t>
      </w:r>
      <w:r w:rsidRPr="009C644F">
        <w:rPr>
          <w:rFonts w:ascii="Arial" w:hAnsi="Arial" w:cs="Arial"/>
          <w:highlight w:val="magenta"/>
        </w:rPr>
        <w:lastRenderedPageBreak/>
        <w:t>of Delhi (NCTD), one of the world's largest metropolitan areas, has undergone unprecedented urban growth alongside its economic development</w:t>
      </w:r>
      <w:r w:rsidR="00BF0B71" w:rsidRPr="009C644F">
        <w:rPr>
          <w:rFonts w:ascii="Arial" w:hAnsi="Arial" w:cs="Arial"/>
          <w:highlight w:val="magenta"/>
        </w:rPr>
        <w:t xml:space="preserve"> </w:t>
      </w:r>
      <w:r w:rsidR="00BF0B71" w:rsidRPr="009C644F">
        <w:rPr>
          <w:rFonts w:ascii="Arial" w:hAnsi="Arial" w:cs="Arial"/>
          <w:b/>
          <w:bCs/>
          <w:highlight w:val="magenta"/>
        </w:rPr>
        <w:fldChar w:fldCharType="begin"/>
      </w:r>
      <w:r w:rsidR="00BF0B71" w:rsidRPr="009C644F">
        <w:rPr>
          <w:rFonts w:ascii="Arial" w:hAnsi="Arial" w:cs="Arial"/>
          <w:b/>
          <w:bCs/>
          <w:highlight w:val="magenta"/>
        </w:rPr>
        <w:instrText xml:space="preserve"> ADDIN ZOTERO_ITEM CSL_CITATION {"citationID":"891ZstCy","properties":{"formattedCitation":"(Mookherjee et al., 2015)","plainCitation":"(Mookherjee et al., 2015)","noteIndex":0},"citationItems":[{"id":1343,"uris":["http://zotero.org/users/local/l98j9GEk/items/R7A7RUYY"],"itemData":{"id":1343,"type":"article-journal","abstract":"While the differential growth patterns of urban peripheral settlements around large cities continue to hold an important place in the urban research agenda, examination of regional urban systems from a theoretical perspective has received much less attention in developing countries. Based on demographic data of 1991–2011, an analysis of settlements in the National Capital Region of Delhi, India, reveals mixed spatial forms in the periphery of the traditionally monocentric Delhi. Our observation raises questions such as whether a polycentric, poly-nodal configuration, or a combination thereof, is in the making in the immediate periphery of Delhi. This emerging scenario has potential planning implications and questions the applicability of the traditional ‘Eurocentric’ theories to the evolving urbanization phenomena in the developing world.","container-title":"International Planning Studies","DOI":"10.1080/13563475.2014.942515","ISSN":"1356-3475","issue":"1-2","note":"publisher: RSA Website\n_eprint: https://doi.org/10.1080/13563475.2014.942515","page":"146-160","source":"Taylor and Francis+NEJM","title":"Dynamics of an Evolving City-Region in the Developing World: The National Capital Region of Delhi Revisited","title-short":"Dynamics of an Evolving City-Region in the Developing World","volume":"20","author":[{"family":"Mookherjee","given":"Debnath"},{"family":"","given":"Geyer ,H.S."},{"family":"Hoerauf","given":"Eugene","non-dropping-particle":"and"}],"issued":{"date-parts":[["2015",4,3]]}}}],"schema":"https://github.com/citation-style-language/schema/raw/master/csl-citation.json"} </w:instrText>
      </w:r>
      <w:r w:rsidR="00BF0B71" w:rsidRPr="009C644F">
        <w:rPr>
          <w:rFonts w:ascii="Arial" w:hAnsi="Arial" w:cs="Arial"/>
          <w:b/>
          <w:bCs/>
          <w:highlight w:val="magenta"/>
        </w:rPr>
        <w:fldChar w:fldCharType="separate"/>
      </w:r>
      <w:r w:rsidR="00BF0B71" w:rsidRPr="009C644F">
        <w:rPr>
          <w:rFonts w:ascii="Arial" w:hAnsi="Arial" w:cs="Arial"/>
          <w:b/>
          <w:bCs/>
          <w:highlight w:val="magenta"/>
        </w:rPr>
        <w:t>(Mookherjee et al., 2015)</w:t>
      </w:r>
      <w:r w:rsidR="00BF0B71" w:rsidRPr="009C644F">
        <w:rPr>
          <w:rFonts w:ascii="Arial" w:hAnsi="Arial" w:cs="Arial"/>
          <w:b/>
          <w:bCs/>
          <w:highlight w:val="magenta"/>
        </w:rPr>
        <w:fldChar w:fldCharType="end"/>
      </w:r>
      <w:r w:rsidRPr="009C644F">
        <w:rPr>
          <w:rFonts w:ascii="Arial" w:hAnsi="Arial" w:cs="Arial"/>
          <w:highlight w:val="magenta"/>
        </w:rPr>
        <w:t>. The built-up area in Delhi expanded from approximately 263.18 km² in 1991 to 570.56 km² in 2021, reflecting a substantial increase in urban infrastructure. This rapid development has exerted pressure on Urban Green Spaces (UGS), altering landscape patterns and prompting concerns about ecological services</w:t>
      </w:r>
      <w:r w:rsidR="00B25172" w:rsidRPr="009C644F">
        <w:rPr>
          <w:rFonts w:ascii="Arial" w:hAnsi="Arial" w:cs="Arial"/>
          <w:highlight w:val="magenta"/>
        </w:rPr>
        <w:t xml:space="preserve"> </w:t>
      </w:r>
      <w:r w:rsidR="00B25172" w:rsidRPr="009C644F">
        <w:rPr>
          <w:rFonts w:ascii="Arial" w:hAnsi="Arial" w:cs="Arial"/>
          <w:b/>
          <w:bCs/>
          <w:highlight w:val="magenta"/>
        </w:rPr>
        <w:fldChar w:fldCharType="begin"/>
      </w:r>
      <w:r w:rsidR="00B25172" w:rsidRPr="009C644F">
        <w:rPr>
          <w:rFonts w:ascii="Arial" w:hAnsi="Arial" w:cs="Arial"/>
          <w:b/>
          <w:bCs/>
          <w:highlight w:val="magenta"/>
        </w:rPr>
        <w:instrText xml:space="preserve"> ADDIN ZOTERO_ITEM CSL_CITATION {"citationID":"LfjaoYNk","properties":{"formattedCitation":"(Pulighe et al., 2016)","plainCitation":"(Pulighe et al., 2016)","noteIndex":0},"citationItems":[{"id":954,"uris":["http://zotero.org/users/local/l98j9GEk/items/U2HDJ8XE"],"itemData":{"id":954,"type":"article-journal","abstract":"Urbanization and rapid population growth pose the cities in front of massive challenges in terms of environmental impacts. This paper explores recent progresses in mapping ecosystem services provided by urban green infrastructures (GI) and discuss how GI can contribute to promoting cohesion, resilience and livability toward sustainable and green cities. It also investigates the interlinkages between ecosystem services paradigm, mapping approaches at urban level and benefits provided for human well-being. A literature study focusing on recent research papers is conducted, highlighting new trends on methods and data, unexplored developments and opportunities on literature regarding mapping green infrastructures with respect to planning, management and ecosystem services’ provision. Additionally, an in-depth analysis of selected case studies synthesizes and discusses key insights of quantitative results related to key ecosystem services mapping approaches. The results indicate that mapping efforts integrates multiple disciplines, combining advanced technology and sophisticated models and methods. We argue that mapping ecosystem services would allow urban designers and planning practitioners to help and inform policymakers during the decision process and management of urban landscapes.","container-title":"Ecosystem Services","DOI":"10.1016/j.ecoser.2016.09.004","ISSN":"2212-0416","journalAbbreviation":"Ecosystem Services","page":"1-10","source":"ScienceDirect","title":"Insights and opportunities from mapping ecosystem services of urban green spaces and potentials in planning","volume":"22","author":[{"family":"Pulighe","given":"Giuseppe"},{"family":"Fava","given":"Francesco"},{"family":"Lupia","given":"Flavio"}],"issued":{"date-parts":[["2016",12,1]]}}}],"schema":"https://github.com/citation-style-language/schema/raw/master/csl-citation.json"} </w:instrText>
      </w:r>
      <w:r w:rsidR="00B25172" w:rsidRPr="009C644F">
        <w:rPr>
          <w:rFonts w:ascii="Arial" w:hAnsi="Arial" w:cs="Arial"/>
          <w:b/>
          <w:bCs/>
          <w:highlight w:val="magenta"/>
        </w:rPr>
        <w:fldChar w:fldCharType="separate"/>
      </w:r>
      <w:r w:rsidR="00B25172" w:rsidRPr="009C644F">
        <w:rPr>
          <w:rFonts w:ascii="Arial" w:hAnsi="Arial" w:cs="Arial"/>
          <w:b/>
          <w:bCs/>
          <w:highlight w:val="magenta"/>
        </w:rPr>
        <w:t>(Pulighe et al., 2016)</w:t>
      </w:r>
      <w:r w:rsidR="00B25172" w:rsidRPr="009C644F">
        <w:rPr>
          <w:rFonts w:ascii="Arial" w:hAnsi="Arial" w:cs="Arial"/>
          <w:b/>
          <w:bCs/>
          <w:highlight w:val="magenta"/>
        </w:rPr>
        <w:fldChar w:fldCharType="end"/>
      </w:r>
      <w:r w:rsidRPr="009C644F">
        <w:rPr>
          <w:rFonts w:ascii="Arial" w:hAnsi="Arial" w:cs="Arial"/>
          <w:highlight w:val="magenta"/>
        </w:rPr>
        <w:t>.​</w:t>
      </w:r>
      <w:r w:rsidRPr="004B047D">
        <w:rPr>
          <w:rFonts w:ascii="Arial" w:hAnsi="Arial" w:cs="Arial"/>
        </w:rPr>
        <w:t xml:space="preserve"> </w:t>
      </w:r>
      <w:r w:rsidR="00E65857" w:rsidRPr="009C644F">
        <w:rPr>
          <w:rFonts w:ascii="Arial" w:hAnsi="Arial" w:cs="Arial"/>
          <w:highlight w:val="magenta"/>
        </w:rPr>
        <w:t xml:space="preserve">However, the distribution of UGS in Delhi is highly uneven, with significant disparities observed between different regions and socio-economic groups. Studies have highlighted </w:t>
      </w:r>
      <w:r w:rsidR="00E65857" w:rsidRPr="009C644F">
        <w:rPr>
          <w:rFonts w:ascii="Arial" w:hAnsi="Arial" w:cs="Arial"/>
          <w:highlight w:val="magenta"/>
        </w:rPr>
        <w:t>that factor</w:t>
      </w:r>
      <w:r w:rsidR="00E65857" w:rsidRPr="009C644F">
        <w:rPr>
          <w:rFonts w:ascii="Arial" w:hAnsi="Arial" w:cs="Arial"/>
          <w:highlight w:val="magenta"/>
        </w:rPr>
        <w:t xml:space="preserve"> such as income inequality, land-use planning priorities, population density variations, and historical development patterns contribute to the inequitable distribution of green spaces across the city </w:t>
      </w:r>
      <w:r w:rsidR="00E65857" w:rsidRPr="002F5504">
        <w:rPr>
          <w:rFonts w:ascii="Arial" w:hAnsi="Arial" w:cs="Arial"/>
          <w:b/>
          <w:bCs/>
          <w:highlight w:val="yellow"/>
        </w:rPr>
        <w:fldChar w:fldCharType="begin"/>
      </w:r>
      <w:r w:rsidR="00E65857" w:rsidRPr="002F5504">
        <w:rPr>
          <w:rFonts w:ascii="Arial" w:hAnsi="Arial" w:cs="Arial"/>
          <w:b/>
          <w:bCs/>
          <w:highlight w:val="yellow"/>
        </w:rPr>
        <w:instrText xml:space="preserve"> ADDIN ZOTERO_ITEM CSL_CITATION {"citationID":"9sPsa5Vz","properties":{"formattedCitation":"(Mitchell et al., 2021)","plainCitation":"(Mitchell et al., 2021)","noteIndex":0},"citationItems":[{"id":1412,"uris":["http://zotero.org/users/local/l98j9GEk/items/YXMS2WU3"],"itemData":{"id":1412,"type":"article-journal","abstract":"Climate change and rapid urbanization currently pose major challenges for equitable development in megacities of the Global South, such as Delhi, India. This study considers how urban social inequities are distributed in terms of burdens and benefits by quantifying exposure through an urban heat risk index (UHRI), and proximity to greenspace through the normalized difference vegetation index (NDVI), at the ward level in Delhi. Landsat derived remote sensing imagery for May and September 2011 is used in a sensitivity analysis of varying seasonal exposure. Multivariable models based on generalized estimating equations (GEEs) reveal significant statistical associations (p &lt; 0.05) between UHRI/NDVI and several indicators of social vulnerability. For example, the proportions of children (β = 0.922, p = 0.024) and agricultural workers (β = 0.394, p = 0.016) are positively associated with the May UHRI, while the proportions of households with assets (β = −1.978, p = 0.017) and households with electricity (β = −0.605, p = 0.010) are negatively associated with the May UHRI. In contrast, the proportions of children (β = 0.001, p = 0.633) and agricultural workers (β = 0.002, p = 0.356) are not significantly associated with the May NDVI, while the proportions of households with assets (β = 0.013, p = 0.010) and those with electricity (β = 0.008, p = 0.006) are positively associated with the May NDVI. Our findings emphasize the need for future research and policies to consider how socially vulnerable groups are inequitably exposed to the impact of climate change-related urban heat without the mitigating effects of greenspace.","container-title":"International Journal of Environmental Research and Public Health","DOI":"10.3390/ijerph18094800","ISSN":"1661-7827","issue":"9","journalAbbreviation":"Int J Environ Res Public Health","note":"PMID: 33946259\nPMCID: PMC8124940","page":"4800","source":"PubMed Central","title":"Social Inequities in Urban Heat and Greenspace: Analyzing Climate Justice in Delhi, India","title-short":"Social Inequities in Urban Heat and Greenspace","volume":"18","author":[{"family":"Mitchell","given":"Bruce C."},{"family":"Chakraborty","given":"Jayajit"},{"family":"Basu","given":"Pratyusha"}],"issued":{"date-parts":[["2021",4,30]]}}}],"schema":"https://github.com/citation-style-language/schema/raw/master/csl-citation.json"} </w:instrText>
      </w:r>
      <w:r w:rsidR="00E65857" w:rsidRPr="002F5504">
        <w:rPr>
          <w:rFonts w:ascii="Arial" w:hAnsi="Arial" w:cs="Arial"/>
          <w:b/>
          <w:bCs/>
          <w:highlight w:val="yellow"/>
        </w:rPr>
        <w:fldChar w:fldCharType="separate"/>
      </w:r>
      <w:r w:rsidR="00E65857" w:rsidRPr="002F5504">
        <w:rPr>
          <w:rFonts w:ascii="Arial" w:hAnsi="Arial" w:cs="Arial"/>
          <w:b/>
          <w:bCs/>
          <w:highlight w:val="yellow"/>
        </w:rPr>
        <w:t>(Mitchell et al., 2021)</w:t>
      </w:r>
      <w:r w:rsidR="00E65857" w:rsidRPr="002F5504">
        <w:rPr>
          <w:rFonts w:ascii="Arial" w:hAnsi="Arial" w:cs="Arial"/>
          <w:b/>
          <w:bCs/>
          <w:highlight w:val="yellow"/>
        </w:rPr>
        <w:fldChar w:fldCharType="end"/>
      </w:r>
      <w:r w:rsidR="00E65857" w:rsidRPr="002F5504">
        <w:rPr>
          <w:rFonts w:ascii="Arial" w:hAnsi="Arial" w:cs="Arial"/>
          <w:highlight w:val="yellow"/>
        </w:rPr>
        <w:t>.</w:t>
      </w:r>
      <w:r w:rsidR="00E65857" w:rsidRPr="009C644F">
        <w:rPr>
          <w:rFonts w:ascii="Arial" w:hAnsi="Arial" w:cs="Arial"/>
          <w:highlight w:val="magenta"/>
        </w:rPr>
        <w:t xml:space="preserve"> These inequities pose challenges for ensuring equitable access to the environmental and health benefits provided by UGS, particularly in underprivileged and highly urbanized areas</w:t>
      </w:r>
      <w:r w:rsidR="00080422">
        <w:rPr>
          <w:rFonts w:ascii="Arial" w:hAnsi="Arial" w:cs="Arial"/>
        </w:rPr>
        <w:t xml:space="preserve"> </w:t>
      </w:r>
      <w:r w:rsidR="00080422" w:rsidRPr="00080422">
        <w:rPr>
          <w:rFonts w:ascii="Arial" w:hAnsi="Arial" w:cs="Arial"/>
          <w:b/>
          <w:bCs/>
          <w:highlight w:val="yellow"/>
        </w:rPr>
        <w:fldChar w:fldCharType="begin"/>
      </w:r>
      <w:r w:rsidR="00080422" w:rsidRPr="00080422">
        <w:rPr>
          <w:rFonts w:ascii="Arial" w:hAnsi="Arial" w:cs="Arial"/>
          <w:b/>
          <w:bCs/>
          <w:highlight w:val="yellow"/>
        </w:rPr>
        <w:instrText xml:space="preserve"> ADDIN ZOTERO_ITEM CSL_CITATION {"citationID":"pgLht63V","properties":{"formattedCitation":"(Duan et al., 2025)","plainCitation":"(Duan et al., 2025)","noteIndex":0},"citationItems":[{"id":1407,"uris":["http://zotero.org/users/local/l98j9GEk/items/E2RENUSP"],"itemData":{"id":1407,"type":"article-journal","abstract":"Urban green space (UGS) is crucial for urban sustainability, yet equity in access to urban green space remains a global challenge amidst rapid urbanization. Guangzhou, a megacity in China’s Pearl River Delta, exemplifies this challenge, with its population increasing from 5.9 million in 1990 to 18.7 million in 2020, leading to intensified land use conflicts. This study analyzes the changes in urban green space across three strategic zones—Old Guangzhou, New Guangzhou, and Future Guangzhou—compared to other areas, and equity over time using land use transfer matrices, landscape indices, hotspot analysis, and the Gini coefficient. It also explores the driving factors behind these changes. The results show a 16% decline in total UGS area from 1990 to 2020, with fragmentation peaking between 2000 and 2010, as indicated by a 24% increase in patch density and an 18% decrease in connectivity; growing spatial inequity, with the overall Gini coefficient rising over time—Old Guangzhou exhibited severe inequality (0.806) due to the scarcity of community-level urban green space, while Future Guangzhou demonstrated a relatively balanced distribution (0.523); and a shift in policy focus from basic greening to ecological prioritization after 2010, which slowed UGS loss but failed to address the disparities between core and peripheral areas. These findings are significant not only for Guangzhou but also reflect broader global issues faced by urban areas undergoing rapid urbanization. This study provides a comprehensive framework for balancing urban growth with equity, offering valuable insights for rapidly urbanizing regions worldwide.","container-title":"Sustainability","DOI":"10.3390/su17052217","ISSN":"2071-1050","issue":"5","language":"en","license":"http://creativecommons.org/licenses/by/3.0/","note":"number: 5\npublisher: Multidisciplinary Digital Publishing Institute","page":"2217","source":"www.mdpi.com","title":"Transformation and Inequity of Urban Green Space in Guangzhou: Drivers and Policy Implications Under Rapid Urbanization","title-short":"Transformation and Inequity of Urban Green Space in Guangzhou","volume":"17","author":[{"family":"Duan","given":"Zhiwen"},{"family":"Huang","given":"Longbao"},{"family":"Zhu","given":"Zhicai"},{"family":"Long","given":"Shaoqiu"},{"family":"Liu","given":"Yilun"}],"issued":{"date-parts":[["2025",1]]}}}],"schema":"https://github.com/citation-style-language/schema/raw/master/csl-citation.json"} </w:instrText>
      </w:r>
      <w:r w:rsidR="00080422" w:rsidRPr="00080422">
        <w:rPr>
          <w:rFonts w:ascii="Arial" w:hAnsi="Arial" w:cs="Arial"/>
          <w:b/>
          <w:bCs/>
          <w:highlight w:val="yellow"/>
        </w:rPr>
        <w:fldChar w:fldCharType="separate"/>
      </w:r>
      <w:r w:rsidR="00080422" w:rsidRPr="00080422">
        <w:rPr>
          <w:rFonts w:ascii="Arial" w:hAnsi="Arial" w:cs="Arial"/>
          <w:b/>
          <w:bCs/>
          <w:highlight w:val="yellow"/>
        </w:rPr>
        <w:t>(Duan et al., 2025)</w:t>
      </w:r>
      <w:r w:rsidR="00080422" w:rsidRPr="00080422">
        <w:rPr>
          <w:rFonts w:ascii="Arial" w:hAnsi="Arial" w:cs="Arial"/>
          <w:b/>
          <w:bCs/>
          <w:highlight w:val="yellow"/>
        </w:rPr>
        <w:fldChar w:fldCharType="end"/>
      </w:r>
      <w:r w:rsidR="00E65857" w:rsidRPr="00E65857">
        <w:rPr>
          <w:rFonts w:ascii="Arial" w:hAnsi="Arial" w:cs="Arial"/>
        </w:rPr>
        <w:t>.</w:t>
      </w:r>
      <w:r w:rsidR="00E65857" w:rsidRPr="00E65857">
        <w:rPr>
          <w:rFonts w:ascii="Arial" w:hAnsi="Arial" w:cs="Arial"/>
        </w:rPr>
        <w:t xml:space="preserve"> </w:t>
      </w:r>
      <w:r w:rsidRPr="004B047D">
        <w:rPr>
          <w:rFonts w:ascii="Arial" w:hAnsi="Arial" w:cs="Arial"/>
        </w:rPr>
        <w:t>Recognizing these challenges, the Delhi Development Authority (DDA) has formulated and updated Master Plans to guide the city's development. The Master Plan for Delhi (MPD) has undergone several revisions, including MPD-2021 and the forthcoming MPD-2041. These plans emphasize environmental sustainability, the enhancement of green-blue infrastructure, and the integration of green spaces within urban planning frameworks. Additionally, the DDA has introduced the Green Development Area Policy to protect natural resources and promote sustainable development practices. ​These strategic planning initiatives aim to balance urban growth with ecological preservation, ensuring that the expansion of built environments does not compromise the quality and availability of green spaces essential for urban sustainability and residents' well-being.</w:t>
      </w:r>
    </w:p>
    <w:p w14:paraId="4FD702F1" w14:textId="7EB93B6D" w:rsidR="00790ADA" w:rsidRDefault="004B047D" w:rsidP="00825675">
      <w:pPr>
        <w:ind w:firstLine="720"/>
        <w:jc w:val="both"/>
        <w:rPr>
          <w:rFonts w:ascii="Arial" w:hAnsi="Arial" w:cs="Arial"/>
        </w:rPr>
      </w:pPr>
      <w:r w:rsidRPr="004B047D">
        <w:rPr>
          <w:rFonts w:ascii="Arial" w:hAnsi="Arial" w:cs="Arial"/>
        </w:rPr>
        <w:t xml:space="preserve">In this study, land use data for NCTD was utilized to analyze the spatiotemporal dynamics of urban green spaces (UGS) from 1991 to 2021. The study examines </w:t>
      </w:r>
      <w:proofErr w:type="spellStart"/>
      <w:r w:rsidRPr="004B047D">
        <w:rPr>
          <w:rFonts w:ascii="Arial" w:hAnsi="Arial" w:cs="Arial"/>
        </w:rPr>
        <w:t>spatio</w:t>
      </w:r>
      <w:proofErr w:type="spellEnd"/>
      <w:r w:rsidR="00D53EF9">
        <w:rPr>
          <w:rFonts w:ascii="Arial" w:hAnsi="Arial" w:cs="Arial"/>
        </w:rPr>
        <w:t>-</w:t>
      </w:r>
      <w:r w:rsidRPr="004B047D">
        <w:rPr>
          <w:rFonts w:ascii="Arial" w:hAnsi="Arial" w:cs="Arial"/>
        </w:rPr>
        <w:t xml:space="preserve">temporal pattern </w:t>
      </w:r>
      <w:r w:rsidR="00D53EF9" w:rsidRPr="004B047D">
        <w:rPr>
          <w:rFonts w:ascii="Arial" w:hAnsi="Arial" w:cs="Arial"/>
        </w:rPr>
        <w:t xml:space="preserve">of UGS </w:t>
      </w:r>
      <w:r w:rsidRPr="004B047D">
        <w:rPr>
          <w:rFonts w:ascii="Arial" w:hAnsi="Arial" w:cs="Arial"/>
        </w:rPr>
        <w:t>and change in terms of land-use transitions</w:t>
      </w:r>
      <w:r w:rsidR="00D53EF9">
        <w:rPr>
          <w:rFonts w:ascii="Arial" w:hAnsi="Arial" w:cs="Arial"/>
        </w:rPr>
        <w:t xml:space="preserve"> along with</w:t>
      </w:r>
      <w:r w:rsidRPr="004B047D">
        <w:rPr>
          <w:rFonts w:ascii="Arial" w:hAnsi="Arial" w:cs="Arial"/>
        </w:rPr>
        <w:t xml:space="preserve"> landscape configurations. The primary objectives of this research are:</w:t>
      </w:r>
      <w:r w:rsidR="00825675">
        <w:rPr>
          <w:rFonts w:ascii="Arial" w:hAnsi="Arial" w:cs="Arial"/>
        </w:rPr>
        <w:t xml:space="preserve"> (1) t</w:t>
      </w:r>
      <w:r w:rsidR="00825675" w:rsidRPr="00825675">
        <w:rPr>
          <w:rFonts w:ascii="Arial" w:hAnsi="Arial" w:cs="Arial"/>
        </w:rPr>
        <w:t>o assess the spatiotemporal transformation of urban green spaces in Delhi from 1991 to 2021 using remote sensing, LULC change detection, and transition matrices.</w:t>
      </w:r>
      <w:r w:rsidR="00825675">
        <w:rPr>
          <w:rFonts w:ascii="Arial" w:hAnsi="Arial" w:cs="Arial"/>
        </w:rPr>
        <w:t xml:space="preserve"> (2) t</w:t>
      </w:r>
      <w:r w:rsidR="00825675" w:rsidRPr="00825675">
        <w:rPr>
          <w:rFonts w:ascii="Arial" w:hAnsi="Arial" w:cs="Arial"/>
        </w:rPr>
        <w:t>o evaluate the structural and ecological dynamics of green space classes through landscape and class-level metrics for guiding sustainable urban plannin</w:t>
      </w:r>
      <w:r w:rsidR="00825675" w:rsidRPr="00860C51">
        <w:rPr>
          <w:rFonts w:ascii="Arial" w:hAnsi="Arial" w:cs="Arial"/>
        </w:rPr>
        <w:t>g.</w:t>
      </w:r>
      <w:r w:rsidRPr="00860C51">
        <w:rPr>
          <w:rFonts w:ascii="Arial" w:hAnsi="Arial" w:cs="Arial"/>
        </w:rPr>
        <w:t xml:space="preserve"> Understanding these changes and their driving factors can contribute to sustainable urban development and the effective conservation of UGS in NCTD.</w:t>
      </w:r>
    </w:p>
    <w:p w14:paraId="36808BD0" w14:textId="1D97A1D4" w:rsidR="00C20F55" w:rsidRPr="00FB3A86" w:rsidRDefault="00C20F55" w:rsidP="00C20F55">
      <w:pPr>
        <w:ind w:firstLine="720"/>
        <w:jc w:val="both"/>
        <w:rPr>
          <w:rFonts w:ascii="Arial" w:hAnsi="Arial" w:cs="Arial"/>
        </w:rPr>
      </w:pPr>
    </w:p>
    <w:p w14:paraId="395C5039" w14:textId="35A31E48" w:rsidR="000447F0" w:rsidRDefault="000447F0" w:rsidP="000447F0">
      <w:pPr>
        <w:pStyle w:val="AbstHead"/>
        <w:spacing w:after="0"/>
        <w:jc w:val="both"/>
        <w:rPr>
          <w:rFonts w:ascii="Arial" w:hAnsi="Arial" w:cs="Arial"/>
        </w:rPr>
      </w:pPr>
      <w:r>
        <w:rPr>
          <w:rFonts w:ascii="Arial" w:hAnsi="Arial" w:cs="Arial"/>
        </w:rPr>
        <w:t xml:space="preserve">2. </w:t>
      </w:r>
      <w:r w:rsidR="0058256E">
        <w:rPr>
          <w:rFonts w:ascii="Arial" w:hAnsi="Arial" w:cs="Arial"/>
        </w:rPr>
        <w:t>material and methods</w:t>
      </w:r>
    </w:p>
    <w:p w14:paraId="393B6655" w14:textId="60353AA3" w:rsidR="00CA4132" w:rsidRDefault="00CA4132" w:rsidP="00A82AE9">
      <w:pPr>
        <w:jc w:val="both"/>
        <w:rPr>
          <w:rFonts w:ascii="Arial" w:hAnsi="Arial" w:cs="Arial"/>
        </w:rPr>
      </w:pPr>
    </w:p>
    <w:p w14:paraId="7EF45BBF" w14:textId="43C5C6C1" w:rsidR="0058256E" w:rsidRDefault="0058256E" w:rsidP="00A82AE9">
      <w:pPr>
        <w:jc w:val="both"/>
        <w:rPr>
          <w:rFonts w:ascii="Arial" w:hAnsi="Arial" w:cs="Arial"/>
          <w:b/>
          <w:caps/>
        </w:rPr>
      </w:pPr>
      <w:r w:rsidRPr="00C30A0F">
        <w:rPr>
          <w:rFonts w:ascii="Arial" w:hAnsi="Arial" w:cs="Arial"/>
          <w:b/>
          <w:caps/>
          <w:sz w:val="22"/>
        </w:rPr>
        <w:t xml:space="preserve">2.1 </w:t>
      </w:r>
      <w:r>
        <w:rPr>
          <w:rFonts w:ascii="Arial" w:hAnsi="Arial" w:cs="Arial"/>
          <w:b/>
          <w:sz w:val="22"/>
        </w:rPr>
        <w:t>Study area</w:t>
      </w:r>
    </w:p>
    <w:p w14:paraId="5BB1FDE2" w14:textId="246A0292" w:rsidR="0058256E" w:rsidRDefault="0058256E" w:rsidP="00A82AE9">
      <w:pPr>
        <w:jc w:val="both"/>
        <w:rPr>
          <w:rFonts w:ascii="Arial" w:hAnsi="Arial" w:cs="Arial"/>
        </w:rPr>
      </w:pPr>
    </w:p>
    <w:p w14:paraId="0825E26A" w14:textId="0DFD095C" w:rsidR="00C00E5D" w:rsidRDefault="00194275" w:rsidP="00A82AE9">
      <w:pPr>
        <w:jc w:val="both"/>
        <w:rPr>
          <w:rFonts w:ascii="Arial" w:hAnsi="Arial" w:cs="Arial"/>
        </w:rPr>
      </w:pPr>
      <w:r>
        <w:rPr>
          <w:rFonts w:ascii="Arial" w:hAnsi="Arial" w:cs="Arial"/>
        </w:rPr>
        <w:t xml:space="preserve">The study focuses on Delhi, an </w:t>
      </w:r>
      <w:r w:rsidR="00A82AE9" w:rsidRPr="00A82AE9">
        <w:rPr>
          <w:rFonts w:ascii="Arial" w:hAnsi="Arial" w:cs="Arial"/>
        </w:rPr>
        <w:t>India's administrative capital and one of the country's most populous metropolitan areas. Delhi is world's second most populous capital city</w:t>
      </w:r>
      <w:r>
        <w:rPr>
          <w:rFonts w:ascii="Arial" w:hAnsi="Arial" w:cs="Arial"/>
        </w:rPr>
        <w:t xml:space="preserve"> having </w:t>
      </w:r>
      <w:r w:rsidRPr="00194275">
        <w:rPr>
          <w:rFonts w:ascii="Arial" w:hAnsi="Arial" w:cs="Arial"/>
        </w:rPr>
        <w:t>density of 11,320 persons per km²</w:t>
      </w:r>
      <w:r w:rsidR="00A82AE9" w:rsidRPr="00A82AE9">
        <w:rPr>
          <w:rFonts w:ascii="Arial" w:hAnsi="Arial" w:cs="Arial"/>
        </w:rPr>
        <w:t xml:space="preserve"> and the world's largest in terms of total area</w:t>
      </w:r>
      <w:r>
        <w:rPr>
          <w:rFonts w:ascii="Arial" w:hAnsi="Arial" w:cs="Arial"/>
        </w:rPr>
        <w:t xml:space="preserve"> (1484 Km</w:t>
      </w:r>
      <w:r w:rsidRPr="00194275">
        <w:rPr>
          <w:rFonts w:ascii="Arial" w:hAnsi="Arial" w:cs="Arial"/>
          <w:vertAlign w:val="superscript"/>
        </w:rPr>
        <w:t>2</w:t>
      </w:r>
      <w:r>
        <w:rPr>
          <w:rFonts w:ascii="Arial" w:hAnsi="Arial" w:cs="Arial"/>
        </w:rPr>
        <w:t>)</w:t>
      </w:r>
      <w:r w:rsidR="00945583">
        <w:rPr>
          <w:rFonts w:ascii="Arial" w:hAnsi="Arial" w:cs="Arial"/>
        </w:rPr>
        <w:t xml:space="preserve"> </w:t>
      </w:r>
      <w:r w:rsidR="00945583" w:rsidRPr="00945583">
        <w:rPr>
          <w:rFonts w:ascii="Arial" w:hAnsi="Arial" w:cs="Arial"/>
          <w:b/>
          <w:bCs/>
        </w:rPr>
        <w:fldChar w:fldCharType="begin"/>
      </w:r>
      <w:r w:rsidR="00945583" w:rsidRPr="00945583">
        <w:rPr>
          <w:rFonts w:ascii="Arial" w:hAnsi="Arial" w:cs="Arial"/>
          <w:b/>
          <w:bCs/>
        </w:rPr>
        <w:instrText xml:space="preserve"> ADDIN ZOTERO_ITEM CSL_CITATION {"citationID":"NagzV52G","properties":{"formattedCitation":"(Census, 2011)","plainCitation":"(Census, 2011)","noteIndex":0},"citationItems":[{"id":683,"uris":["http://zotero.org/users/local/l98j9GEk/items/TH86L36U"],"itemData":{"id":683,"type":"document","abstract":"Office of the Registrar General &amp; Census Commissioner, I. (2011). Primary Census Abstract, 2011. Government of India.","publisher":"Government of India","title":"Census, 2011","URL":"https://censusindia.gov.in/census.website/data","author":[{"family":"Census","given":"India"}],"issued":{"date-parts":[["2011"]]}}}],"schema":"https://github.com/citation-style-language/schema/raw/master/csl-citation.json"} </w:instrText>
      </w:r>
      <w:r w:rsidR="00945583" w:rsidRPr="00945583">
        <w:rPr>
          <w:rFonts w:ascii="Arial" w:hAnsi="Arial" w:cs="Arial"/>
          <w:b/>
          <w:bCs/>
        </w:rPr>
        <w:fldChar w:fldCharType="separate"/>
      </w:r>
      <w:r w:rsidR="00945583" w:rsidRPr="00945583">
        <w:rPr>
          <w:rFonts w:ascii="Arial" w:hAnsi="Arial" w:cs="Arial"/>
          <w:b/>
          <w:bCs/>
        </w:rPr>
        <w:t>(Census, 2011)</w:t>
      </w:r>
      <w:r w:rsidR="00945583" w:rsidRPr="00945583">
        <w:rPr>
          <w:rFonts w:ascii="Arial" w:hAnsi="Arial" w:cs="Arial"/>
          <w:b/>
          <w:bCs/>
        </w:rPr>
        <w:fldChar w:fldCharType="end"/>
      </w:r>
      <w:r w:rsidR="00A82AE9" w:rsidRPr="00A82AE9">
        <w:rPr>
          <w:rFonts w:ascii="Arial" w:hAnsi="Arial" w:cs="Arial"/>
        </w:rPr>
        <w:t xml:space="preserve">. </w:t>
      </w:r>
      <w:r w:rsidR="00D35EF4">
        <w:rPr>
          <w:rFonts w:ascii="Arial" w:hAnsi="Arial" w:cs="Arial"/>
        </w:rPr>
        <w:t>NCTD is located</w:t>
      </w:r>
      <w:r w:rsidR="00D35EF4" w:rsidRPr="00D35EF4">
        <w:rPr>
          <w:rFonts w:ascii="Arial" w:hAnsi="Arial" w:cs="Arial"/>
        </w:rPr>
        <w:t xml:space="preserve"> </w:t>
      </w:r>
      <w:r w:rsidR="00D35EF4">
        <w:rPr>
          <w:rFonts w:ascii="Arial" w:hAnsi="Arial" w:cs="Arial"/>
        </w:rPr>
        <w:t>between latitudes</w:t>
      </w:r>
      <w:r w:rsidR="00D35EF4" w:rsidRPr="00D35EF4">
        <w:rPr>
          <w:rFonts w:ascii="Arial" w:hAnsi="Arial" w:cs="Arial"/>
        </w:rPr>
        <w:t xml:space="preserve"> 28.61°N and longitude 77.23°E</w:t>
      </w:r>
      <w:r w:rsidR="00D35EF4">
        <w:rPr>
          <w:rFonts w:ascii="Arial" w:hAnsi="Arial" w:cs="Arial"/>
        </w:rPr>
        <w:t xml:space="preserve"> in Northern part of India, bordering the states </w:t>
      </w:r>
      <w:r w:rsidR="00D35EF4" w:rsidRPr="00A82AE9">
        <w:rPr>
          <w:rFonts w:ascii="Arial" w:hAnsi="Arial" w:cs="Arial"/>
        </w:rPr>
        <w:t>Haryana is to the north, west, and south of Delhi, while Uttar Pradesh is to the east.</w:t>
      </w:r>
      <w:r w:rsidR="00C00E5D">
        <w:rPr>
          <w:rFonts w:ascii="Arial" w:hAnsi="Arial" w:cs="Arial"/>
        </w:rPr>
        <w:t xml:space="preserve"> </w:t>
      </w:r>
      <w:r w:rsidR="00717E75" w:rsidRPr="00717E75">
        <w:rPr>
          <w:rFonts w:ascii="Arial" w:hAnsi="Arial" w:cs="Arial"/>
        </w:rPr>
        <w:t>Administratively, the NCTD is divided into 11 districts</w:t>
      </w:r>
      <w:r w:rsidR="00717E75">
        <w:rPr>
          <w:rFonts w:ascii="Arial" w:hAnsi="Arial" w:cs="Arial"/>
        </w:rPr>
        <w:t xml:space="preserve"> and </w:t>
      </w:r>
      <w:r w:rsidR="00717E75" w:rsidRPr="00717E75">
        <w:rPr>
          <w:rFonts w:ascii="Arial" w:hAnsi="Arial" w:cs="Arial"/>
        </w:rPr>
        <w:t>thirty-three tehsils or sub-divisions</w:t>
      </w:r>
      <w:r w:rsidR="00717E75">
        <w:rPr>
          <w:rFonts w:ascii="Arial" w:hAnsi="Arial" w:cs="Arial"/>
        </w:rPr>
        <w:t xml:space="preserve">. </w:t>
      </w:r>
      <w:r w:rsidR="00134118" w:rsidRPr="00134118">
        <w:rPr>
          <w:rFonts w:ascii="Arial" w:hAnsi="Arial" w:cs="Arial"/>
        </w:rPr>
        <w:t>Delhi is located in plains with its elevation ranging from 213 to 290 m and the highest point in study area is the Delhi Ridge, a remnant of the Aravalli ranges, which boasts rich biodiversity and lush green vegetation that shields the city from the hot winds blowing in from the deserts of Rajasthan to the west</w:t>
      </w:r>
      <w:r w:rsidR="00134118">
        <w:rPr>
          <w:rFonts w:ascii="Arial" w:hAnsi="Arial" w:cs="Arial"/>
        </w:rPr>
        <w:t>.</w:t>
      </w:r>
      <w:r w:rsidR="00CE5E54" w:rsidRPr="00C00E5D">
        <w:rPr>
          <w:rFonts w:ascii="Arial" w:hAnsi="Arial" w:cs="Arial"/>
        </w:rPr>
        <w:t xml:space="preserve"> </w:t>
      </w:r>
      <w:r w:rsidR="00C00E5D" w:rsidRPr="00C00E5D">
        <w:rPr>
          <w:rFonts w:ascii="Arial" w:hAnsi="Arial" w:cs="Arial"/>
        </w:rPr>
        <w:t>The region is characterized by a subtropical semi-arid climate, with</w:t>
      </w:r>
      <w:r w:rsidR="00C00E5D">
        <w:rPr>
          <w:rFonts w:ascii="Arial" w:hAnsi="Arial" w:cs="Arial"/>
        </w:rPr>
        <w:t xml:space="preserve"> mainly three seasons</w:t>
      </w:r>
      <w:r w:rsidR="00C00E5D" w:rsidRPr="00C00E5D">
        <w:rPr>
          <w:rFonts w:ascii="Arial" w:hAnsi="Arial" w:cs="Arial"/>
        </w:rPr>
        <w:t xml:space="preserve"> hot summers</w:t>
      </w:r>
      <w:r w:rsidR="00C00E5D">
        <w:rPr>
          <w:rFonts w:ascii="Arial" w:hAnsi="Arial" w:cs="Arial"/>
        </w:rPr>
        <w:t xml:space="preserve"> (</w:t>
      </w:r>
      <w:r w:rsidR="00031E65">
        <w:rPr>
          <w:rFonts w:ascii="Arial" w:hAnsi="Arial" w:cs="Arial"/>
        </w:rPr>
        <w:t>March-June</w:t>
      </w:r>
      <w:r w:rsidR="00C00E5D">
        <w:rPr>
          <w:rFonts w:ascii="Arial" w:hAnsi="Arial" w:cs="Arial"/>
        </w:rPr>
        <w:t>)</w:t>
      </w:r>
      <w:r w:rsidR="00C00E5D" w:rsidRPr="00C00E5D">
        <w:rPr>
          <w:rFonts w:ascii="Arial" w:hAnsi="Arial" w:cs="Arial"/>
        </w:rPr>
        <w:t>, monsoonal rains</w:t>
      </w:r>
      <w:r w:rsidR="00031E65">
        <w:rPr>
          <w:rFonts w:ascii="Arial" w:hAnsi="Arial" w:cs="Arial"/>
        </w:rPr>
        <w:t xml:space="preserve"> (July-Sept)</w:t>
      </w:r>
      <w:r w:rsidR="00C00E5D" w:rsidRPr="00C00E5D">
        <w:rPr>
          <w:rFonts w:ascii="Arial" w:hAnsi="Arial" w:cs="Arial"/>
        </w:rPr>
        <w:t>, and cool winters</w:t>
      </w:r>
      <w:r w:rsidR="00031E65">
        <w:rPr>
          <w:rFonts w:ascii="Arial" w:hAnsi="Arial" w:cs="Arial"/>
        </w:rPr>
        <w:t xml:space="preserve"> (Nov-Feb)</w:t>
      </w:r>
      <w:r w:rsidR="00945583">
        <w:rPr>
          <w:rFonts w:ascii="Arial" w:hAnsi="Arial" w:cs="Arial"/>
        </w:rPr>
        <w:t xml:space="preserve"> </w:t>
      </w:r>
      <w:r w:rsidR="00945583" w:rsidRPr="00945583">
        <w:rPr>
          <w:rFonts w:ascii="Arial" w:hAnsi="Arial" w:cs="Arial"/>
          <w:b/>
          <w:bCs/>
        </w:rPr>
        <w:fldChar w:fldCharType="begin"/>
      </w:r>
      <w:r w:rsidR="00945583" w:rsidRPr="00945583">
        <w:rPr>
          <w:rFonts w:ascii="Arial" w:hAnsi="Arial" w:cs="Arial"/>
          <w:b/>
          <w:bCs/>
        </w:rPr>
        <w:instrText xml:space="preserve"> ADDIN ZOTERO_ITEM CSL_CITATION {"citationID":"y0NLp6lk","properties":{"formattedCitation":"(Chaudhuri &amp; Sharma, 2020)","plainCitation":"(Chaudhuri &amp; Sharma, 2020)","noteIndex":0},"citationItems":[{"id":1349,"uris":["http://zotero.org/users/local/l98j9GEk/items/FL5J5FQ8"],"itemData":{"id":1349,"type":"article-journal","abstract":"Classical approaches are used to develop rainfall intensity duration frequency curves for the estimation of design rainfall intensities corresponding to various return periods. The study modelled extreme rainfall intensities at different durations and compared the classical Gumbel and generalized extreme value (GEV) distributions in semi-arid urban region. The model and parameter uncertainties are translated to uncertainties in design storm estimates. A broader insight emerges that rainfall extremes in 1 h and 3 h are sensitive to the choice of frequency analysis (GEV in this case) and helps address anticipated intensification of extreme events for short duration at urban local scale. In comparison with Gumbel, GEV predicts higher extreme rainfall intensity corresponding to various return periods and duration (for 1-h duration the increase in extreme rainfall intensity is from 27 to 33% for return periods 10 years and higher, 3-h and 50-year return period—20%, 3-h and 100-year return period—20.6%, 24 h at similar return periods—10%). The Bayesian posterior distribution has a calibration effect on the GEV predictions and reduces the upper range of uncertainty in the GEV probability model prediction from a range of 16–31% to 10–28.4% for return period varying from 10 to 50 year for 1-h storms. In geographically similar areas these extreme intensities may be used to prepare for the rising flash flood risks.","container-title":"Natural Hazards","DOI":"10.1007/s11069-020-04273-5","ISSN":"1573-0840","issue":"3","journalAbbreviation":"Nat Hazards","language":"en","page":"2307-2324","source":"Springer Link","title":"Addressing uncertainty in extreme rainfall intensity for semi-arid urban regions: case study of Delhi, India","title-short":"Addressing uncertainty in extreme rainfall intensity for semi-arid urban regions","volume":"104","author":[{"family":"Chaudhuri","given":"Ranjana Ray"},{"family":"Sharma","given":"Prateek"}],"issued":{"date-parts":[["2020",12,1]]}}}],"schema":"https://github.com/citation-style-language/schema/raw/master/csl-citation.json"} </w:instrText>
      </w:r>
      <w:r w:rsidR="00945583" w:rsidRPr="00945583">
        <w:rPr>
          <w:rFonts w:ascii="Arial" w:hAnsi="Arial" w:cs="Arial"/>
          <w:b/>
          <w:bCs/>
        </w:rPr>
        <w:fldChar w:fldCharType="separate"/>
      </w:r>
      <w:r w:rsidR="00945583" w:rsidRPr="00945583">
        <w:rPr>
          <w:rFonts w:ascii="Arial" w:hAnsi="Arial" w:cs="Arial"/>
          <w:b/>
          <w:bCs/>
        </w:rPr>
        <w:t>(Chaudhuri &amp; Sharma, 2020)</w:t>
      </w:r>
      <w:r w:rsidR="00945583" w:rsidRPr="00945583">
        <w:rPr>
          <w:rFonts w:ascii="Arial" w:hAnsi="Arial" w:cs="Arial"/>
          <w:b/>
          <w:bCs/>
        </w:rPr>
        <w:fldChar w:fldCharType="end"/>
      </w:r>
      <w:r w:rsidR="00031E65">
        <w:rPr>
          <w:rFonts w:ascii="Arial" w:hAnsi="Arial" w:cs="Arial"/>
        </w:rPr>
        <w:t>.</w:t>
      </w:r>
      <w:r w:rsidR="00C00E5D">
        <w:rPr>
          <w:rFonts w:ascii="Arial" w:hAnsi="Arial" w:cs="Arial"/>
        </w:rPr>
        <w:t xml:space="preserve"> </w:t>
      </w:r>
      <w:r w:rsidR="00031E65" w:rsidRPr="00031E65">
        <w:rPr>
          <w:rFonts w:ascii="Arial" w:hAnsi="Arial" w:cs="Arial"/>
        </w:rPr>
        <w:t>Delhi exhibits extreme seasonal variations in temperature</w:t>
      </w:r>
      <w:r w:rsidR="00031E65">
        <w:rPr>
          <w:rFonts w:ascii="Arial" w:hAnsi="Arial" w:cs="Arial"/>
        </w:rPr>
        <w:t xml:space="preserve"> </w:t>
      </w:r>
      <w:r w:rsidR="00C00E5D">
        <w:rPr>
          <w:rFonts w:ascii="Arial" w:hAnsi="Arial" w:cs="Arial"/>
        </w:rPr>
        <w:t xml:space="preserve">typically ranging from </w:t>
      </w:r>
      <w:r w:rsidR="00C00E5D" w:rsidRPr="00C00E5D">
        <w:rPr>
          <w:rFonts w:ascii="Arial" w:hAnsi="Arial" w:cs="Arial"/>
        </w:rPr>
        <w:t>2°C in winter to over 48°C in summer</w:t>
      </w:r>
      <w:r w:rsidR="00447D0A">
        <w:rPr>
          <w:rFonts w:ascii="Arial" w:hAnsi="Arial" w:cs="Arial"/>
        </w:rPr>
        <w:t xml:space="preserve"> </w:t>
      </w:r>
      <w:r w:rsidR="00447D0A" w:rsidRPr="00447D0A">
        <w:rPr>
          <w:rFonts w:ascii="Arial" w:hAnsi="Arial" w:cs="Arial"/>
          <w:b/>
          <w:bCs/>
        </w:rPr>
        <w:fldChar w:fldCharType="begin"/>
      </w:r>
      <w:r w:rsidR="00447D0A" w:rsidRPr="00447D0A">
        <w:rPr>
          <w:rFonts w:ascii="Arial" w:hAnsi="Arial" w:cs="Arial"/>
          <w:b/>
          <w:bCs/>
        </w:rPr>
        <w:instrText xml:space="preserve"> ADDIN ZOTERO_ITEM CSL_CITATION {"citationID":"Dp1H0tf5","properties":{"formattedCitation":"(Roy, 2019)","plainCitation":"(Roy, 2019)","noteIndex":0},"citationItems":[{"id":1352,"uris":["http://zotero.org/users/local/l98j9GEk/items/2V5UBMQS"],"itemData":{"id":1352,"type":"article-journal","abstract":"Station level daily maximum and minimum temperature data spread across India were analyzed for trends in seasonal extreme temperature indices. The trends were calculated for the recent period of 1980–2010, when some of the warmest temperatures were recorded at the global scale. The results of the analysis revealed substantial variations in the spatial patterns of the trends. The majority of the study area experienced declining trends in diurnal temperature range during all seasons. However, substantial variations were observed for the different extreme temperature indices. During the first half of the year, which constitutes the drier summer and winter months, a declining trend in extreme maximum and minimum temperature indices were observed over most of peninsular India and the reverse in northern India. The spatial patterns were in general similar for the first half of the year, winter and summer, which constitute the drier months. The spatial patterns can be attributed to both local and regional level processes, such as aerosol levels and land use land cover changes.","container-title":"Weather and Climate Extremes","DOI":"10.1016/j.wace.2019.100203","ISSN":"2212-0947","journalAbbreviation":"Weather and Climate Extremes","page":"100203","source":"ScienceDirect","title":"Spatial patterns of trends in seasonal extreme temperatures in India during 1980–2010","volume":"24","author":[{"family":"Roy","given":"Shouraseni Sen"}],"issued":{"date-parts":[["2019",6,1]]}}}],"schema":"https://github.com/citation-style-language/schema/raw/master/csl-citation.json"} </w:instrText>
      </w:r>
      <w:r w:rsidR="00447D0A" w:rsidRPr="00447D0A">
        <w:rPr>
          <w:rFonts w:ascii="Arial" w:hAnsi="Arial" w:cs="Arial"/>
          <w:b/>
          <w:bCs/>
        </w:rPr>
        <w:fldChar w:fldCharType="separate"/>
      </w:r>
      <w:r w:rsidR="00447D0A" w:rsidRPr="00447D0A">
        <w:rPr>
          <w:rFonts w:ascii="Arial" w:hAnsi="Arial" w:cs="Arial"/>
          <w:b/>
          <w:bCs/>
        </w:rPr>
        <w:t>(Roy, 2019)</w:t>
      </w:r>
      <w:r w:rsidR="00447D0A" w:rsidRPr="00447D0A">
        <w:rPr>
          <w:rFonts w:ascii="Arial" w:hAnsi="Arial" w:cs="Arial"/>
          <w:b/>
          <w:bCs/>
        </w:rPr>
        <w:fldChar w:fldCharType="end"/>
      </w:r>
      <w:r w:rsidR="00031E65">
        <w:rPr>
          <w:rFonts w:ascii="Arial" w:hAnsi="Arial" w:cs="Arial"/>
        </w:rPr>
        <w:t>.</w:t>
      </w:r>
      <w:r w:rsidR="000A761D" w:rsidRPr="000A761D">
        <w:t xml:space="preserve"> </w:t>
      </w:r>
      <w:r w:rsidR="000A761D" w:rsidRPr="000A761D">
        <w:rPr>
          <w:rFonts w:ascii="Arial" w:hAnsi="Arial" w:cs="Arial"/>
        </w:rPr>
        <w:t>The monsoon season brings moderate to heavy rainfall, averaging 700–800 mm annually, with approximately 80% of precipitation occurring between July and September</w:t>
      </w:r>
      <w:r w:rsidR="00671218">
        <w:rPr>
          <w:rFonts w:ascii="Arial" w:hAnsi="Arial" w:cs="Arial"/>
        </w:rPr>
        <w:t xml:space="preserve"> </w:t>
      </w:r>
      <w:r w:rsidR="00671218" w:rsidRPr="00671218">
        <w:rPr>
          <w:rFonts w:ascii="Arial" w:hAnsi="Arial" w:cs="Arial"/>
          <w:b/>
          <w:bCs/>
        </w:rPr>
        <w:fldChar w:fldCharType="begin"/>
      </w:r>
      <w:r w:rsidR="00671218" w:rsidRPr="00671218">
        <w:rPr>
          <w:rFonts w:ascii="Arial" w:hAnsi="Arial" w:cs="Arial"/>
          <w:b/>
          <w:bCs/>
        </w:rPr>
        <w:instrText xml:space="preserve"> ADDIN ZOTERO_ITEM CSL_CITATION {"citationID":"SuGtT6oU","properties":{"formattedCitation":"(Chalakkal &amp; Mohan, 2022)","plainCitation":"(Chalakkal &amp; Mohan, 2022)","noteIndex":0},"citationItems":[{"id":1354,"uris":["http://zotero.org/users/local/l98j9GEk/items/Q4AAFQIU"],"itemData":{"id":1354,"type":"article-journal","abstract":"The Indian Summer Monsoon (ISM) plays a vital role in the lives of the National Capital Region (NCR) - Delhi, the second biggest urban settlement globally. This study attempt to assess the spatio-temporal characters and decadal changes of monsoonal features in detail. The climatology of Monsoonal rainfall and Monsoon Low Level Jet (MLLJ) are investigated. NCR Delhi exhibits a </w:instrText>
      </w:r>
      <w:r w:rsidR="00671218" w:rsidRPr="00671218">
        <w:rPr>
          <w:rFonts w:ascii="Cambria Math" w:hAnsi="Cambria Math" w:cs="Cambria Math"/>
          <w:b/>
          <w:bCs/>
        </w:rPr>
        <w:instrText>∼</w:instrText>
      </w:r>
      <w:r w:rsidR="00671218" w:rsidRPr="00671218">
        <w:rPr>
          <w:rFonts w:ascii="Arial" w:hAnsi="Arial" w:cs="Arial"/>
          <w:b/>
          <w:bCs/>
        </w:rPr>
        <w:instrText> 28.5% in the recent decade and </w:instrText>
      </w:r>
      <w:r w:rsidR="00671218" w:rsidRPr="00671218">
        <w:rPr>
          <w:rFonts w:ascii="Cambria Math" w:hAnsi="Cambria Math" w:cs="Cambria Math"/>
          <w:b/>
          <w:bCs/>
        </w:rPr>
        <w:instrText>∼</w:instrText>
      </w:r>
      <w:r w:rsidR="00671218" w:rsidRPr="00671218">
        <w:rPr>
          <w:rFonts w:ascii="Arial" w:hAnsi="Arial" w:cs="Arial"/>
          <w:b/>
          <w:bCs/>
        </w:rPr>
        <w:instrText xml:space="preserve"> 19.7% in the 1997–06 decade reduction in rainfall is noticed compared with 1987–96 decade. The study reveals that the precipitation reduction is alongside the weakening of the MLLJ and marginal reduction of core height over the region. Also, the magnitude of surface wind declined with the directional shift of both MLLJ and surface winds notable in southerlies in the 2007–16 decade. Rainfall islands parallel to the urban heat islands (UHI) are seen likely as coupled monsoon-urban induced effects under the weakened synoptic regime evidenced through MLLJ. The Land Surface Temperature difference (UHI) of </w:instrText>
      </w:r>
      <w:r w:rsidR="00671218" w:rsidRPr="00671218">
        <w:rPr>
          <w:rFonts w:ascii="Cambria Math" w:hAnsi="Cambria Math" w:cs="Cambria Math"/>
          <w:b/>
          <w:bCs/>
        </w:rPr>
        <w:instrText>∼</w:instrText>
      </w:r>
      <w:r w:rsidR="00671218" w:rsidRPr="00671218">
        <w:rPr>
          <w:rFonts w:ascii="Arial" w:hAnsi="Arial" w:cs="Arial"/>
          <w:b/>
          <w:bCs/>
        </w:rPr>
        <w:instrText xml:space="preserve"> 2.5 °C and more than 3.5 °C is observed from the urban centre to the surrounding cropland during the months of August (core monsoon) and September, respectively. In addition to the rainfall islands during August, islands of rainfall in both the upwind and downwind directions of the urban centre are noted in September. The rainfall patterns point out the signal of monsoon-rainfall modification due to NCR urbanization. Further, the influence of crosswinds with Aravali ridges and the presence of Himalayan foothills are also notable in the NCR rainfall patterns.","container-title":"Urban Climate","DOI":"10.1016/j.uclim.2022.101289","ISSN":"2212-0955","journalAbbreviation":"Urban Climate","page":"101289","source":"ScienceDirect","title":"Is the Monsoon climatology observed over the National Capital Region, Delhi indicative of an Urban -Monsoon linkage on rainfall modification?","volume":"46","author":[{"family":"Chalakkal","given":"Jerin Benny"},{"family":"Mohan","given":"Manju"}],"issued":{"date-parts":[["2022",12,1]]}}}],"schema":"https://github.com/citation-style-language/schema/raw/master/csl-citation.json"} </w:instrText>
      </w:r>
      <w:r w:rsidR="00671218" w:rsidRPr="00671218">
        <w:rPr>
          <w:rFonts w:ascii="Arial" w:hAnsi="Arial" w:cs="Arial"/>
          <w:b/>
          <w:bCs/>
        </w:rPr>
        <w:fldChar w:fldCharType="separate"/>
      </w:r>
      <w:r w:rsidR="00671218" w:rsidRPr="00671218">
        <w:rPr>
          <w:rFonts w:ascii="Arial" w:hAnsi="Arial" w:cs="Arial"/>
          <w:b/>
          <w:bCs/>
        </w:rPr>
        <w:t>(Chalakkal &amp; Mohan, 2022)</w:t>
      </w:r>
      <w:r w:rsidR="00671218" w:rsidRPr="00671218">
        <w:rPr>
          <w:rFonts w:ascii="Arial" w:hAnsi="Arial" w:cs="Arial"/>
          <w:b/>
          <w:bCs/>
        </w:rPr>
        <w:fldChar w:fldCharType="end"/>
      </w:r>
      <w:r w:rsidR="000A761D" w:rsidRPr="000A761D">
        <w:rPr>
          <w:rFonts w:ascii="Arial" w:hAnsi="Arial" w:cs="Arial"/>
        </w:rPr>
        <w:t>.</w:t>
      </w:r>
      <w:r w:rsidR="000A761D">
        <w:rPr>
          <w:rFonts w:ascii="Arial" w:hAnsi="Arial" w:cs="Arial"/>
        </w:rPr>
        <w:t xml:space="preserve"> For this research, NCTD has been </w:t>
      </w:r>
      <w:r w:rsidR="00056F8A">
        <w:rPr>
          <w:rFonts w:ascii="Arial" w:hAnsi="Arial" w:cs="Arial"/>
        </w:rPr>
        <w:t>selected</w:t>
      </w:r>
      <w:r w:rsidR="000A761D">
        <w:rPr>
          <w:rFonts w:ascii="Arial" w:hAnsi="Arial" w:cs="Arial"/>
        </w:rPr>
        <w:t xml:space="preserve"> as </w:t>
      </w:r>
      <w:r w:rsidR="00C72C38">
        <w:rPr>
          <w:rFonts w:ascii="Arial" w:hAnsi="Arial" w:cs="Arial"/>
        </w:rPr>
        <w:t>a</w:t>
      </w:r>
      <w:r w:rsidR="000A761D">
        <w:rPr>
          <w:rFonts w:ascii="Arial" w:hAnsi="Arial" w:cs="Arial"/>
        </w:rPr>
        <w:t xml:space="preserve"> </w:t>
      </w:r>
      <w:r w:rsidR="00C72C38">
        <w:rPr>
          <w:rFonts w:ascii="Arial" w:hAnsi="Arial" w:cs="Arial"/>
        </w:rPr>
        <w:t>study area</w:t>
      </w:r>
      <w:r w:rsidR="000A761D">
        <w:rPr>
          <w:rFonts w:ascii="Arial" w:hAnsi="Arial" w:cs="Arial"/>
        </w:rPr>
        <w:t xml:space="preserve"> because of its unprecedent growth of rapid urbanization, expansion of </w:t>
      </w:r>
      <w:r w:rsidR="00056F8A">
        <w:rPr>
          <w:rFonts w:ascii="Arial" w:hAnsi="Arial" w:cs="Arial"/>
        </w:rPr>
        <w:t>huge</w:t>
      </w:r>
      <w:r w:rsidR="000A761D">
        <w:rPr>
          <w:rFonts w:ascii="Arial" w:hAnsi="Arial" w:cs="Arial"/>
        </w:rPr>
        <w:t xml:space="preserve"> </w:t>
      </w:r>
      <w:r w:rsidR="000A761D">
        <w:rPr>
          <w:rFonts w:ascii="Arial" w:hAnsi="Arial" w:cs="Arial"/>
        </w:rPr>
        <w:lastRenderedPageBreak/>
        <w:t xml:space="preserve">population, and </w:t>
      </w:r>
      <w:r w:rsidR="00662F4A" w:rsidRPr="00662F4A">
        <w:rPr>
          <w:rFonts w:ascii="Arial" w:hAnsi="Arial" w:cs="Arial"/>
        </w:rPr>
        <w:t>encroachment of green areas for new development since the last few decades</w:t>
      </w:r>
      <w:r w:rsidR="00662F4A">
        <w:rPr>
          <w:rFonts w:ascii="Arial" w:hAnsi="Arial" w:cs="Arial"/>
        </w:rPr>
        <w:t>. NCTD</w:t>
      </w:r>
      <w:r w:rsidR="00662F4A" w:rsidRPr="00662F4A">
        <w:rPr>
          <w:rFonts w:ascii="Arial" w:hAnsi="Arial" w:cs="Arial"/>
        </w:rPr>
        <w:t xml:space="preserve"> is an important location for </w:t>
      </w:r>
      <w:r w:rsidR="00F0604C" w:rsidRPr="00F0604C">
        <w:rPr>
          <w:rFonts w:ascii="Arial" w:hAnsi="Arial" w:cs="Arial"/>
        </w:rPr>
        <w:t xml:space="preserve">studying the dynamics </w:t>
      </w:r>
      <w:r w:rsidR="00F0604C">
        <w:rPr>
          <w:rFonts w:ascii="Arial" w:hAnsi="Arial" w:cs="Arial"/>
        </w:rPr>
        <w:t xml:space="preserve">of </w:t>
      </w:r>
      <w:r w:rsidR="00662F4A" w:rsidRPr="00662F4A">
        <w:rPr>
          <w:rFonts w:ascii="Arial" w:hAnsi="Arial" w:cs="Arial"/>
        </w:rPr>
        <w:t xml:space="preserve">LULC. In addition, the environmental </w:t>
      </w:r>
      <w:r w:rsidR="00CE2756" w:rsidRPr="00662F4A">
        <w:rPr>
          <w:rFonts w:ascii="Arial" w:hAnsi="Arial" w:cs="Arial"/>
        </w:rPr>
        <w:t>susceptibility</w:t>
      </w:r>
      <w:r w:rsidR="00662F4A" w:rsidRPr="00662F4A">
        <w:rPr>
          <w:rFonts w:ascii="Arial" w:hAnsi="Arial" w:cs="Arial"/>
        </w:rPr>
        <w:t xml:space="preserve"> of </w:t>
      </w:r>
      <w:r w:rsidR="00056F8A">
        <w:rPr>
          <w:rFonts w:ascii="Arial" w:hAnsi="Arial" w:cs="Arial"/>
        </w:rPr>
        <w:t>NCTD</w:t>
      </w:r>
      <w:r w:rsidR="00662F4A" w:rsidRPr="00662F4A">
        <w:rPr>
          <w:rFonts w:ascii="Arial" w:hAnsi="Arial" w:cs="Arial"/>
        </w:rPr>
        <w:t xml:space="preserve">, which is </w:t>
      </w:r>
      <w:r w:rsidR="00056F8A" w:rsidRPr="00662F4A">
        <w:rPr>
          <w:rFonts w:ascii="Arial" w:hAnsi="Arial" w:cs="Arial"/>
        </w:rPr>
        <w:t>categorized</w:t>
      </w:r>
      <w:r w:rsidR="00662F4A" w:rsidRPr="00662F4A">
        <w:rPr>
          <w:rFonts w:ascii="Arial" w:hAnsi="Arial" w:cs="Arial"/>
        </w:rPr>
        <w:t xml:space="preserve"> by a </w:t>
      </w:r>
      <w:r w:rsidR="00CE2756" w:rsidRPr="00662F4A">
        <w:rPr>
          <w:rFonts w:ascii="Arial" w:hAnsi="Arial" w:cs="Arial"/>
        </w:rPr>
        <w:t>reduction</w:t>
      </w:r>
      <w:r w:rsidR="00662F4A" w:rsidRPr="00662F4A">
        <w:rPr>
          <w:rFonts w:ascii="Arial" w:hAnsi="Arial" w:cs="Arial"/>
        </w:rPr>
        <w:t xml:space="preserve"> in vegetation and </w:t>
      </w:r>
      <w:r w:rsidR="00056F8A" w:rsidRPr="00662F4A">
        <w:rPr>
          <w:rFonts w:ascii="Arial" w:hAnsi="Arial" w:cs="Arial"/>
        </w:rPr>
        <w:t>growth</w:t>
      </w:r>
      <w:r w:rsidR="00662F4A" w:rsidRPr="00662F4A">
        <w:rPr>
          <w:rFonts w:ascii="Arial" w:hAnsi="Arial" w:cs="Arial"/>
        </w:rPr>
        <w:t xml:space="preserve"> in </w:t>
      </w:r>
      <w:r w:rsidR="00662F4A">
        <w:rPr>
          <w:rFonts w:ascii="Arial" w:hAnsi="Arial" w:cs="Arial"/>
        </w:rPr>
        <w:t>built-up</w:t>
      </w:r>
      <w:r w:rsidR="00662F4A" w:rsidRPr="00662F4A">
        <w:rPr>
          <w:rFonts w:ascii="Arial" w:hAnsi="Arial" w:cs="Arial"/>
        </w:rPr>
        <w:t xml:space="preserve"> land, highlights the </w:t>
      </w:r>
      <w:r w:rsidR="00CE2756" w:rsidRPr="00662F4A">
        <w:rPr>
          <w:rFonts w:ascii="Arial" w:hAnsi="Arial" w:cs="Arial"/>
        </w:rPr>
        <w:t>requirement</w:t>
      </w:r>
      <w:r w:rsidR="00662F4A" w:rsidRPr="00662F4A">
        <w:rPr>
          <w:rFonts w:ascii="Arial" w:hAnsi="Arial" w:cs="Arial"/>
        </w:rPr>
        <w:t xml:space="preserve"> of sustainable urban planning to reduce the </w:t>
      </w:r>
      <w:r w:rsidR="00CE2756" w:rsidRPr="00662F4A">
        <w:rPr>
          <w:rFonts w:ascii="Arial" w:hAnsi="Arial" w:cs="Arial"/>
        </w:rPr>
        <w:t>undesirable</w:t>
      </w:r>
      <w:r w:rsidR="00662F4A" w:rsidRPr="00662F4A">
        <w:rPr>
          <w:rFonts w:ascii="Arial" w:hAnsi="Arial" w:cs="Arial"/>
        </w:rPr>
        <w:t xml:space="preserve"> effects on natural world.</w:t>
      </w:r>
      <w:r w:rsidR="00662F4A">
        <w:rPr>
          <w:rFonts w:ascii="Arial" w:hAnsi="Arial" w:cs="Arial"/>
        </w:rPr>
        <w:t xml:space="preserve"> </w:t>
      </w:r>
    </w:p>
    <w:p w14:paraId="10E896D0" w14:textId="3C41EA4E" w:rsidR="0051028F" w:rsidRDefault="006F7A54" w:rsidP="00A86A00">
      <w:pPr>
        <w:pStyle w:val="AbstHead"/>
        <w:spacing w:before="240" w:after="0"/>
        <w:jc w:val="both"/>
        <w:rPr>
          <w:rFonts w:ascii="Arial" w:hAnsi="Arial" w:cs="Arial"/>
          <w:bCs/>
          <w:caps w:val="0"/>
          <w:sz w:val="20"/>
          <w:szCs w:val="22"/>
        </w:rPr>
      </w:pPr>
      <w:r>
        <w:rPr>
          <w:rFonts w:ascii="Arial" w:hAnsi="Arial" w:cs="Arial"/>
          <w:bCs/>
          <w:caps w:val="0"/>
          <w:noProof/>
          <w:sz w:val="20"/>
          <w:szCs w:val="22"/>
        </w:rPr>
        <w:drawing>
          <wp:inline distT="0" distB="0" distL="0" distR="0" wp14:anchorId="47C6838F" wp14:editId="75B21B00">
            <wp:extent cx="5212080" cy="37909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3790950"/>
                    </a:xfrm>
                    <a:prstGeom prst="rect">
                      <a:avLst/>
                    </a:prstGeom>
                  </pic:spPr>
                </pic:pic>
              </a:graphicData>
            </a:graphic>
          </wp:inline>
        </w:drawing>
      </w:r>
    </w:p>
    <w:p w14:paraId="14B1FDA8" w14:textId="2DFC662F" w:rsidR="00134118" w:rsidRDefault="00134118" w:rsidP="00A86A00">
      <w:pPr>
        <w:pStyle w:val="AbstHead"/>
        <w:spacing w:before="240" w:after="0"/>
        <w:jc w:val="both"/>
        <w:rPr>
          <w:rFonts w:ascii="Arial" w:hAnsi="Arial" w:cs="Arial"/>
          <w:bCs/>
          <w:caps w:val="0"/>
          <w:sz w:val="20"/>
          <w:szCs w:val="22"/>
        </w:rPr>
      </w:pPr>
      <w:r w:rsidRPr="004E1EB2">
        <w:rPr>
          <w:rFonts w:ascii="Arial" w:hAnsi="Arial" w:cs="Arial"/>
          <w:bCs/>
          <w:caps w:val="0"/>
          <w:sz w:val="20"/>
          <w:szCs w:val="22"/>
          <w:highlight w:val="yellow"/>
        </w:rPr>
        <w:t>Fig. 1. Study area map</w:t>
      </w:r>
      <w:r>
        <w:rPr>
          <w:rFonts w:ascii="Arial" w:hAnsi="Arial" w:cs="Arial"/>
          <w:bCs/>
          <w:caps w:val="0"/>
          <w:sz w:val="20"/>
          <w:szCs w:val="22"/>
        </w:rPr>
        <w:t>.</w:t>
      </w:r>
      <w:r w:rsidRPr="00390352">
        <w:rPr>
          <w:rFonts w:ascii="Arial" w:hAnsi="Arial" w:cs="Arial"/>
          <w:bCs/>
          <w:caps w:val="0"/>
          <w:sz w:val="20"/>
          <w:szCs w:val="22"/>
        </w:rPr>
        <w:t xml:space="preserve"> </w:t>
      </w:r>
    </w:p>
    <w:p w14:paraId="34F4ED1E" w14:textId="7A81EBD6" w:rsidR="00C00E5D" w:rsidRDefault="00C00E5D" w:rsidP="00A82AE9">
      <w:pPr>
        <w:jc w:val="both"/>
        <w:rPr>
          <w:rFonts w:ascii="Arial" w:hAnsi="Arial" w:cs="Arial"/>
        </w:rPr>
      </w:pPr>
    </w:p>
    <w:p w14:paraId="55DDCE04" w14:textId="313FA3CC" w:rsidR="0058256E" w:rsidRDefault="0058256E" w:rsidP="0058256E">
      <w:pPr>
        <w:jc w:val="both"/>
        <w:rPr>
          <w:rFonts w:ascii="Arial" w:hAnsi="Arial" w:cs="Arial"/>
          <w:b/>
          <w:caps/>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1437B0">
        <w:rPr>
          <w:rFonts w:ascii="Arial" w:hAnsi="Arial" w:cs="Arial"/>
          <w:b/>
          <w:sz w:val="22"/>
        </w:rPr>
        <w:t>Data Sources</w:t>
      </w:r>
    </w:p>
    <w:p w14:paraId="347FEDAF" w14:textId="6ED3FC95" w:rsidR="001A061B" w:rsidRDefault="00FD6EA1" w:rsidP="000E6C1D">
      <w:pPr>
        <w:spacing w:before="240"/>
        <w:jc w:val="both"/>
        <w:rPr>
          <w:rFonts w:ascii="Arial" w:hAnsi="Arial" w:cs="Arial"/>
        </w:rPr>
      </w:pPr>
      <w:r w:rsidRPr="00FD6EA1">
        <w:rPr>
          <w:rFonts w:ascii="Arial" w:hAnsi="Arial" w:cs="Arial"/>
        </w:rPr>
        <w:t>This study employed a systematic, multi-step approach to analyze the changes in urban green spaces in NCTD over the past three decades (1991–2021)</w:t>
      </w:r>
      <w:r w:rsidR="00F75D97">
        <w:rPr>
          <w:rFonts w:ascii="Arial" w:hAnsi="Arial" w:cs="Arial"/>
        </w:rPr>
        <w:t xml:space="preserve">. </w:t>
      </w:r>
      <w:r w:rsidR="00807897" w:rsidRPr="00807897">
        <w:rPr>
          <w:rFonts w:ascii="Arial" w:hAnsi="Arial" w:cs="Arial"/>
        </w:rPr>
        <w:t xml:space="preserve">This research utilized satellite data, Google Earth images, government published reports. The LULC change maps were created with the help of Landsat satellites </w:t>
      </w:r>
      <w:r w:rsidR="004809CC">
        <w:rPr>
          <w:rFonts w:ascii="Arial" w:hAnsi="Arial" w:cs="Arial"/>
        </w:rPr>
        <w:t xml:space="preserve">images from </w:t>
      </w:r>
      <w:r w:rsidR="004809CC" w:rsidRPr="004809CC">
        <w:rPr>
          <w:rFonts w:ascii="Arial" w:hAnsi="Arial" w:cs="Arial"/>
        </w:rPr>
        <w:t>Landsat-5,</w:t>
      </w:r>
      <w:r w:rsidR="00866F7E" w:rsidRPr="00866F7E">
        <w:rPr>
          <w:rFonts w:ascii="Arial" w:hAnsi="Arial" w:cs="Arial"/>
        </w:rPr>
        <w:t xml:space="preserve"> </w:t>
      </w:r>
      <w:r w:rsidR="00866F7E" w:rsidRPr="004809CC">
        <w:rPr>
          <w:rFonts w:ascii="Arial" w:hAnsi="Arial" w:cs="Arial"/>
        </w:rPr>
        <w:t>Landsat-</w:t>
      </w:r>
      <w:r w:rsidR="004809CC">
        <w:rPr>
          <w:rFonts w:ascii="Arial" w:hAnsi="Arial" w:cs="Arial"/>
        </w:rPr>
        <w:t xml:space="preserve"> 8, and </w:t>
      </w:r>
      <w:r w:rsidR="00866F7E" w:rsidRPr="004809CC">
        <w:rPr>
          <w:rFonts w:ascii="Arial" w:hAnsi="Arial" w:cs="Arial"/>
        </w:rPr>
        <w:t>Landsat-</w:t>
      </w:r>
      <w:r w:rsidR="004809CC" w:rsidRPr="004809CC">
        <w:rPr>
          <w:rFonts w:ascii="Arial" w:hAnsi="Arial" w:cs="Arial"/>
        </w:rPr>
        <w:t>9</w:t>
      </w:r>
      <w:r w:rsidR="004809CC">
        <w:rPr>
          <w:rFonts w:ascii="Arial" w:hAnsi="Arial" w:cs="Arial"/>
        </w:rPr>
        <w:t xml:space="preserve">, </w:t>
      </w:r>
      <w:r w:rsidR="004809CC" w:rsidRPr="004809CC">
        <w:rPr>
          <w:rFonts w:ascii="Arial" w:hAnsi="Arial" w:cs="Arial"/>
        </w:rPr>
        <w:t>all with a</w:t>
      </w:r>
      <w:r w:rsidR="00866F7E">
        <w:rPr>
          <w:rFonts w:ascii="Arial" w:hAnsi="Arial" w:cs="Arial"/>
        </w:rPr>
        <w:t xml:space="preserve"> same</w:t>
      </w:r>
      <w:r w:rsidR="004809CC" w:rsidRPr="004809CC">
        <w:rPr>
          <w:rFonts w:ascii="Arial" w:hAnsi="Arial" w:cs="Arial"/>
        </w:rPr>
        <w:t xml:space="preserve"> </w:t>
      </w:r>
      <w:r w:rsidR="004809CC" w:rsidRPr="00271A28">
        <w:rPr>
          <w:rFonts w:ascii="Arial" w:hAnsi="Arial" w:cs="Arial"/>
        </w:rPr>
        <w:t xml:space="preserve">spatial resolution of 30 </w:t>
      </w:r>
      <w:proofErr w:type="spellStart"/>
      <w:r w:rsidR="004809CC" w:rsidRPr="00271A28">
        <w:rPr>
          <w:rFonts w:ascii="Arial" w:hAnsi="Arial" w:cs="Arial"/>
        </w:rPr>
        <w:t>m</w:t>
      </w:r>
      <w:r w:rsidR="00247A4A">
        <w:rPr>
          <w:rFonts w:ascii="Arial" w:hAnsi="Arial" w:cs="Arial"/>
        </w:rPr>
        <w:t>tr</w:t>
      </w:r>
      <w:proofErr w:type="spellEnd"/>
      <w:r w:rsidR="004809CC" w:rsidRPr="00271A28">
        <w:rPr>
          <w:rFonts w:ascii="Arial" w:hAnsi="Arial" w:cs="Arial"/>
        </w:rPr>
        <w:t xml:space="preserve"> for reflecting bands</w:t>
      </w:r>
      <w:r w:rsidR="002532C0">
        <w:rPr>
          <w:rFonts w:ascii="Arial" w:hAnsi="Arial" w:cs="Arial"/>
        </w:rPr>
        <w:t xml:space="preserve">. </w:t>
      </w:r>
      <w:r w:rsidR="002532C0" w:rsidRPr="00976E21">
        <w:rPr>
          <w:rFonts w:ascii="Arial" w:hAnsi="Arial" w:cs="Arial"/>
          <w:highlight w:val="green"/>
        </w:rPr>
        <w:t>The satellite images extracted from the Landsat mission were classified using an unsupervised classification approach based on the ISODATA algorithm in ERDAS Imagine software to produce land-use patterns for four different time periods.</w:t>
      </w:r>
      <w:r w:rsidR="002532C0" w:rsidRPr="002532C0">
        <w:rPr>
          <w:rFonts w:ascii="Arial" w:hAnsi="Arial" w:cs="Arial"/>
        </w:rPr>
        <w:t xml:space="preserve"> Subsequently, the overall accuracies of the classified land use data were </w:t>
      </w:r>
      <w:r w:rsidR="002532C0" w:rsidRPr="002532C0">
        <w:rPr>
          <w:rFonts w:ascii="Arial" w:hAnsi="Arial" w:cs="Arial"/>
        </w:rPr>
        <w:t>calculated</w:t>
      </w:r>
      <w:r w:rsidR="002532C0">
        <w:rPr>
          <w:rFonts w:ascii="Arial" w:hAnsi="Arial" w:cs="Arial"/>
        </w:rPr>
        <w:t>. Although</w:t>
      </w:r>
      <w:r w:rsidR="00D61D9D" w:rsidRPr="00D61D9D">
        <w:rPr>
          <w:rFonts w:ascii="Arial" w:hAnsi="Arial" w:cs="Arial"/>
        </w:rPr>
        <w:t xml:space="preserve"> collected from various satellite missions, these datasets maintain identical spatial resolution, hence providing uniformity in LULC classification across multiple years.</w:t>
      </w:r>
      <w:r w:rsidR="00935FBC" w:rsidRPr="00935FBC">
        <w:t xml:space="preserve"> </w:t>
      </w:r>
      <w:r w:rsidR="00935FBC" w:rsidRPr="00935FBC">
        <w:rPr>
          <w:rFonts w:ascii="Arial" w:hAnsi="Arial" w:cs="Arial"/>
        </w:rPr>
        <w:t>In addition to satellite data, Survey of India topographic sheets at a 1:50,000 scale were utilized to delineate the administrative boundary of NCT Delhi.</w:t>
      </w:r>
      <w:r w:rsidR="00D61D9D" w:rsidRPr="00D61D9D">
        <w:rPr>
          <w:rFonts w:ascii="Arial" w:hAnsi="Arial" w:cs="Arial"/>
        </w:rPr>
        <w:t xml:space="preserve"> Detailed specifications of these datasets are provided in </w:t>
      </w:r>
      <w:r w:rsidR="00D61D9D" w:rsidRPr="00D61D9D">
        <w:rPr>
          <w:rFonts w:ascii="Arial" w:hAnsi="Arial" w:cs="Arial"/>
          <w:b/>
          <w:bCs/>
        </w:rPr>
        <w:t>Table 1.</w:t>
      </w:r>
    </w:p>
    <w:p w14:paraId="30C7CA26" w14:textId="77777777" w:rsidR="0058256E" w:rsidRPr="00A82AE9" w:rsidRDefault="0058256E" w:rsidP="00A82AE9">
      <w:pPr>
        <w:jc w:val="both"/>
        <w:rPr>
          <w:rFonts w:ascii="Arial" w:hAnsi="Arial" w:cs="Arial"/>
        </w:rPr>
      </w:pPr>
    </w:p>
    <w:p w14:paraId="302C47F5" w14:textId="12F65851" w:rsidR="00283E36" w:rsidRDefault="00283E36" w:rsidP="00D61D9D">
      <w:pPr>
        <w:tabs>
          <w:tab w:val="left" w:pos="851"/>
        </w:tabs>
        <w:spacing w:after="240"/>
        <w:jc w:val="both"/>
        <w:rPr>
          <w:rFonts w:ascii="Arial" w:hAnsi="Arial"/>
          <w:b/>
        </w:rPr>
      </w:pPr>
      <w:r>
        <w:rPr>
          <w:rFonts w:ascii="Arial" w:hAnsi="Arial"/>
          <w:b/>
        </w:rPr>
        <w:t>Table 1.</w:t>
      </w:r>
      <w:r w:rsidRPr="00DC3180">
        <w:rPr>
          <w:rFonts w:ascii="Arial" w:hAnsi="Arial"/>
          <w:b/>
        </w:rPr>
        <w:tab/>
      </w:r>
      <w:r w:rsidR="00247A4A" w:rsidRPr="00247A4A">
        <w:rPr>
          <w:rFonts w:ascii="Arial" w:hAnsi="Arial"/>
          <w:b/>
        </w:rPr>
        <w:t xml:space="preserve">Overview of the Data Collection </w:t>
      </w:r>
    </w:p>
    <w:tbl>
      <w:tblPr>
        <w:tblW w:w="9880" w:type="dxa"/>
        <w:tblInd w:w="-828" w:type="dxa"/>
        <w:tblLayout w:type="fixed"/>
        <w:tblLook w:val="04A0" w:firstRow="1" w:lastRow="0" w:firstColumn="1" w:lastColumn="0" w:noHBand="0" w:noVBand="1"/>
      </w:tblPr>
      <w:tblGrid>
        <w:gridCol w:w="1176"/>
        <w:gridCol w:w="1436"/>
        <w:gridCol w:w="862"/>
        <w:gridCol w:w="1293"/>
        <w:gridCol w:w="1436"/>
        <w:gridCol w:w="1577"/>
        <w:gridCol w:w="2100"/>
      </w:tblGrid>
      <w:tr w:rsidR="00283E36" w:rsidRPr="00226798" w14:paraId="25EDC908" w14:textId="77777777" w:rsidTr="0041420E">
        <w:trPr>
          <w:trHeight w:val="44"/>
        </w:trPr>
        <w:tc>
          <w:tcPr>
            <w:tcW w:w="1176" w:type="dxa"/>
            <w:tcBorders>
              <w:top w:val="single" w:sz="4" w:space="0" w:color="auto"/>
              <w:bottom w:val="single" w:sz="4" w:space="0" w:color="auto"/>
            </w:tcBorders>
            <w:shd w:val="clear" w:color="auto" w:fill="auto"/>
            <w:noWrap/>
            <w:vAlign w:val="center"/>
            <w:hideMark/>
          </w:tcPr>
          <w:p w14:paraId="558BB897" w14:textId="77777777" w:rsidR="00283E36" w:rsidRPr="00226798" w:rsidRDefault="00283E36" w:rsidP="00226798">
            <w:pPr>
              <w:jc w:val="both"/>
              <w:rPr>
                <w:rFonts w:ascii="Arial" w:hAnsi="Arial"/>
                <w:b/>
                <w:bCs/>
              </w:rPr>
            </w:pPr>
            <w:r w:rsidRPr="00226798">
              <w:rPr>
                <w:rFonts w:ascii="Arial" w:hAnsi="Arial"/>
                <w:b/>
                <w:bCs/>
              </w:rPr>
              <w:lastRenderedPageBreak/>
              <w:t>Satellite</w:t>
            </w:r>
          </w:p>
        </w:tc>
        <w:tc>
          <w:tcPr>
            <w:tcW w:w="1436" w:type="dxa"/>
            <w:tcBorders>
              <w:top w:val="single" w:sz="4" w:space="0" w:color="auto"/>
              <w:bottom w:val="single" w:sz="4" w:space="0" w:color="auto"/>
            </w:tcBorders>
            <w:shd w:val="clear" w:color="auto" w:fill="auto"/>
            <w:noWrap/>
            <w:vAlign w:val="center"/>
            <w:hideMark/>
          </w:tcPr>
          <w:p w14:paraId="6C355D68" w14:textId="77777777" w:rsidR="00283E36" w:rsidRPr="00226798" w:rsidRDefault="00283E36" w:rsidP="00226798">
            <w:pPr>
              <w:jc w:val="both"/>
              <w:rPr>
                <w:rFonts w:ascii="Arial" w:hAnsi="Arial"/>
                <w:b/>
                <w:bCs/>
              </w:rPr>
            </w:pPr>
            <w:r w:rsidRPr="00226798">
              <w:rPr>
                <w:rFonts w:ascii="Arial" w:hAnsi="Arial"/>
                <w:b/>
                <w:bCs/>
              </w:rPr>
              <w:t>Sensor type</w:t>
            </w:r>
          </w:p>
        </w:tc>
        <w:tc>
          <w:tcPr>
            <w:tcW w:w="862" w:type="dxa"/>
            <w:tcBorders>
              <w:top w:val="single" w:sz="4" w:space="0" w:color="auto"/>
              <w:bottom w:val="single" w:sz="4" w:space="0" w:color="auto"/>
            </w:tcBorders>
            <w:shd w:val="clear" w:color="auto" w:fill="auto"/>
            <w:noWrap/>
            <w:vAlign w:val="center"/>
            <w:hideMark/>
          </w:tcPr>
          <w:p w14:paraId="564D55D7" w14:textId="77777777" w:rsidR="00283E36" w:rsidRPr="00226798" w:rsidRDefault="00283E36" w:rsidP="00226798">
            <w:pPr>
              <w:jc w:val="both"/>
              <w:rPr>
                <w:rFonts w:ascii="Arial" w:hAnsi="Arial"/>
                <w:b/>
                <w:bCs/>
              </w:rPr>
            </w:pPr>
            <w:r w:rsidRPr="00226798">
              <w:rPr>
                <w:rFonts w:ascii="Arial" w:hAnsi="Arial"/>
                <w:b/>
                <w:bCs/>
              </w:rPr>
              <w:t>No. of bands</w:t>
            </w:r>
          </w:p>
        </w:tc>
        <w:tc>
          <w:tcPr>
            <w:tcW w:w="1293" w:type="dxa"/>
            <w:tcBorders>
              <w:top w:val="single" w:sz="4" w:space="0" w:color="auto"/>
              <w:bottom w:val="single" w:sz="4" w:space="0" w:color="auto"/>
            </w:tcBorders>
            <w:shd w:val="clear" w:color="auto" w:fill="auto"/>
            <w:noWrap/>
            <w:vAlign w:val="center"/>
            <w:hideMark/>
          </w:tcPr>
          <w:p w14:paraId="6FE30B12" w14:textId="77777777" w:rsidR="00283E36" w:rsidRPr="00226798" w:rsidRDefault="00283E36" w:rsidP="00226798">
            <w:pPr>
              <w:jc w:val="both"/>
              <w:rPr>
                <w:rFonts w:ascii="Arial" w:hAnsi="Arial"/>
                <w:b/>
                <w:bCs/>
              </w:rPr>
            </w:pPr>
            <w:r w:rsidRPr="00226798">
              <w:rPr>
                <w:rFonts w:ascii="Arial" w:hAnsi="Arial"/>
                <w:b/>
                <w:bCs/>
              </w:rPr>
              <w:t>Spatial resolution</w:t>
            </w:r>
          </w:p>
        </w:tc>
        <w:tc>
          <w:tcPr>
            <w:tcW w:w="1436" w:type="dxa"/>
            <w:tcBorders>
              <w:top w:val="single" w:sz="4" w:space="0" w:color="auto"/>
              <w:bottom w:val="single" w:sz="4" w:space="0" w:color="auto"/>
            </w:tcBorders>
            <w:shd w:val="clear" w:color="auto" w:fill="auto"/>
            <w:noWrap/>
            <w:vAlign w:val="center"/>
            <w:hideMark/>
          </w:tcPr>
          <w:p w14:paraId="742C95F1" w14:textId="77777777" w:rsidR="00283E36" w:rsidRPr="00226798" w:rsidRDefault="00283E36" w:rsidP="00226798">
            <w:pPr>
              <w:jc w:val="both"/>
              <w:rPr>
                <w:rFonts w:ascii="Arial" w:hAnsi="Arial"/>
                <w:b/>
                <w:bCs/>
              </w:rPr>
            </w:pPr>
            <w:r w:rsidRPr="00226798">
              <w:rPr>
                <w:rFonts w:ascii="Arial" w:hAnsi="Arial"/>
                <w:b/>
                <w:bCs/>
              </w:rPr>
              <w:t>Radiometric resolution</w:t>
            </w:r>
          </w:p>
        </w:tc>
        <w:tc>
          <w:tcPr>
            <w:tcW w:w="1577" w:type="dxa"/>
            <w:tcBorders>
              <w:top w:val="single" w:sz="4" w:space="0" w:color="auto"/>
              <w:bottom w:val="single" w:sz="4" w:space="0" w:color="auto"/>
            </w:tcBorders>
            <w:shd w:val="clear" w:color="auto" w:fill="auto"/>
            <w:noWrap/>
            <w:vAlign w:val="center"/>
            <w:hideMark/>
          </w:tcPr>
          <w:p w14:paraId="6D8127AC" w14:textId="77777777" w:rsidR="00283E36" w:rsidRPr="00226798" w:rsidRDefault="00283E36" w:rsidP="001A2A53">
            <w:pPr>
              <w:jc w:val="both"/>
              <w:rPr>
                <w:rFonts w:ascii="Arial" w:hAnsi="Arial"/>
                <w:b/>
                <w:bCs/>
              </w:rPr>
            </w:pPr>
            <w:r w:rsidRPr="00226798">
              <w:rPr>
                <w:rFonts w:ascii="Arial" w:hAnsi="Arial"/>
                <w:b/>
                <w:bCs/>
              </w:rPr>
              <w:t>Acquisition date</w:t>
            </w:r>
          </w:p>
        </w:tc>
        <w:tc>
          <w:tcPr>
            <w:tcW w:w="2100" w:type="dxa"/>
            <w:tcBorders>
              <w:top w:val="single" w:sz="4" w:space="0" w:color="auto"/>
              <w:bottom w:val="single" w:sz="4" w:space="0" w:color="auto"/>
            </w:tcBorders>
            <w:shd w:val="clear" w:color="auto" w:fill="auto"/>
            <w:vAlign w:val="center"/>
            <w:hideMark/>
          </w:tcPr>
          <w:p w14:paraId="0EDBEBB2" w14:textId="4D56C1B3" w:rsidR="00283E36" w:rsidRPr="00226798" w:rsidRDefault="00247A4A" w:rsidP="00F80274">
            <w:pPr>
              <w:ind w:left="172"/>
              <w:jc w:val="center"/>
              <w:rPr>
                <w:rFonts w:ascii="Arial" w:hAnsi="Arial"/>
                <w:b/>
                <w:bCs/>
              </w:rPr>
            </w:pPr>
            <w:r>
              <w:rPr>
                <w:rFonts w:ascii="Arial" w:hAnsi="Arial"/>
                <w:b/>
                <w:bCs/>
              </w:rPr>
              <w:t>Data s</w:t>
            </w:r>
            <w:r w:rsidR="00283E36" w:rsidRPr="00226798">
              <w:rPr>
                <w:rFonts w:ascii="Arial" w:hAnsi="Arial"/>
                <w:b/>
                <w:bCs/>
              </w:rPr>
              <w:t>ource</w:t>
            </w:r>
          </w:p>
        </w:tc>
      </w:tr>
      <w:tr w:rsidR="00283E36" w:rsidRPr="00226798" w14:paraId="42FE6368" w14:textId="77777777" w:rsidTr="0041420E">
        <w:trPr>
          <w:trHeight w:val="44"/>
        </w:trPr>
        <w:tc>
          <w:tcPr>
            <w:tcW w:w="1176" w:type="dxa"/>
            <w:tcBorders>
              <w:top w:val="single" w:sz="4" w:space="0" w:color="auto"/>
            </w:tcBorders>
            <w:shd w:val="clear" w:color="auto" w:fill="auto"/>
            <w:noWrap/>
            <w:vAlign w:val="center"/>
            <w:hideMark/>
          </w:tcPr>
          <w:p w14:paraId="2E4608AE" w14:textId="77777777" w:rsidR="00283E36" w:rsidRPr="00226798" w:rsidRDefault="00283E36" w:rsidP="00226798">
            <w:pPr>
              <w:jc w:val="both"/>
              <w:rPr>
                <w:rFonts w:ascii="Arial" w:hAnsi="Arial"/>
              </w:rPr>
            </w:pPr>
            <w:r w:rsidRPr="00226798">
              <w:rPr>
                <w:rFonts w:ascii="Arial" w:hAnsi="Arial"/>
              </w:rPr>
              <w:t>Landsat 5</w:t>
            </w:r>
          </w:p>
        </w:tc>
        <w:tc>
          <w:tcPr>
            <w:tcW w:w="1436" w:type="dxa"/>
            <w:tcBorders>
              <w:top w:val="single" w:sz="4" w:space="0" w:color="auto"/>
            </w:tcBorders>
            <w:shd w:val="clear" w:color="auto" w:fill="auto"/>
            <w:noWrap/>
            <w:vAlign w:val="center"/>
            <w:hideMark/>
          </w:tcPr>
          <w:p w14:paraId="4FC7CDB5" w14:textId="77777777" w:rsidR="00283E36" w:rsidRPr="00226798" w:rsidRDefault="00283E36" w:rsidP="00226798">
            <w:pPr>
              <w:jc w:val="both"/>
              <w:rPr>
                <w:rFonts w:ascii="Arial" w:hAnsi="Arial"/>
              </w:rPr>
            </w:pPr>
            <w:r w:rsidRPr="00226798">
              <w:rPr>
                <w:rFonts w:ascii="Arial" w:hAnsi="Arial"/>
              </w:rPr>
              <w:t>TM</w:t>
            </w:r>
          </w:p>
        </w:tc>
        <w:tc>
          <w:tcPr>
            <w:tcW w:w="862" w:type="dxa"/>
            <w:tcBorders>
              <w:top w:val="single" w:sz="4" w:space="0" w:color="auto"/>
            </w:tcBorders>
            <w:shd w:val="clear" w:color="auto" w:fill="auto"/>
            <w:noWrap/>
            <w:vAlign w:val="center"/>
            <w:hideMark/>
          </w:tcPr>
          <w:p w14:paraId="3F2B7212" w14:textId="77777777" w:rsidR="00283E36" w:rsidRPr="00226798" w:rsidRDefault="00283E36" w:rsidP="00226798">
            <w:pPr>
              <w:jc w:val="both"/>
              <w:rPr>
                <w:rFonts w:ascii="Arial" w:hAnsi="Arial"/>
              </w:rPr>
            </w:pPr>
            <w:r w:rsidRPr="00226798">
              <w:rPr>
                <w:rFonts w:ascii="Arial" w:hAnsi="Arial"/>
              </w:rPr>
              <w:t>7</w:t>
            </w:r>
          </w:p>
        </w:tc>
        <w:tc>
          <w:tcPr>
            <w:tcW w:w="1293" w:type="dxa"/>
            <w:tcBorders>
              <w:top w:val="single" w:sz="4" w:space="0" w:color="auto"/>
            </w:tcBorders>
            <w:shd w:val="clear" w:color="auto" w:fill="auto"/>
            <w:noWrap/>
            <w:vAlign w:val="center"/>
            <w:hideMark/>
          </w:tcPr>
          <w:p w14:paraId="00C3E3CD" w14:textId="4D972D71" w:rsidR="00283E36" w:rsidRPr="00226798" w:rsidRDefault="00283E36" w:rsidP="00226798">
            <w:pPr>
              <w:jc w:val="both"/>
              <w:rPr>
                <w:rFonts w:ascii="Arial" w:hAnsi="Arial"/>
              </w:rPr>
            </w:pPr>
            <w:r w:rsidRPr="00226798">
              <w:rPr>
                <w:rFonts w:ascii="Arial" w:hAnsi="Arial"/>
              </w:rPr>
              <w:t xml:space="preserve">30 </w:t>
            </w:r>
            <w:proofErr w:type="spellStart"/>
            <w:r w:rsidRPr="00226798">
              <w:rPr>
                <w:rFonts w:ascii="Arial" w:hAnsi="Arial"/>
              </w:rPr>
              <w:t>m</w:t>
            </w:r>
            <w:r w:rsidR="00401811">
              <w:rPr>
                <w:rFonts w:ascii="Arial" w:hAnsi="Arial"/>
              </w:rPr>
              <w:t>tr</w:t>
            </w:r>
            <w:proofErr w:type="spellEnd"/>
          </w:p>
        </w:tc>
        <w:tc>
          <w:tcPr>
            <w:tcW w:w="1436" w:type="dxa"/>
            <w:tcBorders>
              <w:top w:val="single" w:sz="4" w:space="0" w:color="auto"/>
            </w:tcBorders>
            <w:shd w:val="clear" w:color="auto" w:fill="auto"/>
            <w:noWrap/>
            <w:vAlign w:val="center"/>
            <w:hideMark/>
          </w:tcPr>
          <w:p w14:paraId="7606D8FB" w14:textId="77777777" w:rsidR="00283E36" w:rsidRPr="00226798" w:rsidRDefault="00283E36" w:rsidP="00226798">
            <w:pPr>
              <w:jc w:val="both"/>
              <w:rPr>
                <w:rFonts w:ascii="Arial" w:hAnsi="Arial"/>
              </w:rPr>
            </w:pPr>
            <w:r w:rsidRPr="00226798">
              <w:rPr>
                <w:rFonts w:ascii="Arial" w:hAnsi="Arial"/>
              </w:rPr>
              <w:t>8 bits</w:t>
            </w:r>
          </w:p>
        </w:tc>
        <w:tc>
          <w:tcPr>
            <w:tcW w:w="1577" w:type="dxa"/>
            <w:tcBorders>
              <w:top w:val="single" w:sz="4" w:space="0" w:color="auto"/>
            </w:tcBorders>
            <w:shd w:val="clear" w:color="auto" w:fill="auto"/>
            <w:noWrap/>
            <w:vAlign w:val="center"/>
            <w:hideMark/>
          </w:tcPr>
          <w:p w14:paraId="7FBF0726" w14:textId="08656D92" w:rsidR="00283E36" w:rsidRPr="001A2A53" w:rsidRDefault="00E75CD6" w:rsidP="00F80274">
            <w:pPr>
              <w:rPr>
                <w:rFonts w:ascii="Arial" w:hAnsi="Arial"/>
                <w:highlight w:val="cyan"/>
              </w:rPr>
            </w:pPr>
            <w:r w:rsidRPr="001A2A53">
              <w:rPr>
                <w:rFonts w:ascii="Arial" w:hAnsi="Arial"/>
                <w:highlight w:val="cyan"/>
              </w:rPr>
              <w:t>20 March 1991, 22 March 2001</w:t>
            </w:r>
          </w:p>
        </w:tc>
        <w:tc>
          <w:tcPr>
            <w:tcW w:w="2100" w:type="dxa"/>
            <w:vMerge w:val="restart"/>
            <w:tcBorders>
              <w:top w:val="single" w:sz="4" w:space="0" w:color="auto"/>
            </w:tcBorders>
            <w:shd w:val="clear" w:color="auto" w:fill="auto"/>
            <w:vAlign w:val="center"/>
            <w:hideMark/>
          </w:tcPr>
          <w:p w14:paraId="5E822CD2" w14:textId="0901CA57" w:rsidR="00226798" w:rsidRPr="00226798" w:rsidRDefault="006D6C17" w:rsidP="00226798">
            <w:pPr>
              <w:jc w:val="both"/>
              <w:rPr>
                <w:rFonts w:ascii="Arial" w:hAnsi="Arial"/>
              </w:rPr>
            </w:pPr>
            <w:hyperlink r:id="rId15" w:history="1">
              <w:r w:rsidR="009947BE" w:rsidRPr="00226798">
                <w:t>https://ers.cr.usgs.gov/</w:t>
              </w:r>
            </w:hyperlink>
            <w:r w:rsidR="009947BE" w:rsidRPr="00226798">
              <w:rPr>
                <w:rFonts w:ascii="Arial" w:hAnsi="Arial"/>
              </w:rPr>
              <w:t>.</w:t>
            </w:r>
            <w:r w:rsidR="00226798">
              <w:rPr>
                <w:rFonts w:ascii="Arial" w:hAnsi="Arial"/>
              </w:rPr>
              <w:t xml:space="preserve"> </w:t>
            </w:r>
          </w:p>
        </w:tc>
      </w:tr>
      <w:tr w:rsidR="00283E36" w:rsidRPr="00226798" w14:paraId="54BFBDB4" w14:textId="77777777" w:rsidTr="0041420E">
        <w:trPr>
          <w:trHeight w:val="44"/>
        </w:trPr>
        <w:tc>
          <w:tcPr>
            <w:tcW w:w="1176" w:type="dxa"/>
            <w:shd w:val="clear" w:color="auto" w:fill="auto"/>
            <w:noWrap/>
            <w:vAlign w:val="center"/>
            <w:hideMark/>
          </w:tcPr>
          <w:p w14:paraId="343874EF" w14:textId="77777777" w:rsidR="00283E36" w:rsidRPr="00226798" w:rsidRDefault="00283E36" w:rsidP="00226798">
            <w:pPr>
              <w:jc w:val="both"/>
              <w:rPr>
                <w:rFonts w:ascii="Arial" w:hAnsi="Arial"/>
              </w:rPr>
            </w:pPr>
            <w:r w:rsidRPr="00226798">
              <w:rPr>
                <w:rFonts w:ascii="Arial" w:hAnsi="Arial"/>
              </w:rPr>
              <w:t>Landsat 8</w:t>
            </w:r>
          </w:p>
        </w:tc>
        <w:tc>
          <w:tcPr>
            <w:tcW w:w="1436" w:type="dxa"/>
            <w:shd w:val="clear" w:color="auto" w:fill="auto"/>
            <w:noWrap/>
            <w:vAlign w:val="center"/>
            <w:hideMark/>
          </w:tcPr>
          <w:p w14:paraId="74EABABB" w14:textId="77777777" w:rsidR="00283E36" w:rsidRPr="00226798" w:rsidRDefault="00283E36" w:rsidP="00226798">
            <w:pPr>
              <w:jc w:val="both"/>
              <w:rPr>
                <w:rFonts w:ascii="Arial" w:hAnsi="Arial"/>
              </w:rPr>
            </w:pPr>
            <w:r w:rsidRPr="00226798">
              <w:rPr>
                <w:rFonts w:ascii="Arial" w:hAnsi="Arial"/>
              </w:rPr>
              <w:t>OLI/TIRS</w:t>
            </w:r>
          </w:p>
        </w:tc>
        <w:tc>
          <w:tcPr>
            <w:tcW w:w="862" w:type="dxa"/>
            <w:shd w:val="clear" w:color="auto" w:fill="auto"/>
            <w:noWrap/>
            <w:vAlign w:val="center"/>
            <w:hideMark/>
          </w:tcPr>
          <w:p w14:paraId="6C0A83D4" w14:textId="77777777" w:rsidR="00283E36" w:rsidRPr="00226798" w:rsidRDefault="00283E36" w:rsidP="00226798">
            <w:pPr>
              <w:jc w:val="both"/>
              <w:rPr>
                <w:rFonts w:ascii="Arial" w:hAnsi="Arial"/>
              </w:rPr>
            </w:pPr>
            <w:r w:rsidRPr="00226798">
              <w:rPr>
                <w:rFonts w:ascii="Arial" w:hAnsi="Arial"/>
              </w:rPr>
              <w:t>11</w:t>
            </w:r>
          </w:p>
        </w:tc>
        <w:tc>
          <w:tcPr>
            <w:tcW w:w="1293" w:type="dxa"/>
            <w:shd w:val="clear" w:color="auto" w:fill="auto"/>
            <w:noWrap/>
            <w:vAlign w:val="center"/>
            <w:hideMark/>
          </w:tcPr>
          <w:p w14:paraId="6A704B6F" w14:textId="0179C2A9" w:rsidR="00283E36" w:rsidRPr="00226798" w:rsidRDefault="00283E36" w:rsidP="00226798">
            <w:pPr>
              <w:jc w:val="both"/>
              <w:rPr>
                <w:rFonts w:ascii="Arial" w:hAnsi="Arial"/>
              </w:rPr>
            </w:pPr>
            <w:r w:rsidRPr="00226798">
              <w:rPr>
                <w:rFonts w:ascii="Arial" w:hAnsi="Arial"/>
              </w:rPr>
              <w:t xml:space="preserve">30 </w:t>
            </w:r>
            <w:proofErr w:type="spellStart"/>
            <w:r w:rsidRPr="00226798">
              <w:rPr>
                <w:rFonts w:ascii="Arial" w:hAnsi="Arial"/>
              </w:rPr>
              <w:t>m</w:t>
            </w:r>
            <w:r w:rsidR="00401811">
              <w:rPr>
                <w:rFonts w:ascii="Arial" w:hAnsi="Arial"/>
              </w:rPr>
              <w:t>tr</w:t>
            </w:r>
            <w:proofErr w:type="spellEnd"/>
          </w:p>
        </w:tc>
        <w:tc>
          <w:tcPr>
            <w:tcW w:w="1436" w:type="dxa"/>
            <w:shd w:val="clear" w:color="auto" w:fill="auto"/>
            <w:noWrap/>
            <w:vAlign w:val="center"/>
            <w:hideMark/>
          </w:tcPr>
          <w:p w14:paraId="710ABF0F" w14:textId="77777777" w:rsidR="00283E36" w:rsidRPr="00226798" w:rsidRDefault="00283E36" w:rsidP="00226798">
            <w:pPr>
              <w:jc w:val="both"/>
              <w:rPr>
                <w:rFonts w:ascii="Arial" w:hAnsi="Arial"/>
              </w:rPr>
            </w:pPr>
            <w:r w:rsidRPr="00226798">
              <w:rPr>
                <w:rFonts w:ascii="Arial" w:hAnsi="Arial"/>
              </w:rPr>
              <w:t>12 bits</w:t>
            </w:r>
          </w:p>
        </w:tc>
        <w:tc>
          <w:tcPr>
            <w:tcW w:w="1577" w:type="dxa"/>
            <w:shd w:val="clear" w:color="auto" w:fill="auto"/>
            <w:noWrap/>
            <w:vAlign w:val="center"/>
            <w:hideMark/>
          </w:tcPr>
          <w:p w14:paraId="44508534" w14:textId="701293F9" w:rsidR="00283E36" w:rsidRPr="001A2A53" w:rsidRDefault="00F80274" w:rsidP="00F80274">
            <w:pPr>
              <w:rPr>
                <w:rFonts w:ascii="Arial" w:hAnsi="Arial"/>
                <w:highlight w:val="cyan"/>
              </w:rPr>
            </w:pPr>
            <w:r>
              <w:rPr>
                <w:rFonts w:ascii="Arial" w:hAnsi="Arial"/>
                <w:highlight w:val="cyan"/>
              </w:rPr>
              <w:t>4</w:t>
            </w:r>
            <w:r w:rsidR="00E75CD6" w:rsidRPr="001A2A53">
              <w:rPr>
                <w:rFonts w:ascii="Arial" w:hAnsi="Arial"/>
                <w:highlight w:val="cyan"/>
              </w:rPr>
              <w:t xml:space="preserve"> </w:t>
            </w:r>
            <w:r>
              <w:rPr>
                <w:rFonts w:ascii="Arial" w:hAnsi="Arial"/>
                <w:highlight w:val="cyan"/>
              </w:rPr>
              <w:t>April</w:t>
            </w:r>
            <w:r w:rsidR="00E75CD6" w:rsidRPr="001A2A53">
              <w:rPr>
                <w:rFonts w:ascii="Arial" w:hAnsi="Arial"/>
                <w:highlight w:val="cyan"/>
              </w:rPr>
              <w:t xml:space="preserve"> 2011</w:t>
            </w:r>
          </w:p>
        </w:tc>
        <w:tc>
          <w:tcPr>
            <w:tcW w:w="2100" w:type="dxa"/>
            <w:vMerge/>
            <w:vAlign w:val="center"/>
            <w:hideMark/>
          </w:tcPr>
          <w:p w14:paraId="60130550" w14:textId="77777777" w:rsidR="00283E36" w:rsidRPr="00226798" w:rsidRDefault="00283E36" w:rsidP="00226798">
            <w:pPr>
              <w:jc w:val="both"/>
              <w:rPr>
                <w:rFonts w:ascii="Arial" w:hAnsi="Arial"/>
              </w:rPr>
            </w:pPr>
          </w:p>
        </w:tc>
      </w:tr>
      <w:tr w:rsidR="00283E36" w:rsidRPr="00226798" w14:paraId="34689308" w14:textId="77777777" w:rsidTr="0041420E">
        <w:trPr>
          <w:trHeight w:val="44"/>
        </w:trPr>
        <w:tc>
          <w:tcPr>
            <w:tcW w:w="1176" w:type="dxa"/>
            <w:tcBorders>
              <w:bottom w:val="single" w:sz="4" w:space="0" w:color="auto"/>
            </w:tcBorders>
            <w:shd w:val="clear" w:color="auto" w:fill="auto"/>
            <w:noWrap/>
            <w:vAlign w:val="center"/>
            <w:hideMark/>
          </w:tcPr>
          <w:p w14:paraId="5ADD94F4" w14:textId="77777777" w:rsidR="00283E36" w:rsidRPr="00226798" w:rsidRDefault="00283E36" w:rsidP="00226798">
            <w:pPr>
              <w:jc w:val="both"/>
              <w:rPr>
                <w:rFonts w:ascii="Arial" w:hAnsi="Arial"/>
              </w:rPr>
            </w:pPr>
            <w:r w:rsidRPr="00226798">
              <w:rPr>
                <w:rFonts w:ascii="Arial" w:hAnsi="Arial"/>
              </w:rPr>
              <w:t>Landsat 9</w:t>
            </w:r>
          </w:p>
        </w:tc>
        <w:tc>
          <w:tcPr>
            <w:tcW w:w="1436" w:type="dxa"/>
            <w:tcBorders>
              <w:bottom w:val="single" w:sz="4" w:space="0" w:color="auto"/>
            </w:tcBorders>
            <w:shd w:val="clear" w:color="auto" w:fill="auto"/>
            <w:noWrap/>
            <w:vAlign w:val="center"/>
            <w:hideMark/>
          </w:tcPr>
          <w:p w14:paraId="01A84A6F" w14:textId="77777777" w:rsidR="00283E36" w:rsidRPr="00226798" w:rsidRDefault="00283E36" w:rsidP="00226798">
            <w:pPr>
              <w:jc w:val="both"/>
              <w:rPr>
                <w:rFonts w:ascii="Arial" w:hAnsi="Arial"/>
              </w:rPr>
            </w:pPr>
            <w:r w:rsidRPr="00226798">
              <w:rPr>
                <w:rFonts w:ascii="Arial" w:hAnsi="Arial"/>
              </w:rPr>
              <w:t>OLI-2/TIRS-2</w:t>
            </w:r>
          </w:p>
        </w:tc>
        <w:tc>
          <w:tcPr>
            <w:tcW w:w="862" w:type="dxa"/>
            <w:tcBorders>
              <w:bottom w:val="single" w:sz="4" w:space="0" w:color="auto"/>
            </w:tcBorders>
            <w:shd w:val="clear" w:color="auto" w:fill="auto"/>
            <w:noWrap/>
            <w:vAlign w:val="center"/>
            <w:hideMark/>
          </w:tcPr>
          <w:p w14:paraId="303C261E" w14:textId="77777777" w:rsidR="00283E36" w:rsidRPr="00226798" w:rsidRDefault="00283E36" w:rsidP="00226798">
            <w:pPr>
              <w:jc w:val="both"/>
              <w:rPr>
                <w:rFonts w:ascii="Arial" w:hAnsi="Arial"/>
              </w:rPr>
            </w:pPr>
            <w:r w:rsidRPr="00226798">
              <w:rPr>
                <w:rFonts w:ascii="Arial" w:hAnsi="Arial"/>
              </w:rPr>
              <w:t>11</w:t>
            </w:r>
          </w:p>
        </w:tc>
        <w:tc>
          <w:tcPr>
            <w:tcW w:w="1293" w:type="dxa"/>
            <w:tcBorders>
              <w:bottom w:val="single" w:sz="4" w:space="0" w:color="auto"/>
            </w:tcBorders>
            <w:shd w:val="clear" w:color="auto" w:fill="auto"/>
            <w:noWrap/>
            <w:vAlign w:val="center"/>
            <w:hideMark/>
          </w:tcPr>
          <w:p w14:paraId="0E8F23AB" w14:textId="6A22A0C0" w:rsidR="00283E36" w:rsidRPr="00226798" w:rsidRDefault="00283E36" w:rsidP="00226798">
            <w:pPr>
              <w:jc w:val="both"/>
              <w:rPr>
                <w:rFonts w:ascii="Arial" w:hAnsi="Arial"/>
              </w:rPr>
            </w:pPr>
            <w:r w:rsidRPr="00226798">
              <w:rPr>
                <w:rFonts w:ascii="Arial" w:hAnsi="Arial"/>
              </w:rPr>
              <w:t xml:space="preserve">30 </w:t>
            </w:r>
            <w:proofErr w:type="spellStart"/>
            <w:r w:rsidRPr="00226798">
              <w:rPr>
                <w:rFonts w:ascii="Arial" w:hAnsi="Arial"/>
              </w:rPr>
              <w:t>m</w:t>
            </w:r>
            <w:r w:rsidR="00401811">
              <w:rPr>
                <w:rFonts w:ascii="Arial" w:hAnsi="Arial"/>
              </w:rPr>
              <w:t>tr</w:t>
            </w:r>
            <w:proofErr w:type="spellEnd"/>
          </w:p>
        </w:tc>
        <w:tc>
          <w:tcPr>
            <w:tcW w:w="1436" w:type="dxa"/>
            <w:tcBorders>
              <w:bottom w:val="single" w:sz="4" w:space="0" w:color="auto"/>
            </w:tcBorders>
            <w:shd w:val="clear" w:color="auto" w:fill="auto"/>
            <w:noWrap/>
            <w:vAlign w:val="center"/>
            <w:hideMark/>
          </w:tcPr>
          <w:p w14:paraId="24582323" w14:textId="77777777" w:rsidR="00283E36" w:rsidRPr="00226798" w:rsidRDefault="00283E36" w:rsidP="00226798">
            <w:pPr>
              <w:jc w:val="both"/>
              <w:rPr>
                <w:rFonts w:ascii="Arial" w:hAnsi="Arial"/>
              </w:rPr>
            </w:pPr>
            <w:r w:rsidRPr="00226798">
              <w:rPr>
                <w:rFonts w:ascii="Arial" w:hAnsi="Arial"/>
              </w:rPr>
              <w:t>14 bits</w:t>
            </w:r>
          </w:p>
        </w:tc>
        <w:tc>
          <w:tcPr>
            <w:tcW w:w="1577" w:type="dxa"/>
            <w:tcBorders>
              <w:bottom w:val="single" w:sz="4" w:space="0" w:color="auto"/>
            </w:tcBorders>
            <w:shd w:val="clear" w:color="auto" w:fill="auto"/>
            <w:noWrap/>
            <w:vAlign w:val="center"/>
            <w:hideMark/>
          </w:tcPr>
          <w:p w14:paraId="6448C6E6" w14:textId="6A95498D" w:rsidR="00283E36" w:rsidRPr="001A2A53" w:rsidRDefault="00F80274" w:rsidP="00F80274">
            <w:pPr>
              <w:rPr>
                <w:rFonts w:ascii="Arial" w:hAnsi="Arial"/>
                <w:highlight w:val="cyan"/>
              </w:rPr>
            </w:pPr>
            <w:r>
              <w:rPr>
                <w:rFonts w:ascii="Arial" w:hAnsi="Arial"/>
                <w:highlight w:val="cyan"/>
              </w:rPr>
              <w:t>12</w:t>
            </w:r>
            <w:r w:rsidR="00E75CD6" w:rsidRPr="001A2A53">
              <w:rPr>
                <w:rFonts w:ascii="Arial" w:hAnsi="Arial"/>
                <w:highlight w:val="cyan"/>
              </w:rPr>
              <w:t xml:space="preserve"> </w:t>
            </w:r>
            <w:r>
              <w:rPr>
                <w:rFonts w:ascii="Arial" w:hAnsi="Arial"/>
                <w:highlight w:val="cyan"/>
              </w:rPr>
              <w:t>April</w:t>
            </w:r>
            <w:r w:rsidR="00E75CD6" w:rsidRPr="001A2A53">
              <w:rPr>
                <w:rFonts w:ascii="Arial" w:hAnsi="Arial"/>
                <w:highlight w:val="cyan"/>
              </w:rPr>
              <w:t xml:space="preserve"> 2021</w:t>
            </w:r>
          </w:p>
        </w:tc>
        <w:tc>
          <w:tcPr>
            <w:tcW w:w="2100" w:type="dxa"/>
            <w:vMerge/>
            <w:tcBorders>
              <w:bottom w:val="single" w:sz="4" w:space="0" w:color="auto"/>
            </w:tcBorders>
            <w:vAlign w:val="center"/>
            <w:hideMark/>
          </w:tcPr>
          <w:p w14:paraId="57034B32" w14:textId="77777777" w:rsidR="00283E36" w:rsidRPr="00226798" w:rsidRDefault="00283E36" w:rsidP="00226798">
            <w:pPr>
              <w:jc w:val="both"/>
              <w:rPr>
                <w:rFonts w:ascii="Arial" w:hAnsi="Arial"/>
              </w:rPr>
            </w:pPr>
          </w:p>
        </w:tc>
      </w:tr>
    </w:tbl>
    <w:p w14:paraId="4F9A9382" w14:textId="5B5AC150" w:rsidR="00C964CF" w:rsidRDefault="00C964CF" w:rsidP="00226798">
      <w:pPr>
        <w:spacing w:before="240"/>
        <w:jc w:val="both"/>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Methods</w:t>
      </w:r>
    </w:p>
    <w:p w14:paraId="43B709B5" w14:textId="77777777" w:rsidR="00465292" w:rsidRDefault="00465292" w:rsidP="00C964CF">
      <w:pPr>
        <w:jc w:val="both"/>
        <w:rPr>
          <w:rFonts w:ascii="Arial" w:hAnsi="Arial" w:cs="Arial"/>
          <w:b/>
          <w:caps/>
        </w:rPr>
      </w:pPr>
    </w:p>
    <w:p w14:paraId="6E4ADF91" w14:textId="5CB4936B" w:rsidR="00C964CF" w:rsidRPr="00465292" w:rsidRDefault="0009042F" w:rsidP="00465292">
      <w:pPr>
        <w:pStyle w:val="AbstHead"/>
        <w:jc w:val="both"/>
        <w:rPr>
          <w:rFonts w:ascii="Arial" w:hAnsi="Arial" w:cs="Arial"/>
          <w:b w:val="0"/>
          <w:caps w:val="0"/>
          <w:sz w:val="20"/>
        </w:rPr>
      </w:pPr>
      <w:r w:rsidRPr="0009042F">
        <w:rPr>
          <w:rFonts w:ascii="Arial" w:hAnsi="Arial" w:cs="Arial"/>
          <w:b w:val="0"/>
          <w:caps w:val="0"/>
          <w:sz w:val="20"/>
        </w:rPr>
        <w:t xml:space="preserve">The importance of the methodology stems from its role in ensuring that study is </w:t>
      </w:r>
      <w:r w:rsidR="00562FA6" w:rsidRPr="0009042F">
        <w:rPr>
          <w:rFonts w:ascii="Arial" w:hAnsi="Arial" w:cs="Arial"/>
          <w:b w:val="0"/>
          <w:caps w:val="0"/>
          <w:sz w:val="20"/>
        </w:rPr>
        <w:t>directed</w:t>
      </w:r>
      <w:r w:rsidRPr="0009042F">
        <w:rPr>
          <w:rFonts w:ascii="Arial" w:hAnsi="Arial" w:cs="Arial"/>
          <w:b w:val="0"/>
          <w:caps w:val="0"/>
          <w:sz w:val="20"/>
        </w:rPr>
        <w:t xml:space="preserve"> in an organized and systematic way</w:t>
      </w:r>
      <w:r w:rsidR="00465292" w:rsidRPr="00465292">
        <w:rPr>
          <w:rFonts w:ascii="Arial" w:hAnsi="Arial" w:cs="Arial"/>
          <w:b w:val="0"/>
          <w:caps w:val="0"/>
          <w:sz w:val="20"/>
        </w:rPr>
        <w:t xml:space="preserve">, making results more </w:t>
      </w:r>
      <w:r w:rsidR="00562FA6" w:rsidRPr="00465292">
        <w:rPr>
          <w:rFonts w:ascii="Arial" w:hAnsi="Arial" w:cs="Arial"/>
          <w:b w:val="0"/>
          <w:caps w:val="0"/>
          <w:sz w:val="20"/>
        </w:rPr>
        <w:t>consistent</w:t>
      </w:r>
      <w:r w:rsidR="00465292" w:rsidRPr="00465292">
        <w:rPr>
          <w:rFonts w:ascii="Arial" w:hAnsi="Arial" w:cs="Arial"/>
          <w:b w:val="0"/>
          <w:caps w:val="0"/>
          <w:sz w:val="20"/>
        </w:rPr>
        <w:t>,</w:t>
      </w:r>
      <w:r w:rsidR="00465292">
        <w:rPr>
          <w:rFonts w:ascii="Arial" w:hAnsi="Arial" w:cs="Arial"/>
          <w:b w:val="0"/>
          <w:caps w:val="0"/>
          <w:sz w:val="20"/>
        </w:rPr>
        <w:t xml:space="preserve"> </w:t>
      </w:r>
      <w:r w:rsidR="00562FA6" w:rsidRPr="00465292">
        <w:rPr>
          <w:rFonts w:ascii="Arial" w:hAnsi="Arial" w:cs="Arial"/>
          <w:b w:val="0"/>
          <w:caps w:val="0"/>
          <w:sz w:val="20"/>
        </w:rPr>
        <w:t>precise</w:t>
      </w:r>
      <w:r w:rsidR="00465292" w:rsidRPr="00465292">
        <w:rPr>
          <w:rFonts w:ascii="Arial" w:hAnsi="Arial" w:cs="Arial"/>
          <w:b w:val="0"/>
          <w:caps w:val="0"/>
          <w:sz w:val="20"/>
        </w:rPr>
        <w:t xml:space="preserve">, and simple to replicate. In this study, the </w:t>
      </w:r>
      <w:r w:rsidR="007F1C42" w:rsidRPr="00465292">
        <w:rPr>
          <w:rFonts w:ascii="Arial" w:hAnsi="Arial" w:cs="Arial"/>
          <w:b w:val="0"/>
          <w:caps w:val="0"/>
          <w:sz w:val="20"/>
        </w:rPr>
        <w:t>task</w:t>
      </w:r>
      <w:r w:rsidR="007F1C42">
        <w:rPr>
          <w:rFonts w:ascii="Arial" w:hAnsi="Arial" w:cs="Arial"/>
          <w:b w:val="0"/>
          <w:caps w:val="0"/>
          <w:sz w:val="20"/>
        </w:rPr>
        <w:t>-based</w:t>
      </w:r>
      <w:r w:rsidR="00465292">
        <w:rPr>
          <w:rFonts w:ascii="Arial" w:hAnsi="Arial" w:cs="Arial"/>
          <w:b w:val="0"/>
          <w:caps w:val="0"/>
          <w:sz w:val="20"/>
        </w:rPr>
        <w:t xml:space="preserve"> </w:t>
      </w:r>
      <w:r w:rsidR="00465292" w:rsidRPr="00465292">
        <w:rPr>
          <w:rFonts w:ascii="Arial" w:hAnsi="Arial" w:cs="Arial"/>
          <w:b w:val="0"/>
          <w:caps w:val="0"/>
          <w:sz w:val="20"/>
        </w:rPr>
        <w:t>methodology has been adopted and applied</w:t>
      </w:r>
      <w:r w:rsidR="008105F0">
        <w:rPr>
          <w:rFonts w:ascii="Arial" w:hAnsi="Arial" w:cs="Arial"/>
          <w:b w:val="0"/>
          <w:caps w:val="0"/>
          <w:sz w:val="20"/>
        </w:rPr>
        <w:t>.</w:t>
      </w:r>
      <w:r w:rsidR="00A34AA2">
        <w:rPr>
          <w:rFonts w:ascii="Arial" w:hAnsi="Arial" w:cs="Arial"/>
          <w:b w:val="0"/>
          <w:caps w:val="0"/>
          <w:sz w:val="20"/>
        </w:rPr>
        <w:t xml:space="preserve"> </w:t>
      </w:r>
    </w:p>
    <w:p w14:paraId="1DACF866" w14:textId="79373303" w:rsidR="00465292" w:rsidRDefault="00465292" w:rsidP="00465292">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D31385">
        <w:rPr>
          <w:rFonts w:ascii="Arial" w:hAnsi="Arial" w:cs="Arial"/>
          <w:b/>
          <w:u w:val="single"/>
        </w:rPr>
        <w:t>3</w:t>
      </w:r>
      <w:r w:rsidRPr="00902823">
        <w:rPr>
          <w:rFonts w:ascii="Arial" w:hAnsi="Arial" w:cs="Arial"/>
          <w:b/>
          <w:u w:val="single"/>
        </w:rPr>
        <w:t xml:space="preserve">.1 </w:t>
      </w:r>
      <w:r w:rsidR="004D69D5">
        <w:rPr>
          <w:rFonts w:ascii="Arial" w:hAnsi="Arial" w:cs="Arial"/>
          <w:b/>
          <w:u w:val="single"/>
        </w:rPr>
        <w:t xml:space="preserve">LULC Classification </w:t>
      </w:r>
      <w:r w:rsidRPr="00FB3A86">
        <w:rPr>
          <w:rFonts w:ascii="Arial" w:hAnsi="Arial" w:cs="Arial"/>
        </w:rPr>
        <w:t xml:space="preserve"> </w:t>
      </w:r>
    </w:p>
    <w:p w14:paraId="4959C9AD" w14:textId="2DDFA9CC" w:rsidR="002B43D3" w:rsidRDefault="00AE6EE7" w:rsidP="002B43D3">
      <w:pPr>
        <w:pStyle w:val="Body"/>
        <w:rPr>
          <w:rFonts w:ascii="Arial" w:hAnsi="Arial" w:cs="Arial"/>
          <w:b/>
          <w:bCs/>
        </w:rPr>
      </w:pPr>
      <w:r>
        <w:rPr>
          <w:rFonts w:ascii="Arial" w:hAnsi="Arial" w:cs="Arial"/>
        </w:rPr>
        <w:br/>
      </w:r>
      <w:r w:rsidR="002532C0" w:rsidRPr="005465EC">
        <w:rPr>
          <w:rFonts w:ascii="Arial" w:hAnsi="Arial" w:cs="Arial"/>
          <w:highlight w:val="green"/>
        </w:rPr>
        <w:t>To analyze the spatiotemporal variations in land use and land cover (LULC), satellite imagery for the years 1991, 2001, 2011, and 2021 was processed using an unsupervised classification technique based on the ISODATA algorithm within the ERDAS Imagine software environment</w:t>
      </w:r>
      <w:r w:rsidR="002532C0" w:rsidRPr="005465EC">
        <w:rPr>
          <w:rFonts w:ascii="Arial" w:hAnsi="Arial" w:cs="Arial"/>
          <w:highlight w:val="green"/>
        </w:rPr>
        <w:t>.</w:t>
      </w:r>
      <w:r w:rsidR="002532C0">
        <w:rPr>
          <w:rFonts w:ascii="Arial" w:hAnsi="Arial" w:cs="Arial"/>
        </w:rPr>
        <w:t xml:space="preserve"> </w:t>
      </w:r>
      <w:r w:rsidR="002B43D3" w:rsidRPr="002B43D3">
        <w:rPr>
          <w:rFonts w:ascii="Arial" w:hAnsi="Arial" w:cs="Arial"/>
        </w:rPr>
        <w:t>This approach was adopted to detect natural spectral groupings in the imagery without requiring predefined training data, making it particularly suitable for long-term land cover monitoring.</w:t>
      </w:r>
      <w:r w:rsidR="002B43D3">
        <w:rPr>
          <w:rFonts w:ascii="Arial" w:hAnsi="Arial" w:cs="Arial"/>
        </w:rPr>
        <w:t xml:space="preserve"> </w:t>
      </w:r>
      <w:r w:rsidR="002B43D3" w:rsidRPr="002B43D3">
        <w:rPr>
          <w:rFonts w:ascii="Arial" w:hAnsi="Arial" w:cs="Arial"/>
        </w:rPr>
        <w:t xml:space="preserve">Satellite datasets were sourced from the United States Geological Survey (USGS), specifically using Landsat 5 TM for 1991 and 2001, Landsat 8 OLI for 2011, and Landsat 9 OLI for 2021. </w:t>
      </w:r>
      <w:r w:rsidR="005E275D" w:rsidRPr="005E275D">
        <w:rPr>
          <w:rFonts w:ascii="Arial" w:hAnsi="Arial" w:cs="Arial"/>
          <w:highlight w:val="darkYellow"/>
        </w:rPr>
        <w:t>All satellite imagery was carefully selected between mid-March and early April, corresponding to the end of the dry season in NCT Delhi, to minimize atmospheric variation, avoid cloud cover, and ensure optimal image quality for land cover classification</w:t>
      </w:r>
      <w:r w:rsidR="002B43D3" w:rsidRPr="002B43D3">
        <w:rPr>
          <w:rFonts w:ascii="Arial" w:hAnsi="Arial" w:cs="Arial"/>
        </w:rPr>
        <w:t>. Each image has a spatial resolution of 30 meters, which is sufficient for regional-scale LULC analysis.</w:t>
      </w:r>
      <w:r w:rsidR="002B43D3">
        <w:rPr>
          <w:rFonts w:ascii="Arial" w:hAnsi="Arial" w:cs="Arial"/>
        </w:rPr>
        <w:t xml:space="preserve"> </w:t>
      </w:r>
      <w:r w:rsidR="002B43D3" w:rsidRPr="002B43D3">
        <w:rPr>
          <w:rFonts w:ascii="Arial" w:hAnsi="Arial" w:cs="Arial"/>
        </w:rPr>
        <w:t xml:space="preserve">Initial preprocessing steps included layer stacking of spectral bands, radiometric correction, and </w:t>
      </w:r>
      <w:proofErr w:type="spellStart"/>
      <w:r w:rsidR="002B43D3" w:rsidRPr="002B43D3">
        <w:rPr>
          <w:rFonts w:ascii="Arial" w:hAnsi="Arial" w:cs="Arial"/>
        </w:rPr>
        <w:t>subsetting</w:t>
      </w:r>
      <w:proofErr w:type="spellEnd"/>
      <w:r w:rsidR="002B43D3" w:rsidRPr="002B43D3">
        <w:rPr>
          <w:rFonts w:ascii="Arial" w:hAnsi="Arial" w:cs="Arial"/>
        </w:rPr>
        <w:t xml:space="preserve"> of the Area of Interest (</w:t>
      </w:r>
      <w:proofErr w:type="spellStart"/>
      <w:r w:rsidR="002B43D3" w:rsidRPr="002B43D3">
        <w:rPr>
          <w:rFonts w:ascii="Arial" w:hAnsi="Arial" w:cs="Arial"/>
        </w:rPr>
        <w:t>AoI</w:t>
      </w:r>
      <w:proofErr w:type="spellEnd"/>
      <w:r w:rsidR="002B43D3" w:rsidRPr="002B43D3">
        <w:rPr>
          <w:rFonts w:ascii="Arial" w:hAnsi="Arial" w:cs="Arial"/>
        </w:rPr>
        <w:t>). These steps ensured spatial consistency across the time series and prepared the imagery for accurate classification.</w:t>
      </w:r>
      <w:r w:rsidR="002B43D3">
        <w:rPr>
          <w:rFonts w:ascii="Arial" w:hAnsi="Arial" w:cs="Arial"/>
        </w:rPr>
        <w:t xml:space="preserve"> </w:t>
      </w:r>
      <w:r w:rsidR="002532C0" w:rsidRPr="005465EC">
        <w:rPr>
          <w:rFonts w:ascii="Arial" w:hAnsi="Arial" w:cs="Arial"/>
          <w:highlight w:val="green"/>
        </w:rPr>
        <w:t>The unsupervised classification was conducted using the ISODATA clustering algorithm within the ERDAS Imagine software environment</w:t>
      </w:r>
      <w:r w:rsidR="002532C0" w:rsidRPr="005465EC">
        <w:rPr>
          <w:rFonts w:ascii="Arial" w:hAnsi="Arial" w:cs="Arial"/>
          <w:highlight w:val="green"/>
        </w:rPr>
        <w:t>.</w:t>
      </w:r>
      <w:r w:rsidR="002532C0">
        <w:rPr>
          <w:rFonts w:ascii="Arial" w:hAnsi="Arial" w:cs="Arial"/>
        </w:rPr>
        <w:t xml:space="preserve"> </w:t>
      </w:r>
      <w:r w:rsidR="002B43D3" w:rsidRPr="002B43D3">
        <w:rPr>
          <w:rFonts w:ascii="Arial" w:hAnsi="Arial" w:cs="Arial"/>
        </w:rPr>
        <w:t>This algorithm automatically groups pixels into spectral clusters based on their reflectance characteristics by iteratively adjusting class means and reallocating pixel membership. A higher number of initial clusters (</w:t>
      </w:r>
      <w:r w:rsidR="002B43D3">
        <w:rPr>
          <w:rFonts w:ascii="Arial" w:hAnsi="Arial" w:cs="Arial"/>
        </w:rPr>
        <w:t>100</w:t>
      </w:r>
      <w:r w:rsidR="002B43D3" w:rsidRPr="002B43D3">
        <w:rPr>
          <w:rFonts w:ascii="Arial" w:hAnsi="Arial" w:cs="Arial"/>
        </w:rPr>
        <w:t>) was chosen to allow for sufficient spectral differentiation.</w:t>
      </w:r>
      <w:r w:rsidR="002B43D3">
        <w:rPr>
          <w:rFonts w:ascii="Arial" w:hAnsi="Arial" w:cs="Arial"/>
        </w:rPr>
        <w:t xml:space="preserve"> </w:t>
      </w:r>
      <w:r w:rsidR="002B43D3" w:rsidRPr="002B43D3">
        <w:rPr>
          <w:rFonts w:ascii="Arial" w:hAnsi="Arial" w:cs="Arial"/>
        </w:rPr>
        <w:t xml:space="preserve">Once classification was complete, the spectral classes were recoded into six meaningful LULC categories based on visual interpretation, expert knowledge, and cross-referencing with ESRI base maps and </w:t>
      </w:r>
      <w:r w:rsidR="00A33480">
        <w:rPr>
          <w:rFonts w:ascii="Arial" w:hAnsi="Arial" w:cs="Arial"/>
        </w:rPr>
        <w:t>Google Earth imagery</w:t>
      </w:r>
      <w:r w:rsidR="002B43D3" w:rsidRPr="002B43D3">
        <w:rPr>
          <w:rFonts w:ascii="Arial" w:hAnsi="Arial" w:cs="Arial"/>
        </w:rPr>
        <w:t xml:space="preserve"> data. The final LULC categories are presented in </w:t>
      </w:r>
      <w:r w:rsidR="002B43D3" w:rsidRPr="002B43D3">
        <w:rPr>
          <w:rFonts w:ascii="Arial" w:hAnsi="Arial" w:cs="Arial"/>
          <w:b/>
          <w:bCs/>
        </w:rPr>
        <w:t xml:space="preserve">Table </w:t>
      </w:r>
      <w:r w:rsidR="00D35226">
        <w:rPr>
          <w:rFonts w:ascii="Arial" w:hAnsi="Arial" w:cs="Arial"/>
          <w:b/>
          <w:bCs/>
        </w:rPr>
        <w:t>2</w:t>
      </w:r>
      <w:r w:rsidR="002B43D3" w:rsidRPr="002B43D3">
        <w:rPr>
          <w:rFonts w:ascii="Arial" w:hAnsi="Arial" w:cs="Arial"/>
          <w:b/>
          <w:bCs/>
        </w:rPr>
        <w:t>.</w:t>
      </w:r>
    </w:p>
    <w:p w14:paraId="54F5A170" w14:textId="3D78376A" w:rsidR="00D35226" w:rsidRPr="00D35226" w:rsidRDefault="00D35226" w:rsidP="002B43D3">
      <w:pPr>
        <w:pStyle w:val="Body"/>
        <w:rPr>
          <w:rFonts w:ascii="Arial" w:hAnsi="Arial" w:cs="Arial"/>
          <w:b/>
          <w:bCs/>
        </w:rPr>
      </w:pPr>
      <w:r w:rsidRPr="00D35226">
        <w:rPr>
          <w:rFonts w:ascii="Arial" w:hAnsi="Arial" w:cs="Arial"/>
          <w:b/>
          <w:bCs/>
        </w:rPr>
        <w:t xml:space="preserve">Table </w:t>
      </w:r>
      <w:r>
        <w:rPr>
          <w:rFonts w:ascii="Arial" w:hAnsi="Arial" w:cs="Arial"/>
          <w:b/>
          <w:bCs/>
        </w:rPr>
        <w:t>2</w:t>
      </w:r>
      <w:r w:rsidRPr="00D35226">
        <w:rPr>
          <w:rFonts w:ascii="Arial" w:hAnsi="Arial" w:cs="Arial"/>
          <w:b/>
          <w:bCs/>
        </w:rPr>
        <w:t>. Land Use Land Cover Classes</w:t>
      </w:r>
    </w:p>
    <w:tbl>
      <w:tblPr>
        <w:tblW w:w="7779" w:type="dxa"/>
        <w:tblInd w:w="113" w:type="dxa"/>
        <w:tblLook w:val="04A0" w:firstRow="1" w:lastRow="0" w:firstColumn="1" w:lastColumn="0" w:noHBand="0" w:noVBand="1"/>
      </w:tblPr>
      <w:tblGrid>
        <w:gridCol w:w="941"/>
        <w:gridCol w:w="2210"/>
        <w:gridCol w:w="4628"/>
      </w:tblGrid>
      <w:tr w:rsidR="002B43D3" w:rsidRPr="002B43D3" w14:paraId="33EFFC81" w14:textId="77777777" w:rsidTr="00D35226">
        <w:trPr>
          <w:trHeight w:val="217"/>
        </w:trPr>
        <w:tc>
          <w:tcPr>
            <w:tcW w:w="941" w:type="dxa"/>
            <w:tcBorders>
              <w:top w:val="single" w:sz="4" w:space="0" w:color="auto"/>
              <w:bottom w:val="single" w:sz="4" w:space="0" w:color="auto"/>
            </w:tcBorders>
            <w:shd w:val="clear" w:color="auto" w:fill="auto"/>
            <w:vAlign w:val="center"/>
            <w:hideMark/>
          </w:tcPr>
          <w:p w14:paraId="3A4DC2E5" w14:textId="77777777" w:rsidR="002B43D3" w:rsidRPr="00226798" w:rsidRDefault="002B43D3" w:rsidP="00226798">
            <w:pPr>
              <w:jc w:val="both"/>
              <w:rPr>
                <w:rFonts w:ascii="Arial" w:hAnsi="Arial"/>
                <w:b/>
                <w:bCs/>
              </w:rPr>
            </w:pPr>
            <w:r w:rsidRPr="00226798">
              <w:rPr>
                <w:rFonts w:ascii="Arial" w:hAnsi="Arial"/>
                <w:b/>
                <w:bCs/>
              </w:rPr>
              <w:t>S. No.</w:t>
            </w:r>
          </w:p>
        </w:tc>
        <w:tc>
          <w:tcPr>
            <w:tcW w:w="2210" w:type="dxa"/>
            <w:tcBorders>
              <w:top w:val="single" w:sz="4" w:space="0" w:color="auto"/>
              <w:bottom w:val="single" w:sz="4" w:space="0" w:color="auto"/>
            </w:tcBorders>
            <w:shd w:val="clear" w:color="auto" w:fill="auto"/>
            <w:vAlign w:val="center"/>
            <w:hideMark/>
          </w:tcPr>
          <w:p w14:paraId="543AAA46" w14:textId="77777777" w:rsidR="002B43D3" w:rsidRPr="00226798" w:rsidRDefault="002B43D3" w:rsidP="00226798">
            <w:pPr>
              <w:jc w:val="both"/>
              <w:rPr>
                <w:rFonts w:ascii="Arial" w:hAnsi="Arial"/>
                <w:b/>
                <w:bCs/>
              </w:rPr>
            </w:pPr>
            <w:r w:rsidRPr="00226798">
              <w:rPr>
                <w:rFonts w:ascii="Arial" w:hAnsi="Arial"/>
                <w:b/>
                <w:bCs/>
              </w:rPr>
              <w:t>LULC Class</w:t>
            </w:r>
          </w:p>
        </w:tc>
        <w:tc>
          <w:tcPr>
            <w:tcW w:w="4628" w:type="dxa"/>
            <w:tcBorders>
              <w:top w:val="single" w:sz="4" w:space="0" w:color="auto"/>
              <w:bottom w:val="single" w:sz="4" w:space="0" w:color="auto"/>
            </w:tcBorders>
            <w:shd w:val="clear" w:color="auto" w:fill="auto"/>
            <w:vAlign w:val="center"/>
            <w:hideMark/>
          </w:tcPr>
          <w:p w14:paraId="69A32C86" w14:textId="77777777" w:rsidR="002B43D3" w:rsidRPr="00226798" w:rsidRDefault="002B43D3" w:rsidP="00226798">
            <w:pPr>
              <w:jc w:val="both"/>
              <w:rPr>
                <w:rFonts w:ascii="Arial" w:hAnsi="Arial"/>
                <w:b/>
                <w:bCs/>
              </w:rPr>
            </w:pPr>
            <w:r w:rsidRPr="00226798">
              <w:rPr>
                <w:rFonts w:ascii="Arial" w:hAnsi="Arial"/>
                <w:b/>
                <w:bCs/>
              </w:rPr>
              <w:t>Description</w:t>
            </w:r>
          </w:p>
        </w:tc>
      </w:tr>
      <w:tr w:rsidR="002B43D3" w:rsidRPr="002B43D3" w14:paraId="507830D7" w14:textId="77777777" w:rsidTr="002B43D3">
        <w:trPr>
          <w:trHeight w:val="349"/>
        </w:trPr>
        <w:tc>
          <w:tcPr>
            <w:tcW w:w="941" w:type="dxa"/>
            <w:tcBorders>
              <w:top w:val="single" w:sz="4" w:space="0" w:color="auto"/>
            </w:tcBorders>
            <w:shd w:val="clear" w:color="auto" w:fill="auto"/>
            <w:vAlign w:val="center"/>
            <w:hideMark/>
          </w:tcPr>
          <w:p w14:paraId="18B6A2F4" w14:textId="77777777" w:rsidR="002B43D3" w:rsidRPr="00226798" w:rsidRDefault="002B43D3" w:rsidP="00226798">
            <w:pPr>
              <w:jc w:val="both"/>
              <w:rPr>
                <w:rFonts w:ascii="Arial" w:hAnsi="Arial"/>
              </w:rPr>
            </w:pPr>
            <w:r w:rsidRPr="00226798">
              <w:rPr>
                <w:rFonts w:ascii="Arial" w:hAnsi="Arial"/>
              </w:rPr>
              <w:t>1</w:t>
            </w:r>
          </w:p>
        </w:tc>
        <w:tc>
          <w:tcPr>
            <w:tcW w:w="2210" w:type="dxa"/>
            <w:tcBorders>
              <w:top w:val="single" w:sz="4" w:space="0" w:color="auto"/>
            </w:tcBorders>
            <w:shd w:val="clear" w:color="auto" w:fill="auto"/>
            <w:vAlign w:val="center"/>
            <w:hideMark/>
          </w:tcPr>
          <w:p w14:paraId="3196260F" w14:textId="77777777" w:rsidR="002B43D3" w:rsidRPr="00226798" w:rsidRDefault="002B43D3" w:rsidP="00226798">
            <w:pPr>
              <w:jc w:val="both"/>
              <w:rPr>
                <w:rFonts w:ascii="Arial" w:hAnsi="Arial"/>
              </w:rPr>
            </w:pPr>
            <w:r w:rsidRPr="00226798">
              <w:rPr>
                <w:rFonts w:ascii="Arial" w:hAnsi="Arial"/>
              </w:rPr>
              <w:t>Water Body</w:t>
            </w:r>
          </w:p>
        </w:tc>
        <w:tc>
          <w:tcPr>
            <w:tcW w:w="4628" w:type="dxa"/>
            <w:tcBorders>
              <w:top w:val="single" w:sz="4" w:space="0" w:color="auto"/>
            </w:tcBorders>
            <w:shd w:val="clear" w:color="auto" w:fill="auto"/>
            <w:vAlign w:val="center"/>
            <w:hideMark/>
          </w:tcPr>
          <w:p w14:paraId="683EE8DC" w14:textId="77777777" w:rsidR="002B43D3" w:rsidRPr="00226798" w:rsidRDefault="002B43D3" w:rsidP="00226798">
            <w:pPr>
              <w:jc w:val="both"/>
              <w:rPr>
                <w:rFonts w:ascii="Arial" w:hAnsi="Arial"/>
              </w:rPr>
            </w:pPr>
            <w:r w:rsidRPr="00226798">
              <w:rPr>
                <w:rFonts w:ascii="Arial" w:hAnsi="Arial"/>
              </w:rPr>
              <w:t>Rivers, lakes, ponds, and other water features</w:t>
            </w:r>
          </w:p>
        </w:tc>
      </w:tr>
      <w:tr w:rsidR="002B43D3" w:rsidRPr="002B43D3" w14:paraId="0021E98D" w14:textId="77777777" w:rsidTr="002B43D3">
        <w:trPr>
          <w:trHeight w:val="338"/>
        </w:trPr>
        <w:tc>
          <w:tcPr>
            <w:tcW w:w="941" w:type="dxa"/>
            <w:shd w:val="clear" w:color="auto" w:fill="auto"/>
            <w:vAlign w:val="center"/>
            <w:hideMark/>
          </w:tcPr>
          <w:p w14:paraId="2DF677AE" w14:textId="77777777" w:rsidR="002B43D3" w:rsidRPr="00226798" w:rsidRDefault="002B43D3" w:rsidP="00226798">
            <w:pPr>
              <w:jc w:val="both"/>
              <w:rPr>
                <w:rFonts w:ascii="Arial" w:hAnsi="Arial"/>
              </w:rPr>
            </w:pPr>
            <w:r w:rsidRPr="00226798">
              <w:rPr>
                <w:rFonts w:ascii="Arial" w:hAnsi="Arial"/>
              </w:rPr>
              <w:t>2</w:t>
            </w:r>
          </w:p>
        </w:tc>
        <w:tc>
          <w:tcPr>
            <w:tcW w:w="2210" w:type="dxa"/>
            <w:shd w:val="clear" w:color="auto" w:fill="auto"/>
            <w:vAlign w:val="center"/>
            <w:hideMark/>
          </w:tcPr>
          <w:p w14:paraId="635A244D" w14:textId="77777777" w:rsidR="002B43D3" w:rsidRPr="00226798" w:rsidRDefault="002B43D3" w:rsidP="00226798">
            <w:pPr>
              <w:jc w:val="both"/>
              <w:rPr>
                <w:rFonts w:ascii="Arial" w:hAnsi="Arial"/>
              </w:rPr>
            </w:pPr>
            <w:r w:rsidRPr="00226798">
              <w:rPr>
                <w:rFonts w:ascii="Arial" w:hAnsi="Arial"/>
              </w:rPr>
              <w:t>Vegetation</w:t>
            </w:r>
          </w:p>
        </w:tc>
        <w:tc>
          <w:tcPr>
            <w:tcW w:w="4628" w:type="dxa"/>
            <w:shd w:val="clear" w:color="auto" w:fill="auto"/>
            <w:vAlign w:val="center"/>
            <w:hideMark/>
          </w:tcPr>
          <w:p w14:paraId="142F92DD" w14:textId="77777777" w:rsidR="002B43D3" w:rsidRPr="00226798" w:rsidRDefault="002B43D3" w:rsidP="00226798">
            <w:pPr>
              <w:jc w:val="both"/>
              <w:rPr>
                <w:rFonts w:ascii="Arial" w:hAnsi="Arial"/>
              </w:rPr>
            </w:pPr>
            <w:r w:rsidRPr="00226798">
              <w:rPr>
                <w:rFonts w:ascii="Arial" w:hAnsi="Arial"/>
              </w:rPr>
              <w:t>Grassy areas, shrubs, and scattered green cover</w:t>
            </w:r>
          </w:p>
        </w:tc>
      </w:tr>
      <w:tr w:rsidR="002B43D3" w:rsidRPr="002B43D3" w14:paraId="4306E0F6" w14:textId="77777777" w:rsidTr="002B43D3">
        <w:trPr>
          <w:trHeight w:val="207"/>
        </w:trPr>
        <w:tc>
          <w:tcPr>
            <w:tcW w:w="941" w:type="dxa"/>
            <w:shd w:val="clear" w:color="auto" w:fill="auto"/>
            <w:vAlign w:val="center"/>
            <w:hideMark/>
          </w:tcPr>
          <w:p w14:paraId="300981B8" w14:textId="77777777" w:rsidR="002B43D3" w:rsidRPr="00226798" w:rsidRDefault="002B43D3" w:rsidP="00226798">
            <w:pPr>
              <w:jc w:val="both"/>
              <w:rPr>
                <w:rFonts w:ascii="Arial" w:hAnsi="Arial"/>
              </w:rPr>
            </w:pPr>
            <w:r w:rsidRPr="00226798">
              <w:rPr>
                <w:rFonts w:ascii="Arial" w:hAnsi="Arial"/>
              </w:rPr>
              <w:t>3</w:t>
            </w:r>
          </w:p>
        </w:tc>
        <w:tc>
          <w:tcPr>
            <w:tcW w:w="2210" w:type="dxa"/>
            <w:shd w:val="clear" w:color="auto" w:fill="auto"/>
            <w:vAlign w:val="center"/>
            <w:hideMark/>
          </w:tcPr>
          <w:p w14:paraId="77C22BDC" w14:textId="77777777" w:rsidR="002B43D3" w:rsidRPr="00226798" w:rsidRDefault="002B43D3" w:rsidP="00226798">
            <w:pPr>
              <w:jc w:val="both"/>
              <w:rPr>
                <w:rFonts w:ascii="Arial" w:hAnsi="Arial"/>
              </w:rPr>
            </w:pPr>
            <w:r w:rsidRPr="00226798">
              <w:rPr>
                <w:rFonts w:ascii="Arial" w:hAnsi="Arial"/>
              </w:rPr>
              <w:t>Forest</w:t>
            </w:r>
          </w:p>
        </w:tc>
        <w:tc>
          <w:tcPr>
            <w:tcW w:w="4628" w:type="dxa"/>
            <w:shd w:val="clear" w:color="auto" w:fill="auto"/>
            <w:vAlign w:val="center"/>
            <w:hideMark/>
          </w:tcPr>
          <w:p w14:paraId="6F19921A" w14:textId="77777777" w:rsidR="002B43D3" w:rsidRPr="00226798" w:rsidRDefault="002B43D3" w:rsidP="00226798">
            <w:pPr>
              <w:jc w:val="both"/>
              <w:rPr>
                <w:rFonts w:ascii="Arial" w:hAnsi="Arial"/>
              </w:rPr>
            </w:pPr>
            <w:r w:rsidRPr="00226798">
              <w:rPr>
                <w:rFonts w:ascii="Arial" w:hAnsi="Arial"/>
              </w:rPr>
              <w:t>Dense tree-covered areas</w:t>
            </w:r>
          </w:p>
        </w:tc>
      </w:tr>
      <w:tr w:rsidR="002B43D3" w:rsidRPr="002B43D3" w14:paraId="6B56EAD7" w14:textId="77777777" w:rsidTr="002B43D3">
        <w:trPr>
          <w:trHeight w:val="353"/>
        </w:trPr>
        <w:tc>
          <w:tcPr>
            <w:tcW w:w="941" w:type="dxa"/>
            <w:shd w:val="clear" w:color="auto" w:fill="auto"/>
            <w:vAlign w:val="center"/>
            <w:hideMark/>
          </w:tcPr>
          <w:p w14:paraId="79F11E65" w14:textId="77777777" w:rsidR="002B43D3" w:rsidRPr="00226798" w:rsidRDefault="002B43D3" w:rsidP="00226798">
            <w:pPr>
              <w:jc w:val="both"/>
              <w:rPr>
                <w:rFonts w:ascii="Arial" w:hAnsi="Arial"/>
              </w:rPr>
            </w:pPr>
            <w:r w:rsidRPr="00226798">
              <w:rPr>
                <w:rFonts w:ascii="Arial" w:hAnsi="Arial"/>
              </w:rPr>
              <w:t>4</w:t>
            </w:r>
          </w:p>
        </w:tc>
        <w:tc>
          <w:tcPr>
            <w:tcW w:w="2210" w:type="dxa"/>
            <w:shd w:val="clear" w:color="auto" w:fill="auto"/>
            <w:vAlign w:val="center"/>
            <w:hideMark/>
          </w:tcPr>
          <w:p w14:paraId="32281183" w14:textId="77777777" w:rsidR="002B43D3" w:rsidRPr="00226798" w:rsidRDefault="002B43D3" w:rsidP="00226798">
            <w:pPr>
              <w:jc w:val="both"/>
              <w:rPr>
                <w:rFonts w:ascii="Arial" w:hAnsi="Arial"/>
              </w:rPr>
            </w:pPr>
            <w:r w:rsidRPr="00226798">
              <w:rPr>
                <w:rFonts w:ascii="Arial" w:hAnsi="Arial"/>
              </w:rPr>
              <w:t>Agriculture</w:t>
            </w:r>
          </w:p>
        </w:tc>
        <w:tc>
          <w:tcPr>
            <w:tcW w:w="4628" w:type="dxa"/>
            <w:shd w:val="clear" w:color="auto" w:fill="auto"/>
            <w:vAlign w:val="center"/>
            <w:hideMark/>
          </w:tcPr>
          <w:p w14:paraId="46349C24" w14:textId="77777777" w:rsidR="002B43D3" w:rsidRPr="00226798" w:rsidRDefault="002B43D3" w:rsidP="00226798">
            <w:pPr>
              <w:jc w:val="both"/>
              <w:rPr>
                <w:rFonts w:ascii="Arial" w:hAnsi="Arial"/>
              </w:rPr>
            </w:pPr>
            <w:r w:rsidRPr="00226798">
              <w:rPr>
                <w:rFonts w:ascii="Arial" w:hAnsi="Arial"/>
              </w:rPr>
              <w:t>Cropland and agricultural fields</w:t>
            </w:r>
          </w:p>
        </w:tc>
      </w:tr>
      <w:tr w:rsidR="002B43D3" w:rsidRPr="002B43D3" w14:paraId="7D544389" w14:textId="77777777" w:rsidTr="00D35226">
        <w:trPr>
          <w:trHeight w:val="271"/>
        </w:trPr>
        <w:tc>
          <w:tcPr>
            <w:tcW w:w="941" w:type="dxa"/>
            <w:shd w:val="clear" w:color="auto" w:fill="auto"/>
            <w:vAlign w:val="center"/>
            <w:hideMark/>
          </w:tcPr>
          <w:p w14:paraId="007C2B2D" w14:textId="77777777" w:rsidR="002B43D3" w:rsidRPr="00226798" w:rsidRDefault="002B43D3" w:rsidP="00226798">
            <w:pPr>
              <w:jc w:val="both"/>
              <w:rPr>
                <w:rFonts w:ascii="Arial" w:hAnsi="Arial"/>
              </w:rPr>
            </w:pPr>
            <w:r w:rsidRPr="00226798">
              <w:rPr>
                <w:rFonts w:ascii="Arial" w:hAnsi="Arial"/>
              </w:rPr>
              <w:t>5</w:t>
            </w:r>
          </w:p>
        </w:tc>
        <w:tc>
          <w:tcPr>
            <w:tcW w:w="2210" w:type="dxa"/>
            <w:shd w:val="clear" w:color="auto" w:fill="auto"/>
            <w:vAlign w:val="center"/>
            <w:hideMark/>
          </w:tcPr>
          <w:p w14:paraId="36911492" w14:textId="77777777" w:rsidR="002B43D3" w:rsidRPr="00226798" w:rsidRDefault="002B43D3" w:rsidP="00226798">
            <w:pPr>
              <w:jc w:val="both"/>
              <w:rPr>
                <w:rFonts w:ascii="Arial" w:hAnsi="Arial"/>
              </w:rPr>
            </w:pPr>
            <w:r w:rsidRPr="00226798">
              <w:rPr>
                <w:rFonts w:ascii="Arial" w:hAnsi="Arial"/>
              </w:rPr>
              <w:t>Built-up</w:t>
            </w:r>
          </w:p>
        </w:tc>
        <w:tc>
          <w:tcPr>
            <w:tcW w:w="4628" w:type="dxa"/>
            <w:shd w:val="clear" w:color="auto" w:fill="auto"/>
            <w:vAlign w:val="center"/>
            <w:hideMark/>
          </w:tcPr>
          <w:p w14:paraId="76CEF9DB" w14:textId="77777777" w:rsidR="002B43D3" w:rsidRPr="00226798" w:rsidRDefault="002B43D3" w:rsidP="00226798">
            <w:pPr>
              <w:jc w:val="both"/>
              <w:rPr>
                <w:rFonts w:ascii="Arial" w:hAnsi="Arial"/>
              </w:rPr>
            </w:pPr>
            <w:r w:rsidRPr="00226798">
              <w:rPr>
                <w:rFonts w:ascii="Arial" w:hAnsi="Arial"/>
              </w:rPr>
              <w:t>Residential, commercial, and industrial areas</w:t>
            </w:r>
          </w:p>
        </w:tc>
      </w:tr>
      <w:tr w:rsidR="002B43D3" w:rsidRPr="002B43D3" w14:paraId="2DBCC5EC" w14:textId="77777777" w:rsidTr="00D35226">
        <w:trPr>
          <w:trHeight w:val="257"/>
        </w:trPr>
        <w:tc>
          <w:tcPr>
            <w:tcW w:w="941" w:type="dxa"/>
            <w:tcBorders>
              <w:bottom w:val="single" w:sz="4" w:space="0" w:color="auto"/>
            </w:tcBorders>
            <w:shd w:val="clear" w:color="auto" w:fill="auto"/>
            <w:vAlign w:val="center"/>
            <w:hideMark/>
          </w:tcPr>
          <w:p w14:paraId="24AFDE13" w14:textId="77777777" w:rsidR="002B43D3" w:rsidRPr="00226798" w:rsidRDefault="002B43D3" w:rsidP="00226798">
            <w:pPr>
              <w:jc w:val="both"/>
              <w:rPr>
                <w:rFonts w:ascii="Arial" w:hAnsi="Arial"/>
              </w:rPr>
            </w:pPr>
            <w:r w:rsidRPr="00226798">
              <w:rPr>
                <w:rFonts w:ascii="Arial" w:hAnsi="Arial"/>
              </w:rPr>
              <w:t>6</w:t>
            </w:r>
          </w:p>
        </w:tc>
        <w:tc>
          <w:tcPr>
            <w:tcW w:w="2210" w:type="dxa"/>
            <w:tcBorders>
              <w:bottom w:val="single" w:sz="4" w:space="0" w:color="auto"/>
            </w:tcBorders>
            <w:shd w:val="clear" w:color="auto" w:fill="auto"/>
            <w:vAlign w:val="center"/>
            <w:hideMark/>
          </w:tcPr>
          <w:p w14:paraId="09E749C2" w14:textId="77777777" w:rsidR="002B43D3" w:rsidRPr="00226798" w:rsidRDefault="002B43D3" w:rsidP="00226798">
            <w:pPr>
              <w:jc w:val="both"/>
              <w:rPr>
                <w:rFonts w:ascii="Arial" w:hAnsi="Arial"/>
              </w:rPr>
            </w:pPr>
            <w:r w:rsidRPr="00226798">
              <w:rPr>
                <w:rFonts w:ascii="Arial" w:hAnsi="Arial"/>
              </w:rPr>
              <w:t>Open Space</w:t>
            </w:r>
          </w:p>
        </w:tc>
        <w:tc>
          <w:tcPr>
            <w:tcW w:w="4628" w:type="dxa"/>
            <w:tcBorders>
              <w:bottom w:val="single" w:sz="4" w:space="0" w:color="auto"/>
            </w:tcBorders>
            <w:shd w:val="clear" w:color="auto" w:fill="auto"/>
            <w:vAlign w:val="center"/>
            <w:hideMark/>
          </w:tcPr>
          <w:p w14:paraId="09055C90" w14:textId="77777777" w:rsidR="002B43D3" w:rsidRPr="00226798" w:rsidRDefault="002B43D3" w:rsidP="00226798">
            <w:pPr>
              <w:jc w:val="both"/>
              <w:rPr>
                <w:rFonts w:ascii="Arial" w:hAnsi="Arial"/>
              </w:rPr>
            </w:pPr>
            <w:r w:rsidRPr="00226798">
              <w:rPr>
                <w:rFonts w:ascii="Arial" w:hAnsi="Arial"/>
              </w:rPr>
              <w:t>Barren land, fallow plots, and open grounds</w:t>
            </w:r>
          </w:p>
        </w:tc>
      </w:tr>
    </w:tbl>
    <w:p w14:paraId="614F24E5" w14:textId="0BE194C5" w:rsidR="00D31385" w:rsidRDefault="00D31385" w:rsidP="00C461FF">
      <w:pPr>
        <w:pStyle w:val="Body"/>
        <w:spacing w:before="24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Pr>
          <w:rFonts w:ascii="Arial" w:hAnsi="Arial" w:cs="Arial"/>
          <w:b/>
          <w:u w:val="single"/>
        </w:rPr>
        <w:t xml:space="preserve">Accuracy Assessment </w:t>
      </w:r>
      <w:r w:rsidRPr="00FB3A86">
        <w:rPr>
          <w:rFonts w:ascii="Arial" w:hAnsi="Arial" w:cs="Arial"/>
        </w:rPr>
        <w:t xml:space="preserve"> </w:t>
      </w:r>
    </w:p>
    <w:p w14:paraId="36C4C5B5" w14:textId="32AD0888" w:rsidR="00D31385" w:rsidRPr="00D31385" w:rsidRDefault="00D31385" w:rsidP="00D31385">
      <w:pPr>
        <w:pStyle w:val="Body"/>
        <w:rPr>
          <w:rFonts w:ascii="Arial" w:hAnsi="Arial" w:cs="Arial"/>
        </w:rPr>
      </w:pPr>
      <w:r w:rsidRPr="00D31385">
        <w:rPr>
          <w:rFonts w:ascii="Arial" w:hAnsi="Arial" w:cs="Arial"/>
        </w:rPr>
        <w:lastRenderedPageBreak/>
        <w:t xml:space="preserve">Accuracy assessment is a critical component of any land use/land cover (LULC) classification process, as it provides a quantitative measure of reliability and thematic correctness of generated maps. In the present study, accuracy of unsupervised classification outputs was evaluated using a stratified random sampling technique, supported by the Fishnet tool in ArcGIS to generate spatially distributed validation points across all six LULC classes </w:t>
      </w:r>
      <w:r w:rsidR="00837E9B">
        <w:rPr>
          <w:rFonts w:ascii="Arial" w:hAnsi="Arial" w:cs="Arial"/>
        </w:rPr>
        <w:fldChar w:fldCharType="begin"/>
      </w:r>
      <w:r w:rsidR="00837E9B">
        <w:rPr>
          <w:rFonts w:ascii="Arial" w:hAnsi="Arial" w:cs="Arial"/>
        </w:rPr>
        <w:instrText xml:space="preserve"> ADDIN ZOTERO_ITEM CSL_CITATION {"citationID":"am2Dl7eh","properties":{"formattedCitation":"(Anees et al., 2020)","plainCitation":"(Anees et al., 2020)","noteIndex":0},"citationItems":[{"id":1359,"uris":["http://zotero.org/users/local/l98j9GEk/items/H3WIBMGX"],"itemData":{"id":1359,"type":"article-journal","abstract":"Analysis of urban dynamics is a pivotal step towards understanding landscape changes and developing scientifically sound urban management strategies. Delineating the patterns and processes shaping the evolution of urban regions is an essential part of this step. Utilizing remote-sensing techniques and Geographic Information System (GIS) tools, we performed an integrated analysis on urban expansion in Srinagar city and surrounding areas from 1999 to 2017 at multiple scales in order to assist urban planning initiatives. To capture various spatial indicators of expansion, we analysed (i) land use/land cover (LULC) changes, (ii) rate and intensity of changes to built-up areas, (iii) spatial differentiation in landscape metrics (at 500, 1000 and 2000 m cell-size), and (iv) growth type of the urban expansion. Global Moran’s I statistics and local indicators of spatial association (LISA) were also employed to identify hotspots of change in landscape structure. Our methodology utilizes a range of geovisualization tools which are capable of appropriately addressing various elements required for strategic planning in growing cities. The results highlight aggregation and homogenization of the urban core as well as irregularity and fragmentation in its periphery. A combination of spatial metrics and growth type analysis supports the supposition that there is a continuum in the diffusion-coalescence process. This allows us to extend our understanding of urban growth theory and to report deviations from accepted stages of growth. As our results show, each dominating growth phase of the city—both diffusion (1999) and coalescence (2009 and 2017)—is interspersed with features from the other type. An improved understanding of spatial differentiation and the identification of hotspots can serve to make urban planning more tailored to such local conditions. An important insight derived from the results is the applicability of remote-sensing data in urban planning measures and the usefulness of freely available medium resolution data in gaining a comprehensive understanding of the evolution of cities.","container-title":"Remote Sensing","DOI":"10.3390/rs12081306","ISSN":"2072-4292","issue":"8","language":"en","license":"http://creativecommons.org/licenses/by/3.0/","note":"number: 8\npublisher: Multidisciplinary Digital Publishing Institute","page":"1306","source":"www.mdpi.com","title":"Assessment of Urban Dynamics to Understand Spatiotemporal Differentiation at Various Scales Using Remote Sensing and Geospatial Tools","volume":"12","author":[{"family":"Anees","given":"Mangalasseril Mohammad"},{"family":"Mann","given":"Deepika"},{"family":"Sharma","given":"Mani"},{"family":"Banzhaf","given":"Ellen"},{"family":"Joshi","given":"Pawan K."}],"issued":{"date-parts":[["2020",1]]}}}],"schema":"https://github.com/citation-style-language/schema/raw/master/csl-citation.json"} </w:instrText>
      </w:r>
      <w:r w:rsidR="00837E9B">
        <w:rPr>
          <w:rFonts w:ascii="Arial" w:hAnsi="Arial" w:cs="Arial"/>
        </w:rPr>
        <w:fldChar w:fldCharType="separate"/>
      </w:r>
      <w:r w:rsidR="00837E9B" w:rsidRPr="00B92721">
        <w:rPr>
          <w:rFonts w:ascii="Arial" w:hAnsi="Arial" w:cs="Arial"/>
          <w:b/>
          <w:bCs/>
        </w:rPr>
        <w:t>(Anees et al., 2020</w:t>
      </w:r>
      <w:r w:rsidR="00837E9B" w:rsidRPr="00837E9B">
        <w:rPr>
          <w:rFonts w:ascii="Arial" w:hAnsi="Arial" w:cs="Arial"/>
        </w:rPr>
        <w:t>)</w:t>
      </w:r>
      <w:r w:rsidR="00837E9B">
        <w:rPr>
          <w:rFonts w:ascii="Arial" w:hAnsi="Arial" w:cs="Arial"/>
        </w:rPr>
        <w:fldChar w:fldCharType="end"/>
      </w:r>
      <w:r w:rsidR="00837E9B">
        <w:rPr>
          <w:rFonts w:ascii="Arial" w:hAnsi="Arial" w:cs="Arial"/>
        </w:rPr>
        <w:t xml:space="preserve">. </w:t>
      </w:r>
      <w:r w:rsidRPr="00D31385">
        <w:rPr>
          <w:rFonts w:ascii="Arial" w:hAnsi="Arial" w:cs="Arial"/>
        </w:rPr>
        <w:t xml:space="preserve">For each classified map </w:t>
      </w:r>
      <w:r w:rsidRPr="00A9263D">
        <w:rPr>
          <w:rFonts w:ascii="Arial" w:hAnsi="Arial" w:cs="Arial"/>
        </w:rPr>
        <w:t>(1991, 2001, 2011, and 2021),</w:t>
      </w:r>
      <w:r w:rsidRPr="00D31385">
        <w:rPr>
          <w:rFonts w:ascii="Arial" w:hAnsi="Arial" w:cs="Arial"/>
        </w:rPr>
        <w:t xml:space="preserve"> an error matrix (confusion matrix) was constructed by comparing the classified pixels with reference data </w:t>
      </w:r>
      <w:r w:rsidR="000502E7">
        <w:rPr>
          <w:rFonts w:ascii="Arial" w:hAnsi="Arial" w:cs="Arial"/>
        </w:rPr>
        <w:t>extracted</w:t>
      </w:r>
      <w:r w:rsidRPr="00D31385">
        <w:rPr>
          <w:rFonts w:ascii="Arial" w:hAnsi="Arial" w:cs="Arial"/>
        </w:rPr>
        <w:t xml:space="preserve"> from high-resolution imagery, </w:t>
      </w:r>
      <w:r w:rsidR="007418BC">
        <w:rPr>
          <w:rFonts w:ascii="Arial" w:hAnsi="Arial" w:cs="Arial"/>
        </w:rPr>
        <w:t xml:space="preserve">and </w:t>
      </w:r>
      <w:r w:rsidRPr="00D31385">
        <w:rPr>
          <w:rFonts w:ascii="Arial" w:hAnsi="Arial" w:cs="Arial"/>
        </w:rPr>
        <w:t xml:space="preserve">Google </w:t>
      </w:r>
      <w:r w:rsidR="00BC41ED" w:rsidRPr="00D31385">
        <w:rPr>
          <w:rFonts w:ascii="Arial" w:hAnsi="Arial" w:cs="Arial"/>
        </w:rPr>
        <w:t>Earth</w:t>
      </w:r>
      <w:r w:rsidR="00BC41ED">
        <w:rPr>
          <w:rFonts w:ascii="Arial" w:hAnsi="Arial" w:cs="Arial"/>
        </w:rPr>
        <w:t xml:space="preserve"> datasets</w:t>
      </w:r>
      <w:r w:rsidRPr="00D31385">
        <w:rPr>
          <w:rFonts w:ascii="Arial" w:hAnsi="Arial" w:cs="Arial"/>
        </w:rPr>
        <w:t>. From this matrix, three standard accuracy metrics were calculated: User’s Accuracy (UA), Producer’s Accuracy (PA), and Overall Accuracy (OA).</w:t>
      </w:r>
    </w:p>
    <w:p w14:paraId="25E8596A" w14:textId="3769FC4E" w:rsidR="00D31385" w:rsidRPr="00D31385" w:rsidRDefault="00D31385" w:rsidP="00D31385">
      <w:pPr>
        <w:pStyle w:val="Body"/>
        <w:rPr>
          <w:rFonts w:ascii="Arial" w:hAnsi="Arial" w:cs="Arial"/>
        </w:rPr>
      </w:pPr>
      <w:r w:rsidRPr="00D31385">
        <w:rPr>
          <w:rFonts w:ascii="Arial" w:hAnsi="Arial" w:cs="Arial"/>
        </w:rPr>
        <w:t>The User’s Accuracy (UA), which reflects probability that a pixel classified into</w:t>
      </w:r>
      <w:r w:rsidR="005468C1">
        <w:rPr>
          <w:rFonts w:ascii="Arial" w:hAnsi="Arial" w:cs="Arial"/>
        </w:rPr>
        <w:t xml:space="preserve"> a</w:t>
      </w:r>
      <w:r w:rsidRPr="00D31385">
        <w:rPr>
          <w:rFonts w:ascii="Arial" w:hAnsi="Arial" w:cs="Arial"/>
        </w:rPr>
        <w:t xml:space="preserve"> certain category actually represents that category </w:t>
      </w:r>
      <w:r w:rsidR="00521DF8" w:rsidRPr="00D31385">
        <w:rPr>
          <w:rFonts w:ascii="Arial" w:hAnsi="Arial" w:cs="Arial"/>
        </w:rPr>
        <w:t>on ground</w:t>
      </w:r>
      <w:r w:rsidRPr="00D31385">
        <w:rPr>
          <w:rFonts w:ascii="Arial" w:hAnsi="Arial" w:cs="Arial"/>
        </w:rPr>
        <w:t xml:space="preserve"> (i.e., commission error), was computed using</w:t>
      </w:r>
      <w:r w:rsidR="007418BC">
        <w:rPr>
          <w:rFonts w:ascii="Arial" w:hAnsi="Arial" w:cs="Arial"/>
        </w:rPr>
        <w:t xml:space="preserve"> equation</w:t>
      </w:r>
      <w:r w:rsidR="002D64B5">
        <w:rPr>
          <w:rFonts w:ascii="Arial" w:hAnsi="Arial" w:cs="Arial"/>
        </w:rPr>
        <w:t xml:space="preserve"> (1)</w:t>
      </w:r>
      <w:r w:rsidRPr="00D31385">
        <w:rPr>
          <w:rFonts w:ascii="Arial" w:hAnsi="Arial" w:cs="Arial"/>
        </w:rPr>
        <w:t>:</w:t>
      </w:r>
    </w:p>
    <w:p w14:paraId="5DBAF805" w14:textId="161B7016" w:rsidR="00D31385" w:rsidRPr="00D31385" w:rsidRDefault="007418BC" w:rsidP="007418BC">
      <w:pPr>
        <w:pStyle w:val="Body"/>
        <w:jc w:val="center"/>
        <w:rPr>
          <w:rFonts w:ascii="Arial" w:hAnsi="Arial" w:cs="Arial"/>
        </w:rPr>
      </w:pPr>
      <w:r>
        <w:rPr>
          <w:rFonts w:ascii="Arial" w:hAnsi="Arial" w:cs="Arial"/>
        </w:rPr>
        <w:t xml:space="preserve">                                                              </w:t>
      </w:r>
      <m:oMath>
        <m:r>
          <w:rPr>
            <w:rFonts w:ascii="Cambria Math" w:hAnsi="Cambria Math" w:cs="Arial"/>
          </w:rPr>
          <m:t xml:space="preserve">α = </m:t>
        </m:r>
        <m:f>
          <m:fPr>
            <m:ctrlPr>
              <w:rPr>
                <w:rFonts w:ascii="Cambria Math" w:hAnsi="Cambria Math" w:cs="Arial"/>
                <w:i/>
              </w:rPr>
            </m:ctrlPr>
          </m:fPr>
          <m:num>
            <m:r>
              <w:rPr>
                <w:rFonts w:ascii="Cambria Math" w:hAnsi="Cambria Math" w:cs="Arial"/>
              </w:rPr>
              <m:t>n</m:t>
            </m:r>
          </m:num>
          <m:den>
            <m:r>
              <w:rPr>
                <w:rFonts w:ascii="Cambria Math" w:hAnsi="Cambria Math" w:cs="Arial"/>
              </w:rPr>
              <m:t>N</m:t>
            </m:r>
          </m:den>
        </m:f>
        <m:r>
          <w:rPr>
            <w:rFonts w:ascii="Cambria Math" w:hAnsi="Cambria Math" w:cs="Arial"/>
          </w:rPr>
          <m:t>×100</m:t>
        </m:r>
      </m:oMath>
      <w:r>
        <w:rPr>
          <w:rFonts w:ascii="Arial" w:hAnsi="Arial" w:cs="Arial"/>
        </w:rPr>
        <w:t xml:space="preserve">                                                          (1)</w:t>
      </w:r>
    </w:p>
    <w:p w14:paraId="04416C1D" w14:textId="0C4433D8" w:rsidR="00D31385" w:rsidRDefault="007418BC" w:rsidP="00D31385">
      <w:pPr>
        <w:pStyle w:val="Body"/>
        <w:rPr>
          <w:rFonts w:ascii="Arial" w:hAnsi="Arial" w:cs="Arial"/>
        </w:rPr>
      </w:pPr>
      <w:r w:rsidRPr="007418BC">
        <w:rPr>
          <w:rFonts w:ascii="Arial" w:hAnsi="Arial" w:cs="Arial"/>
        </w:rPr>
        <w:t>Where ‘α’ is  UA, ‘n’ denotes number of corrected</w:t>
      </w:r>
      <w:r w:rsidR="00141122">
        <w:rPr>
          <w:rFonts w:ascii="Arial" w:hAnsi="Arial" w:cs="Arial"/>
        </w:rPr>
        <w:t xml:space="preserve"> </w:t>
      </w:r>
      <w:r w:rsidRPr="007418BC">
        <w:rPr>
          <w:rFonts w:ascii="Arial" w:hAnsi="Arial" w:cs="Arial"/>
        </w:rPr>
        <w:t>points classified on image, and ‘N’ is the number of</w:t>
      </w:r>
      <w:r w:rsidR="00141122">
        <w:rPr>
          <w:rFonts w:ascii="Arial" w:hAnsi="Arial" w:cs="Arial"/>
        </w:rPr>
        <w:t xml:space="preserve"> </w:t>
      </w:r>
      <w:r w:rsidRPr="007418BC">
        <w:rPr>
          <w:rFonts w:ascii="Arial" w:hAnsi="Arial" w:cs="Arial"/>
        </w:rPr>
        <w:t xml:space="preserve">points verified in field </w:t>
      </w:r>
      <w:r w:rsidR="00837E9B" w:rsidRPr="00256EE2">
        <w:rPr>
          <w:rFonts w:ascii="Arial" w:hAnsi="Arial" w:cs="Arial"/>
          <w:b/>
          <w:bCs/>
        </w:rPr>
        <w:fldChar w:fldCharType="begin"/>
      </w:r>
      <w:r w:rsidR="00837E9B" w:rsidRPr="00256EE2">
        <w:rPr>
          <w:rFonts w:ascii="Arial" w:hAnsi="Arial" w:cs="Arial"/>
          <w:b/>
          <w:bCs/>
        </w:rPr>
        <w:instrText xml:space="preserve"> ADDIN ZOTERO_ITEM CSL_CITATION {"citationID":"KN4GDagl","properties":{"formattedCitation":"(Brovelli et al., 2015)","plainCitation":"(Brovelli et al., 2015)","noteIndex":0},"citationItems":[{"id":1361,"uris":["http://zotero.org/users/local/l98j9GEk/items/NANQKTWG"],"itemData":{"id":1361,"type":"article-journal","abstract":"As result of the “Global Land Cover Mapping at Finer Resolution” project led by National Geomatics Center of China (NGCC), one of the first global land cover datasets at 30-meters resolution (GlobeLand30) has been produced for the years 2000 and 2010. The first comprehensive accuracy assessment at a national level of these data (excluding some comparisons in China) has been performed on the Italian area by means of a benchmarking with the more detailed land cover datasets available for some Italian regions. The accuracy evaluation was based on the cell-by-cell comparison between Italian maps and the GlobeLand30 in order to obtain the confusion matrix and its derived statistics (overall accuracy, allocation and quantity disagreements, user and producer accuracy), which help to understand the classification quality. This paper illustrates the adopted methodology and procedures for assessing GlobeLand30 and reports the obtained statistics. The analysis has been performed in eight regions across Italy and shows very good results: the comparison of the datasets according to the first level of Corine Land Cover nomenclature highlights overall accuracy values generally higher than 80%.","container-title":"Remote Sensing","DOI":"10.3390/rs70404191","ISSN":"2072-4292","issue":"4","language":"en","license":"http://creativecommons.org/licenses/by/3.0/","note":"number: 4\npublisher: Multidisciplinary Digital Publishing Institute","page":"4191-4212","source":"www.mdpi.com","title":"The First Comprehensive Accuracy Assessment of GlobeLand30 at a National Level: Methodology and Results","title-short":"The First Comprehensive Accuracy Assessment of GlobeLand30 at a National Level","volume":"7","author":[{"family":"Brovelli","given":"Maria Antonia"},{"family":"Molinari","given":"Monia Elisa"},{"family":"Hussein","given":"Eman"},{"family":"Chen","given":"Jun"},{"family":"Li","given":"Ran"}],"issued":{"date-parts":[["2015",4]]}}}],"schema":"https://github.com/citation-style-language/schema/raw/master/csl-citation.json"} </w:instrText>
      </w:r>
      <w:r w:rsidR="00837E9B" w:rsidRPr="00256EE2">
        <w:rPr>
          <w:rFonts w:ascii="Arial" w:hAnsi="Arial" w:cs="Arial"/>
          <w:b/>
          <w:bCs/>
        </w:rPr>
        <w:fldChar w:fldCharType="separate"/>
      </w:r>
      <w:r w:rsidR="00837E9B" w:rsidRPr="00256EE2">
        <w:rPr>
          <w:rFonts w:ascii="Arial" w:hAnsi="Arial" w:cs="Arial"/>
          <w:b/>
          <w:bCs/>
        </w:rPr>
        <w:t>(Brovelli et al., 2015)</w:t>
      </w:r>
      <w:r w:rsidR="00837E9B" w:rsidRPr="00256EE2">
        <w:rPr>
          <w:rFonts w:ascii="Arial" w:hAnsi="Arial" w:cs="Arial"/>
          <w:b/>
          <w:bCs/>
        </w:rPr>
        <w:fldChar w:fldCharType="end"/>
      </w:r>
      <w:r w:rsidR="00837E9B">
        <w:rPr>
          <w:rFonts w:ascii="Arial" w:hAnsi="Arial" w:cs="Arial"/>
        </w:rPr>
        <w:t xml:space="preserve">. </w:t>
      </w:r>
      <w:r w:rsidR="00D31385" w:rsidRPr="00D31385">
        <w:rPr>
          <w:rFonts w:ascii="Arial" w:hAnsi="Arial" w:cs="Arial"/>
        </w:rPr>
        <w:t xml:space="preserve">The Producer’s Accuracy (PA), indicating probability that a reference pixel is correctly classified (i.e., omission error), was calculated </w:t>
      </w:r>
      <w:r w:rsidR="002D64B5">
        <w:rPr>
          <w:rFonts w:ascii="Arial" w:hAnsi="Arial" w:cs="Arial"/>
        </w:rPr>
        <w:t>in equation (2)</w:t>
      </w:r>
      <w:r w:rsidR="00D31385" w:rsidRPr="00D31385">
        <w:rPr>
          <w:rFonts w:ascii="Arial" w:hAnsi="Arial" w:cs="Arial"/>
        </w:rPr>
        <w:t>:</w:t>
      </w:r>
    </w:p>
    <w:p w14:paraId="5EDBC16C" w14:textId="15523012" w:rsidR="00503959" w:rsidRPr="00D31385" w:rsidRDefault="00503959" w:rsidP="00503959">
      <w:pPr>
        <w:pStyle w:val="Body"/>
        <w:jc w:val="center"/>
        <w:rPr>
          <w:rFonts w:ascii="Arial" w:hAnsi="Arial" w:cs="Arial"/>
        </w:rPr>
      </w:pPr>
      <w:r>
        <w:rPr>
          <w:rFonts w:ascii="Arial" w:hAnsi="Arial" w:cs="Arial"/>
        </w:rPr>
        <w:t xml:space="preserve">                                                                 </w:t>
      </w:r>
      <m:oMath>
        <m:r>
          <w:rPr>
            <w:rFonts w:ascii="Cambria Math" w:hAnsi="Cambria Math" w:cs="Arial"/>
          </w:rPr>
          <m:t xml:space="preserve">β = </m:t>
        </m:r>
        <m:f>
          <m:fPr>
            <m:ctrlPr>
              <w:rPr>
                <w:rFonts w:ascii="Cambria Math" w:hAnsi="Cambria Math" w:cs="Arial"/>
                <w:i/>
              </w:rPr>
            </m:ctrlPr>
          </m:fPr>
          <m:num>
            <m:r>
              <m:rPr>
                <m:sty m:val="p"/>
              </m:rPr>
              <w:rPr>
                <w:rFonts w:ascii="Cambria Math" w:hAnsi="Cambria Math"/>
              </w:rPr>
              <m:t>∑</m:t>
            </m:r>
            <m:sSub>
              <m:sSubPr>
                <m:ctrlPr>
                  <w:rPr>
                    <w:rFonts w:ascii="Cambria Math" w:hAnsi="Cambria Math" w:cs="Arial"/>
                    <w:i/>
                  </w:rPr>
                </m:ctrlPr>
              </m:sSubPr>
              <m:e>
                <m:r>
                  <w:rPr>
                    <w:rFonts w:ascii="Cambria Math" w:hAnsi="Cambria Math" w:cs="Arial"/>
                  </w:rPr>
                  <m:t>D</m:t>
                </m:r>
              </m:e>
              <m:sub>
                <m:r>
                  <w:rPr>
                    <w:rFonts w:ascii="Cambria Math" w:hAnsi="Cambria Math" w:cs="Arial"/>
                  </w:rPr>
                  <m:t>ij</m:t>
                </m:r>
              </m:sub>
            </m:sSub>
          </m:num>
          <m:den>
            <m:sSub>
              <m:sSubPr>
                <m:ctrlPr>
                  <w:rPr>
                    <w:rFonts w:ascii="Cambria Math" w:hAnsi="Cambria Math" w:cs="Arial"/>
                    <w:i/>
                  </w:rPr>
                </m:ctrlPr>
              </m:sSubPr>
              <m:e>
                <m:r>
                  <w:rPr>
                    <w:rFonts w:ascii="Cambria Math" w:hAnsi="Cambria Math" w:cs="Arial"/>
                  </w:rPr>
                  <m:t>R</m:t>
                </m:r>
              </m:e>
              <m:sub>
                <m:r>
                  <w:rPr>
                    <w:rFonts w:ascii="Cambria Math" w:hAnsi="Cambria Math" w:cs="Arial"/>
                  </w:rPr>
                  <m:t>j</m:t>
                </m:r>
              </m:sub>
            </m:sSub>
          </m:den>
        </m:f>
      </m:oMath>
      <w:r>
        <w:rPr>
          <w:rFonts w:ascii="Arial" w:hAnsi="Arial" w:cs="Arial"/>
        </w:rPr>
        <w:t xml:space="preserve">                                                           (2)</w:t>
      </w:r>
    </w:p>
    <w:p w14:paraId="2AAF5ECC" w14:textId="56DE74D3" w:rsidR="00DF5718" w:rsidRPr="00DF5718" w:rsidRDefault="008744AC" w:rsidP="00DF5718">
      <w:pPr>
        <w:pStyle w:val="Body"/>
        <w:rPr>
          <w:rFonts w:ascii="Arial" w:hAnsi="Arial" w:cs="Arial"/>
        </w:rPr>
      </w:pPr>
      <w:r w:rsidRPr="007418BC">
        <w:rPr>
          <w:rFonts w:ascii="Arial" w:hAnsi="Arial" w:cs="Arial"/>
        </w:rPr>
        <w:t>Where</w:t>
      </w:r>
      <w:r>
        <w:rPr>
          <w:rFonts w:ascii="Arial" w:hAnsi="Arial" w:cs="Arial"/>
        </w:rPr>
        <w:t xml:space="preserve"> ‘</w:t>
      </w:r>
      <w:r w:rsidRPr="00DF5718">
        <w:rPr>
          <w:rFonts w:ascii="Cambria Math" w:hAnsi="Cambria Math" w:cs="Cambria Math"/>
        </w:rPr>
        <w:t>𝛽</w:t>
      </w:r>
      <w:r w:rsidRPr="00DF5718">
        <w:rPr>
          <w:rFonts w:ascii="Arial" w:hAnsi="Arial" w:cs="Arial"/>
        </w:rPr>
        <w:t>’ is PA, ‘</w:t>
      </w:r>
      <m:oMath>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ij</m:t>
            </m:r>
          </m:sub>
        </m:sSub>
      </m:oMath>
      <w:r w:rsidRPr="00DF5718">
        <w:rPr>
          <w:rFonts w:ascii="Arial" w:hAnsi="Arial" w:cs="Arial"/>
        </w:rPr>
        <w:t xml:space="preserve">’ denotes the number of correctly classified pixels in class </w:t>
      </w:r>
      <w:r w:rsidRPr="00DF5718">
        <w:rPr>
          <w:rFonts w:ascii="Cambria Math" w:hAnsi="Cambria Math" w:cs="Cambria Math"/>
        </w:rPr>
        <w:t>𝑖</w:t>
      </w:r>
      <w:r w:rsidRPr="00DF5718">
        <w:rPr>
          <w:rFonts w:ascii="Arial" w:hAnsi="Arial" w:cs="Arial"/>
        </w:rPr>
        <w:t xml:space="preserve"> (diagonal value of the error matrix) and ‘</w:t>
      </w:r>
      <m:oMath>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j</m:t>
            </m:r>
          </m:sub>
        </m:sSub>
      </m:oMath>
      <w:r w:rsidRPr="00DF5718">
        <w:rPr>
          <w:rFonts w:ascii="Arial" w:hAnsi="Arial" w:cs="Arial"/>
        </w:rPr>
        <w:t xml:space="preserve">’ is </w:t>
      </w:r>
      <w:r w:rsidR="00184D72">
        <w:rPr>
          <w:rFonts w:ascii="Arial" w:hAnsi="Arial" w:cs="Arial"/>
        </w:rPr>
        <w:t>t</w:t>
      </w:r>
      <w:r w:rsidRPr="00DF5718">
        <w:rPr>
          <w:rFonts w:ascii="Arial" w:hAnsi="Arial" w:cs="Arial"/>
        </w:rPr>
        <w:t xml:space="preserve">otal number of pixels in row j </w:t>
      </w:r>
      <w:r w:rsidR="00837E9B" w:rsidRPr="00256EE2">
        <w:rPr>
          <w:rFonts w:ascii="Arial" w:hAnsi="Arial" w:cs="Arial"/>
          <w:b/>
          <w:bCs/>
        </w:rPr>
        <w:fldChar w:fldCharType="begin"/>
      </w:r>
      <w:r w:rsidR="00837E9B" w:rsidRPr="00256EE2">
        <w:rPr>
          <w:rFonts w:ascii="Arial" w:hAnsi="Arial" w:cs="Arial"/>
          <w:b/>
          <w:bCs/>
        </w:rPr>
        <w:instrText xml:space="preserve"> ADDIN ZOTERO_ITEM CSL_CITATION {"citationID":"fwYpTtKQ","properties":{"formattedCitation":"(Morales-Barquero et al., 2019)","plainCitation":"(Morales-Barquero et al., 2019)","noteIndex":0},"citationItems":[{"id":1364,"uris":["http://zotero.org/users/local/l98j9GEk/items/S4RR4DQI"],"itemData":{"id":1364,"type":"article-journal","abstract":"The utility of land cover maps for natural resources management relies on knowing the uncertainty associated with each map. The continuous advances typical of remote sensing, including the increasing availability of higher spatial and temporal resolution satellite data and data analysis capabilities, have created both opportunities and challenges for improving the application of accuracy assessment. There are well established accuracy assessment methods, but their underlying assumptions have not changed much in the last couple decades. Consequently, revisiting how map error and accuracy have been performed and reported over the last two decades is timely, to highlight areas where there is scope for better utilization of emerging opportunities. We conducted a quantitative literature review on accuracy assessment practices for mapping via remote sensing classification methods, in both terrestrial and marine environments. We performed a structured search for land and benthic cover mapping, limiting our search to journals within the remote sensing field, and papers published between 1998–2017. After an initial screening process, we assembled a database of 282 papers, and extracted and standardized information on various components of their reported accuracy assessments. We discovered that only 56% of the papers explicitly included an error matrix, and a very limited number (14%) reported overall accuracy with confidence intervals. The use of kappa continues to be standard practice, being reported in 50.4% of the literature published on or after 2012. Reference datasets used for validation were collected using a probability sampling design in 54% of the papers. For approximately 11% of the studies, the sampling design used could not be determined. No association was found between classification complexity (i.e. number of classes) and measured accuracy, independent from the size of the study area. Overall, only 32% of papers included an accuracy assessment that could be considered reproducible; that is, they included a probability-based sampling scheme to collect the reference dataset, a complete error matrix, and provided sufficient characterization of the reference datasets and sampling unit. Our findings indicate that considerable work remains to identify and adopt more statistically rigorous accuracy assessment practices to achieve transparent and comparable land and benthic cover maps.","container-title":"Remote Sensing","DOI":"10.3390/rs11192305","ISSN":"2072-4292","issue":"19","language":"en","license":"http://creativecommons.org/licenses/by/3.0/","note":"number: 19\npublisher: Multidisciplinary Digital Publishing Institute","page":"2305","source":"www.mdpi.com","title":"Trends in Remote Sensing Accuracy Assessment Approaches in the Context of Natural Resources","volume":"11","author":[{"family":"Morales-Barquero","given":"Lucia"},{"family":"Lyons","given":"Mitchell B."},{"family":"Phinn","given":"Stuart R."},{"family":"Roelfsema","given":"Chris M."}],"issued":{"date-parts":[["2019",1]]}}}],"schema":"https://github.com/citation-style-language/schema/raw/master/csl-citation.json"} </w:instrText>
      </w:r>
      <w:r w:rsidR="00837E9B" w:rsidRPr="00256EE2">
        <w:rPr>
          <w:rFonts w:ascii="Arial" w:hAnsi="Arial" w:cs="Arial"/>
          <w:b/>
          <w:bCs/>
        </w:rPr>
        <w:fldChar w:fldCharType="separate"/>
      </w:r>
      <w:r w:rsidR="00837E9B" w:rsidRPr="00256EE2">
        <w:rPr>
          <w:rFonts w:ascii="Arial" w:hAnsi="Arial" w:cs="Arial"/>
          <w:b/>
          <w:bCs/>
        </w:rPr>
        <w:t>(Morales-Barquero et al., 2019)</w:t>
      </w:r>
      <w:r w:rsidR="00837E9B" w:rsidRPr="00256EE2">
        <w:rPr>
          <w:rFonts w:ascii="Arial" w:hAnsi="Arial" w:cs="Arial"/>
          <w:b/>
          <w:bCs/>
        </w:rPr>
        <w:fldChar w:fldCharType="end"/>
      </w:r>
      <w:r w:rsidR="00B97A2B">
        <w:rPr>
          <w:rFonts w:ascii="Arial" w:hAnsi="Arial" w:cs="Arial"/>
        </w:rPr>
        <w:t xml:space="preserve">. </w:t>
      </w:r>
      <w:r w:rsidR="00DF5718" w:rsidRPr="00DF5718">
        <w:rPr>
          <w:rFonts w:ascii="Arial" w:hAnsi="Arial" w:cs="Arial"/>
        </w:rPr>
        <w:t xml:space="preserve">The Overall Accuracy (OA), </w:t>
      </w:r>
      <w:r w:rsidR="004917FA" w:rsidRPr="00DF5718">
        <w:rPr>
          <w:rFonts w:ascii="Arial" w:hAnsi="Arial" w:cs="Arial"/>
        </w:rPr>
        <w:t>representing proportion</w:t>
      </w:r>
      <w:r w:rsidR="00DF5718" w:rsidRPr="00DF5718">
        <w:rPr>
          <w:rFonts w:ascii="Arial" w:hAnsi="Arial" w:cs="Arial"/>
        </w:rPr>
        <w:t xml:space="preserve"> of total number of correctly classified pixels to total number of validation points, was computed using the following equation (3):</w:t>
      </w:r>
    </w:p>
    <w:p w14:paraId="27E3CD50" w14:textId="620E577C" w:rsidR="00DF5718" w:rsidRPr="00D31385" w:rsidRDefault="00DF5718" w:rsidP="00DF5718">
      <w:pPr>
        <w:pStyle w:val="Body"/>
        <w:jc w:val="center"/>
        <w:rPr>
          <w:rFonts w:ascii="Arial" w:hAnsi="Arial" w:cs="Arial"/>
        </w:rPr>
      </w:pPr>
      <w:r>
        <w:rPr>
          <w:rFonts w:ascii="Arial" w:hAnsi="Arial" w:cs="Arial"/>
        </w:rPr>
        <w:t xml:space="preserve">                                                                 </w:t>
      </w:r>
      <m:oMath>
        <m:r>
          <w:rPr>
            <w:rFonts w:ascii="Cambria Math" w:hAnsi="Cambria Math" w:cs="Arial"/>
          </w:rPr>
          <m:t xml:space="preserve">γ = </m:t>
        </m:r>
        <m:f>
          <m:fPr>
            <m:ctrlPr>
              <w:rPr>
                <w:rFonts w:ascii="Cambria Math" w:hAnsi="Cambria Math" w:cs="Arial"/>
                <w:i/>
              </w:rPr>
            </m:ctrlPr>
          </m:fPr>
          <m:num>
            <m:r>
              <m:rPr>
                <m:sty m:val="p"/>
              </m:rPr>
              <w:rPr>
                <w:rFonts w:ascii="Cambria Math" w:hAnsi="Cambria Math"/>
              </w:rPr>
              <m:t>∑</m:t>
            </m:r>
            <m:sSub>
              <m:sSubPr>
                <m:ctrlPr>
                  <w:rPr>
                    <w:rFonts w:ascii="Cambria Math" w:hAnsi="Cambria Math" w:cs="Arial"/>
                    <w:i/>
                  </w:rPr>
                </m:ctrlPr>
              </m:sSubPr>
              <m:e>
                <m:r>
                  <w:rPr>
                    <w:rFonts w:ascii="Cambria Math" w:hAnsi="Cambria Math" w:cs="Arial"/>
                  </w:rPr>
                  <m:t>D</m:t>
                </m:r>
              </m:e>
              <m:sub>
                <m:r>
                  <w:rPr>
                    <w:rFonts w:ascii="Cambria Math" w:hAnsi="Cambria Math" w:cs="Arial"/>
                  </w:rPr>
                  <m:t>ij</m:t>
                </m:r>
              </m:sub>
            </m:sSub>
          </m:num>
          <m:den>
            <m:sSub>
              <m:sSubPr>
                <m:ctrlPr>
                  <w:rPr>
                    <w:rFonts w:ascii="Cambria Math" w:hAnsi="Cambria Math" w:cs="Arial"/>
                    <w:i/>
                  </w:rPr>
                </m:ctrlPr>
              </m:sSubPr>
              <m:e>
                <m:r>
                  <w:rPr>
                    <w:rFonts w:ascii="Cambria Math" w:hAnsi="Cambria Math" w:cs="Arial"/>
                  </w:rPr>
                  <m:t>C</m:t>
                </m:r>
              </m:e>
              <m:sub>
                <m:r>
                  <w:rPr>
                    <w:rFonts w:ascii="Cambria Math" w:hAnsi="Cambria Math" w:cs="Arial"/>
                  </w:rPr>
                  <m:t>j</m:t>
                </m:r>
              </m:sub>
            </m:sSub>
          </m:den>
        </m:f>
      </m:oMath>
      <w:r>
        <w:rPr>
          <w:rFonts w:ascii="Arial" w:hAnsi="Arial" w:cs="Arial"/>
        </w:rPr>
        <w:t xml:space="preserve">                                                           (3)</w:t>
      </w:r>
    </w:p>
    <w:p w14:paraId="338E4019" w14:textId="15A281C2" w:rsidR="00D31385" w:rsidRDefault="00DF5718" w:rsidP="00D31385">
      <w:pPr>
        <w:pStyle w:val="Body"/>
        <w:rPr>
          <w:rFonts w:ascii="Arial" w:hAnsi="Arial" w:cs="Arial"/>
        </w:rPr>
      </w:pPr>
      <w:r w:rsidRPr="00DF5718">
        <w:rPr>
          <w:rFonts w:ascii="Arial" w:hAnsi="Arial" w:cs="Arial"/>
        </w:rPr>
        <w:t>Where ‘</w:t>
      </w:r>
      <w:r w:rsidRPr="00DF5718">
        <w:rPr>
          <w:rFonts w:ascii="Cambria Math" w:hAnsi="Cambria Math" w:cs="Cambria Math"/>
        </w:rPr>
        <w:t>𝛾</w:t>
      </w:r>
      <w:r w:rsidRPr="00DF5718">
        <w:rPr>
          <w:rFonts w:ascii="Arial" w:hAnsi="Arial" w:cs="Arial"/>
        </w:rPr>
        <w:t>’ is OA, ‘</w:t>
      </w:r>
      <m:oMath>
        <m:sSub>
          <m:sSubPr>
            <m:ctrlPr>
              <w:rPr>
                <w:rFonts w:ascii="Cambria Math" w:hAnsi="Cambria Math" w:cs="Arial"/>
              </w:rPr>
            </m:ctrlPr>
          </m:sSubPr>
          <m:e>
            <m:r>
              <m:rPr>
                <m:sty m:val="p"/>
              </m:rPr>
              <w:rPr>
                <w:rFonts w:ascii="Cambria Math" w:hAnsi="Cambria Math" w:cs="Arial"/>
              </w:rPr>
              <m:t>D</m:t>
            </m:r>
          </m:e>
          <m:sub>
            <m:r>
              <m:rPr>
                <m:sty m:val="p"/>
              </m:rPr>
              <w:rPr>
                <w:rFonts w:ascii="Cambria Math" w:hAnsi="Cambria Math" w:cs="Arial"/>
              </w:rPr>
              <m:t>ij</m:t>
            </m:r>
          </m:sub>
        </m:sSub>
      </m:oMath>
      <w:r w:rsidRPr="00DF5718">
        <w:rPr>
          <w:rFonts w:ascii="Arial" w:hAnsi="Arial" w:cs="Arial"/>
        </w:rPr>
        <w:t xml:space="preserve">’ denotes the number of correctly classified pixel (diagonal sum) and </w:t>
      </w:r>
      <m:oMath>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j</m:t>
            </m:r>
          </m:sub>
        </m:sSub>
      </m:oMath>
      <w:r w:rsidRPr="00DF5718">
        <w:rPr>
          <w:rFonts w:ascii="Arial" w:hAnsi="Arial" w:cs="Arial"/>
        </w:rPr>
        <w:t xml:space="preserve"> is total number of validation samples (across all classes)</w:t>
      </w:r>
      <w:r w:rsidR="00B97A2B">
        <w:rPr>
          <w:rFonts w:ascii="Arial" w:hAnsi="Arial" w:cs="Arial"/>
        </w:rPr>
        <w:t xml:space="preserve">. </w:t>
      </w:r>
      <w:r w:rsidR="00D31385" w:rsidRPr="00D31385">
        <w:rPr>
          <w:rFonts w:ascii="Arial" w:hAnsi="Arial" w:cs="Arial"/>
        </w:rPr>
        <w:t>In addition to above metrics, the Kappa coefficient was calculated to provide a more robust measure of classification accuracy by accounting for the possibility of chance agreement. The Kappa statistic was computed as follows</w:t>
      </w:r>
      <w:r w:rsidR="004F37A5">
        <w:rPr>
          <w:rFonts w:ascii="Arial" w:hAnsi="Arial" w:cs="Arial"/>
        </w:rPr>
        <w:t xml:space="preserve"> in equation (4)</w:t>
      </w:r>
      <w:r w:rsidR="00D31385" w:rsidRPr="00D31385">
        <w:rPr>
          <w:rFonts w:ascii="Arial" w:hAnsi="Arial" w:cs="Arial"/>
        </w:rPr>
        <w:t>:</w:t>
      </w:r>
    </w:p>
    <w:p w14:paraId="52230C41" w14:textId="38099C63" w:rsidR="004F37A5" w:rsidRPr="00CA05B1" w:rsidRDefault="00CA05B1" w:rsidP="00CA05B1">
      <w:pPr>
        <w:pStyle w:val="Body"/>
        <w:jc w:val="center"/>
        <w:rPr>
          <w:rFonts w:ascii="Arial" w:hAnsi="Arial" w:cs="Arial"/>
        </w:rPr>
      </w:pPr>
      <w:r>
        <w:rPr>
          <w:rFonts w:ascii="Arial" w:hAnsi="Arial" w:cs="Arial"/>
        </w:rPr>
        <w:t xml:space="preserve">                                                          </w:t>
      </w:r>
      <m:oMath>
        <m:r>
          <m:rPr>
            <m:sty m:val="p"/>
          </m:rPr>
          <w:rPr>
            <w:rFonts w:ascii="Cambria Math" w:hAnsi="Cambria Math" w:cs="Arial"/>
          </w:rPr>
          <m:t>k</m:t>
        </m:r>
        <m:r>
          <w:rPr>
            <w:rFonts w:ascii="Cambria Math" w:hAnsi="Cambria Math" w:cs="Arial"/>
          </w:rPr>
          <m:t xml:space="preserve"> = </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r</m:t>
                </m:r>
              </m:sup>
              <m:e>
                <m:sSub>
                  <m:sSubPr>
                    <m:ctrlPr>
                      <w:rPr>
                        <w:rFonts w:ascii="Cambria Math" w:hAnsi="Cambria Math" w:cs="Arial"/>
                        <w:i/>
                      </w:rPr>
                    </m:ctrlPr>
                  </m:sSubPr>
                  <m:e>
                    <m:r>
                      <w:rPr>
                        <w:rFonts w:ascii="Cambria Math" w:hAnsi="Cambria Math" w:cs="Arial"/>
                      </w:rPr>
                      <m:t>X</m:t>
                    </m:r>
                  </m:e>
                  <m:sub>
                    <m:r>
                      <w:rPr>
                        <w:rFonts w:ascii="Cambria Math" w:hAnsi="Cambria Math" w:cs="Arial"/>
                      </w:rPr>
                      <m:t>ii</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r</m:t>
                    </m:r>
                  </m:sup>
                  <m:e>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e>
                </m:nary>
              </m:e>
            </m:nary>
          </m:num>
          <m:den>
            <m:sSup>
              <m:sSupPr>
                <m:ctrlPr>
                  <w:rPr>
                    <w:rFonts w:ascii="Cambria Math" w:hAnsi="Cambria Math" w:cs="Arial"/>
                    <w:i/>
                  </w:rPr>
                </m:ctrlPr>
              </m:sSupPr>
              <m:e>
                <m:r>
                  <w:rPr>
                    <w:rFonts w:ascii="Cambria Math" w:hAnsi="Cambria Math" w:cs="Arial"/>
                  </w:rPr>
                  <m:t>N</m:t>
                </m:r>
              </m:e>
              <m:sup>
                <m:r>
                  <w:rPr>
                    <w:rFonts w:ascii="Cambria Math" w:hAnsi="Cambria Math" w:cs="Arial"/>
                  </w:rPr>
                  <m:t>2</m:t>
                </m:r>
              </m:sup>
            </m:sSup>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r</m:t>
                </m:r>
              </m:sup>
              <m:e>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e>
            </m:nary>
          </m:den>
        </m:f>
        <m:r>
          <w:rPr>
            <w:rFonts w:ascii="Cambria Math" w:hAnsi="Cambria Math" w:cs="Arial"/>
          </w:rPr>
          <m:t xml:space="preserve"> </m:t>
        </m:r>
      </m:oMath>
      <w:r>
        <w:rPr>
          <w:rFonts w:ascii="Arial" w:hAnsi="Arial" w:cs="Arial"/>
        </w:rPr>
        <w:t xml:space="preserve">                                             (4)</w:t>
      </w:r>
    </w:p>
    <w:p w14:paraId="6A717E88" w14:textId="16FC220A" w:rsidR="00CA05B1" w:rsidRPr="00D31385" w:rsidRDefault="00770D4A" w:rsidP="00770D4A">
      <w:pPr>
        <w:pStyle w:val="Body"/>
        <w:rPr>
          <w:rFonts w:ascii="Arial" w:hAnsi="Arial" w:cs="Arial"/>
        </w:rPr>
      </w:pPr>
      <w:r w:rsidRPr="00770D4A">
        <w:rPr>
          <w:rFonts w:ascii="Arial" w:hAnsi="Arial" w:cs="Arial"/>
        </w:rPr>
        <w:t>Where ‘k’ represents kappa coefficient, ‘N’ is the total</w:t>
      </w:r>
      <w:r>
        <w:rPr>
          <w:rFonts w:ascii="Arial" w:hAnsi="Arial" w:cs="Arial"/>
        </w:rPr>
        <w:t xml:space="preserve"> </w:t>
      </w:r>
      <w:r w:rsidRPr="00770D4A">
        <w:rPr>
          <w:rFonts w:ascii="Arial" w:hAnsi="Arial" w:cs="Arial"/>
        </w:rPr>
        <w:t>number of observations, ‘r’ denotes total number of rows</w:t>
      </w:r>
      <w:r>
        <w:rPr>
          <w:rFonts w:ascii="Arial" w:hAnsi="Arial" w:cs="Arial"/>
        </w:rPr>
        <w:t xml:space="preserve"> </w:t>
      </w:r>
      <w:r w:rsidRPr="00770D4A">
        <w:rPr>
          <w:rFonts w:ascii="Arial" w:hAnsi="Arial" w:cs="Arial"/>
        </w:rPr>
        <w:t>present in error matrix, X</w:t>
      </w:r>
      <w:r w:rsidRPr="00C116C4">
        <w:rPr>
          <w:rFonts w:ascii="Arial" w:hAnsi="Arial" w:cs="Arial"/>
          <w:vertAlign w:val="subscript"/>
        </w:rPr>
        <w:t>ii</w:t>
      </w:r>
      <w:r w:rsidRPr="00770D4A">
        <w:rPr>
          <w:rFonts w:ascii="Arial" w:hAnsi="Arial" w:cs="Arial"/>
        </w:rPr>
        <w:t xml:space="preserve"> is number of observations</w:t>
      </w:r>
      <w:r>
        <w:rPr>
          <w:rFonts w:ascii="Arial" w:hAnsi="Arial" w:cs="Arial"/>
        </w:rPr>
        <w:t xml:space="preserve"> </w:t>
      </w:r>
      <w:r w:rsidRPr="00770D4A">
        <w:rPr>
          <w:rFonts w:ascii="Arial" w:hAnsi="Arial" w:cs="Arial"/>
        </w:rPr>
        <w:t>present in row and column ‘</w:t>
      </w:r>
      <w:proofErr w:type="spellStart"/>
      <w:r w:rsidRPr="00770D4A">
        <w:rPr>
          <w:rFonts w:ascii="Arial" w:hAnsi="Arial" w:cs="Arial"/>
        </w:rPr>
        <w:t>i</w:t>
      </w:r>
      <w:proofErr w:type="spellEnd"/>
      <w:r w:rsidRPr="00770D4A">
        <w:rPr>
          <w:rFonts w:ascii="Arial" w:hAnsi="Arial" w:cs="Arial"/>
        </w:rPr>
        <w:t>’ respectively, X</w:t>
      </w:r>
      <w:r w:rsidRPr="00C116C4">
        <w:rPr>
          <w:rFonts w:ascii="Arial" w:hAnsi="Arial" w:cs="Arial"/>
          <w:vertAlign w:val="subscript"/>
        </w:rPr>
        <w:t>i+</w:t>
      </w:r>
      <w:r w:rsidRPr="00770D4A">
        <w:rPr>
          <w:rFonts w:ascii="Arial" w:hAnsi="Arial" w:cs="Arial"/>
        </w:rPr>
        <w:t xml:space="preserve"> is total</w:t>
      </w:r>
      <w:r>
        <w:rPr>
          <w:rFonts w:ascii="Arial" w:hAnsi="Arial" w:cs="Arial"/>
        </w:rPr>
        <w:t xml:space="preserve"> </w:t>
      </w:r>
      <w:r w:rsidRPr="00770D4A">
        <w:rPr>
          <w:rFonts w:ascii="Arial" w:hAnsi="Arial" w:cs="Arial"/>
        </w:rPr>
        <w:t>number observations in row ‘</w:t>
      </w:r>
      <w:proofErr w:type="spellStart"/>
      <w:r w:rsidRPr="00770D4A">
        <w:rPr>
          <w:rFonts w:ascii="Arial" w:hAnsi="Arial" w:cs="Arial"/>
        </w:rPr>
        <w:t>i</w:t>
      </w:r>
      <w:proofErr w:type="spellEnd"/>
      <w:r w:rsidRPr="00770D4A">
        <w:rPr>
          <w:rFonts w:ascii="Arial" w:hAnsi="Arial" w:cs="Arial"/>
        </w:rPr>
        <w:t>’ and ‘</w:t>
      </w:r>
      <w:proofErr w:type="spellStart"/>
      <w:r w:rsidRPr="00770D4A">
        <w:rPr>
          <w:rFonts w:ascii="Arial" w:hAnsi="Arial" w:cs="Arial"/>
        </w:rPr>
        <w:t>X</w:t>
      </w:r>
      <w:r w:rsidRPr="00C116C4">
        <w:rPr>
          <w:rFonts w:ascii="Arial" w:hAnsi="Arial" w:cs="Arial"/>
          <w:vertAlign w:val="subscript"/>
        </w:rPr>
        <w:t>+i</w:t>
      </w:r>
      <w:proofErr w:type="spellEnd"/>
      <w:r w:rsidRPr="00770D4A">
        <w:rPr>
          <w:rFonts w:ascii="Arial" w:hAnsi="Arial" w:cs="Arial"/>
        </w:rPr>
        <w:t xml:space="preserve"> is total number</w:t>
      </w:r>
      <w:r>
        <w:rPr>
          <w:rFonts w:ascii="Arial" w:hAnsi="Arial" w:cs="Arial"/>
        </w:rPr>
        <w:t xml:space="preserve"> </w:t>
      </w:r>
      <w:r w:rsidRPr="00770D4A">
        <w:rPr>
          <w:rFonts w:ascii="Arial" w:hAnsi="Arial" w:cs="Arial"/>
        </w:rPr>
        <w:t>of observations in column ‘</w:t>
      </w:r>
      <w:proofErr w:type="spellStart"/>
      <w:r w:rsidRPr="00770D4A">
        <w:rPr>
          <w:rFonts w:ascii="Arial" w:hAnsi="Arial" w:cs="Arial"/>
        </w:rPr>
        <w:t>i</w:t>
      </w:r>
      <w:proofErr w:type="spellEnd"/>
      <w:r w:rsidRPr="00770D4A">
        <w:rPr>
          <w:rFonts w:ascii="Arial" w:hAnsi="Arial" w:cs="Arial"/>
        </w:rPr>
        <w:t xml:space="preserve">’ </w:t>
      </w:r>
      <w:r w:rsidR="00202AC3" w:rsidRPr="00202AC3">
        <w:rPr>
          <w:rFonts w:ascii="Arial" w:hAnsi="Arial" w:cs="Arial"/>
          <w:b/>
          <w:bCs/>
        </w:rPr>
        <w:fldChar w:fldCharType="begin"/>
      </w:r>
      <w:r w:rsidR="00202AC3" w:rsidRPr="00202AC3">
        <w:rPr>
          <w:rFonts w:ascii="Arial" w:hAnsi="Arial" w:cs="Arial"/>
          <w:b/>
          <w:bCs/>
        </w:rPr>
        <w:instrText xml:space="preserve"> ADDIN ZOTERO_ITEM CSL_CITATION {"citationID":"0lllsiEv","properties":{"formattedCitation":"(Foody, 2020)","plainCitation":"(Foody, 2020)","noteIndex":0},"citationItems":[{"id":1371,"uris":["http://zotero.org/users/local/l98j9GEk/items/PVXHPAKD"],"itemData":{"id":1371,"type":"article-journal","abstract":"The kappa coefficient is not an index of accuracy, indeed it is not an index of overall agreement but one of agreement beyond chance. Chance agreement is, however, irrelevant in an accuracy assessment and is anyway inappropriately modelled in the calculation of a kappa coefficient for typical remote sensing applications. The magnitude of a kappa coefficient is also difficult to interpret. Values that span the full range of widely used interpretation scales, indicating a level of agreement that equates to that estimated to arise from chance alone all the way through to almost perfect agreement, can be obtained from classifications that satisfy demanding accuracy targets (e.g. for a classification with overall accuracy of 95% the range of possible values of the kappa coefficient is −0.026 to 0.900). Comparisons of kappa coefficients are particularly challenging if the classes vary in their abundance (i.e. prevalence) as the magnitude of a kappa coefficient reflects not only agreement in labelling but also properties of the populations under study. It is shown that all of the arguments put forward for the use of the kappa coefficient in accuracy assessment are flawed and/or irrelevant as they apply equally to other, sometimes easier to calculate, measures of accuracy. Calls for the kappa coefficient to be abandoned from accuracy assessments should finally be heeded and researchers are encouraged to provide a set of simple measures and associated outputs such as estimates of per-class accuracy and the confusion matrix when assessing and comparing classification accuracy.","container-title":"Remote Sensing of Environment","DOI":"10.1016/j.rse.2019.111630","ISSN":"0034-4257","journalAbbreviation":"Remote Sensing of Environment","page":"111630","source":"ScienceDirect","title":"Explaining the unsuitability of the kappa coefficient in the assessment and comparison of the accuracy of thematic maps obtained by image classification","volume":"239","author":[{"family":"Foody","given":"Giles M."}],"issued":{"date-parts":[["2020",3,15]]}}}],"schema":"https://github.com/citation-style-language/schema/raw/master/csl-citation.json"} </w:instrText>
      </w:r>
      <w:r w:rsidR="00202AC3" w:rsidRPr="00202AC3">
        <w:rPr>
          <w:rFonts w:ascii="Arial" w:hAnsi="Arial" w:cs="Arial"/>
          <w:b/>
          <w:bCs/>
        </w:rPr>
        <w:fldChar w:fldCharType="separate"/>
      </w:r>
      <w:r w:rsidR="00202AC3" w:rsidRPr="00202AC3">
        <w:rPr>
          <w:rFonts w:ascii="Arial" w:hAnsi="Arial" w:cs="Arial"/>
          <w:b/>
          <w:bCs/>
        </w:rPr>
        <w:t>(Foody, 2020)</w:t>
      </w:r>
      <w:r w:rsidR="00202AC3" w:rsidRPr="00202AC3">
        <w:rPr>
          <w:rFonts w:ascii="Arial" w:hAnsi="Arial" w:cs="Arial"/>
          <w:b/>
          <w:bCs/>
        </w:rPr>
        <w:fldChar w:fldCharType="end"/>
      </w:r>
      <w:r w:rsidR="00202AC3" w:rsidRPr="00202AC3">
        <w:rPr>
          <w:rFonts w:ascii="Arial" w:hAnsi="Arial" w:cs="Arial"/>
          <w:b/>
          <w:bCs/>
        </w:rPr>
        <w:t>.</w:t>
      </w:r>
    </w:p>
    <w:p w14:paraId="7C4674E3" w14:textId="45892810" w:rsidR="00D85A05" w:rsidRDefault="00D85A05" w:rsidP="00D85A05">
      <w:pPr>
        <w:pStyle w:val="Body"/>
        <w:spacing w:before="24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00560E3D">
        <w:rPr>
          <w:rFonts w:ascii="Arial" w:hAnsi="Arial" w:cs="Arial"/>
          <w:b/>
          <w:u w:val="single"/>
        </w:rPr>
        <w:t>LULC change Detection Analysis (1991-2021)</w:t>
      </w:r>
      <w:r>
        <w:rPr>
          <w:rFonts w:ascii="Arial" w:hAnsi="Arial" w:cs="Arial"/>
          <w:b/>
          <w:u w:val="single"/>
        </w:rPr>
        <w:t xml:space="preserve"> </w:t>
      </w:r>
      <w:r w:rsidRPr="00FB3A86">
        <w:rPr>
          <w:rFonts w:ascii="Arial" w:hAnsi="Arial" w:cs="Arial"/>
        </w:rPr>
        <w:t xml:space="preserve"> </w:t>
      </w:r>
    </w:p>
    <w:p w14:paraId="2D8E41BE" w14:textId="397F0682" w:rsidR="00C116C4" w:rsidRDefault="00C116C4" w:rsidP="00C116C4">
      <w:pPr>
        <w:pStyle w:val="Body"/>
        <w:rPr>
          <w:rFonts w:ascii="Arial" w:hAnsi="Arial" w:cs="Arial"/>
        </w:rPr>
      </w:pPr>
      <w:r w:rsidRPr="00C116C4">
        <w:rPr>
          <w:rFonts w:ascii="Arial" w:hAnsi="Arial" w:cs="Arial"/>
        </w:rPr>
        <w:t>To investigate spatial and temporal dynamics of land use and land cover (LULC), with particular attention to green spaces in NCT</w:t>
      </w:r>
      <w:r w:rsidR="007A6AAE">
        <w:rPr>
          <w:rFonts w:ascii="Arial" w:hAnsi="Arial" w:cs="Arial"/>
        </w:rPr>
        <w:t>D</w:t>
      </w:r>
      <w:r w:rsidRPr="00C116C4">
        <w:rPr>
          <w:rFonts w:ascii="Arial" w:hAnsi="Arial" w:cs="Arial"/>
        </w:rPr>
        <w:t xml:space="preserve">, a post-classification comparison method was employed using decadal Landsat satellite imagery for the </w:t>
      </w:r>
      <w:r w:rsidRPr="00565C92">
        <w:rPr>
          <w:rFonts w:ascii="Arial" w:hAnsi="Arial" w:cs="Arial"/>
        </w:rPr>
        <w:t xml:space="preserve">years 1991, 2001, 2011, and 2021. The classified raster datasets for each year were generated using </w:t>
      </w:r>
      <w:r w:rsidR="00534C83" w:rsidRPr="00565C92">
        <w:rPr>
          <w:rFonts w:ascii="Arial" w:hAnsi="Arial" w:cs="Arial"/>
        </w:rPr>
        <w:t>un</w:t>
      </w:r>
      <w:r w:rsidRPr="00565C92">
        <w:rPr>
          <w:rFonts w:ascii="Arial" w:hAnsi="Arial" w:cs="Arial"/>
        </w:rPr>
        <w:t xml:space="preserve">supervised classification </w:t>
      </w:r>
      <w:r w:rsidRPr="00565C92">
        <w:rPr>
          <w:rFonts w:ascii="Arial" w:hAnsi="Arial" w:cs="Arial"/>
        </w:rPr>
        <w:lastRenderedPageBreak/>
        <w:t>and subsequently converted to vector format to enable polygon-based geospatial operations</w:t>
      </w:r>
      <w:r w:rsidR="00BA68B8">
        <w:rPr>
          <w:rFonts w:ascii="Arial" w:hAnsi="Arial" w:cs="Arial"/>
        </w:rPr>
        <w:t xml:space="preserve"> </w:t>
      </w:r>
      <w:r w:rsidR="00BA68B8" w:rsidRPr="00BA68B8">
        <w:rPr>
          <w:rFonts w:ascii="Arial" w:hAnsi="Arial" w:cs="Arial"/>
          <w:b/>
          <w:bCs/>
        </w:rPr>
        <w:fldChar w:fldCharType="begin"/>
      </w:r>
      <w:r w:rsidR="00BA68B8" w:rsidRPr="00BA68B8">
        <w:rPr>
          <w:rFonts w:ascii="Arial" w:hAnsi="Arial" w:cs="Arial"/>
          <w:b/>
          <w:bCs/>
        </w:rPr>
        <w:instrText xml:space="preserve"> ADDIN ZOTERO_ITEM CSL_CITATION {"citationID":"i6F6njTg","properties":{"formattedCitation":"(Viana et al., 2019)","plainCitation":"(Viana et al., 2019)","noteIndex":0},"citationItems":[{"id":1377,"uris":["http://zotero.org/users/local/l98j9GEk/items/Z6ZKWPQK"],"itemData":{"id":1377,"type":"chapter","abstract":"This study presents a proposed application of the time-weighted dynamic time warping method for urban sprawl analysis. Four spectral indices were computed from a long time-series of Landsat satellite imagery, corresponding to 48 scenes acquired between 2006 and 2018. The spectral indices were the normalized difference vegetation index, the normalized difference built-up index, the normalized difference water index, and the normalized difference bareness index, which when processed resulted in 192 different images. The R package dtwSat was used for image processing, since it represents one of the few open-source software programs available for processing large time-series datasets. The method was tested applied in the Alentejo Region of southern Portugal; traditionally a rural region, where urban sprawl presents risks for the preservation of agricultural systems and for ecosystem sustainability. The sprawl analysis was integrated in a geographic information system, in which we computed an expansion index to quantitatively assess the three main urban land expansion types: infill, extension, and leapfrog. The results show that, between 2007 and 2012, the main changes are due to extension (50ha), but with a significant amount of infill (36ha) and leapfrog growth (4ha), with the latter being the worst-case scenario. However, in the subsequent period, 2012–17, urban growth decreased to about 10ha, comprising both infill and extension, but notably leapfrog expansion disappeared. Our methodology proved to be flexible for managing irregular sampling and an out-of-phase time-series. The procedure offers a quantitative means of assessing urban sprawl dynamics and represents a potential strategy for defining sustainable urban development.","container-title":"Spatial Modeling in GIS and R for Earth and Environmental Sciences","ISBN":"978-0-12-815226-3","note":"DOI: 10.1016/B978-0-12-815226-3.00029-6","page":"621-651","publisher":"Elsevier","source":"ScienceDirect","title":"29 - Land Use/Land Cover Change Detection and Urban Sprawl Analysis","URL":"https://www.sciencedirect.com/science/article/pii/B9780128152263000296","author":[{"family":"Viana","given":"Cláudia M."},{"family":"Oliveira","given":"Sandra"},{"family":"Oliveira","given":"Sérgio C."},{"family":"Rocha","given":"Jorge"}],"editor":[{"family":"Pourghasemi","given":"Hamid Reza"},{"family":"Gokceoglu","given":"Candan"}],"accessed":{"date-parts":[["2025",4,12]]},"issued":{"date-parts":[["2019",1,1]]}}}],"schema":"https://github.com/citation-style-language/schema/raw/master/csl-citation.json"} </w:instrText>
      </w:r>
      <w:r w:rsidR="00BA68B8" w:rsidRPr="00BA68B8">
        <w:rPr>
          <w:rFonts w:ascii="Arial" w:hAnsi="Arial" w:cs="Arial"/>
          <w:b/>
          <w:bCs/>
        </w:rPr>
        <w:fldChar w:fldCharType="separate"/>
      </w:r>
      <w:r w:rsidR="00BA68B8" w:rsidRPr="00BA68B8">
        <w:rPr>
          <w:rFonts w:ascii="Arial" w:hAnsi="Arial" w:cs="Arial"/>
          <w:b/>
          <w:bCs/>
        </w:rPr>
        <w:t>(Viana et al., 2019)</w:t>
      </w:r>
      <w:r w:rsidR="00BA68B8" w:rsidRPr="00BA68B8">
        <w:rPr>
          <w:rFonts w:ascii="Arial" w:hAnsi="Arial" w:cs="Arial"/>
          <w:b/>
          <w:bCs/>
        </w:rPr>
        <w:fldChar w:fldCharType="end"/>
      </w:r>
      <w:r w:rsidRPr="00565C92">
        <w:rPr>
          <w:rFonts w:ascii="Arial" w:hAnsi="Arial" w:cs="Arial"/>
        </w:rPr>
        <w:t>. The change detection analysis was structured in four stages: three decadal transitions 1991–2001, 2001–2011, and 2011–2021 and one long-term transition for the entire study period, i.e., 1991–2021. This</w:t>
      </w:r>
      <w:r w:rsidRPr="00C116C4">
        <w:rPr>
          <w:rFonts w:ascii="Arial" w:hAnsi="Arial" w:cs="Arial"/>
        </w:rPr>
        <w:t xml:space="preserve"> staged comparison facilitated the assessment of both short-term and long-term land transformation trends.</w:t>
      </w:r>
      <w:r>
        <w:rPr>
          <w:rFonts w:ascii="Arial" w:hAnsi="Arial" w:cs="Arial"/>
        </w:rPr>
        <w:t xml:space="preserve"> </w:t>
      </w:r>
      <w:r w:rsidRPr="00C116C4">
        <w:rPr>
          <w:rFonts w:ascii="Arial" w:hAnsi="Arial" w:cs="Arial"/>
        </w:rPr>
        <w:t>The 'Intersection' geoprocessing tool was applied between successive time periods to overlay the vector layers and extract areas of land cover transition. For each temporal interval, a transformation matrix was constructed to quantify changes between land cover categories. The transformation matrix (also referred to as a transition or change matrix) presents the area of land that transitioned from one class to another</w:t>
      </w:r>
      <w:r w:rsidR="00BF4ECC">
        <w:rPr>
          <w:rFonts w:ascii="Arial" w:hAnsi="Arial" w:cs="Arial"/>
        </w:rPr>
        <w:t xml:space="preserve"> </w:t>
      </w:r>
      <w:r w:rsidR="00BF4ECC" w:rsidRPr="00CA373B">
        <w:rPr>
          <w:rFonts w:ascii="Arial" w:hAnsi="Arial" w:cs="Arial"/>
          <w:b/>
          <w:bCs/>
        </w:rPr>
        <w:fldChar w:fldCharType="begin"/>
      </w:r>
      <w:r w:rsidR="00BF4ECC" w:rsidRPr="00CA373B">
        <w:rPr>
          <w:rFonts w:ascii="Arial" w:hAnsi="Arial" w:cs="Arial"/>
          <w:b/>
          <w:bCs/>
        </w:rPr>
        <w:instrText xml:space="preserve"> ADDIN ZOTERO_ITEM CSL_CITATION {"citationID":"k6c4Je4w","properties":{"formattedCitation":"(Asokan &amp; Anitha, 2019)","plainCitation":"(Asokan &amp; Anitha, 2019)","noteIndex":0},"citationItems":[{"id":1381,"uris":["http://zotero.org/users/local/l98j9GEk/items/MWGQ82BQ"],"itemData":{"id":1381,"type":"article-journal","abstract":"Change detection captures the spatial changes from multi temporal satellite images due to manmade or natural phenomenon. It is of great importance in remote sensing, monitoring environmental changes and land use –land cover change detection. Remote sensing satellites acquire satellite images at varying resolutions and use these for change detection. This paper briefly analyses various change detection methods and the challenges and issues faced as part of change detection. Over the years, a wide range of methods have been developed for analyzing remote sensing data and newer methods are still being developed. Timely and accurate change detection of Earth’s surface features provides the basis for evaluating the relationships and interactions between human and natural phenomena for the better management of resources. In general, change detection applies multi-temporal datasets to quantitatively analyse the temporal effects of the phenomenon. As such, this study attempts to provide a comprehensive review of the fundamental processes required for change detection. The study also gives a brief account of the main techniques of change detection and discusses the need for development of enhanced change detection methods.","container-title":"Earth Science Informatics","DOI":"10.1007/s12145-019-00380-5","ISSN":"1865-0481","issue":"2","journalAbbreviation":"Earth Sci Inform","language":"en","page":"143-160","source":"Springer Link","title":"Change detection techniques for remote sensing applications: a survey","title-short":"Change detection techniques for remote sensing applications","volume":"12","author":[{"family":"Asokan","given":"Anju"},{"family":"Anitha","given":"J."}],"issued":{"date-parts":[["2019",6,1]]}}}],"schema":"https://github.com/citation-style-language/schema/raw/master/csl-citation.json"} </w:instrText>
      </w:r>
      <w:r w:rsidR="00BF4ECC" w:rsidRPr="00CA373B">
        <w:rPr>
          <w:rFonts w:ascii="Arial" w:hAnsi="Arial" w:cs="Arial"/>
          <w:b/>
          <w:bCs/>
        </w:rPr>
        <w:fldChar w:fldCharType="separate"/>
      </w:r>
      <w:r w:rsidR="00BF4ECC" w:rsidRPr="00CA373B">
        <w:rPr>
          <w:rFonts w:ascii="Arial" w:hAnsi="Arial" w:cs="Arial"/>
          <w:b/>
          <w:bCs/>
        </w:rPr>
        <w:t>(Asokan &amp; Anitha, 2019)</w:t>
      </w:r>
      <w:r w:rsidR="00BF4ECC" w:rsidRPr="00CA373B">
        <w:rPr>
          <w:rFonts w:ascii="Arial" w:hAnsi="Arial" w:cs="Arial"/>
          <w:b/>
          <w:bCs/>
        </w:rPr>
        <w:fldChar w:fldCharType="end"/>
      </w:r>
      <w:r w:rsidRPr="00CA373B">
        <w:rPr>
          <w:rFonts w:ascii="Arial" w:hAnsi="Arial" w:cs="Arial"/>
          <w:b/>
          <w:bCs/>
        </w:rPr>
        <w:t>.</w:t>
      </w:r>
      <w:r w:rsidRPr="00C116C4">
        <w:rPr>
          <w:rFonts w:ascii="Arial" w:hAnsi="Arial" w:cs="Arial"/>
        </w:rPr>
        <w:t xml:space="preserve"> The rows in the matrix represent land cover classes in the initial year of comparison, while the columns indicate classes in the subsequent year. Diagonal elements represent stable classes with no change, whereas off-diagonal elements reveal conversions between different land cover types. This matrix-based approach </w:t>
      </w:r>
      <w:r w:rsidR="00363433" w:rsidRPr="00C116C4">
        <w:rPr>
          <w:rFonts w:ascii="Arial" w:hAnsi="Arial" w:cs="Arial"/>
        </w:rPr>
        <w:t>offers</w:t>
      </w:r>
      <w:r w:rsidRPr="00C116C4">
        <w:rPr>
          <w:rFonts w:ascii="Arial" w:hAnsi="Arial" w:cs="Arial"/>
        </w:rPr>
        <w:t xml:space="preserve"> a detailed understanding of land conversion</w:t>
      </w:r>
      <w:r w:rsidR="00DD6091" w:rsidRPr="00DD6091">
        <w:rPr>
          <w:rFonts w:ascii="Arial" w:hAnsi="Arial" w:cs="Arial"/>
        </w:rPr>
        <w:t xml:space="preserve"> </w:t>
      </w:r>
      <w:r w:rsidR="00DD6091" w:rsidRPr="00C116C4">
        <w:rPr>
          <w:rFonts w:ascii="Arial" w:hAnsi="Arial" w:cs="Arial"/>
        </w:rPr>
        <w:t>dynamics</w:t>
      </w:r>
      <w:r w:rsidRPr="00C116C4">
        <w:rPr>
          <w:rFonts w:ascii="Arial" w:hAnsi="Arial" w:cs="Arial"/>
        </w:rPr>
        <w:t>, particularly highlighting the loss, persistence, and gain of green spaces.</w:t>
      </w:r>
    </w:p>
    <w:p w14:paraId="733DD4F2" w14:textId="307B76CB" w:rsidR="00D31385" w:rsidRDefault="00C116C4" w:rsidP="00C116C4">
      <w:pPr>
        <w:pStyle w:val="Body"/>
        <w:rPr>
          <w:rFonts w:ascii="Arial" w:hAnsi="Arial" w:cs="Arial"/>
        </w:rPr>
      </w:pPr>
      <w:r w:rsidRPr="00C116C4">
        <w:rPr>
          <w:rFonts w:ascii="Arial" w:hAnsi="Arial" w:cs="Arial"/>
        </w:rPr>
        <w:t xml:space="preserve">To measure the extent of change, two metrics were calculated: absolute change and percentage change. The absolute change </w:t>
      </w:r>
      <w:r>
        <w:rPr>
          <w:rFonts w:ascii="Arial" w:hAnsi="Arial" w:cs="Arial"/>
        </w:rPr>
        <w:t>(</w:t>
      </w:r>
      <w:r w:rsidRPr="00C116C4">
        <w:rPr>
          <w:rFonts w:ascii="Arial" w:hAnsi="Arial" w:cs="Arial"/>
          <w:i/>
          <w:iCs/>
        </w:rPr>
        <w:t>C</w:t>
      </w:r>
      <w:r w:rsidRPr="00C116C4">
        <w:rPr>
          <w:rFonts w:ascii="Arial" w:hAnsi="Arial" w:cs="Arial"/>
          <w:i/>
          <w:iCs/>
          <w:vertAlign w:val="subscript"/>
        </w:rPr>
        <w:t>i</w:t>
      </w:r>
      <w:r>
        <w:rPr>
          <w:rFonts w:ascii="Arial" w:hAnsi="Arial" w:cs="Arial"/>
        </w:rPr>
        <w:t xml:space="preserve">) </w:t>
      </w:r>
      <w:r w:rsidRPr="00C116C4">
        <w:rPr>
          <w:rFonts w:ascii="Arial" w:hAnsi="Arial" w:cs="Arial"/>
        </w:rPr>
        <w:t xml:space="preserve">in area for a given class </w:t>
      </w:r>
      <w:r w:rsidRPr="00C116C4">
        <w:rPr>
          <w:rFonts w:ascii="Cambria Math" w:hAnsi="Cambria Math" w:cs="Cambria Math"/>
        </w:rPr>
        <w:t>𝑖</w:t>
      </w:r>
      <w:r>
        <w:rPr>
          <w:rFonts w:ascii="Arial" w:hAnsi="Arial" w:cs="Arial"/>
        </w:rPr>
        <w:t xml:space="preserve"> </w:t>
      </w:r>
      <w:r w:rsidRPr="00C116C4">
        <w:rPr>
          <w:rFonts w:ascii="Arial" w:hAnsi="Arial" w:cs="Arial"/>
        </w:rPr>
        <w:t>was computed using the equation</w:t>
      </w:r>
      <w:r>
        <w:rPr>
          <w:rFonts w:ascii="Arial" w:hAnsi="Arial" w:cs="Arial"/>
        </w:rPr>
        <w:t xml:space="preserve"> (5):</w:t>
      </w:r>
    </w:p>
    <w:p w14:paraId="0B8912BB" w14:textId="4833ADFC" w:rsidR="00C116C4" w:rsidRDefault="00C116C4" w:rsidP="00C116C4">
      <w:pPr>
        <w:pStyle w:val="Body"/>
        <w:rPr>
          <w:rFonts w:ascii="Arial" w:hAnsi="Arial" w:cs="Arial"/>
        </w:rPr>
      </w:pPr>
      <w:r>
        <w:rPr>
          <w:rFonts w:ascii="Arial" w:hAnsi="Arial" w:cs="Arial"/>
        </w:rPr>
        <w:t xml:space="preserve">                                                                       </w:t>
      </w:r>
      <m:oMath>
        <m:sSub>
          <m:sSubPr>
            <m:ctrlPr>
              <w:rPr>
                <w:rFonts w:ascii="Cambria Math" w:hAnsi="Cambria Math" w:cs="Arial"/>
                <w:i/>
              </w:rPr>
            </m:ctrlPr>
          </m:sSubPr>
          <m:e>
            <m:r>
              <w:rPr>
                <w:rFonts w:ascii="Cambria Math" w:hAnsi="Cambria Math" w:cs="Arial"/>
              </w:rPr>
              <m:t xml:space="preserve"> C</m:t>
            </m:r>
          </m:e>
          <m:sub>
            <m:r>
              <w:rPr>
                <w:rFonts w:ascii="Cambria Math" w:hAnsi="Cambria Math" w:cs="Arial"/>
              </w:rPr>
              <m:t>i</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L</m:t>
            </m:r>
          </m:e>
          <m:sub>
            <m:r>
              <w:rPr>
                <w:rFonts w:ascii="Cambria Math" w:hAnsi="Cambria Math" w:cs="Arial"/>
              </w:rPr>
              <m:t xml:space="preserve">i </m:t>
            </m:r>
          </m:sub>
        </m:sSub>
        <m:r>
          <w:rPr>
            <w:rFonts w:ascii="Cambria Math" w:hAnsi="Cambria Math" w:cs="Arial"/>
          </w:rPr>
          <m:t>⎯</m:t>
        </m:r>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oMath>
      <w:r>
        <w:rPr>
          <w:rFonts w:ascii="Arial" w:hAnsi="Arial" w:cs="Arial"/>
        </w:rPr>
        <w:t xml:space="preserve">                                                      (5)</w:t>
      </w:r>
    </w:p>
    <w:p w14:paraId="01A67E42" w14:textId="66C36774" w:rsidR="00597BCF" w:rsidRDefault="00597BCF" w:rsidP="00C116C4">
      <w:pPr>
        <w:pStyle w:val="Body"/>
        <w:rPr>
          <w:rFonts w:ascii="Arial" w:hAnsi="Arial" w:cs="Arial"/>
        </w:rPr>
      </w:pPr>
      <w:r>
        <w:rPr>
          <w:rFonts w:ascii="Arial" w:hAnsi="Arial" w:cs="Arial"/>
        </w:rPr>
        <w:t>Similarly, the percentage change (P</w:t>
      </w:r>
      <w:r w:rsidRPr="00597BCF">
        <w:rPr>
          <w:rFonts w:ascii="Arial" w:hAnsi="Arial" w:cs="Arial"/>
          <w:vertAlign w:val="subscript"/>
        </w:rPr>
        <w:t>i</w:t>
      </w:r>
      <w:r>
        <w:rPr>
          <w:rFonts w:ascii="Arial" w:hAnsi="Arial" w:cs="Arial"/>
        </w:rPr>
        <w:t xml:space="preserve">) was derived as: </w:t>
      </w:r>
    </w:p>
    <w:p w14:paraId="7164B7B0" w14:textId="2F3A36A8" w:rsidR="00597BCF" w:rsidRDefault="001C5EF6" w:rsidP="00C116C4">
      <w:pPr>
        <w:pStyle w:val="Body"/>
        <w:rPr>
          <w:rFonts w:ascii="Arial" w:hAnsi="Arial" w:cs="Arial"/>
        </w:rPr>
      </w:pPr>
      <w:r>
        <w:rPr>
          <w:rFonts w:ascii="Arial" w:hAnsi="Arial" w:cs="Arial"/>
        </w:rPr>
        <w:t xml:space="preserve">                                                               </w:t>
      </w:r>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r>
          <w:rPr>
            <w:rFonts w:ascii="Cambria Math" w:hAnsi="Cambria Math" w:cs="Arial"/>
          </w:rPr>
          <m:t xml:space="preserve"> = </m:t>
        </m:r>
        <m:d>
          <m:dPr>
            <m:ctrlPr>
              <w:rPr>
                <w:rFonts w:ascii="Cambria Math" w:hAnsi="Cambria Math" w:cs="Arial"/>
                <w:i/>
              </w:rPr>
            </m:ctrlPr>
          </m:dPr>
          <m:e>
            <m:f>
              <m:fPr>
                <m:type m:val="skw"/>
                <m:ctrlPr>
                  <w:rPr>
                    <w:rFonts w:ascii="Cambria Math" w:hAnsi="Cambria Math" w:cs="Arial"/>
                    <w:i/>
                  </w:rPr>
                </m:ctrlPr>
              </m:fPr>
              <m:num>
                <m:sSub>
                  <m:sSubPr>
                    <m:ctrlPr>
                      <w:rPr>
                        <w:rFonts w:ascii="Cambria Math" w:hAnsi="Cambria Math" w:cs="Arial"/>
                        <w:i/>
                      </w:rPr>
                    </m:ctrlPr>
                  </m:sSubPr>
                  <m:e>
                    <m:r>
                      <w:rPr>
                        <w:rFonts w:ascii="Cambria Math" w:hAnsi="Cambria Math" w:cs="Arial"/>
                      </w:rPr>
                      <m:t>L</m:t>
                    </m:r>
                  </m:e>
                  <m:sub>
                    <m:r>
                      <w:rPr>
                        <w:rFonts w:ascii="Cambria Math" w:hAnsi="Cambria Math" w:cs="Arial"/>
                      </w:rPr>
                      <m:t>i</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den>
            </m:f>
          </m:e>
        </m:d>
        <m:r>
          <w:rPr>
            <w:rFonts w:ascii="Cambria Math" w:hAnsi="Cambria Math" w:cs="Arial"/>
          </w:rPr>
          <m:t xml:space="preserve"> × 100</m:t>
        </m:r>
      </m:oMath>
      <w:r>
        <w:rPr>
          <w:rFonts w:ascii="Arial" w:hAnsi="Arial" w:cs="Arial"/>
        </w:rPr>
        <w:t xml:space="preserve">                                         (6)</w:t>
      </w:r>
    </w:p>
    <w:p w14:paraId="674F9908" w14:textId="3F595C65" w:rsidR="00B2485F" w:rsidRPr="001C5EF6" w:rsidRDefault="00B2485F" w:rsidP="00B2485F">
      <w:pPr>
        <w:pStyle w:val="Body"/>
        <w:rPr>
          <w:rFonts w:ascii="Arial" w:hAnsi="Arial" w:cs="Arial"/>
        </w:rPr>
      </w:pPr>
      <w:r w:rsidRPr="00B2485F">
        <w:rPr>
          <w:rFonts w:ascii="Arial" w:hAnsi="Arial" w:cs="Arial"/>
        </w:rPr>
        <w:t xml:space="preserve">where </w:t>
      </w:r>
      <m:oMath>
        <m:sSub>
          <m:sSubPr>
            <m:ctrlPr>
              <w:rPr>
                <w:rFonts w:ascii="Cambria Math" w:hAnsi="Cambria Math" w:cs="Arial"/>
                <w:i/>
              </w:rPr>
            </m:ctrlPr>
          </m:sSubPr>
          <m:e>
            <m:r>
              <w:rPr>
                <w:rFonts w:ascii="Cambria Math" w:hAnsi="Cambria Math" w:cs="Arial"/>
              </w:rPr>
              <m:t xml:space="preserve"> C</m:t>
            </m:r>
          </m:e>
          <m:sub>
            <m:r>
              <w:rPr>
                <w:rFonts w:ascii="Cambria Math" w:hAnsi="Cambria Math" w:cs="Arial"/>
              </w:rPr>
              <m:t>i</m:t>
            </m:r>
          </m:sub>
        </m:sSub>
      </m:oMath>
      <w:r>
        <w:rPr>
          <w:rFonts w:ascii="Arial" w:hAnsi="Arial" w:cs="Arial"/>
        </w:rPr>
        <w:t xml:space="preserve"> </w:t>
      </w:r>
      <w:r w:rsidRPr="00B2485F">
        <w:rPr>
          <w:rFonts w:ascii="Arial" w:hAnsi="Arial" w:cs="Arial"/>
        </w:rPr>
        <w:t xml:space="preserve">denotes the change in area (in km²), </w:t>
      </w:r>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oMath>
      <w:r>
        <w:rPr>
          <w:rFonts w:ascii="Arial" w:hAnsi="Arial" w:cs="Arial"/>
        </w:rPr>
        <w:t xml:space="preserve"> </w:t>
      </w:r>
      <w:r w:rsidRPr="00B2485F">
        <w:rPr>
          <w:rFonts w:ascii="Arial" w:hAnsi="Arial" w:cs="Arial"/>
        </w:rPr>
        <w:t xml:space="preserve">represents the percentage change, </w:t>
      </w:r>
      <m:oMath>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oMath>
      <w:r>
        <w:rPr>
          <w:rFonts w:ascii="Arial" w:hAnsi="Arial" w:cs="Arial"/>
        </w:rPr>
        <w:t xml:space="preserve"> </w:t>
      </w:r>
      <w:r w:rsidRPr="00B2485F">
        <w:rPr>
          <w:rFonts w:ascii="Arial" w:hAnsi="Arial" w:cs="Arial"/>
        </w:rPr>
        <w:t xml:space="preserve">is the area of class </w:t>
      </w:r>
      <w:r w:rsidRPr="00B2485F">
        <w:rPr>
          <w:rFonts w:ascii="Cambria Math" w:hAnsi="Cambria Math" w:cs="Cambria Math"/>
        </w:rPr>
        <w:t>𝑖</w:t>
      </w:r>
      <w:r>
        <w:rPr>
          <w:rFonts w:ascii="Arial" w:hAnsi="Arial" w:cs="Arial"/>
        </w:rPr>
        <w:t xml:space="preserve"> </w:t>
      </w:r>
      <w:r w:rsidRPr="00B2485F">
        <w:rPr>
          <w:rFonts w:ascii="Arial" w:hAnsi="Arial" w:cs="Arial"/>
        </w:rPr>
        <w:t xml:space="preserve">in the base year, and </w:t>
      </w:r>
      <m:oMath>
        <m:sSub>
          <m:sSubPr>
            <m:ctrlPr>
              <w:rPr>
                <w:rFonts w:ascii="Cambria Math" w:hAnsi="Cambria Math" w:cs="Arial"/>
                <w:i/>
              </w:rPr>
            </m:ctrlPr>
          </m:sSubPr>
          <m:e>
            <m:r>
              <w:rPr>
                <w:rFonts w:ascii="Cambria Math" w:hAnsi="Cambria Math" w:cs="Arial"/>
              </w:rPr>
              <m:t>L</m:t>
            </m:r>
          </m:e>
          <m:sub>
            <m:r>
              <w:rPr>
                <w:rFonts w:ascii="Cambria Math" w:hAnsi="Cambria Math" w:cs="Arial"/>
              </w:rPr>
              <m:t xml:space="preserve">i </m:t>
            </m:r>
          </m:sub>
        </m:sSub>
      </m:oMath>
      <w:r>
        <w:rPr>
          <w:rFonts w:ascii="Arial" w:hAnsi="Arial" w:cs="Arial"/>
        </w:rPr>
        <w:t xml:space="preserve"> </w:t>
      </w:r>
      <w:r w:rsidRPr="00B2485F">
        <w:rPr>
          <w:rFonts w:ascii="Arial" w:hAnsi="Arial" w:cs="Arial"/>
        </w:rPr>
        <w:t>is the area of the same class in the target year. These computations were applied for each transition period to capture class-specific trends in land transformation, especially for green spaces.</w:t>
      </w:r>
    </w:p>
    <w:p w14:paraId="6491721B" w14:textId="76EC5C36" w:rsidR="0006459E" w:rsidRDefault="0006459E" w:rsidP="0006459E">
      <w:pPr>
        <w:pStyle w:val="Body"/>
        <w:spacing w:before="24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sidR="00AF768B">
        <w:rPr>
          <w:rFonts w:ascii="Arial" w:hAnsi="Arial" w:cs="Arial"/>
          <w:b/>
          <w:u w:val="single"/>
        </w:rPr>
        <w:t>4</w:t>
      </w:r>
      <w:r w:rsidRPr="00902823">
        <w:rPr>
          <w:rFonts w:ascii="Arial" w:hAnsi="Arial" w:cs="Arial"/>
          <w:b/>
          <w:u w:val="single"/>
        </w:rPr>
        <w:t xml:space="preserve"> </w:t>
      </w:r>
      <w:r w:rsidR="00243650">
        <w:rPr>
          <w:rFonts w:ascii="Arial" w:hAnsi="Arial" w:cs="Arial"/>
          <w:b/>
          <w:u w:val="single"/>
        </w:rPr>
        <w:t>Landscape Matrix</w:t>
      </w:r>
      <w:r>
        <w:rPr>
          <w:rFonts w:ascii="Arial" w:hAnsi="Arial" w:cs="Arial"/>
          <w:b/>
          <w:u w:val="single"/>
        </w:rPr>
        <w:t xml:space="preserve"> </w:t>
      </w:r>
      <w:r w:rsidRPr="00FB3A86">
        <w:rPr>
          <w:rFonts w:ascii="Arial" w:hAnsi="Arial" w:cs="Arial"/>
        </w:rPr>
        <w:t xml:space="preserve"> </w:t>
      </w:r>
    </w:p>
    <w:p w14:paraId="59920A3D" w14:textId="0C55ADF7" w:rsidR="00226798" w:rsidRPr="00226798" w:rsidRDefault="00F441CC" w:rsidP="00226798">
      <w:pPr>
        <w:pStyle w:val="Body"/>
        <w:rPr>
          <w:rFonts w:ascii="Cambria" w:eastAsia="Cambria" w:hAnsi="Cambria" w:cs="Cambria"/>
          <w:sz w:val="14"/>
          <w:szCs w:val="22"/>
        </w:rPr>
      </w:pPr>
      <w:r w:rsidRPr="00F441CC">
        <w:rPr>
          <w:rFonts w:ascii="Arial" w:hAnsi="Arial" w:cs="Arial"/>
        </w:rPr>
        <w:t>To evaluate spatial structure and temporal dynamics of landscape patterns</w:t>
      </w:r>
      <w:r>
        <w:rPr>
          <w:rFonts w:ascii="Arial" w:hAnsi="Arial" w:cs="Arial"/>
        </w:rPr>
        <w:t xml:space="preserve"> </w:t>
      </w:r>
      <w:r w:rsidRPr="00F441CC">
        <w:rPr>
          <w:rFonts w:ascii="Arial" w:hAnsi="Arial" w:cs="Arial"/>
        </w:rPr>
        <w:t>particularly those associated with green spaces</w:t>
      </w:r>
      <w:r w:rsidR="00BC4432">
        <w:rPr>
          <w:rFonts w:ascii="Arial" w:hAnsi="Arial" w:cs="Arial"/>
        </w:rPr>
        <w:t xml:space="preserve"> </w:t>
      </w:r>
      <w:r w:rsidRPr="00F441CC">
        <w:rPr>
          <w:rFonts w:ascii="Arial" w:hAnsi="Arial" w:cs="Arial"/>
        </w:rPr>
        <w:t>a suite of quantitative landscape metrics was employed. These metrics are widely used in landscape ecology to characterize changes in the composition and configuration of land use and land cover across time and space. In this study, a total of eight landscape metrics were selected based on their relevance and frequent use in previous peer-reviewed literature. These include five class-level metrics and three landscape-level metrics, each serving to capture specific dimensions of landscape structure, such as fragmentation, connectivity, and diversity.</w:t>
      </w:r>
      <w:r>
        <w:rPr>
          <w:rFonts w:ascii="Arial" w:hAnsi="Arial" w:cs="Arial"/>
        </w:rPr>
        <w:t xml:space="preserve"> </w:t>
      </w:r>
      <w:r w:rsidRPr="00F441CC">
        <w:rPr>
          <w:rFonts w:ascii="Arial" w:hAnsi="Arial" w:cs="Arial"/>
        </w:rPr>
        <w:t>At the class level, the selected metrics include: Percentage of Landscape (PLAND), which measures the proportional area occupied by a specific land use class; Patch Density (PD), which indicates the degree of fragmentation by quantifying number of patches per unit area; Largest Patch Index (LPI), reflecting dominance of largest patch within landscape; Landscape Shape Index (LSI), which accounts for geometric complexity of patches; and Patch Cohesion Index (COHESION), which evaluates the physical connectedness of patches within the same land cover type</w:t>
      </w:r>
      <w:r w:rsidR="00156EBC">
        <w:rPr>
          <w:rFonts w:ascii="Arial" w:hAnsi="Arial" w:cs="Arial"/>
        </w:rPr>
        <w:t xml:space="preserve"> </w:t>
      </w:r>
      <w:r w:rsidR="00156EBC" w:rsidRPr="00156EBC">
        <w:rPr>
          <w:rFonts w:ascii="Arial" w:hAnsi="Arial" w:cs="Arial"/>
          <w:b/>
          <w:bCs/>
        </w:rPr>
        <w:fldChar w:fldCharType="begin"/>
      </w:r>
      <w:r w:rsidR="00156EBC" w:rsidRPr="00156EBC">
        <w:rPr>
          <w:rFonts w:ascii="Arial" w:hAnsi="Arial" w:cs="Arial"/>
          <w:b/>
          <w:bCs/>
        </w:rPr>
        <w:instrText xml:space="preserve"> ADDIN ZOTERO_ITEM CSL_CITATION {"citationID":"IybKlp13","properties":{"formattedCitation":"(Sertel et al., 2018)","plainCitation":"(Sertel et al., 2018)","noteIndex":0},"citationItems":[{"id":1383,"uris":["http://zotero.org/users/local/l98j9GEk/items/T2J3VU72"],"itemData":{"id":1383,"type":"article-journal","abstract":"This research aims to investigate how different landscape metrics are affected by the enhancement of the thematic classes in land cover/land use (LC/LU) maps. For this aim, three different LC/LU maps based on three different levels of CORINE (Coordination of Information on The Environment) nomenclature were created for the selected study area using GEOBIA (Geographic Object Based Image Analysis) techniques. First, second and third level LC/LU maps of the study area have five, thirteen and twenty-seven hierarchical thematic classes, respectively. High-resolution Spot 7 images with 1.5 m spatial resolution were used as the main Earth Observation data to create LC/LU maps. Additional geospatial data from open sources (OpenStreetMap and Wikimapia) were also integrated to the classification in order to identify some of the 2nd and 3rd level LC/LU classes. Classification procedure was initially conducted for Level 3 classes in which we developed decision trees to be used in object-based classification. Afterwards, Level 3 classes were merged to create Level 2 LC/LU map and then Level 2 classes were merged to create the Level 1 LC/LU map according to CORINE nomenclature. The accuracy of Level 1, Level 2, Level 3 maps are calculated as; 93.50%, 89.00%, 85.50% respectively. At the last stage, several landscape metrics such as Number of Patch (NP), Edge Density (ED), Largest Patch Index (LPI), Euclidean Nearest Neighbor Distance (ENN), Splitting Index (SPLIT) and Aggregation Index (AI) metrics and others were calculated for different level LC/LU maps and landscape metrics values were compared to analyze the impact of changing thematic details on landscape metrics. Our results show that, increasing the thematic detail allows landscape characteristics to be defined more precisely and ensure comprehensive assessment of cause and effect relationships between classes.","container-title":"ISPRS International Journal of Geo-Information","DOI":"10.3390/ijgi7100408","ISSN":"2220-9964","issue":"10","language":"en","license":"http://creativecommons.org/licenses/by/3.0/","note":"number: 10\npublisher: Multidisciplinary Digital Publishing Institute","page":"408","source":"www.mdpi.com","title":"Comparison of Landscape Metrics for Three Different Level Land Cover/Land Use Maps","volume":"7","author":[{"family":"Sertel","given":"Elif"},{"family":"Topaloğlu","given":"Raziye Hale"},{"family":"Şallı","given":"Betül"},{"family":"Yay Algan","given":"Irmak"},{"family":"Aksu","given":"Gül Aslı"}],"issued":{"date-parts":[["2018",10]]}}}],"schema":"https://github.com/citation-style-language/schema/raw/master/csl-citation.json"} </w:instrText>
      </w:r>
      <w:r w:rsidR="00156EBC" w:rsidRPr="00156EBC">
        <w:rPr>
          <w:rFonts w:ascii="Arial" w:hAnsi="Arial" w:cs="Arial"/>
          <w:b/>
          <w:bCs/>
        </w:rPr>
        <w:fldChar w:fldCharType="separate"/>
      </w:r>
      <w:r w:rsidR="00156EBC" w:rsidRPr="00156EBC">
        <w:rPr>
          <w:rFonts w:ascii="Arial" w:hAnsi="Arial" w:cs="Arial"/>
          <w:b/>
          <w:bCs/>
        </w:rPr>
        <w:t>(Sertel et al., 2018)</w:t>
      </w:r>
      <w:r w:rsidR="00156EBC" w:rsidRPr="00156EBC">
        <w:rPr>
          <w:rFonts w:ascii="Arial" w:hAnsi="Arial" w:cs="Arial"/>
          <w:b/>
          <w:bCs/>
        </w:rPr>
        <w:fldChar w:fldCharType="end"/>
      </w:r>
      <w:r w:rsidRPr="00F441CC">
        <w:rPr>
          <w:rFonts w:ascii="Arial" w:hAnsi="Arial" w:cs="Arial"/>
        </w:rPr>
        <w:t>.</w:t>
      </w:r>
      <w:r>
        <w:rPr>
          <w:rFonts w:ascii="Arial" w:hAnsi="Arial" w:cs="Arial"/>
        </w:rPr>
        <w:t xml:space="preserve"> </w:t>
      </w:r>
      <w:r w:rsidRPr="00F441CC">
        <w:rPr>
          <w:rFonts w:ascii="Arial" w:hAnsi="Arial" w:cs="Arial"/>
        </w:rPr>
        <w:t>At the broader landscape scale, three integrative indices were applied: Contagion Index (CONTAG), which reflects degree of spatial aggregation among different land cover types; Shannon’s Diversity Index (</w:t>
      </w:r>
      <w:r w:rsidRPr="00156EBC">
        <w:rPr>
          <w:rFonts w:ascii="Arial" w:hAnsi="Arial" w:cs="Arial"/>
        </w:rPr>
        <w:t>SHDI)</w:t>
      </w:r>
      <w:r w:rsidRPr="00F441CC">
        <w:rPr>
          <w:rFonts w:ascii="Arial" w:hAnsi="Arial" w:cs="Arial"/>
        </w:rPr>
        <w:t>, which captures the overall richness and heterogeneity of the landscape</w:t>
      </w:r>
      <w:r w:rsidR="00156EBC">
        <w:rPr>
          <w:rFonts w:ascii="Arial" w:hAnsi="Arial" w:cs="Arial"/>
        </w:rPr>
        <w:t xml:space="preserve"> </w:t>
      </w:r>
      <w:r w:rsidR="00156EBC" w:rsidRPr="00156EBC">
        <w:rPr>
          <w:rFonts w:ascii="Arial" w:hAnsi="Arial" w:cs="Arial"/>
          <w:b/>
          <w:bCs/>
        </w:rPr>
        <w:fldChar w:fldCharType="begin"/>
      </w:r>
      <w:r w:rsidR="00156EBC" w:rsidRPr="00156EBC">
        <w:rPr>
          <w:rFonts w:ascii="Arial" w:hAnsi="Arial" w:cs="Arial"/>
          <w:b/>
          <w:bCs/>
        </w:rPr>
        <w:instrText xml:space="preserve"> ADDIN ZOTERO_ITEM CSL_CITATION {"citationID":"dulp6RsS","properties":{"formattedCitation":"(Y. Zhang et al., 2023)","plainCitation":"(Y. Zhang et al., 2023)","noteIndex":0},"citationItems":[{"id":1385,"uris":["http://zotero.org/users/local/l98j9GEk/items/XLVBHR7U"],"itemData":{"id":1385,"type":"article-journal","abstract":"To study the impact of land—use structure and landscape pattern on water quality at different spatial scales in the Dan River Basin (Qin Ling Mountains, China), water samples from 21 sites along the Dan River were collected in 2022 during the dry and wet seasons, and nine water quality indices were tested. Land—use composition and landscape pattern indices at riverine reach, riparian, and sub—basin were obtained, and correlation analysis and redundancy analysis (RDA) were used to determine the relationship with water quality. The results are as follows. (1) Water quality in the Dan River is better in the wet season than in the dry season; the main pollutants are total nitrogen (TN) and total phosphorus (TP). (2) The impact of land—use composition and landscape pattern on water quality has a scale effect; riverine reach can best explain the water quality. (3) Agricultural land and forest have the greatest impacts on water quality; agricultural land and construction land aggravate the deterioration of water quality, while forest, grassland, and water area have positive effects on water quality. The largest patch index (LPI) and contagion index (CONTAG) were positively correlated with pollutants, while Patch richness density (PRD), Patch shape (PD), Shannon’s diversity index (SHDI), and landscape shape index (LSI) were negatively correlated with pollutants, indicating that with an increase in the impact of human activities on landscapes, the degree of fragmentation decreases patch richness, landscape shape tends to be simplified, and water pollution is eventually aggravated. Land planners should focus on optimizing the land—use structure and landscape pattern to increase the diversity of the landscape. Therefore, strict environmental regulations must be established.","container-title":"Water","DOI":"10.3390/w15183276","ISSN":"2073-4441","issue":"18","language":"en","license":"http://creativecommons.org/licenses/by/3.0/","note":"number: 18\npublisher: Multidisciplinary Digital Publishing Institute","page":"3276","source":"www.mdpi.com","title":"The Impact of Land—Use Composition and Landscape Pattern on Water Quality at Different Spatial Scales in the Dan River Basin, Qin Ling Mountains","volume":"15","author":[{"family":"Zhang","given":"Yuanyuan"},{"family":"Zhao","given":"Yan"},{"family":"Zhang","given":"Huiwen"},{"family":"Cao","given":"Jing"},{"family":"Chen","given":"Jingshu"},{"family":"Su","given":"Cuicui"},{"family":"Chen","given":"Yiping"}],"issued":{"date-parts":[["2023",1]]}}}],"schema":"https://github.com/citation-style-language/schema/raw/master/csl-citation.json"} </w:instrText>
      </w:r>
      <w:r w:rsidR="00156EBC" w:rsidRPr="00156EBC">
        <w:rPr>
          <w:rFonts w:ascii="Arial" w:hAnsi="Arial" w:cs="Arial"/>
          <w:b/>
          <w:bCs/>
        </w:rPr>
        <w:fldChar w:fldCharType="separate"/>
      </w:r>
      <w:r w:rsidR="00156EBC" w:rsidRPr="00156EBC">
        <w:rPr>
          <w:rFonts w:ascii="Arial" w:hAnsi="Arial" w:cs="Arial"/>
          <w:b/>
          <w:bCs/>
        </w:rPr>
        <w:t>(Y. Zhang et al., 2023)</w:t>
      </w:r>
      <w:r w:rsidR="00156EBC" w:rsidRPr="00156EBC">
        <w:rPr>
          <w:rFonts w:ascii="Arial" w:hAnsi="Arial" w:cs="Arial"/>
          <w:b/>
          <w:bCs/>
        </w:rPr>
        <w:fldChar w:fldCharType="end"/>
      </w:r>
      <w:r w:rsidRPr="00F441CC">
        <w:rPr>
          <w:rFonts w:ascii="Arial" w:hAnsi="Arial" w:cs="Arial"/>
        </w:rPr>
        <w:t>; and Shannon’s Evenness Index (SHEI), which describes uniformity in the distribution of patch types across the landscape</w:t>
      </w:r>
      <w:r w:rsidR="00156EBC">
        <w:rPr>
          <w:rFonts w:ascii="Arial" w:hAnsi="Arial" w:cs="Arial"/>
        </w:rPr>
        <w:t xml:space="preserve"> </w:t>
      </w:r>
      <w:r w:rsidR="00156EBC" w:rsidRPr="00156EBC">
        <w:rPr>
          <w:rFonts w:ascii="Arial" w:hAnsi="Arial" w:cs="Arial"/>
          <w:b/>
          <w:bCs/>
        </w:rPr>
        <w:fldChar w:fldCharType="begin"/>
      </w:r>
      <w:r w:rsidR="00156EBC" w:rsidRPr="00156EBC">
        <w:rPr>
          <w:rFonts w:ascii="Arial" w:hAnsi="Arial" w:cs="Arial"/>
          <w:b/>
          <w:bCs/>
        </w:rPr>
        <w:instrText xml:space="preserve"> ADDIN ZOTERO_ITEM CSL_CITATION {"citationID":"LSOQcvPE","properties":{"formattedCitation":"(Plexida et al., 2014)","plainCitation":"(Plexida et al., 2014)","noteIndex":0},"citationItems":[{"id":1389,"uris":["http://zotero.org/users/local/l98j9GEk/items/RN563X65"],"itemData":{"id":1389,"type":"article-journal","abstract":"This paper investigates the spatial heterogeneity of three landscapes along an altitudinal gradient and different human land use. The main aim was the identification of appropriate landscape indicators using different extents. ASTER image was used to create a land cover map consisting of three landscapes which differed in altitude and land use. A number of landscape metrics quantifying patch complexity, configuration, diversity and connectivity were derived from the thematic map at the landscape level. There were significant differences among the three landscapes regarding these four aspects of landscape heterogeneity. The analysis revealed a specific pattern of land use where lowlands are being increasingly utilized by humans (percentage of agricultural land=65.84%) characterized by physical connectedness (high values of Patch Cohesion Index) and relatively simple geometries (low values of fractal dimension index). The landscape pattern of uplands was found to be highly diverse based upon the Shannon Diversity index. After selecting the scale (600ha) where metrics values stabilized, it was shown that metrics were more correlated at the small scale of 60ha. From the original 24 metrics, 14 individual metrics with high Spearman correlation coefficient and Variance Inflation Factor criterion were eliminated, leaving 10 representative metrics for subsequent analysis. Data reduction analysis showed that Patch Density, Area-Weighted Mean Fractal Dimension Index and Patch Cohesion Index are suitable to describe landscape patterns irrespective of the scale. A systematic screening of these metrics could enhance a deeper understanding of the results obtained by them and contribute to a sustainable landscape management of Mediterranean landscapes.","container-title":"International Journal of Applied Earth Observation and Geoinformation","DOI":"10.1016/j.jag.2013.05.001","ISSN":"1569-8432","journalAbbreviation":"International Journal of Applied Earth Observation and Geoinformation","page":"26-35","source":"ScienceDirect","title":"Selecting landscape metrics as indicators of spatial heterogeneity—A comparison among Greek landscapes","volume":"26","author":[{"family":"Plexida","given":"Sofia G."},{"family":"Sfougaris","given":"Athanassios I."},{"family":"Ispikoudis","given":"Ioannis P."},{"family":"Papanastasis","given":"Vasilios P."}],"issued":{"date-parts":[["2014",2,1]]}}}],"schema":"https://github.com/citation-style-language/schema/raw/master/csl-citation.json"} </w:instrText>
      </w:r>
      <w:r w:rsidR="00156EBC" w:rsidRPr="00156EBC">
        <w:rPr>
          <w:rFonts w:ascii="Arial" w:hAnsi="Arial" w:cs="Arial"/>
          <w:b/>
          <w:bCs/>
        </w:rPr>
        <w:fldChar w:fldCharType="separate"/>
      </w:r>
      <w:r w:rsidR="00156EBC" w:rsidRPr="00156EBC">
        <w:rPr>
          <w:rFonts w:ascii="Arial" w:hAnsi="Arial" w:cs="Arial"/>
          <w:b/>
          <w:bCs/>
        </w:rPr>
        <w:t>(Plexida et al., 2014)</w:t>
      </w:r>
      <w:r w:rsidR="00156EBC" w:rsidRPr="00156EBC">
        <w:rPr>
          <w:rFonts w:ascii="Arial" w:hAnsi="Arial" w:cs="Arial"/>
          <w:b/>
          <w:bCs/>
        </w:rPr>
        <w:fldChar w:fldCharType="end"/>
      </w:r>
      <w:r w:rsidRPr="00F441CC">
        <w:rPr>
          <w:rFonts w:ascii="Arial" w:hAnsi="Arial" w:cs="Arial"/>
        </w:rPr>
        <w:t>.</w:t>
      </w:r>
      <w:r>
        <w:rPr>
          <w:rFonts w:ascii="Arial" w:hAnsi="Arial" w:cs="Arial"/>
        </w:rPr>
        <w:t xml:space="preserve"> </w:t>
      </w:r>
      <w:r w:rsidRPr="00F441CC">
        <w:rPr>
          <w:rFonts w:ascii="Arial" w:hAnsi="Arial" w:cs="Arial"/>
        </w:rPr>
        <w:t xml:space="preserve">Functionally, PLAND, </w:t>
      </w:r>
      <w:r w:rsidRPr="00F441CC">
        <w:rPr>
          <w:rFonts w:ascii="Arial" w:hAnsi="Arial" w:cs="Arial"/>
        </w:rPr>
        <w:lastRenderedPageBreak/>
        <w:t>PD, LPI, and LSI were employed to assess the extent and pattern of fragmentation within the green space class. COHESION and CONTAG served to examine the spatial continuity of vegetated patches, while SHDI and SHEI provided insight into the compositional complexity and evenness of the landscape as a whole. The computation of these metrics was carried out using specialized spatial analysis tools, and their interpretation facilitated a nuanced understanding of green space dynamics in the context of urban expansion in NCT Delhi.</w:t>
      </w:r>
    </w:p>
    <w:p w14:paraId="130777B6" w14:textId="7C67E95E" w:rsidR="00226798" w:rsidRPr="00D35226" w:rsidRDefault="00226798" w:rsidP="00226798">
      <w:pPr>
        <w:pStyle w:val="Body"/>
        <w:rPr>
          <w:rFonts w:ascii="Arial" w:hAnsi="Arial" w:cs="Arial"/>
          <w:b/>
          <w:bCs/>
        </w:rPr>
      </w:pPr>
      <w:r w:rsidRPr="00D35226">
        <w:rPr>
          <w:rFonts w:ascii="Arial" w:hAnsi="Arial" w:cs="Arial"/>
          <w:b/>
          <w:bCs/>
        </w:rPr>
        <w:t xml:space="preserve">Table </w:t>
      </w:r>
      <w:r>
        <w:rPr>
          <w:rFonts w:ascii="Arial" w:hAnsi="Arial" w:cs="Arial"/>
          <w:b/>
          <w:bCs/>
        </w:rPr>
        <w:t>3</w:t>
      </w:r>
      <w:r w:rsidRPr="00D35226">
        <w:rPr>
          <w:rFonts w:ascii="Arial" w:hAnsi="Arial" w:cs="Arial"/>
          <w:b/>
          <w:bCs/>
        </w:rPr>
        <w:t>. Land</w:t>
      </w:r>
      <w:r>
        <w:rPr>
          <w:rFonts w:ascii="Arial" w:hAnsi="Arial" w:cs="Arial"/>
          <w:b/>
          <w:bCs/>
        </w:rPr>
        <w:t>scape metrics used in this study</w:t>
      </w:r>
      <w:r w:rsidR="006B294A">
        <w:rPr>
          <w:rFonts w:ascii="Arial" w:hAnsi="Arial" w:cs="Arial"/>
          <w:b/>
          <w:bCs/>
        </w:rPr>
        <w:t xml:space="preserve"> </w:t>
      </w:r>
      <w:r w:rsidR="006B294A">
        <w:rPr>
          <w:rFonts w:ascii="Arial" w:hAnsi="Arial" w:cs="Arial"/>
          <w:b/>
          <w:bCs/>
        </w:rPr>
        <w:fldChar w:fldCharType="begin"/>
      </w:r>
      <w:r w:rsidR="006B294A">
        <w:rPr>
          <w:rFonts w:ascii="Arial" w:hAnsi="Arial" w:cs="Arial"/>
          <w:b/>
          <w:bCs/>
        </w:rPr>
        <w:instrText xml:space="preserve"> ADDIN ZOTERO_ITEM CSL_CITATION {"citationID":"0t6VjmX0","properties":{"formattedCitation":"(Turner &amp; Gardner, 2015)","plainCitation":"(Turner &amp; Gardner, 2015)","noteIndex":0},"citationItems":[{"id":1376,"uris":["http://zotero.org/users/local/l98j9GEk/items/TV4USMIG"],"itemData":{"id":1376,"type":"chapter","abstract":"Studies in landscape ecology are concerned with determining the causes, consequences, and functional importance of spatial heterogeneity. Success in accomplishing these ambitious goals requires meaningful, robust methods for quantifying spatial pattern. Landscape ecologists use numerous metrics, and readily available spatial data combined with user-friendly software have made such analyses routine. However, the goal of landscape ecology is not simply to measure landscape pattern, and spatial pattern analysis is but one tool used to unravel the complex phenomena and relationships forming landscapes. Nevertheless, quantifying spatial heterogeneity is a key tool of the trade, and this chapter explains how to select, compute, and interpret landscape metrics. The development of new metrics has slowed (thankfully!), but useful new approaches that have emerged in the past decade are included here. While the nuts-and-bolts of individual metrics and software programs will continue to evolve over time, there are general caveats that apply to any analysis of landscape pattern. We begin this chapter by discussing why pattern is quantified and where landscape data come from, then highlight key caveats and cautions that must be considered before landscape pattern is analyzed. We next present commonly used landscape metrics of composition and configuration, introduce surface metrics briefly, and discuss connectivity measures derived from graph theory. Finally, we address the challenges associated with detecting significant differences in metrics and interpreting multiple pattern metrics, then proffer some added practical advice. This chapter largely focuses on pattern analysis based on categorical data, and we cover spatial statistics in the next chapter.","container-title":"Landscape Ecology in Theory and Practice: Pattern and Process","event-place":"New York, NY","ISBN":"978-1-4939-2794-4","language":"en","note":"DOI: 10.1007/978-1-4939-2794-4_4","page":"97-142","publisher":"Springer","publisher-place":"New York, NY","source":"Springer Link","title":"Landscape Metrics","URL":"https://doi.org/10.1007/978-1-4939-2794-4_4","author":[{"family":"Turner","given":"Monica G."},{"family":"Gardner","given":"Robert H."}],"editor":[{"family":"Turner","given":"Monica G."},{"family":"Gardner","given":"Robert H."}],"accessed":{"date-parts":[["2025",4,4]]},"issued":{"date-parts":[["2015"]]}}}],"schema":"https://github.com/citation-style-language/schema/raw/master/csl-citation.json"} </w:instrText>
      </w:r>
      <w:r w:rsidR="006B294A">
        <w:rPr>
          <w:rFonts w:ascii="Arial" w:hAnsi="Arial" w:cs="Arial"/>
          <w:b/>
          <w:bCs/>
        </w:rPr>
        <w:fldChar w:fldCharType="separate"/>
      </w:r>
      <w:r w:rsidR="006B294A" w:rsidRPr="006B294A">
        <w:rPr>
          <w:rFonts w:ascii="Arial" w:hAnsi="Arial" w:cs="Arial"/>
        </w:rPr>
        <w:t>(Turner &amp; Gardner, 2015)</w:t>
      </w:r>
      <w:r w:rsidR="006B294A">
        <w:rPr>
          <w:rFonts w:ascii="Arial" w:hAnsi="Arial" w:cs="Arial"/>
          <w:b/>
          <w:bCs/>
        </w:rPr>
        <w:fldChar w:fldCharType="end"/>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1296"/>
        <w:gridCol w:w="3358"/>
        <w:gridCol w:w="944"/>
        <w:gridCol w:w="1485"/>
      </w:tblGrid>
      <w:tr w:rsidR="00F81B87" w:rsidRPr="00E34455" w14:paraId="13993661" w14:textId="77777777" w:rsidTr="004D08D0">
        <w:trPr>
          <w:trHeight w:val="177"/>
        </w:trPr>
        <w:tc>
          <w:tcPr>
            <w:tcW w:w="675" w:type="pct"/>
            <w:tcBorders>
              <w:top w:val="single" w:sz="4" w:space="0" w:color="auto"/>
              <w:bottom w:val="single" w:sz="4" w:space="0" w:color="auto"/>
            </w:tcBorders>
          </w:tcPr>
          <w:p w14:paraId="277833C6" w14:textId="77777777" w:rsidR="00226798" w:rsidRPr="00E34455" w:rsidRDefault="00226798" w:rsidP="00226798">
            <w:pPr>
              <w:widowControl w:val="0"/>
              <w:autoSpaceDE w:val="0"/>
              <w:autoSpaceDN w:val="0"/>
              <w:spacing w:before="83"/>
              <w:rPr>
                <w:rFonts w:ascii="Cambria" w:eastAsia="Cambria" w:hAnsi="Cambria" w:cs="Cambria"/>
                <w:sz w:val="20"/>
                <w:szCs w:val="20"/>
              </w:rPr>
            </w:pPr>
          </w:p>
        </w:tc>
        <w:tc>
          <w:tcPr>
            <w:tcW w:w="736" w:type="pct"/>
            <w:tcBorders>
              <w:top w:val="single" w:sz="4" w:space="0" w:color="auto"/>
              <w:bottom w:val="single" w:sz="4" w:space="0" w:color="auto"/>
            </w:tcBorders>
          </w:tcPr>
          <w:p w14:paraId="4966F8D6" w14:textId="69E9C438" w:rsidR="00226798" w:rsidRPr="00CA6C96" w:rsidRDefault="00226798" w:rsidP="00193130">
            <w:pPr>
              <w:jc w:val="center"/>
              <w:rPr>
                <w:rFonts w:ascii="Arial" w:eastAsia="Times New Roman" w:hAnsi="Arial"/>
                <w:b/>
                <w:bCs/>
                <w:sz w:val="20"/>
                <w:szCs w:val="20"/>
              </w:rPr>
            </w:pPr>
            <w:r w:rsidRPr="00CA6C96">
              <w:rPr>
                <w:rFonts w:ascii="Arial" w:eastAsia="Times New Roman" w:hAnsi="Arial"/>
                <w:b/>
                <w:bCs/>
                <w:sz w:val="20"/>
                <w:szCs w:val="20"/>
              </w:rPr>
              <w:t>Metrics</w:t>
            </w:r>
          </w:p>
        </w:tc>
        <w:tc>
          <w:tcPr>
            <w:tcW w:w="2209" w:type="pct"/>
            <w:tcBorders>
              <w:top w:val="single" w:sz="4" w:space="0" w:color="auto"/>
              <w:bottom w:val="single" w:sz="4" w:space="0" w:color="auto"/>
            </w:tcBorders>
          </w:tcPr>
          <w:p w14:paraId="0E6515A4" w14:textId="16A79381" w:rsidR="00226798" w:rsidRPr="00CA6C96" w:rsidRDefault="00E34455" w:rsidP="00193130">
            <w:pPr>
              <w:jc w:val="center"/>
              <w:rPr>
                <w:rFonts w:ascii="Arial" w:eastAsia="Times New Roman" w:hAnsi="Arial"/>
                <w:b/>
                <w:bCs/>
                <w:sz w:val="20"/>
                <w:szCs w:val="20"/>
              </w:rPr>
            </w:pPr>
            <w:r w:rsidRPr="00CA6C96">
              <w:rPr>
                <w:rFonts w:ascii="Arial" w:eastAsia="Times New Roman" w:hAnsi="Arial"/>
                <w:b/>
                <w:bCs/>
                <w:sz w:val="20"/>
                <w:szCs w:val="20"/>
              </w:rPr>
              <w:t>Equations</w:t>
            </w:r>
          </w:p>
        </w:tc>
        <w:tc>
          <w:tcPr>
            <w:tcW w:w="552" w:type="pct"/>
            <w:tcBorders>
              <w:top w:val="single" w:sz="4" w:space="0" w:color="auto"/>
              <w:bottom w:val="single" w:sz="4" w:space="0" w:color="auto"/>
            </w:tcBorders>
          </w:tcPr>
          <w:p w14:paraId="56FBFDA2" w14:textId="0D951472" w:rsidR="00226798" w:rsidRPr="00CA6C96" w:rsidRDefault="00E34455" w:rsidP="00193130">
            <w:pPr>
              <w:jc w:val="center"/>
              <w:rPr>
                <w:rFonts w:ascii="Arial" w:eastAsia="Times New Roman" w:hAnsi="Arial"/>
                <w:b/>
                <w:bCs/>
                <w:sz w:val="20"/>
                <w:szCs w:val="20"/>
              </w:rPr>
            </w:pPr>
            <w:r w:rsidRPr="00CA6C96">
              <w:rPr>
                <w:rFonts w:ascii="Arial" w:eastAsia="Times New Roman" w:hAnsi="Arial"/>
                <w:b/>
                <w:bCs/>
                <w:sz w:val="20"/>
                <w:szCs w:val="20"/>
              </w:rPr>
              <w:t>Unit</w:t>
            </w:r>
          </w:p>
        </w:tc>
        <w:tc>
          <w:tcPr>
            <w:tcW w:w="827" w:type="pct"/>
            <w:tcBorders>
              <w:top w:val="single" w:sz="4" w:space="0" w:color="auto"/>
              <w:bottom w:val="single" w:sz="4" w:space="0" w:color="auto"/>
            </w:tcBorders>
          </w:tcPr>
          <w:p w14:paraId="1C3E0D84" w14:textId="45835109" w:rsidR="00226798" w:rsidRPr="00CA6C96" w:rsidRDefault="00E34455" w:rsidP="00193130">
            <w:pPr>
              <w:jc w:val="center"/>
              <w:rPr>
                <w:rFonts w:ascii="Arial" w:eastAsia="Times New Roman" w:hAnsi="Arial"/>
                <w:b/>
                <w:bCs/>
                <w:sz w:val="20"/>
                <w:szCs w:val="20"/>
              </w:rPr>
            </w:pPr>
            <w:r w:rsidRPr="00CA6C96">
              <w:rPr>
                <w:rFonts w:ascii="Arial" w:eastAsia="Times New Roman" w:hAnsi="Arial"/>
                <w:b/>
                <w:bCs/>
                <w:sz w:val="20"/>
                <w:szCs w:val="20"/>
              </w:rPr>
              <w:t>Justification</w:t>
            </w:r>
          </w:p>
        </w:tc>
      </w:tr>
      <w:tr w:rsidR="00915E02" w:rsidRPr="00E34455" w14:paraId="78F05B34" w14:textId="77777777" w:rsidTr="004D08D0">
        <w:trPr>
          <w:trHeight w:val="526"/>
        </w:trPr>
        <w:tc>
          <w:tcPr>
            <w:tcW w:w="675" w:type="pct"/>
            <w:vMerge w:val="restart"/>
            <w:tcBorders>
              <w:top w:val="single" w:sz="4" w:space="0" w:color="auto"/>
            </w:tcBorders>
          </w:tcPr>
          <w:p w14:paraId="193B4D9F" w14:textId="77777777" w:rsidR="00915E02" w:rsidRDefault="00915E02" w:rsidP="002E279E">
            <w:pPr>
              <w:jc w:val="both"/>
              <w:rPr>
                <w:rFonts w:ascii="Arial" w:eastAsia="Times New Roman" w:hAnsi="Arial"/>
                <w:sz w:val="20"/>
                <w:szCs w:val="20"/>
              </w:rPr>
            </w:pPr>
          </w:p>
          <w:p w14:paraId="196A5033" w14:textId="77777777" w:rsidR="00915E02" w:rsidRDefault="00915E02" w:rsidP="002E279E">
            <w:pPr>
              <w:jc w:val="both"/>
              <w:rPr>
                <w:rFonts w:ascii="Arial" w:eastAsia="Times New Roman" w:hAnsi="Arial"/>
                <w:sz w:val="20"/>
                <w:szCs w:val="20"/>
              </w:rPr>
            </w:pPr>
          </w:p>
          <w:p w14:paraId="7FCF41BA" w14:textId="77777777" w:rsidR="00915E02" w:rsidRDefault="00915E02" w:rsidP="002E279E">
            <w:pPr>
              <w:jc w:val="both"/>
              <w:rPr>
                <w:rFonts w:ascii="Arial" w:eastAsia="Times New Roman" w:hAnsi="Arial"/>
                <w:sz w:val="20"/>
                <w:szCs w:val="20"/>
              </w:rPr>
            </w:pPr>
          </w:p>
          <w:p w14:paraId="58F59099" w14:textId="77777777" w:rsidR="00915E02" w:rsidRDefault="00915E02" w:rsidP="002E279E">
            <w:pPr>
              <w:jc w:val="both"/>
              <w:rPr>
                <w:rFonts w:ascii="Arial" w:eastAsia="Times New Roman" w:hAnsi="Arial"/>
                <w:sz w:val="20"/>
                <w:szCs w:val="20"/>
              </w:rPr>
            </w:pPr>
          </w:p>
          <w:p w14:paraId="0295AEF6" w14:textId="77777777" w:rsidR="00915E02" w:rsidRDefault="00915E02" w:rsidP="002E279E">
            <w:pPr>
              <w:jc w:val="both"/>
              <w:rPr>
                <w:rFonts w:ascii="Arial" w:eastAsia="Times New Roman" w:hAnsi="Arial"/>
                <w:sz w:val="20"/>
                <w:szCs w:val="20"/>
              </w:rPr>
            </w:pPr>
          </w:p>
          <w:p w14:paraId="110861D7" w14:textId="77777777" w:rsidR="00915E02" w:rsidRDefault="00915E02" w:rsidP="002E279E">
            <w:pPr>
              <w:jc w:val="both"/>
              <w:rPr>
                <w:rFonts w:ascii="Arial" w:eastAsia="Times New Roman" w:hAnsi="Arial"/>
                <w:sz w:val="20"/>
                <w:szCs w:val="20"/>
              </w:rPr>
            </w:pPr>
          </w:p>
          <w:p w14:paraId="650F38D7" w14:textId="77777777" w:rsidR="00915E02" w:rsidRDefault="00915E02" w:rsidP="002E279E">
            <w:pPr>
              <w:jc w:val="both"/>
              <w:rPr>
                <w:rFonts w:ascii="Arial" w:eastAsia="Times New Roman" w:hAnsi="Arial"/>
                <w:sz w:val="20"/>
                <w:szCs w:val="20"/>
              </w:rPr>
            </w:pPr>
          </w:p>
          <w:p w14:paraId="2FB1DEC7" w14:textId="77777777" w:rsidR="00915E02" w:rsidRDefault="00915E02" w:rsidP="002E279E">
            <w:pPr>
              <w:jc w:val="both"/>
              <w:rPr>
                <w:rFonts w:ascii="Arial" w:eastAsia="Times New Roman" w:hAnsi="Arial"/>
                <w:sz w:val="20"/>
                <w:szCs w:val="20"/>
              </w:rPr>
            </w:pPr>
          </w:p>
          <w:p w14:paraId="210F7AE4" w14:textId="77777777" w:rsidR="00915E02" w:rsidRDefault="00915E02" w:rsidP="002E279E">
            <w:pPr>
              <w:jc w:val="both"/>
              <w:rPr>
                <w:rFonts w:ascii="Arial" w:eastAsia="Times New Roman" w:hAnsi="Arial"/>
                <w:sz w:val="20"/>
                <w:szCs w:val="20"/>
              </w:rPr>
            </w:pPr>
          </w:p>
          <w:p w14:paraId="583BFFB9" w14:textId="77777777" w:rsidR="00915E02" w:rsidRDefault="00915E02" w:rsidP="002E279E">
            <w:pPr>
              <w:jc w:val="both"/>
              <w:rPr>
                <w:rFonts w:ascii="Arial" w:eastAsia="Times New Roman" w:hAnsi="Arial"/>
                <w:sz w:val="20"/>
                <w:szCs w:val="20"/>
              </w:rPr>
            </w:pPr>
          </w:p>
          <w:p w14:paraId="5BD6113B" w14:textId="77777777" w:rsidR="00915E02" w:rsidRDefault="00915E02" w:rsidP="002E279E">
            <w:pPr>
              <w:jc w:val="both"/>
              <w:rPr>
                <w:rFonts w:ascii="Arial" w:eastAsia="Times New Roman" w:hAnsi="Arial"/>
                <w:sz w:val="20"/>
                <w:szCs w:val="20"/>
              </w:rPr>
            </w:pPr>
          </w:p>
          <w:p w14:paraId="03876767" w14:textId="77777777" w:rsidR="00915E02" w:rsidRDefault="00915E02" w:rsidP="002E279E">
            <w:pPr>
              <w:jc w:val="both"/>
              <w:rPr>
                <w:rFonts w:ascii="Arial" w:eastAsia="Times New Roman" w:hAnsi="Arial"/>
                <w:sz w:val="20"/>
                <w:szCs w:val="20"/>
              </w:rPr>
            </w:pPr>
          </w:p>
          <w:p w14:paraId="6CCB9953" w14:textId="77777777" w:rsidR="00915E02" w:rsidRDefault="00915E02" w:rsidP="002E279E">
            <w:pPr>
              <w:jc w:val="both"/>
              <w:rPr>
                <w:rFonts w:ascii="Arial" w:eastAsia="Times New Roman" w:hAnsi="Arial"/>
                <w:sz w:val="20"/>
                <w:szCs w:val="20"/>
              </w:rPr>
            </w:pPr>
          </w:p>
          <w:p w14:paraId="1308BECB" w14:textId="77777777" w:rsidR="00CA6C96" w:rsidRDefault="00CA6C96" w:rsidP="002E279E">
            <w:pPr>
              <w:jc w:val="both"/>
              <w:rPr>
                <w:rFonts w:ascii="Arial" w:eastAsia="Times New Roman" w:hAnsi="Arial"/>
                <w:sz w:val="20"/>
                <w:szCs w:val="20"/>
              </w:rPr>
            </w:pPr>
          </w:p>
          <w:p w14:paraId="5E7E274B" w14:textId="77777777" w:rsidR="00CA6C96" w:rsidRDefault="00CA6C96" w:rsidP="002E279E">
            <w:pPr>
              <w:jc w:val="both"/>
              <w:rPr>
                <w:rFonts w:ascii="Arial" w:eastAsia="Times New Roman" w:hAnsi="Arial"/>
                <w:sz w:val="20"/>
                <w:szCs w:val="20"/>
              </w:rPr>
            </w:pPr>
          </w:p>
          <w:p w14:paraId="333F9B78" w14:textId="77777777" w:rsidR="00CA6C96" w:rsidRDefault="00CA6C96" w:rsidP="002E279E">
            <w:pPr>
              <w:jc w:val="both"/>
              <w:rPr>
                <w:rFonts w:ascii="Arial" w:eastAsia="Times New Roman" w:hAnsi="Arial"/>
                <w:sz w:val="20"/>
                <w:szCs w:val="20"/>
              </w:rPr>
            </w:pPr>
          </w:p>
          <w:p w14:paraId="57517A6F" w14:textId="77777777" w:rsidR="00CA6C96" w:rsidRDefault="00CA6C96" w:rsidP="002E279E">
            <w:pPr>
              <w:jc w:val="both"/>
              <w:rPr>
                <w:rFonts w:ascii="Arial" w:eastAsia="Times New Roman" w:hAnsi="Arial"/>
                <w:sz w:val="20"/>
                <w:szCs w:val="20"/>
              </w:rPr>
            </w:pPr>
          </w:p>
          <w:p w14:paraId="75042DE9" w14:textId="77777777" w:rsidR="00CA6C96" w:rsidRDefault="00CA6C96" w:rsidP="002E279E">
            <w:pPr>
              <w:jc w:val="both"/>
              <w:rPr>
                <w:rFonts w:ascii="Arial" w:eastAsia="Times New Roman" w:hAnsi="Arial"/>
                <w:sz w:val="20"/>
                <w:szCs w:val="20"/>
              </w:rPr>
            </w:pPr>
          </w:p>
          <w:p w14:paraId="5ABC59F1" w14:textId="77777777" w:rsidR="00CA6C96" w:rsidRDefault="00CA6C96" w:rsidP="002E279E">
            <w:pPr>
              <w:jc w:val="both"/>
              <w:rPr>
                <w:rFonts w:ascii="Arial" w:eastAsia="Times New Roman" w:hAnsi="Arial"/>
                <w:sz w:val="20"/>
                <w:szCs w:val="20"/>
              </w:rPr>
            </w:pPr>
          </w:p>
          <w:p w14:paraId="1535FBE0" w14:textId="77777777" w:rsidR="00CA6C96" w:rsidRDefault="00CA6C96" w:rsidP="002E279E">
            <w:pPr>
              <w:jc w:val="both"/>
              <w:rPr>
                <w:rFonts w:ascii="Arial" w:eastAsia="Times New Roman" w:hAnsi="Arial"/>
                <w:sz w:val="20"/>
                <w:szCs w:val="20"/>
              </w:rPr>
            </w:pPr>
          </w:p>
          <w:p w14:paraId="284D8C3D" w14:textId="77777777" w:rsidR="00CA6C96" w:rsidRDefault="00CA6C96" w:rsidP="002E279E">
            <w:pPr>
              <w:jc w:val="both"/>
              <w:rPr>
                <w:rFonts w:ascii="Arial" w:eastAsia="Times New Roman" w:hAnsi="Arial"/>
                <w:sz w:val="20"/>
                <w:szCs w:val="20"/>
              </w:rPr>
            </w:pPr>
          </w:p>
          <w:p w14:paraId="54F9B5C2" w14:textId="77777777" w:rsidR="00CA6C96" w:rsidRDefault="00CA6C96" w:rsidP="002E279E">
            <w:pPr>
              <w:jc w:val="both"/>
              <w:rPr>
                <w:rFonts w:ascii="Arial" w:eastAsia="Times New Roman" w:hAnsi="Arial"/>
                <w:sz w:val="20"/>
                <w:szCs w:val="20"/>
              </w:rPr>
            </w:pPr>
          </w:p>
          <w:p w14:paraId="6446DBDF" w14:textId="77777777" w:rsidR="00CA6C96" w:rsidRDefault="00CA6C96" w:rsidP="002E279E">
            <w:pPr>
              <w:jc w:val="both"/>
              <w:rPr>
                <w:rFonts w:ascii="Arial" w:eastAsia="Times New Roman" w:hAnsi="Arial"/>
                <w:sz w:val="20"/>
                <w:szCs w:val="20"/>
              </w:rPr>
            </w:pPr>
          </w:p>
          <w:p w14:paraId="62DD6B0A" w14:textId="77777777" w:rsidR="00CA6C96" w:rsidRDefault="00CA6C96" w:rsidP="002E279E">
            <w:pPr>
              <w:jc w:val="both"/>
              <w:rPr>
                <w:rFonts w:ascii="Arial" w:eastAsia="Times New Roman" w:hAnsi="Arial"/>
                <w:sz w:val="20"/>
                <w:szCs w:val="20"/>
              </w:rPr>
            </w:pPr>
          </w:p>
          <w:p w14:paraId="7325E9C0" w14:textId="77777777" w:rsidR="00CA6C96" w:rsidRDefault="00CA6C96" w:rsidP="002E279E">
            <w:pPr>
              <w:jc w:val="both"/>
              <w:rPr>
                <w:rFonts w:ascii="Arial" w:eastAsia="Times New Roman" w:hAnsi="Arial"/>
                <w:sz w:val="20"/>
                <w:szCs w:val="20"/>
              </w:rPr>
            </w:pPr>
          </w:p>
          <w:p w14:paraId="4D3E4B89" w14:textId="77777777" w:rsidR="00CA6C96" w:rsidRDefault="00CA6C96" w:rsidP="002E279E">
            <w:pPr>
              <w:jc w:val="both"/>
              <w:rPr>
                <w:rFonts w:ascii="Arial" w:eastAsia="Times New Roman" w:hAnsi="Arial"/>
                <w:sz w:val="20"/>
                <w:szCs w:val="20"/>
              </w:rPr>
            </w:pPr>
          </w:p>
          <w:p w14:paraId="72654C69" w14:textId="77777777" w:rsidR="00CA6C96" w:rsidRDefault="00CA6C96" w:rsidP="002E279E">
            <w:pPr>
              <w:jc w:val="both"/>
              <w:rPr>
                <w:rFonts w:ascii="Arial" w:eastAsia="Times New Roman" w:hAnsi="Arial"/>
                <w:sz w:val="20"/>
                <w:szCs w:val="20"/>
              </w:rPr>
            </w:pPr>
          </w:p>
          <w:p w14:paraId="75691C1A" w14:textId="77777777" w:rsidR="00CA6C96" w:rsidRDefault="00CA6C96" w:rsidP="002E279E">
            <w:pPr>
              <w:jc w:val="both"/>
              <w:rPr>
                <w:rFonts w:ascii="Arial" w:eastAsia="Times New Roman" w:hAnsi="Arial"/>
                <w:sz w:val="20"/>
                <w:szCs w:val="20"/>
              </w:rPr>
            </w:pPr>
          </w:p>
          <w:p w14:paraId="77C7EE44" w14:textId="08170009" w:rsidR="00915E02" w:rsidRPr="002E279E" w:rsidRDefault="00915E02" w:rsidP="002E279E">
            <w:pPr>
              <w:jc w:val="both"/>
              <w:rPr>
                <w:rFonts w:ascii="Arial" w:eastAsia="Times New Roman" w:hAnsi="Arial"/>
                <w:sz w:val="20"/>
                <w:szCs w:val="20"/>
              </w:rPr>
            </w:pPr>
            <w:r w:rsidRPr="002E279E">
              <w:rPr>
                <w:rFonts w:ascii="Arial" w:eastAsia="Times New Roman" w:hAnsi="Arial"/>
                <w:sz w:val="20"/>
                <w:szCs w:val="20"/>
              </w:rPr>
              <w:t>Class- level</w:t>
            </w:r>
          </w:p>
        </w:tc>
        <w:tc>
          <w:tcPr>
            <w:tcW w:w="736" w:type="pct"/>
            <w:tcBorders>
              <w:top w:val="single" w:sz="4" w:space="0" w:color="auto"/>
              <w:bottom w:val="single" w:sz="4" w:space="0" w:color="auto"/>
            </w:tcBorders>
          </w:tcPr>
          <w:p w14:paraId="4C9DFFA4" w14:textId="77777777" w:rsidR="00915E02" w:rsidRDefault="00915E02" w:rsidP="00E64330">
            <w:pPr>
              <w:spacing w:line="232" w:lineRule="auto"/>
              <w:jc w:val="center"/>
              <w:rPr>
                <w:rFonts w:ascii="Arial" w:eastAsia="Times New Roman" w:hAnsi="Arial"/>
                <w:sz w:val="20"/>
                <w:szCs w:val="20"/>
              </w:rPr>
            </w:pPr>
          </w:p>
          <w:p w14:paraId="4E5718CA" w14:textId="555F3545" w:rsidR="00915E02" w:rsidRPr="002E279E" w:rsidRDefault="00915E02" w:rsidP="00E64330">
            <w:pPr>
              <w:spacing w:line="232" w:lineRule="auto"/>
              <w:jc w:val="center"/>
              <w:rPr>
                <w:rFonts w:ascii="Arial" w:eastAsia="Times New Roman" w:hAnsi="Arial"/>
                <w:sz w:val="20"/>
                <w:szCs w:val="20"/>
              </w:rPr>
            </w:pPr>
            <w:r w:rsidRPr="002E279E">
              <w:rPr>
                <w:rFonts w:ascii="Arial" w:eastAsia="Times New Roman" w:hAnsi="Arial"/>
                <w:sz w:val="20"/>
                <w:szCs w:val="20"/>
              </w:rPr>
              <w:t xml:space="preserve"> (PLAND)</w:t>
            </w:r>
          </w:p>
          <w:p w14:paraId="4C0CAE66" w14:textId="77777777" w:rsidR="00915E02" w:rsidRPr="002E279E" w:rsidRDefault="00915E02" w:rsidP="00E64330">
            <w:pPr>
              <w:jc w:val="center"/>
              <w:rPr>
                <w:rFonts w:ascii="Arial" w:eastAsia="Times New Roman" w:hAnsi="Arial"/>
                <w:sz w:val="20"/>
                <w:szCs w:val="20"/>
              </w:rPr>
            </w:pPr>
          </w:p>
        </w:tc>
        <w:tc>
          <w:tcPr>
            <w:tcW w:w="2209" w:type="pct"/>
            <w:tcBorders>
              <w:top w:val="single" w:sz="4" w:space="0" w:color="auto"/>
              <w:bottom w:val="single" w:sz="4" w:space="0" w:color="auto"/>
            </w:tcBorders>
          </w:tcPr>
          <w:p w14:paraId="4F070115" w14:textId="5FC86B0A" w:rsidR="00915E02" w:rsidRPr="00B62962" w:rsidRDefault="006D6C17" w:rsidP="002E279E">
            <w:pPr>
              <w:jc w:val="center"/>
              <w:rPr>
                <w:rFonts w:ascii="Arial" w:eastAsia="Times New Roman" w:hAnsi="Arial"/>
                <w:b/>
                <w:bCs/>
                <w:sz w:val="20"/>
                <w:szCs w:val="20"/>
              </w:rPr>
            </w:pPr>
            <m:oMath>
              <m:sSub>
                <m:sSubPr>
                  <m:ctrlPr>
                    <w:rPr>
                      <w:rFonts w:ascii="Cambria Math" w:eastAsia="Times New Roman" w:hAnsi="Cambria Math"/>
                      <w:b/>
                      <w:bCs/>
                      <w:sz w:val="20"/>
                      <w:szCs w:val="20"/>
                    </w:rPr>
                  </m:ctrlPr>
                </m:sSubPr>
                <m:e>
                  <m:r>
                    <m:rPr>
                      <m:sty m:val="b"/>
                    </m:rPr>
                    <w:rPr>
                      <w:rFonts w:ascii="Cambria Math" w:eastAsia="Times New Roman" w:hAnsi="Cambria Math"/>
                      <w:sz w:val="20"/>
                      <w:szCs w:val="20"/>
                    </w:rPr>
                    <m:t>PLAND =P</m:t>
                  </m:r>
                </m:e>
                <m:sub>
                  <m:r>
                    <m:rPr>
                      <m:sty m:val="b"/>
                    </m:rPr>
                    <w:rPr>
                      <w:rFonts w:ascii="Cambria Math" w:eastAsia="Times New Roman" w:hAnsi="Cambria Math"/>
                      <w:sz w:val="20"/>
                      <w:szCs w:val="20"/>
                    </w:rPr>
                    <m:t>i</m:t>
                  </m:r>
                </m:sub>
              </m:sSub>
              <m:r>
                <m:rPr>
                  <m:sty m:val="b"/>
                </m:rPr>
                <w:rPr>
                  <w:rFonts w:ascii="Cambria Math" w:eastAsia="Times New Roman" w:hAnsi="Cambria Math"/>
                  <w:sz w:val="20"/>
                  <w:szCs w:val="20"/>
                </w:rPr>
                <m:t xml:space="preserve"> = </m:t>
              </m:r>
              <m:f>
                <m:fPr>
                  <m:ctrlPr>
                    <w:rPr>
                      <w:rFonts w:ascii="Cambria Math" w:eastAsia="Times New Roman" w:hAnsi="Cambria Math"/>
                      <w:b/>
                      <w:bCs/>
                      <w:sz w:val="20"/>
                      <w:szCs w:val="20"/>
                    </w:rPr>
                  </m:ctrlPr>
                </m:fPr>
                <m:num>
                  <m:nary>
                    <m:naryPr>
                      <m:chr m:val="∑"/>
                      <m:limLoc m:val="undOvr"/>
                      <m:ctrlPr>
                        <w:rPr>
                          <w:rFonts w:ascii="Cambria Math" w:eastAsia="Times New Roman" w:hAnsi="Cambria Math"/>
                          <w:b/>
                          <w:bCs/>
                          <w:sz w:val="20"/>
                          <w:szCs w:val="20"/>
                        </w:rPr>
                      </m:ctrlPr>
                    </m:naryPr>
                    <m:sub>
                      <m:r>
                        <m:rPr>
                          <m:sty m:val="b"/>
                        </m:rPr>
                        <w:rPr>
                          <w:rFonts w:ascii="Cambria Math" w:eastAsia="Times New Roman" w:hAnsi="Cambria Math"/>
                          <w:sz w:val="20"/>
                          <w:szCs w:val="20"/>
                        </w:rPr>
                        <m:t>j=1</m:t>
                      </m:r>
                    </m:sub>
                    <m:sup>
                      <m:r>
                        <m:rPr>
                          <m:sty m:val="b"/>
                        </m:rPr>
                        <w:rPr>
                          <w:rFonts w:ascii="Cambria Math" w:eastAsia="Times New Roman" w:hAnsi="Cambria Math"/>
                          <w:sz w:val="20"/>
                          <w:szCs w:val="20"/>
                        </w:rPr>
                        <m:t>n</m:t>
                      </m:r>
                    </m:sup>
                    <m:e>
                      <m:sSub>
                        <m:sSubPr>
                          <m:ctrlPr>
                            <w:rPr>
                              <w:rFonts w:ascii="Cambria Math" w:eastAsia="Times New Roman" w:hAnsi="Cambria Math"/>
                              <w:b/>
                              <w:bCs/>
                              <w:sz w:val="20"/>
                              <w:szCs w:val="20"/>
                            </w:rPr>
                          </m:ctrlPr>
                        </m:sSubPr>
                        <m:e>
                          <m:r>
                            <m:rPr>
                              <m:sty m:val="b"/>
                            </m:rPr>
                            <w:rPr>
                              <w:rFonts w:ascii="Cambria Math" w:eastAsia="Times New Roman" w:hAnsi="Cambria Math"/>
                              <w:sz w:val="20"/>
                              <w:szCs w:val="20"/>
                            </w:rPr>
                            <m:t>a</m:t>
                          </m:r>
                        </m:e>
                        <m:sub>
                          <m:r>
                            <m:rPr>
                              <m:sty m:val="b"/>
                            </m:rPr>
                            <w:rPr>
                              <w:rFonts w:ascii="Cambria Math" w:eastAsia="Times New Roman" w:hAnsi="Cambria Math"/>
                              <w:sz w:val="20"/>
                              <w:szCs w:val="20"/>
                            </w:rPr>
                            <m:t xml:space="preserve">ij </m:t>
                          </m:r>
                        </m:sub>
                      </m:sSub>
                    </m:e>
                  </m:nary>
                </m:num>
                <m:den>
                  <m:r>
                    <m:rPr>
                      <m:sty m:val="b"/>
                    </m:rPr>
                    <w:rPr>
                      <w:rFonts w:ascii="Cambria Math" w:eastAsia="Times New Roman" w:hAnsi="Cambria Math"/>
                      <w:sz w:val="20"/>
                      <w:szCs w:val="20"/>
                    </w:rPr>
                    <m:t>A</m:t>
                  </m:r>
                </m:den>
              </m:f>
            </m:oMath>
            <w:r w:rsidR="00915E02" w:rsidRPr="00B62962">
              <w:rPr>
                <w:rFonts w:ascii="Arial" w:eastAsia="Times New Roman" w:hAnsi="Arial"/>
                <w:b/>
                <w:bCs/>
                <w:sz w:val="20"/>
                <w:szCs w:val="20"/>
              </w:rPr>
              <w:t>(100)</w:t>
            </w:r>
          </w:p>
          <w:p w14:paraId="30461E10" w14:textId="25A32B83" w:rsidR="00915E02" w:rsidRPr="000372F6" w:rsidRDefault="00915E02" w:rsidP="002E279E">
            <w:pPr>
              <w:jc w:val="both"/>
              <w:rPr>
                <w:rFonts w:ascii="Cambria Math" w:eastAsia="Times New Roman" w:hAnsi="Cambria Math"/>
                <w:sz w:val="20"/>
                <w:szCs w:val="20"/>
              </w:rPr>
            </w:pPr>
            <w:r w:rsidRPr="000372F6">
              <w:rPr>
                <w:rFonts w:ascii="Cambria Math" w:eastAsia="Times New Roman" w:hAnsi="Cambria Math"/>
                <w:sz w:val="20"/>
                <w:szCs w:val="20"/>
              </w:rPr>
              <w:t>P</w:t>
            </w:r>
            <w:r w:rsidRPr="000372F6">
              <w:rPr>
                <w:rFonts w:ascii="Cambria Math" w:eastAsia="Times New Roman" w:hAnsi="Cambria Math"/>
                <w:sz w:val="20"/>
                <w:szCs w:val="20"/>
                <w:vertAlign w:val="subscript"/>
              </w:rPr>
              <w:t>i</w:t>
            </w:r>
            <w:r w:rsidRPr="000372F6">
              <w:rPr>
                <w:rFonts w:ascii="Cambria Math" w:eastAsia="Times New Roman" w:hAnsi="Cambria Math"/>
                <w:sz w:val="20"/>
                <w:szCs w:val="20"/>
              </w:rPr>
              <w:t xml:space="preserve"> = proportion of landscape occupied by patch type (class)</w:t>
            </w:r>
            <w:proofErr w:type="spellStart"/>
            <w:r w:rsidRPr="000372F6">
              <w:rPr>
                <w:rFonts w:ascii="Cambria Math" w:eastAsia="Times New Roman" w:hAnsi="Cambria Math"/>
                <w:sz w:val="20"/>
                <w:szCs w:val="20"/>
                <w:vertAlign w:val="subscript"/>
              </w:rPr>
              <w:t>i</w:t>
            </w:r>
            <w:proofErr w:type="spellEnd"/>
            <w:r w:rsidRPr="000372F6">
              <w:rPr>
                <w:rFonts w:ascii="Cambria Math" w:eastAsia="Times New Roman" w:hAnsi="Cambria Math"/>
                <w:sz w:val="20"/>
                <w:szCs w:val="20"/>
              </w:rPr>
              <w:t>.</w:t>
            </w:r>
          </w:p>
          <w:p w14:paraId="0CFC1818" w14:textId="6FD54875" w:rsidR="00915E02" w:rsidRPr="000372F6" w:rsidRDefault="00915E02" w:rsidP="002E279E">
            <w:pPr>
              <w:jc w:val="both"/>
              <w:rPr>
                <w:rFonts w:ascii="Cambria Math" w:eastAsia="Times New Roman" w:hAnsi="Cambria Math"/>
                <w:sz w:val="20"/>
                <w:szCs w:val="20"/>
              </w:rPr>
            </w:pPr>
            <w:proofErr w:type="spellStart"/>
            <w:r w:rsidRPr="000372F6">
              <w:rPr>
                <w:rFonts w:ascii="Cambria Math" w:eastAsia="Times New Roman" w:hAnsi="Cambria Math"/>
                <w:sz w:val="20"/>
                <w:szCs w:val="20"/>
              </w:rPr>
              <w:t>a</w:t>
            </w:r>
            <w:r w:rsidRPr="000372F6">
              <w:rPr>
                <w:rFonts w:ascii="Cambria Math" w:eastAsia="Times New Roman" w:hAnsi="Cambria Math"/>
                <w:sz w:val="20"/>
                <w:szCs w:val="20"/>
                <w:vertAlign w:val="subscript"/>
              </w:rPr>
              <w:t>ij</w:t>
            </w:r>
            <w:proofErr w:type="spellEnd"/>
            <w:r w:rsidRPr="000372F6">
              <w:rPr>
                <w:rFonts w:ascii="Cambria Math" w:eastAsia="Times New Roman" w:hAnsi="Cambria Math"/>
                <w:sz w:val="20"/>
                <w:szCs w:val="20"/>
              </w:rPr>
              <w:t xml:space="preserve"> = area (m</w:t>
            </w:r>
            <w:r w:rsidRPr="000372F6">
              <w:rPr>
                <w:rFonts w:ascii="Cambria Math" w:eastAsia="Times New Roman" w:hAnsi="Cambria Math"/>
                <w:sz w:val="20"/>
                <w:szCs w:val="20"/>
                <w:vertAlign w:val="superscript"/>
              </w:rPr>
              <w:t>2</w:t>
            </w:r>
            <w:r w:rsidRPr="000372F6">
              <w:rPr>
                <w:rFonts w:ascii="Cambria Math" w:eastAsia="Times New Roman" w:hAnsi="Cambria Math"/>
                <w:sz w:val="20"/>
                <w:szCs w:val="20"/>
              </w:rPr>
              <w:t xml:space="preserve">) of </w:t>
            </w:r>
            <w:proofErr w:type="spellStart"/>
            <w:r w:rsidRPr="000372F6">
              <w:rPr>
                <w:rFonts w:ascii="Cambria Math" w:eastAsia="Times New Roman" w:hAnsi="Cambria Math"/>
                <w:sz w:val="20"/>
                <w:szCs w:val="20"/>
              </w:rPr>
              <w:t>patch</w:t>
            </w:r>
            <w:r w:rsidRPr="000372F6">
              <w:rPr>
                <w:rFonts w:ascii="Cambria Math" w:eastAsia="Times New Roman" w:hAnsi="Cambria Math"/>
                <w:sz w:val="20"/>
                <w:szCs w:val="20"/>
                <w:vertAlign w:val="subscript"/>
              </w:rPr>
              <w:t>ij</w:t>
            </w:r>
            <w:proofErr w:type="spellEnd"/>
            <w:r w:rsidRPr="000372F6">
              <w:rPr>
                <w:rFonts w:ascii="Cambria Math" w:eastAsia="Times New Roman" w:hAnsi="Cambria Math"/>
                <w:sz w:val="20"/>
                <w:szCs w:val="20"/>
              </w:rPr>
              <w:t>.</w:t>
            </w:r>
          </w:p>
          <w:p w14:paraId="1D8B5719" w14:textId="3E3500C0" w:rsidR="00915E02" w:rsidRPr="002E279E" w:rsidRDefault="00915E02" w:rsidP="002E279E">
            <w:pPr>
              <w:jc w:val="both"/>
              <w:rPr>
                <w:rFonts w:ascii="Arial" w:eastAsia="Times New Roman" w:hAnsi="Arial"/>
                <w:sz w:val="20"/>
                <w:szCs w:val="20"/>
              </w:rPr>
            </w:pPr>
            <w:r w:rsidRPr="000372F6">
              <w:rPr>
                <w:rFonts w:ascii="Cambria Math" w:eastAsia="Times New Roman" w:hAnsi="Cambria Math"/>
                <w:sz w:val="20"/>
                <w:szCs w:val="20"/>
              </w:rPr>
              <w:t>A = total landscape area (m</w:t>
            </w:r>
            <w:r w:rsidRPr="000372F6">
              <w:rPr>
                <w:rFonts w:ascii="Cambria Math" w:eastAsia="Times New Roman" w:hAnsi="Cambria Math"/>
                <w:sz w:val="20"/>
                <w:szCs w:val="20"/>
                <w:vertAlign w:val="superscript"/>
              </w:rPr>
              <w:t>2</w:t>
            </w:r>
            <w:r w:rsidRPr="000372F6">
              <w:rPr>
                <w:rFonts w:ascii="Cambria Math" w:eastAsia="Times New Roman" w:hAnsi="Cambria Math"/>
                <w:sz w:val="20"/>
                <w:szCs w:val="20"/>
              </w:rPr>
              <w:t xml:space="preserve"> ).</w:t>
            </w:r>
          </w:p>
        </w:tc>
        <w:tc>
          <w:tcPr>
            <w:tcW w:w="552" w:type="pct"/>
            <w:tcBorders>
              <w:top w:val="single" w:sz="4" w:space="0" w:color="auto"/>
              <w:bottom w:val="single" w:sz="4" w:space="0" w:color="auto"/>
            </w:tcBorders>
          </w:tcPr>
          <w:p w14:paraId="5AAD3067" w14:textId="77777777" w:rsidR="00915E02" w:rsidRDefault="00915E02" w:rsidP="007F3AC8">
            <w:pPr>
              <w:widowControl w:val="0"/>
              <w:autoSpaceDE w:val="0"/>
              <w:autoSpaceDN w:val="0"/>
              <w:spacing w:before="83"/>
              <w:jc w:val="center"/>
              <w:rPr>
                <w:rFonts w:ascii="Cambria" w:eastAsia="Cambria" w:hAnsi="Cambria" w:cs="Cambria"/>
                <w:sz w:val="20"/>
                <w:szCs w:val="20"/>
              </w:rPr>
            </w:pPr>
          </w:p>
          <w:p w14:paraId="05991DF9" w14:textId="706480C6" w:rsidR="00915E02" w:rsidRPr="00E34455" w:rsidRDefault="00915E02" w:rsidP="007F3AC8">
            <w:pPr>
              <w:widowControl w:val="0"/>
              <w:autoSpaceDE w:val="0"/>
              <w:autoSpaceDN w:val="0"/>
              <w:spacing w:before="83"/>
              <w:jc w:val="center"/>
              <w:rPr>
                <w:rFonts w:ascii="Cambria" w:eastAsia="Cambria" w:hAnsi="Cambria" w:cs="Cambria"/>
                <w:sz w:val="20"/>
                <w:szCs w:val="20"/>
              </w:rPr>
            </w:pPr>
            <w:r>
              <w:rPr>
                <w:rFonts w:ascii="Cambria" w:eastAsia="Cambria" w:hAnsi="Cambria" w:cs="Cambria"/>
                <w:sz w:val="20"/>
                <w:szCs w:val="20"/>
              </w:rPr>
              <w:t>Percent</w:t>
            </w:r>
          </w:p>
        </w:tc>
        <w:tc>
          <w:tcPr>
            <w:tcW w:w="827" w:type="pct"/>
            <w:tcBorders>
              <w:top w:val="single" w:sz="4" w:space="0" w:color="auto"/>
              <w:bottom w:val="single" w:sz="4" w:space="0" w:color="auto"/>
            </w:tcBorders>
          </w:tcPr>
          <w:p w14:paraId="2025F759" w14:textId="77777777" w:rsidR="00CA6C96" w:rsidRDefault="00CA6C96" w:rsidP="00915E02">
            <w:pPr>
              <w:widowControl w:val="0"/>
              <w:autoSpaceDE w:val="0"/>
              <w:autoSpaceDN w:val="0"/>
              <w:spacing w:before="83"/>
              <w:jc w:val="center"/>
              <w:rPr>
                <w:rFonts w:ascii="Cambria" w:eastAsia="Cambria" w:hAnsi="Cambria" w:cs="Cambria"/>
                <w:sz w:val="20"/>
                <w:szCs w:val="20"/>
              </w:rPr>
            </w:pPr>
          </w:p>
          <w:p w14:paraId="5E1F7C4C" w14:textId="3E13FEE2" w:rsidR="00915E02" w:rsidRPr="00E34455" w:rsidRDefault="00915E02" w:rsidP="00915E02">
            <w:pPr>
              <w:widowControl w:val="0"/>
              <w:autoSpaceDE w:val="0"/>
              <w:autoSpaceDN w:val="0"/>
              <w:spacing w:before="83"/>
              <w:jc w:val="center"/>
              <w:rPr>
                <w:rFonts w:ascii="Cambria" w:eastAsia="Cambria" w:hAnsi="Cambria" w:cs="Cambria"/>
                <w:sz w:val="20"/>
                <w:szCs w:val="20"/>
              </w:rPr>
            </w:pPr>
            <w:r w:rsidRPr="00915E02">
              <w:rPr>
                <w:rFonts w:ascii="Cambria" w:eastAsia="Cambria" w:hAnsi="Cambria" w:cs="Cambria"/>
                <w:sz w:val="20"/>
                <w:szCs w:val="20"/>
              </w:rPr>
              <w:t>General index</w:t>
            </w:r>
          </w:p>
        </w:tc>
      </w:tr>
      <w:tr w:rsidR="00915E02" w:rsidRPr="00E34455" w14:paraId="7C8D6073" w14:textId="77777777" w:rsidTr="004D08D0">
        <w:trPr>
          <w:trHeight w:val="717"/>
        </w:trPr>
        <w:tc>
          <w:tcPr>
            <w:tcW w:w="675" w:type="pct"/>
            <w:vMerge/>
          </w:tcPr>
          <w:p w14:paraId="37E7D3CD" w14:textId="77777777" w:rsidR="00915E02" w:rsidRPr="00E34455" w:rsidRDefault="00915E02" w:rsidP="00226798">
            <w:pPr>
              <w:widowControl w:val="0"/>
              <w:autoSpaceDE w:val="0"/>
              <w:autoSpaceDN w:val="0"/>
              <w:spacing w:before="83"/>
              <w:rPr>
                <w:rFonts w:ascii="Cambria" w:eastAsia="Cambria" w:hAnsi="Cambria" w:cs="Cambria"/>
                <w:sz w:val="20"/>
                <w:szCs w:val="20"/>
              </w:rPr>
            </w:pPr>
          </w:p>
        </w:tc>
        <w:tc>
          <w:tcPr>
            <w:tcW w:w="736" w:type="pct"/>
            <w:tcBorders>
              <w:top w:val="single" w:sz="4" w:space="0" w:color="auto"/>
              <w:bottom w:val="single" w:sz="4" w:space="0" w:color="auto"/>
            </w:tcBorders>
          </w:tcPr>
          <w:p w14:paraId="1E3F5760" w14:textId="77777777" w:rsidR="00915E02" w:rsidRDefault="00915E02" w:rsidP="00E64330">
            <w:pPr>
              <w:widowControl w:val="0"/>
              <w:autoSpaceDE w:val="0"/>
              <w:autoSpaceDN w:val="0"/>
              <w:spacing w:before="83"/>
              <w:jc w:val="center"/>
              <w:rPr>
                <w:rFonts w:ascii="Arial" w:eastAsia="Times New Roman" w:hAnsi="Arial" w:cs="Arial"/>
                <w:sz w:val="20"/>
                <w:szCs w:val="20"/>
              </w:rPr>
            </w:pPr>
          </w:p>
          <w:p w14:paraId="53B52754" w14:textId="408B79FF" w:rsidR="00915E02" w:rsidRPr="00E34455" w:rsidRDefault="00915E02" w:rsidP="00E64330">
            <w:pPr>
              <w:widowControl w:val="0"/>
              <w:autoSpaceDE w:val="0"/>
              <w:autoSpaceDN w:val="0"/>
              <w:spacing w:before="83"/>
              <w:jc w:val="center"/>
              <w:rPr>
                <w:rFonts w:ascii="Arial" w:eastAsia="Times New Roman" w:hAnsi="Arial" w:cs="Arial"/>
                <w:sz w:val="20"/>
                <w:szCs w:val="20"/>
              </w:rPr>
            </w:pPr>
            <w:r w:rsidRPr="00E34455">
              <w:rPr>
                <w:rFonts w:ascii="Arial" w:eastAsia="Times New Roman" w:hAnsi="Arial" w:cs="Arial"/>
                <w:sz w:val="20"/>
                <w:szCs w:val="20"/>
              </w:rPr>
              <w:t xml:space="preserve"> (PD)</w:t>
            </w:r>
          </w:p>
        </w:tc>
        <w:tc>
          <w:tcPr>
            <w:tcW w:w="2209" w:type="pct"/>
            <w:tcBorders>
              <w:top w:val="single" w:sz="4" w:space="0" w:color="auto"/>
              <w:bottom w:val="single" w:sz="4" w:space="0" w:color="auto"/>
            </w:tcBorders>
          </w:tcPr>
          <w:p w14:paraId="7659BA92" w14:textId="3F38C095" w:rsidR="00915E02" w:rsidRPr="00B62962" w:rsidRDefault="00915E02" w:rsidP="009039AC">
            <w:pPr>
              <w:widowControl w:val="0"/>
              <w:autoSpaceDE w:val="0"/>
              <w:autoSpaceDN w:val="0"/>
              <w:spacing w:before="83"/>
              <w:jc w:val="center"/>
              <w:rPr>
                <w:rFonts w:ascii="Cambria" w:eastAsia="Cambria" w:hAnsi="Cambria" w:cs="Cambria"/>
                <w:b/>
                <w:bCs/>
                <w:sz w:val="20"/>
                <w:szCs w:val="20"/>
              </w:rPr>
            </w:pPr>
            <m:oMath>
              <m:r>
                <m:rPr>
                  <m:sty m:val="bi"/>
                </m:rPr>
                <w:rPr>
                  <w:rFonts w:ascii="Cambria Math" w:eastAsia="Cambria" w:hAnsi="Cambria Math" w:cs="Cambria"/>
                  <w:sz w:val="20"/>
                  <w:szCs w:val="20"/>
                </w:rPr>
                <m:t xml:space="preserve">PD = </m:t>
              </m:r>
              <m:f>
                <m:fPr>
                  <m:ctrlPr>
                    <w:rPr>
                      <w:rFonts w:ascii="Cambria Math" w:eastAsia="Cambria" w:hAnsi="Cambria Math" w:cs="Cambria"/>
                      <w:b/>
                      <w:bCs/>
                      <w:i/>
                      <w:sz w:val="20"/>
                      <w:szCs w:val="20"/>
                    </w:rPr>
                  </m:ctrlPr>
                </m:fPr>
                <m:num>
                  <m:sSub>
                    <m:sSubPr>
                      <m:ctrlPr>
                        <w:rPr>
                          <w:rFonts w:ascii="Cambria Math" w:eastAsia="Cambria" w:hAnsi="Cambria Math" w:cs="Cambria"/>
                          <w:b/>
                          <w:bCs/>
                          <w:i/>
                          <w:sz w:val="20"/>
                          <w:szCs w:val="20"/>
                        </w:rPr>
                      </m:ctrlPr>
                    </m:sSubPr>
                    <m:e>
                      <m:r>
                        <m:rPr>
                          <m:sty m:val="bi"/>
                        </m:rPr>
                        <w:rPr>
                          <w:rFonts w:ascii="Cambria Math" w:eastAsia="Cambria" w:hAnsi="Cambria Math" w:cs="Cambria"/>
                          <w:sz w:val="20"/>
                          <w:szCs w:val="20"/>
                        </w:rPr>
                        <m:t>n</m:t>
                      </m:r>
                    </m:e>
                    <m:sub>
                      <m:r>
                        <m:rPr>
                          <m:sty m:val="bi"/>
                        </m:rPr>
                        <w:rPr>
                          <w:rFonts w:ascii="Cambria Math" w:eastAsia="Cambria" w:hAnsi="Cambria Math" w:cs="Cambria"/>
                          <w:sz w:val="20"/>
                          <w:szCs w:val="20"/>
                        </w:rPr>
                        <m:t>i</m:t>
                      </m:r>
                    </m:sub>
                  </m:sSub>
                </m:num>
                <m:den>
                  <m:r>
                    <m:rPr>
                      <m:sty m:val="bi"/>
                    </m:rPr>
                    <w:rPr>
                      <w:rFonts w:ascii="Cambria Math" w:eastAsia="Cambria" w:hAnsi="Cambria Math" w:cs="Cambria"/>
                      <w:sz w:val="20"/>
                      <w:szCs w:val="20"/>
                    </w:rPr>
                    <m:t>A</m:t>
                  </m:r>
                </m:den>
              </m:f>
            </m:oMath>
            <w:r w:rsidRPr="00B62962">
              <w:rPr>
                <w:rFonts w:ascii="Cambria" w:eastAsia="Cambria" w:hAnsi="Cambria" w:cs="Cambria"/>
                <w:b/>
                <w:bCs/>
                <w:sz w:val="20"/>
                <w:szCs w:val="20"/>
              </w:rPr>
              <w:t xml:space="preserve"> (10,000) (100)</w:t>
            </w:r>
          </w:p>
          <w:p w14:paraId="5045AABE" w14:textId="2C78E196" w:rsidR="00915E02" w:rsidRPr="00896321" w:rsidRDefault="006D6C17" w:rsidP="00BC4512">
            <w:pPr>
              <w:jc w:val="both"/>
              <w:rPr>
                <w:rFonts w:ascii="Cambria Math" w:eastAsia="Times New Roman" w:hAnsi="Cambria Math"/>
                <w:sz w:val="20"/>
                <w:szCs w:val="20"/>
              </w:rPr>
            </w:pPr>
            <m:oMath>
              <m:sSub>
                <m:sSubPr>
                  <m:ctrlPr>
                    <w:rPr>
                      <w:rFonts w:ascii="Cambria Math" w:eastAsia="Times New Roman" w:hAnsi="Cambria Math"/>
                      <w:sz w:val="20"/>
                      <w:szCs w:val="20"/>
                    </w:rPr>
                  </m:ctrlPr>
                </m:sSubPr>
                <m:e>
                  <m:r>
                    <m:rPr>
                      <m:sty m:val="p"/>
                    </m:rPr>
                    <w:rPr>
                      <w:rFonts w:ascii="Cambria Math" w:eastAsia="Times New Roman" w:hAnsi="Cambria Math"/>
                      <w:sz w:val="20"/>
                      <w:szCs w:val="20"/>
                    </w:rPr>
                    <m:t>n</m:t>
                  </m:r>
                </m:e>
                <m:sub>
                  <m:r>
                    <m:rPr>
                      <m:sty m:val="p"/>
                    </m:rPr>
                    <w:rPr>
                      <w:rFonts w:ascii="Cambria Math" w:eastAsia="Times New Roman" w:hAnsi="Cambria Math"/>
                      <w:sz w:val="20"/>
                      <w:szCs w:val="20"/>
                    </w:rPr>
                    <m:t>i</m:t>
                  </m:r>
                </m:sub>
              </m:sSub>
            </m:oMath>
            <w:r w:rsidR="00915E02" w:rsidRPr="00896321">
              <w:rPr>
                <w:rFonts w:ascii="Cambria Math" w:eastAsia="Times New Roman" w:hAnsi="Cambria Math"/>
                <w:sz w:val="20"/>
                <w:szCs w:val="20"/>
              </w:rPr>
              <w:t xml:space="preserve"> = number of patches in the landscape of patch type (class)</w:t>
            </w:r>
            <w:proofErr w:type="spellStart"/>
            <w:r w:rsidR="00915E02" w:rsidRPr="000372F6">
              <w:rPr>
                <w:rFonts w:ascii="Cambria Math" w:eastAsia="Times New Roman" w:hAnsi="Cambria Math"/>
                <w:sz w:val="20"/>
                <w:szCs w:val="20"/>
                <w:vertAlign w:val="subscript"/>
              </w:rPr>
              <w:t>i</w:t>
            </w:r>
            <w:proofErr w:type="spellEnd"/>
            <w:r w:rsidR="00915E02" w:rsidRPr="00896321">
              <w:rPr>
                <w:rFonts w:ascii="Cambria Math" w:eastAsia="Times New Roman" w:hAnsi="Cambria Math"/>
                <w:sz w:val="20"/>
                <w:szCs w:val="20"/>
              </w:rPr>
              <w:t>.</w:t>
            </w:r>
          </w:p>
          <w:p w14:paraId="67B2A2C5" w14:textId="5AB0BFE6" w:rsidR="00915E02" w:rsidRPr="00E34455" w:rsidRDefault="00915E02" w:rsidP="00BC4512">
            <w:pPr>
              <w:jc w:val="both"/>
              <w:rPr>
                <w:rFonts w:ascii="Cambria" w:eastAsia="Cambria" w:hAnsi="Cambria" w:cs="Cambria"/>
                <w:sz w:val="20"/>
                <w:szCs w:val="20"/>
              </w:rPr>
            </w:pPr>
            <w:r w:rsidRPr="00896321">
              <w:rPr>
                <w:rFonts w:ascii="Cambria Math" w:eastAsia="Times New Roman" w:hAnsi="Cambria Math"/>
                <w:sz w:val="20"/>
                <w:szCs w:val="20"/>
              </w:rPr>
              <w:t>A = total landscape area (m</w:t>
            </w:r>
            <w:r w:rsidRPr="000372F6">
              <w:rPr>
                <w:rFonts w:ascii="Cambria Math" w:eastAsia="Times New Roman" w:hAnsi="Cambria Math"/>
                <w:sz w:val="20"/>
                <w:szCs w:val="20"/>
                <w:vertAlign w:val="superscript"/>
              </w:rPr>
              <w:t>2</w:t>
            </w:r>
            <w:r w:rsidRPr="00896321">
              <w:rPr>
                <w:rFonts w:ascii="Cambria Math" w:eastAsia="Times New Roman" w:hAnsi="Cambria Math"/>
                <w:sz w:val="20"/>
                <w:szCs w:val="20"/>
              </w:rPr>
              <w:t xml:space="preserve"> ).</w:t>
            </w:r>
          </w:p>
        </w:tc>
        <w:tc>
          <w:tcPr>
            <w:tcW w:w="552" w:type="pct"/>
            <w:tcBorders>
              <w:top w:val="single" w:sz="4" w:space="0" w:color="auto"/>
              <w:bottom w:val="single" w:sz="4" w:space="0" w:color="auto"/>
            </w:tcBorders>
          </w:tcPr>
          <w:p w14:paraId="4B1B56ED" w14:textId="4D6E2E53" w:rsidR="00915E02" w:rsidRPr="00E34455" w:rsidRDefault="00915E02" w:rsidP="007F3AC8">
            <w:pPr>
              <w:widowControl w:val="0"/>
              <w:autoSpaceDE w:val="0"/>
              <w:autoSpaceDN w:val="0"/>
              <w:spacing w:before="83"/>
              <w:jc w:val="center"/>
              <w:rPr>
                <w:rFonts w:ascii="Cambria" w:eastAsia="Cambria" w:hAnsi="Cambria" w:cs="Cambria"/>
                <w:sz w:val="20"/>
                <w:szCs w:val="20"/>
              </w:rPr>
            </w:pPr>
            <w:r>
              <w:rPr>
                <w:rFonts w:ascii="Cambria" w:eastAsia="Cambria" w:hAnsi="Cambria" w:cs="Cambria"/>
                <w:sz w:val="20"/>
                <w:szCs w:val="20"/>
              </w:rPr>
              <w:t>Number per 100 hectares</w:t>
            </w:r>
          </w:p>
        </w:tc>
        <w:tc>
          <w:tcPr>
            <w:tcW w:w="827" w:type="pct"/>
            <w:tcBorders>
              <w:top w:val="single" w:sz="4" w:space="0" w:color="auto"/>
              <w:bottom w:val="single" w:sz="4" w:space="0" w:color="auto"/>
            </w:tcBorders>
          </w:tcPr>
          <w:p w14:paraId="34ADB8E1" w14:textId="77777777" w:rsidR="00CA6C96" w:rsidRDefault="00CA6C96" w:rsidP="00915E02">
            <w:pPr>
              <w:widowControl w:val="0"/>
              <w:autoSpaceDE w:val="0"/>
              <w:autoSpaceDN w:val="0"/>
              <w:spacing w:before="83"/>
              <w:jc w:val="center"/>
              <w:rPr>
                <w:rFonts w:ascii="Cambria" w:eastAsia="Cambria" w:hAnsi="Cambria" w:cs="Cambria"/>
                <w:sz w:val="20"/>
                <w:szCs w:val="20"/>
              </w:rPr>
            </w:pPr>
          </w:p>
          <w:p w14:paraId="69E3C276" w14:textId="6E1B9EF3" w:rsidR="00915E02" w:rsidRDefault="00915E02" w:rsidP="00915E02">
            <w:pPr>
              <w:widowControl w:val="0"/>
              <w:autoSpaceDE w:val="0"/>
              <w:autoSpaceDN w:val="0"/>
              <w:spacing w:before="83"/>
              <w:jc w:val="center"/>
              <w:rPr>
                <w:rFonts w:ascii="Cambria" w:eastAsia="Cambria" w:hAnsi="Cambria" w:cs="Cambria"/>
                <w:sz w:val="20"/>
                <w:szCs w:val="20"/>
              </w:rPr>
            </w:pPr>
            <w:r w:rsidRPr="00915E02">
              <w:rPr>
                <w:rFonts w:ascii="Cambria" w:eastAsia="Cambria" w:hAnsi="Cambria" w:cs="Cambria"/>
                <w:sz w:val="20"/>
                <w:szCs w:val="20"/>
              </w:rPr>
              <w:t>Fragmentation index</w:t>
            </w:r>
          </w:p>
          <w:p w14:paraId="72E2A97F" w14:textId="799BD267" w:rsidR="00915E02" w:rsidRPr="00915E02" w:rsidRDefault="00915E02" w:rsidP="00915E02">
            <w:pPr>
              <w:jc w:val="center"/>
              <w:rPr>
                <w:rFonts w:ascii="Cambria" w:eastAsia="Cambria" w:hAnsi="Cambria" w:cs="Cambria"/>
                <w:sz w:val="20"/>
                <w:szCs w:val="20"/>
              </w:rPr>
            </w:pPr>
          </w:p>
        </w:tc>
      </w:tr>
      <w:tr w:rsidR="00915E02" w:rsidRPr="00E34455" w14:paraId="7DC26572" w14:textId="77777777" w:rsidTr="004D08D0">
        <w:trPr>
          <w:trHeight w:val="659"/>
        </w:trPr>
        <w:tc>
          <w:tcPr>
            <w:tcW w:w="675" w:type="pct"/>
            <w:vMerge/>
          </w:tcPr>
          <w:p w14:paraId="56BA0A98" w14:textId="77777777" w:rsidR="00915E02" w:rsidRPr="00E34455" w:rsidRDefault="00915E02" w:rsidP="00226798">
            <w:pPr>
              <w:widowControl w:val="0"/>
              <w:autoSpaceDE w:val="0"/>
              <w:autoSpaceDN w:val="0"/>
              <w:spacing w:before="83"/>
              <w:rPr>
                <w:rFonts w:ascii="Cambria" w:eastAsia="Cambria" w:hAnsi="Cambria" w:cs="Cambria"/>
                <w:sz w:val="20"/>
                <w:szCs w:val="20"/>
              </w:rPr>
            </w:pPr>
          </w:p>
        </w:tc>
        <w:tc>
          <w:tcPr>
            <w:tcW w:w="736" w:type="pct"/>
            <w:tcBorders>
              <w:top w:val="single" w:sz="4" w:space="0" w:color="auto"/>
              <w:bottom w:val="single" w:sz="4" w:space="0" w:color="auto"/>
            </w:tcBorders>
          </w:tcPr>
          <w:p w14:paraId="47141071" w14:textId="77777777" w:rsidR="00915E02" w:rsidRDefault="00915E02" w:rsidP="004D1500">
            <w:pPr>
              <w:widowControl w:val="0"/>
              <w:autoSpaceDE w:val="0"/>
              <w:autoSpaceDN w:val="0"/>
              <w:spacing w:before="83"/>
              <w:rPr>
                <w:rFonts w:ascii="Arial" w:eastAsia="Times New Roman" w:hAnsi="Arial" w:cs="Arial"/>
                <w:sz w:val="20"/>
                <w:szCs w:val="20"/>
              </w:rPr>
            </w:pPr>
          </w:p>
          <w:p w14:paraId="3A355BEF" w14:textId="41D414FC" w:rsidR="00915E02" w:rsidRPr="00E34455" w:rsidRDefault="00915E02" w:rsidP="00E64330">
            <w:pPr>
              <w:widowControl w:val="0"/>
              <w:autoSpaceDE w:val="0"/>
              <w:autoSpaceDN w:val="0"/>
              <w:spacing w:before="83"/>
              <w:jc w:val="center"/>
              <w:rPr>
                <w:rFonts w:ascii="Arial" w:eastAsia="Times New Roman" w:hAnsi="Arial" w:cs="Arial"/>
                <w:sz w:val="20"/>
                <w:szCs w:val="20"/>
              </w:rPr>
            </w:pPr>
            <w:r w:rsidRPr="00E34455">
              <w:rPr>
                <w:rFonts w:ascii="Arial" w:eastAsia="Times New Roman" w:hAnsi="Arial" w:cs="Arial"/>
                <w:sz w:val="20"/>
                <w:szCs w:val="20"/>
              </w:rPr>
              <w:t xml:space="preserve"> (LPI)</w:t>
            </w:r>
          </w:p>
        </w:tc>
        <w:tc>
          <w:tcPr>
            <w:tcW w:w="2209" w:type="pct"/>
            <w:tcBorders>
              <w:top w:val="single" w:sz="4" w:space="0" w:color="auto"/>
              <w:bottom w:val="single" w:sz="4" w:space="0" w:color="auto"/>
            </w:tcBorders>
          </w:tcPr>
          <w:p w14:paraId="4F3EC595" w14:textId="3128421E" w:rsidR="00915E02" w:rsidRPr="00896321" w:rsidRDefault="00915E02" w:rsidP="00226798">
            <w:pPr>
              <w:widowControl w:val="0"/>
              <w:autoSpaceDE w:val="0"/>
              <w:autoSpaceDN w:val="0"/>
              <w:spacing w:before="83"/>
              <w:rPr>
                <w:rFonts w:ascii="Cambria" w:eastAsia="Cambria" w:hAnsi="Cambria" w:cs="Cambria"/>
                <w:sz w:val="20"/>
                <w:szCs w:val="20"/>
              </w:rPr>
            </w:pPr>
            <m:oMathPara>
              <m:oMath>
                <m:r>
                  <w:rPr>
                    <w:rFonts w:ascii="Cambria Math" w:eastAsia="Cambria" w:hAnsi="Cambria Math" w:cs="Cambria"/>
                    <w:sz w:val="20"/>
                    <w:szCs w:val="20"/>
                  </w:rPr>
                  <m:t xml:space="preserve">LPI = </m:t>
                </m:r>
                <m:d>
                  <m:dPr>
                    <m:ctrlPr>
                      <w:rPr>
                        <w:rFonts w:ascii="Cambria Math" w:eastAsia="Cambria" w:hAnsi="Cambria Math" w:cs="Cambria"/>
                        <w:i/>
                        <w:sz w:val="20"/>
                        <w:szCs w:val="20"/>
                      </w:rPr>
                    </m:ctrlPr>
                  </m:dPr>
                  <m:e>
                    <m:f>
                      <m:fPr>
                        <m:ctrlPr>
                          <w:rPr>
                            <w:rFonts w:ascii="Cambria Math" w:eastAsia="Cambria" w:hAnsi="Cambria Math" w:cs="Cambria"/>
                            <w:i/>
                            <w:sz w:val="20"/>
                            <w:szCs w:val="20"/>
                          </w:rPr>
                        </m:ctrlPr>
                      </m:fPr>
                      <m:num>
                        <m:sSub>
                          <m:sSubPr>
                            <m:ctrlPr>
                              <w:rPr>
                                <w:rFonts w:ascii="Cambria Math" w:eastAsia="Cambria" w:hAnsi="Cambria Math" w:cs="Cambria"/>
                                <w:i/>
                                <w:sz w:val="20"/>
                                <w:szCs w:val="20"/>
                              </w:rPr>
                            </m:ctrlPr>
                          </m:sSubPr>
                          <m:e>
                            <m:r>
                              <w:rPr>
                                <w:rFonts w:ascii="Cambria Math" w:eastAsia="Cambria" w:hAnsi="Cambria Math" w:cs="Cambria"/>
                                <w:sz w:val="20"/>
                                <w:szCs w:val="20"/>
                              </w:rPr>
                              <m:t>γ</m:t>
                            </m:r>
                          </m:e>
                          <m:sub>
                            <m:r>
                              <w:rPr>
                                <w:rFonts w:ascii="Cambria Math" w:eastAsia="Cambria" w:hAnsi="Cambria Math" w:cs="Cambria"/>
                                <w:sz w:val="20"/>
                                <w:szCs w:val="20"/>
                              </w:rPr>
                              <m:t>max</m:t>
                            </m:r>
                          </m:sub>
                        </m:sSub>
                      </m:num>
                      <m:den>
                        <m:r>
                          <w:rPr>
                            <w:rFonts w:ascii="Cambria Math" w:eastAsia="Cambria" w:hAnsi="Cambria Math" w:cs="Cambria"/>
                            <w:sz w:val="20"/>
                            <w:szCs w:val="20"/>
                          </w:rPr>
                          <m:t>A</m:t>
                        </m:r>
                      </m:den>
                    </m:f>
                  </m:e>
                </m:d>
                <m:r>
                  <w:rPr>
                    <w:rFonts w:ascii="Cambria Math" w:eastAsia="Cambria" w:hAnsi="Cambria Math" w:cs="Cambria"/>
                    <w:sz w:val="20"/>
                    <w:szCs w:val="20"/>
                  </w:rPr>
                  <m:t>× 100</m:t>
                </m:r>
              </m:oMath>
            </m:oMathPara>
          </w:p>
          <w:p w14:paraId="6A21BECB" w14:textId="65749386" w:rsidR="00915E02" w:rsidRPr="00896321" w:rsidRDefault="006D6C17" w:rsidP="00BC4512">
            <w:pPr>
              <w:jc w:val="both"/>
              <w:rPr>
                <w:rFonts w:ascii="Cambria Math" w:eastAsia="Times New Roman" w:hAnsi="Cambria Math"/>
                <w:sz w:val="20"/>
                <w:szCs w:val="20"/>
              </w:rPr>
            </w:pPr>
            <m:oMath>
              <m:sSub>
                <m:sSubPr>
                  <m:ctrlPr>
                    <w:rPr>
                      <w:rFonts w:ascii="Cambria Math" w:eastAsia="Times New Roman" w:hAnsi="Cambria Math"/>
                      <w:sz w:val="20"/>
                      <w:szCs w:val="20"/>
                    </w:rPr>
                  </m:ctrlPr>
                </m:sSubPr>
                <m:e>
                  <m:r>
                    <w:rPr>
                      <w:rFonts w:ascii="Cambria Math" w:eastAsia="Times New Roman" w:hAnsi="Cambria Math"/>
                      <w:sz w:val="20"/>
                      <w:szCs w:val="20"/>
                    </w:rPr>
                    <m:t>γ</m:t>
                  </m:r>
                </m:e>
                <m:sub>
                  <m:r>
                    <m:rPr>
                      <m:sty m:val="p"/>
                    </m:rPr>
                    <w:rPr>
                      <w:rFonts w:ascii="Cambria Math" w:eastAsia="Times New Roman" w:hAnsi="Cambria Math"/>
                      <w:sz w:val="20"/>
                      <w:szCs w:val="20"/>
                    </w:rPr>
                    <m:t>max</m:t>
                  </m:r>
                </m:sub>
              </m:sSub>
            </m:oMath>
            <w:r w:rsidR="00915E02" w:rsidRPr="00896321">
              <w:rPr>
                <w:rFonts w:ascii="Cambria Math" w:eastAsia="Times New Roman" w:hAnsi="Cambria Math"/>
                <w:sz w:val="20"/>
                <w:szCs w:val="20"/>
              </w:rPr>
              <w:t xml:space="preserve">​ = area of largest patch </w:t>
            </w:r>
            <w:r w:rsidR="00231F58">
              <w:rPr>
                <w:rFonts w:ascii="Cambria Math" w:eastAsia="Times New Roman" w:hAnsi="Cambria Math"/>
                <w:sz w:val="20"/>
                <w:szCs w:val="20"/>
              </w:rPr>
              <w:t>in</w:t>
            </w:r>
            <w:r w:rsidR="00915E02" w:rsidRPr="00896321">
              <w:rPr>
                <w:rFonts w:ascii="Cambria Math" w:eastAsia="Times New Roman" w:hAnsi="Cambria Math"/>
                <w:sz w:val="20"/>
                <w:szCs w:val="20"/>
              </w:rPr>
              <w:t xml:space="preserve"> a given class </w:t>
            </w:r>
            <w:proofErr w:type="gramStart"/>
            <w:r w:rsidR="00915E02" w:rsidRPr="00896321">
              <w:rPr>
                <w:rFonts w:ascii="Cambria Math" w:eastAsia="Times New Roman" w:hAnsi="Cambria Math"/>
                <w:sz w:val="20"/>
                <w:szCs w:val="20"/>
              </w:rPr>
              <w:t>( square</w:t>
            </w:r>
            <w:proofErr w:type="gramEnd"/>
            <w:r w:rsidR="00915E02" w:rsidRPr="00896321">
              <w:rPr>
                <w:rFonts w:ascii="Cambria Math" w:eastAsia="Times New Roman" w:hAnsi="Cambria Math"/>
                <w:sz w:val="20"/>
                <w:szCs w:val="20"/>
              </w:rPr>
              <w:t xml:space="preserve"> meters or hectares)</w:t>
            </w:r>
          </w:p>
          <w:p w14:paraId="2C14BD30" w14:textId="03746083" w:rsidR="00915E02" w:rsidRPr="00896321" w:rsidRDefault="00915E02" w:rsidP="00BC4512">
            <w:pPr>
              <w:jc w:val="both"/>
              <w:rPr>
                <w:rFonts w:ascii="Cambria" w:eastAsia="Cambria" w:hAnsi="Cambria" w:cs="Cambria"/>
                <w:sz w:val="20"/>
                <w:szCs w:val="20"/>
              </w:rPr>
            </w:pPr>
            <w:r w:rsidRPr="00896321">
              <w:rPr>
                <w:rFonts w:ascii="Cambria Math" w:eastAsia="Times New Roman" w:hAnsi="Cambria Math"/>
                <w:sz w:val="20"/>
                <w:szCs w:val="20"/>
              </w:rPr>
              <w:t xml:space="preserve">A = total landscape area (in the same unit as </w:t>
            </w:r>
            <m:oMath>
              <m:sSub>
                <m:sSubPr>
                  <m:ctrlPr>
                    <w:rPr>
                      <w:rFonts w:ascii="Cambria Math" w:eastAsia="Times New Roman" w:hAnsi="Cambria Math"/>
                      <w:sz w:val="20"/>
                      <w:szCs w:val="20"/>
                    </w:rPr>
                  </m:ctrlPr>
                </m:sSubPr>
                <m:e>
                  <m:r>
                    <w:rPr>
                      <w:rFonts w:ascii="Cambria Math" w:eastAsia="Times New Roman" w:hAnsi="Cambria Math"/>
                      <w:sz w:val="20"/>
                      <w:szCs w:val="20"/>
                    </w:rPr>
                    <m:t>γ</m:t>
                  </m:r>
                </m:e>
                <m:sub>
                  <m:r>
                    <m:rPr>
                      <m:sty m:val="p"/>
                    </m:rPr>
                    <w:rPr>
                      <w:rFonts w:ascii="Cambria Math" w:eastAsia="Times New Roman" w:hAnsi="Cambria Math"/>
                      <w:sz w:val="20"/>
                      <w:szCs w:val="20"/>
                    </w:rPr>
                    <m:t>max</m:t>
                  </m:r>
                </m:sub>
              </m:sSub>
            </m:oMath>
            <w:r w:rsidRPr="00896321">
              <w:rPr>
                <w:rFonts w:ascii="Cambria Math" w:eastAsia="Times New Roman" w:hAnsi="Cambria Math"/>
                <w:sz w:val="20"/>
                <w:szCs w:val="20"/>
              </w:rPr>
              <w:t>​)</w:t>
            </w:r>
          </w:p>
        </w:tc>
        <w:tc>
          <w:tcPr>
            <w:tcW w:w="552" w:type="pct"/>
            <w:tcBorders>
              <w:top w:val="single" w:sz="4" w:space="0" w:color="auto"/>
              <w:bottom w:val="single" w:sz="4" w:space="0" w:color="auto"/>
            </w:tcBorders>
          </w:tcPr>
          <w:p w14:paraId="74B16048" w14:textId="77777777" w:rsidR="00915E02" w:rsidRDefault="00915E02" w:rsidP="00226798">
            <w:pPr>
              <w:widowControl w:val="0"/>
              <w:autoSpaceDE w:val="0"/>
              <w:autoSpaceDN w:val="0"/>
              <w:spacing w:before="83"/>
              <w:rPr>
                <w:rFonts w:ascii="Cambria" w:eastAsia="Cambria" w:hAnsi="Cambria" w:cs="Cambria"/>
                <w:sz w:val="20"/>
                <w:szCs w:val="20"/>
              </w:rPr>
            </w:pPr>
          </w:p>
          <w:p w14:paraId="32AA9A5A" w14:textId="41E3CF74" w:rsidR="00915E02" w:rsidRPr="00E34455" w:rsidRDefault="00915E02" w:rsidP="00226798">
            <w:pPr>
              <w:widowControl w:val="0"/>
              <w:autoSpaceDE w:val="0"/>
              <w:autoSpaceDN w:val="0"/>
              <w:spacing w:before="83"/>
              <w:rPr>
                <w:rFonts w:ascii="Cambria" w:eastAsia="Cambria" w:hAnsi="Cambria" w:cs="Cambria"/>
                <w:sz w:val="20"/>
                <w:szCs w:val="20"/>
              </w:rPr>
            </w:pPr>
            <w:r>
              <w:rPr>
                <w:rFonts w:ascii="Cambria" w:eastAsia="Cambria" w:hAnsi="Cambria" w:cs="Cambria"/>
                <w:sz w:val="20"/>
                <w:szCs w:val="20"/>
              </w:rPr>
              <w:t xml:space="preserve">   Percent</w:t>
            </w:r>
          </w:p>
        </w:tc>
        <w:tc>
          <w:tcPr>
            <w:tcW w:w="827" w:type="pct"/>
            <w:tcBorders>
              <w:top w:val="single" w:sz="4" w:space="0" w:color="auto"/>
              <w:bottom w:val="single" w:sz="4" w:space="0" w:color="auto"/>
            </w:tcBorders>
          </w:tcPr>
          <w:p w14:paraId="2E4A994B" w14:textId="77777777" w:rsidR="00CA6C96" w:rsidRDefault="00CA6C96" w:rsidP="00915E02">
            <w:pPr>
              <w:widowControl w:val="0"/>
              <w:autoSpaceDE w:val="0"/>
              <w:autoSpaceDN w:val="0"/>
              <w:spacing w:before="83"/>
              <w:jc w:val="center"/>
              <w:rPr>
                <w:rFonts w:ascii="Cambria" w:eastAsia="Cambria" w:hAnsi="Cambria" w:cs="Cambria"/>
                <w:sz w:val="20"/>
                <w:szCs w:val="20"/>
              </w:rPr>
            </w:pPr>
          </w:p>
          <w:p w14:paraId="55F04636" w14:textId="0E1DF4F2" w:rsidR="00915E02" w:rsidRPr="00E34455" w:rsidRDefault="00915E02" w:rsidP="00915E02">
            <w:pPr>
              <w:widowControl w:val="0"/>
              <w:autoSpaceDE w:val="0"/>
              <w:autoSpaceDN w:val="0"/>
              <w:spacing w:before="83"/>
              <w:jc w:val="center"/>
              <w:rPr>
                <w:rFonts w:ascii="Cambria" w:eastAsia="Cambria" w:hAnsi="Cambria" w:cs="Cambria"/>
                <w:sz w:val="20"/>
                <w:szCs w:val="20"/>
              </w:rPr>
            </w:pPr>
            <w:r w:rsidRPr="00915E02">
              <w:rPr>
                <w:rFonts w:ascii="Cambria" w:eastAsia="Cambria" w:hAnsi="Cambria" w:cs="Cambria"/>
                <w:sz w:val="20"/>
                <w:szCs w:val="20"/>
              </w:rPr>
              <w:t>Fragmentation and dominance index</w:t>
            </w:r>
          </w:p>
        </w:tc>
      </w:tr>
      <w:tr w:rsidR="00915E02" w:rsidRPr="00E34455" w14:paraId="38E425C4" w14:textId="77777777" w:rsidTr="004D08D0">
        <w:trPr>
          <w:trHeight w:val="314"/>
        </w:trPr>
        <w:tc>
          <w:tcPr>
            <w:tcW w:w="675" w:type="pct"/>
            <w:vMerge/>
          </w:tcPr>
          <w:p w14:paraId="25BAD2D5" w14:textId="77777777" w:rsidR="00915E02" w:rsidRPr="00E34455" w:rsidRDefault="00915E02" w:rsidP="00226798">
            <w:pPr>
              <w:widowControl w:val="0"/>
              <w:autoSpaceDE w:val="0"/>
              <w:autoSpaceDN w:val="0"/>
              <w:spacing w:before="83"/>
              <w:rPr>
                <w:rFonts w:ascii="Cambria" w:eastAsia="Cambria" w:hAnsi="Cambria" w:cs="Cambria"/>
                <w:sz w:val="20"/>
                <w:szCs w:val="20"/>
              </w:rPr>
            </w:pPr>
          </w:p>
        </w:tc>
        <w:tc>
          <w:tcPr>
            <w:tcW w:w="736" w:type="pct"/>
            <w:tcBorders>
              <w:top w:val="single" w:sz="4" w:space="0" w:color="auto"/>
              <w:bottom w:val="single" w:sz="4" w:space="0" w:color="auto"/>
            </w:tcBorders>
          </w:tcPr>
          <w:p w14:paraId="62C1C7CF" w14:textId="77777777" w:rsidR="00915E02" w:rsidRDefault="00915E02" w:rsidP="00E64330">
            <w:pPr>
              <w:widowControl w:val="0"/>
              <w:autoSpaceDE w:val="0"/>
              <w:autoSpaceDN w:val="0"/>
              <w:spacing w:before="83"/>
              <w:jc w:val="center"/>
              <w:rPr>
                <w:rFonts w:ascii="Cambria" w:eastAsia="Cambria" w:hAnsi="Cambria" w:cs="Cambria"/>
                <w:sz w:val="20"/>
                <w:szCs w:val="20"/>
              </w:rPr>
            </w:pPr>
          </w:p>
          <w:p w14:paraId="33FAE74E" w14:textId="77777777" w:rsidR="00915E02" w:rsidRDefault="00915E02" w:rsidP="00E64330">
            <w:pPr>
              <w:widowControl w:val="0"/>
              <w:autoSpaceDE w:val="0"/>
              <w:autoSpaceDN w:val="0"/>
              <w:spacing w:before="83"/>
              <w:jc w:val="center"/>
              <w:rPr>
                <w:rFonts w:ascii="Cambria" w:eastAsia="Cambria" w:hAnsi="Cambria" w:cs="Cambria"/>
                <w:sz w:val="20"/>
                <w:szCs w:val="20"/>
              </w:rPr>
            </w:pPr>
          </w:p>
          <w:p w14:paraId="2DBB59FA" w14:textId="77777777" w:rsidR="00915E02" w:rsidRDefault="00915E02" w:rsidP="00E64330">
            <w:pPr>
              <w:widowControl w:val="0"/>
              <w:autoSpaceDE w:val="0"/>
              <w:autoSpaceDN w:val="0"/>
              <w:spacing w:before="83"/>
              <w:jc w:val="center"/>
              <w:rPr>
                <w:rFonts w:ascii="Cambria" w:eastAsia="Cambria" w:hAnsi="Cambria" w:cs="Cambria"/>
                <w:sz w:val="20"/>
                <w:szCs w:val="20"/>
              </w:rPr>
            </w:pPr>
          </w:p>
          <w:p w14:paraId="0B36F825" w14:textId="0035F03A" w:rsidR="00915E02" w:rsidRPr="00E34455" w:rsidRDefault="00915E02" w:rsidP="00E64330">
            <w:pPr>
              <w:widowControl w:val="0"/>
              <w:autoSpaceDE w:val="0"/>
              <w:autoSpaceDN w:val="0"/>
              <w:spacing w:before="83"/>
              <w:jc w:val="center"/>
              <w:rPr>
                <w:rFonts w:ascii="Cambria" w:eastAsia="Cambria" w:hAnsi="Cambria" w:cs="Cambria"/>
                <w:sz w:val="20"/>
                <w:szCs w:val="20"/>
              </w:rPr>
            </w:pPr>
            <w:r w:rsidRPr="002E279E">
              <w:rPr>
                <w:rFonts w:ascii="Cambria" w:eastAsia="Cambria" w:hAnsi="Cambria" w:cs="Cambria"/>
                <w:sz w:val="20"/>
                <w:szCs w:val="20"/>
              </w:rPr>
              <w:t xml:space="preserve"> (LSI)</w:t>
            </w:r>
          </w:p>
        </w:tc>
        <w:tc>
          <w:tcPr>
            <w:tcW w:w="2209" w:type="pct"/>
            <w:tcBorders>
              <w:top w:val="single" w:sz="4" w:space="0" w:color="auto"/>
              <w:bottom w:val="single" w:sz="4" w:space="0" w:color="auto"/>
            </w:tcBorders>
          </w:tcPr>
          <w:p w14:paraId="6175E0C3" w14:textId="77777777" w:rsidR="00915E02" w:rsidRPr="005429C9" w:rsidRDefault="00915E02" w:rsidP="00317ABF">
            <w:pPr>
              <w:widowControl w:val="0"/>
              <w:autoSpaceDE w:val="0"/>
              <w:autoSpaceDN w:val="0"/>
              <w:spacing w:before="83"/>
              <w:rPr>
                <w:rFonts w:ascii="Cambria" w:eastAsia="Cambria" w:hAnsi="Cambria" w:cs="Cambria"/>
                <w:b/>
                <w:bCs/>
                <w:sz w:val="20"/>
                <w:szCs w:val="20"/>
              </w:rPr>
            </w:pPr>
            <m:oMathPara>
              <m:oMath>
                <m:r>
                  <m:rPr>
                    <m:sty m:val="bi"/>
                  </m:rPr>
                  <w:rPr>
                    <w:rFonts w:ascii="Cambria Math" w:eastAsia="Cambria" w:hAnsi="Cambria Math" w:cs="Cambria"/>
                    <w:sz w:val="20"/>
                    <w:szCs w:val="20"/>
                  </w:rPr>
                  <m:t xml:space="preserve">LSI = </m:t>
                </m:r>
                <m:f>
                  <m:fPr>
                    <m:ctrlPr>
                      <w:rPr>
                        <w:rFonts w:ascii="Cambria Math" w:eastAsia="Cambria" w:hAnsi="Cambria Math" w:cs="Cambria"/>
                        <w:b/>
                        <w:bCs/>
                        <w:i/>
                        <w:sz w:val="20"/>
                        <w:szCs w:val="20"/>
                      </w:rPr>
                    </m:ctrlPr>
                  </m:fPr>
                  <m:num>
                    <m:r>
                      <m:rPr>
                        <m:sty m:val="bi"/>
                      </m:rPr>
                      <w:rPr>
                        <w:rFonts w:ascii="Cambria Math" w:eastAsia="Cambria" w:hAnsi="Cambria Math" w:cs="Cambria"/>
                        <w:sz w:val="20"/>
                        <w:szCs w:val="20"/>
                      </w:rPr>
                      <m:t>0.25</m:t>
                    </m:r>
                    <m:nary>
                      <m:naryPr>
                        <m:chr m:val="∑"/>
                        <m:limLoc m:val="undOvr"/>
                        <m:ctrlPr>
                          <w:rPr>
                            <w:rFonts w:ascii="Cambria Math" w:eastAsia="Cambria" w:hAnsi="Cambria Math" w:cs="Cambria"/>
                            <w:b/>
                            <w:bCs/>
                            <w:i/>
                            <w:sz w:val="20"/>
                            <w:szCs w:val="20"/>
                          </w:rPr>
                        </m:ctrlPr>
                      </m:naryPr>
                      <m:sub>
                        <m:r>
                          <m:rPr>
                            <m:sty m:val="bi"/>
                          </m:rPr>
                          <w:rPr>
                            <w:rFonts w:ascii="Cambria Math" w:eastAsia="Cambria" w:hAnsi="Cambria Math" w:cs="Cambria"/>
                            <w:sz w:val="20"/>
                            <w:szCs w:val="20"/>
                          </w:rPr>
                          <m:t>k=1</m:t>
                        </m:r>
                      </m:sub>
                      <m:sup>
                        <m:r>
                          <m:rPr>
                            <m:sty m:val="bi"/>
                          </m:rPr>
                          <w:rPr>
                            <w:rFonts w:ascii="Cambria Math" w:eastAsia="Cambria" w:hAnsi="Cambria Math" w:cs="Cambria"/>
                            <w:sz w:val="20"/>
                            <w:szCs w:val="20"/>
                          </w:rPr>
                          <m:t>m</m:t>
                        </m:r>
                      </m:sup>
                      <m:e>
                        <m:sSubSup>
                          <m:sSubSupPr>
                            <m:ctrlPr>
                              <w:rPr>
                                <w:rFonts w:ascii="Cambria Math" w:eastAsia="Cambria" w:hAnsi="Cambria Math" w:cs="Cambria"/>
                                <w:b/>
                                <w:bCs/>
                                <w:i/>
                                <w:sz w:val="20"/>
                                <w:szCs w:val="20"/>
                              </w:rPr>
                            </m:ctrlPr>
                          </m:sSubSupPr>
                          <m:e>
                            <m:r>
                              <m:rPr>
                                <m:sty m:val="bi"/>
                              </m:rPr>
                              <w:rPr>
                                <w:rFonts w:ascii="Cambria Math" w:eastAsia="Cambria" w:hAnsi="Cambria Math" w:cs="Cambria"/>
                                <w:sz w:val="20"/>
                                <w:szCs w:val="20"/>
                              </w:rPr>
                              <m:t>e</m:t>
                            </m:r>
                          </m:e>
                          <m:sub>
                            <m:r>
                              <m:rPr>
                                <m:sty m:val="bi"/>
                              </m:rPr>
                              <w:rPr>
                                <w:rFonts w:ascii="Cambria Math" w:eastAsia="Cambria" w:hAnsi="Cambria Math" w:cs="Cambria"/>
                                <w:sz w:val="20"/>
                                <w:szCs w:val="20"/>
                              </w:rPr>
                              <m:t>ik</m:t>
                            </m:r>
                          </m:sub>
                          <m:sup>
                            <m:r>
                              <m:rPr>
                                <m:sty m:val="bi"/>
                              </m:rPr>
                              <w:rPr>
                                <w:rFonts w:ascii="Cambria Math" w:eastAsia="Cambria" w:hAnsi="Cambria Math" w:cs="Cambria"/>
                                <w:sz w:val="20"/>
                                <w:szCs w:val="20"/>
                              </w:rPr>
                              <m:t>*</m:t>
                            </m:r>
                          </m:sup>
                        </m:sSubSup>
                      </m:e>
                    </m:nary>
                  </m:num>
                  <m:den>
                    <m:rad>
                      <m:radPr>
                        <m:degHide m:val="1"/>
                        <m:ctrlPr>
                          <w:rPr>
                            <w:rFonts w:ascii="Cambria Math" w:eastAsia="Cambria" w:hAnsi="Cambria Math" w:cs="Cambria"/>
                            <w:b/>
                            <w:bCs/>
                            <w:i/>
                            <w:sz w:val="20"/>
                            <w:szCs w:val="20"/>
                          </w:rPr>
                        </m:ctrlPr>
                      </m:radPr>
                      <m:deg/>
                      <m:e>
                        <m:r>
                          <m:rPr>
                            <m:sty m:val="bi"/>
                          </m:rPr>
                          <w:rPr>
                            <w:rFonts w:ascii="Cambria Math" w:eastAsia="Cambria" w:hAnsi="Cambria Math" w:cs="Cambria"/>
                            <w:sz w:val="20"/>
                            <w:szCs w:val="20"/>
                          </w:rPr>
                          <m:t>A</m:t>
                        </m:r>
                      </m:e>
                    </m:rad>
                  </m:den>
                </m:f>
              </m:oMath>
            </m:oMathPara>
          </w:p>
          <w:p w14:paraId="7C8F7C83" w14:textId="579D50DE" w:rsidR="00915E02" w:rsidRPr="00BC4512" w:rsidRDefault="006D6C17" w:rsidP="00BC4512">
            <w:pPr>
              <w:jc w:val="both"/>
              <w:rPr>
                <w:rFonts w:ascii="Cambria Math" w:eastAsia="Times New Roman" w:hAnsi="Cambria Math"/>
                <w:sz w:val="20"/>
                <w:szCs w:val="20"/>
              </w:rPr>
            </w:pPr>
            <m:oMath>
              <m:sSubSup>
                <m:sSubSupPr>
                  <m:ctrlPr>
                    <w:rPr>
                      <w:rFonts w:ascii="Cambria Math" w:eastAsia="Times New Roman" w:hAnsi="Cambria Math"/>
                      <w:sz w:val="20"/>
                      <w:szCs w:val="20"/>
                    </w:rPr>
                  </m:ctrlPr>
                </m:sSubSupPr>
                <m:e>
                  <m:r>
                    <w:rPr>
                      <w:rFonts w:ascii="Cambria Math" w:eastAsia="Times New Roman" w:hAnsi="Cambria Math"/>
                      <w:sz w:val="20"/>
                      <w:szCs w:val="20"/>
                    </w:rPr>
                    <m:t>e</m:t>
                  </m:r>
                </m:e>
                <m:sub>
                  <m:r>
                    <w:rPr>
                      <w:rFonts w:ascii="Cambria Math" w:eastAsia="Times New Roman" w:hAnsi="Cambria Math"/>
                      <w:sz w:val="20"/>
                      <w:szCs w:val="20"/>
                    </w:rPr>
                    <m:t>ik</m:t>
                  </m:r>
                </m:sub>
                <m:sup>
                  <m:r>
                    <m:rPr>
                      <m:sty m:val="p"/>
                    </m:rPr>
                    <w:rPr>
                      <w:rFonts w:ascii="Cambria Math" w:eastAsia="Times New Roman" w:hAnsi="Cambria Math"/>
                      <w:sz w:val="20"/>
                      <w:szCs w:val="20"/>
                    </w:rPr>
                    <m:t>*</m:t>
                  </m:r>
                </m:sup>
              </m:sSubSup>
            </m:oMath>
            <w:r w:rsidR="00915E02" w:rsidRPr="00BC4512">
              <w:rPr>
                <w:rFonts w:ascii="Cambria Math" w:eastAsia="Times New Roman" w:hAnsi="Cambria Math"/>
                <w:sz w:val="20"/>
                <w:szCs w:val="20"/>
              </w:rPr>
              <w:t xml:space="preserve"> = total length (m) of edge in the landscape between patch types (classes) </w:t>
            </w:r>
            <w:proofErr w:type="spellStart"/>
            <w:r w:rsidR="00915E02">
              <w:rPr>
                <w:rFonts w:ascii="Cambria Math" w:eastAsia="Times New Roman" w:hAnsi="Cambria Math"/>
                <w:sz w:val="20"/>
                <w:szCs w:val="20"/>
              </w:rPr>
              <w:t>i</w:t>
            </w:r>
            <w:proofErr w:type="spellEnd"/>
            <w:r w:rsidR="00915E02" w:rsidRPr="00BC4512">
              <w:rPr>
                <w:rFonts w:ascii="Cambria Math" w:eastAsia="Times New Roman" w:hAnsi="Cambria Math"/>
                <w:sz w:val="20"/>
                <w:szCs w:val="20"/>
              </w:rPr>
              <w:t xml:space="preserve"> and k; includes entire landscape boundary and some or all background edge segments involving class </w:t>
            </w:r>
            <w:proofErr w:type="spellStart"/>
            <w:r w:rsidR="00915E02" w:rsidRPr="00BC4512">
              <w:rPr>
                <w:rFonts w:ascii="Cambria Math" w:eastAsia="Times New Roman" w:hAnsi="Cambria Math"/>
                <w:sz w:val="20"/>
                <w:szCs w:val="20"/>
              </w:rPr>
              <w:t>i</w:t>
            </w:r>
            <w:proofErr w:type="spellEnd"/>
          </w:p>
          <w:p w14:paraId="56DA50D9" w14:textId="1A17822E" w:rsidR="00915E02" w:rsidRPr="005429C9" w:rsidRDefault="00915E02" w:rsidP="00BC4512">
            <w:pPr>
              <w:jc w:val="both"/>
              <w:rPr>
                <w:rFonts w:ascii="Cambria" w:eastAsia="Cambria" w:hAnsi="Cambria" w:cs="Cambria"/>
                <w:sz w:val="20"/>
                <w:szCs w:val="20"/>
              </w:rPr>
            </w:pPr>
            <w:r w:rsidRPr="00BC4512">
              <w:rPr>
                <w:rFonts w:ascii="Cambria Math" w:eastAsia="Times New Roman" w:hAnsi="Cambria Math"/>
                <w:sz w:val="20"/>
                <w:szCs w:val="20"/>
              </w:rPr>
              <w:t>A = total landscape area (m</w:t>
            </w:r>
            <w:r w:rsidRPr="00BC4512">
              <w:rPr>
                <w:rFonts w:ascii="Cambria Math" w:eastAsia="Times New Roman" w:hAnsi="Cambria Math"/>
                <w:sz w:val="20"/>
                <w:szCs w:val="20"/>
                <w:vertAlign w:val="superscript"/>
              </w:rPr>
              <w:t xml:space="preserve">2 </w:t>
            </w:r>
            <w:r w:rsidRPr="00BC4512">
              <w:rPr>
                <w:rFonts w:ascii="Cambria Math" w:eastAsia="Times New Roman" w:hAnsi="Cambria Math"/>
                <w:sz w:val="20"/>
                <w:szCs w:val="20"/>
              </w:rPr>
              <w:t>).</w:t>
            </w:r>
          </w:p>
        </w:tc>
        <w:tc>
          <w:tcPr>
            <w:tcW w:w="552" w:type="pct"/>
            <w:tcBorders>
              <w:top w:val="single" w:sz="4" w:space="0" w:color="auto"/>
              <w:bottom w:val="single" w:sz="4" w:space="0" w:color="auto"/>
            </w:tcBorders>
          </w:tcPr>
          <w:p w14:paraId="460CE81F" w14:textId="77777777" w:rsidR="00915E02" w:rsidRDefault="00915E02" w:rsidP="007F3AC8">
            <w:pPr>
              <w:widowControl w:val="0"/>
              <w:autoSpaceDE w:val="0"/>
              <w:autoSpaceDN w:val="0"/>
              <w:spacing w:before="83"/>
              <w:jc w:val="center"/>
              <w:rPr>
                <w:rFonts w:ascii="Cambria" w:eastAsia="Cambria" w:hAnsi="Cambria" w:cs="Cambria"/>
                <w:sz w:val="20"/>
                <w:szCs w:val="20"/>
              </w:rPr>
            </w:pPr>
          </w:p>
          <w:p w14:paraId="105C7186" w14:textId="2C7600E4" w:rsidR="00915E02" w:rsidRPr="00E34455" w:rsidRDefault="00915E02" w:rsidP="007F3AC8">
            <w:pPr>
              <w:widowControl w:val="0"/>
              <w:autoSpaceDE w:val="0"/>
              <w:autoSpaceDN w:val="0"/>
              <w:spacing w:before="83"/>
              <w:jc w:val="center"/>
              <w:rPr>
                <w:rFonts w:ascii="Cambria" w:eastAsia="Cambria" w:hAnsi="Cambria" w:cs="Cambria"/>
                <w:sz w:val="20"/>
                <w:szCs w:val="20"/>
              </w:rPr>
            </w:pPr>
            <w:r>
              <w:rPr>
                <w:rFonts w:ascii="Cambria" w:eastAsia="Cambria" w:hAnsi="Cambria" w:cs="Cambria"/>
                <w:sz w:val="20"/>
                <w:szCs w:val="20"/>
              </w:rPr>
              <w:t>None</w:t>
            </w:r>
          </w:p>
        </w:tc>
        <w:tc>
          <w:tcPr>
            <w:tcW w:w="827" w:type="pct"/>
            <w:tcBorders>
              <w:top w:val="single" w:sz="4" w:space="0" w:color="auto"/>
              <w:bottom w:val="single" w:sz="4" w:space="0" w:color="auto"/>
            </w:tcBorders>
          </w:tcPr>
          <w:p w14:paraId="2196942B" w14:textId="77777777" w:rsidR="00CA6C96" w:rsidRDefault="00CA6C96" w:rsidP="00915E02">
            <w:pPr>
              <w:widowControl w:val="0"/>
              <w:autoSpaceDE w:val="0"/>
              <w:autoSpaceDN w:val="0"/>
              <w:spacing w:before="83"/>
              <w:jc w:val="center"/>
              <w:rPr>
                <w:rFonts w:ascii="Cambria" w:eastAsia="Cambria" w:hAnsi="Cambria" w:cs="Cambria"/>
                <w:sz w:val="20"/>
                <w:szCs w:val="20"/>
              </w:rPr>
            </w:pPr>
          </w:p>
          <w:p w14:paraId="457BC93E" w14:textId="0CBBF444" w:rsidR="00915E02" w:rsidRPr="00E34455" w:rsidRDefault="00915E02" w:rsidP="00915E02">
            <w:pPr>
              <w:widowControl w:val="0"/>
              <w:autoSpaceDE w:val="0"/>
              <w:autoSpaceDN w:val="0"/>
              <w:spacing w:before="83"/>
              <w:jc w:val="center"/>
              <w:rPr>
                <w:rFonts w:ascii="Cambria" w:eastAsia="Cambria" w:hAnsi="Cambria" w:cs="Cambria"/>
                <w:sz w:val="20"/>
                <w:szCs w:val="20"/>
              </w:rPr>
            </w:pPr>
            <w:r w:rsidRPr="00915E02">
              <w:rPr>
                <w:rFonts w:ascii="Cambria" w:eastAsia="Cambria" w:hAnsi="Cambria" w:cs="Cambria"/>
                <w:sz w:val="20"/>
                <w:szCs w:val="20"/>
              </w:rPr>
              <w:t>Shape index</w:t>
            </w:r>
          </w:p>
        </w:tc>
      </w:tr>
      <w:tr w:rsidR="00915E02" w:rsidRPr="00E34455" w14:paraId="21239AEA" w14:textId="77777777" w:rsidTr="004D08D0">
        <w:trPr>
          <w:trHeight w:val="177"/>
        </w:trPr>
        <w:tc>
          <w:tcPr>
            <w:tcW w:w="675" w:type="pct"/>
            <w:vMerge/>
            <w:tcBorders>
              <w:bottom w:val="single" w:sz="4" w:space="0" w:color="auto"/>
            </w:tcBorders>
          </w:tcPr>
          <w:p w14:paraId="2389ACAB" w14:textId="77777777" w:rsidR="00915E02" w:rsidRPr="00E34455" w:rsidRDefault="00915E02" w:rsidP="00226798">
            <w:pPr>
              <w:widowControl w:val="0"/>
              <w:autoSpaceDE w:val="0"/>
              <w:autoSpaceDN w:val="0"/>
              <w:spacing w:before="83"/>
              <w:rPr>
                <w:rFonts w:ascii="Cambria" w:eastAsia="Cambria" w:hAnsi="Cambria" w:cs="Cambria"/>
                <w:sz w:val="20"/>
                <w:szCs w:val="20"/>
              </w:rPr>
            </w:pPr>
          </w:p>
        </w:tc>
        <w:tc>
          <w:tcPr>
            <w:tcW w:w="736" w:type="pct"/>
            <w:tcBorders>
              <w:top w:val="single" w:sz="4" w:space="0" w:color="auto"/>
              <w:bottom w:val="single" w:sz="4" w:space="0" w:color="auto"/>
            </w:tcBorders>
          </w:tcPr>
          <w:p w14:paraId="17B1F6A7" w14:textId="77777777" w:rsidR="003F5D70" w:rsidRDefault="00915E02" w:rsidP="00E64330">
            <w:pPr>
              <w:widowControl w:val="0"/>
              <w:autoSpaceDE w:val="0"/>
              <w:autoSpaceDN w:val="0"/>
              <w:spacing w:before="83"/>
              <w:jc w:val="center"/>
              <w:rPr>
                <w:rFonts w:ascii="Cambria" w:eastAsia="Cambria" w:hAnsi="Cambria" w:cs="Cambria"/>
                <w:sz w:val="20"/>
                <w:szCs w:val="20"/>
              </w:rPr>
            </w:pPr>
            <w:r>
              <w:rPr>
                <w:rFonts w:ascii="Cambria" w:eastAsia="Cambria" w:hAnsi="Cambria" w:cs="Cambria"/>
                <w:sz w:val="20"/>
                <w:szCs w:val="20"/>
              </w:rPr>
              <w:t xml:space="preserve"> </w:t>
            </w:r>
          </w:p>
          <w:p w14:paraId="177EE358" w14:textId="77777777" w:rsidR="003F5D70" w:rsidRDefault="003F5D70" w:rsidP="00E64330">
            <w:pPr>
              <w:widowControl w:val="0"/>
              <w:autoSpaceDE w:val="0"/>
              <w:autoSpaceDN w:val="0"/>
              <w:spacing w:before="83"/>
              <w:jc w:val="center"/>
              <w:rPr>
                <w:rFonts w:ascii="Cambria" w:eastAsia="Cambria" w:hAnsi="Cambria" w:cs="Cambria"/>
                <w:sz w:val="20"/>
                <w:szCs w:val="20"/>
              </w:rPr>
            </w:pPr>
          </w:p>
          <w:p w14:paraId="73B1D524" w14:textId="79E452F3" w:rsidR="00915E02" w:rsidRPr="00E34455" w:rsidRDefault="003F5D70" w:rsidP="00E64330">
            <w:pPr>
              <w:widowControl w:val="0"/>
              <w:autoSpaceDE w:val="0"/>
              <w:autoSpaceDN w:val="0"/>
              <w:spacing w:before="83"/>
              <w:jc w:val="center"/>
              <w:rPr>
                <w:rFonts w:ascii="Cambria" w:eastAsia="Cambria" w:hAnsi="Cambria" w:cs="Cambria"/>
                <w:sz w:val="20"/>
                <w:szCs w:val="20"/>
              </w:rPr>
            </w:pPr>
            <w:r>
              <w:rPr>
                <w:rFonts w:ascii="Cambria" w:eastAsia="Cambria" w:hAnsi="Cambria" w:cs="Cambria"/>
                <w:sz w:val="20"/>
                <w:szCs w:val="20"/>
              </w:rPr>
              <w:t>(</w:t>
            </w:r>
            <w:r w:rsidR="00915E02">
              <w:rPr>
                <w:rFonts w:ascii="Cambria" w:eastAsia="Cambria" w:hAnsi="Cambria" w:cs="Cambria"/>
                <w:sz w:val="20"/>
                <w:szCs w:val="20"/>
              </w:rPr>
              <w:t>COHESION)</w:t>
            </w:r>
          </w:p>
        </w:tc>
        <w:tc>
          <w:tcPr>
            <w:tcW w:w="2209" w:type="pct"/>
            <w:tcBorders>
              <w:top w:val="single" w:sz="4" w:space="0" w:color="auto"/>
              <w:bottom w:val="single" w:sz="4" w:space="0" w:color="auto"/>
            </w:tcBorders>
          </w:tcPr>
          <w:p w14:paraId="55304397" w14:textId="0F45D2E1" w:rsidR="00915E02" w:rsidRPr="00910775" w:rsidRDefault="00915E02" w:rsidP="00226798">
            <w:pPr>
              <w:widowControl w:val="0"/>
              <w:autoSpaceDE w:val="0"/>
              <w:autoSpaceDN w:val="0"/>
              <w:spacing w:before="83"/>
              <w:rPr>
                <w:rFonts w:ascii="Cambria" w:eastAsia="Cambria" w:hAnsi="Cambria" w:cs="Cambria"/>
                <w:b/>
                <w:bCs/>
                <w:sz w:val="16"/>
                <w:szCs w:val="16"/>
              </w:rPr>
            </w:pPr>
            <m:oMathPara>
              <m:oMath>
                <m:r>
                  <m:rPr>
                    <m:sty m:val="bi"/>
                  </m:rPr>
                  <w:rPr>
                    <w:rFonts w:ascii="Cambria Math" w:eastAsia="Cambria" w:hAnsi="Cambria Math" w:cs="Cambria"/>
                    <w:sz w:val="16"/>
                    <w:szCs w:val="16"/>
                  </w:rPr>
                  <m:t xml:space="preserve">COHESION = </m:t>
                </m:r>
                <m:d>
                  <m:dPr>
                    <m:begChr m:val="["/>
                    <m:endChr m:val="]"/>
                    <m:ctrlPr>
                      <w:rPr>
                        <w:rFonts w:ascii="Cambria Math" w:eastAsia="Cambria" w:hAnsi="Cambria Math" w:cs="Cambria"/>
                        <w:b/>
                        <w:bCs/>
                        <w:i/>
                        <w:sz w:val="16"/>
                        <w:szCs w:val="16"/>
                      </w:rPr>
                    </m:ctrlPr>
                  </m:dPr>
                  <m:e>
                    <m:r>
                      <m:rPr>
                        <m:sty m:val="bi"/>
                      </m:rPr>
                      <w:rPr>
                        <w:rFonts w:ascii="Cambria Math" w:eastAsia="Cambria" w:hAnsi="Cambria Math" w:cs="Cambria"/>
                        <w:sz w:val="16"/>
                        <w:szCs w:val="16"/>
                      </w:rPr>
                      <m:t>1 ⎯</m:t>
                    </m:r>
                    <m:f>
                      <m:fPr>
                        <m:ctrlPr>
                          <w:rPr>
                            <w:rFonts w:ascii="Cambria Math" w:eastAsia="Cambria" w:hAnsi="Cambria Math" w:cs="Cambria"/>
                            <w:b/>
                            <w:bCs/>
                            <w:i/>
                            <w:sz w:val="16"/>
                            <w:szCs w:val="16"/>
                          </w:rPr>
                        </m:ctrlPr>
                      </m:fPr>
                      <m:num>
                        <m:nary>
                          <m:naryPr>
                            <m:chr m:val="∑"/>
                            <m:limLoc m:val="undOvr"/>
                            <m:ctrlPr>
                              <w:rPr>
                                <w:rFonts w:ascii="Cambria Math" w:eastAsia="Cambria" w:hAnsi="Cambria Math" w:cs="Cambria"/>
                                <w:b/>
                                <w:bCs/>
                                <w:i/>
                                <w:sz w:val="16"/>
                                <w:szCs w:val="16"/>
                              </w:rPr>
                            </m:ctrlPr>
                          </m:naryPr>
                          <m:sub>
                            <m:r>
                              <m:rPr>
                                <m:sty m:val="bi"/>
                              </m:rPr>
                              <w:rPr>
                                <w:rFonts w:ascii="Cambria Math" w:eastAsia="Cambria" w:hAnsi="Cambria Math" w:cs="Cambria"/>
                                <w:sz w:val="16"/>
                                <w:szCs w:val="16"/>
                              </w:rPr>
                              <m:t>j=1</m:t>
                            </m:r>
                          </m:sub>
                          <m:sup>
                            <m:r>
                              <m:rPr>
                                <m:sty m:val="bi"/>
                              </m:rPr>
                              <w:rPr>
                                <w:rFonts w:ascii="Cambria Math" w:eastAsia="Cambria" w:hAnsi="Cambria Math" w:cs="Cambria"/>
                                <w:sz w:val="16"/>
                                <w:szCs w:val="16"/>
                              </w:rPr>
                              <m:t>n</m:t>
                            </m:r>
                          </m:sup>
                          <m:e>
                            <m:sSubSup>
                              <m:sSubSupPr>
                                <m:ctrlPr>
                                  <w:rPr>
                                    <w:rFonts w:ascii="Cambria Math" w:eastAsia="Cambria" w:hAnsi="Cambria Math" w:cs="Cambria"/>
                                    <w:b/>
                                    <w:bCs/>
                                    <w:i/>
                                    <w:sz w:val="16"/>
                                    <w:szCs w:val="16"/>
                                  </w:rPr>
                                </m:ctrlPr>
                              </m:sSubSupPr>
                              <m:e>
                                <m:r>
                                  <m:rPr>
                                    <m:sty m:val="bi"/>
                                  </m:rPr>
                                  <w:rPr>
                                    <w:rFonts w:ascii="Cambria Math" w:eastAsia="Cambria" w:hAnsi="Cambria Math" w:cs="Cambria"/>
                                    <w:sz w:val="16"/>
                                    <w:szCs w:val="16"/>
                                  </w:rPr>
                                  <m:t>p</m:t>
                                </m:r>
                              </m:e>
                              <m:sub>
                                <m:r>
                                  <m:rPr>
                                    <m:sty m:val="bi"/>
                                  </m:rPr>
                                  <w:rPr>
                                    <w:rFonts w:ascii="Cambria Math" w:eastAsia="Cambria" w:hAnsi="Cambria Math" w:cs="Cambria"/>
                                    <w:sz w:val="16"/>
                                    <w:szCs w:val="16"/>
                                  </w:rPr>
                                  <m:t>ij</m:t>
                                </m:r>
                              </m:sub>
                              <m:sup>
                                <m:r>
                                  <m:rPr>
                                    <m:sty m:val="bi"/>
                                  </m:rPr>
                                  <w:rPr>
                                    <w:rFonts w:ascii="Cambria Math" w:eastAsia="Cambria" w:hAnsi="Cambria Math" w:cs="Cambria"/>
                                    <w:sz w:val="16"/>
                                    <w:szCs w:val="16"/>
                                  </w:rPr>
                                  <m:t>*</m:t>
                                </m:r>
                              </m:sup>
                            </m:sSubSup>
                          </m:e>
                        </m:nary>
                      </m:num>
                      <m:den>
                        <m:nary>
                          <m:naryPr>
                            <m:chr m:val="∑"/>
                            <m:limLoc m:val="undOvr"/>
                            <m:ctrlPr>
                              <w:rPr>
                                <w:rFonts w:ascii="Cambria Math" w:eastAsia="Cambria" w:hAnsi="Cambria Math" w:cs="Cambria"/>
                                <w:b/>
                                <w:bCs/>
                                <w:i/>
                                <w:sz w:val="16"/>
                                <w:szCs w:val="16"/>
                              </w:rPr>
                            </m:ctrlPr>
                          </m:naryPr>
                          <m:sub>
                            <m:r>
                              <m:rPr>
                                <m:sty m:val="bi"/>
                              </m:rPr>
                              <w:rPr>
                                <w:rFonts w:ascii="Cambria Math" w:eastAsia="Cambria" w:hAnsi="Cambria Math" w:cs="Cambria"/>
                                <w:sz w:val="16"/>
                                <w:szCs w:val="16"/>
                              </w:rPr>
                              <m:t>j=1</m:t>
                            </m:r>
                          </m:sub>
                          <m:sup>
                            <m:r>
                              <m:rPr>
                                <m:sty m:val="bi"/>
                              </m:rPr>
                              <w:rPr>
                                <w:rFonts w:ascii="Cambria Math" w:eastAsia="Cambria" w:hAnsi="Cambria Math" w:cs="Cambria"/>
                                <w:sz w:val="16"/>
                                <w:szCs w:val="16"/>
                              </w:rPr>
                              <m:t>n</m:t>
                            </m:r>
                          </m:sup>
                          <m:e>
                            <m:sSubSup>
                              <m:sSubSupPr>
                                <m:ctrlPr>
                                  <w:rPr>
                                    <w:rFonts w:ascii="Cambria Math" w:eastAsia="Cambria" w:hAnsi="Cambria Math" w:cs="Cambria"/>
                                    <w:b/>
                                    <w:bCs/>
                                    <w:i/>
                                    <w:sz w:val="16"/>
                                    <w:szCs w:val="16"/>
                                  </w:rPr>
                                </m:ctrlPr>
                              </m:sSubSupPr>
                              <m:e>
                                <m:r>
                                  <m:rPr>
                                    <m:sty m:val="bi"/>
                                  </m:rPr>
                                  <w:rPr>
                                    <w:rFonts w:ascii="Cambria Math" w:eastAsia="Cambria" w:hAnsi="Cambria Math" w:cs="Cambria"/>
                                    <w:sz w:val="16"/>
                                    <w:szCs w:val="16"/>
                                  </w:rPr>
                                  <m:t>p</m:t>
                                </m:r>
                              </m:e>
                              <m:sub>
                                <m:r>
                                  <m:rPr>
                                    <m:sty m:val="bi"/>
                                  </m:rPr>
                                  <w:rPr>
                                    <w:rFonts w:ascii="Cambria Math" w:eastAsia="Cambria" w:hAnsi="Cambria Math" w:cs="Cambria"/>
                                    <w:sz w:val="16"/>
                                    <w:szCs w:val="16"/>
                                  </w:rPr>
                                  <m:t>ij</m:t>
                                </m:r>
                              </m:sub>
                              <m:sup>
                                <m:r>
                                  <m:rPr>
                                    <m:sty m:val="bi"/>
                                  </m:rPr>
                                  <w:rPr>
                                    <w:rFonts w:ascii="Cambria Math" w:eastAsia="Cambria" w:hAnsi="Cambria Math" w:cs="Cambria"/>
                                    <w:sz w:val="16"/>
                                    <w:szCs w:val="16"/>
                                  </w:rPr>
                                  <m:t>*</m:t>
                                </m:r>
                              </m:sup>
                            </m:sSubSup>
                          </m:e>
                        </m:nary>
                        <m:rad>
                          <m:radPr>
                            <m:degHide m:val="1"/>
                            <m:ctrlPr>
                              <w:rPr>
                                <w:rFonts w:ascii="Cambria Math" w:eastAsia="Cambria" w:hAnsi="Cambria Math" w:cs="Cambria"/>
                                <w:b/>
                                <w:bCs/>
                                <w:i/>
                                <w:sz w:val="16"/>
                                <w:szCs w:val="16"/>
                              </w:rPr>
                            </m:ctrlPr>
                          </m:radPr>
                          <m:deg/>
                          <m:e>
                            <m:sSubSup>
                              <m:sSubSupPr>
                                <m:ctrlPr>
                                  <w:rPr>
                                    <w:rFonts w:ascii="Cambria Math" w:eastAsia="Cambria" w:hAnsi="Cambria Math" w:cs="Cambria"/>
                                    <w:b/>
                                    <w:bCs/>
                                    <w:i/>
                                    <w:sz w:val="16"/>
                                    <w:szCs w:val="16"/>
                                  </w:rPr>
                                </m:ctrlPr>
                              </m:sSubSupPr>
                              <m:e>
                                <m:r>
                                  <m:rPr>
                                    <m:sty m:val="bi"/>
                                  </m:rPr>
                                  <w:rPr>
                                    <w:rFonts w:ascii="Cambria Math" w:eastAsia="Cambria" w:hAnsi="Cambria Math" w:cs="Cambria"/>
                                    <w:sz w:val="16"/>
                                    <w:szCs w:val="16"/>
                                  </w:rPr>
                                  <m:t>a</m:t>
                                </m:r>
                              </m:e>
                              <m:sub>
                                <m:r>
                                  <m:rPr>
                                    <m:sty m:val="bi"/>
                                  </m:rPr>
                                  <w:rPr>
                                    <w:rFonts w:ascii="Cambria Math" w:eastAsia="Cambria" w:hAnsi="Cambria Math" w:cs="Cambria"/>
                                    <w:sz w:val="16"/>
                                    <w:szCs w:val="16"/>
                                  </w:rPr>
                                  <m:t>ij</m:t>
                                </m:r>
                              </m:sub>
                              <m:sup>
                                <m:r>
                                  <m:rPr>
                                    <m:sty m:val="bi"/>
                                  </m:rPr>
                                  <w:rPr>
                                    <w:rFonts w:ascii="Cambria Math" w:eastAsia="Cambria" w:hAnsi="Cambria Math" w:cs="Cambria"/>
                                    <w:sz w:val="16"/>
                                    <w:szCs w:val="16"/>
                                  </w:rPr>
                                  <m:t>*</m:t>
                                </m:r>
                              </m:sup>
                            </m:sSubSup>
                          </m:e>
                        </m:rad>
                      </m:den>
                    </m:f>
                  </m:e>
                </m:d>
                <m:sSup>
                  <m:sSupPr>
                    <m:ctrlPr>
                      <w:rPr>
                        <w:rFonts w:ascii="Cambria Math" w:eastAsia="Cambria" w:hAnsi="Cambria Math" w:cs="Cambria"/>
                        <w:b/>
                        <w:bCs/>
                        <w:i/>
                        <w:sz w:val="16"/>
                        <w:szCs w:val="16"/>
                      </w:rPr>
                    </m:ctrlPr>
                  </m:sSupPr>
                  <m:e>
                    <m:d>
                      <m:dPr>
                        <m:begChr m:val="["/>
                        <m:endChr m:val="]"/>
                        <m:ctrlPr>
                          <w:rPr>
                            <w:rFonts w:ascii="Cambria Math" w:eastAsia="Cambria" w:hAnsi="Cambria Math" w:cs="Cambria"/>
                            <w:b/>
                            <w:bCs/>
                            <w:i/>
                            <w:sz w:val="16"/>
                            <w:szCs w:val="16"/>
                          </w:rPr>
                        </m:ctrlPr>
                      </m:dPr>
                      <m:e>
                        <m:r>
                          <m:rPr>
                            <m:sty m:val="bi"/>
                          </m:rPr>
                          <w:rPr>
                            <w:rFonts w:ascii="Cambria Math" w:eastAsia="Cambria" w:hAnsi="Cambria Math" w:cs="Cambria"/>
                            <w:sz w:val="16"/>
                            <w:szCs w:val="16"/>
                          </w:rPr>
                          <m:t>1⎯</m:t>
                        </m:r>
                        <m:f>
                          <m:fPr>
                            <m:ctrlPr>
                              <w:rPr>
                                <w:rFonts w:ascii="Cambria Math" w:eastAsia="Cambria" w:hAnsi="Cambria Math" w:cs="Cambria"/>
                                <w:b/>
                                <w:bCs/>
                                <w:i/>
                                <w:sz w:val="16"/>
                                <w:szCs w:val="16"/>
                              </w:rPr>
                            </m:ctrlPr>
                          </m:fPr>
                          <m:num>
                            <m:r>
                              <m:rPr>
                                <m:sty m:val="bi"/>
                              </m:rPr>
                              <w:rPr>
                                <w:rFonts w:ascii="Cambria Math" w:eastAsia="Cambria" w:hAnsi="Cambria Math" w:cs="Cambria"/>
                                <w:sz w:val="16"/>
                                <w:szCs w:val="16"/>
                              </w:rPr>
                              <m:t>1</m:t>
                            </m:r>
                          </m:num>
                          <m:den>
                            <m:rad>
                              <m:radPr>
                                <m:degHide m:val="1"/>
                                <m:ctrlPr>
                                  <w:rPr>
                                    <w:rFonts w:ascii="Cambria Math" w:eastAsia="Cambria" w:hAnsi="Cambria Math" w:cs="Cambria"/>
                                    <w:b/>
                                    <w:bCs/>
                                    <w:i/>
                                    <w:sz w:val="16"/>
                                    <w:szCs w:val="16"/>
                                  </w:rPr>
                                </m:ctrlPr>
                              </m:radPr>
                              <m:deg/>
                              <m:e>
                                <m:r>
                                  <m:rPr>
                                    <m:sty m:val="bi"/>
                                  </m:rPr>
                                  <w:rPr>
                                    <w:rFonts w:ascii="Cambria Math" w:eastAsia="Cambria" w:hAnsi="Cambria Math" w:cs="Cambria"/>
                                    <w:sz w:val="16"/>
                                    <w:szCs w:val="16"/>
                                  </w:rPr>
                                  <m:t>Z</m:t>
                                </m:r>
                              </m:e>
                            </m:rad>
                          </m:den>
                        </m:f>
                      </m:e>
                    </m:d>
                  </m:e>
                  <m:sup>
                    <m:r>
                      <m:rPr>
                        <m:sty m:val="bi"/>
                      </m:rPr>
                      <w:rPr>
                        <w:rFonts w:ascii="Cambria Math" w:eastAsia="Cambria" w:hAnsi="Cambria Math" w:cs="Cambria"/>
                        <w:sz w:val="16"/>
                        <w:szCs w:val="16"/>
                      </w:rPr>
                      <m:t>-1</m:t>
                    </m:r>
                  </m:sup>
                </m:sSup>
              </m:oMath>
            </m:oMathPara>
          </w:p>
          <w:p w14:paraId="65E0DEB9" w14:textId="5922D6B9" w:rsidR="00915E02" w:rsidRPr="00BC4512" w:rsidRDefault="006D6C17" w:rsidP="00BC4512">
            <w:pPr>
              <w:jc w:val="both"/>
              <w:rPr>
                <w:rFonts w:ascii="Cambria Math" w:eastAsia="Times New Roman" w:hAnsi="Cambria Math"/>
                <w:sz w:val="20"/>
                <w:szCs w:val="20"/>
              </w:rPr>
            </w:pPr>
            <m:oMath>
              <m:sSubSup>
                <m:sSubSupPr>
                  <m:ctrlPr>
                    <w:rPr>
                      <w:rFonts w:ascii="Cambria Math" w:eastAsia="Times New Roman" w:hAnsi="Cambria Math"/>
                      <w:sz w:val="20"/>
                      <w:szCs w:val="20"/>
                    </w:rPr>
                  </m:ctrlPr>
                </m:sSubSupPr>
                <m:e>
                  <m:r>
                    <m:rPr>
                      <m:sty m:val="p"/>
                    </m:rPr>
                    <w:rPr>
                      <w:rFonts w:ascii="Cambria Math" w:eastAsia="Times New Roman" w:hAnsi="Cambria Math"/>
                      <w:sz w:val="20"/>
                      <w:szCs w:val="20"/>
                    </w:rPr>
                    <m:t>p</m:t>
                  </m:r>
                </m:e>
                <m:sub>
                  <m:r>
                    <m:rPr>
                      <m:sty m:val="p"/>
                    </m:rPr>
                    <w:rPr>
                      <w:rFonts w:ascii="Cambria Math" w:eastAsia="Times New Roman" w:hAnsi="Cambria Math"/>
                      <w:sz w:val="20"/>
                      <w:szCs w:val="20"/>
                    </w:rPr>
                    <m:t>ij</m:t>
                  </m:r>
                </m:sub>
                <m:sup>
                  <m:r>
                    <m:rPr>
                      <m:sty m:val="p"/>
                    </m:rPr>
                    <w:rPr>
                      <w:rFonts w:ascii="Cambria Math" w:eastAsia="Times New Roman" w:hAnsi="Cambria Math"/>
                      <w:sz w:val="20"/>
                      <w:szCs w:val="20"/>
                    </w:rPr>
                    <m:t>*</m:t>
                  </m:r>
                </m:sup>
              </m:sSubSup>
            </m:oMath>
            <w:r w:rsidR="00915E02" w:rsidRPr="00BC4512">
              <w:rPr>
                <w:rFonts w:ascii="Cambria Math" w:eastAsia="Times New Roman" w:hAnsi="Cambria Math"/>
                <w:sz w:val="20"/>
                <w:szCs w:val="20"/>
              </w:rPr>
              <w:t xml:space="preserve"> = perimeter of </w:t>
            </w:r>
            <w:proofErr w:type="spellStart"/>
            <w:r w:rsidR="00915E02" w:rsidRPr="00BC4512">
              <w:rPr>
                <w:rFonts w:ascii="Cambria Math" w:eastAsia="Times New Roman" w:hAnsi="Cambria Math"/>
                <w:sz w:val="20"/>
                <w:szCs w:val="20"/>
              </w:rPr>
              <w:t>patch</w:t>
            </w:r>
            <w:r w:rsidR="00915E02" w:rsidRPr="00BC4512">
              <w:rPr>
                <w:rFonts w:ascii="Cambria Math" w:eastAsia="Times New Roman" w:hAnsi="Cambria Math"/>
                <w:sz w:val="20"/>
                <w:szCs w:val="20"/>
                <w:vertAlign w:val="subscript"/>
              </w:rPr>
              <w:t>ij</w:t>
            </w:r>
            <w:proofErr w:type="spellEnd"/>
            <w:r w:rsidR="00915E02" w:rsidRPr="00BC4512">
              <w:rPr>
                <w:rFonts w:ascii="Cambria Math" w:eastAsia="Times New Roman" w:hAnsi="Cambria Math"/>
                <w:sz w:val="20"/>
                <w:szCs w:val="20"/>
              </w:rPr>
              <w:t xml:space="preserve"> in terms of the number of cell surfaces.</w:t>
            </w:r>
          </w:p>
          <w:p w14:paraId="7ECD4A47" w14:textId="7A1C5C78" w:rsidR="00915E02" w:rsidRPr="00BC4512" w:rsidRDefault="006D6C17" w:rsidP="00BC4512">
            <w:pPr>
              <w:jc w:val="both"/>
              <w:rPr>
                <w:rFonts w:ascii="Cambria Math" w:eastAsia="Times New Roman" w:hAnsi="Cambria Math"/>
                <w:sz w:val="20"/>
                <w:szCs w:val="20"/>
              </w:rPr>
            </w:pPr>
            <m:oMath>
              <m:sSubSup>
                <m:sSubSupPr>
                  <m:ctrlPr>
                    <w:rPr>
                      <w:rFonts w:ascii="Cambria Math" w:eastAsia="Times New Roman" w:hAnsi="Cambria Math"/>
                      <w:sz w:val="20"/>
                      <w:szCs w:val="20"/>
                    </w:rPr>
                  </m:ctrlPr>
                </m:sSubSupPr>
                <m:e>
                  <m:r>
                    <m:rPr>
                      <m:sty m:val="p"/>
                    </m:rPr>
                    <w:rPr>
                      <w:rFonts w:ascii="Cambria Math" w:eastAsia="Times New Roman" w:hAnsi="Cambria Math"/>
                      <w:sz w:val="20"/>
                      <w:szCs w:val="20"/>
                    </w:rPr>
                    <m:t>a</m:t>
                  </m:r>
                </m:e>
                <m:sub>
                  <m:r>
                    <m:rPr>
                      <m:sty m:val="p"/>
                    </m:rPr>
                    <w:rPr>
                      <w:rFonts w:ascii="Cambria Math" w:eastAsia="Times New Roman" w:hAnsi="Cambria Math"/>
                      <w:sz w:val="20"/>
                      <w:szCs w:val="20"/>
                    </w:rPr>
                    <m:t>ij</m:t>
                  </m:r>
                </m:sub>
                <m:sup>
                  <m:r>
                    <m:rPr>
                      <m:sty m:val="p"/>
                    </m:rPr>
                    <w:rPr>
                      <w:rFonts w:ascii="Cambria Math" w:eastAsia="Times New Roman" w:hAnsi="Cambria Math"/>
                      <w:sz w:val="20"/>
                      <w:szCs w:val="20"/>
                    </w:rPr>
                    <m:t>*</m:t>
                  </m:r>
                </m:sup>
              </m:sSubSup>
            </m:oMath>
            <w:r w:rsidR="00915E02" w:rsidRPr="00BC4512">
              <w:rPr>
                <w:rFonts w:ascii="Cambria Math" w:eastAsia="Times New Roman" w:hAnsi="Cambria Math"/>
                <w:sz w:val="20"/>
                <w:szCs w:val="20"/>
              </w:rPr>
              <w:t xml:space="preserve">= area of </w:t>
            </w:r>
            <w:proofErr w:type="spellStart"/>
            <w:r w:rsidR="00915E02" w:rsidRPr="00BC4512">
              <w:rPr>
                <w:rFonts w:ascii="Cambria Math" w:eastAsia="Times New Roman" w:hAnsi="Cambria Math"/>
                <w:sz w:val="20"/>
                <w:szCs w:val="20"/>
              </w:rPr>
              <w:t>patch</w:t>
            </w:r>
            <w:r w:rsidR="00915E02" w:rsidRPr="00BC4512">
              <w:rPr>
                <w:rFonts w:ascii="Cambria Math" w:eastAsia="Times New Roman" w:hAnsi="Cambria Math"/>
                <w:sz w:val="20"/>
                <w:szCs w:val="20"/>
                <w:vertAlign w:val="subscript"/>
              </w:rPr>
              <w:t>ij</w:t>
            </w:r>
            <w:proofErr w:type="spellEnd"/>
            <w:r w:rsidR="00915E02" w:rsidRPr="00BC4512">
              <w:rPr>
                <w:rFonts w:ascii="Cambria Math" w:eastAsia="Times New Roman" w:hAnsi="Cambria Math"/>
                <w:sz w:val="20"/>
                <w:szCs w:val="20"/>
              </w:rPr>
              <w:t xml:space="preserve"> in terms of the number of cells.</w:t>
            </w:r>
          </w:p>
          <w:p w14:paraId="084AA8B0" w14:textId="24A7754A" w:rsidR="00915E02" w:rsidRPr="00BC4512" w:rsidRDefault="00915E02" w:rsidP="00BC4512">
            <w:pPr>
              <w:jc w:val="both"/>
              <w:rPr>
                <w:rFonts w:ascii="Cambria" w:eastAsia="Cambria" w:hAnsi="Cambria" w:cs="Cambria"/>
                <w:sz w:val="16"/>
                <w:szCs w:val="16"/>
              </w:rPr>
            </w:pPr>
            <w:r w:rsidRPr="00BC4512">
              <w:rPr>
                <w:rFonts w:ascii="Cambria Math" w:eastAsia="Times New Roman" w:hAnsi="Cambria Math"/>
                <w:sz w:val="20"/>
                <w:szCs w:val="20"/>
              </w:rPr>
              <w:t>Z = total number of cells in the landscape.</w:t>
            </w:r>
          </w:p>
        </w:tc>
        <w:tc>
          <w:tcPr>
            <w:tcW w:w="552" w:type="pct"/>
            <w:tcBorders>
              <w:top w:val="single" w:sz="4" w:space="0" w:color="auto"/>
              <w:bottom w:val="single" w:sz="4" w:space="0" w:color="auto"/>
            </w:tcBorders>
          </w:tcPr>
          <w:p w14:paraId="718F3B2F" w14:textId="77777777" w:rsidR="00915E02" w:rsidRDefault="00915E02" w:rsidP="00226798">
            <w:pPr>
              <w:widowControl w:val="0"/>
              <w:autoSpaceDE w:val="0"/>
              <w:autoSpaceDN w:val="0"/>
              <w:spacing w:before="83"/>
              <w:rPr>
                <w:rFonts w:ascii="Cambria" w:eastAsia="Cambria" w:hAnsi="Cambria" w:cs="Cambria"/>
                <w:sz w:val="20"/>
                <w:szCs w:val="20"/>
              </w:rPr>
            </w:pPr>
            <w:r>
              <w:rPr>
                <w:rFonts w:ascii="Cambria" w:eastAsia="Cambria" w:hAnsi="Cambria" w:cs="Cambria"/>
                <w:sz w:val="20"/>
                <w:szCs w:val="20"/>
              </w:rPr>
              <w:t xml:space="preserve">    </w:t>
            </w:r>
          </w:p>
          <w:p w14:paraId="33361CEA" w14:textId="7B52E788" w:rsidR="00915E02" w:rsidRPr="00E34455" w:rsidRDefault="00915E02" w:rsidP="00226798">
            <w:pPr>
              <w:widowControl w:val="0"/>
              <w:autoSpaceDE w:val="0"/>
              <w:autoSpaceDN w:val="0"/>
              <w:spacing w:before="83"/>
              <w:rPr>
                <w:rFonts w:ascii="Cambria" w:eastAsia="Cambria" w:hAnsi="Cambria" w:cs="Cambria"/>
                <w:sz w:val="20"/>
                <w:szCs w:val="20"/>
              </w:rPr>
            </w:pPr>
            <w:r>
              <w:rPr>
                <w:rFonts w:ascii="Cambria" w:eastAsia="Cambria" w:hAnsi="Cambria" w:cs="Cambria"/>
                <w:sz w:val="20"/>
                <w:szCs w:val="20"/>
              </w:rPr>
              <w:t xml:space="preserve">    Percent</w:t>
            </w:r>
          </w:p>
        </w:tc>
        <w:tc>
          <w:tcPr>
            <w:tcW w:w="827" w:type="pct"/>
            <w:tcBorders>
              <w:top w:val="single" w:sz="4" w:space="0" w:color="auto"/>
              <w:bottom w:val="single" w:sz="4" w:space="0" w:color="auto"/>
            </w:tcBorders>
          </w:tcPr>
          <w:p w14:paraId="674C94CC" w14:textId="77777777" w:rsidR="00CA6C96" w:rsidRDefault="00CA6C96" w:rsidP="00915E02">
            <w:pPr>
              <w:widowControl w:val="0"/>
              <w:autoSpaceDE w:val="0"/>
              <w:autoSpaceDN w:val="0"/>
              <w:spacing w:before="83"/>
              <w:jc w:val="center"/>
              <w:rPr>
                <w:rFonts w:ascii="Cambria" w:eastAsia="Cambria" w:hAnsi="Cambria" w:cs="Cambria"/>
                <w:sz w:val="20"/>
                <w:szCs w:val="20"/>
              </w:rPr>
            </w:pPr>
          </w:p>
          <w:p w14:paraId="2BF03522" w14:textId="6E87B58B" w:rsidR="00915E02" w:rsidRDefault="00915E02" w:rsidP="00915E02">
            <w:pPr>
              <w:widowControl w:val="0"/>
              <w:autoSpaceDE w:val="0"/>
              <w:autoSpaceDN w:val="0"/>
              <w:spacing w:before="83"/>
              <w:jc w:val="center"/>
              <w:rPr>
                <w:rFonts w:ascii="Cambria" w:eastAsia="Cambria" w:hAnsi="Cambria" w:cs="Cambria"/>
                <w:sz w:val="20"/>
                <w:szCs w:val="20"/>
              </w:rPr>
            </w:pPr>
            <w:r w:rsidRPr="00915E02">
              <w:rPr>
                <w:rFonts w:ascii="Cambria" w:eastAsia="Cambria" w:hAnsi="Cambria" w:cs="Cambria"/>
                <w:sz w:val="20"/>
                <w:szCs w:val="20"/>
              </w:rPr>
              <w:t>Connectivity index</w:t>
            </w:r>
          </w:p>
          <w:p w14:paraId="3E000098" w14:textId="031A886B" w:rsidR="00915E02" w:rsidRPr="00915E02" w:rsidRDefault="00915E02" w:rsidP="00915E02">
            <w:pPr>
              <w:jc w:val="center"/>
              <w:rPr>
                <w:rFonts w:ascii="Cambria" w:eastAsia="Cambria" w:hAnsi="Cambria" w:cs="Cambria"/>
                <w:sz w:val="20"/>
                <w:szCs w:val="20"/>
              </w:rPr>
            </w:pPr>
          </w:p>
        </w:tc>
      </w:tr>
      <w:tr w:rsidR="00915E02" w:rsidRPr="00E34455" w14:paraId="129BB653" w14:textId="77777777" w:rsidTr="004D08D0">
        <w:trPr>
          <w:trHeight w:val="184"/>
        </w:trPr>
        <w:tc>
          <w:tcPr>
            <w:tcW w:w="675" w:type="pct"/>
            <w:vMerge w:val="restart"/>
            <w:tcBorders>
              <w:top w:val="single" w:sz="4" w:space="0" w:color="auto"/>
            </w:tcBorders>
          </w:tcPr>
          <w:p w14:paraId="46CA5F5B" w14:textId="77777777" w:rsidR="00915E02" w:rsidRDefault="00915E02" w:rsidP="00915E02">
            <w:pPr>
              <w:widowControl w:val="0"/>
              <w:autoSpaceDE w:val="0"/>
              <w:autoSpaceDN w:val="0"/>
              <w:spacing w:before="83"/>
              <w:jc w:val="center"/>
              <w:rPr>
                <w:rFonts w:ascii="Cambria" w:eastAsia="Cambria" w:hAnsi="Cambria" w:cs="Cambria"/>
                <w:sz w:val="20"/>
                <w:szCs w:val="20"/>
              </w:rPr>
            </w:pPr>
          </w:p>
          <w:p w14:paraId="4079E398" w14:textId="77777777" w:rsidR="00915E02" w:rsidRDefault="00915E02" w:rsidP="00915E02">
            <w:pPr>
              <w:widowControl w:val="0"/>
              <w:autoSpaceDE w:val="0"/>
              <w:autoSpaceDN w:val="0"/>
              <w:spacing w:before="83"/>
              <w:jc w:val="center"/>
              <w:rPr>
                <w:rFonts w:ascii="Cambria" w:eastAsia="Cambria" w:hAnsi="Cambria" w:cs="Cambria"/>
                <w:sz w:val="20"/>
                <w:szCs w:val="20"/>
              </w:rPr>
            </w:pPr>
          </w:p>
          <w:p w14:paraId="66FA084E" w14:textId="77777777" w:rsidR="00915E02" w:rsidRDefault="00915E02" w:rsidP="00915E02">
            <w:pPr>
              <w:widowControl w:val="0"/>
              <w:autoSpaceDE w:val="0"/>
              <w:autoSpaceDN w:val="0"/>
              <w:spacing w:before="83"/>
              <w:jc w:val="center"/>
              <w:rPr>
                <w:rFonts w:ascii="Cambria" w:eastAsia="Cambria" w:hAnsi="Cambria" w:cs="Cambria"/>
                <w:sz w:val="20"/>
                <w:szCs w:val="20"/>
              </w:rPr>
            </w:pPr>
          </w:p>
          <w:p w14:paraId="7FC2AD73" w14:textId="77777777" w:rsidR="00915E02" w:rsidRDefault="00915E02" w:rsidP="00915E02">
            <w:pPr>
              <w:widowControl w:val="0"/>
              <w:autoSpaceDE w:val="0"/>
              <w:autoSpaceDN w:val="0"/>
              <w:spacing w:before="83"/>
              <w:jc w:val="center"/>
              <w:rPr>
                <w:rFonts w:ascii="Cambria" w:eastAsia="Cambria" w:hAnsi="Cambria" w:cs="Cambria"/>
                <w:sz w:val="20"/>
                <w:szCs w:val="20"/>
              </w:rPr>
            </w:pPr>
          </w:p>
          <w:p w14:paraId="27B00AF2" w14:textId="77777777" w:rsidR="00915E02" w:rsidRDefault="00915E02" w:rsidP="00915E02">
            <w:pPr>
              <w:widowControl w:val="0"/>
              <w:autoSpaceDE w:val="0"/>
              <w:autoSpaceDN w:val="0"/>
              <w:spacing w:before="83"/>
              <w:jc w:val="center"/>
              <w:rPr>
                <w:rFonts w:ascii="Cambria" w:eastAsia="Cambria" w:hAnsi="Cambria" w:cs="Cambria"/>
                <w:sz w:val="20"/>
                <w:szCs w:val="20"/>
              </w:rPr>
            </w:pPr>
          </w:p>
          <w:p w14:paraId="63D4E9FB" w14:textId="77777777" w:rsidR="00915E02" w:rsidRDefault="00915E02" w:rsidP="00915E02">
            <w:pPr>
              <w:widowControl w:val="0"/>
              <w:autoSpaceDE w:val="0"/>
              <w:autoSpaceDN w:val="0"/>
              <w:spacing w:before="83"/>
              <w:jc w:val="center"/>
              <w:rPr>
                <w:rFonts w:ascii="Cambria" w:eastAsia="Cambria" w:hAnsi="Cambria" w:cs="Cambria"/>
                <w:sz w:val="20"/>
                <w:szCs w:val="20"/>
              </w:rPr>
            </w:pPr>
          </w:p>
          <w:p w14:paraId="6DFAD8B9" w14:textId="5768A027" w:rsidR="00915E02" w:rsidRPr="00E34455" w:rsidRDefault="00915E02" w:rsidP="00915E02">
            <w:pPr>
              <w:widowControl w:val="0"/>
              <w:autoSpaceDE w:val="0"/>
              <w:autoSpaceDN w:val="0"/>
              <w:spacing w:before="83"/>
              <w:jc w:val="center"/>
              <w:rPr>
                <w:rFonts w:ascii="Cambria" w:eastAsia="Cambria" w:hAnsi="Cambria" w:cs="Cambria"/>
                <w:sz w:val="20"/>
                <w:szCs w:val="20"/>
              </w:rPr>
            </w:pPr>
            <w:r>
              <w:rPr>
                <w:rFonts w:ascii="Cambria" w:eastAsia="Cambria" w:hAnsi="Cambria" w:cs="Cambria"/>
                <w:sz w:val="20"/>
                <w:szCs w:val="20"/>
              </w:rPr>
              <w:t>Landscape - level</w:t>
            </w:r>
          </w:p>
        </w:tc>
        <w:tc>
          <w:tcPr>
            <w:tcW w:w="736" w:type="pct"/>
            <w:tcBorders>
              <w:top w:val="single" w:sz="4" w:space="0" w:color="auto"/>
              <w:bottom w:val="single" w:sz="4" w:space="0" w:color="auto"/>
            </w:tcBorders>
          </w:tcPr>
          <w:p w14:paraId="7644ACD9" w14:textId="77777777" w:rsidR="00915E02" w:rsidRDefault="00915E02" w:rsidP="00161709">
            <w:pPr>
              <w:widowControl w:val="0"/>
              <w:autoSpaceDE w:val="0"/>
              <w:autoSpaceDN w:val="0"/>
              <w:spacing w:before="83"/>
              <w:jc w:val="center"/>
              <w:rPr>
                <w:rFonts w:ascii="Cambria" w:eastAsia="Cambria" w:hAnsi="Cambria" w:cs="Cambria"/>
                <w:sz w:val="20"/>
                <w:szCs w:val="20"/>
              </w:rPr>
            </w:pPr>
          </w:p>
          <w:p w14:paraId="379DAEAD" w14:textId="77777777" w:rsidR="00915E02" w:rsidRDefault="00915E02" w:rsidP="00161709">
            <w:pPr>
              <w:widowControl w:val="0"/>
              <w:autoSpaceDE w:val="0"/>
              <w:autoSpaceDN w:val="0"/>
              <w:spacing w:before="83"/>
              <w:jc w:val="center"/>
              <w:rPr>
                <w:rFonts w:ascii="Cambria" w:eastAsia="Cambria" w:hAnsi="Cambria" w:cs="Cambria"/>
                <w:sz w:val="20"/>
                <w:szCs w:val="20"/>
              </w:rPr>
            </w:pPr>
          </w:p>
          <w:p w14:paraId="4B59299E" w14:textId="4FC66DAA" w:rsidR="00915E02" w:rsidRPr="00E34455" w:rsidRDefault="00915E02" w:rsidP="00161709">
            <w:pPr>
              <w:widowControl w:val="0"/>
              <w:autoSpaceDE w:val="0"/>
              <w:autoSpaceDN w:val="0"/>
              <w:spacing w:before="83"/>
              <w:rPr>
                <w:rFonts w:ascii="Cambria" w:eastAsia="Cambria" w:hAnsi="Cambria" w:cs="Cambria"/>
                <w:sz w:val="20"/>
                <w:szCs w:val="20"/>
              </w:rPr>
            </w:pPr>
            <w:r>
              <w:rPr>
                <w:rFonts w:ascii="Cambria" w:eastAsia="Cambria" w:hAnsi="Cambria" w:cs="Cambria"/>
                <w:sz w:val="20"/>
                <w:szCs w:val="20"/>
              </w:rPr>
              <w:t xml:space="preserve">         (CONTAG)</w:t>
            </w:r>
          </w:p>
        </w:tc>
        <w:tc>
          <w:tcPr>
            <w:tcW w:w="2209" w:type="pct"/>
            <w:tcBorders>
              <w:top w:val="single" w:sz="4" w:space="0" w:color="auto"/>
              <w:bottom w:val="single" w:sz="4" w:space="0" w:color="auto"/>
            </w:tcBorders>
          </w:tcPr>
          <w:p w14:paraId="3DC1A515" w14:textId="77777777" w:rsidR="00915E02" w:rsidRPr="00C11EEC" w:rsidRDefault="00915E02" w:rsidP="00161709">
            <w:pPr>
              <w:widowControl w:val="0"/>
              <w:autoSpaceDE w:val="0"/>
              <w:autoSpaceDN w:val="0"/>
              <w:spacing w:before="83"/>
              <w:rPr>
                <w:rFonts w:ascii="Cambria" w:eastAsia="Cambria" w:hAnsi="Cambria" w:cs="Cambria"/>
                <w:b/>
                <w:bCs/>
                <w:sz w:val="16"/>
                <w:szCs w:val="16"/>
              </w:rPr>
            </w:pPr>
            <m:oMathPara>
              <m:oMath>
                <m:r>
                  <m:rPr>
                    <m:sty m:val="bi"/>
                  </m:rPr>
                  <w:rPr>
                    <w:rFonts w:ascii="Cambria Math" w:eastAsia="Cambria" w:hAnsi="Cambria Math" w:cs="Cambria"/>
                    <w:sz w:val="16"/>
                    <w:szCs w:val="16"/>
                  </w:rPr>
                  <m:t xml:space="preserve">CONTAG = </m:t>
                </m:r>
                <m:d>
                  <m:dPr>
                    <m:begChr m:val="["/>
                    <m:endChr m:val="]"/>
                    <m:ctrlPr>
                      <w:rPr>
                        <w:rFonts w:ascii="Cambria Math" w:eastAsia="Cambria" w:hAnsi="Cambria Math" w:cs="Cambria"/>
                        <w:b/>
                        <w:bCs/>
                        <w:i/>
                        <w:sz w:val="16"/>
                        <w:szCs w:val="16"/>
                      </w:rPr>
                    </m:ctrlPr>
                  </m:dPr>
                  <m:e>
                    <m:r>
                      <m:rPr>
                        <m:sty m:val="bi"/>
                      </m:rPr>
                      <w:rPr>
                        <w:rFonts w:ascii="Cambria Math" w:eastAsia="Cambria" w:hAnsi="Cambria Math" w:cs="Cambria"/>
                        <w:sz w:val="16"/>
                        <w:szCs w:val="16"/>
                      </w:rPr>
                      <m:t xml:space="preserve">1+ </m:t>
                    </m:r>
                    <m:f>
                      <m:fPr>
                        <m:ctrlPr>
                          <w:rPr>
                            <w:rFonts w:ascii="Cambria Math" w:eastAsia="Cambria" w:hAnsi="Cambria Math" w:cs="Cambria"/>
                            <w:b/>
                            <w:bCs/>
                            <w:i/>
                            <w:sz w:val="16"/>
                            <w:szCs w:val="16"/>
                          </w:rPr>
                        </m:ctrlPr>
                      </m:fPr>
                      <m:num>
                        <m:nary>
                          <m:naryPr>
                            <m:chr m:val="∑"/>
                            <m:limLoc m:val="undOvr"/>
                            <m:ctrlPr>
                              <w:rPr>
                                <w:rFonts w:ascii="Cambria Math" w:eastAsia="Cambria" w:hAnsi="Cambria Math" w:cs="Cambria"/>
                                <w:b/>
                                <w:bCs/>
                                <w:i/>
                                <w:sz w:val="16"/>
                                <w:szCs w:val="16"/>
                              </w:rPr>
                            </m:ctrlPr>
                          </m:naryPr>
                          <m:sub>
                            <m:r>
                              <m:rPr>
                                <m:sty m:val="bi"/>
                              </m:rPr>
                              <w:rPr>
                                <w:rFonts w:ascii="Cambria Math" w:eastAsia="Cambria" w:hAnsi="Cambria Math" w:cs="Cambria"/>
                                <w:sz w:val="16"/>
                                <w:szCs w:val="16"/>
                              </w:rPr>
                              <m:t>i=1</m:t>
                            </m:r>
                          </m:sub>
                          <m:sup>
                            <m:r>
                              <m:rPr>
                                <m:sty m:val="bi"/>
                              </m:rPr>
                              <w:rPr>
                                <w:rFonts w:ascii="Cambria Math" w:eastAsia="Cambria" w:hAnsi="Cambria Math" w:cs="Cambria"/>
                                <w:sz w:val="16"/>
                                <w:szCs w:val="16"/>
                              </w:rPr>
                              <m:t>m</m:t>
                            </m:r>
                          </m:sup>
                          <m:e>
                            <m:nary>
                              <m:naryPr>
                                <m:chr m:val="∑"/>
                                <m:limLoc m:val="undOvr"/>
                                <m:ctrlPr>
                                  <w:rPr>
                                    <w:rFonts w:ascii="Cambria Math" w:eastAsia="Cambria" w:hAnsi="Cambria Math" w:cs="Cambria"/>
                                    <w:b/>
                                    <w:bCs/>
                                    <w:i/>
                                    <w:sz w:val="16"/>
                                    <w:szCs w:val="16"/>
                                  </w:rPr>
                                </m:ctrlPr>
                              </m:naryPr>
                              <m:sub>
                                <m:r>
                                  <m:rPr>
                                    <m:sty m:val="bi"/>
                                  </m:rPr>
                                  <w:rPr>
                                    <w:rFonts w:ascii="Cambria Math" w:eastAsia="Cambria" w:hAnsi="Cambria Math" w:cs="Cambria"/>
                                    <w:sz w:val="16"/>
                                    <w:szCs w:val="16"/>
                                  </w:rPr>
                                  <m:t>k=1</m:t>
                                </m:r>
                              </m:sub>
                              <m:sup>
                                <m:r>
                                  <m:rPr>
                                    <m:sty m:val="bi"/>
                                  </m:rPr>
                                  <w:rPr>
                                    <w:rFonts w:ascii="Cambria Math" w:eastAsia="Cambria" w:hAnsi="Cambria Math" w:cs="Cambria"/>
                                    <w:sz w:val="16"/>
                                    <w:szCs w:val="16"/>
                                  </w:rPr>
                                  <m:t>m</m:t>
                                </m:r>
                              </m:sup>
                              <m:e>
                                <m:d>
                                  <m:dPr>
                                    <m:begChr m:val="["/>
                                    <m:endChr m:val="]"/>
                                    <m:ctrlPr>
                                      <w:rPr>
                                        <w:rFonts w:ascii="Cambria Math" w:eastAsia="Cambria" w:hAnsi="Cambria Math" w:cs="Cambria"/>
                                        <w:b/>
                                        <w:bCs/>
                                        <w:i/>
                                        <w:sz w:val="16"/>
                                        <w:szCs w:val="16"/>
                                      </w:rPr>
                                    </m:ctrlPr>
                                  </m:dPr>
                                  <m:e>
                                    <m:sSub>
                                      <m:sSubPr>
                                        <m:ctrlPr>
                                          <w:rPr>
                                            <w:rFonts w:ascii="Cambria Math" w:eastAsia="Cambria" w:hAnsi="Cambria Math" w:cs="Cambria"/>
                                            <w:b/>
                                            <w:bCs/>
                                            <w:i/>
                                            <w:sz w:val="16"/>
                                            <w:szCs w:val="16"/>
                                          </w:rPr>
                                        </m:ctrlPr>
                                      </m:sSubPr>
                                      <m:e>
                                        <m:r>
                                          <m:rPr>
                                            <m:sty m:val="bi"/>
                                          </m:rPr>
                                          <w:rPr>
                                            <w:rFonts w:ascii="Cambria Math" w:eastAsia="Cambria" w:hAnsi="Cambria Math" w:cs="Cambria"/>
                                            <w:sz w:val="16"/>
                                            <w:szCs w:val="16"/>
                                          </w:rPr>
                                          <m:t>P</m:t>
                                        </m:r>
                                      </m:e>
                                      <m:sub>
                                        <m:r>
                                          <m:rPr>
                                            <m:sty m:val="bi"/>
                                          </m:rPr>
                                          <w:rPr>
                                            <w:rFonts w:ascii="Cambria Math" w:eastAsia="Cambria" w:hAnsi="Cambria Math" w:cs="Cambria"/>
                                            <w:sz w:val="16"/>
                                            <w:szCs w:val="16"/>
                                          </w:rPr>
                                          <m:t xml:space="preserve">i </m:t>
                                        </m:r>
                                      </m:sub>
                                    </m:sSub>
                                    <m:f>
                                      <m:fPr>
                                        <m:ctrlPr>
                                          <w:rPr>
                                            <w:rFonts w:ascii="Cambria Math" w:eastAsia="Cambria" w:hAnsi="Cambria Math" w:cs="Cambria"/>
                                            <w:b/>
                                            <w:bCs/>
                                            <w:i/>
                                            <w:sz w:val="16"/>
                                            <w:szCs w:val="16"/>
                                          </w:rPr>
                                        </m:ctrlPr>
                                      </m:fPr>
                                      <m:num>
                                        <m:sSub>
                                          <m:sSubPr>
                                            <m:ctrlPr>
                                              <w:rPr>
                                                <w:rFonts w:ascii="Cambria Math" w:eastAsia="Cambria" w:hAnsi="Cambria Math" w:cs="Cambria"/>
                                                <w:b/>
                                                <w:bCs/>
                                                <w:i/>
                                                <w:sz w:val="16"/>
                                                <w:szCs w:val="16"/>
                                              </w:rPr>
                                            </m:ctrlPr>
                                          </m:sSubPr>
                                          <m:e>
                                            <m:r>
                                              <m:rPr>
                                                <m:sty m:val="bi"/>
                                              </m:rPr>
                                              <w:rPr>
                                                <w:rFonts w:ascii="Cambria Math" w:eastAsia="Cambria" w:hAnsi="Cambria Math" w:cs="Cambria"/>
                                                <w:sz w:val="16"/>
                                                <w:szCs w:val="16"/>
                                              </w:rPr>
                                              <m:t>g</m:t>
                                            </m:r>
                                          </m:e>
                                          <m:sub>
                                            <m:r>
                                              <m:rPr>
                                                <m:sty m:val="bi"/>
                                              </m:rPr>
                                              <w:rPr>
                                                <w:rFonts w:ascii="Cambria Math" w:eastAsia="Cambria" w:hAnsi="Cambria Math" w:cs="Cambria"/>
                                                <w:sz w:val="16"/>
                                                <w:szCs w:val="16"/>
                                              </w:rPr>
                                              <m:t>ik</m:t>
                                            </m:r>
                                          </m:sub>
                                        </m:sSub>
                                      </m:num>
                                      <m:den>
                                        <m:nary>
                                          <m:naryPr>
                                            <m:chr m:val="∑"/>
                                            <m:limLoc m:val="undOvr"/>
                                            <m:ctrlPr>
                                              <w:rPr>
                                                <w:rFonts w:ascii="Cambria Math" w:eastAsia="Cambria" w:hAnsi="Cambria Math" w:cs="Cambria"/>
                                                <w:b/>
                                                <w:bCs/>
                                                <w:i/>
                                                <w:sz w:val="16"/>
                                                <w:szCs w:val="16"/>
                                              </w:rPr>
                                            </m:ctrlPr>
                                          </m:naryPr>
                                          <m:sub>
                                            <m:r>
                                              <m:rPr>
                                                <m:sty m:val="bi"/>
                                              </m:rPr>
                                              <w:rPr>
                                                <w:rFonts w:ascii="Cambria Math" w:eastAsia="Cambria" w:hAnsi="Cambria Math" w:cs="Cambria"/>
                                                <w:sz w:val="16"/>
                                                <w:szCs w:val="16"/>
                                              </w:rPr>
                                              <m:t>k=1</m:t>
                                            </m:r>
                                          </m:sub>
                                          <m:sup>
                                            <m:r>
                                              <m:rPr>
                                                <m:sty m:val="bi"/>
                                              </m:rPr>
                                              <w:rPr>
                                                <w:rFonts w:ascii="Cambria Math" w:eastAsia="Cambria" w:hAnsi="Cambria Math" w:cs="Cambria"/>
                                                <w:sz w:val="16"/>
                                                <w:szCs w:val="16"/>
                                              </w:rPr>
                                              <m:t>m</m:t>
                                            </m:r>
                                          </m:sup>
                                          <m:e>
                                            <m:sSub>
                                              <m:sSubPr>
                                                <m:ctrlPr>
                                                  <w:rPr>
                                                    <w:rFonts w:ascii="Cambria Math" w:eastAsia="Cambria" w:hAnsi="Cambria Math" w:cs="Cambria"/>
                                                    <w:b/>
                                                    <w:bCs/>
                                                    <w:i/>
                                                    <w:sz w:val="16"/>
                                                    <w:szCs w:val="16"/>
                                                  </w:rPr>
                                                </m:ctrlPr>
                                              </m:sSubPr>
                                              <m:e>
                                                <m:r>
                                                  <m:rPr>
                                                    <m:sty m:val="bi"/>
                                                  </m:rPr>
                                                  <w:rPr>
                                                    <w:rFonts w:ascii="Cambria Math" w:eastAsia="Cambria" w:hAnsi="Cambria Math" w:cs="Cambria"/>
                                                    <w:sz w:val="16"/>
                                                    <w:szCs w:val="16"/>
                                                  </w:rPr>
                                                  <m:t>g</m:t>
                                                </m:r>
                                              </m:e>
                                              <m:sub>
                                                <m:r>
                                                  <m:rPr>
                                                    <m:sty m:val="bi"/>
                                                  </m:rPr>
                                                  <w:rPr>
                                                    <w:rFonts w:ascii="Cambria Math" w:eastAsia="Cambria" w:hAnsi="Cambria Math" w:cs="Cambria"/>
                                                    <w:sz w:val="16"/>
                                                    <w:szCs w:val="16"/>
                                                  </w:rPr>
                                                  <m:t>ik</m:t>
                                                </m:r>
                                              </m:sub>
                                            </m:sSub>
                                          </m:e>
                                        </m:nary>
                                      </m:den>
                                    </m:f>
                                  </m:e>
                                </m:d>
                                <m:d>
                                  <m:dPr>
                                    <m:begChr m:val="["/>
                                    <m:endChr m:val="]"/>
                                    <m:ctrlPr>
                                      <w:rPr>
                                        <w:rFonts w:ascii="Cambria Math" w:eastAsia="Cambria" w:hAnsi="Cambria Math" w:cs="Cambria"/>
                                        <w:b/>
                                        <w:bCs/>
                                        <w:i/>
                                        <w:sz w:val="16"/>
                                        <w:szCs w:val="16"/>
                                      </w:rPr>
                                    </m:ctrlPr>
                                  </m:dPr>
                                  <m:e>
                                    <m:r>
                                      <m:rPr>
                                        <m:sty m:val="bi"/>
                                      </m:rPr>
                                      <w:rPr>
                                        <w:rFonts w:ascii="Cambria Math" w:eastAsia="Cambria" w:hAnsi="Cambria Math" w:cs="Cambria"/>
                                        <w:sz w:val="16"/>
                                        <w:szCs w:val="16"/>
                                      </w:rPr>
                                      <m:t>ln</m:t>
                                    </m:r>
                                    <m:d>
                                      <m:dPr>
                                        <m:ctrlPr>
                                          <w:rPr>
                                            <w:rFonts w:ascii="Cambria Math" w:eastAsia="Cambria" w:hAnsi="Cambria Math" w:cs="Cambria"/>
                                            <w:b/>
                                            <w:bCs/>
                                            <w:i/>
                                            <w:sz w:val="16"/>
                                            <w:szCs w:val="16"/>
                                          </w:rPr>
                                        </m:ctrlPr>
                                      </m:dPr>
                                      <m:e>
                                        <m:sSub>
                                          <m:sSubPr>
                                            <m:ctrlPr>
                                              <w:rPr>
                                                <w:rFonts w:ascii="Cambria Math" w:eastAsia="Cambria" w:hAnsi="Cambria Math" w:cs="Cambria"/>
                                                <w:b/>
                                                <w:bCs/>
                                                <w:i/>
                                                <w:sz w:val="16"/>
                                                <w:szCs w:val="16"/>
                                              </w:rPr>
                                            </m:ctrlPr>
                                          </m:sSubPr>
                                          <m:e>
                                            <m:r>
                                              <m:rPr>
                                                <m:sty m:val="bi"/>
                                              </m:rPr>
                                              <w:rPr>
                                                <w:rFonts w:ascii="Cambria Math" w:eastAsia="Cambria" w:hAnsi="Cambria Math" w:cs="Cambria"/>
                                                <w:sz w:val="16"/>
                                                <w:szCs w:val="16"/>
                                              </w:rPr>
                                              <m:t>P</m:t>
                                            </m:r>
                                          </m:e>
                                          <m:sub>
                                            <m:r>
                                              <m:rPr>
                                                <m:sty m:val="bi"/>
                                              </m:rPr>
                                              <w:rPr>
                                                <w:rFonts w:ascii="Cambria Math" w:eastAsia="Cambria" w:hAnsi="Cambria Math" w:cs="Cambria"/>
                                                <w:sz w:val="16"/>
                                                <w:szCs w:val="16"/>
                                              </w:rPr>
                                              <m:t xml:space="preserve">i </m:t>
                                            </m:r>
                                          </m:sub>
                                        </m:sSub>
                                        <m:f>
                                          <m:fPr>
                                            <m:ctrlPr>
                                              <w:rPr>
                                                <w:rFonts w:ascii="Cambria Math" w:eastAsia="Cambria" w:hAnsi="Cambria Math" w:cs="Cambria"/>
                                                <w:b/>
                                                <w:bCs/>
                                                <w:i/>
                                                <w:sz w:val="16"/>
                                                <w:szCs w:val="16"/>
                                              </w:rPr>
                                            </m:ctrlPr>
                                          </m:fPr>
                                          <m:num>
                                            <m:sSub>
                                              <m:sSubPr>
                                                <m:ctrlPr>
                                                  <w:rPr>
                                                    <w:rFonts w:ascii="Cambria Math" w:eastAsia="Cambria" w:hAnsi="Cambria Math" w:cs="Cambria"/>
                                                    <w:b/>
                                                    <w:bCs/>
                                                    <w:i/>
                                                    <w:sz w:val="16"/>
                                                    <w:szCs w:val="16"/>
                                                  </w:rPr>
                                                </m:ctrlPr>
                                              </m:sSubPr>
                                              <m:e>
                                                <m:r>
                                                  <m:rPr>
                                                    <m:sty m:val="bi"/>
                                                  </m:rPr>
                                                  <w:rPr>
                                                    <w:rFonts w:ascii="Cambria Math" w:eastAsia="Cambria" w:hAnsi="Cambria Math" w:cs="Cambria"/>
                                                    <w:sz w:val="16"/>
                                                    <w:szCs w:val="16"/>
                                                  </w:rPr>
                                                  <m:t>g</m:t>
                                                </m:r>
                                              </m:e>
                                              <m:sub>
                                                <m:r>
                                                  <m:rPr>
                                                    <m:sty m:val="bi"/>
                                                  </m:rPr>
                                                  <w:rPr>
                                                    <w:rFonts w:ascii="Cambria Math" w:eastAsia="Cambria" w:hAnsi="Cambria Math" w:cs="Cambria"/>
                                                    <w:sz w:val="16"/>
                                                    <w:szCs w:val="16"/>
                                                  </w:rPr>
                                                  <m:t>ik</m:t>
                                                </m:r>
                                              </m:sub>
                                            </m:sSub>
                                          </m:num>
                                          <m:den>
                                            <m:nary>
                                              <m:naryPr>
                                                <m:chr m:val="∑"/>
                                                <m:limLoc m:val="subSup"/>
                                                <m:ctrlPr>
                                                  <w:rPr>
                                                    <w:rFonts w:ascii="Cambria Math" w:eastAsia="Cambria" w:hAnsi="Cambria Math" w:cs="Cambria"/>
                                                    <w:b/>
                                                    <w:bCs/>
                                                    <w:i/>
                                                    <w:sz w:val="16"/>
                                                    <w:szCs w:val="16"/>
                                                  </w:rPr>
                                                </m:ctrlPr>
                                              </m:naryPr>
                                              <m:sub>
                                                <m:r>
                                                  <m:rPr>
                                                    <m:sty m:val="bi"/>
                                                  </m:rPr>
                                                  <w:rPr>
                                                    <w:rFonts w:ascii="Cambria Math" w:eastAsia="Cambria" w:hAnsi="Cambria Math" w:cs="Cambria"/>
                                                    <w:sz w:val="16"/>
                                                    <w:szCs w:val="16"/>
                                                  </w:rPr>
                                                  <m:t>k=1</m:t>
                                                </m:r>
                                              </m:sub>
                                              <m:sup>
                                                <m:r>
                                                  <m:rPr>
                                                    <m:sty m:val="bi"/>
                                                  </m:rPr>
                                                  <w:rPr>
                                                    <w:rFonts w:ascii="Cambria Math" w:eastAsia="Cambria" w:hAnsi="Cambria Math" w:cs="Cambria"/>
                                                    <w:sz w:val="16"/>
                                                    <w:szCs w:val="16"/>
                                                  </w:rPr>
                                                  <m:t>m</m:t>
                                                </m:r>
                                              </m:sup>
                                              <m:e>
                                                <m:sSub>
                                                  <m:sSubPr>
                                                    <m:ctrlPr>
                                                      <w:rPr>
                                                        <w:rFonts w:ascii="Cambria Math" w:eastAsia="Cambria" w:hAnsi="Cambria Math" w:cs="Cambria"/>
                                                        <w:b/>
                                                        <w:bCs/>
                                                        <w:i/>
                                                        <w:sz w:val="16"/>
                                                        <w:szCs w:val="16"/>
                                                      </w:rPr>
                                                    </m:ctrlPr>
                                                  </m:sSubPr>
                                                  <m:e>
                                                    <m:r>
                                                      <m:rPr>
                                                        <m:sty m:val="bi"/>
                                                      </m:rPr>
                                                      <w:rPr>
                                                        <w:rFonts w:ascii="Cambria Math" w:eastAsia="Cambria" w:hAnsi="Cambria Math" w:cs="Cambria"/>
                                                        <w:sz w:val="16"/>
                                                        <w:szCs w:val="16"/>
                                                      </w:rPr>
                                                      <m:t>g</m:t>
                                                    </m:r>
                                                  </m:e>
                                                  <m:sub>
                                                    <m:r>
                                                      <m:rPr>
                                                        <m:sty m:val="bi"/>
                                                      </m:rPr>
                                                      <w:rPr>
                                                        <w:rFonts w:ascii="Cambria Math" w:eastAsia="Cambria" w:hAnsi="Cambria Math" w:cs="Cambria"/>
                                                        <w:sz w:val="16"/>
                                                        <w:szCs w:val="16"/>
                                                      </w:rPr>
                                                      <m:t>ik</m:t>
                                                    </m:r>
                                                  </m:sub>
                                                </m:sSub>
                                              </m:e>
                                            </m:nary>
                                          </m:den>
                                        </m:f>
                                      </m:e>
                                    </m:d>
                                  </m:e>
                                </m:d>
                              </m:e>
                            </m:nary>
                          </m:e>
                        </m:nary>
                      </m:num>
                      <m:den>
                        <m:r>
                          <m:rPr>
                            <m:sty m:val="bi"/>
                          </m:rPr>
                          <w:rPr>
                            <w:rFonts w:ascii="Cambria Math" w:eastAsia="Cambria" w:hAnsi="Cambria Math" w:cs="Cambria"/>
                            <w:sz w:val="16"/>
                            <w:szCs w:val="16"/>
                          </w:rPr>
                          <m:t>2</m:t>
                        </m:r>
                        <m:r>
                          <m:rPr>
                            <m:sty m:val="bi"/>
                          </m:rPr>
                          <w:rPr>
                            <w:rFonts w:ascii="Cambria Math" w:eastAsia="Cambria" w:hAnsi="Cambria Math" w:cs="Cambria"/>
                            <w:sz w:val="16"/>
                            <w:szCs w:val="16"/>
                          </w:rPr>
                          <m:t>ln(m)</m:t>
                        </m:r>
                      </m:den>
                    </m:f>
                  </m:e>
                </m:d>
                <m:r>
                  <m:rPr>
                    <m:sty m:val="bi"/>
                  </m:rPr>
                  <w:rPr>
                    <w:rFonts w:ascii="Cambria Math" w:eastAsia="Cambria" w:hAnsi="Cambria Math" w:cs="Cambria"/>
                    <w:sz w:val="16"/>
                    <w:szCs w:val="16"/>
                  </w:rPr>
                  <m:t>× 100</m:t>
                </m:r>
              </m:oMath>
            </m:oMathPara>
          </w:p>
          <w:p w14:paraId="48E6DB30" w14:textId="71E31CD4" w:rsidR="00915E02" w:rsidRPr="00BC4512" w:rsidRDefault="00915E02" w:rsidP="00161709">
            <w:pPr>
              <w:jc w:val="both"/>
              <w:rPr>
                <w:rFonts w:ascii="Cambria Math" w:eastAsia="Times New Roman" w:hAnsi="Cambria Math"/>
                <w:sz w:val="20"/>
                <w:szCs w:val="20"/>
              </w:rPr>
            </w:pPr>
            <w:r w:rsidRPr="00BC4512">
              <w:rPr>
                <w:rFonts w:ascii="Cambria Math" w:eastAsia="Times New Roman" w:hAnsi="Cambria Math"/>
                <w:sz w:val="20"/>
                <w:szCs w:val="20"/>
              </w:rPr>
              <w:t>P</w:t>
            </w:r>
            <w:r w:rsidRPr="00BC4512">
              <w:rPr>
                <w:rFonts w:ascii="Cambria Math" w:eastAsia="Times New Roman" w:hAnsi="Cambria Math"/>
                <w:sz w:val="20"/>
                <w:szCs w:val="20"/>
                <w:vertAlign w:val="subscript"/>
              </w:rPr>
              <w:t>i</w:t>
            </w:r>
            <w:r w:rsidRPr="00BC4512">
              <w:rPr>
                <w:rFonts w:ascii="Cambria Math" w:eastAsia="Times New Roman" w:hAnsi="Cambria Math"/>
                <w:sz w:val="20"/>
                <w:szCs w:val="20"/>
              </w:rPr>
              <w:t xml:space="preserve"> = prop</w:t>
            </w:r>
            <w:r w:rsidR="004E6D8D">
              <w:rPr>
                <w:rFonts w:ascii="Cambria Math" w:eastAsia="Times New Roman" w:hAnsi="Cambria Math"/>
                <w:sz w:val="20"/>
                <w:szCs w:val="20"/>
              </w:rPr>
              <w:t xml:space="preserve">. </w:t>
            </w:r>
            <w:r w:rsidRPr="00BC4512">
              <w:rPr>
                <w:rFonts w:ascii="Cambria Math" w:eastAsia="Times New Roman" w:hAnsi="Cambria Math"/>
                <w:sz w:val="20"/>
                <w:szCs w:val="20"/>
              </w:rPr>
              <w:t>of landscape occupied by patch type (class)</w:t>
            </w:r>
            <w:proofErr w:type="spellStart"/>
            <w:r w:rsidRPr="00BC4512">
              <w:rPr>
                <w:rFonts w:ascii="Cambria Math" w:eastAsia="Times New Roman" w:hAnsi="Cambria Math"/>
                <w:sz w:val="20"/>
                <w:szCs w:val="20"/>
                <w:vertAlign w:val="subscript"/>
              </w:rPr>
              <w:t>i</w:t>
            </w:r>
            <w:proofErr w:type="spellEnd"/>
            <w:r w:rsidRPr="00BC4512">
              <w:rPr>
                <w:rFonts w:ascii="Cambria Math" w:eastAsia="Times New Roman" w:hAnsi="Cambria Math"/>
                <w:sz w:val="20"/>
                <w:szCs w:val="20"/>
              </w:rPr>
              <w:t>.</w:t>
            </w:r>
          </w:p>
          <w:p w14:paraId="5B73A1FE" w14:textId="77777777" w:rsidR="00915E02" w:rsidRPr="00BC4512" w:rsidRDefault="006D6C17" w:rsidP="00161709">
            <w:pPr>
              <w:jc w:val="both"/>
              <w:rPr>
                <w:rFonts w:ascii="Cambria Math" w:eastAsia="Times New Roman" w:hAnsi="Cambria Math"/>
                <w:sz w:val="20"/>
                <w:szCs w:val="20"/>
              </w:rPr>
            </w:pPr>
            <m:oMath>
              <m:sSub>
                <m:sSubPr>
                  <m:ctrlPr>
                    <w:rPr>
                      <w:rFonts w:ascii="Cambria Math" w:eastAsia="Times New Roman" w:hAnsi="Cambria Math"/>
                      <w:sz w:val="20"/>
                      <w:szCs w:val="20"/>
                    </w:rPr>
                  </m:ctrlPr>
                </m:sSubPr>
                <m:e>
                  <m:r>
                    <w:rPr>
                      <w:rFonts w:ascii="Cambria Math" w:eastAsia="Times New Roman" w:hAnsi="Cambria Math"/>
                      <w:sz w:val="20"/>
                      <w:szCs w:val="20"/>
                    </w:rPr>
                    <m:t>g</m:t>
                  </m:r>
                </m:e>
                <m:sub>
                  <m:r>
                    <w:rPr>
                      <w:rFonts w:ascii="Cambria Math" w:eastAsia="Times New Roman" w:hAnsi="Cambria Math"/>
                      <w:sz w:val="20"/>
                      <w:szCs w:val="20"/>
                    </w:rPr>
                    <m:t>ik</m:t>
                  </m:r>
                </m:sub>
              </m:sSub>
            </m:oMath>
            <w:r w:rsidR="00915E02" w:rsidRPr="00BC4512">
              <w:rPr>
                <w:rFonts w:ascii="Cambria Math" w:eastAsia="Times New Roman" w:hAnsi="Cambria Math"/>
                <w:sz w:val="20"/>
                <w:szCs w:val="20"/>
              </w:rPr>
              <w:t xml:space="preserve"> = number of adjacencies (joins) between pixels of patch types (classes) i and k based on the double-count method.</w:t>
            </w:r>
          </w:p>
          <w:p w14:paraId="369E6858" w14:textId="5BE0199A" w:rsidR="00915E02" w:rsidRPr="00E34455" w:rsidRDefault="00915E02" w:rsidP="00161709">
            <w:pPr>
              <w:widowControl w:val="0"/>
              <w:autoSpaceDE w:val="0"/>
              <w:autoSpaceDN w:val="0"/>
              <w:spacing w:before="83"/>
              <w:rPr>
                <w:rFonts w:ascii="Cambria" w:eastAsia="Cambria" w:hAnsi="Cambria" w:cs="Cambria"/>
                <w:sz w:val="20"/>
                <w:szCs w:val="20"/>
              </w:rPr>
            </w:pPr>
            <w:r w:rsidRPr="00BC4512">
              <w:rPr>
                <w:rFonts w:ascii="Cambria Math" w:eastAsia="Times New Roman" w:hAnsi="Cambria Math"/>
                <w:sz w:val="20"/>
                <w:szCs w:val="20"/>
              </w:rPr>
              <w:t>m = number of patch types (classes) present in landscape, including the landscape border if present.</w:t>
            </w:r>
          </w:p>
        </w:tc>
        <w:tc>
          <w:tcPr>
            <w:tcW w:w="552" w:type="pct"/>
            <w:tcBorders>
              <w:top w:val="single" w:sz="4" w:space="0" w:color="auto"/>
              <w:bottom w:val="single" w:sz="4" w:space="0" w:color="auto"/>
            </w:tcBorders>
          </w:tcPr>
          <w:p w14:paraId="26DAF319" w14:textId="77777777" w:rsidR="00915E02" w:rsidRDefault="00915E02" w:rsidP="00161709">
            <w:pPr>
              <w:widowControl w:val="0"/>
              <w:autoSpaceDE w:val="0"/>
              <w:autoSpaceDN w:val="0"/>
              <w:spacing w:before="83"/>
              <w:rPr>
                <w:rFonts w:ascii="Cambria" w:eastAsia="Cambria" w:hAnsi="Cambria" w:cs="Cambria"/>
                <w:sz w:val="20"/>
                <w:szCs w:val="20"/>
              </w:rPr>
            </w:pPr>
          </w:p>
          <w:p w14:paraId="38DB84F3" w14:textId="77777777" w:rsidR="00915E02" w:rsidRDefault="00915E02" w:rsidP="00161709">
            <w:pPr>
              <w:widowControl w:val="0"/>
              <w:autoSpaceDE w:val="0"/>
              <w:autoSpaceDN w:val="0"/>
              <w:spacing w:before="83"/>
              <w:rPr>
                <w:rFonts w:ascii="Cambria" w:eastAsia="Cambria" w:hAnsi="Cambria" w:cs="Cambria"/>
                <w:sz w:val="20"/>
                <w:szCs w:val="20"/>
              </w:rPr>
            </w:pPr>
            <w:r>
              <w:rPr>
                <w:rFonts w:ascii="Cambria" w:eastAsia="Cambria" w:hAnsi="Cambria" w:cs="Cambria"/>
                <w:sz w:val="20"/>
                <w:szCs w:val="20"/>
              </w:rPr>
              <w:t xml:space="preserve">   </w:t>
            </w:r>
          </w:p>
          <w:p w14:paraId="7615B88E" w14:textId="5333614E" w:rsidR="00915E02" w:rsidRPr="00E34455" w:rsidRDefault="00915E02" w:rsidP="00161709">
            <w:pPr>
              <w:widowControl w:val="0"/>
              <w:autoSpaceDE w:val="0"/>
              <w:autoSpaceDN w:val="0"/>
              <w:spacing w:before="83"/>
              <w:rPr>
                <w:rFonts w:ascii="Cambria" w:eastAsia="Cambria" w:hAnsi="Cambria" w:cs="Cambria"/>
                <w:sz w:val="20"/>
                <w:szCs w:val="20"/>
              </w:rPr>
            </w:pPr>
            <w:r>
              <w:rPr>
                <w:rFonts w:ascii="Cambria" w:eastAsia="Cambria" w:hAnsi="Cambria" w:cs="Cambria"/>
                <w:sz w:val="20"/>
                <w:szCs w:val="20"/>
              </w:rPr>
              <w:t xml:space="preserve">    Percent</w:t>
            </w:r>
          </w:p>
        </w:tc>
        <w:tc>
          <w:tcPr>
            <w:tcW w:w="827" w:type="pct"/>
            <w:tcBorders>
              <w:top w:val="single" w:sz="4" w:space="0" w:color="auto"/>
              <w:bottom w:val="single" w:sz="4" w:space="0" w:color="auto"/>
            </w:tcBorders>
          </w:tcPr>
          <w:p w14:paraId="61CA06B7" w14:textId="77777777" w:rsidR="00CA6C96" w:rsidRDefault="00CA6C96" w:rsidP="00915E02">
            <w:pPr>
              <w:widowControl w:val="0"/>
              <w:autoSpaceDE w:val="0"/>
              <w:autoSpaceDN w:val="0"/>
              <w:spacing w:before="83"/>
              <w:jc w:val="center"/>
              <w:rPr>
                <w:rFonts w:ascii="Cambria" w:eastAsia="Cambria" w:hAnsi="Cambria" w:cs="Cambria"/>
                <w:sz w:val="20"/>
                <w:szCs w:val="20"/>
              </w:rPr>
            </w:pPr>
          </w:p>
          <w:p w14:paraId="4C6F5F9A" w14:textId="77777777" w:rsidR="00CA6C96" w:rsidRDefault="00CA6C96" w:rsidP="00915E02">
            <w:pPr>
              <w:widowControl w:val="0"/>
              <w:autoSpaceDE w:val="0"/>
              <w:autoSpaceDN w:val="0"/>
              <w:spacing w:before="83"/>
              <w:jc w:val="center"/>
              <w:rPr>
                <w:rFonts w:ascii="Cambria" w:eastAsia="Cambria" w:hAnsi="Cambria" w:cs="Cambria"/>
                <w:sz w:val="20"/>
                <w:szCs w:val="20"/>
              </w:rPr>
            </w:pPr>
          </w:p>
          <w:p w14:paraId="3A560F74" w14:textId="5BF47668" w:rsidR="00915E02" w:rsidRPr="00915E02" w:rsidRDefault="00915E02" w:rsidP="00915E02">
            <w:pPr>
              <w:widowControl w:val="0"/>
              <w:autoSpaceDE w:val="0"/>
              <w:autoSpaceDN w:val="0"/>
              <w:spacing w:before="83"/>
              <w:jc w:val="center"/>
              <w:rPr>
                <w:rFonts w:ascii="Cambria" w:eastAsia="Cambria" w:hAnsi="Cambria" w:cs="Cambria"/>
                <w:sz w:val="20"/>
                <w:szCs w:val="20"/>
              </w:rPr>
            </w:pPr>
            <w:r w:rsidRPr="00915E02">
              <w:rPr>
                <w:rFonts w:ascii="Cambria" w:eastAsia="Cambria" w:hAnsi="Cambria" w:cs="Cambria"/>
                <w:sz w:val="20"/>
                <w:szCs w:val="20"/>
              </w:rPr>
              <w:t>Connectivity and fragmentation index</w:t>
            </w:r>
          </w:p>
        </w:tc>
      </w:tr>
      <w:tr w:rsidR="00915E02" w:rsidRPr="00E34455" w14:paraId="08D7EE1A" w14:textId="77777777" w:rsidTr="004D08D0">
        <w:trPr>
          <w:trHeight w:val="177"/>
        </w:trPr>
        <w:tc>
          <w:tcPr>
            <w:tcW w:w="675" w:type="pct"/>
            <w:vMerge/>
          </w:tcPr>
          <w:p w14:paraId="7AAE582E" w14:textId="77777777" w:rsidR="00915E02" w:rsidRPr="00E34455" w:rsidRDefault="00915E02" w:rsidP="00161709">
            <w:pPr>
              <w:widowControl w:val="0"/>
              <w:autoSpaceDE w:val="0"/>
              <w:autoSpaceDN w:val="0"/>
              <w:spacing w:before="83"/>
              <w:rPr>
                <w:rFonts w:ascii="Cambria" w:eastAsia="Cambria" w:hAnsi="Cambria" w:cs="Cambria"/>
                <w:sz w:val="20"/>
                <w:szCs w:val="20"/>
              </w:rPr>
            </w:pPr>
          </w:p>
        </w:tc>
        <w:tc>
          <w:tcPr>
            <w:tcW w:w="736" w:type="pct"/>
            <w:tcBorders>
              <w:top w:val="single" w:sz="4" w:space="0" w:color="auto"/>
              <w:bottom w:val="single" w:sz="4" w:space="0" w:color="auto"/>
            </w:tcBorders>
          </w:tcPr>
          <w:p w14:paraId="44C8633D" w14:textId="77777777" w:rsidR="00603721" w:rsidRDefault="00603721" w:rsidP="00161709">
            <w:pPr>
              <w:widowControl w:val="0"/>
              <w:autoSpaceDE w:val="0"/>
              <w:autoSpaceDN w:val="0"/>
              <w:spacing w:before="83"/>
              <w:jc w:val="center"/>
              <w:rPr>
                <w:rFonts w:ascii="Cambria" w:eastAsia="Cambria" w:hAnsi="Cambria" w:cs="Cambria"/>
                <w:sz w:val="20"/>
                <w:szCs w:val="20"/>
              </w:rPr>
            </w:pPr>
          </w:p>
          <w:p w14:paraId="0D79C83D" w14:textId="387A3ECF" w:rsidR="00915E02" w:rsidRPr="00E34455" w:rsidRDefault="003F5D70" w:rsidP="00161709">
            <w:pPr>
              <w:widowControl w:val="0"/>
              <w:autoSpaceDE w:val="0"/>
              <w:autoSpaceDN w:val="0"/>
              <w:spacing w:before="83"/>
              <w:jc w:val="center"/>
              <w:rPr>
                <w:rFonts w:ascii="Cambria" w:eastAsia="Cambria" w:hAnsi="Cambria" w:cs="Cambria"/>
                <w:sz w:val="20"/>
                <w:szCs w:val="20"/>
              </w:rPr>
            </w:pPr>
            <w:r w:rsidRPr="003F5D70">
              <w:rPr>
                <w:rFonts w:ascii="Cambria" w:eastAsia="Cambria" w:hAnsi="Cambria" w:cs="Cambria"/>
                <w:sz w:val="20"/>
                <w:szCs w:val="20"/>
              </w:rPr>
              <w:t>(SHDI)</w:t>
            </w:r>
          </w:p>
        </w:tc>
        <w:tc>
          <w:tcPr>
            <w:tcW w:w="2209" w:type="pct"/>
            <w:tcBorders>
              <w:top w:val="single" w:sz="4" w:space="0" w:color="auto"/>
              <w:bottom w:val="single" w:sz="4" w:space="0" w:color="auto"/>
            </w:tcBorders>
          </w:tcPr>
          <w:p w14:paraId="6924C9E6" w14:textId="7872E21D" w:rsidR="00915E02" w:rsidRPr="00DE280D" w:rsidRDefault="00915E02" w:rsidP="00161709">
            <w:pPr>
              <w:jc w:val="both"/>
              <w:rPr>
                <w:rFonts w:ascii="Cambria Math" w:eastAsia="Times New Roman" w:hAnsi="Cambria Math"/>
                <w:b/>
                <w:bCs/>
                <w:sz w:val="20"/>
                <w:szCs w:val="20"/>
              </w:rPr>
            </w:pPr>
            <m:oMathPara>
              <m:oMath>
                <m:r>
                  <m:rPr>
                    <m:sty m:val="b"/>
                  </m:rPr>
                  <w:rPr>
                    <w:rFonts w:ascii="Cambria Math" w:eastAsia="Times New Roman" w:hAnsi="Cambria Math"/>
                    <w:sz w:val="20"/>
                    <w:szCs w:val="20"/>
                  </w:rPr>
                  <m:t xml:space="preserve">SHDI = </m:t>
                </m:r>
                <m:nary>
                  <m:naryPr>
                    <m:chr m:val="∑"/>
                    <m:limLoc m:val="undOvr"/>
                    <m:ctrlPr>
                      <w:rPr>
                        <w:rFonts w:ascii="Cambria Math" w:eastAsia="Times New Roman" w:hAnsi="Cambria Math"/>
                        <w:b/>
                        <w:bCs/>
                        <w:sz w:val="20"/>
                        <w:szCs w:val="20"/>
                      </w:rPr>
                    </m:ctrlPr>
                  </m:naryPr>
                  <m:sub>
                    <m:r>
                      <m:rPr>
                        <m:sty m:val="b"/>
                      </m:rPr>
                      <w:rPr>
                        <w:rFonts w:ascii="Cambria Math" w:eastAsia="Times New Roman" w:hAnsi="Cambria Math"/>
                        <w:sz w:val="20"/>
                        <w:szCs w:val="20"/>
                      </w:rPr>
                      <m:t>i=1</m:t>
                    </m:r>
                  </m:sub>
                  <m:sup>
                    <m:r>
                      <m:rPr>
                        <m:sty m:val="b"/>
                      </m:rPr>
                      <w:rPr>
                        <w:rFonts w:ascii="Cambria Math" w:eastAsia="Times New Roman" w:hAnsi="Cambria Math"/>
                        <w:sz w:val="20"/>
                        <w:szCs w:val="20"/>
                      </w:rPr>
                      <m:t>m</m:t>
                    </m:r>
                  </m:sup>
                  <m:e>
                    <m:d>
                      <m:dPr>
                        <m:ctrlPr>
                          <w:rPr>
                            <w:rFonts w:ascii="Cambria Math" w:eastAsia="Times New Roman" w:hAnsi="Cambria Math"/>
                            <w:b/>
                            <w:bCs/>
                            <w:sz w:val="20"/>
                            <w:szCs w:val="20"/>
                          </w:rPr>
                        </m:ctrlPr>
                      </m:dPr>
                      <m:e>
                        <m:sSubSup>
                          <m:sSubSupPr>
                            <m:ctrlPr>
                              <w:rPr>
                                <w:rFonts w:ascii="Cambria Math" w:eastAsia="Times New Roman" w:hAnsi="Cambria Math"/>
                                <w:b/>
                                <w:bCs/>
                                <w:sz w:val="20"/>
                                <w:szCs w:val="20"/>
                              </w:rPr>
                            </m:ctrlPr>
                          </m:sSubSupPr>
                          <m:e>
                            <m:r>
                              <m:rPr>
                                <m:sty m:val="b"/>
                              </m:rPr>
                              <w:rPr>
                                <w:rFonts w:ascii="Cambria Math" w:eastAsia="Times New Roman" w:hAnsi="Cambria Math"/>
                                <w:sz w:val="20"/>
                                <w:szCs w:val="20"/>
                              </w:rPr>
                              <m:t>p</m:t>
                            </m:r>
                          </m:e>
                          <m:sub>
                            <m:r>
                              <m:rPr>
                                <m:sty m:val="b"/>
                              </m:rPr>
                              <w:rPr>
                                <w:rFonts w:ascii="Cambria Math" w:eastAsia="Times New Roman" w:hAnsi="Cambria Math"/>
                                <w:sz w:val="20"/>
                                <w:szCs w:val="20"/>
                              </w:rPr>
                              <m:t>i</m:t>
                            </m:r>
                          </m:sub>
                          <m:sup>
                            <m:r>
                              <m:rPr>
                                <m:sty m:val="b"/>
                              </m:rPr>
                              <w:rPr>
                                <w:rFonts w:ascii="Cambria Math" w:eastAsia="Times New Roman" w:hAnsi="Cambria Math"/>
                                <w:sz w:val="20"/>
                                <w:szCs w:val="20"/>
                              </w:rPr>
                              <m:t>*</m:t>
                            </m:r>
                          </m:sup>
                        </m:sSubSup>
                        <m:r>
                          <m:rPr>
                            <m:sty m:val="bi"/>
                          </m:rPr>
                          <w:rPr>
                            <w:rFonts w:ascii="Cambria Math" w:eastAsia="Times New Roman" w:hAnsi="Cambria Math"/>
                            <w:sz w:val="20"/>
                            <w:szCs w:val="20"/>
                          </w:rPr>
                          <m:t>ln</m:t>
                        </m:r>
                        <m:r>
                          <m:rPr>
                            <m:sty m:val="b"/>
                          </m:rPr>
                          <w:rPr>
                            <w:rFonts w:ascii="Cambria Math" w:eastAsia="Times New Roman" w:hAnsi="Cambria Math"/>
                            <w:sz w:val="20"/>
                            <w:szCs w:val="20"/>
                          </w:rPr>
                          <m:t xml:space="preserve">  </m:t>
                        </m:r>
                        <m:sSub>
                          <m:sSubPr>
                            <m:ctrlPr>
                              <w:rPr>
                                <w:rFonts w:ascii="Cambria Math" w:eastAsia="Times New Roman" w:hAnsi="Cambria Math"/>
                                <w:b/>
                                <w:bCs/>
                                <w:sz w:val="20"/>
                                <w:szCs w:val="20"/>
                              </w:rPr>
                            </m:ctrlPr>
                          </m:sSubPr>
                          <m:e>
                            <m:r>
                              <m:rPr>
                                <m:sty m:val="b"/>
                              </m:rPr>
                              <w:rPr>
                                <w:rFonts w:ascii="Cambria Math" w:eastAsia="Times New Roman" w:hAnsi="Cambria Math"/>
                                <w:sz w:val="20"/>
                                <w:szCs w:val="20"/>
                              </w:rPr>
                              <m:t>p</m:t>
                            </m:r>
                          </m:e>
                          <m:sub>
                            <m:r>
                              <m:rPr>
                                <m:sty m:val="b"/>
                              </m:rPr>
                              <w:rPr>
                                <w:rFonts w:ascii="Cambria Math" w:eastAsia="Times New Roman" w:hAnsi="Cambria Math"/>
                                <w:sz w:val="20"/>
                                <w:szCs w:val="20"/>
                              </w:rPr>
                              <m:t>i</m:t>
                            </m:r>
                          </m:sub>
                        </m:sSub>
                        <m:r>
                          <m:rPr>
                            <m:sty m:val="b"/>
                          </m:rPr>
                          <w:rPr>
                            <w:rFonts w:ascii="Cambria Math" w:eastAsia="Times New Roman" w:hAnsi="Cambria Math"/>
                            <w:sz w:val="20"/>
                            <w:szCs w:val="20"/>
                          </w:rPr>
                          <m:t xml:space="preserve"> </m:t>
                        </m:r>
                      </m:e>
                    </m:d>
                  </m:e>
                </m:nary>
                <m:r>
                  <m:rPr>
                    <m:sty m:val="b"/>
                  </m:rPr>
                  <w:rPr>
                    <w:rFonts w:ascii="Cambria Math" w:eastAsia="Times New Roman" w:hAnsi="Cambria Math"/>
                    <w:sz w:val="20"/>
                    <w:szCs w:val="20"/>
                  </w:rPr>
                  <m:t xml:space="preserve"> </m:t>
                </m:r>
              </m:oMath>
            </m:oMathPara>
          </w:p>
          <w:p w14:paraId="14037274" w14:textId="1B07CCEA" w:rsidR="00915E02" w:rsidRPr="00E34455" w:rsidRDefault="006D6C17" w:rsidP="00161709">
            <w:pPr>
              <w:jc w:val="both"/>
              <w:rPr>
                <w:rFonts w:ascii="Cambria" w:eastAsia="Cambria" w:hAnsi="Cambria" w:cs="Cambria"/>
                <w:sz w:val="20"/>
                <w:szCs w:val="20"/>
              </w:rPr>
            </w:pPr>
            <m:oMath>
              <m:sSub>
                <m:sSubPr>
                  <m:ctrlPr>
                    <w:rPr>
                      <w:rFonts w:ascii="Cambria Math" w:eastAsia="Times New Roman" w:hAnsi="Cambria Math"/>
                      <w:sz w:val="20"/>
                      <w:szCs w:val="20"/>
                    </w:rPr>
                  </m:ctrlPr>
                </m:sSubPr>
                <m:e>
                  <m:r>
                    <w:rPr>
                      <w:rFonts w:ascii="Cambria Math" w:eastAsia="Times New Roman" w:hAnsi="Cambria Math"/>
                      <w:sz w:val="20"/>
                      <w:szCs w:val="20"/>
                    </w:rPr>
                    <m:t>P</m:t>
                  </m:r>
                </m:e>
                <m:sub>
                  <m:r>
                    <w:rPr>
                      <w:rFonts w:ascii="Cambria Math" w:eastAsia="Times New Roman" w:hAnsi="Cambria Math"/>
                      <w:sz w:val="20"/>
                      <w:szCs w:val="20"/>
                    </w:rPr>
                    <m:t>i</m:t>
                  </m:r>
                  <m:r>
                    <m:rPr>
                      <m:sty m:val="p"/>
                    </m:rPr>
                    <w:rPr>
                      <w:rFonts w:ascii="Cambria Math" w:eastAsia="Times New Roman" w:hAnsi="Cambria Math"/>
                      <w:sz w:val="20"/>
                      <w:szCs w:val="20"/>
                    </w:rPr>
                    <m:t xml:space="preserve"> </m:t>
                  </m:r>
                </m:sub>
              </m:sSub>
            </m:oMath>
            <w:r w:rsidR="00915E02" w:rsidRPr="00896321">
              <w:rPr>
                <w:rFonts w:ascii="Cambria Math" w:eastAsia="Times New Roman" w:hAnsi="Cambria Math"/>
                <w:sz w:val="20"/>
                <w:szCs w:val="20"/>
              </w:rPr>
              <w:t>= prop</w:t>
            </w:r>
            <w:r w:rsidR="00B0468C">
              <w:rPr>
                <w:rFonts w:ascii="Cambria Math" w:eastAsia="Times New Roman" w:hAnsi="Cambria Math"/>
                <w:sz w:val="20"/>
                <w:szCs w:val="20"/>
              </w:rPr>
              <w:t>.</w:t>
            </w:r>
            <w:r w:rsidR="00915E02" w:rsidRPr="00896321">
              <w:rPr>
                <w:rFonts w:ascii="Cambria Math" w:eastAsia="Times New Roman" w:hAnsi="Cambria Math"/>
                <w:sz w:val="20"/>
                <w:szCs w:val="20"/>
              </w:rPr>
              <w:t xml:space="preserve"> </w:t>
            </w:r>
            <w:proofErr w:type="gramStart"/>
            <w:r w:rsidR="00915E02" w:rsidRPr="00896321">
              <w:rPr>
                <w:rFonts w:ascii="Cambria Math" w:eastAsia="Times New Roman" w:hAnsi="Cambria Math"/>
                <w:sz w:val="20"/>
                <w:szCs w:val="20"/>
              </w:rPr>
              <w:t xml:space="preserve">of </w:t>
            </w:r>
            <w:r w:rsidR="00B0468C">
              <w:rPr>
                <w:rFonts w:ascii="Cambria Math" w:eastAsia="Times New Roman" w:hAnsi="Cambria Math"/>
                <w:sz w:val="20"/>
                <w:szCs w:val="20"/>
              </w:rPr>
              <w:t xml:space="preserve"> </w:t>
            </w:r>
            <w:r w:rsidR="00915E02" w:rsidRPr="00896321">
              <w:rPr>
                <w:rFonts w:ascii="Cambria Math" w:eastAsia="Times New Roman" w:hAnsi="Cambria Math"/>
                <w:sz w:val="20"/>
                <w:szCs w:val="20"/>
              </w:rPr>
              <w:t>landscape</w:t>
            </w:r>
            <w:proofErr w:type="gramEnd"/>
            <w:r w:rsidR="00915E02" w:rsidRPr="00896321">
              <w:rPr>
                <w:rFonts w:ascii="Cambria Math" w:eastAsia="Times New Roman" w:hAnsi="Cambria Math"/>
                <w:sz w:val="20"/>
                <w:szCs w:val="20"/>
              </w:rPr>
              <w:t xml:space="preserve"> occupied by patch type (class)</w:t>
            </w:r>
            <w:proofErr w:type="spellStart"/>
            <w:r w:rsidR="00915E02" w:rsidRPr="00896321">
              <w:rPr>
                <w:rFonts w:ascii="Cambria Math" w:eastAsia="Times New Roman" w:hAnsi="Cambria Math"/>
                <w:sz w:val="20"/>
                <w:szCs w:val="20"/>
              </w:rPr>
              <w:t>i</w:t>
            </w:r>
            <w:proofErr w:type="spellEnd"/>
            <w:r w:rsidR="00915E02" w:rsidRPr="00896321">
              <w:rPr>
                <w:rFonts w:ascii="Cambria Math" w:eastAsia="Times New Roman" w:hAnsi="Cambria Math"/>
                <w:sz w:val="20"/>
                <w:szCs w:val="20"/>
              </w:rPr>
              <w:t>.</w:t>
            </w:r>
          </w:p>
        </w:tc>
        <w:tc>
          <w:tcPr>
            <w:tcW w:w="552" w:type="pct"/>
            <w:tcBorders>
              <w:top w:val="single" w:sz="4" w:space="0" w:color="auto"/>
              <w:bottom w:val="single" w:sz="4" w:space="0" w:color="auto"/>
            </w:tcBorders>
          </w:tcPr>
          <w:p w14:paraId="297EF0F5" w14:textId="77777777" w:rsidR="00915E02" w:rsidRDefault="00915E02" w:rsidP="00161709">
            <w:pPr>
              <w:widowControl w:val="0"/>
              <w:autoSpaceDE w:val="0"/>
              <w:autoSpaceDN w:val="0"/>
              <w:spacing w:before="83"/>
              <w:rPr>
                <w:rFonts w:ascii="Cambria" w:eastAsia="Cambria" w:hAnsi="Cambria" w:cs="Cambria"/>
                <w:sz w:val="20"/>
                <w:szCs w:val="20"/>
              </w:rPr>
            </w:pPr>
            <w:r>
              <w:rPr>
                <w:rFonts w:ascii="Cambria" w:eastAsia="Cambria" w:hAnsi="Cambria" w:cs="Cambria"/>
                <w:sz w:val="20"/>
                <w:szCs w:val="20"/>
              </w:rPr>
              <w:t xml:space="preserve"> </w:t>
            </w:r>
          </w:p>
          <w:p w14:paraId="634A78A5" w14:textId="6E291C5D" w:rsidR="00915E02" w:rsidRPr="00E34455" w:rsidRDefault="00915E02" w:rsidP="00161709">
            <w:pPr>
              <w:widowControl w:val="0"/>
              <w:autoSpaceDE w:val="0"/>
              <w:autoSpaceDN w:val="0"/>
              <w:spacing w:before="83"/>
              <w:rPr>
                <w:rFonts w:ascii="Cambria" w:eastAsia="Cambria" w:hAnsi="Cambria" w:cs="Cambria"/>
                <w:sz w:val="20"/>
                <w:szCs w:val="20"/>
              </w:rPr>
            </w:pPr>
            <w:r>
              <w:rPr>
                <w:rFonts w:ascii="Cambria" w:eastAsia="Cambria" w:hAnsi="Cambria" w:cs="Cambria"/>
                <w:sz w:val="20"/>
                <w:szCs w:val="20"/>
              </w:rPr>
              <w:t xml:space="preserve">      None</w:t>
            </w:r>
          </w:p>
        </w:tc>
        <w:tc>
          <w:tcPr>
            <w:tcW w:w="827" w:type="pct"/>
            <w:tcBorders>
              <w:top w:val="single" w:sz="4" w:space="0" w:color="auto"/>
              <w:bottom w:val="single" w:sz="4" w:space="0" w:color="auto"/>
            </w:tcBorders>
          </w:tcPr>
          <w:p w14:paraId="14129344" w14:textId="77777777" w:rsidR="00CA6C96" w:rsidRDefault="00CA6C96" w:rsidP="00915E02">
            <w:pPr>
              <w:jc w:val="center"/>
              <w:rPr>
                <w:rFonts w:ascii="Cambria" w:eastAsia="Cambria" w:hAnsi="Cambria" w:cs="Cambria"/>
                <w:sz w:val="20"/>
                <w:szCs w:val="20"/>
              </w:rPr>
            </w:pPr>
          </w:p>
          <w:p w14:paraId="611780AD" w14:textId="77777777" w:rsidR="00CA6C96" w:rsidRDefault="00CA6C96" w:rsidP="00915E02">
            <w:pPr>
              <w:jc w:val="center"/>
              <w:rPr>
                <w:rFonts w:ascii="Cambria" w:eastAsia="Cambria" w:hAnsi="Cambria" w:cs="Cambria"/>
                <w:sz w:val="20"/>
                <w:szCs w:val="20"/>
              </w:rPr>
            </w:pPr>
          </w:p>
          <w:p w14:paraId="0A3BCC17" w14:textId="45B4E35C" w:rsidR="00915E02" w:rsidRPr="00915E02" w:rsidRDefault="00915E02" w:rsidP="00915E02">
            <w:pPr>
              <w:jc w:val="center"/>
              <w:rPr>
                <w:rFonts w:ascii="Cambria" w:eastAsia="Cambria" w:hAnsi="Cambria" w:cs="Cambria"/>
                <w:sz w:val="20"/>
                <w:szCs w:val="20"/>
              </w:rPr>
            </w:pPr>
            <w:r w:rsidRPr="00915E02">
              <w:rPr>
                <w:rFonts w:ascii="Cambria" w:eastAsia="Cambria" w:hAnsi="Cambria" w:cs="Cambria"/>
                <w:sz w:val="20"/>
                <w:szCs w:val="20"/>
              </w:rPr>
              <w:t>Diversity index</w:t>
            </w:r>
          </w:p>
          <w:p w14:paraId="3B034E19" w14:textId="77777777" w:rsidR="00915E02" w:rsidRPr="00915E02" w:rsidRDefault="00915E02" w:rsidP="00915E02">
            <w:pPr>
              <w:widowControl w:val="0"/>
              <w:autoSpaceDE w:val="0"/>
              <w:autoSpaceDN w:val="0"/>
              <w:spacing w:before="83"/>
              <w:jc w:val="center"/>
              <w:rPr>
                <w:rFonts w:ascii="Cambria" w:eastAsia="Cambria" w:hAnsi="Cambria" w:cs="Cambria"/>
                <w:sz w:val="20"/>
                <w:szCs w:val="20"/>
              </w:rPr>
            </w:pPr>
          </w:p>
        </w:tc>
      </w:tr>
      <w:tr w:rsidR="00915E02" w:rsidRPr="00E34455" w14:paraId="5225076F" w14:textId="77777777" w:rsidTr="004D08D0">
        <w:trPr>
          <w:trHeight w:val="177"/>
        </w:trPr>
        <w:tc>
          <w:tcPr>
            <w:tcW w:w="675" w:type="pct"/>
            <w:vMerge/>
            <w:tcBorders>
              <w:bottom w:val="single" w:sz="4" w:space="0" w:color="auto"/>
            </w:tcBorders>
          </w:tcPr>
          <w:p w14:paraId="7F6B71BC" w14:textId="77777777" w:rsidR="00915E02" w:rsidRPr="00E34455" w:rsidRDefault="00915E02" w:rsidP="00161709">
            <w:pPr>
              <w:widowControl w:val="0"/>
              <w:autoSpaceDE w:val="0"/>
              <w:autoSpaceDN w:val="0"/>
              <w:spacing w:before="83"/>
              <w:rPr>
                <w:rFonts w:ascii="Cambria" w:eastAsia="Cambria" w:hAnsi="Cambria" w:cs="Cambria"/>
              </w:rPr>
            </w:pPr>
          </w:p>
        </w:tc>
        <w:tc>
          <w:tcPr>
            <w:tcW w:w="736" w:type="pct"/>
            <w:tcBorders>
              <w:top w:val="single" w:sz="4" w:space="0" w:color="auto"/>
              <w:bottom w:val="single" w:sz="4" w:space="0" w:color="auto"/>
            </w:tcBorders>
          </w:tcPr>
          <w:p w14:paraId="6CC0B8B1" w14:textId="77777777" w:rsidR="00603721" w:rsidRDefault="00603721" w:rsidP="00161709">
            <w:pPr>
              <w:widowControl w:val="0"/>
              <w:autoSpaceDE w:val="0"/>
              <w:autoSpaceDN w:val="0"/>
              <w:spacing w:before="83"/>
              <w:jc w:val="center"/>
              <w:rPr>
                <w:rFonts w:ascii="Cambria" w:eastAsia="Cambria" w:hAnsi="Cambria" w:cs="Cambria"/>
                <w:sz w:val="20"/>
                <w:szCs w:val="20"/>
              </w:rPr>
            </w:pPr>
          </w:p>
          <w:p w14:paraId="57F72977" w14:textId="3690D178" w:rsidR="00915E02" w:rsidRPr="00297C66" w:rsidRDefault="00915E02" w:rsidP="00161709">
            <w:pPr>
              <w:widowControl w:val="0"/>
              <w:autoSpaceDE w:val="0"/>
              <w:autoSpaceDN w:val="0"/>
              <w:spacing w:before="83"/>
              <w:jc w:val="center"/>
              <w:rPr>
                <w:rFonts w:ascii="Cambria" w:eastAsia="Cambria" w:hAnsi="Cambria" w:cs="Cambria"/>
                <w:sz w:val="20"/>
                <w:szCs w:val="20"/>
              </w:rPr>
            </w:pPr>
            <w:r>
              <w:rPr>
                <w:rFonts w:ascii="Cambria" w:eastAsia="Cambria" w:hAnsi="Cambria" w:cs="Cambria"/>
                <w:sz w:val="20"/>
                <w:szCs w:val="20"/>
              </w:rPr>
              <w:t xml:space="preserve"> (SHEI)</w:t>
            </w:r>
          </w:p>
        </w:tc>
        <w:tc>
          <w:tcPr>
            <w:tcW w:w="2209" w:type="pct"/>
            <w:tcBorders>
              <w:top w:val="single" w:sz="4" w:space="0" w:color="auto"/>
              <w:bottom w:val="single" w:sz="4" w:space="0" w:color="auto"/>
            </w:tcBorders>
          </w:tcPr>
          <w:p w14:paraId="61190487" w14:textId="49B036FC" w:rsidR="00915E02" w:rsidRPr="00DE280D" w:rsidRDefault="00915E02" w:rsidP="00161709">
            <w:pPr>
              <w:jc w:val="both"/>
              <w:rPr>
                <w:rFonts w:ascii="Cambria" w:eastAsia="Cambria" w:hAnsi="Cambria" w:cs="Cambria"/>
                <w:b/>
                <w:bCs/>
                <w:sz w:val="20"/>
                <w:szCs w:val="20"/>
              </w:rPr>
            </w:pPr>
            <m:oMathPara>
              <m:oMath>
                <m:r>
                  <m:rPr>
                    <m:sty m:val="b"/>
                  </m:rPr>
                  <w:rPr>
                    <w:rFonts w:ascii="Cambria Math" w:eastAsia="Cambria" w:hAnsi="Cambria Math" w:cs="Cambria"/>
                    <w:sz w:val="20"/>
                    <w:szCs w:val="20"/>
                  </w:rPr>
                  <m:t>SHEI</m:t>
                </m:r>
                <m:r>
                  <m:rPr>
                    <m:sty m:val="bi"/>
                  </m:rPr>
                  <w:rPr>
                    <w:rFonts w:ascii="Cambria Math" w:eastAsia="Cambria" w:hAnsi="Cambria Math" w:cs="Cambria"/>
                    <w:sz w:val="20"/>
                    <w:szCs w:val="20"/>
                  </w:rPr>
                  <m:t xml:space="preserve"> = </m:t>
                </m:r>
                <m:f>
                  <m:fPr>
                    <m:ctrlPr>
                      <w:rPr>
                        <w:rFonts w:ascii="Cambria Math" w:eastAsia="Cambria" w:hAnsi="Cambria Math" w:cs="Cambria"/>
                        <w:b/>
                        <w:bCs/>
                        <w:i/>
                        <w:sz w:val="20"/>
                        <w:szCs w:val="20"/>
                      </w:rPr>
                    </m:ctrlPr>
                  </m:fPr>
                  <m:num>
                    <m:nary>
                      <m:naryPr>
                        <m:chr m:val="∑"/>
                        <m:limLoc m:val="undOvr"/>
                        <m:ctrlPr>
                          <w:rPr>
                            <w:rFonts w:ascii="Cambria Math" w:eastAsia="Times New Roman" w:hAnsi="Cambria Math"/>
                            <w:b/>
                            <w:bCs/>
                            <w:sz w:val="20"/>
                            <w:szCs w:val="20"/>
                          </w:rPr>
                        </m:ctrlPr>
                      </m:naryPr>
                      <m:sub>
                        <m:r>
                          <m:rPr>
                            <m:sty m:val="b"/>
                          </m:rPr>
                          <w:rPr>
                            <w:rFonts w:ascii="Cambria Math" w:eastAsia="Times New Roman" w:hAnsi="Cambria Math"/>
                            <w:sz w:val="20"/>
                            <w:szCs w:val="20"/>
                          </w:rPr>
                          <m:t>i=1</m:t>
                        </m:r>
                      </m:sub>
                      <m:sup>
                        <m:r>
                          <m:rPr>
                            <m:sty m:val="b"/>
                          </m:rPr>
                          <w:rPr>
                            <w:rFonts w:ascii="Cambria Math" w:eastAsia="Times New Roman" w:hAnsi="Cambria Math"/>
                            <w:sz w:val="20"/>
                            <w:szCs w:val="20"/>
                          </w:rPr>
                          <m:t>m</m:t>
                        </m:r>
                      </m:sup>
                      <m:e>
                        <m:d>
                          <m:dPr>
                            <m:ctrlPr>
                              <w:rPr>
                                <w:rFonts w:ascii="Cambria Math" w:eastAsia="Times New Roman" w:hAnsi="Cambria Math"/>
                                <w:b/>
                                <w:bCs/>
                                <w:sz w:val="20"/>
                                <w:szCs w:val="20"/>
                              </w:rPr>
                            </m:ctrlPr>
                          </m:dPr>
                          <m:e>
                            <m:sSubSup>
                              <m:sSubSupPr>
                                <m:ctrlPr>
                                  <w:rPr>
                                    <w:rFonts w:ascii="Cambria Math" w:eastAsia="Times New Roman" w:hAnsi="Cambria Math"/>
                                    <w:b/>
                                    <w:bCs/>
                                    <w:sz w:val="20"/>
                                    <w:szCs w:val="20"/>
                                  </w:rPr>
                                </m:ctrlPr>
                              </m:sSubSupPr>
                              <m:e>
                                <m:r>
                                  <m:rPr>
                                    <m:sty m:val="b"/>
                                  </m:rPr>
                                  <w:rPr>
                                    <w:rFonts w:ascii="Cambria Math" w:eastAsia="Times New Roman" w:hAnsi="Cambria Math"/>
                                    <w:sz w:val="20"/>
                                    <w:szCs w:val="20"/>
                                  </w:rPr>
                                  <m:t>p</m:t>
                                </m:r>
                              </m:e>
                              <m:sub>
                                <m:r>
                                  <m:rPr>
                                    <m:sty m:val="b"/>
                                  </m:rPr>
                                  <w:rPr>
                                    <w:rFonts w:ascii="Cambria Math" w:eastAsia="Times New Roman" w:hAnsi="Cambria Math"/>
                                    <w:sz w:val="20"/>
                                    <w:szCs w:val="20"/>
                                  </w:rPr>
                                  <m:t>i</m:t>
                                </m:r>
                              </m:sub>
                              <m:sup>
                                <m:r>
                                  <m:rPr>
                                    <m:sty m:val="b"/>
                                  </m:rPr>
                                  <w:rPr>
                                    <w:rFonts w:ascii="Cambria Math" w:eastAsia="Times New Roman" w:hAnsi="Cambria Math"/>
                                    <w:sz w:val="20"/>
                                    <w:szCs w:val="20"/>
                                  </w:rPr>
                                  <m:t>*</m:t>
                                </m:r>
                              </m:sup>
                            </m:sSubSup>
                            <m:r>
                              <m:rPr>
                                <m:sty m:val="bi"/>
                              </m:rPr>
                              <w:rPr>
                                <w:rFonts w:ascii="Cambria Math" w:eastAsia="Times New Roman" w:hAnsi="Cambria Math"/>
                                <w:sz w:val="20"/>
                                <w:szCs w:val="20"/>
                              </w:rPr>
                              <m:t>ln</m:t>
                            </m:r>
                            <m:r>
                              <m:rPr>
                                <m:sty m:val="b"/>
                              </m:rPr>
                              <w:rPr>
                                <w:rFonts w:ascii="Cambria Math" w:eastAsia="Times New Roman" w:hAnsi="Cambria Math"/>
                                <w:sz w:val="20"/>
                                <w:szCs w:val="20"/>
                              </w:rPr>
                              <m:t xml:space="preserve">  </m:t>
                            </m:r>
                            <m:sSub>
                              <m:sSubPr>
                                <m:ctrlPr>
                                  <w:rPr>
                                    <w:rFonts w:ascii="Cambria Math" w:eastAsia="Times New Roman" w:hAnsi="Cambria Math"/>
                                    <w:b/>
                                    <w:bCs/>
                                    <w:sz w:val="20"/>
                                    <w:szCs w:val="20"/>
                                  </w:rPr>
                                </m:ctrlPr>
                              </m:sSubPr>
                              <m:e>
                                <m:r>
                                  <m:rPr>
                                    <m:sty m:val="b"/>
                                  </m:rPr>
                                  <w:rPr>
                                    <w:rFonts w:ascii="Cambria Math" w:eastAsia="Times New Roman" w:hAnsi="Cambria Math"/>
                                    <w:sz w:val="20"/>
                                    <w:szCs w:val="20"/>
                                  </w:rPr>
                                  <m:t>p</m:t>
                                </m:r>
                              </m:e>
                              <m:sub>
                                <m:r>
                                  <m:rPr>
                                    <m:sty m:val="b"/>
                                  </m:rPr>
                                  <w:rPr>
                                    <w:rFonts w:ascii="Cambria Math" w:eastAsia="Times New Roman" w:hAnsi="Cambria Math"/>
                                    <w:sz w:val="20"/>
                                    <w:szCs w:val="20"/>
                                  </w:rPr>
                                  <m:t>i</m:t>
                                </m:r>
                              </m:sub>
                            </m:sSub>
                            <m:r>
                              <m:rPr>
                                <m:sty m:val="b"/>
                              </m:rPr>
                              <w:rPr>
                                <w:rFonts w:ascii="Cambria Math" w:eastAsia="Times New Roman" w:hAnsi="Cambria Math"/>
                                <w:sz w:val="20"/>
                                <w:szCs w:val="20"/>
                              </w:rPr>
                              <m:t xml:space="preserve"> </m:t>
                            </m:r>
                          </m:e>
                        </m:d>
                      </m:e>
                    </m:nary>
                    <m:r>
                      <m:rPr>
                        <m:sty m:val="b"/>
                      </m:rPr>
                      <w:rPr>
                        <w:rFonts w:ascii="Cambria Math" w:eastAsia="Times New Roman" w:hAnsi="Cambria Math"/>
                        <w:sz w:val="20"/>
                        <w:szCs w:val="20"/>
                      </w:rPr>
                      <m:t xml:space="preserve"> </m:t>
                    </m:r>
                  </m:num>
                  <m:den>
                    <m:r>
                      <m:rPr>
                        <m:sty m:val="bi"/>
                      </m:rPr>
                      <w:rPr>
                        <w:rFonts w:ascii="Cambria Math" w:eastAsia="Times New Roman" w:hAnsi="Cambria Math"/>
                        <w:sz w:val="20"/>
                        <w:szCs w:val="20"/>
                      </w:rPr>
                      <m:t>ln m</m:t>
                    </m:r>
                  </m:den>
                </m:f>
              </m:oMath>
            </m:oMathPara>
          </w:p>
          <w:p w14:paraId="724BD90A" w14:textId="6D65BA00" w:rsidR="00915E02" w:rsidRDefault="006D6C17" w:rsidP="00161709">
            <w:pPr>
              <w:jc w:val="both"/>
              <w:rPr>
                <w:rFonts w:ascii="Cambria Math" w:eastAsia="Times New Roman" w:hAnsi="Cambria Math"/>
                <w:sz w:val="20"/>
                <w:szCs w:val="20"/>
              </w:rPr>
            </w:pPr>
            <m:oMath>
              <m:sSub>
                <m:sSubPr>
                  <m:ctrlPr>
                    <w:rPr>
                      <w:rFonts w:ascii="Cambria Math" w:eastAsia="Times New Roman" w:hAnsi="Cambria Math"/>
                      <w:sz w:val="20"/>
                      <w:szCs w:val="20"/>
                    </w:rPr>
                  </m:ctrlPr>
                </m:sSubPr>
                <m:e>
                  <m:r>
                    <w:rPr>
                      <w:rFonts w:ascii="Cambria Math" w:eastAsia="Times New Roman" w:hAnsi="Cambria Math"/>
                      <w:sz w:val="20"/>
                      <w:szCs w:val="20"/>
                    </w:rPr>
                    <m:t>P</m:t>
                  </m:r>
                </m:e>
                <m:sub>
                  <m:r>
                    <w:rPr>
                      <w:rFonts w:ascii="Cambria Math" w:eastAsia="Times New Roman" w:hAnsi="Cambria Math"/>
                      <w:sz w:val="20"/>
                      <w:szCs w:val="20"/>
                    </w:rPr>
                    <m:t>i</m:t>
                  </m:r>
                  <m:r>
                    <m:rPr>
                      <m:sty m:val="p"/>
                    </m:rPr>
                    <w:rPr>
                      <w:rFonts w:ascii="Cambria Math" w:eastAsia="Times New Roman" w:hAnsi="Cambria Math"/>
                      <w:sz w:val="20"/>
                      <w:szCs w:val="20"/>
                    </w:rPr>
                    <m:t xml:space="preserve"> </m:t>
                  </m:r>
                </m:sub>
              </m:sSub>
            </m:oMath>
            <w:r w:rsidR="00915E02">
              <w:rPr>
                <w:rFonts w:ascii="Cambria" w:eastAsia="Cambria" w:hAnsi="Cambria" w:cs="Cambria"/>
                <w:sz w:val="20"/>
                <w:szCs w:val="20"/>
              </w:rPr>
              <w:t xml:space="preserve">= </w:t>
            </w:r>
            <w:r w:rsidR="00915E02" w:rsidRPr="00896321">
              <w:rPr>
                <w:rFonts w:ascii="Cambria Math" w:eastAsia="Times New Roman" w:hAnsi="Cambria Math"/>
                <w:sz w:val="20"/>
                <w:szCs w:val="20"/>
              </w:rPr>
              <w:t>prop</w:t>
            </w:r>
            <w:r w:rsidR="00B0468C">
              <w:rPr>
                <w:rFonts w:ascii="Cambria Math" w:eastAsia="Times New Roman" w:hAnsi="Cambria Math"/>
                <w:sz w:val="20"/>
                <w:szCs w:val="20"/>
              </w:rPr>
              <w:t>.</w:t>
            </w:r>
            <w:r w:rsidR="00915E02" w:rsidRPr="00896321">
              <w:rPr>
                <w:rFonts w:ascii="Cambria Math" w:eastAsia="Times New Roman" w:hAnsi="Cambria Math"/>
                <w:sz w:val="20"/>
                <w:szCs w:val="20"/>
              </w:rPr>
              <w:t xml:space="preserve"> </w:t>
            </w:r>
            <w:r w:rsidR="00B0468C" w:rsidRPr="00896321">
              <w:rPr>
                <w:rFonts w:ascii="Cambria Math" w:eastAsia="Times New Roman" w:hAnsi="Cambria Math"/>
                <w:sz w:val="20"/>
                <w:szCs w:val="20"/>
              </w:rPr>
              <w:t xml:space="preserve">of </w:t>
            </w:r>
            <w:r w:rsidR="00B0468C">
              <w:rPr>
                <w:rFonts w:ascii="Cambria Math" w:eastAsia="Times New Roman" w:hAnsi="Cambria Math"/>
                <w:sz w:val="20"/>
                <w:szCs w:val="20"/>
              </w:rPr>
              <w:t>landscape</w:t>
            </w:r>
            <w:r w:rsidR="00915E02" w:rsidRPr="00896321">
              <w:rPr>
                <w:rFonts w:ascii="Cambria Math" w:eastAsia="Times New Roman" w:hAnsi="Cambria Math"/>
                <w:sz w:val="20"/>
                <w:szCs w:val="20"/>
              </w:rPr>
              <w:t xml:space="preserve"> occupied by patch type (class)</w:t>
            </w:r>
            <w:proofErr w:type="spellStart"/>
            <w:r w:rsidR="00915E02" w:rsidRPr="00DE280D">
              <w:rPr>
                <w:rFonts w:ascii="Cambria Math" w:eastAsia="Times New Roman" w:hAnsi="Cambria Math"/>
                <w:sz w:val="20"/>
                <w:szCs w:val="20"/>
                <w:vertAlign w:val="subscript"/>
              </w:rPr>
              <w:t>i</w:t>
            </w:r>
            <w:proofErr w:type="spellEnd"/>
            <w:r w:rsidR="00915E02" w:rsidRPr="00896321">
              <w:rPr>
                <w:rFonts w:ascii="Cambria Math" w:eastAsia="Times New Roman" w:hAnsi="Cambria Math"/>
                <w:sz w:val="20"/>
                <w:szCs w:val="20"/>
              </w:rPr>
              <w:t>.</w:t>
            </w:r>
          </w:p>
          <w:p w14:paraId="3FFE90EC" w14:textId="72BE0DFC" w:rsidR="00915E02" w:rsidRPr="00DE280D" w:rsidRDefault="00915E02" w:rsidP="00161709">
            <w:pPr>
              <w:jc w:val="both"/>
              <w:rPr>
                <w:rFonts w:ascii="Cambria" w:eastAsia="Cambria" w:hAnsi="Cambria" w:cs="Cambria"/>
                <w:sz w:val="20"/>
                <w:szCs w:val="20"/>
              </w:rPr>
            </w:pPr>
            <w:r w:rsidRPr="00DE280D">
              <w:rPr>
                <w:rFonts w:ascii="Cambria" w:eastAsia="Cambria" w:hAnsi="Cambria" w:cs="Cambria"/>
                <w:sz w:val="20"/>
                <w:szCs w:val="20"/>
              </w:rPr>
              <w:t xml:space="preserve">m = </w:t>
            </w:r>
            <w:r>
              <w:rPr>
                <w:rFonts w:ascii="Cambria" w:eastAsia="Cambria" w:hAnsi="Cambria" w:cs="Cambria"/>
                <w:sz w:val="20"/>
                <w:szCs w:val="20"/>
              </w:rPr>
              <w:t>the number of patch types (classes) present in landscape, excluding the landscape border if present.</w:t>
            </w:r>
          </w:p>
        </w:tc>
        <w:tc>
          <w:tcPr>
            <w:tcW w:w="552" w:type="pct"/>
            <w:tcBorders>
              <w:top w:val="single" w:sz="4" w:space="0" w:color="auto"/>
              <w:bottom w:val="single" w:sz="4" w:space="0" w:color="auto"/>
            </w:tcBorders>
          </w:tcPr>
          <w:p w14:paraId="200A32BC" w14:textId="77777777" w:rsidR="00915E02" w:rsidRDefault="00915E02" w:rsidP="00161709">
            <w:pPr>
              <w:widowControl w:val="0"/>
              <w:autoSpaceDE w:val="0"/>
              <w:autoSpaceDN w:val="0"/>
              <w:spacing w:before="83"/>
              <w:rPr>
                <w:rFonts w:ascii="Cambria" w:eastAsia="Cambria" w:hAnsi="Cambria" w:cs="Cambria"/>
              </w:rPr>
            </w:pPr>
            <w:r>
              <w:rPr>
                <w:rFonts w:ascii="Cambria" w:eastAsia="Cambria" w:hAnsi="Cambria" w:cs="Cambria"/>
              </w:rPr>
              <w:t xml:space="preserve">   </w:t>
            </w:r>
          </w:p>
          <w:p w14:paraId="240A8DA5" w14:textId="777E8F5F" w:rsidR="00915E02" w:rsidRPr="00E34455" w:rsidRDefault="00915E02" w:rsidP="00161709">
            <w:pPr>
              <w:widowControl w:val="0"/>
              <w:autoSpaceDE w:val="0"/>
              <w:autoSpaceDN w:val="0"/>
              <w:spacing w:before="83"/>
              <w:rPr>
                <w:rFonts w:ascii="Cambria" w:eastAsia="Cambria" w:hAnsi="Cambria" w:cs="Cambria"/>
              </w:rPr>
            </w:pPr>
            <w:r>
              <w:rPr>
                <w:rFonts w:ascii="Cambria" w:eastAsia="Cambria" w:hAnsi="Cambria" w:cs="Cambria"/>
              </w:rPr>
              <w:t xml:space="preserve">    None</w:t>
            </w:r>
          </w:p>
        </w:tc>
        <w:tc>
          <w:tcPr>
            <w:tcW w:w="827" w:type="pct"/>
            <w:tcBorders>
              <w:top w:val="single" w:sz="4" w:space="0" w:color="auto"/>
              <w:bottom w:val="single" w:sz="4" w:space="0" w:color="auto"/>
            </w:tcBorders>
          </w:tcPr>
          <w:p w14:paraId="07B74736" w14:textId="77777777" w:rsidR="00CA6C96" w:rsidRDefault="00CA6C96" w:rsidP="00915E02">
            <w:pPr>
              <w:widowControl w:val="0"/>
              <w:autoSpaceDE w:val="0"/>
              <w:autoSpaceDN w:val="0"/>
              <w:spacing w:before="83"/>
              <w:jc w:val="center"/>
              <w:rPr>
                <w:rFonts w:ascii="Cambria" w:eastAsia="Cambria" w:hAnsi="Cambria" w:cs="Cambria"/>
                <w:sz w:val="20"/>
                <w:szCs w:val="20"/>
              </w:rPr>
            </w:pPr>
          </w:p>
          <w:p w14:paraId="43E8B999" w14:textId="37B0764D" w:rsidR="00915E02" w:rsidRPr="00915E02" w:rsidRDefault="00915E02" w:rsidP="00915E02">
            <w:pPr>
              <w:widowControl w:val="0"/>
              <w:autoSpaceDE w:val="0"/>
              <w:autoSpaceDN w:val="0"/>
              <w:spacing w:before="83"/>
              <w:jc w:val="center"/>
              <w:rPr>
                <w:rFonts w:ascii="Cambria" w:eastAsia="Cambria" w:hAnsi="Cambria" w:cs="Cambria"/>
                <w:sz w:val="20"/>
                <w:szCs w:val="20"/>
              </w:rPr>
            </w:pPr>
            <w:r w:rsidRPr="00915E02">
              <w:rPr>
                <w:rFonts w:ascii="Cambria" w:eastAsia="Cambria" w:hAnsi="Cambria" w:cs="Cambria"/>
                <w:sz w:val="20"/>
                <w:szCs w:val="20"/>
              </w:rPr>
              <w:t>Diversity index</w:t>
            </w:r>
          </w:p>
        </w:tc>
      </w:tr>
    </w:tbl>
    <w:p w14:paraId="4749AC5B" w14:textId="77777777" w:rsidR="00DD02D3" w:rsidRDefault="00DD02D3" w:rsidP="00DD02D3">
      <w:pPr>
        <w:pStyle w:val="Head1"/>
        <w:spacing w:before="240" w:after="0"/>
        <w:jc w:val="both"/>
        <w:rPr>
          <w:rFonts w:ascii="Arial" w:hAnsi="Arial" w:cs="Arial"/>
        </w:rPr>
      </w:pPr>
      <w:r>
        <w:rPr>
          <w:rFonts w:ascii="Arial" w:hAnsi="Arial" w:cs="Arial"/>
        </w:rPr>
        <w:t>3. results and discussion</w:t>
      </w:r>
    </w:p>
    <w:p w14:paraId="3C999E62" w14:textId="5239E7E6" w:rsidR="00226798" w:rsidRDefault="00B20C0A" w:rsidP="00A15CB1">
      <w:pPr>
        <w:pStyle w:val="Body"/>
        <w:spacing w:before="240"/>
        <w:rPr>
          <w:rFonts w:ascii="Arial" w:hAnsi="Arial" w:cs="Arial"/>
        </w:rPr>
      </w:pPr>
      <w:r>
        <w:rPr>
          <w:rFonts w:ascii="Arial" w:hAnsi="Arial" w:cs="Arial"/>
          <w:b/>
          <w:caps/>
          <w:sz w:val="22"/>
        </w:rPr>
        <w:t>3</w:t>
      </w:r>
      <w:r w:rsidRPr="00C30A0F">
        <w:rPr>
          <w:rFonts w:ascii="Arial" w:hAnsi="Arial" w:cs="Arial"/>
          <w:b/>
          <w:caps/>
          <w:sz w:val="22"/>
        </w:rPr>
        <w:t xml:space="preserve">.1 </w:t>
      </w:r>
      <w:r w:rsidR="00C36202">
        <w:rPr>
          <w:rFonts w:ascii="Arial" w:hAnsi="Arial" w:cs="Arial"/>
          <w:b/>
          <w:caps/>
          <w:sz w:val="22"/>
        </w:rPr>
        <w:t>LULC pattern change (1991-2021)</w:t>
      </w:r>
    </w:p>
    <w:p w14:paraId="5075A07B" w14:textId="735F56BA" w:rsidR="00790ADA" w:rsidRPr="00FB3A86" w:rsidRDefault="00B20C0A" w:rsidP="00441B6F">
      <w:pPr>
        <w:pStyle w:val="Body"/>
        <w:spacing w:after="0"/>
        <w:rPr>
          <w:rFonts w:ascii="Arial" w:hAnsi="Arial" w:cs="Arial"/>
        </w:rPr>
      </w:pPr>
      <w:r>
        <w:rPr>
          <w:rFonts w:ascii="Arial" w:hAnsi="Arial" w:cs="Arial"/>
          <w:b/>
          <w:u w:val="single"/>
        </w:rPr>
        <w:t>3</w:t>
      </w:r>
      <w:r w:rsidRPr="00902823">
        <w:rPr>
          <w:rFonts w:ascii="Arial" w:hAnsi="Arial" w:cs="Arial"/>
          <w:b/>
          <w:u w:val="single"/>
        </w:rPr>
        <w:t xml:space="preserve">.1.1 </w:t>
      </w:r>
      <w:r w:rsidRPr="00B20C0A">
        <w:rPr>
          <w:rFonts w:ascii="Arial" w:hAnsi="Arial" w:cs="Arial"/>
          <w:b/>
          <w:u w:val="single"/>
        </w:rPr>
        <w:t>LULC pattern of NCT Delhi in 1991</w:t>
      </w:r>
    </w:p>
    <w:p w14:paraId="4D6A8AA4" w14:textId="3F48B26F" w:rsidR="00042632" w:rsidRPr="00042632" w:rsidRDefault="00042632" w:rsidP="00042632">
      <w:pPr>
        <w:pStyle w:val="Body"/>
        <w:spacing w:before="240"/>
        <w:rPr>
          <w:rFonts w:ascii="Arial" w:hAnsi="Arial" w:cs="Arial"/>
        </w:rPr>
      </w:pPr>
      <w:r w:rsidRPr="00042632">
        <w:rPr>
          <w:rFonts w:ascii="Arial" w:hAnsi="Arial" w:cs="Arial"/>
        </w:rPr>
        <w:t xml:space="preserve">In 1991, </w:t>
      </w:r>
      <w:r w:rsidR="00E74DD6">
        <w:rPr>
          <w:rFonts w:ascii="Arial" w:hAnsi="Arial" w:cs="Arial"/>
        </w:rPr>
        <w:t xml:space="preserve">as shown in </w:t>
      </w:r>
      <w:r w:rsidR="00E74DD6" w:rsidRPr="00E74DD6">
        <w:rPr>
          <w:rFonts w:ascii="Arial" w:hAnsi="Arial" w:cs="Arial"/>
          <w:b/>
          <w:bCs/>
        </w:rPr>
        <w:t>table 4</w:t>
      </w:r>
      <w:r w:rsidR="00E74DD6">
        <w:rPr>
          <w:rFonts w:ascii="Arial" w:hAnsi="Arial" w:cs="Arial"/>
        </w:rPr>
        <w:t xml:space="preserve"> </w:t>
      </w:r>
      <w:r w:rsidRPr="00042632">
        <w:rPr>
          <w:rFonts w:ascii="Arial" w:hAnsi="Arial" w:cs="Arial"/>
        </w:rPr>
        <w:t>the land use and land cover of NCT Delhi was predominantly agricultural, with agriculture accounting for 35.18% (528.7 sq. km) of the total area. Barren land was also significant, occupying 23.37% (351.23 sq. km), while vegetation and forest areas comprised 12.55% (188.55 sq. km) and 10.19% (153.17 sq. km), respectively. The built-up area covered 17.51% (263.18 sq. km), reflecting the early stages of urban expansion. Water bodies constituted only 1.20% (17.96 sq. km) of the landscape.</w:t>
      </w:r>
      <w:r>
        <w:rPr>
          <w:rFonts w:ascii="Arial" w:hAnsi="Arial" w:cs="Arial"/>
        </w:rPr>
        <w:t xml:space="preserve"> </w:t>
      </w:r>
      <w:r w:rsidRPr="00042632">
        <w:rPr>
          <w:rFonts w:ascii="Arial" w:hAnsi="Arial" w:cs="Arial"/>
        </w:rPr>
        <w:t xml:space="preserve">The LULC map of 1991 </w:t>
      </w:r>
      <w:r w:rsidR="00E74DD6">
        <w:rPr>
          <w:rFonts w:ascii="Arial" w:hAnsi="Arial" w:cs="Arial"/>
        </w:rPr>
        <w:t xml:space="preserve">as shown in </w:t>
      </w:r>
      <w:r w:rsidR="00E74DD6" w:rsidRPr="00E74DD6">
        <w:rPr>
          <w:rFonts w:ascii="Arial" w:hAnsi="Arial" w:cs="Arial"/>
          <w:b/>
          <w:bCs/>
        </w:rPr>
        <w:t>figure 2</w:t>
      </w:r>
      <w:r w:rsidR="00E74DD6">
        <w:rPr>
          <w:rFonts w:ascii="Arial" w:hAnsi="Arial" w:cs="Arial"/>
        </w:rPr>
        <w:t xml:space="preserve"> </w:t>
      </w:r>
      <w:r w:rsidRPr="00042632">
        <w:rPr>
          <w:rFonts w:ascii="Arial" w:hAnsi="Arial" w:cs="Arial"/>
        </w:rPr>
        <w:t>depicts a semi-rural landscape dominated by agriculture and natural cover, with urbanization mostly confined to central regions. The limited built-up area suggests that urban sprawl was still in its nascent stage, aligning with the population trends and infrastructural development of the time.</w:t>
      </w:r>
    </w:p>
    <w:p w14:paraId="55B54163" w14:textId="58682533" w:rsidR="00042632" w:rsidRPr="00FB3A86" w:rsidRDefault="00042632" w:rsidP="00042632">
      <w:pPr>
        <w:pStyle w:val="Body"/>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2</w:t>
      </w:r>
      <w:r w:rsidRPr="00902823">
        <w:rPr>
          <w:rFonts w:ascii="Arial" w:hAnsi="Arial" w:cs="Arial"/>
          <w:b/>
          <w:u w:val="single"/>
        </w:rPr>
        <w:t xml:space="preserve"> </w:t>
      </w:r>
      <w:r w:rsidRPr="00B20C0A">
        <w:rPr>
          <w:rFonts w:ascii="Arial" w:hAnsi="Arial" w:cs="Arial"/>
          <w:b/>
          <w:u w:val="single"/>
        </w:rPr>
        <w:t xml:space="preserve">LULC pattern of NCT Delhi in </w:t>
      </w:r>
      <w:r>
        <w:rPr>
          <w:rFonts w:ascii="Arial" w:hAnsi="Arial" w:cs="Arial"/>
          <w:b/>
          <w:u w:val="single"/>
        </w:rPr>
        <w:t>2001</w:t>
      </w:r>
    </w:p>
    <w:p w14:paraId="2B6F3282" w14:textId="528C7770" w:rsidR="00042632" w:rsidRPr="00042632" w:rsidRDefault="00E74DD6" w:rsidP="00BD4E86">
      <w:pPr>
        <w:pStyle w:val="Body"/>
        <w:spacing w:before="240"/>
        <w:rPr>
          <w:rFonts w:ascii="Arial" w:hAnsi="Arial" w:cs="Arial"/>
        </w:rPr>
      </w:pPr>
      <w:r>
        <w:rPr>
          <w:rFonts w:ascii="Arial" w:hAnsi="Arial" w:cs="Arial"/>
        </w:rPr>
        <w:lastRenderedPageBreak/>
        <w:t xml:space="preserve">As shown </w:t>
      </w:r>
      <w:r w:rsidR="00B74AE6">
        <w:rPr>
          <w:rFonts w:ascii="Arial" w:hAnsi="Arial" w:cs="Arial"/>
        </w:rPr>
        <w:t>i</w:t>
      </w:r>
      <w:r>
        <w:rPr>
          <w:rFonts w:ascii="Arial" w:hAnsi="Arial" w:cs="Arial"/>
        </w:rPr>
        <w:t xml:space="preserve">n </w:t>
      </w:r>
      <w:r w:rsidRPr="00E74DD6">
        <w:rPr>
          <w:rFonts w:ascii="Arial" w:hAnsi="Arial" w:cs="Arial"/>
          <w:b/>
          <w:bCs/>
        </w:rPr>
        <w:t>table 4</w:t>
      </w:r>
      <w:r>
        <w:rPr>
          <w:rFonts w:ascii="Arial" w:hAnsi="Arial" w:cs="Arial"/>
        </w:rPr>
        <w:t xml:space="preserve"> b</w:t>
      </w:r>
      <w:r w:rsidR="00042632" w:rsidRPr="00042632">
        <w:rPr>
          <w:rFonts w:ascii="Arial" w:hAnsi="Arial" w:cs="Arial"/>
        </w:rPr>
        <w:t>y 2001, significant changes had taken place. Built-up areas increased drastically to 28.07% (421.84 sq. km), reflecting rapid urban growth. The share of agriculture dropped slightly to 33.45%, while vegetation and forest cover declined to 10.38% and</w:t>
      </w:r>
      <w:r>
        <w:rPr>
          <w:rFonts w:ascii="Arial" w:hAnsi="Arial" w:cs="Arial"/>
        </w:rPr>
        <w:t xml:space="preserve"> </w:t>
      </w:r>
      <w:r w:rsidR="00042632" w:rsidRPr="00042632">
        <w:rPr>
          <w:rFonts w:ascii="Arial" w:hAnsi="Arial" w:cs="Arial"/>
        </w:rPr>
        <w:t>7.45%, respectively. Barren land also reduced to 19.55%, possibly due to conversion into construction zones. The extent of water bodies remained low at 1.10%.</w:t>
      </w:r>
      <w:r w:rsidR="00042632">
        <w:rPr>
          <w:rFonts w:ascii="Arial" w:hAnsi="Arial" w:cs="Arial"/>
        </w:rPr>
        <w:t xml:space="preserve"> </w:t>
      </w:r>
      <w:r w:rsidR="00042632" w:rsidRPr="00042632">
        <w:rPr>
          <w:rFonts w:ascii="Arial" w:hAnsi="Arial" w:cs="Arial"/>
        </w:rPr>
        <w:t>The expansion of built-up areas suggests accelerated urbanization due to population pressure and infrastructure development</w:t>
      </w:r>
      <w:r w:rsidR="00807F47">
        <w:rPr>
          <w:rFonts w:ascii="Arial" w:hAnsi="Arial" w:cs="Arial"/>
        </w:rPr>
        <w:t xml:space="preserve"> </w:t>
      </w:r>
      <w:r w:rsidR="00807F47" w:rsidRPr="00807F47">
        <w:rPr>
          <w:rFonts w:ascii="Arial" w:hAnsi="Arial" w:cs="Arial"/>
          <w:b/>
          <w:bCs/>
        </w:rPr>
        <w:fldChar w:fldCharType="begin"/>
      </w:r>
      <w:r w:rsidR="00520F4A">
        <w:rPr>
          <w:rFonts w:ascii="Arial" w:hAnsi="Arial" w:cs="Arial"/>
          <w:b/>
          <w:bCs/>
        </w:rPr>
        <w:instrText xml:space="preserve"> ADDIN ZOTERO_ITEM CSL_CITATION {"citationID":"L0W62qQV","properties":{"formattedCitation":"(L. Wang et al., 2020)","plainCitation":"(L. Wang et al., 2020)","noteIndex":0},"citationItems":[{"id":1392,"uris":["http://zotero.org/users/local/l98j9GEk/items/Z4HLAIFC"],"itemData":{"id":1392,"type":"article-journal","abstract":"Abundant data sets produced from long-term series of high-resolution remote sensing data have made it possible to explore urban issues across different spatiotemporal scales. Based on a 40-year impervious area data set released by Tsinghua University, a method was developed to map the speed and acceleration of urban built-up areas. With the mapping results of the two indices, we characterised the spatiotemporal dynamics of built-up area expansion and captured different types of expansion. Combined with socioeconomic data, we examined the temporal changes and spatial heterogeneity of driving forces with an ordinary least square (OLS) model and a panel data model, as well as exploring the environmental effects of the expansion. Our results reveal that China has experienced drastic urban expansion over the last four decades. Among all cities, megacities and large cities in eastern China, as well as megacities in central and northeast China have experienced the most dramatic urban expansion. A growing number of cities are categorised as thriving, which means that they have both high expansion speed and acceleration. The overall driving force of urban expansion has significantly increased. More specifically, it was associated with population increase in the early stages; however, since 2000, it has been substantially associated with increases in GDP and fixed asset investments. The major driving factors also differ between regions and urban sizes. Urban expansion is identified as being closely associated with environmental deterioration; thus, speed and acceleration should be included as key indicators in exploring the environmental effects of urban expansion. In summary, the results of the presented case study, based on a data set of China, indicate that speed and acceleration are useful in analysing the driving forces of urban expansion and its environmental effects, and may generate more interest in related research.","container-title":"Remote Sensing","DOI":"10.3390/rs12233929","ISSN":"2072-4292","issue":"23","language":"en","license":"http://creativecommons.org/licenses/by/3.0/","note":"number: 23\npublisher: Multidisciplinary Digital Publishing Institute","page":"3929","source":"www.mdpi.com","title":"Analysing the Driving Forces and Environmental Effects of Urban Expansion by Mapping the Speed and Acceleration of Built-Up Areas in China between 1978 and 2017","volume":"12","author":[{"family":"Wang","given":"Lan"},{"family":"Jia","given":"Yinghui"},{"family":"Li","given":"Xinhu"},{"family":"Gong","given":"Peng"}],"issued":{"date-parts":[["2020",1]]}}}],"schema":"https://github.com/citation-style-language/schema/raw/master/csl-citation.json"} </w:instrText>
      </w:r>
      <w:r w:rsidR="00807F47" w:rsidRPr="00807F47">
        <w:rPr>
          <w:rFonts w:ascii="Arial" w:hAnsi="Arial" w:cs="Arial"/>
          <w:b/>
          <w:bCs/>
        </w:rPr>
        <w:fldChar w:fldCharType="separate"/>
      </w:r>
      <w:r w:rsidR="00520F4A" w:rsidRPr="00520F4A">
        <w:rPr>
          <w:rFonts w:ascii="Arial" w:hAnsi="Arial" w:cs="Arial"/>
        </w:rPr>
        <w:t>(L. Wang et al., 2020)</w:t>
      </w:r>
      <w:r w:rsidR="00807F47" w:rsidRPr="00807F47">
        <w:rPr>
          <w:rFonts w:ascii="Arial" w:hAnsi="Arial" w:cs="Arial"/>
          <w:b/>
          <w:bCs/>
        </w:rPr>
        <w:fldChar w:fldCharType="end"/>
      </w:r>
      <w:r w:rsidR="00042632" w:rsidRPr="00042632">
        <w:rPr>
          <w:rFonts w:ascii="Arial" w:hAnsi="Arial" w:cs="Arial"/>
        </w:rPr>
        <w:t xml:space="preserve">, particularly following Delhi's designation as the National Capital </w:t>
      </w:r>
      <w:r w:rsidR="00042632" w:rsidRPr="00042632">
        <w:rPr>
          <w:rFonts w:ascii="Arial" w:hAnsi="Arial" w:cs="Arial"/>
        </w:rPr>
        <w:lastRenderedPageBreak/>
        <w:t xml:space="preserve">Territory and associated economic growth. The decline in vegetation and forest highlights the </w:t>
      </w:r>
      <w:r w:rsidR="003F7A2F">
        <w:rPr>
          <w:rFonts w:ascii="Arial" w:hAnsi="Arial" w:cs="Arial"/>
          <w:noProof/>
        </w:rPr>
        <w:drawing>
          <wp:anchor distT="0" distB="0" distL="114300" distR="114300" simplePos="0" relativeHeight="251668480" behindDoc="0" locked="0" layoutInCell="1" allowOverlap="1" wp14:anchorId="61A61BFD" wp14:editId="03647931">
            <wp:simplePos x="0" y="0"/>
            <wp:positionH relativeFrom="column">
              <wp:posOffset>-28484</wp:posOffset>
            </wp:positionH>
            <wp:positionV relativeFrom="paragraph">
              <wp:posOffset>467995</wp:posOffset>
            </wp:positionV>
            <wp:extent cx="5212080" cy="6744970"/>
            <wp:effectExtent l="0" t="0" r="7620" b="0"/>
            <wp:wrapThrough wrapText="bothSides">
              <wp:wrapPolygon edited="0">
                <wp:start x="0" y="0"/>
                <wp:lineTo x="0" y="21535"/>
                <wp:lineTo x="21553" y="21535"/>
                <wp:lineTo x="2155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6744970"/>
                    </a:xfrm>
                    <a:prstGeom prst="rect">
                      <a:avLst/>
                    </a:prstGeom>
                    <a:ln>
                      <a:noFill/>
                    </a:ln>
                  </pic:spPr>
                </pic:pic>
              </a:graphicData>
            </a:graphic>
            <wp14:sizeRelH relativeFrom="page">
              <wp14:pctWidth>0</wp14:pctWidth>
            </wp14:sizeRelH>
            <wp14:sizeRelV relativeFrom="page">
              <wp14:pctHeight>0</wp14:pctHeight>
            </wp14:sizeRelV>
          </wp:anchor>
        </w:drawing>
      </w:r>
      <w:r w:rsidR="00042632" w:rsidRPr="00042632">
        <w:rPr>
          <w:rFonts w:ascii="Arial" w:hAnsi="Arial" w:cs="Arial"/>
        </w:rPr>
        <w:t>cost of urban expansion on ecological assets.</w:t>
      </w:r>
    </w:p>
    <w:p w14:paraId="4E20561C" w14:textId="7B88006C" w:rsidR="009622F3" w:rsidRPr="00C36202" w:rsidRDefault="009622F3" w:rsidP="009622F3">
      <w:pPr>
        <w:pStyle w:val="AbstHead"/>
        <w:spacing w:before="240" w:after="0"/>
        <w:jc w:val="both"/>
        <w:rPr>
          <w:rFonts w:ascii="Arial" w:hAnsi="Arial" w:cs="Arial"/>
          <w:bCs/>
          <w:caps w:val="0"/>
          <w:sz w:val="20"/>
          <w:szCs w:val="22"/>
        </w:rPr>
      </w:pPr>
      <w:r w:rsidRPr="00390352">
        <w:rPr>
          <w:rFonts w:ascii="Arial" w:hAnsi="Arial" w:cs="Arial"/>
          <w:bCs/>
          <w:caps w:val="0"/>
          <w:sz w:val="20"/>
          <w:szCs w:val="22"/>
        </w:rPr>
        <w:t xml:space="preserve">Fig. </w:t>
      </w:r>
      <w:r>
        <w:rPr>
          <w:rFonts w:ascii="Arial" w:hAnsi="Arial" w:cs="Arial"/>
          <w:bCs/>
          <w:caps w:val="0"/>
          <w:sz w:val="20"/>
          <w:szCs w:val="22"/>
        </w:rPr>
        <w:t>2</w:t>
      </w:r>
      <w:r w:rsidRPr="00390352">
        <w:rPr>
          <w:rFonts w:ascii="Arial" w:hAnsi="Arial" w:cs="Arial"/>
          <w:bCs/>
          <w:caps w:val="0"/>
          <w:sz w:val="20"/>
          <w:szCs w:val="22"/>
        </w:rPr>
        <w:t xml:space="preserve">. </w:t>
      </w:r>
      <w:r w:rsidRPr="00AA1D77">
        <w:rPr>
          <w:rFonts w:ascii="Arial" w:hAnsi="Arial" w:cs="Arial"/>
          <w:bCs/>
          <w:caps w:val="0"/>
          <w:sz w:val="20"/>
          <w:szCs w:val="22"/>
        </w:rPr>
        <w:t>Spatial distribution of Land Use/Land Cover (1991, 2001, 2011 &amp; 2021)</w:t>
      </w:r>
      <w:r>
        <w:rPr>
          <w:rFonts w:ascii="Arial" w:hAnsi="Arial" w:cs="Arial"/>
          <w:bCs/>
          <w:caps w:val="0"/>
          <w:sz w:val="20"/>
          <w:szCs w:val="22"/>
        </w:rPr>
        <w:t>.</w:t>
      </w:r>
      <w:r w:rsidRPr="00390352">
        <w:rPr>
          <w:rFonts w:ascii="Arial" w:hAnsi="Arial" w:cs="Arial"/>
          <w:bCs/>
          <w:caps w:val="0"/>
          <w:sz w:val="20"/>
          <w:szCs w:val="22"/>
        </w:rPr>
        <w:t xml:space="preserve"> </w:t>
      </w:r>
    </w:p>
    <w:p w14:paraId="347DB377" w14:textId="2A1D424C" w:rsidR="00BD4E86" w:rsidRDefault="00BD4E86" w:rsidP="00BD4E86">
      <w:pPr>
        <w:pStyle w:val="Body"/>
        <w:spacing w:after="0"/>
        <w:rPr>
          <w:rFonts w:ascii="Arial" w:hAnsi="Arial" w:cs="Arial"/>
          <w:b/>
          <w:u w:val="single"/>
        </w:rPr>
      </w:pPr>
    </w:p>
    <w:p w14:paraId="38D0BD21" w14:textId="7EC05B5B" w:rsidR="00042632" w:rsidRDefault="00042632" w:rsidP="00BD4E86">
      <w:pPr>
        <w:pStyle w:val="Body"/>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3</w:t>
      </w:r>
      <w:r w:rsidRPr="00902823">
        <w:rPr>
          <w:rFonts w:ascii="Arial" w:hAnsi="Arial" w:cs="Arial"/>
          <w:b/>
          <w:u w:val="single"/>
        </w:rPr>
        <w:t xml:space="preserve"> </w:t>
      </w:r>
      <w:r w:rsidRPr="00B20C0A">
        <w:rPr>
          <w:rFonts w:ascii="Arial" w:hAnsi="Arial" w:cs="Arial"/>
          <w:b/>
          <w:u w:val="single"/>
        </w:rPr>
        <w:t xml:space="preserve">LULC pattern of NCT Delhi in </w:t>
      </w:r>
      <w:r>
        <w:rPr>
          <w:rFonts w:ascii="Arial" w:hAnsi="Arial" w:cs="Arial"/>
          <w:b/>
          <w:u w:val="single"/>
        </w:rPr>
        <w:t>2011</w:t>
      </w:r>
    </w:p>
    <w:p w14:paraId="7CAAB03D" w14:textId="6001AC12" w:rsidR="00042632" w:rsidRPr="00042632" w:rsidRDefault="00042632" w:rsidP="00042632">
      <w:pPr>
        <w:pStyle w:val="Body"/>
        <w:rPr>
          <w:rFonts w:ascii="Arial" w:hAnsi="Arial" w:cs="Arial"/>
        </w:rPr>
      </w:pPr>
      <w:r w:rsidRPr="00042632">
        <w:rPr>
          <w:rFonts w:ascii="Arial" w:hAnsi="Arial" w:cs="Arial"/>
        </w:rPr>
        <w:lastRenderedPageBreak/>
        <w:t xml:space="preserve">In 2011, </w:t>
      </w:r>
      <w:r w:rsidR="001F2B2C">
        <w:rPr>
          <w:rFonts w:ascii="Arial" w:hAnsi="Arial" w:cs="Arial"/>
        </w:rPr>
        <w:t xml:space="preserve">as </w:t>
      </w:r>
      <w:r w:rsidR="001F2B2C" w:rsidRPr="001F2B2C">
        <w:rPr>
          <w:rFonts w:ascii="Arial" w:hAnsi="Arial" w:cs="Arial"/>
          <w:b/>
          <w:bCs/>
        </w:rPr>
        <w:t>table 4</w:t>
      </w:r>
      <w:r w:rsidR="001F2B2C">
        <w:rPr>
          <w:rFonts w:ascii="Arial" w:hAnsi="Arial" w:cs="Arial"/>
        </w:rPr>
        <w:t xml:space="preserve"> shows that </w:t>
      </w:r>
      <w:r w:rsidRPr="00042632">
        <w:rPr>
          <w:rFonts w:ascii="Arial" w:hAnsi="Arial" w:cs="Arial"/>
        </w:rPr>
        <w:t>the trend of increasing urbanization continued with built-up land covering 31.73% (476.85 sq. km). The agricultural area shrank further to 29.53%, while veget</w:t>
      </w:r>
      <w:r w:rsidRPr="00EC7DDC">
        <w:rPr>
          <w:rFonts w:ascii="Arial" w:hAnsi="Arial" w:cs="Arial"/>
        </w:rPr>
        <w:t xml:space="preserve">ation showed a marginal improvement (11.06%), possibly due to urban greening </w:t>
      </w:r>
      <w:r w:rsidRPr="00042632">
        <w:rPr>
          <w:rFonts w:ascii="Arial" w:hAnsi="Arial" w:cs="Arial"/>
        </w:rPr>
        <w:t>projects. Interestingly, forest cover slightly recovered to 8.86%. Barren land continued to decrease, reaching 17.21%, and water bodies slightly increased to 1.61% (24.26 sq. km).</w:t>
      </w:r>
      <w:r>
        <w:rPr>
          <w:rFonts w:ascii="Arial" w:hAnsi="Arial" w:cs="Arial"/>
        </w:rPr>
        <w:t xml:space="preserve"> </w:t>
      </w:r>
      <w:r w:rsidRPr="00042632">
        <w:rPr>
          <w:rFonts w:ascii="Arial" w:hAnsi="Arial" w:cs="Arial"/>
        </w:rPr>
        <w:t>The increase in built-up areas correlates with Delhi’s growing housing and commercial demands. Initiatives like the Master Plan for Delhi (MPD-2021) may have contributed to forest and vegetation recovery through afforestation and park development. However, the continuing reduction in agricultural land remains a concern for peri-urban sustainability.</w:t>
      </w:r>
    </w:p>
    <w:p w14:paraId="0F135FDB" w14:textId="5FF924A9" w:rsidR="00042632" w:rsidRDefault="00042632" w:rsidP="00042632">
      <w:pPr>
        <w:pStyle w:val="Body"/>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4</w:t>
      </w:r>
      <w:r w:rsidRPr="00902823">
        <w:rPr>
          <w:rFonts w:ascii="Arial" w:hAnsi="Arial" w:cs="Arial"/>
          <w:b/>
          <w:u w:val="single"/>
        </w:rPr>
        <w:t xml:space="preserve"> </w:t>
      </w:r>
      <w:r w:rsidRPr="00B20C0A">
        <w:rPr>
          <w:rFonts w:ascii="Arial" w:hAnsi="Arial" w:cs="Arial"/>
          <w:b/>
          <w:u w:val="single"/>
        </w:rPr>
        <w:t xml:space="preserve">LULC pattern of NCT Delhi in </w:t>
      </w:r>
      <w:r>
        <w:rPr>
          <w:rFonts w:ascii="Arial" w:hAnsi="Arial" w:cs="Arial"/>
          <w:b/>
          <w:u w:val="single"/>
        </w:rPr>
        <w:t>2021</w:t>
      </w:r>
    </w:p>
    <w:p w14:paraId="1AD520AE" w14:textId="40725FEB" w:rsidR="00042632" w:rsidRPr="00042632" w:rsidRDefault="00042632" w:rsidP="00042632">
      <w:pPr>
        <w:pStyle w:val="Body"/>
        <w:rPr>
          <w:rFonts w:ascii="Arial" w:hAnsi="Arial" w:cs="Arial"/>
        </w:rPr>
      </w:pPr>
      <w:r w:rsidRPr="00042632">
        <w:rPr>
          <w:rFonts w:ascii="Arial" w:hAnsi="Arial" w:cs="Arial"/>
        </w:rPr>
        <w:t>By 2021, the dominance of built-up land became even more pronounced, expanding to 38.01% (570.56 sq. km). Agriculture dropped to 26.31%, and vegetation declined sharply to 7.35%, the lowest in three decades. Conversely, forest cover experienced a significant rise to 17.73% (266.23 sq. km)</w:t>
      </w:r>
      <w:r w:rsidR="00534285">
        <w:rPr>
          <w:rFonts w:ascii="Arial" w:hAnsi="Arial" w:cs="Arial"/>
        </w:rPr>
        <w:t xml:space="preserve"> </w:t>
      </w:r>
      <w:r w:rsidRPr="00042632">
        <w:rPr>
          <w:rFonts w:ascii="Arial" w:hAnsi="Arial" w:cs="Arial"/>
        </w:rPr>
        <w:t>a surprising reversal, potentially linked to both improved satellite classification techniques and forest area restoration projects. Barren land reduced to 9.24%, while water bodies decreased slightly to 1.36%.</w:t>
      </w:r>
      <w:r>
        <w:rPr>
          <w:rFonts w:ascii="Arial" w:hAnsi="Arial" w:cs="Arial"/>
        </w:rPr>
        <w:t xml:space="preserve"> </w:t>
      </w:r>
      <w:r w:rsidRPr="00042632">
        <w:rPr>
          <w:rFonts w:ascii="Arial" w:hAnsi="Arial" w:cs="Arial"/>
        </w:rPr>
        <w:t>The sharp rise in forest cover may be attributed to large-scale afforestation efforts under schemes like the Delhi Green Action Plan and plantation drives, along with reclassification of some former vegetated or open spaces as forested under new definitions</w:t>
      </w:r>
      <w:r w:rsidR="00B9711C">
        <w:rPr>
          <w:rFonts w:ascii="Arial" w:hAnsi="Arial" w:cs="Arial"/>
        </w:rPr>
        <w:t xml:space="preserve"> </w:t>
      </w:r>
      <w:r w:rsidR="00B9711C" w:rsidRPr="00B9711C">
        <w:rPr>
          <w:rFonts w:ascii="Arial" w:hAnsi="Arial" w:cs="Arial"/>
          <w:b/>
          <w:bCs/>
        </w:rPr>
        <w:fldChar w:fldCharType="begin"/>
      </w:r>
      <w:r w:rsidR="00B9711C" w:rsidRPr="00B9711C">
        <w:rPr>
          <w:rFonts w:ascii="Arial" w:hAnsi="Arial" w:cs="Arial"/>
          <w:b/>
          <w:bCs/>
        </w:rPr>
        <w:instrText xml:space="preserve"> ADDIN ZOTERO_ITEM CSL_CITATION {"citationID":"00i7XIi0","properties":{"formattedCitation":"(Randhawa et al., 2024)","plainCitation":"(Randhawa et al., 2024)","noteIndex":0},"citationItems":[{"id":1395,"uris":["http://zotero.org/users/local/l98j9GEk/items/YD9AY4CI"],"itemData":{"id":1395,"type":"article-journal","abstract":"Remote sensing (RS) has been widely used to assess the forest health status. Forest fragmentation has been recognized as a threat to the forest as it causes loss of biodiversity. The study of forest fragmentation is important for the conservative approach to forest area. In recent years, the urban forest has witnessed forest fragmentation. The present study focused on the assessment of vegetation cover and forest fragmentation using multi-temporal satellite data (1991, 2001, 2011, and 2021). Landscape Fragmentation Tool v2.0 (LFT v2.0) was used to analyze forest fragmentation in the urban forest of Delhi: Sanjay Van and Southern Ridge by assigning an edge width of 100 m. LFT v2.0 categorizes forest fragmentation into four class categories: patch, perforated, edge, and core classes. It was found that vegetation cover in Sanjay Van has decreased by 1.96%, whereas the area under vegetation covered in the Southern Ridge increased by 4.62% in the last decade. The assessment of forest fragmentation found that patch forests have increased and declined in core forest areas. These changes suggested a high disturbance due to anthropogenic activities leading to the degradation of the forest’s health. The finding of the study helps in the identification of sensitive areas which require immediate conservation measures for the reclamation and restoration of degraded forest areas. With proper management, plans, and policies, continuous, intact, and healthy forests can be restored to maintain ecosystem integrity and thereby regulate all ecosystem services efficiently.","container-title":"Environmental Monitoring and Assessment","DOI":"10.1007/s10661-024-13386-4","ISSN":"1573-2959","issue":"12","journalAbbreviation":"Environ Monit Assess","language":"en","page":"1273","source":"Springer Link","title":"Spatio-temporal analysis of urban forest fragmentation in Delhi, India, using Landscape Fragmentation Tool v2.0","volume":"196","author":[{"family":"Randhawa","given":"Khushboo"},{"family":"Bhattacharya","given":"Prodyut"},{"family":"Shimrah","given":"Tuisem"}],"issued":{"date-parts":[["2024",11,29]]}}}],"schema":"https://github.com/citation-style-language/schema/raw/master/csl-citation.json"} </w:instrText>
      </w:r>
      <w:r w:rsidR="00B9711C" w:rsidRPr="00B9711C">
        <w:rPr>
          <w:rFonts w:ascii="Arial" w:hAnsi="Arial" w:cs="Arial"/>
          <w:b/>
          <w:bCs/>
        </w:rPr>
        <w:fldChar w:fldCharType="separate"/>
      </w:r>
      <w:r w:rsidR="00B9711C" w:rsidRPr="00B9711C">
        <w:rPr>
          <w:rFonts w:ascii="Arial" w:hAnsi="Arial" w:cs="Arial"/>
          <w:b/>
          <w:bCs/>
        </w:rPr>
        <w:t>(Randhawa et al., 2024)</w:t>
      </w:r>
      <w:r w:rsidR="00B9711C" w:rsidRPr="00B9711C">
        <w:rPr>
          <w:rFonts w:ascii="Arial" w:hAnsi="Arial" w:cs="Arial"/>
          <w:b/>
          <w:bCs/>
        </w:rPr>
        <w:fldChar w:fldCharType="end"/>
      </w:r>
      <w:r w:rsidRPr="00042632">
        <w:rPr>
          <w:rFonts w:ascii="Arial" w:hAnsi="Arial" w:cs="Arial"/>
        </w:rPr>
        <w:t>. The alarming drop in vegetation, however, suggests that while forest zones were protected, general urban green spaces</w:t>
      </w:r>
      <w:r>
        <w:rPr>
          <w:rFonts w:ascii="Arial" w:hAnsi="Arial" w:cs="Arial"/>
        </w:rPr>
        <w:t xml:space="preserve"> </w:t>
      </w:r>
      <w:r w:rsidRPr="00042632">
        <w:rPr>
          <w:rFonts w:ascii="Arial" w:hAnsi="Arial" w:cs="Arial"/>
        </w:rPr>
        <w:t>like parks and tree-lined streets</w:t>
      </w:r>
      <w:r w:rsidR="00534285">
        <w:rPr>
          <w:rFonts w:ascii="Arial" w:hAnsi="Arial" w:cs="Arial"/>
        </w:rPr>
        <w:t xml:space="preserve"> </w:t>
      </w:r>
      <w:r w:rsidRPr="00042632">
        <w:rPr>
          <w:rFonts w:ascii="Arial" w:hAnsi="Arial" w:cs="Arial"/>
        </w:rPr>
        <w:t>have diminished due to infrastructure growth.</w:t>
      </w:r>
    </w:p>
    <w:p w14:paraId="158FBFDB" w14:textId="76253DC2" w:rsidR="00042632" w:rsidRDefault="00042632" w:rsidP="00042632">
      <w:pPr>
        <w:pStyle w:val="Body"/>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5</w:t>
      </w:r>
      <w:r w:rsidRPr="00902823">
        <w:rPr>
          <w:rFonts w:ascii="Arial" w:hAnsi="Arial" w:cs="Arial"/>
          <w:b/>
          <w:u w:val="single"/>
        </w:rPr>
        <w:t xml:space="preserve"> </w:t>
      </w:r>
      <w:r>
        <w:rPr>
          <w:rFonts w:ascii="Arial" w:hAnsi="Arial" w:cs="Arial"/>
          <w:b/>
          <w:u w:val="single"/>
        </w:rPr>
        <w:t>Comparative Discussion (1991-2021)</w:t>
      </w:r>
    </w:p>
    <w:p w14:paraId="3BCFDC63" w14:textId="3D24FD8C" w:rsidR="00B20C0A" w:rsidRDefault="00042632" w:rsidP="00042632">
      <w:pPr>
        <w:pStyle w:val="Body"/>
        <w:rPr>
          <w:rFonts w:ascii="Arial" w:hAnsi="Arial" w:cs="Arial"/>
        </w:rPr>
      </w:pPr>
      <w:r w:rsidRPr="00042632">
        <w:rPr>
          <w:rFonts w:ascii="Arial" w:hAnsi="Arial" w:cs="Arial"/>
        </w:rPr>
        <w:t>Over the</w:t>
      </w:r>
      <w:r w:rsidR="006D54CD" w:rsidRPr="006D54CD">
        <w:rPr>
          <w:rFonts w:ascii="Arial" w:hAnsi="Arial" w:cs="Arial"/>
        </w:rPr>
        <w:t xml:space="preserve"> three decades (1991–2021)</w:t>
      </w:r>
      <w:r w:rsidRPr="00042632">
        <w:rPr>
          <w:rFonts w:ascii="Arial" w:hAnsi="Arial" w:cs="Arial"/>
        </w:rPr>
        <w:t>, NCT Delhi witnessed a clear and consistent trend toward urbanization, with built-up areas increasing by over 117% (from 263.18 to 570.56 sq. km). This expansion occurred at the cost of agriculture (reduced by 133.72 sq. km) and barren land (reduced by 212.5 sq. km). While forest cover grew significantly in 2021, possibly due to policy-level interventions and stricter environmental regulations, the loss of vegetation indicates a decline in urban green infrastructure, which plays a crucial role in air pollution mitigation, microclimatic regulation, and public health</w:t>
      </w:r>
      <w:r w:rsidR="002B0B8E">
        <w:rPr>
          <w:rFonts w:ascii="Arial" w:hAnsi="Arial" w:cs="Arial"/>
        </w:rPr>
        <w:t xml:space="preserve"> </w:t>
      </w:r>
      <w:r w:rsidR="002B0B8E" w:rsidRPr="002B0B8E">
        <w:rPr>
          <w:rFonts w:ascii="Arial" w:hAnsi="Arial" w:cs="Arial"/>
          <w:b/>
          <w:bCs/>
        </w:rPr>
        <w:fldChar w:fldCharType="begin"/>
      </w:r>
      <w:r w:rsidR="002B0B8E" w:rsidRPr="002B0B8E">
        <w:rPr>
          <w:rFonts w:ascii="Arial" w:hAnsi="Arial" w:cs="Arial"/>
          <w:b/>
          <w:bCs/>
        </w:rPr>
        <w:instrText xml:space="preserve"> ADDIN ZOTERO_ITEM CSL_CITATION {"citationID":"NZ0l5gdu","properties":{"formattedCitation":"(Kumar et al., 2019)","plainCitation":"(Kumar et al., 2019)","noteIndex":0},"citationItems":[{"id":1188,"uris":["http://zotero.org/users/local/l98j9GEk/items/8IEPXDG9"],"itemData":{"id":1188,"type":"article-journal","abstract":"Cities are constantly evolving and so are the living conditions within and between them. Rapid urbanization and the ever-growing need for housing have turned large areas of many cities into concrete landscapes that lack greenery. Green infrastructure can support human health, provide socio-economic and environmental benefits, and bring color to an otherwise grey urban landscape. Sometimes, benefits come with downsides in relation to its impact on air quality and human health, requiring suitable data and guidelines to implement effective greening strategies. Air pollution and human health, as well as green infrastructure and human health, are often studied together. Linking green infrastructure with air quality and human health together is a unique aspect of this article. A holistic understanding of these links is key to enabling policymakers and urban planners to make informed decisions. By critically evaluating the link between green infrastructure and human health via air pollution mitigation, we also discuss if our existing understanding of such interventions is sufficient to inform their uptake in practice. Natural science and epidemiology approach the topic of green infrastructure and human health very differently. The pathways linking health benefits to pollution reduction by urban vegetation remain unclear and the mode of green infrastructure deployment is critical to avoid unintended consequences. Strategic deployment of green infrastructure may reduce downwind pollution exposure. However, the development of bespoke design guidelines is vital to promote and optimize greening benefits, and measuring green infrastructure's socio-economic and health benefits are key for their uptake. Greening cities to mitigate pollution effects is on the rise and these need to be matched by scientific evidence and appropriate guidelines. We conclude that urban vegetation can facilitate broad health benefits, but there is little empirical evidence linking these benefits to air pollution reduction by urban vegetation, and appreciable efforts are needed to establish the underlying policies, design and engineering guidelines governing its deployment.","container-title":"Environment International","DOI":"10.1016/j.envint.2019.105181","ISSN":"0160-4120","journalAbbreviation":"Environment International","page":"105181","source":"ScienceDirect","title":"The nexus between air pollution, green infrastructure and human health","volume":"133","author":[{"family":"Kumar","given":"Prashant"},{"family":"Druckman","given":"Angela"},{"family":"Gallagher","given":"John"},{"family":"Gatersleben","given":"Birgitta"},{"family":"Allison","given":"Sarah"},{"family":"Eisenman","given":"Theodore S."},{"family":"Hoang","given":"Uy"},{"family":"Hama","given":"Sarkawt"},{"family":"Tiwari","given":"Arvind"},{"family":"Sharma","given":"Ashish"},{"family":"Abhijith","given":"K. V."},{"family":"Adlakha","given":"Deepti"},{"family":"McNabola","given":"Aonghus"},{"family":"Astell-Burt","given":"Thomas"},{"family":"Feng","given":"Xiaoqi"},{"family":"Skeldon","given":"Anne C."},{"family":"Lusignan","given":"Simon","non-dropping-particle":"de"},{"family":"Morawska","given":"Lidia"}],"issued":{"date-parts":[["2019",12,1]]}}}],"schema":"https://github.com/citation-style-language/schema/raw/master/csl-citation.json"} </w:instrText>
      </w:r>
      <w:r w:rsidR="002B0B8E" w:rsidRPr="002B0B8E">
        <w:rPr>
          <w:rFonts w:ascii="Arial" w:hAnsi="Arial" w:cs="Arial"/>
          <w:b/>
          <w:bCs/>
        </w:rPr>
        <w:fldChar w:fldCharType="separate"/>
      </w:r>
      <w:r w:rsidR="002B0B8E" w:rsidRPr="002B0B8E">
        <w:rPr>
          <w:rFonts w:ascii="Arial" w:hAnsi="Arial" w:cs="Arial"/>
          <w:b/>
          <w:bCs/>
        </w:rPr>
        <w:t>(Kumar et al., 2019)</w:t>
      </w:r>
      <w:r w:rsidR="002B0B8E" w:rsidRPr="002B0B8E">
        <w:rPr>
          <w:rFonts w:ascii="Arial" w:hAnsi="Arial" w:cs="Arial"/>
          <w:b/>
          <w:bCs/>
        </w:rPr>
        <w:fldChar w:fldCharType="end"/>
      </w:r>
      <w:r w:rsidRPr="00042632">
        <w:rPr>
          <w:rFonts w:ascii="Arial" w:hAnsi="Arial" w:cs="Arial"/>
        </w:rPr>
        <w:t>.</w:t>
      </w:r>
      <w:r>
        <w:rPr>
          <w:rFonts w:ascii="Arial" w:hAnsi="Arial" w:cs="Arial"/>
        </w:rPr>
        <w:t xml:space="preserve"> </w:t>
      </w:r>
      <w:r w:rsidRPr="00042632">
        <w:rPr>
          <w:rFonts w:ascii="Arial" w:hAnsi="Arial" w:cs="Arial"/>
        </w:rPr>
        <w:t>The shifting land dynamics reflect Delhi’s rapid urban sprawl driven by population growth, housing demand, infrastructural development, and policy shifts. The continuous reduction in open and vegetated lands may exacerbate urban environmental challenges such as the Urban Heat Island (UHI) effect, reduced biodiversity, and increased air pollution levels.</w:t>
      </w:r>
      <w:r>
        <w:rPr>
          <w:rFonts w:ascii="Arial" w:hAnsi="Arial" w:cs="Arial"/>
        </w:rPr>
        <w:t xml:space="preserve"> </w:t>
      </w:r>
      <w:r w:rsidRPr="00042632">
        <w:rPr>
          <w:rFonts w:ascii="Arial" w:hAnsi="Arial" w:cs="Arial"/>
        </w:rPr>
        <w:t>This analysis underscores the urgent need for integrated urban planning that balances development with ecological preservation. Strategies like green infrastructure integration, sustainable zoning policies, and citizen-participatory greening programs are vital for mitigating the long-term socio-environmental risks posed by such LULC transformations.</w:t>
      </w:r>
    </w:p>
    <w:p w14:paraId="215C7CFB" w14:textId="7648E178" w:rsidR="00F64AA9" w:rsidRPr="00F64AA9" w:rsidRDefault="00F64AA9" w:rsidP="00F64AA9">
      <w:pPr>
        <w:tabs>
          <w:tab w:val="left" w:pos="1080"/>
        </w:tabs>
        <w:jc w:val="both"/>
        <w:rPr>
          <w:rFonts w:ascii="Arial" w:hAnsi="Arial"/>
          <w:b/>
        </w:rPr>
      </w:pPr>
      <w:r>
        <w:rPr>
          <w:rFonts w:ascii="Arial" w:hAnsi="Arial"/>
          <w:b/>
        </w:rPr>
        <w:t xml:space="preserve">Table </w:t>
      </w:r>
      <w:r w:rsidR="007D34CD">
        <w:rPr>
          <w:rFonts w:ascii="Arial" w:hAnsi="Arial"/>
          <w:b/>
        </w:rPr>
        <w:t>4</w:t>
      </w:r>
      <w:r>
        <w:rPr>
          <w:rFonts w:ascii="Arial" w:hAnsi="Arial"/>
          <w:b/>
        </w:rPr>
        <w:t>.</w:t>
      </w:r>
      <w:r w:rsidRPr="00DC3180">
        <w:rPr>
          <w:rFonts w:ascii="Arial" w:hAnsi="Arial"/>
          <w:b/>
        </w:rPr>
        <w:tab/>
      </w:r>
      <w:r w:rsidR="00BF0B09" w:rsidRPr="00BF0B09">
        <w:rPr>
          <w:rFonts w:ascii="Arial" w:hAnsi="Arial"/>
          <w:b/>
        </w:rPr>
        <w:t>LULCC pattern and change in NCT Delhi (1991 - 2021)</w:t>
      </w:r>
    </w:p>
    <w:tbl>
      <w:tblPr>
        <w:tblpPr w:leftFromText="180" w:rightFromText="180" w:vertAnchor="text" w:horzAnchor="margin" w:tblpXSpec="center" w:tblpY="86"/>
        <w:tblW w:w="5000" w:type="pct"/>
        <w:tblLook w:val="04A0" w:firstRow="1" w:lastRow="0" w:firstColumn="1" w:lastColumn="0" w:noHBand="0" w:noVBand="1"/>
      </w:tblPr>
      <w:tblGrid>
        <w:gridCol w:w="924"/>
        <w:gridCol w:w="966"/>
        <w:gridCol w:w="855"/>
        <w:gridCol w:w="966"/>
        <w:gridCol w:w="855"/>
        <w:gridCol w:w="966"/>
        <w:gridCol w:w="855"/>
        <w:gridCol w:w="966"/>
        <w:gridCol w:w="855"/>
      </w:tblGrid>
      <w:tr w:rsidR="00BD4E86" w:rsidRPr="0070241A" w14:paraId="52652FFF" w14:textId="77777777" w:rsidTr="004D08D0">
        <w:trPr>
          <w:trHeight w:val="359"/>
        </w:trPr>
        <w:tc>
          <w:tcPr>
            <w:tcW w:w="624" w:type="pct"/>
            <w:tcBorders>
              <w:top w:val="single" w:sz="4" w:space="0" w:color="auto"/>
              <w:bottom w:val="single" w:sz="4" w:space="0" w:color="auto"/>
            </w:tcBorders>
            <w:shd w:val="clear" w:color="auto" w:fill="auto"/>
            <w:noWrap/>
            <w:vAlign w:val="center"/>
            <w:hideMark/>
          </w:tcPr>
          <w:p w14:paraId="49D7164E" w14:textId="77777777" w:rsidR="00BD4E86" w:rsidRPr="0070241A" w:rsidRDefault="00BD4E86" w:rsidP="00BD4E86">
            <w:pPr>
              <w:jc w:val="center"/>
              <w:rPr>
                <w:rFonts w:ascii="Calibri" w:hAnsi="Calibri"/>
                <w:color w:val="000000"/>
                <w:sz w:val="22"/>
                <w:szCs w:val="22"/>
                <w:lang w:val="en-IN" w:eastAsia="en-IN"/>
              </w:rPr>
            </w:pPr>
            <w:r w:rsidRPr="0070241A">
              <w:rPr>
                <w:rFonts w:ascii="Calibri" w:hAnsi="Calibri"/>
                <w:color w:val="000000"/>
                <w:sz w:val="22"/>
                <w:szCs w:val="22"/>
                <w:lang w:val="en-IN" w:eastAsia="en-IN"/>
              </w:rPr>
              <w:t> </w:t>
            </w:r>
          </w:p>
        </w:tc>
        <w:tc>
          <w:tcPr>
            <w:tcW w:w="1089" w:type="pct"/>
            <w:gridSpan w:val="2"/>
            <w:tcBorders>
              <w:top w:val="single" w:sz="4" w:space="0" w:color="auto"/>
              <w:bottom w:val="single" w:sz="4" w:space="0" w:color="auto"/>
            </w:tcBorders>
            <w:shd w:val="clear" w:color="auto" w:fill="auto"/>
            <w:noWrap/>
            <w:vAlign w:val="center"/>
            <w:hideMark/>
          </w:tcPr>
          <w:p w14:paraId="5B7F77D7" w14:textId="77777777" w:rsidR="00BD4E86" w:rsidRPr="0070241A" w:rsidRDefault="00BD4E86" w:rsidP="00BD4E86">
            <w:pPr>
              <w:jc w:val="center"/>
              <w:rPr>
                <w:rFonts w:ascii="Calibri" w:hAnsi="Calibri"/>
                <w:b/>
                <w:bCs/>
                <w:color w:val="000000"/>
                <w:sz w:val="22"/>
                <w:szCs w:val="22"/>
                <w:lang w:val="en-IN" w:eastAsia="en-IN"/>
              </w:rPr>
            </w:pPr>
            <w:r w:rsidRPr="0070241A">
              <w:rPr>
                <w:rFonts w:ascii="Calibri" w:hAnsi="Calibri"/>
                <w:b/>
                <w:bCs/>
                <w:color w:val="000000"/>
                <w:sz w:val="22"/>
                <w:szCs w:val="22"/>
                <w:lang w:val="en-IN" w:eastAsia="en-IN"/>
              </w:rPr>
              <w:t>1991</w:t>
            </w:r>
          </w:p>
        </w:tc>
        <w:tc>
          <w:tcPr>
            <w:tcW w:w="1089" w:type="pct"/>
            <w:gridSpan w:val="2"/>
            <w:tcBorders>
              <w:top w:val="single" w:sz="4" w:space="0" w:color="auto"/>
              <w:bottom w:val="single" w:sz="4" w:space="0" w:color="auto"/>
            </w:tcBorders>
            <w:shd w:val="clear" w:color="auto" w:fill="auto"/>
            <w:noWrap/>
            <w:vAlign w:val="center"/>
            <w:hideMark/>
          </w:tcPr>
          <w:p w14:paraId="44255436" w14:textId="77777777" w:rsidR="00BD4E86" w:rsidRPr="0070241A" w:rsidRDefault="00BD4E86" w:rsidP="00BD4E86">
            <w:pPr>
              <w:jc w:val="center"/>
              <w:rPr>
                <w:rFonts w:ascii="Calibri" w:hAnsi="Calibri"/>
                <w:b/>
                <w:bCs/>
                <w:color w:val="000000"/>
                <w:sz w:val="22"/>
                <w:szCs w:val="22"/>
                <w:lang w:val="en-IN" w:eastAsia="en-IN"/>
              </w:rPr>
            </w:pPr>
            <w:r w:rsidRPr="0070241A">
              <w:rPr>
                <w:rFonts w:ascii="Calibri" w:hAnsi="Calibri"/>
                <w:b/>
                <w:bCs/>
                <w:color w:val="000000"/>
                <w:sz w:val="22"/>
                <w:szCs w:val="22"/>
                <w:lang w:val="en-IN" w:eastAsia="en-IN"/>
              </w:rPr>
              <w:t>2001</w:t>
            </w:r>
          </w:p>
        </w:tc>
        <w:tc>
          <w:tcPr>
            <w:tcW w:w="1089" w:type="pct"/>
            <w:gridSpan w:val="2"/>
            <w:tcBorders>
              <w:top w:val="single" w:sz="4" w:space="0" w:color="auto"/>
              <w:bottom w:val="single" w:sz="4" w:space="0" w:color="auto"/>
            </w:tcBorders>
            <w:shd w:val="clear" w:color="auto" w:fill="auto"/>
            <w:noWrap/>
            <w:vAlign w:val="center"/>
            <w:hideMark/>
          </w:tcPr>
          <w:p w14:paraId="671C850A" w14:textId="77777777" w:rsidR="00BD4E86" w:rsidRPr="0070241A" w:rsidRDefault="00BD4E86" w:rsidP="00BD4E86">
            <w:pPr>
              <w:jc w:val="center"/>
              <w:rPr>
                <w:rFonts w:ascii="Calibri" w:hAnsi="Calibri"/>
                <w:b/>
                <w:bCs/>
                <w:color w:val="000000"/>
                <w:sz w:val="22"/>
                <w:szCs w:val="22"/>
                <w:lang w:val="en-IN" w:eastAsia="en-IN"/>
              </w:rPr>
            </w:pPr>
            <w:r w:rsidRPr="0070241A">
              <w:rPr>
                <w:rFonts w:ascii="Calibri" w:hAnsi="Calibri"/>
                <w:b/>
                <w:bCs/>
                <w:color w:val="000000"/>
                <w:sz w:val="22"/>
                <w:szCs w:val="22"/>
                <w:lang w:val="en-IN" w:eastAsia="en-IN"/>
              </w:rPr>
              <w:t>2011</w:t>
            </w:r>
          </w:p>
        </w:tc>
        <w:tc>
          <w:tcPr>
            <w:tcW w:w="1108" w:type="pct"/>
            <w:gridSpan w:val="2"/>
            <w:tcBorders>
              <w:top w:val="single" w:sz="4" w:space="0" w:color="auto"/>
              <w:bottom w:val="single" w:sz="4" w:space="0" w:color="auto"/>
            </w:tcBorders>
            <w:shd w:val="clear" w:color="auto" w:fill="auto"/>
            <w:noWrap/>
            <w:vAlign w:val="center"/>
            <w:hideMark/>
          </w:tcPr>
          <w:p w14:paraId="4C28C047" w14:textId="77777777" w:rsidR="00BD4E86" w:rsidRPr="0070241A" w:rsidRDefault="00BD4E86" w:rsidP="00BD4E86">
            <w:pPr>
              <w:jc w:val="center"/>
              <w:rPr>
                <w:rFonts w:ascii="Calibri" w:hAnsi="Calibri"/>
                <w:b/>
                <w:bCs/>
                <w:color w:val="000000"/>
                <w:sz w:val="22"/>
                <w:szCs w:val="22"/>
                <w:lang w:val="en-IN" w:eastAsia="en-IN"/>
              </w:rPr>
            </w:pPr>
            <w:r w:rsidRPr="0070241A">
              <w:rPr>
                <w:rFonts w:ascii="Calibri" w:hAnsi="Calibri"/>
                <w:b/>
                <w:bCs/>
                <w:color w:val="000000"/>
                <w:sz w:val="22"/>
                <w:szCs w:val="22"/>
                <w:lang w:val="en-IN" w:eastAsia="en-IN"/>
              </w:rPr>
              <w:t>2021</w:t>
            </w:r>
          </w:p>
        </w:tc>
      </w:tr>
      <w:tr w:rsidR="00BD4E86" w:rsidRPr="00462420" w14:paraId="4959112A" w14:textId="77777777" w:rsidTr="004D08D0">
        <w:trPr>
          <w:trHeight w:val="722"/>
        </w:trPr>
        <w:tc>
          <w:tcPr>
            <w:tcW w:w="624" w:type="pct"/>
            <w:tcBorders>
              <w:top w:val="single" w:sz="4" w:space="0" w:color="auto"/>
            </w:tcBorders>
            <w:shd w:val="clear" w:color="auto" w:fill="auto"/>
            <w:noWrap/>
            <w:vAlign w:val="center"/>
            <w:hideMark/>
          </w:tcPr>
          <w:p w14:paraId="0EEF1910" w14:textId="77777777" w:rsidR="00BD4E86" w:rsidRPr="00D72729" w:rsidRDefault="00BD4E86" w:rsidP="00BD4E86">
            <w:pPr>
              <w:jc w:val="center"/>
              <w:rPr>
                <w:rFonts w:ascii="Arial" w:hAnsi="Arial" w:cs="Arial"/>
                <w:b/>
                <w:bCs/>
              </w:rPr>
            </w:pPr>
            <w:r w:rsidRPr="00D72729">
              <w:rPr>
                <w:rFonts w:ascii="Arial" w:hAnsi="Arial" w:cs="Arial"/>
                <w:b/>
                <w:bCs/>
              </w:rPr>
              <w:t>LULC Class</w:t>
            </w:r>
          </w:p>
        </w:tc>
        <w:tc>
          <w:tcPr>
            <w:tcW w:w="485" w:type="pct"/>
            <w:tcBorders>
              <w:top w:val="single" w:sz="4" w:space="0" w:color="auto"/>
            </w:tcBorders>
            <w:shd w:val="clear" w:color="auto" w:fill="auto"/>
            <w:noWrap/>
            <w:vAlign w:val="center"/>
            <w:hideMark/>
          </w:tcPr>
          <w:p w14:paraId="05A142F9" w14:textId="77777777" w:rsidR="00BD4E86" w:rsidRPr="005B7D6F" w:rsidRDefault="00BD4E86" w:rsidP="00BD4E86">
            <w:pPr>
              <w:jc w:val="center"/>
              <w:rPr>
                <w:rFonts w:ascii="Arial" w:hAnsi="Arial" w:cs="Arial"/>
              </w:rPr>
            </w:pPr>
            <w:r w:rsidRPr="005B7D6F">
              <w:rPr>
                <w:rFonts w:ascii="Arial" w:hAnsi="Arial" w:cs="Arial"/>
              </w:rPr>
              <w:t>Area (sq. km)</w:t>
            </w:r>
          </w:p>
        </w:tc>
        <w:tc>
          <w:tcPr>
            <w:tcW w:w="605" w:type="pct"/>
            <w:tcBorders>
              <w:top w:val="single" w:sz="4" w:space="0" w:color="auto"/>
            </w:tcBorders>
            <w:shd w:val="clear" w:color="auto" w:fill="auto"/>
            <w:vAlign w:val="center"/>
            <w:hideMark/>
          </w:tcPr>
          <w:p w14:paraId="1692FADD" w14:textId="77777777" w:rsidR="00BD4E86" w:rsidRPr="005B7D6F" w:rsidRDefault="00BD4E86" w:rsidP="00BD4E86">
            <w:pPr>
              <w:jc w:val="center"/>
              <w:rPr>
                <w:rFonts w:ascii="Arial" w:hAnsi="Arial" w:cs="Arial"/>
              </w:rPr>
            </w:pPr>
            <w:r w:rsidRPr="005B7D6F">
              <w:rPr>
                <w:rFonts w:ascii="Arial" w:hAnsi="Arial" w:cs="Arial"/>
              </w:rPr>
              <w:t>Percentage</w:t>
            </w:r>
          </w:p>
        </w:tc>
        <w:tc>
          <w:tcPr>
            <w:tcW w:w="485" w:type="pct"/>
            <w:tcBorders>
              <w:top w:val="single" w:sz="4" w:space="0" w:color="auto"/>
            </w:tcBorders>
            <w:shd w:val="clear" w:color="auto" w:fill="auto"/>
            <w:noWrap/>
            <w:vAlign w:val="center"/>
            <w:hideMark/>
          </w:tcPr>
          <w:p w14:paraId="1FAEB0CD" w14:textId="77777777" w:rsidR="00BD4E86" w:rsidRPr="005B7D6F" w:rsidRDefault="00BD4E86" w:rsidP="00BD4E86">
            <w:pPr>
              <w:jc w:val="center"/>
              <w:rPr>
                <w:rFonts w:ascii="Arial" w:hAnsi="Arial" w:cs="Arial"/>
              </w:rPr>
            </w:pPr>
            <w:r w:rsidRPr="005B7D6F">
              <w:rPr>
                <w:rFonts w:ascii="Arial" w:hAnsi="Arial" w:cs="Arial"/>
              </w:rPr>
              <w:t>Area (sq. km)</w:t>
            </w:r>
          </w:p>
        </w:tc>
        <w:tc>
          <w:tcPr>
            <w:tcW w:w="605" w:type="pct"/>
            <w:tcBorders>
              <w:top w:val="single" w:sz="4" w:space="0" w:color="auto"/>
            </w:tcBorders>
            <w:shd w:val="clear" w:color="auto" w:fill="auto"/>
            <w:vAlign w:val="center"/>
            <w:hideMark/>
          </w:tcPr>
          <w:p w14:paraId="0BC16B03" w14:textId="77777777" w:rsidR="00BD4E86" w:rsidRPr="005B7D6F" w:rsidRDefault="00BD4E86" w:rsidP="00BD4E86">
            <w:pPr>
              <w:jc w:val="center"/>
              <w:rPr>
                <w:rFonts w:ascii="Arial" w:hAnsi="Arial" w:cs="Arial"/>
              </w:rPr>
            </w:pPr>
            <w:r w:rsidRPr="005B7D6F">
              <w:rPr>
                <w:rFonts w:ascii="Arial" w:hAnsi="Arial" w:cs="Arial"/>
              </w:rPr>
              <w:t>Percentage</w:t>
            </w:r>
          </w:p>
        </w:tc>
        <w:tc>
          <w:tcPr>
            <w:tcW w:w="485" w:type="pct"/>
            <w:tcBorders>
              <w:top w:val="single" w:sz="4" w:space="0" w:color="auto"/>
            </w:tcBorders>
            <w:shd w:val="clear" w:color="auto" w:fill="auto"/>
            <w:noWrap/>
            <w:vAlign w:val="center"/>
            <w:hideMark/>
          </w:tcPr>
          <w:p w14:paraId="163310F5" w14:textId="77777777" w:rsidR="00BD4E86" w:rsidRPr="005B7D6F" w:rsidRDefault="00BD4E86" w:rsidP="00BD4E86">
            <w:pPr>
              <w:jc w:val="center"/>
              <w:rPr>
                <w:rFonts w:ascii="Arial" w:hAnsi="Arial" w:cs="Arial"/>
              </w:rPr>
            </w:pPr>
            <w:r w:rsidRPr="005B7D6F">
              <w:rPr>
                <w:rFonts w:ascii="Arial" w:hAnsi="Arial" w:cs="Arial"/>
              </w:rPr>
              <w:t>Area (sq. km)</w:t>
            </w:r>
          </w:p>
        </w:tc>
        <w:tc>
          <w:tcPr>
            <w:tcW w:w="605" w:type="pct"/>
            <w:tcBorders>
              <w:top w:val="single" w:sz="4" w:space="0" w:color="auto"/>
            </w:tcBorders>
            <w:shd w:val="clear" w:color="auto" w:fill="auto"/>
            <w:vAlign w:val="center"/>
            <w:hideMark/>
          </w:tcPr>
          <w:p w14:paraId="401E49B1" w14:textId="77777777" w:rsidR="00BD4E86" w:rsidRPr="005B7D6F" w:rsidRDefault="00BD4E86" w:rsidP="00BD4E86">
            <w:pPr>
              <w:jc w:val="center"/>
              <w:rPr>
                <w:rFonts w:ascii="Arial" w:hAnsi="Arial" w:cs="Arial"/>
              </w:rPr>
            </w:pPr>
            <w:r w:rsidRPr="005B7D6F">
              <w:rPr>
                <w:rFonts w:ascii="Arial" w:hAnsi="Arial" w:cs="Arial"/>
              </w:rPr>
              <w:t>Percentage</w:t>
            </w:r>
          </w:p>
        </w:tc>
        <w:tc>
          <w:tcPr>
            <w:tcW w:w="503" w:type="pct"/>
            <w:tcBorders>
              <w:top w:val="single" w:sz="4" w:space="0" w:color="auto"/>
            </w:tcBorders>
            <w:shd w:val="clear" w:color="auto" w:fill="auto"/>
            <w:noWrap/>
            <w:vAlign w:val="center"/>
            <w:hideMark/>
          </w:tcPr>
          <w:p w14:paraId="64FDD81A" w14:textId="77777777" w:rsidR="00BD4E86" w:rsidRPr="005B7D6F" w:rsidRDefault="00BD4E86" w:rsidP="00BD4E86">
            <w:pPr>
              <w:jc w:val="center"/>
              <w:rPr>
                <w:rFonts w:ascii="Arial" w:hAnsi="Arial" w:cs="Arial"/>
              </w:rPr>
            </w:pPr>
            <w:r w:rsidRPr="005B7D6F">
              <w:rPr>
                <w:rFonts w:ascii="Arial" w:hAnsi="Arial" w:cs="Arial"/>
              </w:rPr>
              <w:t>Area (sq. km)</w:t>
            </w:r>
          </w:p>
        </w:tc>
        <w:tc>
          <w:tcPr>
            <w:tcW w:w="605" w:type="pct"/>
            <w:tcBorders>
              <w:top w:val="single" w:sz="4" w:space="0" w:color="auto"/>
            </w:tcBorders>
            <w:shd w:val="clear" w:color="auto" w:fill="auto"/>
            <w:noWrap/>
            <w:vAlign w:val="center"/>
            <w:hideMark/>
          </w:tcPr>
          <w:p w14:paraId="79583E40" w14:textId="77777777" w:rsidR="00BD4E86" w:rsidRPr="005B7D6F" w:rsidRDefault="00BD4E86" w:rsidP="00BD4E86">
            <w:pPr>
              <w:jc w:val="center"/>
              <w:rPr>
                <w:rFonts w:ascii="Arial" w:hAnsi="Arial" w:cs="Arial"/>
              </w:rPr>
            </w:pPr>
            <w:r w:rsidRPr="005B7D6F">
              <w:rPr>
                <w:rFonts w:ascii="Arial" w:hAnsi="Arial" w:cs="Arial"/>
              </w:rPr>
              <w:t>Percentage</w:t>
            </w:r>
          </w:p>
        </w:tc>
      </w:tr>
      <w:tr w:rsidR="00BD4E86" w:rsidRPr="0070241A" w14:paraId="0E316C4E" w14:textId="77777777" w:rsidTr="004D08D0">
        <w:trPr>
          <w:trHeight w:val="359"/>
        </w:trPr>
        <w:tc>
          <w:tcPr>
            <w:tcW w:w="624" w:type="pct"/>
            <w:shd w:val="clear" w:color="auto" w:fill="auto"/>
            <w:noWrap/>
            <w:vAlign w:val="center"/>
            <w:hideMark/>
          </w:tcPr>
          <w:p w14:paraId="78F45218" w14:textId="77777777" w:rsidR="00BD4E86" w:rsidRPr="00D72729" w:rsidRDefault="00BD4E86" w:rsidP="00462420">
            <w:pPr>
              <w:ind w:right="-121"/>
              <w:jc w:val="center"/>
              <w:rPr>
                <w:rFonts w:ascii="Arial" w:hAnsi="Arial" w:cs="Arial"/>
                <w:b/>
                <w:bCs/>
              </w:rPr>
            </w:pPr>
            <w:r w:rsidRPr="00D72729">
              <w:rPr>
                <w:rFonts w:ascii="Arial" w:hAnsi="Arial" w:cs="Arial"/>
                <w:b/>
                <w:bCs/>
              </w:rPr>
              <w:t>Water body</w:t>
            </w:r>
          </w:p>
        </w:tc>
        <w:tc>
          <w:tcPr>
            <w:tcW w:w="485" w:type="pct"/>
            <w:shd w:val="clear" w:color="auto" w:fill="auto"/>
            <w:noWrap/>
            <w:vAlign w:val="center"/>
            <w:hideMark/>
          </w:tcPr>
          <w:p w14:paraId="4FFE5AC1" w14:textId="77777777" w:rsidR="00BD4E86" w:rsidRPr="005B7D6F" w:rsidRDefault="00BD4E86" w:rsidP="00BD4E86">
            <w:pPr>
              <w:jc w:val="center"/>
              <w:rPr>
                <w:rFonts w:ascii="Arial" w:hAnsi="Arial" w:cs="Arial"/>
              </w:rPr>
            </w:pPr>
            <w:r w:rsidRPr="005B7D6F">
              <w:rPr>
                <w:rFonts w:ascii="Arial" w:hAnsi="Arial" w:cs="Arial"/>
              </w:rPr>
              <w:t>17.96</w:t>
            </w:r>
          </w:p>
        </w:tc>
        <w:tc>
          <w:tcPr>
            <w:tcW w:w="605" w:type="pct"/>
            <w:shd w:val="clear" w:color="auto" w:fill="auto"/>
            <w:noWrap/>
            <w:vAlign w:val="center"/>
            <w:hideMark/>
          </w:tcPr>
          <w:p w14:paraId="6BEC77A6" w14:textId="77777777" w:rsidR="00BD4E86" w:rsidRPr="005B7D6F" w:rsidRDefault="00BD4E86" w:rsidP="00BD4E86">
            <w:pPr>
              <w:jc w:val="center"/>
              <w:rPr>
                <w:rFonts w:ascii="Arial" w:hAnsi="Arial" w:cs="Arial"/>
              </w:rPr>
            </w:pPr>
            <w:r w:rsidRPr="005B7D6F">
              <w:rPr>
                <w:rFonts w:ascii="Arial" w:hAnsi="Arial" w:cs="Arial"/>
              </w:rPr>
              <w:t>1.20</w:t>
            </w:r>
          </w:p>
        </w:tc>
        <w:tc>
          <w:tcPr>
            <w:tcW w:w="485" w:type="pct"/>
            <w:shd w:val="clear" w:color="auto" w:fill="auto"/>
            <w:noWrap/>
            <w:vAlign w:val="center"/>
            <w:hideMark/>
          </w:tcPr>
          <w:p w14:paraId="69B71DD4" w14:textId="77777777" w:rsidR="00BD4E86" w:rsidRPr="005B7D6F" w:rsidRDefault="00BD4E86" w:rsidP="00BD4E86">
            <w:pPr>
              <w:jc w:val="center"/>
              <w:rPr>
                <w:rFonts w:ascii="Arial" w:hAnsi="Arial" w:cs="Arial"/>
              </w:rPr>
            </w:pPr>
            <w:r w:rsidRPr="005B7D6F">
              <w:rPr>
                <w:rFonts w:ascii="Arial" w:hAnsi="Arial" w:cs="Arial"/>
              </w:rPr>
              <w:t>16.59</w:t>
            </w:r>
          </w:p>
        </w:tc>
        <w:tc>
          <w:tcPr>
            <w:tcW w:w="605" w:type="pct"/>
            <w:shd w:val="clear" w:color="auto" w:fill="auto"/>
            <w:noWrap/>
            <w:vAlign w:val="center"/>
            <w:hideMark/>
          </w:tcPr>
          <w:p w14:paraId="3100380A" w14:textId="77777777" w:rsidR="00BD4E86" w:rsidRPr="005B7D6F" w:rsidRDefault="00BD4E86" w:rsidP="00BD4E86">
            <w:pPr>
              <w:jc w:val="center"/>
              <w:rPr>
                <w:rFonts w:ascii="Arial" w:hAnsi="Arial" w:cs="Arial"/>
              </w:rPr>
            </w:pPr>
            <w:r w:rsidRPr="005B7D6F">
              <w:rPr>
                <w:rFonts w:ascii="Arial" w:hAnsi="Arial" w:cs="Arial"/>
              </w:rPr>
              <w:t>1.10</w:t>
            </w:r>
          </w:p>
        </w:tc>
        <w:tc>
          <w:tcPr>
            <w:tcW w:w="485" w:type="pct"/>
            <w:shd w:val="clear" w:color="auto" w:fill="auto"/>
            <w:noWrap/>
            <w:vAlign w:val="center"/>
            <w:hideMark/>
          </w:tcPr>
          <w:p w14:paraId="7072B24B" w14:textId="77777777" w:rsidR="00BD4E86" w:rsidRPr="005B7D6F" w:rsidRDefault="00BD4E86" w:rsidP="00BD4E86">
            <w:pPr>
              <w:jc w:val="center"/>
              <w:rPr>
                <w:rFonts w:ascii="Arial" w:hAnsi="Arial" w:cs="Arial"/>
              </w:rPr>
            </w:pPr>
            <w:r w:rsidRPr="005B7D6F">
              <w:rPr>
                <w:rFonts w:ascii="Arial" w:hAnsi="Arial" w:cs="Arial"/>
              </w:rPr>
              <w:t>24.26</w:t>
            </w:r>
          </w:p>
        </w:tc>
        <w:tc>
          <w:tcPr>
            <w:tcW w:w="605" w:type="pct"/>
            <w:shd w:val="clear" w:color="auto" w:fill="auto"/>
            <w:vAlign w:val="center"/>
            <w:hideMark/>
          </w:tcPr>
          <w:p w14:paraId="7B2EDF34" w14:textId="77777777" w:rsidR="00BD4E86" w:rsidRPr="005B7D6F" w:rsidRDefault="00BD4E86" w:rsidP="00BD4E86">
            <w:pPr>
              <w:jc w:val="center"/>
              <w:rPr>
                <w:rFonts w:ascii="Arial" w:hAnsi="Arial" w:cs="Arial"/>
              </w:rPr>
            </w:pPr>
            <w:r w:rsidRPr="005B7D6F">
              <w:rPr>
                <w:rFonts w:ascii="Arial" w:hAnsi="Arial" w:cs="Arial"/>
              </w:rPr>
              <w:t>1.61</w:t>
            </w:r>
          </w:p>
        </w:tc>
        <w:tc>
          <w:tcPr>
            <w:tcW w:w="503" w:type="pct"/>
            <w:shd w:val="clear" w:color="auto" w:fill="auto"/>
            <w:noWrap/>
            <w:vAlign w:val="center"/>
            <w:hideMark/>
          </w:tcPr>
          <w:p w14:paraId="5035C6C0" w14:textId="77777777" w:rsidR="00BD4E86" w:rsidRPr="005B7D6F" w:rsidRDefault="00BD4E86" w:rsidP="00BD4E86">
            <w:pPr>
              <w:jc w:val="center"/>
              <w:rPr>
                <w:rFonts w:ascii="Arial" w:hAnsi="Arial" w:cs="Arial"/>
              </w:rPr>
            </w:pPr>
            <w:r w:rsidRPr="005B7D6F">
              <w:rPr>
                <w:rFonts w:ascii="Arial" w:hAnsi="Arial" w:cs="Arial"/>
              </w:rPr>
              <w:t>20.48</w:t>
            </w:r>
          </w:p>
        </w:tc>
        <w:tc>
          <w:tcPr>
            <w:tcW w:w="605" w:type="pct"/>
            <w:shd w:val="clear" w:color="auto" w:fill="auto"/>
            <w:noWrap/>
            <w:vAlign w:val="center"/>
            <w:hideMark/>
          </w:tcPr>
          <w:p w14:paraId="3A168D24" w14:textId="77777777" w:rsidR="00BD4E86" w:rsidRPr="005B7D6F" w:rsidRDefault="00BD4E86" w:rsidP="00BD4E86">
            <w:pPr>
              <w:jc w:val="center"/>
              <w:rPr>
                <w:rFonts w:ascii="Arial" w:hAnsi="Arial" w:cs="Arial"/>
              </w:rPr>
            </w:pPr>
            <w:r w:rsidRPr="005B7D6F">
              <w:rPr>
                <w:rFonts w:ascii="Arial" w:hAnsi="Arial" w:cs="Arial"/>
              </w:rPr>
              <w:t>1.36</w:t>
            </w:r>
          </w:p>
        </w:tc>
      </w:tr>
      <w:tr w:rsidR="00BD4E86" w:rsidRPr="0070241A" w14:paraId="1832A759" w14:textId="77777777" w:rsidTr="004D08D0">
        <w:trPr>
          <w:trHeight w:val="359"/>
        </w:trPr>
        <w:tc>
          <w:tcPr>
            <w:tcW w:w="624" w:type="pct"/>
            <w:shd w:val="clear" w:color="auto" w:fill="auto"/>
            <w:noWrap/>
            <w:vAlign w:val="center"/>
            <w:hideMark/>
          </w:tcPr>
          <w:p w14:paraId="1914B817" w14:textId="77777777" w:rsidR="00BD4E86" w:rsidRPr="00D72729" w:rsidRDefault="00BD4E86" w:rsidP="00BD4E86">
            <w:pPr>
              <w:jc w:val="center"/>
              <w:rPr>
                <w:rFonts w:ascii="Arial" w:hAnsi="Arial" w:cs="Arial"/>
                <w:b/>
                <w:bCs/>
              </w:rPr>
            </w:pPr>
            <w:r w:rsidRPr="00D72729">
              <w:rPr>
                <w:rFonts w:ascii="Arial" w:hAnsi="Arial" w:cs="Arial"/>
                <w:b/>
                <w:bCs/>
              </w:rPr>
              <w:t>Vegetation</w:t>
            </w:r>
          </w:p>
        </w:tc>
        <w:tc>
          <w:tcPr>
            <w:tcW w:w="485" w:type="pct"/>
            <w:shd w:val="clear" w:color="auto" w:fill="auto"/>
            <w:noWrap/>
            <w:vAlign w:val="center"/>
            <w:hideMark/>
          </w:tcPr>
          <w:p w14:paraId="4AE71655" w14:textId="77777777" w:rsidR="00BD4E86" w:rsidRPr="005B7D6F" w:rsidRDefault="00BD4E86" w:rsidP="00BD4E86">
            <w:pPr>
              <w:jc w:val="center"/>
              <w:rPr>
                <w:rFonts w:ascii="Arial" w:hAnsi="Arial" w:cs="Arial"/>
              </w:rPr>
            </w:pPr>
            <w:r w:rsidRPr="005B7D6F">
              <w:rPr>
                <w:rFonts w:ascii="Arial" w:hAnsi="Arial" w:cs="Arial"/>
              </w:rPr>
              <w:t>188.55</w:t>
            </w:r>
          </w:p>
        </w:tc>
        <w:tc>
          <w:tcPr>
            <w:tcW w:w="605" w:type="pct"/>
            <w:shd w:val="clear" w:color="auto" w:fill="auto"/>
            <w:noWrap/>
            <w:vAlign w:val="center"/>
            <w:hideMark/>
          </w:tcPr>
          <w:p w14:paraId="1E509BC3" w14:textId="77777777" w:rsidR="00BD4E86" w:rsidRPr="005B7D6F" w:rsidRDefault="00BD4E86" w:rsidP="00BD4E86">
            <w:pPr>
              <w:jc w:val="center"/>
              <w:rPr>
                <w:rFonts w:ascii="Arial" w:hAnsi="Arial" w:cs="Arial"/>
              </w:rPr>
            </w:pPr>
            <w:r w:rsidRPr="005B7D6F">
              <w:rPr>
                <w:rFonts w:ascii="Arial" w:hAnsi="Arial" w:cs="Arial"/>
              </w:rPr>
              <w:t>12.55</w:t>
            </w:r>
          </w:p>
        </w:tc>
        <w:tc>
          <w:tcPr>
            <w:tcW w:w="485" w:type="pct"/>
            <w:shd w:val="clear" w:color="auto" w:fill="auto"/>
            <w:noWrap/>
            <w:vAlign w:val="center"/>
            <w:hideMark/>
          </w:tcPr>
          <w:p w14:paraId="15745C5D" w14:textId="77777777" w:rsidR="00BD4E86" w:rsidRPr="005B7D6F" w:rsidRDefault="00BD4E86" w:rsidP="00BD4E86">
            <w:pPr>
              <w:jc w:val="center"/>
              <w:rPr>
                <w:rFonts w:ascii="Arial" w:hAnsi="Arial" w:cs="Arial"/>
              </w:rPr>
            </w:pPr>
            <w:r w:rsidRPr="005B7D6F">
              <w:rPr>
                <w:rFonts w:ascii="Arial" w:hAnsi="Arial" w:cs="Arial"/>
              </w:rPr>
              <w:t>155.99</w:t>
            </w:r>
          </w:p>
        </w:tc>
        <w:tc>
          <w:tcPr>
            <w:tcW w:w="605" w:type="pct"/>
            <w:shd w:val="clear" w:color="auto" w:fill="auto"/>
            <w:noWrap/>
            <w:vAlign w:val="center"/>
            <w:hideMark/>
          </w:tcPr>
          <w:p w14:paraId="2C080B11" w14:textId="77777777" w:rsidR="00BD4E86" w:rsidRPr="005B7D6F" w:rsidRDefault="00BD4E86" w:rsidP="00BD4E86">
            <w:pPr>
              <w:jc w:val="center"/>
              <w:rPr>
                <w:rFonts w:ascii="Arial" w:hAnsi="Arial" w:cs="Arial"/>
              </w:rPr>
            </w:pPr>
            <w:r w:rsidRPr="005B7D6F">
              <w:rPr>
                <w:rFonts w:ascii="Arial" w:hAnsi="Arial" w:cs="Arial"/>
              </w:rPr>
              <w:t>10.38</w:t>
            </w:r>
          </w:p>
        </w:tc>
        <w:tc>
          <w:tcPr>
            <w:tcW w:w="485" w:type="pct"/>
            <w:shd w:val="clear" w:color="auto" w:fill="auto"/>
            <w:noWrap/>
            <w:vAlign w:val="center"/>
            <w:hideMark/>
          </w:tcPr>
          <w:p w14:paraId="4B9D5641" w14:textId="77777777" w:rsidR="00BD4E86" w:rsidRPr="005B7D6F" w:rsidRDefault="00BD4E86" w:rsidP="00BD4E86">
            <w:pPr>
              <w:jc w:val="center"/>
              <w:rPr>
                <w:rFonts w:ascii="Arial" w:hAnsi="Arial" w:cs="Arial"/>
              </w:rPr>
            </w:pPr>
            <w:r w:rsidRPr="005B7D6F">
              <w:rPr>
                <w:rFonts w:ascii="Arial" w:hAnsi="Arial" w:cs="Arial"/>
              </w:rPr>
              <w:t>166.16</w:t>
            </w:r>
          </w:p>
        </w:tc>
        <w:tc>
          <w:tcPr>
            <w:tcW w:w="605" w:type="pct"/>
            <w:shd w:val="clear" w:color="auto" w:fill="auto"/>
            <w:vAlign w:val="center"/>
            <w:hideMark/>
          </w:tcPr>
          <w:p w14:paraId="6E02D59A" w14:textId="77777777" w:rsidR="00BD4E86" w:rsidRPr="005B7D6F" w:rsidRDefault="00BD4E86" w:rsidP="00BD4E86">
            <w:pPr>
              <w:jc w:val="center"/>
              <w:rPr>
                <w:rFonts w:ascii="Arial" w:hAnsi="Arial" w:cs="Arial"/>
              </w:rPr>
            </w:pPr>
            <w:r w:rsidRPr="005B7D6F">
              <w:rPr>
                <w:rFonts w:ascii="Arial" w:hAnsi="Arial" w:cs="Arial"/>
              </w:rPr>
              <w:t>11.06</w:t>
            </w:r>
          </w:p>
        </w:tc>
        <w:tc>
          <w:tcPr>
            <w:tcW w:w="503" w:type="pct"/>
            <w:shd w:val="clear" w:color="auto" w:fill="auto"/>
            <w:noWrap/>
            <w:vAlign w:val="center"/>
            <w:hideMark/>
          </w:tcPr>
          <w:p w14:paraId="7DC9548D" w14:textId="77777777" w:rsidR="00BD4E86" w:rsidRPr="005B7D6F" w:rsidRDefault="00BD4E86" w:rsidP="00BD4E86">
            <w:pPr>
              <w:jc w:val="center"/>
              <w:rPr>
                <w:rFonts w:ascii="Arial" w:hAnsi="Arial" w:cs="Arial"/>
              </w:rPr>
            </w:pPr>
            <w:r w:rsidRPr="005B7D6F">
              <w:rPr>
                <w:rFonts w:ascii="Arial" w:hAnsi="Arial" w:cs="Arial"/>
              </w:rPr>
              <w:t>110.28</w:t>
            </w:r>
          </w:p>
        </w:tc>
        <w:tc>
          <w:tcPr>
            <w:tcW w:w="605" w:type="pct"/>
            <w:shd w:val="clear" w:color="auto" w:fill="auto"/>
            <w:noWrap/>
            <w:vAlign w:val="center"/>
            <w:hideMark/>
          </w:tcPr>
          <w:p w14:paraId="2FBD9CBC" w14:textId="77777777" w:rsidR="00BD4E86" w:rsidRPr="005B7D6F" w:rsidRDefault="00BD4E86" w:rsidP="00BD4E86">
            <w:pPr>
              <w:jc w:val="center"/>
              <w:rPr>
                <w:rFonts w:ascii="Arial" w:hAnsi="Arial" w:cs="Arial"/>
              </w:rPr>
            </w:pPr>
            <w:r w:rsidRPr="005B7D6F">
              <w:rPr>
                <w:rFonts w:ascii="Arial" w:hAnsi="Arial" w:cs="Arial"/>
              </w:rPr>
              <w:t>7.35</w:t>
            </w:r>
          </w:p>
        </w:tc>
      </w:tr>
      <w:tr w:rsidR="00BD4E86" w:rsidRPr="0070241A" w14:paraId="256E632E" w14:textId="77777777" w:rsidTr="004D08D0">
        <w:trPr>
          <w:trHeight w:val="359"/>
        </w:trPr>
        <w:tc>
          <w:tcPr>
            <w:tcW w:w="624" w:type="pct"/>
            <w:shd w:val="clear" w:color="auto" w:fill="auto"/>
            <w:noWrap/>
            <w:vAlign w:val="center"/>
            <w:hideMark/>
          </w:tcPr>
          <w:p w14:paraId="6A4ACD02" w14:textId="77777777" w:rsidR="00BD4E86" w:rsidRPr="00D72729" w:rsidRDefault="00BD4E86" w:rsidP="00BD4E86">
            <w:pPr>
              <w:jc w:val="center"/>
              <w:rPr>
                <w:rFonts w:ascii="Arial" w:hAnsi="Arial" w:cs="Arial"/>
                <w:b/>
                <w:bCs/>
              </w:rPr>
            </w:pPr>
            <w:r w:rsidRPr="00D72729">
              <w:rPr>
                <w:rFonts w:ascii="Arial" w:hAnsi="Arial" w:cs="Arial"/>
                <w:b/>
                <w:bCs/>
              </w:rPr>
              <w:lastRenderedPageBreak/>
              <w:t>Forest</w:t>
            </w:r>
          </w:p>
        </w:tc>
        <w:tc>
          <w:tcPr>
            <w:tcW w:w="485" w:type="pct"/>
            <w:shd w:val="clear" w:color="auto" w:fill="auto"/>
            <w:noWrap/>
            <w:vAlign w:val="center"/>
            <w:hideMark/>
          </w:tcPr>
          <w:p w14:paraId="52A7B119" w14:textId="77777777" w:rsidR="00BD4E86" w:rsidRPr="005B7D6F" w:rsidRDefault="00BD4E86" w:rsidP="00BD4E86">
            <w:pPr>
              <w:jc w:val="center"/>
              <w:rPr>
                <w:rFonts w:ascii="Arial" w:hAnsi="Arial" w:cs="Arial"/>
              </w:rPr>
            </w:pPr>
            <w:r w:rsidRPr="005B7D6F">
              <w:rPr>
                <w:rFonts w:ascii="Arial" w:hAnsi="Arial" w:cs="Arial"/>
              </w:rPr>
              <w:t>153.17</w:t>
            </w:r>
          </w:p>
        </w:tc>
        <w:tc>
          <w:tcPr>
            <w:tcW w:w="605" w:type="pct"/>
            <w:shd w:val="clear" w:color="auto" w:fill="auto"/>
            <w:noWrap/>
            <w:vAlign w:val="center"/>
            <w:hideMark/>
          </w:tcPr>
          <w:p w14:paraId="0641F117" w14:textId="77777777" w:rsidR="00BD4E86" w:rsidRPr="005B7D6F" w:rsidRDefault="00BD4E86" w:rsidP="00BD4E86">
            <w:pPr>
              <w:jc w:val="center"/>
              <w:rPr>
                <w:rFonts w:ascii="Arial" w:hAnsi="Arial" w:cs="Arial"/>
              </w:rPr>
            </w:pPr>
            <w:r w:rsidRPr="005B7D6F">
              <w:rPr>
                <w:rFonts w:ascii="Arial" w:hAnsi="Arial" w:cs="Arial"/>
              </w:rPr>
              <w:t>10.19</w:t>
            </w:r>
          </w:p>
        </w:tc>
        <w:tc>
          <w:tcPr>
            <w:tcW w:w="485" w:type="pct"/>
            <w:shd w:val="clear" w:color="auto" w:fill="auto"/>
            <w:noWrap/>
            <w:vAlign w:val="center"/>
            <w:hideMark/>
          </w:tcPr>
          <w:p w14:paraId="2ACAAD23" w14:textId="77777777" w:rsidR="00BD4E86" w:rsidRPr="005B7D6F" w:rsidRDefault="00BD4E86" w:rsidP="00BD4E86">
            <w:pPr>
              <w:jc w:val="center"/>
              <w:rPr>
                <w:rFonts w:ascii="Arial" w:hAnsi="Arial" w:cs="Arial"/>
              </w:rPr>
            </w:pPr>
            <w:r w:rsidRPr="005B7D6F">
              <w:rPr>
                <w:rFonts w:ascii="Arial" w:hAnsi="Arial" w:cs="Arial"/>
              </w:rPr>
              <w:t>111.92</w:t>
            </w:r>
          </w:p>
        </w:tc>
        <w:tc>
          <w:tcPr>
            <w:tcW w:w="605" w:type="pct"/>
            <w:shd w:val="clear" w:color="auto" w:fill="auto"/>
            <w:noWrap/>
            <w:vAlign w:val="center"/>
            <w:hideMark/>
          </w:tcPr>
          <w:p w14:paraId="3C60F0E1" w14:textId="77777777" w:rsidR="00BD4E86" w:rsidRPr="005B7D6F" w:rsidRDefault="00BD4E86" w:rsidP="00BD4E86">
            <w:pPr>
              <w:jc w:val="center"/>
              <w:rPr>
                <w:rFonts w:ascii="Arial" w:hAnsi="Arial" w:cs="Arial"/>
              </w:rPr>
            </w:pPr>
            <w:r w:rsidRPr="005B7D6F">
              <w:rPr>
                <w:rFonts w:ascii="Arial" w:hAnsi="Arial" w:cs="Arial"/>
              </w:rPr>
              <w:t>7.45</w:t>
            </w:r>
          </w:p>
        </w:tc>
        <w:tc>
          <w:tcPr>
            <w:tcW w:w="485" w:type="pct"/>
            <w:shd w:val="clear" w:color="auto" w:fill="auto"/>
            <w:noWrap/>
            <w:vAlign w:val="center"/>
            <w:hideMark/>
          </w:tcPr>
          <w:p w14:paraId="6E05C76B" w14:textId="77777777" w:rsidR="00BD4E86" w:rsidRPr="005B7D6F" w:rsidRDefault="00BD4E86" w:rsidP="00BD4E86">
            <w:pPr>
              <w:jc w:val="center"/>
              <w:rPr>
                <w:rFonts w:ascii="Arial" w:hAnsi="Arial" w:cs="Arial"/>
              </w:rPr>
            </w:pPr>
            <w:r w:rsidRPr="005B7D6F">
              <w:rPr>
                <w:rFonts w:ascii="Arial" w:hAnsi="Arial" w:cs="Arial"/>
              </w:rPr>
              <w:t>133.13</w:t>
            </w:r>
          </w:p>
        </w:tc>
        <w:tc>
          <w:tcPr>
            <w:tcW w:w="605" w:type="pct"/>
            <w:shd w:val="clear" w:color="auto" w:fill="auto"/>
            <w:vAlign w:val="center"/>
            <w:hideMark/>
          </w:tcPr>
          <w:p w14:paraId="6EC05259" w14:textId="77777777" w:rsidR="00BD4E86" w:rsidRPr="005B7D6F" w:rsidRDefault="00BD4E86" w:rsidP="00BD4E86">
            <w:pPr>
              <w:jc w:val="center"/>
              <w:rPr>
                <w:rFonts w:ascii="Arial" w:hAnsi="Arial" w:cs="Arial"/>
              </w:rPr>
            </w:pPr>
            <w:r w:rsidRPr="005B7D6F">
              <w:rPr>
                <w:rFonts w:ascii="Arial" w:hAnsi="Arial" w:cs="Arial"/>
              </w:rPr>
              <w:t>8.86</w:t>
            </w:r>
          </w:p>
        </w:tc>
        <w:tc>
          <w:tcPr>
            <w:tcW w:w="503" w:type="pct"/>
            <w:shd w:val="clear" w:color="auto" w:fill="auto"/>
            <w:noWrap/>
            <w:vAlign w:val="center"/>
            <w:hideMark/>
          </w:tcPr>
          <w:p w14:paraId="6324118C" w14:textId="77777777" w:rsidR="00BD4E86" w:rsidRPr="005B7D6F" w:rsidRDefault="00BD4E86" w:rsidP="00BD4E86">
            <w:pPr>
              <w:jc w:val="center"/>
              <w:rPr>
                <w:rFonts w:ascii="Arial" w:hAnsi="Arial" w:cs="Arial"/>
              </w:rPr>
            </w:pPr>
            <w:r w:rsidRPr="005B7D6F">
              <w:rPr>
                <w:rFonts w:ascii="Arial" w:hAnsi="Arial" w:cs="Arial"/>
              </w:rPr>
              <w:t>266.23</w:t>
            </w:r>
          </w:p>
        </w:tc>
        <w:tc>
          <w:tcPr>
            <w:tcW w:w="605" w:type="pct"/>
            <w:shd w:val="clear" w:color="auto" w:fill="auto"/>
            <w:noWrap/>
            <w:vAlign w:val="center"/>
            <w:hideMark/>
          </w:tcPr>
          <w:p w14:paraId="79C21361" w14:textId="77777777" w:rsidR="00BD4E86" w:rsidRPr="005B7D6F" w:rsidRDefault="00BD4E86" w:rsidP="00BD4E86">
            <w:pPr>
              <w:jc w:val="center"/>
              <w:rPr>
                <w:rFonts w:ascii="Arial" w:hAnsi="Arial" w:cs="Arial"/>
              </w:rPr>
            </w:pPr>
            <w:r w:rsidRPr="005B7D6F">
              <w:rPr>
                <w:rFonts w:ascii="Arial" w:hAnsi="Arial" w:cs="Arial"/>
              </w:rPr>
              <w:t>17.73</w:t>
            </w:r>
          </w:p>
        </w:tc>
      </w:tr>
      <w:tr w:rsidR="00BD4E86" w:rsidRPr="0070241A" w14:paraId="26276633" w14:textId="77777777" w:rsidTr="004D08D0">
        <w:trPr>
          <w:trHeight w:val="359"/>
        </w:trPr>
        <w:tc>
          <w:tcPr>
            <w:tcW w:w="624" w:type="pct"/>
            <w:shd w:val="clear" w:color="auto" w:fill="auto"/>
            <w:noWrap/>
            <w:vAlign w:val="center"/>
            <w:hideMark/>
          </w:tcPr>
          <w:p w14:paraId="16DFA7C4" w14:textId="77777777" w:rsidR="00BD4E86" w:rsidRPr="00D72729" w:rsidRDefault="00BD4E86" w:rsidP="00BD4E86">
            <w:pPr>
              <w:jc w:val="center"/>
              <w:rPr>
                <w:rFonts w:ascii="Arial" w:hAnsi="Arial" w:cs="Arial"/>
                <w:b/>
                <w:bCs/>
              </w:rPr>
            </w:pPr>
            <w:r w:rsidRPr="00D72729">
              <w:rPr>
                <w:rFonts w:ascii="Arial" w:hAnsi="Arial" w:cs="Arial"/>
                <w:b/>
                <w:bCs/>
              </w:rPr>
              <w:t>Agriculture</w:t>
            </w:r>
          </w:p>
        </w:tc>
        <w:tc>
          <w:tcPr>
            <w:tcW w:w="485" w:type="pct"/>
            <w:shd w:val="clear" w:color="auto" w:fill="auto"/>
            <w:noWrap/>
            <w:vAlign w:val="center"/>
            <w:hideMark/>
          </w:tcPr>
          <w:p w14:paraId="1D33CBB1" w14:textId="77777777" w:rsidR="00BD4E86" w:rsidRPr="005B7D6F" w:rsidRDefault="00BD4E86" w:rsidP="00BD4E86">
            <w:pPr>
              <w:jc w:val="center"/>
              <w:rPr>
                <w:rFonts w:ascii="Arial" w:hAnsi="Arial" w:cs="Arial"/>
              </w:rPr>
            </w:pPr>
            <w:r w:rsidRPr="005B7D6F">
              <w:rPr>
                <w:rFonts w:ascii="Arial" w:hAnsi="Arial" w:cs="Arial"/>
              </w:rPr>
              <w:t>528.7</w:t>
            </w:r>
          </w:p>
        </w:tc>
        <w:tc>
          <w:tcPr>
            <w:tcW w:w="605" w:type="pct"/>
            <w:shd w:val="clear" w:color="auto" w:fill="auto"/>
            <w:noWrap/>
            <w:vAlign w:val="center"/>
            <w:hideMark/>
          </w:tcPr>
          <w:p w14:paraId="671A15B2" w14:textId="77777777" w:rsidR="00BD4E86" w:rsidRPr="005B7D6F" w:rsidRDefault="00BD4E86" w:rsidP="00BD4E86">
            <w:pPr>
              <w:jc w:val="center"/>
              <w:rPr>
                <w:rFonts w:ascii="Arial" w:hAnsi="Arial" w:cs="Arial"/>
              </w:rPr>
            </w:pPr>
            <w:r w:rsidRPr="005B7D6F">
              <w:rPr>
                <w:rFonts w:ascii="Arial" w:hAnsi="Arial" w:cs="Arial"/>
              </w:rPr>
              <w:t>35.18</w:t>
            </w:r>
          </w:p>
        </w:tc>
        <w:tc>
          <w:tcPr>
            <w:tcW w:w="485" w:type="pct"/>
            <w:shd w:val="clear" w:color="auto" w:fill="auto"/>
            <w:noWrap/>
            <w:vAlign w:val="center"/>
            <w:hideMark/>
          </w:tcPr>
          <w:p w14:paraId="6EBF4A0B" w14:textId="77777777" w:rsidR="00BD4E86" w:rsidRPr="005B7D6F" w:rsidRDefault="00BD4E86" w:rsidP="00BD4E86">
            <w:pPr>
              <w:jc w:val="center"/>
              <w:rPr>
                <w:rFonts w:ascii="Arial" w:hAnsi="Arial" w:cs="Arial"/>
              </w:rPr>
            </w:pPr>
            <w:r w:rsidRPr="005B7D6F">
              <w:rPr>
                <w:rFonts w:ascii="Arial" w:hAnsi="Arial" w:cs="Arial"/>
              </w:rPr>
              <w:t>502.72</w:t>
            </w:r>
          </w:p>
        </w:tc>
        <w:tc>
          <w:tcPr>
            <w:tcW w:w="605" w:type="pct"/>
            <w:shd w:val="clear" w:color="auto" w:fill="auto"/>
            <w:noWrap/>
            <w:vAlign w:val="center"/>
            <w:hideMark/>
          </w:tcPr>
          <w:p w14:paraId="3B8875EB" w14:textId="77777777" w:rsidR="00BD4E86" w:rsidRPr="005B7D6F" w:rsidRDefault="00BD4E86" w:rsidP="00BD4E86">
            <w:pPr>
              <w:jc w:val="center"/>
              <w:rPr>
                <w:rFonts w:ascii="Arial" w:hAnsi="Arial" w:cs="Arial"/>
              </w:rPr>
            </w:pPr>
            <w:r w:rsidRPr="005B7D6F">
              <w:rPr>
                <w:rFonts w:ascii="Arial" w:hAnsi="Arial" w:cs="Arial"/>
              </w:rPr>
              <w:t>33.45</w:t>
            </w:r>
          </w:p>
        </w:tc>
        <w:tc>
          <w:tcPr>
            <w:tcW w:w="485" w:type="pct"/>
            <w:shd w:val="clear" w:color="auto" w:fill="auto"/>
            <w:noWrap/>
            <w:vAlign w:val="center"/>
            <w:hideMark/>
          </w:tcPr>
          <w:p w14:paraId="7D207DD4" w14:textId="77777777" w:rsidR="00BD4E86" w:rsidRPr="005B7D6F" w:rsidRDefault="00BD4E86" w:rsidP="00BD4E86">
            <w:pPr>
              <w:jc w:val="center"/>
              <w:rPr>
                <w:rFonts w:ascii="Arial" w:hAnsi="Arial" w:cs="Arial"/>
              </w:rPr>
            </w:pPr>
            <w:r w:rsidRPr="005B7D6F">
              <w:rPr>
                <w:rFonts w:ascii="Arial" w:hAnsi="Arial" w:cs="Arial"/>
              </w:rPr>
              <w:t>443.81</w:t>
            </w:r>
          </w:p>
        </w:tc>
        <w:tc>
          <w:tcPr>
            <w:tcW w:w="605" w:type="pct"/>
            <w:shd w:val="clear" w:color="auto" w:fill="auto"/>
            <w:vAlign w:val="center"/>
            <w:hideMark/>
          </w:tcPr>
          <w:p w14:paraId="62881677" w14:textId="77777777" w:rsidR="00BD4E86" w:rsidRPr="005B7D6F" w:rsidRDefault="00BD4E86" w:rsidP="00BD4E86">
            <w:pPr>
              <w:jc w:val="center"/>
              <w:rPr>
                <w:rFonts w:ascii="Arial" w:hAnsi="Arial" w:cs="Arial"/>
              </w:rPr>
            </w:pPr>
            <w:r w:rsidRPr="005B7D6F">
              <w:rPr>
                <w:rFonts w:ascii="Arial" w:hAnsi="Arial" w:cs="Arial"/>
              </w:rPr>
              <w:t>29.53</w:t>
            </w:r>
          </w:p>
        </w:tc>
        <w:tc>
          <w:tcPr>
            <w:tcW w:w="503" w:type="pct"/>
            <w:shd w:val="clear" w:color="auto" w:fill="auto"/>
            <w:noWrap/>
            <w:vAlign w:val="center"/>
            <w:hideMark/>
          </w:tcPr>
          <w:p w14:paraId="19D2B52A" w14:textId="77777777" w:rsidR="00BD4E86" w:rsidRPr="005B7D6F" w:rsidRDefault="00BD4E86" w:rsidP="00BD4E86">
            <w:pPr>
              <w:jc w:val="center"/>
              <w:rPr>
                <w:rFonts w:ascii="Arial" w:hAnsi="Arial" w:cs="Arial"/>
              </w:rPr>
            </w:pPr>
            <w:r w:rsidRPr="005B7D6F">
              <w:rPr>
                <w:rFonts w:ascii="Arial" w:hAnsi="Arial" w:cs="Arial"/>
              </w:rPr>
              <w:t>394.98</w:t>
            </w:r>
          </w:p>
        </w:tc>
        <w:tc>
          <w:tcPr>
            <w:tcW w:w="605" w:type="pct"/>
            <w:shd w:val="clear" w:color="auto" w:fill="auto"/>
            <w:noWrap/>
            <w:vAlign w:val="center"/>
            <w:hideMark/>
          </w:tcPr>
          <w:p w14:paraId="437CCF3E" w14:textId="77777777" w:rsidR="00BD4E86" w:rsidRPr="005B7D6F" w:rsidRDefault="00BD4E86" w:rsidP="00BD4E86">
            <w:pPr>
              <w:jc w:val="center"/>
              <w:rPr>
                <w:rFonts w:ascii="Arial" w:hAnsi="Arial" w:cs="Arial"/>
              </w:rPr>
            </w:pPr>
            <w:r w:rsidRPr="005B7D6F">
              <w:rPr>
                <w:rFonts w:ascii="Arial" w:hAnsi="Arial" w:cs="Arial"/>
              </w:rPr>
              <w:t>26.31</w:t>
            </w:r>
          </w:p>
        </w:tc>
      </w:tr>
      <w:tr w:rsidR="00BD4E86" w:rsidRPr="0070241A" w14:paraId="06A23E33" w14:textId="77777777" w:rsidTr="004D08D0">
        <w:trPr>
          <w:trHeight w:val="359"/>
        </w:trPr>
        <w:tc>
          <w:tcPr>
            <w:tcW w:w="624" w:type="pct"/>
            <w:shd w:val="clear" w:color="auto" w:fill="auto"/>
            <w:noWrap/>
            <w:vAlign w:val="center"/>
            <w:hideMark/>
          </w:tcPr>
          <w:p w14:paraId="508882DA" w14:textId="77777777" w:rsidR="00BD4E86" w:rsidRPr="00D72729" w:rsidRDefault="00BD4E86" w:rsidP="00BD4E86">
            <w:pPr>
              <w:jc w:val="center"/>
              <w:rPr>
                <w:rFonts w:ascii="Arial" w:hAnsi="Arial" w:cs="Arial"/>
                <w:b/>
                <w:bCs/>
              </w:rPr>
            </w:pPr>
            <w:r w:rsidRPr="00D72729">
              <w:rPr>
                <w:rFonts w:ascii="Arial" w:hAnsi="Arial" w:cs="Arial"/>
                <w:b/>
                <w:bCs/>
              </w:rPr>
              <w:t>Built-up</w:t>
            </w:r>
          </w:p>
        </w:tc>
        <w:tc>
          <w:tcPr>
            <w:tcW w:w="485" w:type="pct"/>
            <w:shd w:val="clear" w:color="auto" w:fill="auto"/>
            <w:noWrap/>
            <w:vAlign w:val="center"/>
            <w:hideMark/>
          </w:tcPr>
          <w:p w14:paraId="2010B43F" w14:textId="77777777" w:rsidR="00BD4E86" w:rsidRPr="005B7D6F" w:rsidRDefault="00BD4E86" w:rsidP="00BD4E86">
            <w:pPr>
              <w:jc w:val="center"/>
              <w:rPr>
                <w:rFonts w:ascii="Arial" w:hAnsi="Arial" w:cs="Arial"/>
              </w:rPr>
            </w:pPr>
            <w:r w:rsidRPr="005B7D6F">
              <w:rPr>
                <w:rFonts w:ascii="Arial" w:hAnsi="Arial" w:cs="Arial"/>
              </w:rPr>
              <w:t>263.18</w:t>
            </w:r>
          </w:p>
        </w:tc>
        <w:tc>
          <w:tcPr>
            <w:tcW w:w="605" w:type="pct"/>
            <w:shd w:val="clear" w:color="auto" w:fill="auto"/>
            <w:noWrap/>
            <w:vAlign w:val="center"/>
            <w:hideMark/>
          </w:tcPr>
          <w:p w14:paraId="3BDFA091" w14:textId="77777777" w:rsidR="00BD4E86" w:rsidRPr="005B7D6F" w:rsidRDefault="00BD4E86" w:rsidP="00BD4E86">
            <w:pPr>
              <w:jc w:val="center"/>
              <w:rPr>
                <w:rFonts w:ascii="Arial" w:hAnsi="Arial" w:cs="Arial"/>
              </w:rPr>
            </w:pPr>
            <w:r w:rsidRPr="005B7D6F">
              <w:rPr>
                <w:rFonts w:ascii="Arial" w:hAnsi="Arial" w:cs="Arial"/>
              </w:rPr>
              <w:t>17.51</w:t>
            </w:r>
          </w:p>
        </w:tc>
        <w:tc>
          <w:tcPr>
            <w:tcW w:w="485" w:type="pct"/>
            <w:shd w:val="clear" w:color="auto" w:fill="auto"/>
            <w:noWrap/>
            <w:vAlign w:val="center"/>
            <w:hideMark/>
          </w:tcPr>
          <w:p w14:paraId="0D1F9FB0" w14:textId="77777777" w:rsidR="00BD4E86" w:rsidRPr="005B7D6F" w:rsidRDefault="00BD4E86" w:rsidP="00BD4E86">
            <w:pPr>
              <w:jc w:val="center"/>
              <w:rPr>
                <w:rFonts w:ascii="Arial" w:hAnsi="Arial" w:cs="Arial"/>
              </w:rPr>
            </w:pPr>
            <w:r w:rsidRPr="005B7D6F">
              <w:rPr>
                <w:rFonts w:ascii="Arial" w:hAnsi="Arial" w:cs="Arial"/>
              </w:rPr>
              <w:t>421.84</w:t>
            </w:r>
          </w:p>
        </w:tc>
        <w:tc>
          <w:tcPr>
            <w:tcW w:w="605" w:type="pct"/>
            <w:shd w:val="clear" w:color="auto" w:fill="auto"/>
            <w:noWrap/>
            <w:vAlign w:val="center"/>
            <w:hideMark/>
          </w:tcPr>
          <w:p w14:paraId="113DE195" w14:textId="77777777" w:rsidR="00BD4E86" w:rsidRPr="005B7D6F" w:rsidRDefault="00BD4E86" w:rsidP="00BD4E86">
            <w:pPr>
              <w:jc w:val="center"/>
              <w:rPr>
                <w:rFonts w:ascii="Arial" w:hAnsi="Arial" w:cs="Arial"/>
              </w:rPr>
            </w:pPr>
            <w:r w:rsidRPr="005B7D6F">
              <w:rPr>
                <w:rFonts w:ascii="Arial" w:hAnsi="Arial" w:cs="Arial"/>
              </w:rPr>
              <w:t>28.07</w:t>
            </w:r>
          </w:p>
        </w:tc>
        <w:tc>
          <w:tcPr>
            <w:tcW w:w="485" w:type="pct"/>
            <w:shd w:val="clear" w:color="auto" w:fill="auto"/>
            <w:noWrap/>
            <w:vAlign w:val="center"/>
            <w:hideMark/>
          </w:tcPr>
          <w:p w14:paraId="0E03BEEA" w14:textId="77777777" w:rsidR="00BD4E86" w:rsidRPr="005B7D6F" w:rsidRDefault="00BD4E86" w:rsidP="00BD4E86">
            <w:pPr>
              <w:jc w:val="center"/>
              <w:rPr>
                <w:rFonts w:ascii="Arial" w:hAnsi="Arial" w:cs="Arial"/>
              </w:rPr>
            </w:pPr>
            <w:r w:rsidRPr="005B7D6F">
              <w:rPr>
                <w:rFonts w:ascii="Arial" w:hAnsi="Arial" w:cs="Arial"/>
              </w:rPr>
              <w:t>476.85</w:t>
            </w:r>
          </w:p>
        </w:tc>
        <w:tc>
          <w:tcPr>
            <w:tcW w:w="605" w:type="pct"/>
            <w:shd w:val="clear" w:color="auto" w:fill="auto"/>
            <w:vAlign w:val="center"/>
            <w:hideMark/>
          </w:tcPr>
          <w:p w14:paraId="40BFC9CF" w14:textId="77777777" w:rsidR="00BD4E86" w:rsidRPr="005B7D6F" w:rsidRDefault="00BD4E86" w:rsidP="00BD4E86">
            <w:pPr>
              <w:jc w:val="center"/>
              <w:rPr>
                <w:rFonts w:ascii="Arial" w:hAnsi="Arial" w:cs="Arial"/>
              </w:rPr>
            </w:pPr>
            <w:r w:rsidRPr="005B7D6F">
              <w:rPr>
                <w:rFonts w:ascii="Arial" w:hAnsi="Arial" w:cs="Arial"/>
              </w:rPr>
              <w:t>31.73</w:t>
            </w:r>
          </w:p>
        </w:tc>
        <w:tc>
          <w:tcPr>
            <w:tcW w:w="503" w:type="pct"/>
            <w:shd w:val="clear" w:color="auto" w:fill="auto"/>
            <w:noWrap/>
            <w:vAlign w:val="center"/>
            <w:hideMark/>
          </w:tcPr>
          <w:p w14:paraId="18ADE9E3" w14:textId="77777777" w:rsidR="00BD4E86" w:rsidRPr="005B7D6F" w:rsidRDefault="00BD4E86" w:rsidP="00BD4E86">
            <w:pPr>
              <w:jc w:val="center"/>
              <w:rPr>
                <w:rFonts w:ascii="Arial" w:hAnsi="Arial" w:cs="Arial"/>
              </w:rPr>
            </w:pPr>
            <w:r w:rsidRPr="005B7D6F">
              <w:rPr>
                <w:rFonts w:ascii="Arial" w:hAnsi="Arial" w:cs="Arial"/>
              </w:rPr>
              <w:t>570.56</w:t>
            </w:r>
          </w:p>
        </w:tc>
        <w:tc>
          <w:tcPr>
            <w:tcW w:w="605" w:type="pct"/>
            <w:shd w:val="clear" w:color="auto" w:fill="auto"/>
            <w:noWrap/>
            <w:vAlign w:val="center"/>
            <w:hideMark/>
          </w:tcPr>
          <w:p w14:paraId="62F25B37" w14:textId="77777777" w:rsidR="00BD4E86" w:rsidRPr="005B7D6F" w:rsidRDefault="00BD4E86" w:rsidP="00BD4E86">
            <w:pPr>
              <w:jc w:val="center"/>
              <w:rPr>
                <w:rFonts w:ascii="Arial" w:hAnsi="Arial" w:cs="Arial"/>
              </w:rPr>
            </w:pPr>
            <w:r w:rsidRPr="005B7D6F">
              <w:rPr>
                <w:rFonts w:ascii="Arial" w:hAnsi="Arial" w:cs="Arial"/>
              </w:rPr>
              <w:t>38.01</w:t>
            </w:r>
          </w:p>
        </w:tc>
      </w:tr>
      <w:tr w:rsidR="00BD4E86" w:rsidRPr="0070241A" w14:paraId="642B0CE8" w14:textId="77777777" w:rsidTr="004D08D0">
        <w:trPr>
          <w:trHeight w:val="359"/>
        </w:trPr>
        <w:tc>
          <w:tcPr>
            <w:tcW w:w="624" w:type="pct"/>
            <w:shd w:val="clear" w:color="auto" w:fill="auto"/>
            <w:noWrap/>
            <w:vAlign w:val="center"/>
            <w:hideMark/>
          </w:tcPr>
          <w:p w14:paraId="1938EF9D" w14:textId="411594FA" w:rsidR="00BD4E86" w:rsidRPr="00D72729" w:rsidRDefault="00BE7418" w:rsidP="00BD4E86">
            <w:pPr>
              <w:jc w:val="center"/>
              <w:rPr>
                <w:rFonts w:ascii="Arial" w:hAnsi="Arial" w:cs="Arial"/>
                <w:b/>
                <w:bCs/>
              </w:rPr>
            </w:pPr>
            <w:r w:rsidRPr="00D72729">
              <w:rPr>
                <w:rFonts w:ascii="Arial" w:hAnsi="Arial" w:cs="Arial"/>
                <w:b/>
                <w:bCs/>
              </w:rPr>
              <w:t>Open space</w:t>
            </w:r>
          </w:p>
        </w:tc>
        <w:tc>
          <w:tcPr>
            <w:tcW w:w="485" w:type="pct"/>
            <w:shd w:val="clear" w:color="auto" w:fill="auto"/>
            <w:noWrap/>
            <w:vAlign w:val="center"/>
            <w:hideMark/>
          </w:tcPr>
          <w:p w14:paraId="384D1FA5" w14:textId="77777777" w:rsidR="00BD4E86" w:rsidRPr="005B7D6F" w:rsidRDefault="00BD4E86" w:rsidP="00BD4E86">
            <w:pPr>
              <w:jc w:val="center"/>
              <w:rPr>
                <w:rFonts w:ascii="Arial" w:hAnsi="Arial" w:cs="Arial"/>
              </w:rPr>
            </w:pPr>
            <w:r w:rsidRPr="005B7D6F">
              <w:rPr>
                <w:rFonts w:ascii="Arial" w:hAnsi="Arial" w:cs="Arial"/>
              </w:rPr>
              <w:t>351.23</w:t>
            </w:r>
          </w:p>
        </w:tc>
        <w:tc>
          <w:tcPr>
            <w:tcW w:w="605" w:type="pct"/>
            <w:shd w:val="clear" w:color="auto" w:fill="auto"/>
            <w:noWrap/>
            <w:vAlign w:val="center"/>
            <w:hideMark/>
          </w:tcPr>
          <w:p w14:paraId="01C3CCF8" w14:textId="77777777" w:rsidR="00BD4E86" w:rsidRPr="005B7D6F" w:rsidRDefault="00BD4E86" w:rsidP="00BD4E86">
            <w:pPr>
              <w:jc w:val="center"/>
              <w:rPr>
                <w:rFonts w:ascii="Arial" w:hAnsi="Arial" w:cs="Arial"/>
              </w:rPr>
            </w:pPr>
            <w:r w:rsidRPr="005B7D6F">
              <w:rPr>
                <w:rFonts w:ascii="Arial" w:hAnsi="Arial" w:cs="Arial"/>
              </w:rPr>
              <w:t>23.37</w:t>
            </w:r>
          </w:p>
        </w:tc>
        <w:tc>
          <w:tcPr>
            <w:tcW w:w="485" w:type="pct"/>
            <w:shd w:val="clear" w:color="auto" w:fill="auto"/>
            <w:noWrap/>
            <w:vAlign w:val="center"/>
            <w:hideMark/>
          </w:tcPr>
          <w:p w14:paraId="4F9AF945" w14:textId="77777777" w:rsidR="00BD4E86" w:rsidRPr="005B7D6F" w:rsidRDefault="00BD4E86" w:rsidP="00BD4E86">
            <w:pPr>
              <w:jc w:val="center"/>
              <w:rPr>
                <w:rFonts w:ascii="Arial" w:hAnsi="Arial" w:cs="Arial"/>
              </w:rPr>
            </w:pPr>
            <w:r w:rsidRPr="005B7D6F">
              <w:rPr>
                <w:rFonts w:ascii="Arial" w:hAnsi="Arial" w:cs="Arial"/>
              </w:rPr>
              <w:t>293.84</w:t>
            </w:r>
          </w:p>
        </w:tc>
        <w:tc>
          <w:tcPr>
            <w:tcW w:w="605" w:type="pct"/>
            <w:shd w:val="clear" w:color="auto" w:fill="auto"/>
            <w:noWrap/>
            <w:vAlign w:val="center"/>
            <w:hideMark/>
          </w:tcPr>
          <w:p w14:paraId="0759A83C" w14:textId="77777777" w:rsidR="00BD4E86" w:rsidRPr="005B7D6F" w:rsidRDefault="00BD4E86" w:rsidP="00BD4E86">
            <w:pPr>
              <w:jc w:val="center"/>
              <w:rPr>
                <w:rFonts w:ascii="Arial" w:hAnsi="Arial" w:cs="Arial"/>
              </w:rPr>
            </w:pPr>
            <w:r w:rsidRPr="005B7D6F">
              <w:rPr>
                <w:rFonts w:ascii="Arial" w:hAnsi="Arial" w:cs="Arial"/>
              </w:rPr>
              <w:t>19.55</w:t>
            </w:r>
          </w:p>
        </w:tc>
        <w:tc>
          <w:tcPr>
            <w:tcW w:w="485" w:type="pct"/>
            <w:shd w:val="clear" w:color="auto" w:fill="auto"/>
            <w:noWrap/>
            <w:vAlign w:val="center"/>
            <w:hideMark/>
          </w:tcPr>
          <w:p w14:paraId="1597B9F3" w14:textId="77777777" w:rsidR="00BD4E86" w:rsidRPr="005B7D6F" w:rsidRDefault="00BD4E86" w:rsidP="00BD4E86">
            <w:pPr>
              <w:jc w:val="center"/>
              <w:rPr>
                <w:rFonts w:ascii="Arial" w:hAnsi="Arial" w:cs="Arial"/>
              </w:rPr>
            </w:pPr>
            <w:r w:rsidRPr="005B7D6F">
              <w:rPr>
                <w:rFonts w:ascii="Arial" w:hAnsi="Arial" w:cs="Arial"/>
              </w:rPr>
              <w:t>258.57</w:t>
            </w:r>
          </w:p>
        </w:tc>
        <w:tc>
          <w:tcPr>
            <w:tcW w:w="605" w:type="pct"/>
            <w:shd w:val="clear" w:color="auto" w:fill="auto"/>
            <w:vAlign w:val="center"/>
            <w:hideMark/>
          </w:tcPr>
          <w:p w14:paraId="78C562EF" w14:textId="77777777" w:rsidR="00BD4E86" w:rsidRPr="005B7D6F" w:rsidRDefault="00BD4E86" w:rsidP="00BD4E86">
            <w:pPr>
              <w:jc w:val="center"/>
              <w:rPr>
                <w:rFonts w:ascii="Arial" w:hAnsi="Arial" w:cs="Arial"/>
              </w:rPr>
            </w:pPr>
            <w:r w:rsidRPr="005B7D6F">
              <w:rPr>
                <w:rFonts w:ascii="Arial" w:hAnsi="Arial" w:cs="Arial"/>
              </w:rPr>
              <w:t>17.21</w:t>
            </w:r>
          </w:p>
        </w:tc>
        <w:tc>
          <w:tcPr>
            <w:tcW w:w="503" w:type="pct"/>
            <w:shd w:val="clear" w:color="auto" w:fill="auto"/>
            <w:noWrap/>
            <w:vAlign w:val="center"/>
            <w:hideMark/>
          </w:tcPr>
          <w:p w14:paraId="47716BDA" w14:textId="77777777" w:rsidR="00BD4E86" w:rsidRPr="005B7D6F" w:rsidRDefault="00BD4E86" w:rsidP="00BD4E86">
            <w:pPr>
              <w:jc w:val="center"/>
              <w:rPr>
                <w:rFonts w:ascii="Arial" w:hAnsi="Arial" w:cs="Arial"/>
              </w:rPr>
            </w:pPr>
            <w:r w:rsidRPr="005B7D6F">
              <w:rPr>
                <w:rFonts w:ascii="Arial" w:hAnsi="Arial" w:cs="Arial"/>
              </w:rPr>
              <w:t>138.73</w:t>
            </w:r>
          </w:p>
        </w:tc>
        <w:tc>
          <w:tcPr>
            <w:tcW w:w="605" w:type="pct"/>
            <w:shd w:val="clear" w:color="auto" w:fill="auto"/>
            <w:noWrap/>
            <w:vAlign w:val="center"/>
            <w:hideMark/>
          </w:tcPr>
          <w:p w14:paraId="65435BF1" w14:textId="77777777" w:rsidR="00BD4E86" w:rsidRPr="005B7D6F" w:rsidRDefault="00BD4E86" w:rsidP="00BD4E86">
            <w:pPr>
              <w:jc w:val="center"/>
              <w:rPr>
                <w:rFonts w:ascii="Arial" w:hAnsi="Arial" w:cs="Arial"/>
              </w:rPr>
            </w:pPr>
            <w:r w:rsidRPr="005B7D6F">
              <w:rPr>
                <w:rFonts w:ascii="Arial" w:hAnsi="Arial" w:cs="Arial"/>
              </w:rPr>
              <w:t>9.24</w:t>
            </w:r>
          </w:p>
        </w:tc>
      </w:tr>
      <w:tr w:rsidR="00BD4E86" w:rsidRPr="0070241A" w14:paraId="26A82F74" w14:textId="77777777" w:rsidTr="004D08D0">
        <w:trPr>
          <w:trHeight w:val="359"/>
        </w:trPr>
        <w:tc>
          <w:tcPr>
            <w:tcW w:w="624" w:type="pct"/>
            <w:tcBorders>
              <w:bottom w:val="single" w:sz="4" w:space="0" w:color="auto"/>
            </w:tcBorders>
            <w:shd w:val="clear" w:color="auto" w:fill="auto"/>
            <w:noWrap/>
            <w:vAlign w:val="center"/>
            <w:hideMark/>
          </w:tcPr>
          <w:p w14:paraId="629B10BF" w14:textId="77777777" w:rsidR="00BD4E86" w:rsidRPr="00D72729" w:rsidRDefault="00BD4E86" w:rsidP="00BD4E86">
            <w:pPr>
              <w:jc w:val="center"/>
              <w:rPr>
                <w:rFonts w:ascii="Arial" w:hAnsi="Arial" w:cs="Arial"/>
                <w:b/>
                <w:bCs/>
              </w:rPr>
            </w:pPr>
            <w:r w:rsidRPr="00D72729">
              <w:rPr>
                <w:rFonts w:ascii="Arial" w:hAnsi="Arial" w:cs="Arial"/>
                <w:b/>
                <w:bCs/>
              </w:rPr>
              <w:t>Total</w:t>
            </w:r>
          </w:p>
        </w:tc>
        <w:tc>
          <w:tcPr>
            <w:tcW w:w="485" w:type="pct"/>
            <w:tcBorders>
              <w:bottom w:val="single" w:sz="4" w:space="0" w:color="auto"/>
            </w:tcBorders>
            <w:shd w:val="clear" w:color="auto" w:fill="auto"/>
            <w:noWrap/>
            <w:vAlign w:val="center"/>
            <w:hideMark/>
          </w:tcPr>
          <w:p w14:paraId="71DE61E0" w14:textId="77777777" w:rsidR="00BD4E86" w:rsidRPr="005B7D6F" w:rsidRDefault="00BD4E86" w:rsidP="00BD4E86">
            <w:pPr>
              <w:jc w:val="center"/>
              <w:rPr>
                <w:rFonts w:ascii="Arial" w:hAnsi="Arial" w:cs="Arial"/>
              </w:rPr>
            </w:pPr>
            <w:r w:rsidRPr="005B7D6F">
              <w:rPr>
                <w:rFonts w:ascii="Arial" w:hAnsi="Arial" w:cs="Arial"/>
              </w:rPr>
              <w:t>1502.79</w:t>
            </w:r>
          </w:p>
        </w:tc>
        <w:tc>
          <w:tcPr>
            <w:tcW w:w="605" w:type="pct"/>
            <w:tcBorders>
              <w:bottom w:val="single" w:sz="4" w:space="0" w:color="auto"/>
            </w:tcBorders>
            <w:shd w:val="clear" w:color="auto" w:fill="auto"/>
            <w:noWrap/>
            <w:vAlign w:val="center"/>
            <w:hideMark/>
          </w:tcPr>
          <w:p w14:paraId="7B5DBD31" w14:textId="77777777" w:rsidR="00BD4E86" w:rsidRPr="005B7D6F" w:rsidRDefault="00BD4E86" w:rsidP="00BD4E86">
            <w:pPr>
              <w:jc w:val="center"/>
              <w:rPr>
                <w:rFonts w:ascii="Arial" w:hAnsi="Arial" w:cs="Arial"/>
              </w:rPr>
            </w:pPr>
            <w:r w:rsidRPr="005B7D6F">
              <w:rPr>
                <w:rFonts w:ascii="Arial" w:hAnsi="Arial" w:cs="Arial"/>
              </w:rPr>
              <w:t>100.00</w:t>
            </w:r>
          </w:p>
        </w:tc>
        <w:tc>
          <w:tcPr>
            <w:tcW w:w="485" w:type="pct"/>
            <w:tcBorders>
              <w:bottom w:val="single" w:sz="4" w:space="0" w:color="auto"/>
            </w:tcBorders>
            <w:shd w:val="clear" w:color="auto" w:fill="auto"/>
            <w:noWrap/>
            <w:vAlign w:val="center"/>
            <w:hideMark/>
          </w:tcPr>
          <w:p w14:paraId="562FF384" w14:textId="77777777" w:rsidR="00BD4E86" w:rsidRPr="005B7D6F" w:rsidRDefault="00BD4E86" w:rsidP="00BD4E86">
            <w:pPr>
              <w:jc w:val="center"/>
              <w:rPr>
                <w:rFonts w:ascii="Arial" w:hAnsi="Arial" w:cs="Arial"/>
              </w:rPr>
            </w:pPr>
            <w:r w:rsidRPr="005B7D6F">
              <w:rPr>
                <w:rFonts w:ascii="Arial" w:hAnsi="Arial" w:cs="Arial"/>
              </w:rPr>
              <w:t>1502.9</w:t>
            </w:r>
          </w:p>
        </w:tc>
        <w:tc>
          <w:tcPr>
            <w:tcW w:w="605" w:type="pct"/>
            <w:tcBorders>
              <w:bottom w:val="single" w:sz="4" w:space="0" w:color="auto"/>
            </w:tcBorders>
            <w:shd w:val="clear" w:color="auto" w:fill="auto"/>
            <w:noWrap/>
            <w:vAlign w:val="center"/>
            <w:hideMark/>
          </w:tcPr>
          <w:p w14:paraId="089DEC64" w14:textId="77777777" w:rsidR="00BD4E86" w:rsidRPr="005B7D6F" w:rsidRDefault="00BD4E86" w:rsidP="00BD4E86">
            <w:pPr>
              <w:jc w:val="center"/>
              <w:rPr>
                <w:rFonts w:ascii="Arial" w:hAnsi="Arial" w:cs="Arial"/>
              </w:rPr>
            </w:pPr>
            <w:r w:rsidRPr="005B7D6F">
              <w:rPr>
                <w:rFonts w:ascii="Arial" w:hAnsi="Arial" w:cs="Arial"/>
              </w:rPr>
              <w:t>100.00</w:t>
            </w:r>
          </w:p>
        </w:tc>
        <w:tc>
          <w:tcPr>
            <w:tcW w:w="485" w:type="pct"/>
            <w:tcBorders>
              <w:bottom w:val="single" w:sz="4" w:space="0" w:color="auto"/>
            </w:tcBorders>
            <w:shd w:val="clear" w:color="auto" w:fill="auto"/>
            <w:noWrap/>
            <w:vAlign w:val="center"/>
            <w:hideMark/>
          </w:tcPr>
          <w:p w14:paraId="2D827F36" w14:textId="77777777" w:rsidR="00BD4E86" w:rsidRPr="005B7D6F" w:rsidRDefault="00BD4E86" w:rsidP="00BD4E86">
            <w:pPr>
              <w:jc w:val="center"/>
              <w:rPr>
                <w:rFonts w:ascii="Arial" w:hAnsi="Arial" w:cs="Arial"/>
              </w:rPr>
            </w:pPr>
            <w:r w:rsidRPr="005B7D6F">
              <w:rPr>
                <w:rFonts w:ascii="Arial" w:hAnsi="Arial" w:cs="Arial"/>
              </w:rPr>
              <w:t>1502.78</w:t>
            </w:r>
          </w:p>
        </w:tc>
        <w:tc>
          <w:tcPr>
            <w:tcW w:w="605" w:type="pct"/>
            <w:tcBorders>
              <w:bottom w:val="single" w:sz="4" w:space="0" w:color="auto"/>
            </w:tcBorders>
            <w:shd w:val="clear" w:color="auto" w:fill="auto"/>
            <w:vAlign w:val="center"/>
            <w:hideMark/>
          </w:tcPr>
          <w:p w14:paraId="02570E04" w14:textId="77777777" w:rsidR="00BD4E86" w:rsidRPr="005B7D6F" w:rsidRDefault="00BD4E86" w:rsidP="00BD4E86">
            <w:pPr>
              <w:jc w:val="center"/>
              <w:rPr>
                <w:rFonts w:ascii="Arial" w:hAnsi="Arial" w:cs="Arial"/>
              </w:rPr>
            </w:pPr>
            <w:r w:rsidRPr="005B7D6F">
              <w:rPr>
                <w:rFonts w:ascii="Arial" w:hAnsi="Arial" w:cs="Arial"/>
              </w:rPr>
              <w:t>100.00</w:t>
            </w:r>
          </w:p>
        </w:tc>
        <w:tc>
          <w:tcPr>
            <w:tcW w:w="503" w:type="pct"/>
            <w:tcBorders>
              <w:bottom w:val="single" w:sz="4" w:space="0" w:color="auto"/>
            </w:tcBorders>
            <w:shd w:val="clear" w:color="auto" w:fill="auto"/>
            <w:noWrap/>
            <w:vAlign w:val="center"/>
            <w:hideMark/>
          </w:tcPr>
          <w:p w14:paraId="60C1694C" w14:textId="77777777" w:rsidR="00BD4E86" w:rsidRPr="005B7D6F" w:rsidRDefault="00BD4E86" w:rsidP="00BD4E86">
            <w:pPr>
              <w:jc w:val="center"/>
              <w:rPr>
                <w:rFonts w:ascii="Arial" w:hAnsi="Arial" w:cs="Arial"/>
              </w:rPr>
            </w:pPr>
            <w:r w:rsidRPr="005B7D6F">
              <w:rPr>
                <w:rFonts w:ascii="Arial" w:hAnsi="Arial" w:cs="Arial"/>
              </w:rPr>
              <w:t>1501.26</w:t>
            </w:r>
          </w:p>
        </w:tc>
        <w:tc>
          <w:tcPr>
            <w:tcW w:w="605" w:type="pct"/>
            <w:tcBorders>
              <w:bottom w:val="single" w:sz="4" w:space="0" w:color="auto"/>
            </w:tcBorders>
            <w:shd w:val="clear" w:color="auto" w:fill="auto"/>
            <w:noWrap/>
            <w:vAlign w:val="center"/>
            <w:hideMark/>
          </w:tcPr>
          <w:p w14:paraId="76F16B24" w14:textId="77777777" w:rsidR="00BD4E86" w:rsidRPr="005B7D6F" w:rsidRDefault="00BD4E86" w:rsidP="00BD4E86">
            <w:pPr>
              <w:jc w:val="center"/>
              <w:rPr>
                <w:rFonts w:ascii="Arial" w:hAnsi="Arial" w:cs="Arial"/>
              </w:rPr>
            </w:pPr>
            <w:r w:rsidRPr="005B7D6F">
              <w:rPr>
                <w:rFonts w:ascii="Arial" w:hAnsi="Arial" w:cs="Arial"/>
              </w:rPr>
              <w:t>100.00</w:t>
            </w:r>
          </w:p>
        </w:tc>
      </w:tr>
    </w:tbl>
    <w:p w14:paraId="66ECC718" w14:textId="35E0C757" w:rsidR="000779AE" w:rsidRDefault="000779AE" w:rsidP="000779AE">
      <w:pPr>
        <w:pStyle w:val="Body"/>
        <w:spacing w:before="240"/>
        <w:rPr>
          <w:rFonts w:ascii="Arial" w:hAnsi="Arial" w:cs="Arial"/>
          <w:b/>
          <w:caps/>
          <w:sz w:val="22"/>
        </w:rPr>
      </w:pPr>
      <w:r>
        <w:rPr>
          <w:rFonts w:ascii="Arial" w:hAnsi="Arial" w:cs="Arial"/>
          <w:b/>
          <w:caps/>
          <w:sz w:val="22"/>
        </w:rPr>
        <w:t>3</w:t>
      </w:r>
      <w:r w:rsidRPr="00C30A0F">
        <w:rPr>
          <w:rFonts w:ascii="Arial" w:hAnsi="Arial" w:cs="Arial"/>
          <w:b/>
          <w:caps/>
          <w:sz w:val="22"/>
        </w:rPr>
        <w:t>.</w:t>
      </w:r>
      <w:r w:rsidR="002A030C">
        <w:rPr>
          <w:rFonts w:ascii="Arial" w:hAnsi="Arial" w:cs="Arial"/>
          <w:b/>
          <w:caps/>
          <w:sz w:val="22"/>
        </w:rPr>
        <w:t>2</w:t>
      </w:r>
      <w:r w:rsidRPr="00C30A0F">
        <w:rPr>
          <w:rFonts w:ascii="Arial" w:hAnsi="Arial" w:cs="Arial"/>
          <w:b/>
          <w:caps/>
          <w:sz w:val="22"/>
        </w:rPr>
        <w:t xml:space="preserve"> </w:t>
      </w:r>
      <w:r>
        <w:rPr>
          <w:rFonts w:ascii="Arial" w:hAnsi="Arial" w:cs="Arial"/>
          <w:b/>
          <w:caps/>
          <w:sz w:val="22"/>
        </w:rPr>
        <w:t>Accuracy assessment</w:t>
      </w:r>
    </w:p>
    <w:p w14:paraId="0B4C1F9D" w14:textId="70E60FC9" w:rsidR="00093E10" w:rsidRDefault="002A388F" w:rsidP="002A388F">
      <w:pPr>
        <w:pStyle w:val="Body"/>
        <w:spacing w:before="240"/>
        <w:rPr>
          <w:rFonts w:ascii="Arial" w:hAnsi="Arial" w:cs="Arial"/>
        </w:rPr>
      </w:pPr>
      <w:r w:rsidRPr="002A388F">
        <w:rPr>
          <w:rFonts w:ascii="Arial" w:hAnsi="Arial" w:cs="Arial"/>
        </w:rPr>
        <w:t xml:space="preserve">Table </w:t>
      </w:r>
      <w:r>
        <w:rPr>
          <w:rFonts w:ascii="Arial" w:hAnsi="Arial" w:cs="Arial"/>
        </w:rPr>
        <w:t>5</w:t>
      </w:r>
      <w:r w:rsidRPr="002A388F">
        <w:rPr>
          <w:rFonts w:ascii="Arial" w:hAnsi="Arial" w:cs="Arial"/>
        </w:rPr>
        <w:t xml:space="preserve"> presents the classification accuracy assessment of land use/land cover (LULC) maps for the years </w:t>
      </w:r>
      <w:r w:rsidRPr="00565C92">
        <w:rPr>
          <w:rFonts w:ascii="Arial" w:hAnsi="Arial" w:cs="Arial"/>
        </w:rPr>
        <w:t>199</w:t>
      </w:r>
      <w:r w:rsidR="00905031" w:rsidRPr="00565C92">
        <w:rPr>
          <w:rFonts w:ascii="Arial" w:hAnsi="Arial" w:cs="Arial"/>
        </w:rPr>
        <w:t>1</w:t>
      </w:r>
      <w:r w:rsidRPr="00565C92">
        <w:rPr>
          <w:rFonts w:ascii="Arial" w:hAnsi="Arial" w:cs="Arial"/>
        </w:rPr>
        <w:t>, 200</w:t>
      </w:r>
      <w:r w:rsidR="00905031" w:rsidRPr="00565C92">
        <w:rPr>
          <w:rFonts w:ascii="Arial" w:hAnsi="Arial" w:cs="Arial"/>
        </w:rPr>
        <w:t>1</w:t>
      </w:r>
      <w:r w:rsidRPr="00565C92">
        <w:rPr>
          <w:rFonts w:ascii="Arial" w:hAnsi="Arial" w:cs="Arial"/>
        </w:rPr>
        <w:t>, 201</w:t>
      </w:r>
      <w:r w:rsidR="00905031" w:rsidRPr="00565C92">
        <w:rPr>
          <w:rFonts w:ascii="Arial" w:hAnsi="Arial" w:cs="Arial"/>
        </w:rPr>
        <w:t>1</w:t>
      </w:r>
      <w:r w:rsidRPr="00565C92">
        <w:rPr>
          <w:rFonts w:ascii="Arial" w:hAnsi="Arial" w:cs="Arial"/>
        </w:rPr>
        <w:t>, and 202</w:t>
      </w:r>
      <w:r w:rsidR="00905031" w:rsidRPr="00565C92">
        <w:rPr>
          <w:rFonts w:ascii="Arial" w:hAnsi="Arial" w:cs="Arial"/>
        </w:rPr>
        <w:t>1</w:t>
      </w:r>
      <w:r w:rsidRPr="00565C92">
        <w:rPr>
          <w:rFonts w:ascii="Arial" w:hAnsi="Arial" w:cs="Arial"/>
        </w:rPr>
        <w:t xml:space="preserve"> using user’s accuracy (UA), producer’s accuracy (PA), overall accuracy (OA), and the Kappa coefficient as standard performance metrics. The overall accuracy ranged from 86.73% to 93.09% across the four temporal datasets, with the highest classification accuracy observed in 202</w:t>
      </w:r>
      <w:r w:rsidR="00725783">
        <w:rPr>
          <w:rFonts w:ascii="Arial" w:hAnsi="Arial" w:cs="Arial"/>
        </w:rPr>
        <w:t>1</w:t>
      </w:r>
      <w:r w:rsidRPr="00565C92">
        <w:rPr>
          <w:rFonts w:ascii="Arial" w:hAnsi="Arial" w:cs="Arial"/>
        </w:rPr>
        <w:t xml:space="preserve"> (OA = 93.09%; Kappa = 0.9158), indicating substantial agreement between classified and reference data. The lowest accuracy was recorded in 201</w:t>
      </w:r>
      <w:r w:rsidR="00905031" w:rsidRPr="00565C92">
        <w:rPr>
          <w:rFonts w:ascii="Arial" w:hAnsi="Arial" w:cs="Arial"/>
        </w:rPr>
        <w:t>1</w:t>
      </w:r>
      <w:r w:rsidRPr="00565C92">
        <w:rPr>
          <w:rFonts w:ascii="Arial" w:hAnsi="Arial" w:cs="Arial"/>
        </w:rPr>
        <w:t xml:space="preserve"> (OA = 86.73%; Kappa = 0.846), potentially due to increased heterogeneity in land cover and urban expansion during that period.</w:t>
      </w:r>
      <w:r w:rsidR="00506D1A" w:rsidRPr="00565C92">
        <w:rPr>
          <w:rFonts w:ascii="Arial" w:hAnsi="Arial" w:cs="Arial"/>
        </w:rPr>
        <w:t xml:space="preserve"> </w:t>
      </w:r>
      <w:r w:rsidRPr="00565C92">
        <w:rPr>
          <w:rFonts w:ascii="Arial" w:hAnsi="Arial" w:cs="Arial"/>
        </w:rPr>
        <w:t>Among the LULC classes, Water Body consistently achieved high UA and PA across all years, with perfect or near-perfect classification in 200</w:t>
      </w:r>
      <w:r w:rsidR="00905031" w:rsidRPr="00565C92">
        <w:rPr>
          <w:rFonts w:ascii="Arial" w:hAnsi="Arial" w:cs="Arial"/>
        </w:rPr>
        <w:t>1</w:t>
      </w:r>
      <w:r w:rsidRPr="00565C92">
        <w:rPr>
          <w:rFonts w:ascii="Arial" w:hAnsi="Arial" w:cs="Arial"/>
        </w:rPr>
        <w:t xml:space="preserve"> and 202</w:t>
      </w:r>
      <w:r w:rsidR="00905031" w:rsidRPr="00565C92">
        <w:rPr>
          <w:rFonts w:ascii="Arial" w:hAnsi="Arial" w:cs="Arial"/>
        </w:rPr>
        <w:t>1</w:t>
      </w:r>
      <w:r w:rsidRPr="00565C92">
        <w:rPr>
          <w:rFonts w:ascii="Arial" w:hAnsi="Arial" w:cs="Arial"/>
        </w:rPr>
        <w:t xml:space="preserve"> (PA = 100% in 202</w:t>
      </w:r>
      <w:r w:rsidR="00905031" w:rsidRPr="00565C92">
        <w:rPr>
          <w:rFonts w:ascii="Arial" w:hAnsi="Arial" w:cs="Arial"/>
        </w:rPr>
        <w:t>1</w:t>
      </w:r>
      <w:r w:rsidRPr="00565C92">
        <w:rPr>
          <w:rFonts w:ascii="Arial" w:hAnsi="Arial" w:cs="Arial"/>
        </w:rPr>
        <w:t>), reflecting the distinct spectral signature and minimal confusion with other classes. Vegetation and Open space classes showed moderate variation in accuracy, with noticeable improvement in 202</w:t>
      </w:r>
      <w:r w:rsidR="00905031" w:rsidRPr="00565C92">
        <w:rPr>
          <w:rFonts w:ascii="Arial" w:hAnsi="Arial" w:cs="Arial"/>
        </w:rPr>
        <w:t>1</w:t>
      </w:r>
      <w:r w:rsidRPr="00565C92">
        <w:rPr>
          <w:rFonts w:ascii="Arial" w:hAnsi="Arial" w:cs="Arial"/>
        </w:rPr>
        <w:t xml:space="preserve"> (UA = 93.67% and 94.27%, respectively), attributed to better spatial resolution and classification techniques. The Forest class demonstrated relatively lower accuracies in earlier years (UA = 77.92% in 200</w:t>
      </w:r>
      <w:r w:rsidR="00905031" w:rsidRPr="00565C92">
        <w:rPr>
          <w:rFonts w:ascii="Arial" w:hAnsi="Arial" w:cs="Arial"/>
        </w:rPr>
        <w:t>1</w:t>
      </w:r>
      <w:r w:rsidRPr="00565C92">
        <w:rPr>
          <w:rFonts w:ascii="Arial" w:hAnsi="Arial" w:cs="Arial"/>
        </w:rPr>
        <w:t>), but improved significantly by 202</w:t>
      </w:r>
      <w:r w:rsidR="00905031" w:rsidRPr="00565C92">
        <w:rPr>
          <w:rFonts w:ascii="Arial" w:hAnsi="Arial" w:cs="Arial"/>
        </w:rPr>
        <w:t>1</w:t>
      </w:r>
      <w:r w:rsidRPr="00565C92">
        <w:rPr>
          <w:rFonts w:ascii="Arial" w:hAnsi="Arial" w:cs="Arial"/>
        </w:rPr>
        <w:t xml:space="preserve"> (UA = 83.54%, PA = 94.28%) due to refined training data and reduced confusion with dense vegetation.</w:t>
      </w:r>
      <w:r w:rsidR="004F3F13" w:rsidRPr="00565C92">
        <w:rPr>
          <w:rFonts w:ascii="Arial" w:hAnsi="Arial" w:cs="Arial"/>
        </w:rPr>
        <w:t xml:space="preserve"> </w:t>
      </w:r>
      <w:r w:rsidRPr="00565C92">
        <w:rPr>
          <w:rFonts w:ascii="Arial" w:hAnsi="Arial" w:cs="Arial"/>
        </w:rPr>
        <w:t>The Agriculture and Built-up classes showed considerable improvement over the years, with Agriculture rising from PA = 77.91% in 201</w:t>
      </w:r>
      <w:r w:rsidR="00905031" w:rsidRPr="00565C92">
        <w:rPr>
          <w:rFonts w:ascii="Arial" w:hAnsi="Arial" w:cs="Arial"/>
        </w:rPr>
        <w:t>1</w:t>
      </w:r>
      <w:r w:rsidRPr="00565C92">
        <w:rPr>
          <w:rFonts w:ascii="Arial" w:hAnsi="Arial" w:cs="Arial"/>
        </w:rPr>
        <w:t xml:space="preserve"> to 90.12% in 202</w:t>
      </w:r>
      <w:r w:rsidR="00905031" w:rsidRPr="00565C92">
        <w:rPr>
          <w:rFonts w:ascii="Arial" w:hAnsi="Arial" w:cs="Arial"/>
        </w:rPr>
        <w:t>1</w:t>
      </w:r>
      <w:r w:rsidRPr="00565C92">
        <w:rPr>
          <w:rFonts w:ascii="Arial" w:hAnsi="Arial" w:cs="Arial"/>
        </w:rPr>
        <w:t>, while Built-up areas achieved the highest accuracy in 202</w:t>
      </w:r>
      <w:r w:rsidR="00725783">
        <w:rPr>
          <w:rFonts w:ascii="Arial" w:hAnsi="Arial" w:cs="Arial"/>
        </w:rPr>
        <w:t>1</w:t>
      </w:r>
      <w:r w:rsidRPr="00565C92">
        <w:rPr>
          <w:rFonts w:ascii="Arial" w:hAnsi="Arial" w:cs="Arial"/>
        </w:rPr>
        <w:t xml:space="preserve"> (UA = 94.94%, PA = 94.93%), indicative of increasing</w:t>
      </w:r>
      <w:r w:rsidRPr="002A388F">
        <w:rPr>
          <w:rFonts w:ascii="Arial" w:hAnsi="Arial" w:cs="Arial"/>
        </w:rPr>
        <w:t>ly accurate identification of urban features, likely due to increased separability of spectral characteristics of impervious surfaces. Overall, the results demonstrate a temporal improvement in classification performance, highlighting the advancement of classification methods and data preprocessing strategies adopted in recent years</w:t>
      </w:r>
      <w:r w:rsidR="00725783">
        <w:rPr>
          <w:rFonts w:ascii="Arial" w:hAnsi="Arial" w:cs="Arial"/>
        </w:rPr>
        <w:t xml:space="preserve"> </w:t>
      </w:r>
      <w:r w:rsidR="00725783">
        <w:rPr>
          <w:rFonts w:ascii="Arial" w:hAnsi="Arial" w:cs="Arial"/>
        </w:rPr>
        <w:fldChar w:fldCharType="begin"/>
      </w:r>
      <w:r w:rsidR="00725783">
        <w:rPr>
          <w:rFonts w:ascii="Arial" w:hAnsi="Arial" w:cs="Arial"/>
        </w:rPr>
        <w:instrText xml:space="preserve"> ADDIN ZOTERO_ITEM CSL_CITATION {"citationID":"BiOS8b5m","properties":{"formattedCitation":"(Fotso Kamga et al., 2021)","plainCitation":"(Fotso Kamga et al., 2021)","noteIndex":0},"citationItems":[{"id":1397,"uris":["http://zotero.org/users/local/l98j9GEk/items/MAMGZZJA"],"itemData":{"id":1397,"type":"article-journal","abstract":"Segmentation and classification are two imperative, yet challenging tasks in image analysis for remote-sensing applications. In the former, an image is divided into spatially continuous, disjoint, and homogeneous regions, called clusters, in terms of their various properties: shape, intensity, texture, colour, contrast, etc. Classification, on the other hand, is applied later in the process, to recognize or categorize individual objects or targets. Each task plays an important role in the refinement and enhancement of the various utilizations of remote sensing images. Driven by recent progress in earth observation sensor technology, satellite image classification systems for earth-observation applications have seen significant growth and progress. This growth has led to a notable increase in the number of published materials in these areas. We present an overview of the horizons that the modern remote sensing domain promises in terms of the efficient classification processing of satellite imagery. We begin by defining remote sensing, specifically in the context of its potential application areas, and highlight the importance of pre-processing and feature extraction steps’ in accurate classification. Various works have proposed novel segmentation, feature extraction/selection, and classification methods; these have been collected and duly reported in this work. The deep learning classification method has been given special attention due to its relatively limited dependence on training data, its wide spectrum of applications, and its ability to autonomously classify images with higher accuracy. We conclude by presenting a critical evaluation of the important contributions in this domain.","container-title":"International Journal of Remote Sensing","DOI":"10.1080/01431161.2021.1954261","ISSN":"0143-1161","issue":"20","note":"publisher: Taylor &amp; Francis\n_eprint: https://doi.org/10.1080/01431161.2021.1954261","page":"7662-7722","source":"Taylor and Francis+NEJM","title":"Advancements in satellite image classification : methodologies, techniques, approaches and applications","title-short":"Advancements in satellite image classification","volume":"42","author":[{"family":"Fotso Kamga","given":"G. A."},{"family":"","given":"Bitjoka ,L"},{"family":"","given":"Akram ,T."},{"family":"","given":"Mengue Mbom ,A."},{"family":"","given":"Rameez Naqvi ,S."},{"family":"Bouroubi","given":"Y.","non-dropping-particle":"and"}],"issued":{"date-parts":[["2021",10,18]]}}}],"schema":"https://github.com/citation-style-language/schema/raw/master/csl-citation.json"} </w:instrText>
      </w:r>
      <w:r w:rsidR="00725783">
        <w:rPr>
          <w:rFonts w:ascii="Arial" w:hAnsi="Arial" w:cs="Arial"/>
        </w:rPr>
        <w:fldChar w:fldCharType="separate"/>
      </w:r>
      <w:r w:rsidR="00725783" w:rsidRPr="00725783">
        <w:rPr>
          <w:rFonts w:ascii="Arial" w:hAnsi="Arial" w:cs="Arial"/>
          <w:b/>
          <w:bCs/>
        </w:rPr>
        <w:t>(Fotso Kamga et al., 2021</w:t>
      </w:r>
      <w:r w:rsidR="00725783" w:rsidRPr="00725783">
        <w:rPr>
          <w:rFonts w:ascii="Arial" w:hAnsi="Arial" w:cs="Arial"/>
        </w:rPr>
        <w:t>)</w:t>
      </w:r>
      <w:r w:rsidR="00725783">
        <w:rPr>
          <w:rFonts w:ascii="Arial" w:hAnsi="Arial" w:cs="Arial"/>
        </w:rPr>
        <w:fldChar w:fldCharType="end"/>
      </w:r>
      <w:r w:rsidRPr="002A388F">
        <w:rPr>
          <w:rFonts w:ascii="Arial" w:hAnsi="Arial" w:cs="Arial"/>
        </w:rPr>
        <w:t>.</w:t>
      </w:r>
    </w:p>
    <w:p w14:paraId="0BBCA10A" w14:textId="335F1DCE" w:rsidR="00573498" w:rsidRPr="00F64AA9" w:rsidRDefault="00573498" w:rsidP="003012AC">
      <w:pPr>
        <w:tabs>
          <w:tab w:val="left" w:pos="851"/>
        </w:tabs>
        <w:jc w:val="both"/>
        <w:rPr>
          <w:rFonts w:ascii="Arial" w:hAnsi="Arial"/>
          <w:b/>
        </w:rPr>
      </w:pPr>
      <w:r>
        <w:rPr>
          <w:rFonts w:ascii="Arial" w:hAnsi="Arial"/>
          <w:b/>
        </w:rPr>
        <w:t>Table 5.</w:t>
      </w:r>
      <w:r w:rsidRPr="00DC3180">
        <w:rPr>
          <w:rFonts w:ascii="Arial" w:hAnsi="Arial"/>
          <w:b/>
        </w:rPr>
        <w:tab/>
      </w:r>
      <w:r w:rsidR="003012AC" w:rsidRPr="003012AC">
        <w:rPr>
          <w:rFonts w:ascii="Arial" w:hAnsi="Arial"/>
          <w:b/>
        </w:rPr>
        <w:t>Accuracy assessment using error metrics and kappa</w:t>
      </w:r>
      <w:r w:rsidR="003012AC">
        <w:rPr>
          <w:rFonts w:ascii="Arial" w:hAnsi="Arial"/>
          <w:b/>
        </w:rPr>
        <w:t xml:space="preserve"> </w:t>
      </w:r>
      <w:r w:rsidR="003012AC" w:rsidRPr="003012AC">
        <w:rPr>
          <w:rFonts w:ascii="Arial" w:hAnsi="Arial"/>
          <w:b/>
        </w:rPr>
        <w:t xml:space="preserve">coefficient </w:t>
      </w:r>
      <w:r w:rsidR="003012AC">
        <w:rPr>
          <w:rFonts w:ascii="Arial" w:hAnsi="Arial"/>
          <w:b/>
        </w:rPr>
        <w:t>(</w:t>
      </w:r>
      <w:r w:rsidR="009204C3">
        <w:rPr>
          <w:rFonts w:ascii="Arial" w:hAnsi="Arial"/>
          <w:b/>
        </w:rPr>
        <w:t>1</w:t>
      </w:r>
      <w:r w:rsidR="003012AC">
        <w:rPr>
          <w:rFonts w:ascii="Arial" w:hAnsi="Arial"/>
          <w:b/>
        </w:rPr>
        <w:t>991 - 2021)</w:t>
      </w:r>
    </w:p>
    <w:p w14:paraId="422327F8" w14:textId="09046FE7" w:rsidR="0070241A" w:rsidRDefault="0070241A" w:rsidP="003012AC">
      <w:pPr>
        <w:pStyle w:val="Body"/>
        <w:spacing w:after="0"/>
        <w:ind w:right="-14"/>
        <w:rPr>
          <w:rFonts w:ascii="Arial" w:hAnsi="Arial" w:cs="Arial"/>
        </w:rPr>
      </w:pPr>
    </w:p>
    <w:tbl>
      <w:tblPr>
        <w:tblW w:w="8985" w:type="dxa"/>
        <w:tblInd w:w="113" w:type="dxa"/>
        <w:tblLook w:val="04A0" w:firstRow="1" w:lastRow="0" w:firstColumn="1" w:lastColumn="0" w:noHBand="0" w:noVBand="1"/>
      </w:tblPr>
      <w:tblGrid>
        <w:gridCol w:w="1725"/>
        <w:gridCol w:w="2351"/>
        <w:gridCol w:w="2291"/>
        <w:gridCol w:w="2618"/>
      </w:tblGrid>
      <w:tr w:rsidR="00093E10" w:rsidRPr="00093E10" w14:paraId="59982D3F" w14:textId="77777777" w:rsidTr="003B4F52">
        <w:trPr>
          <w:trHeight w:val="561"/>
        </w:trPr>
        <w:tc>
          <w:tcPr>
            <w:tcW w:w="1725" w:type="dxa"/>
            <w:tcBorders>
              <w:top w:val="single" w:sz="4" w:space="0" w:color="auto"/>
              <w:bottom w:val="single" w:sz="4" w:space="0" w:color="auto"/>
            </w:tcBorders>
            <w:shd w:val="clear" w:color="auto" w:fill="auto"/>
            <w:noWrap/>
            <w:vAlign w:val="center"/>
            <w:hideMark/>
          </w:tcPr>
          <w:p w14:paraId="604AD614"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Time period</w:t>
            </w:r>
          </w:p>
        </w:tc>
        <w:tc>
          <w:tcPr>
            <w:tcW w:w="2351" w:type="dxa"/>
            <w:tcBorders>
              <w:top w:val="single" w:sz="4" w:space="0" w:color="auto"/>
              <w:bottom w:val="single" w:sz="4" w:space="0" w:color="auto"/>
            </w:tcBorders>
            <w:shd w:val="clear" w:color="auto" w:fill="auto"/>
            <w:vAlign w:val="center"/>
            <w:hideMark/>
          </w:tcPr>
          <w:p w14:paraId="3203A531" w14:textId="77777777" w:rsidR="00093E10" w:rsidRPr="00093E10" w:rsidRDefault="00093E10" w:rsidP="00093E10">
            <w:pPr>
              <w:rPr>
                <w:rFonts w:ascii="Calibri" w:hAnsi="Calibri"/>
                <w:b/>
                <w:bCs/>
                <w:color w:val="000000"/>
                <w:sz w:val="22"/>
                <w:szCs w:val="22"/>
                <w:lang w:val="en-IN" w:eastAsia="en-IN"/>
              </w:rPr>
            </w:pPr>
            <w:r w:rsidRPr="00093E10">
              <w:rPr>
                <w:rFonts w:ascii="Calibri" w:hAnsi="Calibri"/>
                <w:b/>
                <w:bCs/>
                <w:color w:val="000000"/>
                <w:sz w:val="22"/>
                <w:szCs w:val="22"/>
                <w:lang w:val="en-IN" w:eastAsia="en-IN"/>
              </w:rPr>
              <w:t>Land use class</w:t>
            </w:r>
          </w:p>
        </w:tc>
        <w:tc>
          <w:tcPr>
            <w:tcW w:w="2291" w:type="dxa"/>
            <w:tcBorders>
              <w:top w:val="single" w:sz="4" w:space="0" w:color="auto"/>
              <w:bottom w:val="single" w:sz="4" w:space="0" w:color="auto"/>
            </w:tcBorders>
            <w:shd w:val="clear" w:color="auto" w:fill="auto"/>
            <w:vAlign w:val="center"/>
            <w:hideMark/>
          </w:tcPr>
          <w:p w14:paraId="50E5202B"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 xml:space="preserve">User accuracy (%) </w:t>
            </w:r>
          </w:p>
        </w:tc>
        <w:tc>
          <w:tcPr>
            <w:tcW w:w="2618" w:type="dxa"/>
            <w:tcBorders>
              <w:top w:val="single" w:sz="4" w:space="0" w:color="auto"/>
              <w:bottom w:val="single" w:sz="4" w:space="0" w:color="auto"/>
            </w:tcBorders>
            <w:shd w:val="clear" w:color="auto" w:fill="auto"/>
            <w:vAlign w:val="center"/>
            <w:hideMark/>
          </w:tcPr>
          <w:p w14:paraId="010FE386"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Producer accuracy (%)</w:t>
            </w:r>
          </w:p>
        </w:tc>
      </w:tr>
      <w:tr w:rsidR="00093E10" w:rsidRPr="00093E10" w14:paraId="1403456C" w14:textId="77777777" w:rsidTr="003B4F52">
        <w:trPr>
          <w:trHeight w:val="280"/>
        </w:trPr>
        <w:tc>
          <w:tcPr>
            <w:tcW w:w="1725" w:type="dxa"/>
            <w:vMerge w:val="restart"/>
            <w:tcBorders>
              <w:top w:val="single" w:sz="4" w:space="0" w:color="auto"/>
            </w:tcBorders>
            <w:shd w:val="clear" w:color="auto" w:fill="auto"/>
            <w:noWrap/>
            <w:vAlign w:val="center"/>
            <w:hideMark/>
          </w:tcPr>
          <w:p w14:paraId="3E0CB21D" w14:textId="36EBA94D" w:rsidR="00093E10" w:rsidRPr="00093E10" w:rsidRDefault="00093E10" w:rsidP="00093E10">
            <w:pPr>
              <w:jc w:val="center"/>
              <w:rPr>
                <w:rFonts w:ascii="Calibri" w:hAnsi="Calibri"/>
                <w:b/>
                <w:bCs/>
                <w:color w:val="000000"/>
                <w:sz w:val="22"/>
                <w:szCs w:val="22"/>
                <w:lang w:val="en-IN" w:eastAsia="en-IN"/>
              </w:rPr>
            </w:pPr>
            <w:r w:rsidRPr="00565C92">
              <w:rPr>
                <w:rFonts w:ascii="Calibri" w:hAnsi="Calibri"/>
                <w:b/>
                <w:bCs/>
                <w:color w:val="000000"/>
                <w:sz w:val="22"/>
                <w:szCs w:val="22"/>
                <w:lang w:val="en-IN" w:eastAsia="en-IN"/>
              </w:rPr>
              <w:t>199</w:t>
            </w:r>
            <w:r w:rsidR="007F0B24" w:rsidRPr="00565C92">
              <w:rPr>
                <w:rFonts w:ascii="Calibri" w:hAnsi="Calibri"/>
                <w:b/>
                <w:bCs/>
                <w:color w:val="000000"/>
                <w:sz w:val="22"/>
                <w:szCs w:val="22"/>
                <w:lang w:val="en-IN" w:eastAsia="en-IN"/>
              </w:rPr>
              <w:t>1</w:t>
            </w:r>
          </w:p>
        </w:tc>
        <w:tc>
          <w:tcPr>
            <w:tcW w:w="2351" w:type="dxa"/>
            <w:tcBorders>
              <w:top w:val="single" w:sz="4" w:space="0" w:color="auto"/>
            </w:tcBorders>
            <w:shd w:val="clear" w:color="auto" w:fill="auto"/>
            <w:noWrap/>
            <w:vAlign w:val="bottom"/>
            <w:hideMark/>
          </w:tcPr>
          <w:p w14:paraId="0819DAE1"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Water Body</w:t>
            </w:r>
          </w:p>
        </w:tc>
        <w:tc>
          <w:tcPr>
            <w:tcW w:w="2291" w:type="dxa"/>
            <w:tcBorders>
              <w:top w:val="single" w:sz="4" w:space="0" w:color="auto"/>
            </w:tcBorders>
            <w:shd w:val="clear" w:color="auto" w:fill="auto"/>
            <w:noWrap/>
            <w:vAlign w:val="center"/>
            <w:hideMark/>
          </w:tcPr>
          <w:p w14:paraId="62EEA322"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91.03</w:t>
            </w:r>
          </w:p>
        </w:tc>
        <w:tc>
          <w:tcPr>
            <w:tcW w:w="2618" w:type="dxa"/>
            <w:tcBorders>
              <w:top w:val="single" w:sz="4" w:space="0" w:color="auto"/>
            </w:tcBorders>
            <w:shd w:val="clear" w:color="auto" w:fill="auto"/>
            <w:noWrap/>
            <w:vAlign w:val="center"/>
            <w:hideMark/>
          </w:tcPr>
          <w:p w14:paraId="77F52E6F"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98.61</w:t>
            </w:r>
          </w:p>
        </w:tc>
      </w:tr>
      <w:tr w:rsidR="00093E10" w:rsidRPr="00093E10" w14:paraId="2E5D68D8" w14:textId="77777777" w:rsidTr="003B4F52">
        <w:trPr>
          <w:trHeight w:val="280"/>
        </w:trPr>
        <w:tc>
          <w:tcPr>
            <w:tcW w:w="1725" w:type="dxa"/>
            <w:vMerge/>
            <w:vAlign w:val="center"/>
            <w:hideMark/>
          </w:tcPr>
          <w:p w14:paraId="5C8B05B1"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5C663FC0"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Vegetation</w:t>
            </w:r>
          </w:p>
        </w:tc>
        <w:tc>
          <w:tcPr>
            <w:tcW w:w="2291" w:type="dxa"/>
            <w:shd w:val="clear" w:color="auto" w:fill="auto"/>
            <w:noWrap/>
            <w:vAlign w:val="center"/>
            <w:hideMark/>
          </w:tcPr>
          <w:p w14:paraId="59A88A88"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91.14</w:t>
            </w:r>
          </w:p>
        </w:tc>
        <w:tc>
          <w:tcPr>
            <w:tcW w:w="2618" w:type="dxa"/>
            <w:shd w:val="clear" w:color="auto" w:fill="auto"/>
            <w:noWrap/>
            <w:vAlign w:val="center"/>
            <w:hideMark/>
          </w:tcPr>
          <w:p w14:paraId="31D75ED2"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91.14</w:t>
            </w:r>
          </w:p>
        </w:tc>
      </w:tr>
      <w:tr w:rsidR="00093E10" w:rsidRPr="00093E10" w14:paraId="440D16A4" w14:textId="77777777" w:rsidTr="003B4F52">
        <w:trPr>
          <w:trHeight w:val="280"/>
        </w:trPr>
        <w:tc>
          <w:tcPr>
            <w:tcW w:w="1725" w:type="dxa"/>
            <w:vMerge/>
            <w:vAlign w:val="center"/>
            <w:hideMark/>
          </w:tcPr>
          <w:p w14:paraId="508BF60B"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246ADA17"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Forest</w:t>
            </w:r>
          </w:p>
        </w:tc>
        <w:tc>
          <w:tcPr>
            <w:tcW w:w="2291" w:type="dxa"/>
            <w:shd w:val="clear" w:color="auto" w:fill="auto"/>
            <w:noWrap/>
            <w:vAlign w:val="center"/>
            <w:hideMark/>
          </w:tcPr>
          <w:p w14:paraId="323D72E2"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92.4</w:t>
            </w:r>
          </w:p>
        </w:tc>
        <w:tc>
          <w:tcPr>
            <w:tcW w:w="2618" w:type="dxa"/>
            <w:shd w:val="clear" w:color="auto" w:fill="auto"/>
            <w:noWrap/>
            <w:vAlign w:val="center"/>
            <w:hideMark/>
          </w:tcPr>
          <w:p w14:paraId="7A6D095C"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89.02</w:t>
            </w:r>
          </w:p>
        </w:tc>
      </w:tr>
      <w:tr w:rsidR="00093E10" w:rsidRPr="00093E10" w14:paraId="54EFA4DB" w14:textId="77777777" w:rsidTr="003B4F52">
        <w:trPr>
          <w:trHeight w:val="280"/>
        </w:trPr>
        <w:tc>
          <w:tcPr>
            <w:tcW w:w="1725" w:type="dxa"/>
            <w:vMerge/>
            <w:vAlign w:val="center"/>
            <w:hideMark/>
          </w:tcPr>
          <w:p w14:paraId="452A741C"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08B52A8B"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Agriculture</w:t>
            </w:r>
          </w:p>
        </w:tc>
        <w:tc>
          <w:tcPr>
            <w:tcW w:w="2291" w:type="dxa"/>
            <w:shd w:val="clear" w:color="auto" w:fill="auto"/>
            <w:noWrap/>
            <w:vAlign w:val="center"/>
            <w:hideMark/>
          </w:tcPr>
          <w:p w14:paraId="292DDE34"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90.91</w:t>
            </w:r>
          </w:p>
        </w:tc>
        <w:tc>
          <w:tcPr>
            <w:tcW w:w="2618" w:type="dxa"/>
            <w:shd w:val="clear" w:color="auto" w:fill="auto"/>
            <w:noWrap/>
            <w:vAlign w:val="center"/>
            <w:hideMark/>
          </w:tcPr>
          <w:p w14:paraId="5FB24436"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90.91</w:t>
            </w:r>
          </w:p>
        </w:tc>
      </w:tr>
      <w:tr w:rsidR="00093E10" w:rsidRPr="00093E10" w14:paraId="640DF724" w14:textId="77777777" w:rsidTr="003B4F52">
        <w:trPr>
          <w:trHeight w:val="280"/>
        </w:trPr>
        <w:tc>
          <w:tcPr>
            <w:tcW w:w="1725" w:type="dxa"/>
            <w:vMerge/>
            <w:vAlign w:val="center"/>
            <w:hideMark/>
          </w:tcPr>
          <w:p w14:paraId="08944C37"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3C3C879D"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Built-up</w:t>
            </w:r>
          </w:p>
        </w:tc>
        <w:tc>
          <w:tcPr>
            <w:tcW w:w="2291" w:type="dxa"/>
            <w:shd w:val="clear" w:color="auto" w:fill="auto"/>
            <w:noWrap/>
            <w:vAlign w:val="center"/>
            <w:hideMark/>
          </w:tcPr>
          <w:p w14:paraId="792B5D43"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92.4</w:t>
            </w:r>
          </w:p>
        </w:tc>
        <w:tc>
          <w:tcPr>
            <w:tcW w:w="2618" w:type="dxa"/>
            <w:shd w:val="clear" w:color="auto" w:fill="auto"/>
            <w:noWrap/>
            <w:vAlign w:val="center"/>
            <w:hideMark/>
          </w:tcPr>
          <w:p w14:paraId="0FA5BB45"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93.59</w:t>
            </w:r>
          </w:p>
        </w:tc>
      </w:tr>
      <w:tr w:rsidR="00093E10" w:rsidRPr="00093E10" w14:paraId="1C3FB1C2" w14:textId="77777777" w:rsidTr="003B4F52">
        <w:trPr>
          <w:trHeight w:val="280"/>
        </w:trPr>
        <w:tc>
          <w:tcPr>
            <w:tcW w:w="1725" w:type="dxa"/>
            <w:vMerge/>
            <w:vAlign w:val="center"/>
            <w:hideMark/>
          </w:tcPr>
          <w:p w14:paraId="06CF1F4F"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52F0DD82"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Open space</w:t>
            </w:r>
          </w:p>
        </w:tc>
        <w:tc>
          <w:tcPr>
            <w:tcW w:w="2291" w:type="dxa"/>
            <w:shd w:val="clear" w:color="auto" w:fill="auto"/>
            <w:noWrap/>
            <w:vAlign w:val="center"/>
            <w:hideMark/>
          </w:tcPr>
          <w:p w14:paraId="7D6EACD3"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93.58</w:t>
            </w:r>
          </w:p>
        </w:tc>
        <w:tc>
          <w:tcPr>
            <w:tcW w:w="2618" w:type="dxa"/>
            <w:shd w:val="clear" w:color="auto" w:fill="auto"/>
            <w:noWrap/>
            <w:vAlign w:val="center"/>
            <w:hideMark/>
          </w:tcPr>
          <w:p w14:paraId="19E90A60"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91.82</w:t>
            </w:r>
          </w:p>
        </w:tc>
      </w:tr>
      <w:tr w:rsidR="00093E10" w:rsidRPr="00093E10" w14:paraId="33649384" w14:textId="77777777" w:rsidTr="00093E10">
        <w:trPr>
          <w:trHeight w:val="280"/>
        </w:trPr>
        <w:tc>
          <w:tcPr>
            <w:tcW w:w="4076" w:type="dxa"/>
            <w:gridSpan w:val="2"/>
            <w:shd w:val="clear" w:color="auto" w:fill="auto"/>
            <w:noWrap/>
            <w:vAlign w:val="bottom"/>
            <w:hideMark/>
          </w:tcPr>
          <w:p w14:paraId="529331BF"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Overall accuracy</w:t>
            </w:r>
          </w:p>
        </w:tc>
        <w:tc>
          <w:tcPr>
            <w:tcW w:w="4909" w:type="dxa"/>
            <w:gridSpan w:val="2"/>
            <w:shd w:val="clear" w:color="auto" w:fill="auto"/>
            <w:noWrap/>
            <w:vAlign w:val="center"/>
            <w:hideMark/>
          </w:tcPr>
          <w:p w14:paraId="73E85728"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91.82</w:t>
            </w:r>
          </w:p>
        </w:tc>
      </w:tr>
      <w:tr w:rsidR="00093E10" w:rsidRPr="00093E10" w14:paraId="63751B71" w14:textId="77777777" w:rsidTr="00093E10">
        <w:trPr>
          <w:trHeight w:val="280"/>
        </w:trPr>
        <w:tc>
          <w:tcPr>
            <w:tcW w:w="4076" w:type="dxa"/>
            <w:gridSpan w:val="2"/>
            <w:tcBorders>
              <w:bottom w:val="single" w:sz="4" w:space="0" w:color="auto"/>
            </w:tcBorders>
            <w:shd w:val="clear" w:color="auto" w:fill="auto"/>
            <w:noWrap/>
            <w:vAlign w:val="bottom"/>
            <w:hideMark/>
          </w:tcPr>
          <w:p w14:paraId="347BFDB4"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Kappa coefficient</w:t>
            </w:r>
          </w:p>
        </w:tc>
        <w:tc>
          <w:tcPr>
            <w:tcW w:w="4909" w:type="dxa"/>
            <w:gridSpan w:val="2"/>
            <w:tcBorders>
              <w:bottom w:val="single" w:sz="4" w:space="0" w:color="auto"/>
            </w:tcBorders>
            <w:shd w:val="clear" w:color="auto" w:fill="auto"/>
            <w:noWrap/>
            <w:vAlign w:val="center"/>
            <w:hideMark/>
          </w:tcPr>
          <w:p w14:paraId="13C0B890"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0.9047</w:t>
            </w:r>
          </w:p>
        </w:tc>
      </w:tr>
      <w:tr w:rsidR="00093E10" w:rsidRPr="00093E10" w14:paraId="72439270" w14:textId="77777777" w:rsidTr="003B4F52">
        <w:trPr>
          <w:trHeight w:val="280"/>
        </w:trPr>
        <w:tc>
          <w:tcPr>
            <w:tcW w:w="1725" w:type="dxa"/>
            <w:vMerge w:val="restart"/>
            <w:tcBorders>
              <w:top w:val="single" w:sz="4" w:space="0" w:color="auto"/>
            </w:tcBorders>
            <w:shd w:val="clear" w:color="auto" w:fill="auto"/>
            <w:noWrap/>
            <w:vAlign w:val="center"/>
            <w:hideMark/>
          </w:tcPr>
          <w:p w14:paraId="1EAAA18F" w14:textId="185B2D5D" w:rsidR="00093E10" w:rsidRPr="00093E10" w:rsidRDefault="00093E10" w:rsidP="00093E10">
            <w:pPr>
              <w:jc w:val="center"/>
              <w:rPr>
                <w:rFonts w:ascii="Calibri" w:hAnsi="Calibri"/>
                <w:b/>
                <w:bCs/>
                <w:color w:val="000000"/>
                <w:sz w:val="22"/>
                <w:szCs w:val="22"/>
                <w:lang w:val="en-IN" w:eastAsia="en-IN"/>
              </w:rPr>
            </w:pPr>
            <w:r w:rsidRPr="00565C92">
              <w:rPr>
                <w:rFonts w:ascii="Calibri" w:hAnsi="Calibri"/>
                <w:b/>
                <w:bCs/>
                <w:color w:val="000000"/>
                <w:sz w:val="22"/>
                <w:szCs w:val="22"/>
                <w:lang w:val="en-IN" w:eastAsia="en-IN"/>
              </w:rPr>
              <w:t>200</w:t>
            </w:r>
            <w:r w:rsidR="007F0B24" w:rsidRPr="00565C92">
              <w:rPr>
                <w:rFonts w:ascii="Calibri" w:hAnsi="Calibri"/>
                <w:b/>
                <w:bCs/>
                <w:color w:val="000000"/>
                <w:sz w:val="22"/>
                <w:szCs w:val="22"/>
                <w:lang w:val="en-IN" w:eastAsia="en-IN"/>
              </w:rPr>
              <w:t>1</w:t>
            </w:r>
          </w:p>
        </w:tc>
        <w:tc>
          <w:tcPr>
            <w:tcW w:w="2351" w:type="dxa"/>
            <w:tcBorders>
              <w:top w:val="single" w:sz="4" w:space="0" w:color="auto"/>
            </w:tcBorders>
            <w:shd w:val="clear" w:color="auto" w:fill="auto"/>
            <w:noWrap/>
            <w:vAlign w:val="bottom"/>
            <w:hideMark/>
          </w:tcPr>
          <w:p w14:paraId="1304A6D2"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Water Body</w:t>
            </w:r>
          </w:p>
        </w:tc>
        <w:tc>
          <w:tcPr>
            <w:tcW w:w="2291" w:type="dxa"/>
            <w:tcBorders>
              <w:top w:val="single" w:sz="4" w:space="0" w:color="auto"/>
            </w:tcBorders>
            <w:shd w:val="clear" w:color="auto" w:fill="auto"/>
            <w:vAlign w:val="center"/>
            <w:hideMark/>
          </w:tcPr>
          <w:p w14:paraId="34807EC9"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100</w:t>
            </w:r>
          </w:p>
        </w:tc>
        <w:tc>
          <w:tcPr>
            <w:tcW w:w="2618" w:type="dxa"/>
            <w:tcBorders>
              <w:top w:val="single" w:sz="4" w:space="0" w:color="auto"/>
            </w:tcBorders>
            <w:shd w:val="clear" w:color="auto" w:fill="auto"/>
            <w:vAlign w:val="center"/>
            <w:hideMark/>
          </w:tcPr>
          <w:p w14:paraId="408CBD36"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98.75</w:t>
            </w:r>
          </w:p>
        </w:tc>
      </w:tr>
      <w:tr w:rsidR="00093E10" w:rsidRPr="00093E10" w14:paraId="3C743889" w14:textId="77777777" w:rsidTr="003B4F52">
        <w:trPr>
          <w:trHeight w:val="280"/>
        </w:trPr>
        <w:tc>
          <w:tcPr>
            <w:tcW w:w="1725" w:type="dxa"/>
            <w:vMerge/>
            <w:vAlign w:val="center"/>
            <w:hideMark/>
          </w:tcPr>
          <w:p w14:paraId="2555BA04"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64CDF182"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Vegetation</w:t>
            </w:r>
          </w:p>
        </w:tc>
        <w:tc>
          <w:tcPr>
            <w:tcW w:w="2291" w:type="dxa"/>
            <w:shd w:val="clear" w:color="auto" w:fill="auto"/>
            <w:vAlign w:val="center"/>
            <w:hideMark/>
          </w:tcPr>
          <w:p w14:paraId="4BB7020F"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86.07</w:t>
            </w:r>
          </w:p>
        </w:tc>
        <w:tc>
          <w:tcPr>
            <w:tcW w:w="2618" w:type="dxa"/>
            <w:shd w:val="clear" w:color="auto" w:fill="auto"/>
            <w:vAlign w:val="center"/>
            <w:hideMark/>
          </w:tcPr>
          <w:p w14:paraId="46D6E0A0"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89.47</w:t>
            </w:r>
          </w:p>
        </w:tc>
      </w:tr>
      <w:tr w:rsidR="00093E10" w:rsidRPr="00093E10" w14:paraId="745C45E9" w14:textId="77777777" w:rsidTr="003B4F52">
        <w:trPr>
          <w:trHeight w:val="280"/>
        </w:trPr>
        <w:tc>
          <w:tcPr>
            <w:tcW w:w="1725" w:type="dxa"/>
            <w:vMerge/>
            <w:vAlign w:val="center"/>
            <w:hideMark/>
          </w:tcPr>
          <w:p w14:paraId="51A9B483"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767EF023"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Forest</w:t>
            </w:r>
          </w:p>
        </w:tc>
        <w:tc>
          <w:tcPr>
            <w:tcW w:w="2291" w:type="dxa"/>
            <w:shd w:val="clear" w:color="auto" w:fill="auto"/>
            <w:vAlign w:val="center"/>
            <w:hideMark/>
          </w:tcPr>
          <w:p w14:paraId="7ECF53CA"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77.92</w:t>
            </w:r>
          </w:p>
        </w:tc>
        <w:tc>
          <w:tcPr>
            <w:tcW w:w="2618" w:type="dxa"/>
            <w:shd w:val="clear" w:color="auto" w:fill="auto"/>
            <w:vAlign w:val="center"/>
            <w:hideMark/>
          </w:tcPr>
          <w:p w14:paraId="72CE6DEE"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84.5</w:t>
            </w:r>
          </w:p>
        </w:tc>
      </w:tr>
      <w:tr w:rsidR="00093E10" w:rsidRPr="00093E10" w14:paraId="05EC7028" w14:textId="77777777" w:rsidTr="003B4F52">
        <w:trPr>
          <w:trHeight w:val="280"/>
        </w:trPr>
        <w:tc>
          <w:tcPr>
            <w:tcW w:w="1725" w:type="dxa"/>
            <w:vMerge/>
            <w:vAlign w:val="center"/>
            <w:hideMark/>
          </w:tcPr>
          <w:p w14:paraId="12F2DEA1"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0A537805"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Agriculture</w:t>
            </w:r>
          </w:p>
        </w:tc>
        <w:tc>
          <w:tcPr>
            <w:tcW w:w="2291" w:type="dxa"/>
            <w:shd w:val="clear" w:color="auto" w:fill="auto"/>
            <w:vAlign w:val="center"/>
            <w:hideMark/>
          </w:tcPr>
          <w:p w14:paraId="3F300DC4"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88.61</w:t>
            </w:r>
          </w:p>
        </w:tc>
        <w:tc>
          <w:tcPr>
            <w:tcW w:w="2618" w:type="dxa"/>
            <w:shd w:val="clear" w:color="auto" w:fill="auto"/>
            <w:vAlign w:val="center"/>
            <w:hideMark/>
          </w:tcPr>
          <w:p w14:paraId="318CE9A7"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79.55</w:t>
            </w:r>
          </w:p>
        </w:tc>
      </w:tr>
      <w:tr w:rsidR="00093E10" w:rsidRPr="00093E10" w14:paraId="31E569E4" w14:textId="77777777" w:rsidTr="003B4F52">
        <w:trPr>
          <w:trHeight w:val="280"/>
        </w:trPr>
        <w:tc>
          <w:tcPr>
            <w:tcW w:w="1725" w:type="dxa"/>
            <w:vMerge/>
            <w:vAlign w:val="center"/>
            <w:hideMark/>
          </w:tcPr>
          <w:p w14:paraId="5A9762C1"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7CB4771A"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Built-up</w:t>
            </w:r>
          </w:p>
        </w:tc>
        <w:tc>
          <w:tcPr>
            <w:tcW w:w="2291" w:type="dxa"/>
            <w:shd w:val="clear" w:color="auto" w:fill="auto"/>
            <w:vAlign w:val="center"/>
            <w:hideMark/>
          </w:tcPr>
          <w:p w14:paraId="324A1D5A"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89.74</w:t>
            </w:r>
          </w:p>
        </w:tc>
        <w:tc>
          <w:tcPr>
            <w:tcW w:w="2618" w:type="dxa"/>
            <w:shd w:val="clear" w:color="auto" w:fill="auto"/>
            <w:vAlign w:val="center"/>
            <w:hideMark/>
          </w:tcPr>
          <w:p w14:paraId="6054D7BD"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87.5</w:t>
            </w:r>
          </w:p>
        </w:tc>
      </w:tr>
      <w:tr w:rsidR="00093E10" w:rsidRPr="00093E10" w14:paraId="577B1C8F" w14:textId="77777777" w:rsidTr="003B4F52">
        <w:trPr>
          <w:trHeight w:val="280"/>
        </w:trPr>
        <w:tc>
          <w:tcPr>
            <w:tcW w:w="1725" w:type="dxa"/>
            <w:vMerge/>
            <w:vAlign w:val="center"/>
            <w:hideMark/>
          </w:tcPr>
          <w:p w14:paraId="491C2FD0"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59630C30"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Open space</w:t>
            </w:r>
          </w:p>
        </w:tc>
        <w:tc>
          <w:tcPr>
            <w:tcW w:w="2291" w:type="dxa"/>
            <w:shd w:val="clear" w:color="auto" w:fill="auto"/>
            <w:vAlign w:val="center"/>
            <w:hideMark/>
          </w:tcPr>
          <w:p w14:paraId="47D76E2B"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88.46</w:t>
            </w:r>
          </w:p>
        </w:tc>
        <w:tc>
          <w:tcPr>
            <w:tcW w:w="2618" w:type="dxa"/>
            <w:shd w:val="clear" w:color="auto" w:fill="auto"/>
            <w:vAlign w:val="center"/>
            <w:hideMark/>
          </w:tcPr>
          <w:p w14:paraId="2EAA5491"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91.39</w:t>
            </w:r>
          </w:p>
        </w:tc>
      </w:tr>
      <w:tr w:rsidR="00093E10" w:rsidRPr="00093E10" w14:paraId="4DA0C121" w14:textId="77777777" w:rsidTr="00093E10">
        <w:trPr>
          <w:trHeight w:val="280"/>
        </w:trPr>
        <w:tc>
          <w:tcPr>
            <w:tcW w:w="4076" w:type="dxa"/>
            <w:gridSpan w:val="2"/>
            <w:shd w:val="clear" w:color="auto" w:fill="auto"/>
            <w:noWrap/>
            <w:vAlign w:val="bottom"/>
            <w:hideMark/>
          </w:tcPr>
          <w:p w14:paraId="29038AA5"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Overall accuracy</w:t>
            </w:r>
          </w:p>
        </w:tc>
        <w:tc>
          <w:tcPr>
            <w:tcW w:w="4909" w:type="dxa"/>
            <w:gridSpan w:val="2"/>
            <w:shd w:val="clear" w:color="auto" w:fill="auto"/>
            <w:vAlign w:val="center"/>
            <w:hideMark/>
          </w:tcPr>
          <w:p w14:paraId="07EA969D"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88.18</w:t>
            </w:r>
          </w:p>
        </w:tc>
      </w:tr>
      <w:tr w:rsidR="00093E10" w:rsidRPr="00093E10" w14:paraId="1DB8357B" w14:textId="77777777" w:rsidTr="00093E10">
        <w:trPr>
          <w:trHeight w:val="280"/>
        </w:trPr>
        <w:tc>
          <w:tcPr>
            <w:tcW w:w="4076" w:type="dxa"/>
            <w:gridSpan w:val="2"/>
            <w:tcBorders>
              <w:bottom w:val="single" w:sz="4" w:space="0" w:color="auto"/>
            </w:tcBorders>
            <w:shd w:val="clear" w:color="auto" w:fill="auto"/>
            <w:noWrap/>
            <w:vAlign w:val="bottom"/>
            <w:hideMark/>
          </w:tcPr>
          <w:p w14:paraId="2B1DDC64"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Kappa coefficient</w:t>
            </w:r>
          </w:p>
        </w:tc>
        <w:tc>
          <w:tcPr>
            <w:tcW w:w="4909" w:type="dxa"/>
            <w:gridSpan w:val="2"/>
            <w:tcBorders>
              <w:bottom w:val="single" w:sz="4" w:space="0" w:color="auto"/>
            </w:tcBorders>
            <w:shd w:val="clear" w:color="auto" w:fill="auto"/>
            <w:vAlign w:val="center"/>
            <w:hideMark/>
          </w:tcPr>
          <w:p w14:paraId="339CB428"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0.86</w:t>
            </w:r>
          </w:p>
        </w:tc>
      </w:tr>
      <w:tr w:rsidR="00093E10" w:rsidRPr="00093E10" w14:paraId="50139190" w14:textId="77777777" w:rsidTr="003B4F52">
        <w:trPr>
          <w:trHeight w:val="280"/>
        </w:trPr>
        <w:tc>
          <w:tcPr>
            <w:tcW w:w="1725" w:type="dxa"/>
            <w:vMerge w:val="restart"/>
            <w:tcBorders>
              <w:top w:val="single" w:sz="4" w:space="0" w:color="auto"/>
            </w:tcBorders>
            <w:shd w:val="clear" w:color="auto" w:fill="auto"/>
            <w:noWrap/>
            <w:vAlign w:val="center"/>
            <w:hideMark/>
          </w:tcPr>
          <w:p w14:paraId="3EE86615" w14:textId="64CD31E0" w:rsidR="00093E10" w:rsidRPr="00093E10" w:rsidRDefault="00093E10" w:rsidP="00093E10">
            <w:pPr>
              <w:jc w:val="center"/>
              <w:rPr>
                <w:rFonts w:ascii="Calibri" w:hAnsi="Calibri"/>
                <w:b/>
                <w:bCs/>
                <w:color w:val="000000"/>
                <w:sz w:val="22"/>
                <w:szCs w:val="22"/>
                <w:lang w:val="en-IN" w:eastAsia="en-IN"/>
              </w:rPr>
            </w:pPr>
            <w:r w:rsidRPr="00565C92">
              <w:rPr>
                <w:rFonts w:ascii="Calibri" w:hAnsi="Calibri"/>
                <w:b/>
                <w:bCs/>
                <w:color w:val="000000"/>
                <w:sz w:val="22"/>
                <w:szCs w:val="22"/>
                <w:lang w:val="en-IN" w:eastAsia="en-IN"/>
              </w:rPr>
              <w:t>201</w:t>
            </w:r>
            <w:r w:rsidR="007F0B24" w:rsidRPr="00565C92">
              <w:rPr>
                <w:rFonts w:ascii="Calibri" w:hAnsi="Calibri"/>
                <w:b/>
                <w:bCs/>
                <w:color w:val="000000"/>
                <w:sz w:val="22"/>
                <w:szCs w:val="22"/>
                <w:lang w:val="en-IN" w:eastAsia="en-IN"/>
              </w:rPr>
              <w:t>1</w:t>
            </w:r>
          </w:p>
        </w:tc>
        <w:tc>
          <w:tcPr>
            <w:tcW w:w="2351" w:type="dxa"/>
            <w:tcBorders>
              <w:top w:val="single" w:sz="4" w:space="0" w:color="auto"/>
            </w:tcBorders>
            <w:shd w:val="clear" w:color="auto" w:fill="auto"/>
            <w:noWrap/>
            <w:vAlign w:val="bottom"/>
            <w:hideMark/>
          </w:tcPr>
          <w:p w14:paraId="74A10885"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Water Body</w:t>
            </w:r>
          </w:p>
        </w:tc>
        <w:tc>
          <w:tcPr>
            <w:tcW w:w="2291" w:type="dxa"/>
            <w:tcBorders>
              <w:top w:val="single" w:sz="4" w:space="0" w:color="auto"/>
            </w:tcBorders>
            <w:shd w:val="clear" w:color="auto" w:fill="auto"/>
            <w:vAlign w:val="center"/>
            <w:hideMark/>
          </w:tcPr>
          <w:p w14:paraId="60D0CECD"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98.71</w:t>
            </w:r>
          </w:p>
        </w:tc>
        <w:tc>
          <w:tcPr>
            <w:tcW w:w="2618" w:type="dxa"/>
            <w:tcBorders>
              <w:top w:val="single" w:sz="4" w:space="0" w:color="auto"/>
            </w:tcBorders>
            <w:shd w:val="clear" w:color="auto" w:fill="auto"/>
            <w:vAlign w:val="center"/>
            <w:hideMark/>
          </w:tcPr>
          <w:p w14:paraId="459A6B4F"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98.71</w:t>
            </w:r>
          </w:p>
        </w:tc>
      </w:tr>
      <w:tr w:rsidR="00093E10" w:rsidRPr="00093E10" w14:paraId="19763E3D" w14:textId="77777777" w:rsidTr="003B4F52">
        <w:trPr>
          <w:trHeight w:val="280"/>
        </w:trPr>
        <w:tc>
          <w:tcPr>
            <w:tcW w:w="1725" w:type="dxa"/>
            <w:vMerge/>
            <w:vAlign w:val="center"/>
            <w:hideMark/>
          </w:tcPr>
          <w:p w14:paraId="19C40F51" w14:textId="77777777" w:rsidR="00093E10" w:rsidRPr="00093E10" w:rsidRDefault="00093E10" w:rsidP="00093E10">
            <w:pPr>
              <w:rPr>
                <w:rFonts w:ascii="Calibri" w:hAnsi="Calibri"/>
                <w:color w:val="000000"/>
                <w:sz w:val="22"/>
                <w:szCs w:val="22"/>
                <w:lang w:val="en-IN" w:eastAsia="en-IN"/>
              </w:rPr>
            </w:pPr>
          </w:p>
        </w:tc>
        <w:tc>
          <w:tcPr>
            <w:tcW w:w="2351" w:type="dxa"/>
            <w:shd w:val="clear" w:color="auto" w:fill="auto"/>
            <w:noWrap/>
            <w:vAlign w:val="bottom"/>
            <w:hideMark/>
          </w:tcPr>
          <w:p w14:paraId="118C4D47"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Vegetation</w:t>
            </w:r>
          </w:p>
        </w:tc>
        <w:tc>
          <w:tcPr>
            <w:tcW w:w="2291" w:type="dxa"/>
            <w:shd w:val="clear" w:color="auto" w:fill="auto"/>
            <w:vAlign w:val="center"/>
            <w:hideMark/>
          </w:tcPr>
          <w:p w14:paraId="4E7D4EC5"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82.05</w:t>
            </w:r>
          </w:p>
        </w:tc>
        <w:tc>
          <w:tcPr>
            <w:tcW w:w="2618" w:type="dxa"/>
            <w:shd w:val="clear" w:color="auto" w:fill="auto"/>
            <w:vAlign w:val="center"/>
            <w:hideMark/>
          </w:tcPr>
          <w:p w14:paraId="3843BB53"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87.67</w:t>
            </w:r>
          </w:p>
        </w:tc>
      </w:tr>
      <w:tr w:rsidR="00093E10" w:rsidRPr="00093E10" w14:paraId="48438BAE" w14:textId="77777777" w:rsidTr="003B4F52">
        <w:trPr>
          <w:trHeight w:val="280"/>
        </w:trPr>
        <w:tc>
          <w:tcPr>
            <w:tcW w:w="1725" w:type="dxa"/>
            <w:vMerge/>
            <w:vAlign w:val="center"/>
            <w:hideMark/>
          </w:tcPr>
          <w:p w14:paraId="683E70E4" w14:textId="77777777" w:rsidR="00093E10" w:rsidRPr="00093E10" w:rsidRDefault="00093E10" w:rsidP="00093E10">
            <w:pPr>
              <w:rPr>
                <w:rFonts w:ascii="Calibri" w:hAnsi="Calibri"/>
                <w:color w:val="000000"/>
                <w:sz w:val="22"/>
                <w:szCs w:val="22"/>
                <w:lang w:val="en-IN" w:eastAsia="en-IN"/>
              </w:rPr>
            </w:pPr>
          </w:p>
        </w:tc>
        <w:tc>
          <w:tcPr>
            <w:tcW w:w="2351" w:type="dxa"/>
            <w:shd w:val="clear" w:color="auto" w:fill="auto"/>
            <w:noWrap/>
            <w:vAlign w:val="bottom"/>
            <w:hideMark/>
          </w:tcPr>
          <w:p w14:paraId="3E7DC6A6"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Forest</w:t>
            </w:r>
          </w:p>
        </w:tc>
        <w:tc>
          <w:tcPr>
            <w:tcW w:w="2291" w:type="dxa"/>
            <w:shd w:val="clear" w:color="auto" w:fill="auto"/>
            <w:vAlign w:val="center"/>
            <w:hideMark/>
          </w:tcPr>
          <w:p w14:paraId="7A3AB6C0"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78.2</w:t>
            </w:r>
          </w:p>
        </w:tc>
        <w:tc>
          <w:tcPr>
            <w:tcW w:w="2618" w:type="dxa"/>
            <w:shd w:val="clear" w:color="auto" w:fill="auto"/>
            <w:vAlign w:val="center"/>
            <w:hideMark/>
          </w:tcPr>
          <w:p w14:paraId="3981EBE5"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82.43</w:t>
            </w:r>
          </w:p>
        </w:tc>
      </w:tr>
      <w:tr w:rsidR="00093E10" w:rsidRPr="00093E10" w14:paraId="6F7A5E6D" w14:textId="77777777" w:rsidTr="003B4F52">
        <w:trPr>
          <w:trHeight w:val="280"/>
        </w:trPr>
        <w:tc>
          <w:tcPr>
            <w:tcW w:w="1725" w:type="dxa"/>
            <w:vMerge/>
            <w:vAlign w:val="center"/>
            <w:hideMark/>
          </w:tcPr>
          <w:p w14:paraId="625263BB" w14:textId="77777777" w:rsidR="00093E10" w:rsidRPr="00093E10" w:rsidRDefault="00093E10" w:rsidP="00093E10">
            <w:pPr>
              <w:rPr>
                <w:rFonts w:ascii="Calibri" w:hAnsi="Calibri"/>
                <w:color w:val="000000"/>
                <w:sz w:val="22"/>
                <w:szCs w:val="22"/>
                <w:lang w:val="en-IN" w:eastAsia="en-IN"/>
              </w:rPr>
            </w:pPr>
          </w:p>
        </w:tc>
        <w:tc>
          <w:tcPr>
            <w:tcW w:w="2351" w:type="dxa"/>
            <w:shd w:val="clear" w:color="auto" w:fill="auto"/>
            <w:noWrap/>
            <w:vAlign w:val="bottom"/>
            <w:hideMark/>
          </w:tcPr>
          <w:p w14:paraId="0DC8EEC1"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Agriculture</w:t>
            </w:r>
          </w:p>
        </w:tc>
        <w:tc>
          <w:tcPr>
            <w:tcW w:w="2291" w:type="dxa"/>
            <w:shd w:val="clear" w:color="auto" w:fill="auto"/>
            <w:vAlign w:val="center"/>
            <w:hideMark/>
          </w:tcPr>
          <w:p w14:paraId="707C1237"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85.9</w:t>
            </w:r>
          </w:p>
        </w:tc>
        <w:tc>
          <w:tcPr>
            <w:tcW w:w="2618" w:type="dxa"/>
            <w:shd w:val="clear" w:color="auto" w:fill="auto"/>
            <w:vAlign w:val="center"/>
            <w:hideMark/>
          </w:tcPr>
          <w:p w14:paraId="62D3B958"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77.91</w:t>
            </w:r>
          </w:p>
        </w:tc>
      </w:tr>
      <w:tr w:rsidR="00093E10" w:rsidRPr="00093E10" w14:paraId="6FEC693B" w14:textId="77777777" w:rsidTr="003B4F52">
        <w:trPr>
          <w:trHeight w:val="280"/>
        </w:trPr>
        <w:tc>
          <w:tcPr>
            <w:tcW w:w="1725" w:type="dxa"/>
            <w:vMerge/>
            <w:vAlign w:val="center"/>
            <w:hideMark/>
          </w:tcPr>
          <w:p w14:paraId="4485664C" w14:textId="77777777" w:rsidR="00093E10" w:rsidRPr="00093E10" w:rsidRDefault="00093E10" w:rsidP="00093E10">
            <w:pPr>
              <w:rPr>
                <w:rFonts w:ascii="Calibri" w:hAnsi="Calibri"/>
                <w:color w:val="000000"/>
                <w:sz w:val="22"/>
                <w:szCs w:val="22"/>
                <w:lang w:val="en-IN" w:eastAsia="en-IN"/>
              </w:rPr>
            </w:pPr>
          </w:p>
        </w:tc>
        <w:tc>
          <w:tcPr>
            <w:tcW w:w="2351" w:type="dxa"/>
            <w:shd w:val="clear" w:color="auto" w:fill="auto"/>
            <w:noWrap/>
            <w:vAlign w:val="bottom"/>
            <w:hideMark/>
          </w:tcPr>
          <w:p w14:paraId="4CB23E43"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Built-up</w:t>
            </w:r>
          </w:p>
        </w:tc>
        <w:tc>
          <w:tcPr>
            <w:tcW w:w="2291" w:type="dxa"/>
            <w:shd w:val="clear" w:color="auto" w:fill="auto"/>
            <w:vAlign w:val="center"/>
            <w:hideMark/>
          </w:tcPr>
          <w:p w14:paraId="6D0B6335"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92.4</w:t>
            </w:r>
          </w:p>
        </w:tc>
        <w:tc>
          <w:tcPr>
            <w:tcW w:w="2618" w:type="dxa"/>
            <w:shd w:val="clear" w:color="auto" w:fill="auto"/>
            <w:vAlign w:val="center"/>
            <w:hideMark/>
          </w:tcPr>
          <w:p w14:paraId="68E9E468"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85.88</w:t>
            </w:r>
          </w:p>
        </w:tc>
      </w:tr>
      <w:tr w:rsidR="00093E10" w:rsidRPr="00093E10" w14:paraId="4A5E45FA" w14:textId="77777777" w:rsidTr="003B4F52">
        <w:trPr>
          <w:trHeight w:val="280"/>
        </w:trPr>
        <w:tc>
          <w:tcPr>
            <w:tcW w:w="1725" w:type="dxa"/>
            <w:vMerge/>
            <w:vAlign w:val="center"/>
            <w:hideMark/>
          </w:tcPr>
          <w:p w14:paraId="5B8DFB83" w14:textId="77777777" w:rsidR="00093E10" w:rsidRPr="00093E10" w:rsidRDefault="00093E10" w:rsidP="00093E10">
            <w:pPr>
              <w:rPr>
                <w:rFonts w:ascii="Calibri" w:hAnsi="Calibri"/>
                <w:color w:val="000000"/>
                <w:sz w:val="22"/>
                <w:szCs w:val="22"/>
                <w:lang w:val="en-IN" w:eastAsia="en-IN"/>
              </w:rPr>
            </w:pPr>
          </w:p>
        </w:tc>
        <w:tc>
          <w:tcPr>
            <w:tcW w:w="2351" w:type="dxa"/>
            <w:shd w:val="clear" w:color="auto" w:fill="auto"/>
            <w:noWrap/>
            <w:vAlign w:val="bottom"/>
            <w:hideMark/>
          </w:tcPr>
          <w:p w14:paraId="70F6ACD3"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Open space</w:t>
            </w:r>
          </w:p>
        </w:tc>
        <w:tc>
          <w:tcPr>
            <w:tcW w:w="2291" w:type="dxa"/>
            <w:shd w:val="clear" w:color="auto" w:fill="auto"/>
            <w:vAlign w:val="center"/>
            <w:hideMark/>
          </w:tcPr>
          <w:p w14:paraId="42510B7F"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85.99</w:t>
            </w:r>
          </w:p>
        </w:tc>
        <w:tc>
          <w:tcPr>
            <w:tcW w:w="2618" w:type="dxa"/>
            <w:shd w:val="clear" w:color="auto" w:fill="auto"/>
            <w:vAlign w:val="center"/>
            <w:hideMark/>
          </w:tcPr>
          <w:p w14:paraId="3A32CFE5"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90.6</w:t>
            </w:r>
          </w:p>
        </w:tc>
      </w:tr>
      <w:tr w:rsidR="00093E10" w:rsidRPr="00093E10" w14:paraId="4162C0AB" w14:textId="77777777" w:rsidTr="00093E10">
        <w:trPr>
          <w:trHeight w:val="280"/>
        </w:trPr>
        <w:tc>
          <w:tcPr>
            <w:tcW w:w="4076" w:type="dxa"/>
            <w:gridSpan w:val="2"/>
            <w:shd w:val="clear" w:color="auto" w:fill="auto"/>
            <w:noWrap/>
            <w:vAlign w:val="bottom"/>
            <w:hideMark/>
          </w:tcPr>
          <w:p w14:paraId="1DAF7418"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Overall accuracy</w:t>
            </w:r>
          </w:p>
        </w:tc>
        <w:tc>
          <w:tcPr>
            <w:tcW w:w="4909" w:type="dxa"/>
            <w:gridSpan w:val="2"/>
            <w:shd w:val="clear" w:color="auto" w:fill="auto"/>
            <w:vAlign w:val="center"/>
            <w:hideMark/>
          </w:tcPr>
          <w:p w14:paraId="6F058240"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86.73</w:t>
            </w:r>
          </w:p>
        </w:tc>
      </w:tr>
      <w:tr w:rsidR="00093E10" w:rsidRPr="00093E10" w14:paraId="6EDA2F56" w14:textId="77777777" w:rsidTr="00093E10">
        <w:trPr>
          <w:trHeight w:val="280"/>
        </w:trPr>
        <w:tc>
          <w:tcPr>
            <w:tcW w:w="4076" w:type="dxa"/>
            <w:gridSpan w:val="2"/>
            <w:tcBorders>
              <w:bottom w:val="single" w:sz="4" w:space="0" w:color="auto"/>
            </w:tcBorders>
            <w:shd w:val="clear" w:color="auto" w:fill="auto"/>
            <w:noWrap/>
            <w:vAlign w:val="bottom"/>
            <w:hideMark/>
          </w:tcPr>
          <w:p w14:paraId="04863DDC"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Kappa coefficient</w:t>
            </w:r>
          </w:p>
        </w:tc>
        <w:tc>
          <w:tcPr>
            <w:tcW w:w="4909" w:type="dxa"/>
            <w:gridSpan w:val="2"/>
            <w:tcBorders>
              <w:bottom w:val="single" w:sz="4" w:space="0" w:color="auto"/>
            </w:tcBorders>
            <w:shd w:val="clear" w:color="auto" w:fill="auto"/>
            <w:vAlign w:val="center"/>
            <w:hideMark/>
          </w:tcPr>
          <w:p w14:paraId="2CFFDD51"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0.846</w:t>
            </w:r>
          </w:p>
        </w:tc>
      </w:tr>
      <w:tr w:rsidR="00093E10" w:rsidRPr="00093E10" w14:paraId="450AB854" w14:textId="77777777" w:rsidTr="003B4F52">
        <w:trPr>
          <w:trHeight w:val="280"/>
        </w:trPr>
        <w:tc>
          <w:tcPr>
            <w:tcW w:w="1725" w:type="dxa"/>
            <w:vMerge w:val="restart"/>
            <w:tcBorders>
              <w:top w:val="single" w:sz="4" w:space="0" w:color="auto"/>
            </w:tcBorders>
            <w:shd w:val="clear" w:color="auto" w:fill="auto"/>
            <w:noWrap/>
            <w:vAlign w:val="center"/>
            <w:hideMark/>
          </w:tcPr>
          <w:p w14:paraId="4356D7F3" w14:textId="004162A2" w:rsidR="00093E10" w:rsidRPr="00093E10" w:rsidRDefault="00093E10" w:rsidP="00093E10">
            <w:pPr>
              <w:jc w:val="center"/>
              <w:rPr>
                <w:rFonts w:ascii="Calibri" w:hAnsi="Calibri"/>
                <w:b/>
                <w:bCs/>
                <w:color w:val="000000"/>
                <w:sz w:val="22"/>
                <w:szCs w:val="22"/>
                <w:lang w:val="en-IN" w:eastAsia="en-IN"/>
              </w:rPr>
            </w:pPr>
            <w:r w:rsidRPr="00565C92">
              <w:rPr>
                <w:rFonts w:ascii="Calibri" w:hAnsi="Calibri"/>
                <w:b/>
                <w:bCs/>
                <w:color w:val="000000"/>
                <w:sz w:val="22"/>
                <w:szCs w:val="22"/>
                <w:lang w:val="en-IN" w:eastAsia="en-IN"/>
              </w:rPr>
              <w:t>202</w:t>
            </w:r>
            <w:r w:rsidR="007F0B24" w:rsidRPr="00565C92">
              <w:rPr>
                <w:rFonts w:ascii="Calibri" w:hAnsi="Calibri"/>
                <w:b/>
                <w:bCs/>
                <w:color w:val="000000"/>
                <w:sz w:val="22"/>
                <w:szCs w:val="22"/>
                <w:lang w:val="en-IN" w:eastAsia="en-IN"/>
              </w:rPr>
              <w:t>1</w:t>
            </w:r>
          </w:p>
        </w:tc>
        <w:tc>
          <w:tcPr>
            <w:tcW w:w="2351" w:type="dxa"/>
            <w:tcBorders>
              <w:top w:val="single" w:sz="4" w:space="0" w:color="auto"/>
            </w:tcBorders>
            <w:shd w:val="clear" w:color="auto" w:fill="auto"/>
            <w:noWrap/>
            <w:vAlign w:val="bottom"/>
            <w:hideMark/>
          </w:tcPr>
          <w:p w14:paraId="75A759B8"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Water Body</w:t>
            </w:r>
          </w:p>
        </w:tc>
        <w:tc>
          <w:tcPr>
            <w:tcW w:w="2291" w:type="dxa"/>
            <w:tcBorders>
              <w:top w:val="single" w:sz="4" w:space="0" w:color="auto"/>
            </w:tcBorders>
            <w:shd w:val="clear" w:color="auto" w:fill="auto"/>
            <w:vAlign w:val="center"/>
            <w:hideMark/>
          </w:tcPr>
          <w:p w14:paraId="3029DCE2"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97.43</w:t>
            </w:r>
          </w:p>
        </w:tc>
        <w:tc>
          <w:tcPr>
            <w:tcW w:w="2618" w:type="dxa"/>
            <w:tcBorders>
              <w:top w:val="single" w:sz="4" w:space="0" w:color="auto"/>
            </w:tcBorders>
            <w:shd w:val="clear" w:color="auto" w:fill="auto"/>
            <w:vAlign w:val="center"/>
            <w:hideMark/>
          </w:tcPr>
          <w:p w14:paraId="510B9973"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100</w:t>
            </w:r>
          </w:p>
        </w:tc>
      </w:tr>
      <w:tr w:rsidR="00093E10" w:rsidRPr="00093E10" w14:paraId="7405C527" w14:textId="77777777" w:rsidTr="003B4F52">
        <w:trPr>
          <w:trHeight w:val="280"/>
        </w:trPr>
        <w:tc>
          <w:tcPr>
            <w:tcW w:w="1725" w:type="dxa"/>
            <w:vMerge/>
            <w:vAlign w:val="center"/>
            <w:hideMark/>
          </w:tcPr>
          <w:p w14:paraId="474E4967"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2162DAEC"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Vegetation</w:t>
            </w:r>
          </w:p>
        </w:tc>
        <w:tc>
          <w:tcPr>
            <w:tcW w:w="2291" w:type="dxa"/>
            <w:shd w:val="clear" w:color="auto" w:fill="auto"/>
            <w:vAlign w:val="center"/>
            <w:hideMark/>
          </w:tcPr>
          <w:p w14:paraId="687555CA"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93.67</w:t>
            </w:r>
          </w:p>
        </w:tc>
        <w:tc>
          <w:tcPr>
            <w:tcW w:w="2618" w:type="dxa"/>
            <w:shd w:val="clear" w:color="auto" w:fill="auto"/>
            <w:vAlign w:val="center"/>
            <w:hideMark/>
          </w:tcPr>
          <w:p w14:paraId="78692037"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92.5</w:t>
            </w:r>
          </w:p>
        </w:tc>
      </w:tr>
      <w:tr w:rsidR="00093E10" w:rsidRPr="00093E10" w14:paraId="1D690757" w14:textId="77777777" w:rsidTr="003B4F52">
        <w:trPr>
          <w:trHeight w:val="280"/>
        </w:trPr>
        <w:tc>
          <w:tcPr>
            <w:tcW w:w="1725" w:type="dxa"/>
            <w:vMerge/>
            <w:vAlign w:val="center"/>
            <w:hideMark/>
          </w:tcPr>
          <w:p w14:paraId="1C696E05"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13AE6B3E"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Forest</w:t>
            </w:r>
          </w:p>
        </w:tc>
        <w:tc>
          <w:tcPr>
            <w:tcW w:w="2291" w:type="dxa"/>
            <w:shd w:val="clear" w:color="auto" w:fill="auto"/>
            <w:vAlign w:val="center"/>
            <w:hideMark/>
          </w:tcPr>
          <w:p w14:paraId="2554F08F"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83.54</w:t>
            </w:r>
          </w:p>
        </w:tc>
        <w:tc>
          <w:tcPr>
            <w:tcW w:w="2618" w:type="dxa"/>
            <w:shd w:val="clear" w:color="auto" w:fill="auto"/>
            <w:vAlign w:val="center"/>
            <w:hideMark/>
          </w:tcPr>
          <w:p w14:paraId="469D58EB"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94.28</w:t>
            </w:r>
          </w:p>
        </w:tc>
      </w:tr>
      <w:tr w:rsidR="00093E10" w:rsidRPr="00093E10" w14:paraId="21149B57" w14:textId="77777777" w:rsidTr="003B4F52">
        <w:trPr>
          <w:trHeight w:val="280"/>
        </w:trPr>
        <w:tc>
          <w:tcPr>
            <w:tcW w:w="1725" w:type="dxa"/>
            <w:vMerge/>
            <w:vAlign w:val="center"/>
            <w:hideMark/>
          </w:tcPr>
          <w:p w14:paraId="614B5185"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21834F02"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Agriculture</w:t>
            </w:r>
          </w:p>
        </w:tc>
        <w:tc>
          <w:tcPr>
            <w:tcW w:w="2291" w:type="dxa"/>
            <w:shd w:val="clear" w:color="auto" w:fill="auto"/>
            <w:vAlign w:val="center"/>
            <w:hideMark/>
          </w:tcPr>
          <w:p w14:paraId="457AC496"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92.4</w:t>
            </w:r>
          </w:p>
        </w:tc>
        <w:tc>
          <w:tcPr>
            <w:tcW w:w="2618" w:type="dxa"/>
            <w:shd w:val="clear" w:color="auto" w:fill="auto"/>
            <w:vAlign w:val="center"/>
            <w:hideMark/>
          </w:tcPr>
          <w:p w14:paraId="11D48590"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90.12</w:t>
            </w:r>
          </w:p>
        </w:tc>
      </w:tr>
      <w:tr w:rsidR="00093E10" w:rsidRPr="00093E10" w14:paraId="5E82A2D4" w14:textId="77777777" w:rsidTr="003B4F52">
        <w:trPr>
          <w:trHeight w:val="280"/>
        </w:trPr>
        <w:tc>
          <w:tcPr>
            <w:tcW w:w="1725" w:type="dxa"/>
            <w:vMerge/>
            <w:vAlign w:val="center"/>
            <w:hideMark/>
          </w:tcPr>
          <w:p w14:paraId="2E980AA9"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19DDB5C3"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Built-up</w:t>
            </w:r>
          </w:p>
        </w:tc>
        <w:tc>
          <w:tcPr>
            <w:tcW w:w="2291" w:type="dxa"/>
            <w:shd w:val="clear" w:color="auto" w:fill="auto"/>
            <w:vAlign w:val="center"/>
            <w:hideMark/>
          </w:tcPr>
          <w:p w14:paraId="6992AE70"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94.94</w:t>
            </w:r>
          </w:p>
        </w:tc>
        <w:tc>
          <w:tcPr>
            <w:tcW w:w="2618" w:type="dxa"/>
            <w:shd w:val="clear" w:color="auto" w:fill="auto"/>
            <w:vAlign w:val="center"/>
            <w:hideMark/>
          </w:tcPr>
          <w:p w14:paraId="3B3AEC29"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94.93</w:t>
            </w:r>
          </w:p>
        </w:tc>
      </w:tr>
      <w:tr w:rsidR="00093E10" w:rsidRPr="00093E10" w14:paraId="4DDF85E5" w14:textId="77777777" w:rsidTr="003B4F52">
        <w:trPr>
          <w:trHeight w:val="280"/>
        </w:trPr>
        <w:tc>
          <w:tcPr>
            <w:tcW w:w="1725" w:type="dxa"/>
            <w:vMerge/>
            <w:vAlign w:val="center"/>
            <w:hideMark/>
          </w:tcPr>
          <w:p w14:paraId="54AD9939" w14:textId="77777777" w:rsidR="00093E10" w:rsidRPr="00093E10" w:rsidRDefault="00093E10" w:rsidP="00093E10">
            <w:pPr>
              <w:rPr>
                <w:rFonts w:ascii="Calibri" w:hAnsi="Calibri"/>
                <w:b/>
                <w:bCs/>
                <w:color w:val="000000"/>
                <w:sz w:val="22"/>
                <w:szCs w:val="22"/>
                <w:lang w:val="en-IN" w:eastAsia="en-IN"/>
              </w:rPr>
            </w:pPr>
          </w:p>
        </w:tc>
        <w:tc>
          <w:tcPr>
            <w:tcW w:w="2351" w:type="dxa"/>
            <w:shd w:val="clear" w:color="auto" w:fill="auto"/>
            <w:noWrap/>
            <w:vAlign w:val="bottom"/>
            <w:hideMark/>
          </w:tcPr>
          <w:p w14:paraId="22DC035D" w14:textId="77777777" w:rsidR="00093E10" w:rsidRPr="00093E10" w:rsidRDefault="00093E10" w:rsidP="00093E10">
            <w:pPr>
              <w:rPr>
                <w:rFonts w:ascii="Calibri" w:hAnsi="Calibri"/>
                <w:color w:val="000000"/>
                <w:sz w:val="22"/>
                <w:szCs w:val="22"/>
                <w:lang w:val="en-IN" w:eastAsia="en-IN"/>
              </w:rPr>
            </w:pPr>
            <w:r w:rsidRPr="00093E10">
              <w:rPr>
                <w:rFonts w:ascii="Calibri" w:hAnsi="Calibri"/>
                <w:color w:val="000000"/>
                <w:sz w:val="22"/>
                <w:szCs w:val="22"/>
                <w:lang w:val="en-IN" w:eastAsia="en-IN"/>
              </w:rPr>
              <w:t>Open space</w:t>
            </w:r>
          </w:p>
        </w:tc>
        <w:tc>
          <w:tcPr>
            <w:tcW w:w="2291" w:type="dxa"/>
            <w:shd w:val="clear" w:color="auto" w:fill="auto"/>
            <w:vAlign w:val="center"/>
            <w:hideMark/>
          </w:tcPr>
          <w:p w14:paraId="6D79D096"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94.27</w:t>
            </w:r>
          </w:p>
        </w:tc>
        <w:tc>
          <w:tcPr>
            <w:tcW w:w="2618" w:type="dxa"/>
            <w:shd w:val="clear" w:color="auto" w:fill="auto"/>
            <w:vAlign w:val="center"/>
            <w:hideMark/>
          </w:tcPr>
          <w:p w14:paraId="75440778"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91.92</w:t>
            </w:r>
          </w:p>
        </w:tc>
      </w:tr>
      <w:tr w:rsidR="00093E10" w:rsidRPr="00093E10" w14:paraId="6DB0E50A" w14:textId="77777777" w:rsidTr="00093E10">
        <w:trPr>
          <w:trHeight w:val="280"/>
        </w:trPr>
        <w:tc>
          <w:tcPr>
            <w:tcW w:w="4076" w:type="dxa"/>
            <w:gridSpan w:val="2"/>
            <w:shd w:val="clear" w:color="auto" w:fill="auto"/>
            <w:noWrap/>
            <w:vAlign w:val="bottom"/>
            <w:hideMark/>
          </w:tcPr>
          <w:p w14:paraId="13209369"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Overall accuracy</w:t>
            </w:r>
          </w:p>
        </w:tc>
        <w:tc>
          <w:tcPr>
            <w:tcW w:w="4909" w:type="dxa"/>
            <w:gridSpan w:val="2"/>
            <w:shd w:val="clear" w:color="auto" w:fill="auto"/>
            <w:vAlign w:val="center"/>
            <w:hideMark/>
          </w:tcPr>
          <w:p w14:paraId="63C3E83A"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93.09</w:t>
            </w:r>
          </w:p>
        </w:tc>
      </w:tr>
      <w:tr w:rsidR="00093E10" w:rsidRPr="00093E10" w14:paraId="7F963338" w14:textId="77777777" w:rsidTr="00093E10">
        <w:trPr>
          <w:trHeight w:val="280"/>
        </w:trPr>
        <w:tc>
          <w:tcPr>
            <w:tcW w:w="4076" w:type="dxa"/>
            <w:gridSpan w:val="2"/>
            <w:tcBorders>
              <w:bottom w:val="single" w:sz="4" w:space="0" w:color="auto"/>
            </w:tcBorders>
            <w:shd w:val="clear" w:color="auto" w:fill="auto"/>
            <w:noWrap/>
            <w:vAlign w:val="bottom"/>
            <w:hideMark/>
          </w:tcPr>
          <w:p w14:paraId="364FA705" w14:textId="77777777" w:rsidR="00093E10" w:rsidRPr="00093E10" w:rsidRDefault="00093E10" w:rsidP="00093E10">
            <w:pPr>
              <w:jc w:val="center"/>
              <w:rPr>
                <w:rFonts w:ascii="Calibri" w:hAnsi="Calibri"/>
                <w:b/>
                <w:bCs/>
                <w:color w:val="000000"/>
                <w:sz w:val="22"/>
                <w:szCs w:val="22"/>
                <w:lang w:val="en-IN" w:eastAsia="en-IN"/>
              </w:rPr>
            </w:pPr>
            <w:r w:rsidRPr="00093E10">
              <w:rPr>
                <w:rFonts w:ascii="Calibri" w:hAnsi="Calibri"/>
                <w:b/>
                <w:bCs/>
                <w:color w:val="000000"/>
                <w:sz w:val="22"/>
                <w:szCs w:val="22"/>
                <w:lang w:val="en-IN" w:eastAsia="en-IN"/>
              </w:rPr>
              <w:t>Kappa coefficient</w:t>
            </w:r>
          </w:p>
        </w:tc>
        <w:tc>
          <w:tcPr>
            <w:tcW w:w="4909" w:type="dxa"/>
            <w:gridSpan w:val="2"/>
            <w:tcBorders>
              <w:bottom w:val="single" w:sz="4" w:space="0" w:color="auto"/>
            </w:tcBorders>
            <w:shd w:val="clear" w:color="auto" w:fill="auto"/>
            <w:vAlign w:val="center"/>
            <w:hideMark/>
          </w:tcPr>
          <w:p w14:paraId="28C7445C" w14:textId="77777777" w:rsidR="00093E10" w:rsidRPr="00093E10" w:rsidRDefault="00093E10" w:rsidP="00093E10">
            <w:pPr>
              <w:jc w:val="center"/>
              <w:rPr>
                <w:rFonts w:ascii="Calibri" w:hAnsi="Calibri"/>
                <w:color w:val="000000"/>
                <w:sz w:val="22"/>
                <w:szCs w:val="22"/>
                <w:lang w:val="en-IN" w:eastAsia="en-IN"/>
              </w:rPr>
            </w:pPr>
            <w:r w:rsidRPr="00093E10">
              <w:rPr>
                <w:rFonts w:ascii="Calibri" w:hAnsi="Calibri"/>
                <w:color w:val="000000"/>
                <w:sz w:val="22"/>
                <w:szCs w:val="22"/>
                <w:lang w:val="en-IN" w:eastAsia="en-IN"/>
              </w:rPr>
              <w:t>0.9158</w:t>
            </w:r>
          </w:p>
        </w:tc>
      </w:tr>
    </w:tbl>
    <w:p w14:paraId="08D5E0D8" w14:textId="5EAC9096" w:rsidR="003B4F52" w:rsidRDefault="003B4F52" w:rsidP="003B4F52">
      <w:pPr>
        <w:pStyle w:val="Body"/>
        <w:spacing w:before="240"/>
        <w:rPr>
          <w:rFonts w:ascii="Arial" w:hAnsi="Arial" w:cs="Arial"/>
          <w:b/>
          <w:caps/>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Pr>
          <w:rFonts w:ascii="Arial" w:hAnsi="Arial" w:cs="Arial"/>
          <w:b/>
          <w:caps/>
          <w:sz w:val="22"/>
        </w:rPr>
        <w:t>Change detection analysis</w:t>
      </w:r>
      <w:r w:rsidR="00A27C01">
        <w:rPr>
          <w:rFonts w:ascii="Arial" w:hAnsi="Arial" w:cs="Arial"/>
          <w:b/>
          <w:caps/>
          <w:sz w:val="22"/>
        </w:rPr>
        <w:t xml:space="preserve"> and </w:t>
      </w:r>
      <w:r w:rsidR="00A27C01" w:rsidRPr="00A27C01">
        <w:rPr>
          <w:rFonts w:ascii="Arial" w:hAnsi="Arial" w:cs="Arial"/>
          <w:b/>
          <w:caps/>
          <w:sz w:val="22"/>
        </w:rPr>
        <w:t>Transformation of LULC</w:t>
      </w:r>
      <w:r w:rsidR="00E32056">
        <w:rPr>
          <w:rFonts w:ascii="Arial" w:hAnsi="Arial" w:cs="Arial"/>
          <w:b/>
          <w:caps/>
          <w:sz w:val="22"/>
        </w:rPr>
        <w:t xml:space="preserve"> (1991-2021)</w:t>
      </w:r>
    </w:p>
    <w:p w14:paraId="459FC538" w14:textId="6160D4D4" w:rsidR="00AD451B" w:rsidRDefault="00E32056" w:rsidP="000B7784">
      <w:pPr>
        <w:pStyle w:val="Body"/>
        <w:spacing w:before="240"/>
        <w:rPr>
          <w:rFonts w:ascii="Arial" w:hAnsi="Arial" w:cs="Arial"/>
        </w:rPr>
      </w:pPr>
      <w:r w:rsidRPr="00E32056">
        <w:rPr>
          <w:rFonts w:ascii="Arial" w:hAnsi="Arial" w:cs="Arial"/>
        </w:rPr>
        <w:t xml:space="preserve">The spatial and temporal analysis of land use/land cover (LULC) dynamics in the National Capital Territory of Delhi from 1991 to 2021 reveals a complex and evolving pattern of land transformation driven primarily by urbanization. As shown in </w:t>
      </w:r>
      <w:r w:rsidRPr="00E32056">
        <w:rPr>
          <w:rFonts w:ascii="Arial" w:hAnsi="Arial" w:cs="Arial"/>
          <w:b/>
          <w:bCs/>
        </w:rPr>
        <w:t>Table 6</w:t>
      </w:r>
      <w:r w:rsidRPr="00E32056">
        <w:rPr>
          <w:rFonts w:ascii="Arial" w:hAnsi="Arial" w:cs="Arial"/>
        </w:rPr>
        <w:t xml:space="preserve"> and </w:t>
      </w:r>
      <w:r w:rsidRPr="00E32056">
        <w:rPr>
          <w:rFonts w:ascii="Arial" w:hAnsi="Arial" w:cs="Arial"/>
          <w:b/>
          <w:bCs/>
        </w:rPr>
        <w:t>Figure 3</w:t>
      </w:r>
      <w:r w:rsidR="00E17C4B">
        <w:rPr>
          <w:rFonts w:ascii="Arial" w:hAnsi="Arial" w:cs="Arial"/>
          <w:b/>
          <w:bCs/>
        </w:rPr>
        <w:t>(a)</w:t>
      </w:r>
      <w:r w:rsidRPr="00E32056">
        <w:rPr>
          <w:rFonts w:ascii="Arial" w:hAnsi="Arial" w:cs="Arial"/>
        </w:rPr>
        <w:t>, the decade between 1991 and 2001 was marked by a sharp surge in built-up areas, with significant conversions from vegetation (56.25 sq.km), open space (64.10 sq.km), and agriculture (34.82 sq.km), highlighting the early phases of unregulated urban expansion. Vegetation and forest classes showed substantial mutual exchanges, suggesting unstable green cover and possible classification shifts or seasonal influences. Between 2001 and 2011 (</w:t>
      </w:r>
      <w:r w:rsidRPr="00E32056">
        <w:rPr>
          <w:rFonts w:ascii="Arial" w:hAnsi="Arial" w:cs="Arial"/>
          <w:b/>
          <w:bCs/>
        </w:rPr>
        <w:t>Table 7 and Figure</w:t>
      </w:r>
      <w:r w:rsidR="009F6D9D">
        <w:rPr>
          <w:rFonts w:ascii="Arial" w:hAnsi="Arial" w:cs="Arial"/>
          <w:b/>
          <w:bCs/>
        </w:rPr>
        <w:t xml:space="preserve"> 4</w:t>
      </w:r>
      <w:r w:rsidRPr="00E32056">
        <w:rPr>
          <w:rFonts w:ascii="Arial" w:hAnsi="Arial" w:cs="Arial"/>
        </w:rPr>
        <w:t>), this urban growth trajectory intensified, with built-up land expanding by 418.16 sq.km</w:t>
      </w:r>
      <w:r>
        <w:rPr>
          <w:rFonts w:ascii="Arial" w:hAnsi="Arial" w:cs="Arial"/>
        </w:rPr>
        <w:t xml:space="preserve"> </w:t>
      </w:r>
      <w:r w:rsidRPr="00E32056">
        <w:rPr>
          <w:rFonts w:ascii="Arial" w:hAnsi="Arial" w:cs="Arial"/>
        </w:rPr>
        <w:t>mostly at the expense of vegetation, agriculture, and open spaces. Notably, vegetation continued to serve as a transitional class, with 43.91 sq.km retained and nearly equal amounts flowing into forest (24.24 sq.km) and agriculture (35.13 sq.km), while forest cover showed signs of fragmentation and increasing transitions to other classes.</w:t>
      </w:r>
    </w:p>
    <w:p w14:paraId="7068B07B" w14:textId="30A04FEC" w:rsidR="000B7784" w:rsidRPr="00BB7E90" w:rsidRDefault="000B7784" w:rsidP="00BB7E90">
      <w:pPr>
        <w:pStyle w:val="Body"/>
        <w:spacing w:before="240"/>
        <w:rPr>
          <w:rFonts w:ascii="Arial" w:hAnsi="Arial"/>
          <w:b/>
        </w:rPr>
      </w:pPr>
      <w:r>
        <w:rPr>
          <w:rFonts w:ascii="Arial" w:hAnsi="Arial"/>
          <w:b/>
        </w:rPr>
        <w:t>Table 6. Change area matrix of 1991 - 2001</w:t>
      </w:r>
      <w:r w:rsidRPr="003012AC">
        <w:rPr>
          <w:rFonts w:ascii="Arial" w:hAnsi="Arial"/>
          <w:b/>
        </w:rPr>
        <w:t xml:space="preserve"> </w:t>
      </w:r>
      <w:r>
        <w:rPr>
          <w:rFonts w:ascii="Arial" w:hAnsi="Arial"/>
          <w:b/>
        </w:rPr>
        <w:t>(Km</w:t>
      </w:r>
      <w:r w:rsidRPr="00D27706">
        <w:rPr>
          <w:rFonts w:ascii="Arial" w:hAnsi="Arial"/>
          <w:b/>
          <w:vertAlign w:val="superscript"/>
        </w:rPr>
        <w:t>2</w:t>
      </w:r>
      <w:r>
        <w:rPr>
          <w:rFonts w:ascii="Arial" w:hAnsi="Arial"/>
          <w:b/>
        </w:rPr>
        <w:t>).</w:t>
      </w:r>
    </w:p>
    <w:tbl>
      <w:tblPr>
        <w:tblW w:w="8779" w:type="dxa"/>
        <w:tblInd w:w="-733" w:type="dxa"/>
        <w:tblLook w:val="04A0" w:firstRow="1" w:lastRow="0" w:firstColumn="1" w:lastColumn="0" w:noHBand="0" w:noVBand="1"/>
      </w:tblPr>
      <w:tblGrid>
        <w:gridCol w:w="1177"/>
        <w:gridCol w:w="1234"/>
        <w:gridCol w:w="830"/>
        <w:gridCol w:w="1224"/>
        <w:gridCol w:w="941"/>
        <w:gridCol w:w="1234"/>
        <w:gridCol w:w="1053"/>
        <w:gridCol w:w="1208"/>
      </w:tblGrid>
      <w:tr w:rsidR="000B7784" w:rsidRPr="00D27706" w14:paraId="59A13752" w14:textId="77777777" w:rsidTr="00BB7E90">
        <w:trPr>
          <w:trHeight w:val="272"/>
        </w:trPr>
        <w:tc>
          <w:tcPr>
            <w:tcW w:w="1177" w:type="dxa"/>
            <w:vMerge w:val="restart"/>
            <w:shd w:val="clear" w:color="auto" w:fill="auto"/>
            <w:noWrap/>
            <w:textDirection w:val="btLr"/>
            <w:vAlign w:val="center"/>
            <w:hideMark/>
          </w:tcPr>
          <w:p w14:paraId="7B474974" w14:textId="77777777" w:rsidR="000B7784" w:rsidRPr="00D27706" w:rsidRDefault="000B7784" w:rsidP="008649AA">
            <w:pPr>
              <w:ind w:left="113" w:right="113"/>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2001</w:t>
            </w:r>
          </w:p>
        </w:tc>
        <w:tc>
          <w:tcPr>
            <w:tcW w:w="7602" w:type="dxa"/>
            <w:gridSpan w:val="7"/>
            <w:tcBorders>
              <w:top w:val="single" w:sz="4" w:space="0" w:color="auto"/>
            </w:tcBorders>
            <w:shd w:val="clear" w:color="auto" w:fill="auto"/>
            <w:noWrap/>
            <w:vAlign w:val="center"/>
            <w:hideMark/>
          </w:tcPr>
          <w:p w14:paraId="78D9E132"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1991</w:t>
            </w:r>
          </w:p>
        </w:tc>
      </w:tr>
      <w:tr w:rsidR="00BB7E90" w:rsidRPr="00D27706" w14:paraId="36A4C592" w14:textId="77777777" w:rsidTr="00BB7E90">
        <w:trPr>
          <w:trHeight w:val="272"/>
        </w:trPr>
        <w:tc>
          <w:tcPr>
            <w:tcW w:w="1177" w:type="dxa"/>
            <w:vMerge/>
            <w:tcBorders>
              <w:top w:val="single" w:sz="4" w:space="0" w:color="auto"/>
            </w:tcBorders>
            <w:vAlign w:val="center"/>
            <w:hideMark/>
          </w:tcPr>
          <w:p w14:paraId="18D41DE2" w14:textId="77777777" w:rsidR="000B7784" w:rsidRPr="00D27706" w:rsidRDefault="000B7784" w:rsidP="008649AA">
            <w:pPr>
              <w:rPr>
                <w:rFonts w:ascii="Calibri" w:hAnsi="Calibri" w:cs="Calibri"/>
                <w:color w:val="000000"/>
                <w:sz w:val="22"/>
                <w:szCs w:val="22"/>
                <w:lang w:val="en-IN" w:eastAsia="en-IN"/>
              </w:rPr>
            </w:pPr>
          </w:p>
        </w:tc>
        <w:tc>
          <w:tcPr>
            <w:tcW w:w="1210" w:type="dxa"/>
            <w:tcBorders>
              <w:bottom w:val="single" w:sz="4" w:space="0" w:color="auto"/>
            </w:tcBorders>
            <w:shd w:val="clear" w:color="auto" w:fill="auto"/>
            <w:noWrap/>
            <w:vAlign w:val="bottom"/>
            <w:hideMark/>
          </w:tcPr>
          <w:p w14:paraId="1C8B1975" w14:textId="77777777" w:rsidR="000B7784" w:rsidRPr="00D27706" w:rsidRDefault="000B7784" w:rsidP="008649AA">
            <w:pP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LULC</w:t>
            </w:r>
          </w:p>
        </w:tc>
        <w:tc>
          <w:tcPr>
            <w:tcW w:w="814" w:type="dxa"/>
            <w:tcBorders>
              <w:bottom w:val="single" w:sz="4" w:space="0" w:color="auto"/>
            </w:tcBorders>
            <w:shd w:val="clear" w:color="auto" w:fill="auto"/>
            <w:noWrap/>
            <w:vAlign w:val="center"/>
            <w:hideMark/>
          </w:tcPr>
          <w:p w14:paraId="1F5C5361" w14:textId="77777777" w:rsidR="000B7784" w:rsidRPr="00D27706" w:rsidRDefault="000B7784" w:rsidP="008649AA">
            <w:pPr>
              <w:jc w:val="cente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Water</w:t>
            </w:r>
          </w:p>
        </w:tc>
        <w:tc>
          <w:tcPr>
            <w:tcW w:w="1201" w:type="dxa"/>
            <w:tcBorders>
              <w:bottom w:val="single" w:sz="4" w:space="0" w:color="auto"/>
            </w:tcBorders>
            <w:shd w:val="clear" w:color="auto" w:fill="auto"/>
            <w:noWrap/>
            <w:vAlign w:val="center"/>
            <w:hideMark/>
          </w:tcPr>
          <w:p w14:paraId="33F77AB8" w14:textId="77777777" w:rsidR="000B7784" w:rsidRPr="00D27706" w:rsidRDefault="000B7784" w:rsidP="008649AA">
            <w:pPr>
              <w:jc w:val="cente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Vegetation</w:t>
            </w:r>
          </w:p>
        </w:tc>
        <w:tc>
          <w:tcPr>
            <w:tcW w:w="923" w:type="dxa"/>
            <w:tcBorders>
              <w:bottom w:val="single" w:sz="4" w:space="0" w:color="auto"/>
            </w:tcBorders>
            <w:shd w:val="clear" w:color="auto" w:fill="auto"/>
            <w:noWrap/>
            <w:vAlign w:val="center"/>
            <w:hideMark/>
          </w:tcPr>
          <w:p w14:paraId="382BAD73" w14:textId="77777777" w:rsidR="000B7784" w:rsidRPr="00D27706" w:rsidRDefault="000B7784" w:rsidP="008649AA">
            <w:pPr>
              <w:jc w:val="cente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Forest</w:t>
            </w:r>
          </w:p>
        </w:tc>
        <w:tc>
          <w:tcPr>
            <w:tcW w:w="1210" w:type="dxa"/>
            <w:tcBorders>
              <w:bottom w:val="single" w:sz="4" w:space="0" w:color="auto"/>
            </w:tcBorders>
            <w:shd w:val="clear" w:color="auto" w:fill="auto"/>
            <w:noWrap/>
            <w:vAlign w:val="center"/>
            <w:hideMark/>
          </w:tcPr>
          <w:p w14:paraId="7EA9EEFD" w14:textId="77777777" w:rsidR="000B7784" w:rsidRPr="00D27706" w:rsidRDefault="000B7784" w:rsidP="008649AA">
            <w:pPr>
              <w:jc w:val="cente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Agriculture</w:t>
            </w:r>
          </w:p>
        </w:tc>
        <w:tc>
          <w:tcPr>
            <w:tcW w:w="1033" w:type="dxa"/>
            <w:tcBorders>
              <w:bottom w:val="single" w:sz="4" w:space="0" w:color="auto"/>
            </w:tcBorders>
            <w:shd w:val="clear" w:color="auto" w:fill="auto"/>
            <w:noWrap/>
            <w:vAlign w:val="center"/>
            <w:hideMark/>
          </w:tcPr>
          <w:p w14:paraId="5842546C" w14:textId="77777777" w:rsidR="000B7784" w:rsidRPr="00D27706" w:rsidRDefault="000B7784" w:rsidP="008649AA">
            <w:pPr>
              <w:jc w:val="cente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Built-up</w:t>
            </w:r>
          </w:p>
        </w:tc>
        <w:tc>
          <w:tcPr>
            <w:tcW w:w="1208" w:type="dxa"/>
            <w:tcBorders>
              <w:bottom w:val="single" w:sz="4" w:space="0" w:color="auto"/>
            </w:tcBorders>
            <w:shd w:val="clear" w:color="auto" w:fill="auto"/>
            <w:noWrap/>
            <w:vAlign w:val="center"/>
            <w:hideMark/>
          </w:tcPr>
          <w:p w14:paraId="03AD9E76" w14:textId="77777777" w:rsidR="000B7784" w:rsidRPr="00D27706" w:rsidRDefault="000B7784" w:rsidP="008649AA">
            <w:pPr>
              <w:jc w:val="cente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Open Space</w:t>
            </w:r>
          </w:p>
        </w:tc>
      </w:tr>
      <w:tr w:rsidR="00BB7E90" w:rsidRPr="00D27706" w14:paraId="7A8BDA0D" w14:textId="77777777" w:rsidTr="00BB7E90">
        <w:trPr>
          <w:trHeight w:val="272"/>
        </w:trPr>
        <w:tc>
          <w:tcPr>
            <w:tcW w:w="1177" w:type="dxa"/>
            <w:vMerge/>
            <w:vAlign w:val="center"/>
            <w:hideMark/>
          </w:tcPr>
          <w:p w14:paraId="6A3C4E6C" w14:textId="77777777" w:rsidR="000B7784" w:rsidRPr="00D27706" w:rsidRDefault="000B7784" w:rsidP="008649AA">
            <w:pPr>
              <w:rPr>
                <w:rFonts w:ascii="Calibri" w:hAnsi="Calibri" w:cs="Calibri"/>
                <w:color w:val="000000"/>
                <w:sz w:val="22"/>
                <w:szCs w:val="22"/>
                <w:lang w:val="en-IN" w:eastAsia="en-IN"/>
              </w:rPr>
            </w:pPr>
          </w:p>
        </w:tc>
        <w:tc>
          <w:tcPr>
            <w:tcW w:w="1210" w:type="dxa"/>
            <w:tcBorders>
              <w:top w:val="single" w:sz="4" w:space="0" w:color="auto"/>
            </w:tcBorders>
            <w:shd w:val="clear" w:color="auto" w:fill="auto"/>
            <w:noWrap/>
            <w:vAlign w:val="bottom"/>
            <w:hideMark/>
          </w:tcPr>
          <w:p w14:paraId="26998404" w14:textId="77777777" w:rsidR="000B7784" w:rsidRPr="00D27706" w:rsidRDefault="000B7784" w:rsidP="008649AA">
            <w:pP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Water</w:t>
            </w:r>
          </w:p>
        </w:tc>
        <w:tc>
          <w:tcPr>
            <w:tcW w:w="814" w:type="dxa"/>
            <w:tcBorders>
              <w:top w:val="single" w:sz="4" w:space="0" w:color="auto"/>
            </w:tcBorders>
            <w:shd w:val="clear" w:color="auto" w:fill="auto"/>
            <w:noWrap/>
            <w:vAlign w:val="center"/>
            <w:hideMark/>
          </w:tcPr>
          <w:p w14:paraId="6A6A4DD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8.5302</w:t>
            </w:r>
          </w:p>
        </w:tc>
        <w:tc>
          <w:tcPr>
            <w:tcW w:w="1201" w:type="dxa"/>
            <w:tcBorders>
              <w:top w:val="single" w:sz="4" w:space="0" w:color="auto"/>
            </w:tcBorders>
            <w:shd w:val="clear" w:color="auto" w:fill="auto"/>
            <w:noWrap/>
            <w:vAlign w:val="center"/>
            <w:hideMark/>
          </w:tcPr>
          <w:p w14:paraId="0B3825E4"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1.035</w:t>
            </w:r>
          </w:p>
        </w:tc>
        <w:tc>
          <w:tcPr>
            <w:tcW w:w="923" w:type="dxa"/>
            <w:tcBorders>
              <w:top w:val="single" w:sz="4" w:space="0" w:color="auto"/>
            </w:tcBorders>
            <w:shd w:val="clear" w:color="auto" w:fill="auto"/>
            <w:noWrap/>
            <w:vAlign w:val="center"/>
            <w:hideMark/>
          </w:tcPr>
          <w:p w14:paraId="041262F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2.7657</w:t>
            </w:r>
          </w:p>
        </w:tc>
        <w:tc>
          <w:tcPr>
            <w:tcW w:w="1210" w:type="dxa"/>
            <w:tcBorders>
              <w:top w:val="single" w:sz="4" w:space="0" w:color="auto"/>
            </w:tcBorders>
            <w:shd w:val="clear" w:color="auto" w:fill="auto"/>
            <w:noWrap/>
            <w:vAlign w:val="center"/>
            <w:hideMark/>
          </w:tcPr>
          <w:p w14:paraId="506A532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2.4633</w:t>
            </w:r>
          </w:p>
        </w:tc>
        <w:tc>
          <w:tcPr>
            <w:tcW w:w="1033" w:type="dxa"/>
            <w:tcBorders>
              <w:top w:val="single" w:sz="4" w:space="0" w:color="auto"/>
            </w:tcBorders>
            <w:shd w:val="clear" w:color="auto" w:fill="auto"/>
            <w:noWrap/>
            <w:vAlign w:val="center"/>
            <w:hideMark/>
          </w:tcPr>
          <w:p w14:paraId="1A03C679"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0</w:t>
            </w:r>
          </w:p>
        </w:tc>
        <w:tc>
          <w:tcPr>
            <w:tcW w:w="1208" w:type="dxa"/>
            <w:tcBorders>
              <w:top w:val="single" w:sz="4" w:space="0" w:color="auto"/>
            </w:tcBorders>
            <w:shd w:val="clear" w:color="auto" w:fill="auto"/>
            <w:noWrap/>
            <w:vAlign w:val="center"/>
            <w:hideMark/>
          </w:tcPr>
          <w:p w14:paraId="1DE1CD4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1.8261</w:t>
            </w:r>
          </w:p>
        </w:tc>
      </w:tr>
      <w:tr w:rsidR="00BB7E90" w:rsidRPr="00D27706" w14:paraId="4B33C60F" w14:textId="77777777" w:rsidTr="00BB7E90">
        <w:trPr>
          <w:trHeight w:val="272"/>
        </w:trPr>
        <w:tc>
          <w:tcPr>
            <w:tcW w:w="1177" w:type="dxa"/>
            <w:vMerge/>
            <w:vAlign w:val="center"/>
            <w:hideMark/>
          </w:tcPr>
          <w:p w14:paraId="623921B4" w14:textId="77777777" w:rsidR="000B7784" w:rsidRPr="00D27706" w:rsidRDefault="000B7784" w:rsidP="008649AA">
            <w:pPr>
              <w:rPr>
                <w:rFonts w:ascii="Calibri" w:hAnsi="Calibri" w:cs="Calibri"/>
                <w:color w:val="000000"/>
                <w:sz w:val="22"/>
                <w:szCs w:val="22"/>
                <w:lang w:val="en-IN" w:eastAsia="en-IN"/>
              </w:rPr>
            </w:pPr>
          </w:p>
        </w:tc>
        <w:tc>
          <w:tcPr>
            <w:tcW w:w="1210" w:type="dxa"/>
            <w:shd w:val="clear" w:color="auto" w:fill="auto"/>
            <w:noWrap/>
            <w:vAlign w:val="bottom"/>
            <w:hideMark/>
          </w:tcPr>
          <w:p w14:paraId="44CECF55" w14:textId="77777777" w:rsidR="000B7784" w:rsidRPr="00D27706" w:rsidRDefault="000B7784" w:rsidP="008649AA">
            <w:pP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Vegetation</w:t>
            </w:r>
          </w:p>
        </w:tc>
        <w:tc>
          <w:tcPr>
            <w:tcW w:w="814" w:type="dxa"/>
            <w:shd w:val="clear" w:color="auto" w:fill="auto"/>
            <w:noWrap/>
            <w:vAlign w:val="center"/>
            <w:hideMark/>
          </w:tcPr>
          <w:p w14:paraId="4CF4BAA8"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1.3869</w:t>
            </w:r>
          </w:p>
        </w:tc>
        <w:tc>
          <w:tcPr>
            <w:tcW w:w="1201" w:type="dxa"/>
            <w:shd w:val="clear" w:color="auto" w:fill="auto"/>
            <w:noWrap/>
            <w:vAlign w:val="center"/>
            <w:hideMark/>
          </w:tcPr>
          <w:p w14:paraId="63A9A382"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53.9919</w:t>
            </w:r>
          </w:p>
        </w:tc>
        <w:tc>
          <w:tcPr>
            <w:tcW w:w="923" w:type="dxa"/>
            <w:shd w:val="clear" w:color="auto" w:fill="auto"/>
            <w:noWrap/>
            <w:vAlign w:val="center"/>
            <w:hideMark/>
          </w:tcPr>
          <w:p w14:paraId="7DF2A251"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31.1139</w:t>
            </w:r>
          </w:p>
        </w:tc>
        <w:tc>
          <w:tcPr>
            <w:tcW w:w="1210" w:type="dxa"/>
            <w:shd w:val="clear" w:color="auto" w:fill="auto"/>
            <w:noWrap/>
            <w:vAlign w:val="center"/>
            <w:hideMark/>
          </w:tcPr>
          <w:p w14:paraId="6049F37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26.8443</w:t>
            </w:r>
          </w:p>
        </w:tc>
        <w:tc>
          <w:tcPr>
            <w:tcW w:w="1033" w:type="dxa"/>
            <w:shd w:val="clear" w:color="auto" w:fill="auto"/>
            <w:noWrap/>
            <w:vAlign w:val="center"/>
            <w:hideMark/>
          </w:tcPr>
          <w:p w14:paraId="100CECD4"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0</w:t>
            </w:r>
          </w:p>
        </w:tc>
        <w:tc>
          <w:tcPr>
            <w:tcW w:w="1208" w:type="dxa"/>
            <w:shd w:val="clear" w:color="auto" w:fill="auto"/>
            <w:noWrap/>
            <w:vAlign w:val="center"/>
            <w:hideMark/>
          </w:tcPr>
          <w:p w14:paraId="5AE62C06"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31.1175</w:t>
            </w:r>
          </w:p>
        </w:tc>
      </w:tr>
      <w:tr w:rsidR="00BB7E90" w:rsidRPr="00D27706" w14:paraId="064E8CB7" w14:textId="77777777" w:rsidTr="00BB7E90">
        <w:trPr>
          <w:trHeight w:val="272"/>
        </w:trPr>
        <w:tc>
          <w:tcPr>
            <w:tcW w:w="1177" w:type="dxa"/>
            <w:vMerge/>
            <w:vAlign w:val="center"/>
            <w:hideMark/>
          </w:tcPr>
          <w:p w14:paraId="1C420C29" w14:textId="77777777" w:rsidR="000B7784" w:rsidRPr="00D27706" w:rsidRDefault="000B7784" w:rsidP="008649AA">
            <w:pPr>
              <w:rPr>
                <w:rFonts w:ascii="Calibri" w:hAnsi="Calibri" w:cs="Calibri"/>
                <w:color w:val="000000"/>
                <w:sz w:val="22"/>
                <w:szCs w:val="22"/>
                <w:lang w:val="en-IN" w:eastAsia="en-IN"/>
              </w:rPr>
            </w:pPr>
          </w:p>
        </w:tc>
        <w:tc>
          <w:tcPr>
            <w:tcW w:w="1210" w:type="dxa"/>
            <w:shd w:val="clear" w:color="auto" w:fill="auto"/>
            <w:noWrap/>
            <w:vAlign w:val="bottom"/>
            <w:hideMark/>
          </w:tcPr>
          <w:p w14:paraId="2CD94B26" w14:textId="77777777" w:rsidR="000B7784" w:rsidRPr="00D27706" w:rsidRDefault="000B7784" w:rsidP="008649AA">
            <w:pP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Forest</w:t>
            </w:r>
          </w:p>
        </w:tc>
        <w:tc>
          <w:tcPr>
            <w:tcW w:w="814" w:type="dxa"/>
            <w:shd w:val="clear" w:color="auto" w:fill="auto"/>
            <w:noWrap/>
            <w:vAlign w:val="center"/>
            <w:hideMark/>
          </w:tcPr>
          <w:p w14:paraId="2724CADF"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3.168</w:t>
            </w:r>
          </w:p>
        </w:tc>
        <w:tc>
          <w:tcPr>
            <w:tcW w:w="1201" w:type="dxa"/>
            <w:shd w:val="clear" w:color="auto" w:fill="auto"/>
            <w:noWrap/>
            <w:vAlign w:val="center"/>
            <w:hideMark/>
          </w:tcPr>
          <w:p w14:paraId="49878D3A"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30.3453</w:t>
            </w:r>
          </w:p>
        </w:tc>
        <w:tc>
          <w:tcPr>
            <w:tcW w:w="923" w:type="dxa"/>
            <w:shd w:val="clear" w:color="auto" w:fill="auto"/>
            <w:noWrap/>
            <w:vAlign w:val="center"/>
            <w:hideMark/>
          </w:tcPr>
          <w:p w14:paraId="7041B718"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51.4962</w:t>
            </w:r>
          </w:p>
        </w:tc>
        <w:tc>
          <w:tcPr>
            <w:tcW w:w="1210" w:type="dxa"/>
            <w:shd w:val="clear" w:color="auto" w:fill="auto"/>
            <w:noWrap/>
            <w:vAlign w:val="center"/>
            <w:hideMark/>
          </w:tcPr>
          <w:p w14:paraId="241A096F"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16.8561</w:t>
            </w:r>
          </w:p>
        </w:tc>
        <w:tc>
          <w:tcPr>
            <w:tcW w:w="1033" w:type="dxa"/>
            <w:shd w:val="clear" w:color="auto" w:fill="auto"/>
            <w:noWrap/>
            <w:vAlign w:val="center"/>
            <w:hideMark/>
          </w:tcPr>
          <w:p w14:paraId="15E8A897"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0</w:t>
            </w:r>
          </w:p>
        </w:tc>
        <w:tc>
          <w:tcPr>
            <w:tcW w:w="1208" w:type="dxa"/>
            <w:shd w:val="clear" w:color="auto" w:fill="auto"/>
            <w:noWrap/>
            <w:vAlign w:val="center"/>
            <w:hideMark/>
          </w:tcPr>
          <w:p w14:paraId="1998645A"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12.3363</w:t>
            </w:r>
          </w:p>
        </w:tc>
      </w:tr>
      <w:tr w:rsidR="00BB7E90" w:rsidRPr="00D27706" w14:paraId="73B40C5B" w14:textId="77777777" w:rsidTr="00BB7E90">
        <w:trPr>
          <w:trHeight w:val="272"/>
        </w:trPr>
        <w:tc>
          <w:tcPr>
            <w:tcW w:w="1177" w:type="dxa"/>
            <w:vMerge/>
            <w:vAlign w:val="center"/>
            <w:hideMark/>
          </w:tcPr>
          <w:p w14:paraId="0E790EEB" w14:textId="77777777" w:rsidR="000B7784" w:rsidRPr="00D27706" w:rsidRDefault="000B7784" w:rsidP="008649AA">
            <w:pPr>
              <w:rPr>
                <w:rFonts w:ascii="Calibri" w:hAnsi="Calibri" w:cs="Calibri"/>
                <w:color w:val="000000"/>
                <w:sz w:val="22"/>
                <w:szCs w:val="22"/>
                <w:lang w:val="en-IN" w:eastAsia="en-IN"/>
              </w:rPr>
            </w:pPr>
          </w:p>
        </w:tc>
        <w:tc>
          <w:tcPr>
            <w:tcW w:w="1210" w:type="dxa"/>
            <w:shd w:val="clear" w:color="auto" w:fill="auto"/>
            <w:noWrap/>
            <w:vAlign w:val="bottom"/>
            <w:hideMark/>
          </w:tcPr>
          <w:p w14:paraId="553DF6F5" w14:textId="77777777" w:rsidR="000B7784" w:rsidRPr="00D27706" w:rsidRDefault="000B7784" w:rsidP="008649AA">
            <w:pP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Agriculture</w:t>
            </w:r>
          </w:p>
        </w:tc>
        <w:tc>
          <w:tcPr>
            <w:tcW w:w="814" w:type="dxa"/>
            <w:shd w:val="clear" w:color="auto" w:fill="auto"/>
            <w:noWrap/>
            <w:vAlign w:val="center"/>
            <w:hideMark/>
          </w:tcPr>
          <w:p w14:paraId="4537E793"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1.7604</w:t>
            </w:r>
          </w:p>
        </w:tc>
        <w:tc>
          <w:tcPr>
            <w:tcW w:w="1201" w:type="dxa"/>
            <w:shd w:val="clear" w:color="auto" w:fill="auto"/>
            <w:noWrap/>
            <w:vAlign w:val="center"/>
            <w:hideMark/>
          </w:tcPr>
          <w:p w14:paraId="0CBBD2B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14.1768</w:t>
            </w:r>
          </w:p>
        </w:tc>
        <w:tc>
          <w:tcPr>
            <w:tcW w:w="923" w:type="dxa"/>
            <w:shd w:val="clear" w:color="auto" w:fill="auto"/>
            <w:noWrap/>
            <w:vAlign w:val="center"/>
            <w:hideMark/>
          </w:tcPr>
          <w:p w14:paraId="1C8E6D13"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20.2941</w:t>
            </w:r>
          </w:p>
        </w:tc>
        <w:tc>
          <w:tcPr>
            <w:tcW w:w="1210" w:type="dxa"/>
            <w:shd w:val="clear" w:color="auto" w:fill="auto"/>
            <w:noWrap/>
            <w:vAlign w:val="center"/>
            <w:hideMark/>
          </w:tcPr>
          <w:p w14:paraId="1EFB4227"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373.17</w:t>
            </w:r>
          </w:p>
        </w:tc>
        <w:tc>
          <w:tcPr>
            <w:tcW w:w="1033" w:type="dxa"/>
            <w:shd w:val="clear" w:color="auto" w:fill="auto"/>
            <w:noWrap/>
            <w:vAlign w:val="center"/>
            <w:hideMark/>
          </w:tcPr>
          <w:p w14:paraId="28259A4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0</w:t>
            </w:r>
          </w:p>
        </w:tc>
        <w:tc>
          <w:tcPr>
            <w:tcW w:w="1208" w:type="dxa"/>
            <w:shd w:val="clear" w:color="auto" w:fill="auto"/>
            <w:noWrap/>
            <w:vAlign w:val="center"/>
            <w:hideMark/>
          </w:tcPr>
          <w:p w14:paraId="459B590C"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86.0463</w:t>
            </w:r>
          </w:p>
        </w:tc>
      </w:tr>
      <w:tr w:rsidR="00BB7E90" w:rsidRPr="00D27706" w14:paraId="754A9A1C" w14:textId="77777777" w:rsidTr="00BB7E90">
        <w:trPr>
          <w:trHeight w:val="272"/>
        </w:trPr>
        <w:tc>
          <w:tcPr>
            <w:tcW w:w="1177" w:type="dxa"/>
            <w:vMerge/>
            <w:vAlign w:val="center"/>
            <w:hideMark/>
          </w:tcPr>
          <w:p w14:paraId="5D4AE795" w14:textId="77777777" w:rsidR="000B7784" w:rsidRPr="00D27706" w:rsidRDefault="000B7784" w:rsidP="008649AA">
            <w:pPr>
              <w:rPr>
                <w:rFonts w:ascii="Calibri" w:hAnsi="Calibri" w:cs="Calibri"/>
                <w:color w:val="000000"/>
                <w:sz w:val="22"/>
                <w:szCs w:val="22"/>
                <w:lang w:val="en-IN" w:eastAsia="en-IN"/>
              </w:rPr>
            </w:pPr>
          </w:p>
        </w:tc>
        <w:tc>
          <w:tcPr>
            <w:tcW w:w="1210" w:type="dxa"/>
            <w:shd w:val="clear" w:color="auto" w:fill="auto"/>
            <w:noWrap/>
            <w:vAlign w:val="bottom"/>
            <w:hideMark/>
          </w:tcPr>
          <w:p w14:paraId="1DA327F5" w14:textId="77777777" w:rsidR="000B7784" w:rsidRPr="00D27706" w:rsidRDefault="000B7784" w:rsidP="008649AA">
            <w:pP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Built-up</w:t>
            </w:r>
          </w:p>
        </w:tc>
        <w:tc>
          <w:tcPr>
            <w:tcW w:w="814" w:type="dxa"/>
            <w:shd w:val="clear" w:color="auto" w:fill="auto"/>
            <w:noWrap/>
            <w:vAlign w:val="center"/>
            <w:hideMark/>
          </w:tcPr>
          <w:p w14:paraId="174099E7"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1.2429</w:t>
            </w:r>
          </w:p>
        </w:tc>
        <w:tc>
          <w:tcPr>
            <w:tcW w:w="1201" w:type="dxa"/>
            <w:shd w:val="clear" w:color="auto" w:fill="auto"/>
            <w:noWrap/>
            <w:vAlign w:val="center"/>
            <w:hideMark/>
          </w:tcPr>
          <w:p w14:paraId="245CF9BA"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56.2464</w:t>
            </w:r>
          </w:p>
        </w:tc>
        <w:tc>
          <w:tcPr>
            <w:tcW w:w="923" w:type="dxa"/>
            <w:shd w:val="clear" w:color="auto" w:fill="auto"/>
            <w:noWrap/>
            <w:vAlign w:val="center"/>
            <w:hideMark/>
          </w:tcPr>
          <w:p w14:paraId="1DE5210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29.34</w:t>
            </w:r>
          </w:p>
        </w:tc>
        <w:tc>
          <w:tcPr>
            <w:tcW w:w="1210" w:type="dxa"/>
            <w:shd w:val="clear" w:color="auto" w:fill="auto"/>
            <w:noWrap/>
            <w:vAlign w:val="center"/>
            <w:hideMark/>
          </w:tcPr>
          <w:p w14:paraId="7A2FBAF6"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34.8282</w:t>
            </w:r>
          </w:p>
        </w:tc>
        <w:tc>
          <w:tcPr>
            <w:tcW w:w="1033" w:type="dxa"/>
            <w:shd w:val="clear" w:color="auto" w:fill="auto"/>
            <w:noWrap/>
            <w:vAlign w:val="center"/>
            <w:hideMark/>
          </w:tcPr>
          <w:p w14:paraId="142477E4"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259.6875</w:t>
            </w:r>
          </w:p>
        </w:tc>
        <w:tc>
          <w:tcPr>
            <w:tcW w:w="1208" w:type="dxa"/>
            <w:shd w:val="clear" w:color="auto" w:fill="auto"/>
            <w:noWrap/>
            <w:vAlign w:val="center"/>
            <w:hideMark/>
          </w:tcPr>
          <w:p w14:paraId="56181781"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64.1025</w:t>
            </w:r>
          </w:p>
        </w:tc>
      </w:tr>
      <w:tr w:rsidR="00BB7E90" w:rsidRPr="00D27706" w14:paraId="6163545D" w14:textId="77777777" w:rsidTr="00BB7E90">
        <w:trPr>
          <w:trHeight w:val="272"/>
        </w:trPr>
        <w:tc>
          <w:tcPr>
            <w:tcW w:w="1177" w:type="dxa"/>
            <w:vMerge/>
            <w:vAlign w:val="center"/>
            <w:hideMark/>
          </w:tcPr>
          <w:p w14:paraId="4A0713BD" w14:textId="77777777" w:rsidR="000B7784" w:rsidRPr="00D27706" w:rsidRDefault="000B7784" w:rsidP="008649AA">
            <w:pPr>
              <w:rPr>
                <w:rFonts w:ascii="Calibri" w:hAnsi="Calibri" w:cs="Calibri"/>
                <w:color w:val="000000"/>
                <w:sz w:val="22"/>
                <w:szCs w:val="22"/>
                <w:lang w:val="en-IN" w:eastAsia="en-IN"/>
              </w:rPr>
            </w:pPr>
          </w:p>
        </w:tc>
        <w:tc>
          <w:tcPr>
            <w:tcW w:w="1210" w:type="dxa"/>
            <w:tcBorders>
              <w:bottom w:val="single" w:sz="4" w:space="0" w:color="auto"/>
            </w:tcBorders>
            <w:shd w:val="clear" w:color="auto" w:fill="auto"/>
            <w:noWrap/>
            <w:vAlign w:val="bottom"/>
            <w:hideMark/>
          </w:tcPr>
          <w:p w14:paraId="0C8D2556" w14:textId="77777777" w:rsidR="000B7784" w:rsidRPr="00D27706" w:rsidRDefault="000B7784" w:rsidP="008649AA">
            <w:pPr>
              <w:rPr>
                <w:rFonts w:ascii="Calibri" w:hAnsi="Calibri" w:cs="Calibri"/>
                <w:b/>
                <w:bCs/>
                <w:color w:val="000000"/>
                <w:sz w:val="22"/>
                <w:szCs w:val="22"/>
                <w:lang w:val="en-IN" w:eastAsia="en-IN"/>
              </w:rPr>
            </w:pPr>
            <w:r w:rsidRPr="00D27706">
              <w:rPr>
                <w:rFonts w:ascii="Calibri" w:hAnsi="Calibri" w:cs="Calibri"/>
                <w:b/>
                <w:bCs/>
                <w:color w:val="000000"/>
                <w:sz w:val="22"/>
                <w:szCs w:val="22"/>
                <w:lang w:val="en-IN" w:eastAsia="en-IN"/>
              </w:rPr>
              <w:t>Open Space</w:t>
            </w:r>
          </w:p>
        </w:tc>
        <w:tc>
          <w:tcPr>
            <w:tcW w:w="814" w:type="dxa"/>
            <w:tcBorders>
              <w:bottom w:val="single" w:sz="4" w:space="0" w:color="auto"/>
            </w:tcBorders>
            <w:shd w:val="clear" w:color="auto" w:fill="auto"/>
            <w:noWrap/>
            <w:vAlign w:val="center"/>
            <w:hideMark/>
          </w:tcPr>
          <w:p w14:paraId="1DDE0865"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1.8162</w:t>
            </w:r>
          </w:p>
        </w:tc>
        <w:tc>
          <w:tcPr>
            <w:tcW w:w="1201" w:type="dxa"/>
            <w:tcBorders>
              <w:bottom w:val="single" w:sz="4" w:space="0" w:color="auto"/>
            </w:tcBorders>
            <w:shd w:val="clear" w:color="auto" w:fill="auto"/>
            <w:noWrap/>
            <w:vAlign w:val="center"/>
            <w:hideMark/>
          </w:tcPr>
          <w:p w14:paraId="69F4CE59"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38.1807</w:t>
            </w:r>
          </w:p>
        </w:tc>
        <w:tc>
          <w:tcPr>
            <w:tcW w:w="923" w:type="dxa"/>
            <w:tcBorders>
              <w:bottom w:val="single" w:sz="4" w:space="0" w:color="auto"/>
            </w:tcBorders>
            <w:shd w:val="clear" w:color="auto" w:fill="auto"/>
            <w:noWrap/>
            <w:vAlign w:val="center"/>
            <w:hideMark/>
          </w:tcPr>
          <w:p w14:paraId="6F9D2D5B"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20.6091</w:t>
            </w:r>
          </w:p>
        </w:tc>
        <w:tc>
          <w:tcPr>
            <w:tcW w:w="1210" w:type="dxa"/>
            <w:tcBorders>
              <w:bottom w:val="single" w:sz="4" w:space="0" w:color="auto"/>
            </w:tcBorders>
            <w:shd w:val="clear" w:color="auto" w:fill="auto"/>
            <w:noWrap/>
            <w:vAlign w:val="center"/>
            <w:hideMark/>
          </w:tcPr>
          <w:p w14:paraId="7BE1F404"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68.085</w:t>
            </w:r>
          </w:p>
        </w:tc>
        <w:tc>
          <w:tcPr>
            <w:tcW w:w="1033" w:type="dxa"/>
            <w:tcBorders>
              <w:bottom w:val="single" w:sz="4" w:space="0" w:color="auto"/>
            </w:tcBorders>
            <w:shd w:val="clear" w:color="auto" w:fill="auto"/>
            <w:noWrap/>
            <w:vAlign w:val="center"/>
            <w:hideMark/>
          </w:tcPr>
          <w:p w14:paraId="265B3650"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0</w:t>
            </w:r>
          </w:p>
        </w:tc>
        <w:tc>
          <w:tcPr>
            <w:tcW w:w="1208" w:type="dxa"/>
            <w:tcBorders>
              <w:bottom w:val="single" w:sz="4" w:space="0" w:color="auto"/>
            </w:tcBorders>
            <w:shd w:val="clear" w:color="auto" w:fill="auto"/>
            <w:noWrap/>
            <w:vAlign w:val="center"/>
            <w:hideMark/>
          </w:tcPr>
          <w:p w14:paraId="143F7474" w14:textId="77777777" w:rsidR="000B7784" w:rsidRPr="00D27706" w:rsidRDefault="000B7784" w:rsidP="008649AA">
            <w:pPr>
              <w:jc w:val="center"/>
              <w:rPr>
                <w:rFonts w:ascii="Calibri" w:hAnsi="Calibri" w:cs="Calibri"/>
                <w:color w:val="000000"/>
                <w:sz w:val="22"/>
                <w:szCs w:val="22"/>
                <w:lang w:val="en-IN" w:eastAsia="en-IN"/>
              </w:rPr>
            </w:pPr>
            <w:r w:rsidRPr="00D27706">
              <w:rPr>
                <w:rFonts w:ascii="Calibri" w:hAnsi="Calibri" w:cs="Calibri"/>
                <w:color w:val="000000"/>
                <w:sz w:val="22"/>
                <w:szCs w:val="22"/>
                <w:lang w:val="en-IN" w:eastAsia="en-IN"/>
              </w:rPr>
              <w:t>158.101</w:t>
            </w:r>
          </w:p>
        </w:tc>
      </w:tr>
    </w:tbl>
    <w:p w14:paraId="20CC5F8B" w14:textId="77777777" w:rsidR="004D08D0" w:rsidRDefault="0078402F" w:rsidP="00E17C4B">
      <w:pPr>
        <w:pStyle w:val="Body"/>
        <w:spacing w:before="240" w:after="0"/>
        <w:rPr>
          <w:rFonts w:ascii="Arial" w:hAnsi="Arial" w:cs="Arial"/>
          <w:b/>
          <w:bCs/>
          <w:noProof/>
        </w:rPr>
      </w:pPr>
      <w:r w:rsidRPr="0078402F">
        <w:rPr>
          <w:rFonts w:ascii="Arial" w:hAnsi="Arial" w:cs="Arial"/>
          <w:b/>
          <w:bCs/>
          <w:noProof/>
        </w:rPr>
        <w:drawing>
          <wp:anchor distT="0" distB="0" distL="114300" distR="114300" simplePos="0" relativeHeight="251648000" behindDoc="0" locked="0" layoutInCell="1" allowOverlap="1" wp14:anchorId="63814012" wp14:editId="614ACFA8">
            <wp:simplePos x="0" y="0"/>
            <wp:positionH relativeFrom="column">
              <wp:posOffset>53340</wp:posOffset>
            </wp:positionH>
            <wp:positionV relativeFrom="paragraph">
              <wp:posOffset>210185</wp:posOffset>
            </wp:positionV>
            <wp:extent cx="3348990" cy="2369820"/>
            <wp:effectExtent l="0" t="0" r="0" b="0"/>
            <wp:wrapThrough wrapText="bothSides">
              <wp:wrapPolygon edited="0">
                <wp:start x="0" y="0"/>
                <wp:lineTo x="0" y="21357"/>
                <wp:lineTo x="21502" y="21357"/>
                <wp:lineTo x="2150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8990" cy="2369820"/>
                    </a:xfrm>
                    <a:prstGeom prst="rect">
                      <a:avLst/>
                    </a:prstGeom>
                  </pic:spPr>
                </pic:pic>
              </a:graphicData>
            </a:graphic>
            <wp14:sizeRelH relativeFrom="page">
              <wp14:pctWidth>0</wp14:pctWidth>
            </wp14:sizeRelH>
            <wp14:sizeRelV relativeFrom="page">
              <wp14:pctHeight>0</wp14:pctHeight>
            </wp14:sizeRelV>
          </wp:anchor>
        </w:drawing>
      </w:r>
    </w:p>
    <w:p w14:paraId="4C25683E" w14:textId="77777777" w:rsidR="004D08D0" w:rsidRDefault="004D08D0" w:rsidP="00E17C4B">
      <w:pPr>
        <w:pStyle w:val="Body"/>
        <w:spacing w:before="240" w:after="0"/>
        <w:rPr>
          <w:rFonts w:ascii="Arial" w:hAnsi="Arial" w:cs="Arial"/>
          <w:b/>
          <w:bCs/>
          <w:noProof/>
        </w:rPr>
      </w:pPr>
    </w:p>
    <w:p w14:paraId="0BF59C51" w14:textId="77777777" w:rsidR="004D08D0" w:rsidRDefault="004D08D0" w:rsidP="00E17C4B">
      <w:pPr>
        <w:pStyle w:val="Body"/>
        <w:spacing w:before="240" w:after="0"/>
        <w:rPr>
          <w:rFonts w:ascii="Arial" w:hAnsi="Arial" w:cs="Arial"/>
          <w:b/>
          <w:bCs/>
          <w:noProof/>
        </w:rPr>
      </w:pPr>
    </w:p>
    <w:p w14:paraId="0D85E678" w14:textId="77777777" w:rsidR="004D08D0" w:rsidRDefault="004D08D0" w:rsidP="00E17C4B">
      <w:pPr>
        <w:pStyle w:val="Body"/>
        <w:spacing w:before="240" w:after="0"/>
        <w:rPr>
          <w:rFonts w:ascii="Arial" w:hAnsi="Arial" w:cs="Arial"/>
          <w:b/>
          <w:bCs/>
          <w:noProof/>
        </w:rPr>
      </w:pPr>
    </w:p>
    <w:p w14:paraId="56A508F9" w14:textId="77777777" w:rsidR="004D08D0" w:rsidRDefault="004D08D0" w:rsidP="00E17C4B">
      <w:pPr>
        <w:pStyle w:val="Body"/>
        <w:spacing w:before="240" w:after="0"/>
        <w:rPr>
          <w:rFonts w:ascii="Arial" w:hAnsi="Arial" w:cs="Arial"/>
          <w:b/>
          <w:bCs/>
          <w:noProof/>
        </w:rPr>
      </w:pPr>
    </w:p>
    <w:p w14:paraId="768710CD" w14:textId="77777777" w:rsidR="004D08D0" w:rsidRDefault="004D08D0" w:rsidP="00E17C4B">
      <w:pPr>
        <w:pStyle w:val="Body"/>
        <w:spacing w:before="240" w:after="0"/>
        <w:rPr>
          <w:rFonts w:ascii="Arial" w:hAnsi="Arial" w:cs="Arial"/>
          <w:b/>
          <w:bCs/>
          <w:noProof/>
        </w:rPr>
      </w:pPr>
    </w:p>
    <w:p w14:paraId="55D0776B" w14:textId="77777777" w:rsidR="004D08D0" w:rsidRDefault="004D08D0" w:rsidP="00E17C4B">
      <w:pPr>
        <w:pStyle w:val="Body"/>
        <w:spacing w:before="240" w:after="0"/>
        <w:rPr>
          <w:rFonts w:ascii="Arial" w:hAnsi="Arial" w:cs="Arial"/>
          <w:b/>
          <w:bCs/>
          <w:noProof/>
        </w:rPr>
      </w:pPr>
    </w:p>
    <w:p w14:paraId="22CD7968" w14:textId="77777777" w:rsidR="004D08D0" w:rsidRDefault="004D08D0" w:rsidP="00E17C4B">
      <w:pPr>
        <w:pStyle w:val="Body"/>
        <w:spacing w:before="240" w:after="0"/>
        <w:rPr>
          <w:rFonts w:ascii="Arial" w:hAnsi="Arial" w:cs="Arial"/>
          <w:b/>
          <w:bCs/>
          <w:noProof/>
        </w:rPr>
      </w:pPr>
    </w:p>
    <w:p w14:paraId="5F93CB7A" w14:textId="77777777" w:rsidR="004D08D0" w:rsidRDefault="004D08D0" w:rsidP="00E17C4B">
      <w:pPr>
        <w:pStyle w:val="Body"/>
        <w:spacing w:before="240" w:after="0"/>
        <w:rPr>
          <w:rFonts w:ascii="Arial" w:hAnsi="Arial" w:cs="Arial"/>
          <w:b/>
          <w:bCs/>
          <w:noProof/>
        </w:rPr>
      </w:pPr>
    </w:p>
    <w:p w14:paraId="27E7C060" w14:textId="47AE3425" w:rsidR="004D08D0" w:rsidRDefault="004F4605" w:rsidP="00E17C4B">
      <w:pPr>
        <w:pStyle w:val="Body"/>
        <w:spacing w:before="240" w:after="0"/>
        <w:rPr>
          <w:rFonts w:ascii="Arial" w:hAnsi="Arial" w:cs="Arial"/>
        </w:rPr>
      </w:pPr>
      <w:r>
        <w:rPr>
          <w:rFonts w:ascii="Arial" w:hAnsi="Arial" w:cs="Arial"/>
          <w:b/>
          <w:bCs/>
        </w:rPr>
        <w:t xml:space="preserve">    </w:t>
      </w:r>
      <w:r w:rsidR="00E17C4B" w:rsidRPr="0078402F">
        <w:rPr>
          <w:rFonts w:ascii="Arial" w:hAnsi="Arial" w:cs="Arial"/>
          <w:b/>
          <w:bCs/>
        </w:rPr>
        <w:t>Fig. 3</w:t>
      </w:r>
      <w:r w:rsidR="005B7D6F">
        <w:rPr>
          <w:rFonts w:ascii="Arial" w:hAnsi="Arial" w:cs="Arial"/>
          <w:b/>
          <w:bCs/>
        </w:rPr>
        <w:t xml:space="preserve"> </w:t>
      </w:r>
      <w:r w:rsidR="00E17C4B" w:rsidRPr="005B7D6F">
        <w:rPr>
          <w:rFonts w:ascii="Arial" w:hAnsi="Arial" w:cs="Arial"/>
        </w:rPr>
        <w:t xml:space="preserve">LULC change detection during (1991-2001); </w:t>
      </w:r>
    </w:p>
    <w:p w14:paraId="5D02AAB6" w14:textId="0A5CDD73" w:rsidR="004D08D0" w:rsidRDefault="004D08D0" w:rsidP="00E17C4B">
      <w:pPr>
        <w:pStyle w:val="Body"/>
        <w:spacing w:before="240" w:after="0"/>
        <w:rPr>
          <w:rFonts w:ascii="Arial" w:hAnsi="Arial" w:cs="Arial"/>
        </w:rPr>
      </w:pPr>
    </w:p>
    <w:p w14:paraId="4F0D605E" w14:textId="27A8461E" w:rsidR="004D08D0" w:rsidRDefault="004F4605" w:rsidP="00E17C4B">
      <w:pPr>
        <w:pStyle w:val="Body"/>
        <w:spacing w:before="240" w:after="0"/>
        <w:rPr>
          <w:rFonts w:ascii="Arial" w:hAnsi="Arial" w:cs="Arial"/>
        </w:rPr>
      </w:pPr>
      <w:r w:rsidRPr="0078402F">
        <w:rPr>
          <w:rFonts w:ascii="Arial" w:hAnsi="Arial" w:cs="Arial"/>
          <w:b/>
          <w:bCs/>
          <w:noProof/>
        </w:rPr>
        <w:drawing>
          <wp:anchor distT="0" distB="0" distL="114300" distR="114300" simplePos="0" relativeHeight="251671552" behindDoc="0" locked="0" layoutInCell="1" allowOverlap="1" wp14:anchorId="7A9F2D67" wp14:editId="2AF7E0CF">
            <wp:simplePos x="0" y="0"/>
            <wp:positionH relativeFrom="column">
              <wp:posOffset>53340</wp:posOffset>
            </wp:positionH>
            <wp:positionV relativeFrom="paragraph">
              <wp:posOffset>40640</wp:posOffset>
            </wp:positionV>
            <wp:extent cx="3347085" cy="2368550"/>
            <wp:effectExtent l="0" t="0" r="0" b="0"/>
            <wp:wrapThrough wrapText="bothSides">
              <wp:wrapPolygon edited="0">
                <wp:start x="0" y="0"/>
                <wp:lineTo x="0" y="21368"/>
                <wp:lineTo x="21514" y="21368"/>
                <wp:lineTo x="2151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7085" cy="2368550"/>
                    </a:xfrm>
                    <a:prstGeom prst="rect">
                      <a:avLst/>
                    </a:prstGeom>
                  </pic:spPr>
                </pic:pic>
              </a:graphicData>
            </a:graphic>
            <wp14:sizeRelH relativeFrom="page">
              <wp14:pctWidth>0</wp14:pctWidth>
            </wp14:sizeRelH>
            <wp14:sizeRelV relativeFrom="page">
              <wp14:pctHeight>0</wp14:pctHeight>
            </wp14:sizeRelV>
          </wp:anchor>
        </w:drawing>
      </w:r>
    </w:p>
    <w:p w14:paraId="4BDA6B50" w14:textId="4AD750EB" w:rsidR="004D08D0" w:rsidRDefault="004D08D0" w:rsidP="00E17C4B">
      <w:pPr>
        <w:pStyle w:val="Body"/>
        <w:spacing w:before="240" w:after="0"/>
        <w:rPr>
          <w:rFonts w:ascii="Arial" w:hAnsi="Arial" w:cs="Arial"/>
        </w:rPr>
      </w:pPr>
    </w:p>
    <w:p w14:paraId="379A056E" w14:textId="29153428" w:rsidR="004D08D0" w:rsidRDefault="004D08D0" w:rsidP="00E17C4B">
      <w:pPr>
        <w:pStyle w:val="Body"/>
        <w:spacing w:before="240" w:after="0"/>
        <w:rPr>
          <w:rFonts w:ascii="Arial" w:hAnsi="Arial" w:cs="Arial"/>
        </w:rPr>
      </w:pPr>
    </w:p>
    <w:p w14:paraId="59EF824C" w14:textId="24390890" w:rsidR="004D08D0" w:rsidRDefault="004D08D0" w:rsidP="00E17C4B">
      <w:pPr>
        <w:pStyle w:val="Body"/>
        <w:spacing w:before="240" w:after="0"/>
        <w:rPr>
          <w:rFonts w:ascii="Arial" w:hAnsi="Arial" w:cs="Arial"/>
        </w:rPr>
      </w:pPr>
    </w:p>
    <w:p w14:paraId="7CD5852C" w14:textId="77ED4C69" w:rsidR="004D08D0" w:rsidRDefault="004D08D0" w:rsidP="00E17C4B">
      <w:pPr>
        <w:pStyle w:val="Body"/>
        <w:spacing w:before="240" w:after="0"/>
        <w:rPr>
          <w:rFonts w:ascii="Arial" w:hAnsi="Arial" w:cs="Arial"/>
        </w:rPr>
      </w:pPr>
    </w:p>
    <w:p w14:paraId="1E7AEACE" w14:textId="77777777" w:rsidR="004D08D0" w:rsidRDefault="004D08D0" w:rsidP="00E17C4B">
      <w:pPr>
        <w:pStyle w:val="Body"/>
        <w:spacing w:before="240" w:after="0"/>
        <w:rPr>
          <w:rFonts w:ascii="Arial" w:hAnsi="Arial" w:cs="Arial"/>
        </w:rPr>
      </w:pPr>
    </w:p>
    <w:p w14:paraId="19D85F1B" w14:textId="77777777" w:rsidR="004D08D0" w:rsidRDefault="004D08D0" w:rsidP="00E17C4B">
      <w:pPr>
        <w:pStyle w:val="Body"/>
        <w:spacing w:before="240" w:after="0"/>
        <w:rPr>
          <w:rFonts w:ascii="Arial" w:hAnsi="Arial" w:cs="Arial"/>
        </w:rPr>
      </w:pPr>
    </w:p>
    <w:p w14:paraId="3C730706" w14:textId="77777777" w:rsidR="004D08D0" w:rsidRDefault="004D08D0" w:rsidP="00E17C4B">
      <w:pPr>
        <w:pStyle w:val="Body"/>
        <w:spacing w:before="240" w:after="0"/>
        <w:rPr>
          <w:rFonts w:ascii="Arial" w:hAnsi="Arial" w:cs="Arial"/>
          <w:b/>
          <w:bCs/>
        </w:rPr>
      </w:pPr>
    </w:p>
    <w:p w14:paraId="23EBC415" w14:textId="0FD36915" w:rsidR="00E17C4B" w:rsidRDefault="005B7D6F" w:rsidP="00E17C4B">
      <w:pPr>
        <w:pStyle w:val="Body"/>
        <w:spacing w:before="240" w:after="0"/>
        <w:rPr>
          <w:rFonts w:ascii="Arial" w:hAnsi="Arial" w:cs="Arial"/>
        </w:rPr>
      </w:pPr>
      <w:r w:rsidRPr="009F6D9D">
        <w:rPr>
          <w:rFonts w:ascii="Arial" w:hAnsi="Arial" w:cs="Arial"/>
          <w:b/>
          <w:bCs/>
        </w:rPr>
        <w:t>Fig. 4</w:t>
      </w:r>
      <w:r w:rsidRPr="005B7D6F">
        <w:rPr>
          <w:rFonts w:ascii="Arial" w:hAnsi="Arial" w:cs="Arial"/>
        </w:rPr>
        <w:t xml:space="preserve"> </w:t>
      </w:r>
      <w:r w:rsidR="00E17C4B" w:rsidRPr="005B7D6F">
        <w:rPr>
          <w:rFonts w:ascii="Arial" w:hAnsi="Arial" w:cs="Arial"/>
        </w:rPr>
        <w:t>LULC change detection during (2001-2011</w:t>
      </w:r>
      <w:r w:rsidR="00E17C4B">
        <w:rPr>
          <w:rFonts w:ascii="Arial" w:hAnsi="Arial" w:cs="Arial"/>
        </w:rPr>
        <w:t>)</w:t>
      </w:r>
    </w:p>
    <w:p w14:paraId="42DE7600" w14:textId="0E68DE08" w:rsidR="00214660" w:rsidRPr="000B7784" w:rsidRDefault="00214660" w:rsidP="00214660">
      <w:pPr>
        <w:pStyle w:val="Body"/>
        <w:spacing w:before="240" w:after="0"/>
        <w:rPr>
          <w:rFonts w:ascii="Arial" w:hAnsi="Arial" w:cs="Arial"/>
        </w:rPr>
      </w:pPr>
      <w:r>
        <w:rPr>
          <w:rFonts w:ascii="Arial" w:hAnsi="Arial"/>
          <w:b/>
        </w:rPr>
        <w:t>Table 7. Change area matrix of 2001 - 2011</w:t>
      </w:r>
      <w:r w:rsidRPr="003012AC">
        <w:rPr>
          <w:rFonts w:ascii="Arial" w:hAnsi="Arial"/>
          <w:b/>
        </w:rPr>
        <w:t xml:space="preserve"> </w:t>
      </w:r>
      <w:r>
        <w:rPr>
          <w:rFonts w:ascii="Arial" w:hAnsi="Arial"/>
          <w:b/>
        </w:rPr>
        <w:t>(Km</w:t>
      </w:r>
      <w:r w:rsidRPr="00D27706">
        <w:rPr>
          <w:rFonts w:ascii="Arial" w:hAnsi="Arial"/>
          <w:b/>
          <w:vertAlign w:val="superscript"/>
        </w:rPr>
        <w:t>2</w:t>
      </w:r>
      <w:r>
        <w:rPr>
          <w:rFonts w:ascii="Arial" w:hAnsi="Arial"/>
          <w:b/>
        </w:rPr>
        <w:t>).</w:t>
      </w:r>
    </w:p>
    <w:p w14:paraId="0A1F5F08" w14:textId="77777777" w:rsidR="00E757DF" w:rsidRPr="00E32056" w:rsidRDefault="00E757DF" w:rsidP="00943897">
      <w:pPr>
        <w:pStyle w:val="Body"/>
        <w:spacing w:after="0"/>
        <w:rPr>
          <w:rFonts w:ascii="Arial" w:hAnsi="Arial" w:cs="Arial"/>
        </w:rPr>
      </w:pPr>
    </w:p>
    <w:tbl>
      <w:tblPr>
        <w:tblW w:w="8898" w:type="dxa"/>
        <w:tblInd w:w="-685" w:type="dxa"/>
        <w:tblLook w:val="04A0" w:firstRow="1" w:lastRow="0" w:firstColumn="1" w:lastColumn="0" w:noHBand="0" w:noVBand="1"/>
      </w:tblPr>
      <w:tblGrid>
        <w:gridCol w:w="975"/>
        <w:gridCol w:w="1249"/>
        <w:gridCol w:w="956"/>
        <w:gridCol w:w="1238"/>
        <w:gridCol w:w="956"/>
        <w:gridCol w:w="1249"/>
        <w:gridCol w:w="1068"/>
        <w:gridCol w:w="1207"/>
      </w:tblGrid>
      <w:tr w:rsidR="00E757DF" w:rsidRPr="00E757DF" w14:paraId="17749842" w14:textId="77777777" w:rsidTr="00214660">
        <w:trPr>
          <w:trHeight w:val="163"/>
        </w:trPr>
        <w:tc>
          <w:tcPr>
            <w:tcW w:w="975" w:type="dxa"/>
            <w:vMerge w:val="restart"/>
            <w:shd w:val="clear" w:color="auto" w:fill="auto"/>
            <w:noWrap/>
            <w:textDirection w:val="btLr"/>
            <w:vAlign w:val="center"/>
            <w:hideMark/>
          </w:tcPr>
          <w:p w14:paraId="2A991654" w14:textId="77777777" w:rsidR="00E757DF" w:rsidRPr="00E757DF" w:rsidRDefault="00E757DF" w:rsidP="00E757DF">
            <w:pPr>
              <w:ind w:left="113" w:right="113"/>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2011</w:t>
            </w:r>
          </w:p>
        </w:tc>
        <w:tc>
          <w:tcPr>
            <w:tcW w:w="7923" w:type="dxa"/>
            <w:gridSpan w:val="7"/>
            <w:tcBorders>
              <w:top w:val="single" w:sz="4" w:space="0" w:color="auto"/>
            </w:tcBorders>
            <w:shd w:val="clear" w:color="auto" w:fill="auto"/>
            <w:noWrap/>
            <w:vAlign w:val="center"/>
            <w:hideMark/>
          </w:tcPr>
          <w:p w14:paraId="4DFA53FB"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2001</w:t>
            </w:r>
          </w:p>
        </w:tc>
      </w:tr>
      <w:tr w:rsidR="00E757DF" w:rsidRPr="00E757DF" w14:paraId="48CA3BBD" w14:textId="77777777" w:rsidTr="00214660">
        <w:trPr>
          <w:trHeight w:val="163"/>
        </w:trPr>
        <w:tc>
          <w:tcPr>
            <w:tcW w:w="975" w:type="dxa"/>
            <w:vMerge/>
            <w:vAlign w:val="center"/>
            <w:hideMark/>
          </w:tcPr>
          <w:p w14:paraId="6F01C7CF" w14:textId="77777777" w:rsidR="00E757DF" w:rsidRPr="00E757DF" w:rsidRDefault="00E757DF" w:rsidP="00E757DF">
            <w:pPr>
              <w:rPr>
                <w:rFonts w:ascii="Calibri" w:hAnsi="Calibri" w:cs="Calibri"/>
                <w:color w:val="000000"/>
                <w:sz w:val="22"/>
                <w:szCs w:val="22"/>
                <w:lang w:val="en-IN" w:eastAsia="en-IN"/>
              </w:rPr>
            </w:pPr>
          </w:p>
        </w:tc>
        <w:tc>
          <w:tcPr>
            <w:tcW w:w="1249" w:type="dxa"/>
            <w:tcBorders>
              <w:bottom w:val="single" w:sz="4" w:space="0" w:color="auto"/>
            </w:tcBorders>
            <w:shd w:val="clear" w:color="auto" w:fill="auto"/>
            <w:noWrap/>
            <w:vAlign w:val="bottom"/>
            <w:hideMark/>
          </w:tcPr>
          <w:p w14:paraId="325B3401" w14:textId="77777777" w:rsidR="00E757DF" w:rsidRPr="00E757DF" w:rsidRDefault="00E757DF" w:rsidP="00E757DF">
            <w:pP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LULC</w:t>
            </w:r>
          </w:p>
        </w:tc>
        <w:tc>
          <w:tcPr>
            <w:tcW w:w="956" w:type="dxa"/>
            <w:tcBorders>
              <w:bottom w:val="single" w:sz="4" w:space="0" w:color="auto"/>
            </w:tcBorders>
            <w:shd w:val="clear" w:color="auto" w:fill="auto"/>
            <w:noWrap/>
            <w:vAlign w:val="center"/>
            <w:hideMark/>
          </w:tcPr>
          <w:p w14:paraId="6FE6E21A" w14:textId="77777777" w:rsidR="00E757DF" w:rsidRPr="00E757DF" w:rsidRDefault="00E757DF" w:rsidP="00E757DF">
            <w:pPr>
              <w:jc w:val="cente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Water</w:t>
            </w:r>
          </w:p>
        </w:tc>
        <w:tc>
          <w:tcPr>
            <w:tcW w:w="1238" w:type="dxa"/>
            <w:tcBorders>
              <w:bottom w:val="single" w:sz="4" w:space="0" w:color="auto"/>
            </w:tcBorders>
            <w:shd w:val="clear" w:color="auto" w:fill="auto"/>
            <w:noWrap/>
            <w:vAlign w:val="center"/>
            <w:hideMark/>
          </w:tcPr>
          <w:p w14:paraId="077CF430" w14:textId="77777777" w:rsidR="00E757DF" w:rsidRPr="00E757DF" w:rsidRDefault="00E757DF" w:rsidP="00E757DF">
            <w:pPr>
              <w:jc w:val="cente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Vegetation</w:t>
            </w:r>
          </w:p>
        </w:tc>
        <w:tc>
          <w:tcPr>
            <w:tcW w:w="956" w:type="dxa"/>
            <w:tcBorders>
              <w:bottom w:val="single" w:sz="4" w:space="0" w:color="auto"/>
            </w:tcBorders>
            <w:shd w:val="clear" w:color="auto" w:fill="auto"/>
            <w:noWrap/>
            <w:vAlign w:val="center"/>
            <w:hideMark/>
          </w:tcPr>
          <w:p w14:paraId="5FB088E9" w14:textId="77777777" w:rsidR="00E757DF" w:rsidRPr="00E757DF" w:rsidRDefault="00E757DF" w:rsidP="00E757DF">
            <w:pPr>
              <w:jc w:val="cente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Forest</w:t>
            </w:r>
          </w:p>
        </w:tc>
        <w:tc>
          <w:tcPr>
            <w:tcW w:w="1249" w:type="dxa"/>
            <w:tcBorders>
              <w:bottom w:val="single" w:sz="4" w:space="0" w:color="auto"/>
            </w:tcBorders>
            <w:shd w:val="clear" w:color="auto" w:fill="auto"/>
            <w:noWrap/>
            <w:vAlign w:val="center"/>
            <w:hideMark/>
          </w:tcPr>
          <w:p w14:paraId="12814AAF" w14:textId="77777777" w:rsidR="00E757DF" w:rsidRPr="00E757DF" w:rsidRDefault="00E757DF" w:rsidP="00E757DF">
            <w:pPr>
              <w:jc w:val="cente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Agriculture</w:t>
            </w:r>
          </w:p>
        </w:tc>
        <w:tc>
          <w:tcPr>
            <w:tcW w:w="1068" w:type="dxa"/>
            <w:tcBorders>
              <w:bottom w:val="single" w:sz="4" w:space="0" w:color="auto"/>
            </w:tcBorders>
            <w:shd w:val="clear" w:color="auto" w:fill="auto"/>
            <w:noWrap/>
            <w:vAlign w:val="center"/>
            <w:hideMark/>
          </w:tcPr>
          <w:p w14:paraId="051ACE9B" w14:textId="77777777" w:rsidR="00E757DF" w:rsidRPr="00E757DF" w:rsidRDefault="00E757DF" w:rsidP="00E757DF">
            <w:pPr>
              <w:jc w:val="cente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Built-up</w:t>
            </w:r>
          </w:p>
        </w:tc>
        <w:tc>
          <w:tcPr>
            <w:tcW w:w="1207" w:type="dxa"/>
            <w:tcBorders>
              <w:bottom w:val="single" w:sz="4" w:space="0" w:color="auto"/>
            </w:tcBorders>
            <w:shd w:val="clear" w:color="auto" w:fill="auto"/>
            <w:noWrap/>
            <w:vAlign w:val="center"/>
            <w:hideMark/>
          </w:tcPr>
          <w:p w14:paraId="7074B82B" w14:textId="77777777" w:rsidR="00E757DF" w:rsidRPr="00E757DF" w:rsidRDefault="00E757DF" w:rsidP="00E757DF">
            <w:pPr>
              <w:jc w:val="cente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Open Space</w:t>
            </w:r>
          </w:p>
        </w:tc>
      </w:tr>
      <w:tr w:rsidR="00E757DF" w:rsidRPr="00E757DF" w14:paraId="49B4CB73" w14:textId="77777777" w:rsidTr="00214660">
        <w:trPr>
          <w:trHeight w:val="163"/>
        </w:trPr>
        <w:tc>
          <w:tcPr>
            <w:tcW w:w="975" w:type="dxa"/>
            <w:vMerge/>
            <w:vAlign w:val="center"/>
            <w:hideMark/>
          </w:tcPr>
          <w:p w14:paraId="11628DB7" w14:textId="77777777" w:rsidR="00E757DF" w:rsidRPr="00E757DF" w:rsidRDefault="00E757DF" w:rsidP="00E757DF">
            <w:pPr>
              <w:rPr>
                <w:rFonts w:ascii="Calibri" w:hAnsi="Calibri" w:cs="Calibri"/>
                <w:color w:val="000000"/>
                <w:sz w:val="22"/>
                <w:szCs w:val="22"/>
                <w:lang w:val="en-IN" w:eastAsia="en-IN"/>
              </w:rPr>
            </w:pPr>
          </w:p>
        </w:tc>
        <w:tc>
          <w:tcPr>
            <w:tcW w:w="1249" w:type="dxa"/>
            <w:tcBorders>
              <w:top w:val="single" w:sz="4" w:space="0" w:color="auto"/>
            </w:tcBorders>
            <w:shd w:val="clear" w:color="auto" w:fill="auto"/>
            <w:noWrap/>
            <w:vAlign w:val="bottom"/>
            <w:hideMark/>
          </w:tcPr>
          <w:p w14:paraId="0CE366F9" w14:textId="77777777" w:rsidR="00E757DF" w:rsidRPr="00E757DF" w:rsidRDefault="00E757DF" w:rsidP="00E757DF">
            <w:pP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Water</w:t>
            </w:r>
          </w:p>
        </w:tc>
        <w:tc>
          <w:tcPr>
            <w:tcW w:w="956" w:type="dxa"/>
            <w:tcBorders>
              <w:top w:val="single" w:sz="4" w:space="0" w:color="auto"/>
            </w:tcBorders>
            <w:shd w:val="clear" w:color="auto" w:fill="auto"/>
            <w:noWrap/>
            <w:vAlign w:val="center"/>
            <w:hideMark/>
          </w:tcPr>
          <w:p w14:paraId="0AF2087F"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10.5696</w:t>
            </w:r>
          </w:p>
        </w:tc>
        <w:tc>
          <w:tcPr>
            <w:tcW w:w="1238" w:type="dxa"/>
            <w:tcBorders>
              <w:top w:val="single" w:sz="4" w:space="0" w:color="auto"/>
            </w:tcBorders>
            <w:shd w:val="clear" w:color="auto" w:fill="auto"/>
            <w:noWrap/>
            <w:vAlign w:val="center"/>
            <w:hideMark/>
          </w:tcPr>
          <w:p w14:paraId="023C9FCC"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1.413</w:t>
            </w:r>
          </w:p>
        </w:tc>
        <w:tc>
          <w:tcPr>
            <w:tcW w:w="956" w:type="dxa"/>
            <w:tcBorders>
              <w:top w:val="single" w:sz="4" w:space="0" w:color="auto"/>
            </w:tcBorders>
            <w:shd w:val="clear" w:color="auto" w:fill="auto"/>
            <w:noWrap/>
            <w:vAlign w:val="center"/>
            <w:hideMark/>
          </w:tcPr>
          <w:p w14:paraId="6ACAF64D"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3.3435</w:t>
            </w:r>
          </w:p>
        </w:tc>
        <w:tc>
          <w:tcPr>
            <w:tcW w:w="1249" w:type="dxa"/>
            <w:tcBorders>
              <w:top w:val="single" w:sz="4" w:space="0" w:color="auto"/>
            </w:tcBorders>
            <w:shd w:val="clear" w:color="auto" w:fill="auto"/>
            <w:noWrap/>
            <w:vAlign w:val="center"/>
            <w:hideMark/>
          </w:tcPr>
          <w:p w14:paraId="0757D3BA"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4.2516</w:t>
            </w:r>
          </w:p>
        </w:tc>
        <w:tc>
          <w:tcPr>
            <w:tcW w:w="1068" w:type="dxa"/>
            <w:tcBorders>
              <w:top w:val="single" w:sz="4" w:space="0" w:color="auto"/>
            </w:tcBorders>
            <w:shd w:val="clear" w:color="auto" w:fill="auto"/>
            <w:noWrap/>
            <w:vAlign w:val="center"/>
            <w:hideMark/>
          </w:tcPr>
          <w:p w14:paraId="4F623267"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0</w:t>
            </w:r>
          </w:p>
        </w:tc>
        <w:tc>
          <w:tcPr>
            <w:tcW w:w="1207" w:type="dxa"/>
            <w:tcBorders>
              <w:top w:val="single" w:sz="4" w:space="0" w:color="auto"/>
            </w:tcBorders>
            <w:shd w:val="clear" w:color="auto" w:fill="auto"/>
            <w:noWrap/>
            <w:vAlign w:val="center"/>
            <w:hideMark/>
          </w:tcPr>
          <w:p w14:paraId="05347D3A"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2.8476</w:t>
            </w:r>
          </w:p>
        </w:tc>
      </w:tr>
      <w:tr w:rsidR="00E757DF" w:rsidRPr="00E757DF" w14:paraId="436B74B9" w14:textId="77777777" w:rsidTr="00214660">
        <w:trPr>
          <w:trHeight w:val="163"/>
        </w:trPr>
        <w:tc>
          <w:tcPr>
            <w:tcW w:w="975" w:type="dxa"/>
            <w:vMerge/>
            <w:vAlign w:val="center"/>
            <w:hideMark/>
          </w:tcPr>
          <w:p w14:paraId="37EDC927" w14:textId="77777777" w:rsidR="00E757DF" w:rsidRPr="00E757DF" w:rsidRDefault="00E757DF" w:rsidP="00E757DF">
            <w:pPr>
              <w:rPr>
                <w:rFonts w:ascii="Calibri" w:hAnsi="Calibri" w:cs="Calibri"/>
                <w:color w:val="000000"/>
                <w:sz w:val="22"/>
                <w:szCs w:val="22"/>
                <w:lang w:val="en-IN" w:eastAsia="en-IN"/>
              </w:rPr>
            </w:pPr>
          </w:p>
        </w:tc>
        <w:tc>
          <w:tcPr>
            <w:tcW w:w="1249" w:type="dxa"/>
            <w:shd w:val="clear" w:color="auto" w:fill="auto"/>
            <w:noWrap/>
            <w:vAlign w:val="bottom"/>
            <w:hideMark/>
          </w:tcPr>
          <w:p w14:paraId="384AB6DC" w14:textId="77777777" w:rsidR="00E757DF" w:rsidRPr="00E757DF" w:rsidRDefault="00E757DF" w:rsidP="00E757DF">
            <w:pP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Vegetation</w:t>
            </w:r>
          </w:p>
        </w:tc>
        <w:tc>
          <w:tcPr>
            <w:tcW w:w="956" w:type="dxa"/>
            <w:shd w:val="clear" w:color="auto" w:fill="auto"/>
            <w:noWrap/>
            <w:vAlign w:val="center"/>
            <w:hideMark/>
          </w:tcPr>
          <w:p w14:paraId="2555D9A9"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1.116</w:t>
            </w:r>
          </w:p>
        </w:tc>
        <w:tc>
          <w:tcPr>
            <w:tcW w:w="1238" w:type="dxa"/>
            <w:shd w:val="clear" w:color="auto" w:fill="auto"/>
            <w:noWrap/>
            <w:vAlign w:val="center"/>
            <w:hideMark/>
          </w:tcPr>
          <w:p w14:paraId="698BE3A9"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43.9083</w:t>
            </w:r>
          </w:p>
        </w:tc>
        <w:tc>
          <w:tcPr>
            <w:tcW w:w="956" w:type="dxa"/>
            <w:shd w:val="clear" w:color="auto" w:fill="auto"/>
            <w:noWrap/>
            <w:vAlign w:val="center"/>
            <w:hideMark/>
          </w:tcPr>
          <w:p w14:paraId="36A9BE3C"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24.2424</w:t>
            </w:r>
          </w:p>
        </w:tc>
        <w:tc>
          <w:tcPr>
            <w:tcW w:w="1249" w:type="dxa"/>
            <w:shd w:val="clear" w:color="auto" w:fill="auto"/>
            <w:noWrap/>
            <w:vAlign w:val="center"/>
            <w:hideMark/>
          </w:tcPr>
          <w:p w14:paraId="28F3D698"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35.1279</w:t>
            </w:r>
          </w:p>
        </w:tc>
        <w:tc>
          <w:tcPr>
            <w:tcW w:w="1068" w:type="dxa"/>
            <w:shd w:val="clear" w:color="auto" w:fill="auto"/>
            <w:noWrap/>
            <w:vAlign w:val="center"/>
            <w:hideMark/>
          </w:tcPr>
          <w:p w14:paraId="2D7C540B"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0</w:t>
            </w:r>
          </w:p>
        </w:tc>
        <w:tc>
          <w:tcPr>
            <w:tcW w:w="1207" w:type="dxa"/>
            <w:shd w:val="clear" w:color="auto" w:fill="auto"/>
            <w:noWrap/>
            <w:vAlign w:val="center"/>
            <w:hideMark/>
          </w:tcPr>
          <w:p w14:paraId="15B10723"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35.5212</w:t>
            </w:r>
          </w:p>
        </w:tc>
      </w:tr>
      <w:tr w:rsidR="00E757DF" w:rsidRPr="00E757DF" w14:paraId="46C54BE1" w14:textId="77777777" w:rsidTr="00214660">
        <w:trPr>
          <w:trHeight w:val="163"/>
        </w:trPr>
        <w:tc>
          <w:tcPr>
            <w:tcW w:w="975" w:type="dxa"/>
            <w:vMerge/>
            <w:vAlign w:val="center"/>
            <w:hideMark/>
          </w:tcPr>
          <w:p w14:paraId="0C69C117" w14:textId="77777777" w:rsidR="00E757DF" w:rsidRPr="00E757DF" w:rsidRDefault="00E757DF" w:rsidP="00E757DF">
            <w:pPr>
              <w:rPr>
                <w:rFonts w:ascii="Calibri" w:hAnsi="Calibri" w:cs="Calibri"/>
                <w:color w:val="000000"/>
                <w:sz w:val="22"/>
                <w:szCs w:val="22"/>
                <w:lang w:val="en-IN" w:eastAsia="en-IN"/>
              </w:rPr>
            </w:pPr>
          </w:p>
        </w:tc>
        <w:tc>
          <w:tcPr>
            <w:tcW w:w="1249" w:type="dxa"/>
            <w:shd w:val="clear" w:color="auto" w:fill="auto"/>
            <w:noWrap/>
            <w:vAlign w:val="bottom"/>
            <w:hideMark/>
          </w:tcPr>
          <w:p w14:paraId="502147B3" w14:textId="77777777" w:rsidR="00E757DF" w:rsidRPr="00E757DF" w:rsidRDefault="00E757DF" w:rsidP="00E757DF">
            <w:pP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Forest</w:t>
            </w:r>
          </w:p>
        </w:tc>
        <w:tc>
          <w:tcPr>
            <w:tcW w:w="956" w:type="dxa"/>
            <w:shd w:val="clear" w:color="auto" w:fill="auto"/>
            <w:noWrap/>
            <w:vAlign w:val="center"/>
            <w:hideMark/>
          </w:tcPr>
          <w:p w14:paraId="27C88EA5"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1.5678</w:t>
            </w:r>
          </w:p>
        </w:tc>
        <w:tc>
          <w:tcPr>
            <w:tcW w:w="1238" w:type="dxa"/>
            <w:shd w:val="clear" w:color="auto" w:fill="auto"/>
            <w:noWrap/>
            <w:vAlign w:val="center"/>
            <w:hideMark/>
          </w:tcPr>
          <w:p w14:paraId="54152A01"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35.019</w:t>
            </w:r>
          </w:p>
        </w:tc>
        <w:tc>
          <w:tcPr>
            <w:tcW w:w="956" w:type="dxa"/>
            <w:shd w:val="clear" w:color="auto" w:fill="auto"/>
            <w:noWrap/>
            <w:vAlign w:val="center"/>
            <w:hideMark/>
          </w:tcPr>
          <w:p w14:paraId="4AF94EF1"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48.4506</w:t>
            </w:r>
          </w:p>
        </w:tc>
        <w:tc>
          <w:tcPr>
            <w:tcW w:w="1249" w:type="dxa"/>
            <w:shd w:val="clear" w:color="auto" w:fill="auto"/>
            <w:noWrap/>
            <w:vAlign w:val="center"/>
            <w:hideMark/>
          </w:tcPr>
          <w:p w14:paraId="59564093"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19.1277</w:t>
            </w:r>
          </w:p>
        </w:tc>
        <w:tc>
          <w:tcPr>
            <w:tcW w:w="1068" w:type="dxa"/>
            <w:shd w:val="clear" w:color="auto" w:fill="auto"/>
            <w:noWrap/>
            <w:vAlign w:val="center"/>
            <w:hideMark/>
          </w:tcPr>
          <w:p w14:paraId="5CF83D1D"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0</w:t>
            </w:r>
          </w:p>
        </w:tc>
        <w:tc>
          <w:tcPr>
            <w:tcW w:w="1207" w:type="dxa"/>
            <w:shd w:val="clear" w:color="auto" w:fill="auto"/>
            <w:noWrap/>
            <w:vAlign w:val="center"/>
            <w:hideMark/>
          </w:tcPr>
          <w:p w14:paraId="3A4D6916"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17.1378</w:t>
            </w:r>
          </w:p>
        </w:tc>
      </w:tr>
      <w:tr w:rsidR="00E757DF" w:rsidRPr="00E757DF" w14:paraId="1ACE8557" w14:textId="77777777" w:rsidTr="00214660">
        <w:trPr>
          <w:trHeight w:val="163"/>
        </w:trPr>
        <w:tc>
          <w:tcPr>
            <w:tcW w:w="975" w:type="dxa"/>
            <w:vMerge/>
            <w:vAlign w:val="center"/>
            <w:hideMark/>
          </w:tcPr>
          <w:p w14:paraId="19FCDD3E" w14:textId="77777777" w:rsidR="00E757DF" w:rsidRPr="00E757DF" w:rsidRDefault="00E757DF" w:rsidP="00E757DF">
            <w:pPr>
              <w:rPr>
                <w:rFonts w:ascii="Calibri" w:hAnsi="Calibri" w:cs="Calibri"/>
                <w:color w:val="000000"/>
                <w:sz w:val="22"/>
                <w:szCs w:val="22"/>
                <w:lang w:val="en-IN" w:eastAsia="en-IN"/>
              </w:rPr>
            </w:pPr>
          </w:p>
        </w:tc>
        <w:tc>
          <w:tcPr>
            <w:tcW w:w="1249" w:type="dxa"/>
            <w:shd w:val="clear" w:color="auto" w:fill="auto"/>
            <w:noWrap/>
            <w:vAlign w:val="bottom"/>
            <w:hideMark/>
          </w:tcPr>
          <w:p w14:paraId="14C05996" w14:textId="77777777" w:rsidR="00E757DF" w:rsidRPr="00E757DF" w:rsidRDefault="00E757DF" w:rsidP="00E757DF">
            <w:pP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Agriculture</w:t>
            </w:r>
          </w:p>
        </w:tc>
        <w:tc>
          <w:tcPr>
            <w:tcW w:w="956" w:type="dxa"/>
            <w:shd w:val="clear" w:color="auto" w:fill="auto"/>
            <w:noWrap/>
            <w:vAlign w:val="center"/>
            <w:hideMark/>
          </w:tcPr>
          <w:p w14:paraId="32397C9A"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1.1223</w:t>
            </w:r>
          </w:p>
        </w:tc>
        <w:tc>
          <w:tcPr>
            <w:tcW w:w="1238" w:type="dxa"/>
            <w:shd w:val="clear" w:color="auto" w:fill="auto"/>
            <w:noWrap/>
            <w:vAlign w:val="center"/>
            <w:hideMark/>
          </w:tcPr>
          <w:p w14:paraId="626DE0C2"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12.1644</w:t>
            </w:r>
          </w:p>
        </w:tc>
        <w:tc>
          <w:tcPr>
            <w:tcW w:w="956" w:type="dxa"/>
            <w:shd w:val="clear" w:color="auto" w:fill="auto"/>
            <w:noWrap/>
            <w:vAlign w:val="center"/>
            <w:hideMark/>
          </w:tcPr>
          <w:p w14:paraId="2C5450E3"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8.2782</w:t>
            </w:r>
          </w:p>
        </w:tc>
        <w:tc>
          <w:tcPr>
            <w:tcW w:w="1249" w:type="dxa"/>
            <w:shd w:val="clear" w:color="auto" w:fill="auto"/>
            <w:noWrap/>
            <w:vAlign w:val="center"/>
            <w:hideMark/>
          </w:tcPr>
          <w:p w14:paraId="39AFE936"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360.916</w:t>
            </w:r>
          </w:p>
        </w:tc>
        <w:tc>
          <w:tcPr>
            <w:tcW w:w="1068" w:type="dxa"/>
            <w:shd w:val="clear" w:color="auto" w:fill="auto"/>
            <w:noWrap/>
            <w:vAlign w:val="center"/>
            <w:hideMark/>
          </w:tcPr>
          <w:p w14:paraId="2C9280CE"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0</w:t>
            </w:r>
          </w:p>
        </w:tc>
        <w:tc>
          <w:tcPr>
            <w:tcW w:w="1207" w:type="dxa"/>
            <w:shd w:val="clear" w:color="auto" w:fill="auto"/>
            <w:noWrap/>
            <w:vAlign w:val="center"/>
            <w:hideMark/>
          </w:tcPr>
          <w:p w14:paraId="0B641D8E"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41.3919</w:t>
            </w:r>
          </w:p>
        </w:tc>
      </w:tr>
      <w:tr w:rsidR="00E757DF" w:rsidRPr="00E757DF" w14:paraId="03D064E2" w14:textId="77777777" w:rsidTr="00214660">
        <w:trPr>
          <w:trHeight w:val="163"/>
        </w:trPr>
        <w:tc>
          <w:tcPr>
            <w:tcW w:w="975" w:type="dxa"/>
            <w:vMerge/>
            <w:vAlign w:val="center"/>
            <w:hideMark/>
          </w:tcPr>
          <w:p w14:paraId="7FDE0948" w14:textId="77777777" w:rsidR="00E757DF" w:rsidRPr="00E757DF" w:rsidRDefault="00E757DF" w:rsidP="00E757DF">
            <w:pPr>
              <w:rPr>
                <w:rFonts w:ascii="Calibri" w:hAnsi="Calibri" w:cs="Calibri"/>
                <w:color w:val="000000"/>
                <w:sz w:val="22"/>
                <w:szCs w:val="22"/>
                <w:lang w:val="en-IN" w:eastAsia="en-IN"/>
              </w:rPr>
            </w:pPr>
          </w:p>
        </w:tc>
        <w:tc>
          <w:tcPr>
            <w:tcW w:w="1249" w:type="dxa"/>
            <w:shd w:val="clear" w:color="auto" w:fill="auto"/>
            <w:noWrap/>
            <w:vAlign w:val="bottom"/>
            <w:hideMark/>
          </w:tcPr>
          <w:p w14:paraId="04171595" w14:textId="77777777" w:rsidR="00E757DF" w:rsidRPr="00E757DF" w:rsidRDefault="00E757DF" w:rsidP="00E757DF">
            <w:pP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Built-up</w:t>
            </w:r>
          </w:p>
        </w:tc>
        <w:tc>
          <w:tcPr>
            <w:tcW w:w="956" w:type="dxa"/>
            <w:shd w:val="clear" w:color="auto" w:fill="auto"/>
            <w:noWrap/>
            <w:vAlign w:val="center"/>
            <w:hideMark/>
          </w:tcPr>
          <w:p w14:paraId="04A3A383"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0.6255</w:t>
            </w:r>
          </w:p>
        </w:tc>
        <w:tc>
          <w:tcPr>
            <w:tcW w:w="1238" w:type="dxa"/>
            <w:shd w:val="clear" w:color="auto" w:fill="auto"/>
            <w:noWrap/>
            <w:vAlign w:val="center"/>
            <w:hideMark/>
          </w:tcPr>
          <w:p w14:paraId="14C49CC7"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38.0628</w:t>
            </w:r>
          </w:p>
        </w:tc>
        <w:tc>
          <w:tcPr>
            <w:tcW w:w="956" w:type="dxa"/>
            <w:shd w:val="clear" w:color="auto" w:fill="auto"/>
            <w:noWrap/>
            <w:vAlign w:val="center"/>
            <w:hideMark/>
          </w:tcPr>
          <w:p w14:paraId="55BF3D02"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15.1533</w:t>
            </w:r>
          </w:p>
        </w:tc>
        <w:tc>
          <w:tcPr>
            <w:tcW w:w="1249" w:type="dxa"/>
            <w:shd w:val="clear" w:color="auto" w:fill="auto"/>
            <w:noWrap/>
            <w:vAlign w:val="center"/>
            <w:hideMark/>
          </w:tcPr>
          <w:p w14:paraId="249450D7"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23.6565</w:t>
            </w:r>
          </w:p>
        </w:tc>
        <w:tc>
          <w:tcPr>
            <w:tcW w:w="1068" w:type="dxa"/>
            <w:shd w:val="clear" w:color="auto" w:fill="auto"/>
            <w:noWrap/>
            <w:vAlign w:val="center"/>
            <w:hideMark/>
          </w:tcPr>
          <w:p w14:paraId="68EE1D26"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418.1642</w:t>
            </w:r>
          </w:p>
        </w:tc>
        <w:tc>
          <w:tcPr>
            <w:tcW w:w="1207" w:type="dxa"/>
            <w:shd w:val="clear" w:color="auto" w:fill="auto"/>
            <w:noWrap/>
            <w:vAlign w:val="center"/>
            <w:hideMark/>
          </w:tcPr>
          <w:p w14:paraId="11E11ADE"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86.409</w:t>
            </w:r>
          </w:p>
        </w:tc>
      </w:tr>
      <w:tr w:rsidR="00E757DF" w:rsidRPr="00E757DF" w14:paraId="3E3FFD2D" w14:textId="77777777" w:rsidTr="00214660">
        <w:trPr>
          <w:trHeight w:val="313"/>
        </w:trPr>
        <w:tc>
          <w:tcPr>
            <w:tcW w:w="975" w:type="dxa"/>
            <w:vMerge/>
            <w:vAlign w:val="center"/>
            <w:hideMark/>
          </w:tcPr>
          <w:p w14:paraId="6CBAE859" w14:textId="77777777" w:rsidR="00E757DF" w:rsidRPr="00E757DF" w:rsidRDefault="00E757DF" w:rsidP="00E757DF">
            <w:pPr>
              <w:rPr>
                <w:rFonts w:ascii="Calibri" w:hAnsi="Calibri" w:cs="Calibri"/>
                <w:color w:val="000000"/>
                <w:sz w:val="22"/>
                <w:szCs w:val="22"/>
                <w:lang w:val="en-IN" w:eastAsia="en-IN"/>
              </w:rPr>
            </w:pPr>
          </w:p>
        </w:tc>
        <w:tc>
          <w:tcPr>
            <w:tcW w:w="1249" w:type="dxa"/>
            <w:tcBorders>
              <w:bottom w:val="single" w:sz="4" w:space="0" w:color="auto"/>
            </w:tcBorders>
            <w:shd w:val="clear" w:color="auto" w:fill="auto"/>
            <w:noWrap/>
            <w:vAlign w:val="bottom"/>
            <w:hideMark/>
          </w:tcPr>
          <w:p w14:paraId="59708BA7" w14:textId="77777777" w:rsidR="00E757DF" w:rsidRPr="00E757DF" w:rsidRDefault="00E757DF" w:rsidP="00E757DF">
            <w:pPr>
              <w:rPr>
                <w:rFonts w:ascii="Calibri" w:hAnsi="Calibri" w:cs="Calibri"/>
                <w:b/>
                <w:bCs/>
                <w:color w:val="000000"/>
                <w:sz w:val="22"/>
                <w:szCs w:val="22"/>
                <w:lang w:val="en-IN" w:eastAsia="en-IN"/>
              </w:rPr>
            </w:pPr>
            <w:r w:rsidRPr="00E757DF">
              <w:rPr>
                <w:rFonts w:ascii="Calibri" w:hAnsi="Calibri" w:cs="Calibri"/>
                <w:b/>
                <w:bCs/>
                <w:color w:val="000000"/>
                <w:sz w:val="22"/>
                <w:szCs w:val="22"/>
                <w:lang w:val="en-IN" w:eastAsia="en-IN"/>
              </w:rPr>
              <w:t>Open Space</w:t>
            </w:r>
          </w:p>
        </w:tc>
        <w:tc>
          <w:tcPr>
            <w:tcW w:w="956" w:type="dxa"/>
            <w:tcBorders>
              <w:bottom w:val="single" w:sz="4" w:space="0" w:color="auto"/>
            </w:tcBorders>
            <w:shd w:val="clear" w:color="auto" w:fill="auto"/>
            <w:noWrap/>
            <w:vAlign w:val="center"/>
            <w:hideMark/>
          </w:tcPr>
          <w:p w14:paraId="4DAA601B"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1.6965</w:t>
            </w:r>
          </w:p>
        </w:tc>
        <w:tc>
          <w:tcPr>
            <w:tcW w:w="1238" w:type="dxa"/>
            <w:tcBorders>
              <w:bottom w:val="single" w:sz="4" w:space="0" w:color="auto"/>
            </w:tcBorders>
            <w:shd w:val="clear" w:color="auto" w:fill="auto"/>
            <w:noWrap/>
            <w:vAlign w:val="center"/>
            <w:hideMark/>
          </w:tcPr>
          <w:p w14:paraId="1C35CEDE"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28.6551</w:t>
            </w:r>
          </w:p>
        </w:tc>
        <w:tc>
          <w:tcPr>
            <w:tcW w:w="956" w:type="dxa"/>
            <w:tcBorders>
              <w:bottom w:val="single" w:sz="4" w:space="0" w:color="auto"/>
            </w:tcBorders>
            <w:shd w:val="clear" w:color="auto" w:fill="auto"/>
            <w:noWrap/>
            <w:vAlign w:val="center"/>
            <w:hideMark/>
          </w:tcPr>
          <w:p w14:paraId="574DD311"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15.9057</w:t>
            </w:r>
          </w:p>
        </w:tc>
        <w:tc>
          <w:tcPr>
            <w:tcW w:w="1249" w:type="dxa"/>
            <w:tcBorders>
              <w:bottom w:val="single" w:sz="4" w:space="0" w:color="auto"/>
            </w:tcBorders>
            <w:shd w:val="clear" w:color="auto" w:fill="auto"/>
            <w:noWrap/>
            <w:vAlign w:val="center"/>
            <w:hideMark/>
          </w:tcPr>
          <w:p w14:paraId="5FA72AC2"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55.1781</w:t>
            </w:r>
          </w:p>
        </w:tc>
        <w:tc>
          <w:tcPr>
            <w:tcW w:w="1068" w:type="dxa"/>
            <w:tcBorders>
              <w:bottom w:val="single" w:sz="4" w:space="0" w:color="auto"/>
            </w:tcBorders>
            <w:shd w:val="clear" w:color="auto" w:fill="auto"/>
            <w:noWrap/>
            <w:vAlign w:val="center"/>
            <w:hideMark/>
          </w:tcPr>
          <w:p w14:paraId="2B2050C9"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0</w:t>
            </w:r>
          </w:p>
        </w:tc>
        <w:tc>
          <w:tcPr>
            <w:tcW w:w="1207" w:type="dxa"/>
            <w:tcBorders>
              <w:bottom w:val="single" w:sz="4" w:space="0" w:color="auto"/>
            </w:tcBorders>
            <w:shd w:val="clear" w:color="auto" w:fill="auto"/>
            <w:noWrap/>
            <w:vAlign w:val="center"/>
            <w:hideMark/>
          </w:tcPr>
          <w:p w14:paraId="11C7EF9C" w14:textId="77777777" w:rsidR="00E757DF" w:rsidRPr="00E757DF" w:rsidRDefault="00E757DF" w:rsidP="00E757DF">
            <w:pPr>
              <w:jc w:val="center"/>
              <w:rPr>
                <w:rFonts w:ascii="Calibri" w:hAnsi="Calibri" w:cs="Calibri"/>
                <w:color w:val="000000"/>
                <w:sz w:val="22"/>
                <w:szCs w:val="22"/>
                <w:lang w:val="en-IN" w:eastAsia="en-IN"/>
              </w:rPr>
            </w:pPr>
            <w:r w:rsidRPr="00E757DF">
              <w:rPr>
                <w:rFonts w:ascii="Calibri" w:hAnsi="Calibri" w:cs="Calibri"/>
                <w:color w:val="000000"/>
                <w:sz w:val="22"/>
                <w:szCs w:val="22"/>
                <w:lang w:val="en-IN" w:eastAsia="en-IN"/>
              </w:rPr>
              <w:t>111.94</w:t>
            </w:r>
          </w:p>
        </w:tc>
      </w:tr>
    </w:tbl>
    <w:p w14:paraId="1D4042CA" w14:textId="697918D3" w:rsidR="00827B2B" w:rsidRDefault="00827B2B" w:rsidP="00827B2B">
      <w:pPr>
        <w:pStyle w:val="Body"/>
        <w:spacing w:before="240"/>
        <w:rPr>
          <w:rFonts w:ascii="Arial" w:hAnsi="Arial" w:cs="Arial"/>
        </w:rPr>
      </w:pPr>
      <w:r w:rsidRPr="00E32056">
        <w:rPr>
          <w:rFonts w:ascii="Arial" w:hAnsi="Arial" w:cs="Arial"/>
        </w:rPr>
        <w:t xml:space="preserve">The 2011–2021 period, represented in </w:t>
      </w:r>
      <w:r w:rsidRPr="00E32056">
        <w:rPr>
          <w:rFonts w:ascii="Arial" w:hAnsi="Arial" w:cs="Arial"/>
          <w:b/>
          <w:bCs/>
        </w:rPr>
        <w:t xml:space="preserve">Table 8 and Figure </w:t>
      </w:r>
      <w:r>
        <w:rPr>
          <w:rFonts w:ascii="Arial" w:hAnsi="Arial" w:cs="Arial"/>
          <w:b/>
          <w:bCs/>
        </w:rPr>
        <w:t>5</w:t>
      </w:r>
      <w:r w:rsidRPr="00E32056">
        <w:rPr>
          <w:rFonts w:ascii="Arial" w:hAnsi="Arial" w:cs="Arial"/>
        </w:rPr>
        <w:t>, witnessed a shift from outward sprawl to densification, where built-up land increased to 467.39 sq.km, converting large portions of vegetation (37.67 sq.km) and agricultural land (31.41 sq.km). Interestingly, this decade also saw a significant gain in forest cover, with 90.97 sq.km retained and additional inflow from vegetation (59.97 sq.km) and agriculture (33.30 sq.km), suggesting successful afforestation and landscape restoration programs. Vegetation again remained highly dynamic, losing area to forest and built-up classes while feeding into open space (26.89 sq.km). Agriculture retained a considerable portion of its area (319.94 sq.km) but continued to be encroached upon by urban development.</w:t>
      </w:r>
    </w:p>
    <w:tbl>
      <w:tblPr>
        <w:tblpPr w:leftFromText="180" w:rightFromText="180" w:vertAnchor="text" w:horzAnchor="margin" w:tblpXSpec="right" w:tblpY="482"/>
        <w:tblW w:w="9312" w:type="dxa"/>
        <w:tblLook w:val="04A0" w:firstRow="1" w:lastRow="0" w:firstColumn="1" w:lastColumn="0" w:noHBand="0" w:noVBand="1"/>
      </w:tblPr>
      <w:tblGrid>
        <w:gridCol w:w="1022"/>
        <w:gridCol w:w="1314"/>
        <w:gridCol w:w="1002"/>
        <w:gridCol w:w="1303"/>
        <w:gridCol w:w="1002"/>
        <w:gridCol w:w="1314"/>
        <w:gridCol w:w="1121"/>
        <w:gridCol w:w="1234"/>
      </w:tblGrid>
      <w:tr w:rsidR="00943C2E" w:rsidRPr="00ED0C77" w14:paraId="175C3D0C" w14:textId="77777777" w:rsidTr="00943C2E">
        <w:trPr>
          <w:trHeight w:val="100"/>
        </w:trPr>
        <w:tc>
          <w:tcPr>
            <w:tcW w:w="1022" w:type="dxa"/>
            <w:vMerge w:val="restart"/>
            <w:shd w:val="clear" w:color="auto" w:fill="auto"/>
            <w:noWrap/>
            <w:textDirection w:val="btLr"/>
            <w:vAlign w:val="center"/>
            <w:hideMark/>
          </w:tcPr>
          <w:p w14:paraId="7183F2E5" w14:textId="77777777" w:rsidR="00943C2E" w:rsidRPr="00ED0C77" w:rsidRDefault="00943C2E" w:rsidP="00943C2E">
            <w:pPr>
              <w:ind w:left="113" w:right="113"/>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2021</w:t>
            </w:r>
          </w:p>
        </w:tc>
        <w:tc>
          <w:tcPr>
            <w:tcW w:w="8290" w:type="dxa"/>
            <w:gridSpan w:val="7"/>
            <w:tcBorders>
              <w:top w:val="single" w:sz="4" w:space="0" w:color="auto"/>
            </w:tcBorders>
            <w:shd w:val="clear" w:color="auto" w:fill="auto"/>
            <w:noWrap/>
            <w:vAlign w:val="center"/>
            <w:hideMark/>
          </w:tcPr>
          <w:p w14:paraId="6E0A2C8E"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2011</w:t>
            </w:r>
          </w:p>
        </w:tc>
      </w:tr>
      <w:tr w:rsidR="00943C2E" w:rsidRPr="00ED0C77" w14:paraId="23F2100F" w14:textId="77777777" w:rsidTr="00943C2E">
        <w:trPr>
          <w:trHeight w:val="100"/>
        </w:trPr>
        <w:tc>
          <w:tcPr>
            <w:tcW w:w="1022" w:type="dxa"/>
            <w:vMerge/>
            <w:vAlign w:val="center"/>
            <w:hideMark/>
          </w:tcPr>
          <w:p w14:paraId="489EB9C5" w14:textId="77777777" w:rsidR="00943C2E" w:rsidRPr="00ED0C77" w:rsidRDefault="00943C2E" w:rsidP="00943C2E">
            <w:pPr>
              <w:rPr>
                <w:rFonts w:ascii="Calibri" w:hAnsi="Calibri" w:cs="Calibri"/>
                <w:color w:val="000000"/>
                <w:sz w:val="22"/>
                <w:szCs w:val="22"/>
                <w:lang w:val="en-IN" w:eastAsia="en-IN"/>
              </w:rPr>
            </w:pPr>
          </w:p>
        </w:tc>
        <w:tc>
          <w:tcPr>
            <w:tcW w:w="1314" w:type="dxa"/>
            <w:tcBorders>
              <w:bottom w:val="single" w:sz="4" w:space="0" w:color="auto"/>
            </w:tcBorders>
            <w:shd w:val="clear" w:color="auto" w:fill="auto"/>
            <w:noWrap/>
            <w:vAlign w:val="bottom"/>
            <w:hideMark/>
          </w:tcPr>
          <w:p w14:paraId="0C498E31" w14:textId="77777777" w:rsidR="00943C2E" w:rsidRPr="00ED0C77" w:rsidRDefault="00943C2E" w:rsidP="00943C2E">
            <w:pP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LULC</w:t>
            </w:r>
          </w:p>
        </w:tc>
        <w:tc>
          <w:tcPr>
            <w:tcW w:w="1002" w:type="dxa"/>
            <w:tcBorders>
              <w:bottom w:val="single" w:sz="4" w:space="0" w:color="auto"/>
            </w:tcBorders>
            <w:shd w:val="clear" w:color="auto" w:fill="auto"/>
            <w:noWrap/>
            <w:vAlign w:val="center"/>
            <w:hideMark/>
          </w:tcPr>
          <w:p w14:paraId="7CE0962F" w14:textId="77777777" w:rsidR="00943C2E" w:rsidRPr="00ED0C77" w:rsidRDefault="00943C2E" w:rsidP="00943C2E">
            <w:pPr>
              <w:jc w:val="cente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Water</w:t>
            </w:r>
          </w:p>
        </w:tc>
        <w:tc>
          <w:tcPr>
            <w:tcW w:w="1303" w:type="dxa"/>
            <w:tcBorders>
              <w:bottom w:val="single" w:sz="4" w:space="0" w:color="auto"/>
            </w:tcBorders>
            <w:shd w:val="clear" w:color="auto" w:fill="auto"/>
            <w:noWrap/>
            <w:vAlign w:val="center"/>
            <w:hideMark/>
          </w:tcPr>
          <w:p w14:paraId="4EEE859B" w14:textId="77777777" w:rsidR="00943C2E" w:rsidRPr="00ED0C77" w:rsidRDefault="00943C2E" w:rsidP="00943C2E">
            <w:pPr>
              <w:jc w:val="cente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Vegetation</w:t>
            </w:r>
          </w:p>
        </w:tc>
        <w:tc>
          <w:tcPr>
            <w:tcW w:w="1002" w:type="dxa"/>
            <w:tcBorders>
              <w:bottom w:val="single" w:sz="4" w:space="0" w:color="auto"/>
            </w:tcBorders>
            <w:shd w:val="clear" w:color="auto" w:fill="auto"/>
            <w:noWrap/>
            <w:vAlign w:val="center"/>
            <w:hideMark/>
          </w:tcPr>
          <w:p w14:paraId="2F8860F4" w14:textId="77777777" w:rsidR="00943C2E" w:rsidRPr="00ED0C77" w:rsidRDefault="00943C2E" w:rsidP="00943C2E">
            <w:pPr>
              <w:jc w:val="cente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Forest</w:t>
            </w:r>
          </w:p>
        </w:tc>
        <w:tc>
          <w:tcPr>
            <w:tcW w:w="1314" w:type="dxa"/>
            <w:tcBorders>
              <w:bottom w:val="single" w:sz="4" w:space="0" w:color="auto"/>
            </w:tcBorders>
            <w:shd w:val="clear" w:color="auto" w:fill="auto"/>
            <w:noWrap/>
            <w:vAlign w:val="center"/>
            <w:hideMark/>
          </w:tcPr>
          <w:p w14:paraId="1DFC3BB9" w14:textId="77777777" w:rsidR="00943C2E" w:rsidRPr="00ED0C77" w:rsidRDefault="00943C2E" w:rsidP="00943C2E">
            <w:pPr>
              <w:jc w:val="cente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Agriculture</w:t>
            </w:r>
          </w:p>
        </w:tc>
        <w:tc>
          <w:tcPr>
            <w:tcW w:w="1121" w:type="dxa"/>
            <w:tcBorders>
              <w:bottom w:val="single" w:sz="4" w:space="0" w:color="auto"/>
            </w:tcBorders>
            <w:shd w:val="clear" w:color="auto" w:fill="auto"/>
            <w:noWrap/>
            <w:vAlign w:val="center"/>
            <w:hideMark/>
          </w:tcPr>
          <w:p w14:paraId="708BDBD4" w14:textId="77777777" w:rsidR="00943C2E" w:rsidRPr="00ED0C77" w:rsidRDefault="00943C2E" w:rsidP="00943C2E">
            <w:pPr>
              <w:jc w:val="cente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Built-up</w:t>
            </w:r>
          </w:p>
        </w:tc>
        <w:tc>
          <w:tcPr>
            <w:tcW w:w="1234" w:type="dxa"/>
            <w:tcBorders>
              <w:bottom w:val="single" w:sz="4" w:space="0" w:color="auto"/>
            </w:tcBorders>
            <w:shd w:val="clear" w:color="auto" w:fill="auto"/>
            <w:noWrap/>
            <w:vAlign w:val="center"/>
            <w:hideMark/>
          </w:tcPr>
          <w:p w14:paraId="407D59FD" w14:textId="77777777" w:rsidR="00943C2E" w:rsidRPr="00ED0C77" w:rsidRDefault="00943C2E" w:rsidP="00943C2E">
            <w:pPr>
              <w:jc w:val="cente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Open Space</w:t>
            </w:r>
          </w:p>
        </w:tc>
      </w:tr>
      <w:tr w:rsidR="00943C2E" w:rsidRPr="00ED0C77" w14:paraId="1AADC348" w14:textId="77777777" w:rsidTr="00943C2E">
        <w:trPr>
          <w:trHeight w:val="100"/>
        </w:trPr>
        <w:tc>
          <w:tcPr>
            <w:tcW w:w="1022" w:type="dxa"/>
            <w:vMerge/>
            <w:vAlign w:val="center"/>
            <w:hideMark/>
          </w:tcPr>
          <w:p w14:paraId="185EDE6D" w14:textId="77777777" w:rsidR="00943C2E" w:rsidRPr="00ED0C77" w:rsidRDefault="00943C2E" w:rsidP="00943C2E">
            <w:pPr>
              <w:rPr>
                <w:rFonts w:ascii="Calibri" w:hAnsi="Calibri" w:cs="Calibri"/>
                <w:color w:val="000000"/>
                <w:sz w:val="22"/>
                <w:szCs w:val="22"/>
                <w:lang w:val="en-IN" w:eastAsia="en-IN"/>
              </w:rPr>
            </w:pPr>
          </w:p>
        </w:tc>
        <w:tc>
          <w:tcPr>
            <w:tcW w:w="1314" w:type="dxa"/>
            <w:tcBorders>
              <w:top w:val="single" w:sz="4" w:space="0" w:color="auto"/>
            </w:tcBorders>
            <w:shd w:val="clear" w:color="auto" w:fill="auto"/>
            <w:noWrap/>
            <w:vAlign w:val="bottom"/>
            <w:hideMark/>
          </w:tcPr>
          <w:p w14:paraId="0A87C04F" w14:textId="77777777" w:rsidR="00943C2E" w:rsidRPr="00ED0C77" w:rsidRDefault="00943C2E" w:rsidP="00943C2E">
            <w:pP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Water</w:t>
            </w:r>
          </w:p>
        </w:tc>
        <w:tc>
          <w:tcPr>
            <w:tcW w:w="1002" w:type="dxa"/>
            <w:tcBorders>
              <w:top w:val="single" w:sz="4" w:space="0" w:color="auto"/>
            </w:tcBorders>
            <w:shd w:val="clear" w:color="auto" w:fill="auto"/>
            <w:noWrap/>
            <w:vAlign w:val="center"/>
            <w:hideMark/>
          </w:tcPr>
          <w:p w14:paraId="14E95FD5"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11.8989</w:t>
            </w:r>
          </w:p>
        </w:tc>
        <w:tc>
          <w:tcPr>
            <w:tcW w:w="1303" w:type="dxa"/>
            <w:tcBorders>
              <w:top w:val="single" w:sz="4" w:space="0" w:color="auto"/>
            </w:tcBorders>
            <w:shd w:val="clear" w:color="auto" w:fill="auto"/>
            <w:noWrap/>
            <w:vAlign w:val="center"/>
            <w:hideMark/>
          </w:tcPr>
          <w:p w14:paraId="580E2CA5"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1.56172</w:t>
            </w:r>
          </w:p>
        </w:tc>
        <w:tc>
          <w:tcPr>
            <w:tcW w:w="1002" w:type="dxa"/>
            <w:tcBorders>
              <w:top w:val="single" w:sz="4" w:space="0" w:color="auto"/>
            </w:tcBorders>
            <w:shd w:val="clear" w:color="auto" w:fill="auto"/>
            <w:noWrap/>
            <w:vAlign w:val="center"/>
            <w:hideMark/>
          </w:tcPr>
          <w:p w14:paraId="32D38D9C"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2.18475</w:t>
            </w:r>
          </w:p>
        </w:tc>
        <w:tc>
          <w:tcPr>
            <w:tcW w:w="1314" w:type="dxa"/>
            <w:tcBorders>
              <w:top w:val="single" w:sz="4" w:space="0" w:color="auto"/>
            </w:tcBorders>
            <w:shd w:val="clear" w:color="auto" w:fill="auto"/>
            <w:noWrap/>
            <w:vAlign w:val="center"/>
            <w:hideMark/>
          </w:tcPr>
          <w:p w14:paraId="78EC6113"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2.81565</w:t>
            </w:r>
          </w:p>
        </w:tc>
        <w:tc>
          <w:tcPr>
            <w:tcW w:w="1121" w:type="dxa"/>
            <w:tcBorders>
              <w:top w:val="single" w:sz="4" w:space="0" w:color="auto"/>
            </w:tcBorders>
            <w:shd w:val="clear" w:color="auto" w:fill="auto"/>
            <w:noWrap/>
            <w:vAlign w:val="center"/>
            <w:hideMark/>
          </w:tcPr>
          <w:p w14:paraId="1F551A14"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0</w:t>
            </w:r>
          </w:p>
        </w:tc>
        <w:tc>
          <w:tcPr>
            <w:tcW w:w="1234" w:type="dxa"/>
            <w:tcBorders>
              <w:top w:val="single" w:sz="4" w:space="0" w:color="auto"/>
            </w:tcBorders>
            <w:shd w:val="clear" w:color="auto" w:fill="auto"/>
            <w:noWrap/>
            <w:vAlign w:val="center"/>
            <w:hideMark/>
          </w:tcPr>
          <w:p w14:paraId="1ED634A1"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1.60155</w:t>
            </w:r>
          </w:p>
        </w:tc>
      </w:tr>
      <w:tr w:rsidR="00943C2E" w:rsidRPr="00ED0C77" w14:paraId="60B14C03" w14:textId="77777777" w:rsidTr="00943C2E">
        <w:trPr>
          <w:trHeight w:val="100"/>
        </w:trPr>
        <w:tc>
          <w:tcPr>
            <w:tcW w:w="1022" w:type="dxa"/>
            <w:vMerge/>
            <w:vAlign w:val="center"/>
            <w:hideMark/>
          </w:tcPr>
          <w:p w14:paraId="17295CE0" w14:textId="77777777" w:rsidR="00943C2E" w:rsidRPr="00ED0C77" w:rsidRDefault="00943C2E" w:rsidP="00943C2E">
            <w:pPr>
              <w:rPr>
                <w:rFonts w:ascii="Calibri" w:hAnsi="Calibri" w:cs="Calibri"/>
                <w:color w:val="000000"/>
                <w:sz w:val="22"/>
                <w:szCs w:val="22"/>
                <w:lang w:val="en-IN" w:eastAsia="en-IN"/>
              </w:rPr>
            </w:pPr>
          </w:p>
        </w:tc>
        <w:tc>
          <w:tcPr>
            <w:tcW w:w="1314" w:type="dxa"/>
            <w:shd w:val="clear" w:color="auto" w:fill="auto"/>
            <w:noWrap/>
            <w:vAlign w:val="bottom"/>
            <w:hideMark/>
          </w:tcPr>
          <w:p w14:paraId="28DCCE4D" w14:textId="77777777" w:rsidR="00943C2E" w:rsidRPr="00ED0C77" w:rsidRDefault="00943C2E" w:rsidP="00943C2E">
            <w:pP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Vegetation</w:t>
            </w:r>
          </w:p>
        </w:tc>
        <w:tc>
          <w:tcPr>
            <w:tcW w:w="1002" w:type="dxa"/>
            <w:shd w:val="clear" w:color="auto" w:fill="auto"/>
            <w:noWrap/>
            <w:vAlign w:val="center"/>
            <w:hideMark/>
          </w:tcPr>
          <w:p w14:paraId="39E31A0B"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1.22265</w:t>
            </w:r>
          </w:p>
        </w:tc>
        <w:tc>
          <w:tcPr>
            <w:tcW w:w="1303" w:type="dxa"/>
            <w:shd w:val="clear" w:color="auto" w:fill="auto"/>
            <w:noWrap/>
            <w:vAlign w:val="center"/>
            <w:hideMark/>
          </w:tcPr>
          <w:p w14:paraId="586AE911"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35.0408</w:t>
            </w:r>
          </w:p>
        </w:tc>
        <w:tc>
          <w:tcPr>
            <w:tcW w:w="1002" w:type="dxa"/>
            <w:shd w:val="clear" w:color="auto" w:fill="auto"/>
            <w:noWrap/>
            <w:vAlign w:val="center"/>
            <w:hideMark/>
          </w:tcPr>
          <w:p w14:paraId="187C1F8C"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18.6595</w:t>
            </w:r>
          </w:p>
        </w:tc>
        <w:tc>
          <w:tcPr>
            <w:tcW w:w="1314" w:type="dxa"/>
            <w:shd w:val="clear" w:color="auto" w:fill="auto"/>
            <w:noWrap/>
            <w:vAlign w:val="center"/>
            <w:hideMark/>
          </w:tcPr>
          <w:p w14:paraId="6CD306B0"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14.9108</w:t>
            </w:r>
          </w:p>
        </w:tc>
        <w:tc>
          <w:tcPr>
            <w:tcW w:w="1121" w:type="dxa"/>
            <w:shd w:val="clear" w:color="auto" w:fill="auto"/>
            <w:noWrap/>
            <w:vAlign w:val="center"/>
            <w:hideMark/>
          </w:tcPr>
          <w:p w14:paraId="76B47D0E"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0</w:t>
            </w:r>
          </w:p>
        </w:tc>
        <w:tc>
          <w:tcPr>
            <w:tcW w:w="1234" w:type="dxa"/>
            <w:shd w:val="clear" w:color="auto" w:fill="auto"/>
            <w:noWrap/>
            <w:vAlign w:val="center"/>
            <w:hideMark/>
          </w:tcPr>
          <w:p w14:paraId="052E6A51"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26.8873</w:t>
            </w:r>
          </w:p>
        </w:tc>
      </w:tr>
      <w:tr w:rsidR="00943C2E" w:rsidRPr="00ED0C77" w14:paraId="07FF83B4" w14:textId="77777777" w:rsidTr="00943C2E">
        <w:trPr>
          <w:trHeight w:val="100"/>
        </w:trPr>
        <w:tc>
          <w:tcPr>
            <w:tcW w:w="1022" w:type="dxa"/>
            <w:vMerge/>
            <w:vAlign w:val="center"/>
            <w:hideMark/>
          </w:tcPr>
          <w:p w14:paraId="0CBDFDD6" w14:textId="77777777" w:rsidR="00943C2E" w:rsidRPr="00ED0C77" w:rsidRDefault="00943C2E" w:rsidP="00943C2E">
            <w:pPr>
              <w:rPr>
                <w:rFonts w:ascii="Calibri" w:hAnsi="Calibri" w:cs="Calibri"/>
                <w:color w:val="000000"/>
                <w:sz w:val="22"/>
                <w:szCs w:val="22"/>
                <w:lang w:val="en-IN" w:eastAsia="en-IN"/>
              </w:rPr>
            </w:pPr>
          </w:p>
        </w:tc>
        <w:tc>
          <w:tcPr>
            <w:tcW w:w="1314" w:type="dxa"/>
            <w:shd w:val="clear" w:color="auto" w:fill="auto"/>
            <w:noWrap/>
            <w:vAlign w:val="bottom"/>
            <w:hideMark/>
          </w:tcPr>
          <w:p w14:paraId="6FBFC00C" w14:textId="77777777" w:rsidR="00943C2E" w:rsidRPr="00ED0C77" w:rsidRDefault="00943C2E" w:rsidP="00943C2E">
            <w:pP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Forest</w:t>
            </w:r>
          </w:p>
        </w:tc>
        <w:tc>
          <w:tcPr>
            <w:tcW w:w="1002" w:type="dxa"/>
            <w:shd w:val="clear" w:color="auto" w:fill="auto"/>
            <w:noWrap/>
            <w:vAlign w:val="center"/>
            <w:hideMark/>
          </w:tcPr>
          <w:p w14:paraId="2A378D3D"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4.2012</w:t>
            </w:r>
          </w:p>
        </w:tc>
        <w:tc>
          <w:tcPr>
            <w:tcW w:w="1303" w:type="dxa"/>
            <w:shd w:val="clear" w:color="auto" w:fill="auto"/>
            <w:noWrap/>
            <w:vAlign w:val="center"/>
            <w:hideMark/>
          </w:tcPr>
          <w:p w14:paraId="303220D2"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59.9672</w:t>
            </w:r>
          </w:p>
        </w:tc>
        <w:tc>
          <w:tcPr>
            <w:tcW w:w="1002" w:type="dxa"/>
            <w:shd w:val="clear" w:color="auto" w:fill="auto"/>
            <w:noWrap/>
            <w:vAlign w:val="center"/>
            <w:hideMark/>
          </w:tcPr>
          <w:p w14:paraId="0E21F2F5"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90.9715</w:t>
            </w:r>
          </w:p>
        </w:tc>
        <w:tc>
          <w:tcPr>
            <w:tcW w:w="1314" w:type="dxa"/>
            <w:shd w:val="clear" w:color="auto" w:fill="auto"/>
            <w:noWrap/>
            <w:vAlign w:val="center"/>
            <w:hideMark/>
          </w:tcPr>
          <w:p w14:paraId="47724C3D"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33.2978</w:t>
            </w:r>
          </w:p>
        </w:tc>
        <w:tc>
          <w:tcPr>
            <w:tcW w:w="1121" w:type="dxa"/>
            <w:shd w:val="clear" w:color="auto" w:fill="auto"/>
            <w:noWrap/>
            <w:vAlign w:val="center"/>
            <w:hideMark/>
          </w:tcPr>
          <w:p w14:paraId="06E39296"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0</w:t>
            </w:r>
          </w:p>
        </w:tc>
        <w:tc>
          <w:tcPr>
            <w:tcW w:w="1234" w:type="dxa"/>
            <w:shd w:val="clear" w:color="auto" w:fill="auto"/>
            <w:noWrap/>
            <w:vAlign w:val="center"/>
            <w:hideMark/>
          </w:tcPr>
          <w:p w14:paraId="637B3079"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63.1366</w:t>
            </w:r>
          </w:p>
        </w:tc>
      </w:tr>
      <w:tr w:rsidR="00943C2E" w:rsidRPr="00ED0C77" w14:paraId="4666E8F7" w14:textId="77777777" w:rsidTr="00943C2E">
        <w:trPr>
          <w:trHeight w:val="100"/>
        </w:trPr>
        <w:tc>
          <w:tcPr>
            <w:tcW w:w="1022" w:type="dxa"/>
            <w:vMerge/>
            <w:vAlign w:val="center"/>
            <w:hideMark/>
          </w:tcPr>
          <w:p w14:paraId="706C3986" w14:textId="77777777" w:rsidR="00943C2E" w:rsidRPr="00ED0C77" w:rsidRDefault="00943C2E" w:rsidP="00943C2E">
            <w:pPr>
              <w:rPr>
                <w:rFonts w:ascii="Calibri" w:hAnsi="Calibri" w:cs="Calibri"/>
                <w:color w:val="000000"/>
                <w:sz w:val="22"/>
                <w:szCs w:val="22"/>
                <w:lang w:val="en-IN" w:eastAsia="en-IN"/>
              </w:rPr>
            </w:pPr>
          </w:p>
        </w:tc>
        <w:tc>
          <w:tcPr>
            <w:tcW w:w="1314" w:type="dxa"/>
            <w:shd w:val="clear" w:color="auto" w:fill="auto"/>
            <w:noWrap/>
            <w:vAlign w:val="bottom"/>
            <w:hideMark/>
          </w:tcPr>
          <w:p w14:paraId="02E7BF2C" w14:textId="77777777" w:rsidR="00943C2E" w:rsidRPr="00ED0C77" w:rsidRDefault="00943C2E" w:rsidP="00943C2E">
            <w:pP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Agriculture</w:t>
            </w:r>
          </w:p>
        </w:tc>
        <w:tc>
          <w:tcPr>
            <w:tcW w:w="1002" w:type="dxa"/>
            <w:shd w:val="clear" w:color="auto" w:fill="auto"/>
            <w:noWrap/>
            <w:vAlign w:val="center"/>
            <w:hideMark/>
          </w:tcPr>
          <w:p w14:paraId="0F9DA745"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2.40367</w:t>
            </w:r>
          </w:p>
        </w:tc>
        <w:tc>
          <w:tcPr>
            <w:tcW w:w="1303" w:type="dxa"/>
            <w:shd w:val="clear" w:color="auto" w:fill="auto"/>
            <w:noWrap/>
            <w:vAlign w:val="center"/>
            <w:hideMark/>
          </w:tcPr>
          <w:p w14:paraId="2E26C2F5"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19.5467</w:t>
            </w:r>
          </w:p>
        </w:tc>
        <w:tc>
          <w:tcPr>
            <w:tcW w:w="1002" w:type="dxa"/>
            <w:shd w:val="clear" w:color="auto" w:fill="auto"/>
            <w:noWrap/>
            <w:vAlign w:val="center"/>
            <w:hideMark/>
          </w:tcPr>
          <w:p w14:paraId="20120706"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9.13612</w:t>
            </w:r>
          </w:p>
        </w:tc>
        <w:tc>
          <w:tcPr>
            <w:tcW w:w="1314" w:type="dxa"/>
            <w:shd w:val="clear" w:color="auto" w:fill="auto"/>
            <w:noWrap/>
            <w:vAlign w:val="center"/>
            <w:hideMark/>
          </w:tcPr>
          <w:p w14:paraId="6EA438BC"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319.943</w:t>
            </w:r>
          </w:p>
        </w:tc>
        <w:tc>
          <w:tcPr>
            <w:tcW w:w="1121" w:type="dxa"/>
            <w:shd w:val="clear" w:color="auto" w:fill="auto"/>
            <w:noWrap/>
            <w:vAlign w:val="center"/>
            <w:hideMark/>
          </w:tcPr>
          <w:p w14:paraId="2D21700C"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0</w:t>
            </w:r>
          </w:p>
        </w:tc>
        <w:tc>
          <w:tcPr>
            <w:tcW w:w="1234" w:type="dxa"/>
            <w:shd w:val="clear" w:color="auto" w:fill="auto"/>
            <w:noWrap/>
            <w:vAlign w:val="center"/>
            <w:hideMark/>
          </w:tcPr>
          <w:p w14:paraId="76D437A0"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33.0424</w:t>
            </w:r>
          </w:p>
        </w:tc>
      </w:tr>
      <w:tr w:rsidR="00943C2E" w:rsidRPr="00ED0C77" w14:paraId="69753A3F" w14:textId="77777777" w:rsidTr="00943C2E">
        <w:trPr>
          <w:trHeight w:val="100"/>
        </w:trPr>
        <w:tc>
          <w:tcPr>
            <w:tcW w:w="1022" w:type="dxa"/>
            <w:vMerge/>
            <w:vAlign w:val="center"/>
            <w:hideMark/>
          </w:tcPr>
          <w:p w14:paraId="75041EAC" w14:textId="77777777" w:rsidR="00943C2E" w:rsidRPr="00ED0C77" w:rsidRDefault="00943C2E" w:rsidP="00943C2E">
            <w:pPr>
              <w:rPr>
                <w:rFonts w:ascii="Calibri" w:hAnsi="Calibri" w:cs="Calibri"/>
                <w:color w:val="000000"/>
                <w:sz w:val="22"/>
                <w:szCs w:val="22"/>
                <w:lang w:val="en-IN" w:eastAsia="en-IN"/>
              </w:rPr>
            </w:pPr>
          </w:p>
        </w:tc>
        <w:tc>
          <w:tcPr>
            <w:tcW w:w="1314" w:type="dxa"/>
            <w:shd w:val="clear" w:color="auto" w:fill="auto"/>
            <w:noWrap/>
            <w:vAlign w:val="bottom"/>
            <w:hideMark/>
          </w:tcPr>
          <w:p w14:paraId="3A19AF9C" w14:textId="77777777" w:rsidR="00943C2E" w:rsidRPr="00ED0C77" w:rsidRDefault="00943C2E" w:rsidP="00943C2E">
            <w:pP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Built-up</w:t>
            </w:r>
          </w:p>
        </w:tc>
        <w:tc>
          <w:tcPr>
            <w:tcW w:w="1002" w:type="dxa"/>
            <w:shd w:val="clear" w:color="auto" w:fill="auto"/>
            <w:noWrap/>
            <w:vAlign w:val="center"/>
            <w:hideMark/>
          </w:tcPr>
          <w:p w14:paraId="0672C8B8"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2.66985</w:t>
            </w:r>
          </w:p>
        </w:tc>
        <w:tc>
          <w:tcPr>
            <w:tcW w:w="1303" w:type="dxa"/>
            <w:shd w:val="clear" w:color="auto" w:fill="auto"/>
            <w:noWrap/>
            <w:vAlign w:val="center"/>
            <w:hideMark/>
          </w:tcPr>
          <w:p w14:paraId="7C8AF489"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37.6668</w:t>
            </w:r>
          </w:p>
        </w:tc>
        <w:tc>
          <w:tcPr>
            <w:tcW w:w="1002" w:type="dxa"/>
            <w:shd w:val="clear" w:color="auto" w:fill="auto"/>
            <w:noWrap/>
            <w:vAlign w:val="center"/>
            <w:hideMark/>
          </w:tcPr>
          <w:p w14:paraId="79D426B9"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6.91222</w:t>
            </w:r>
          </w:p>
        </w:tc>
        <w:tc>
          <w:tcPr>
            <w:tcW w:w="1314" w:type="dxa"/>
            <w:shd w:val="clear" w:color="auto" w:fill="auto"/>
            <w:noWrap/>
            <w:vAlign w:val="center"/>
            <w:hideMark/>
          </w:tcPr>
          <w:p w14:paraId="5ADE8A41"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31.4091</w:t>
            </w:r>
          </w:p>
        </w:tc>
        <w:tc>
          <w:tcPr>
            <w:tcW w:w="1121" w:type="dxa"/>
            <w:shd w:val="clear" w:color="auto" w:fill="auto"/>
            <w:noWrap/>
            <w:vAlign w:val="center"/>
            <w:hideMark/>
          </w:tcPr>
          <w:p w14:paraId="266AD3FB"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467.3904</w:t>
            </w:r>
          </w:p>
        </w:tc>
        <w:tc>
          <w:tcPr>
            <w:tcW w:w="1234" w:type="dxa"/>
            <w:shd w:val="clear" w:color="auto" w:fill="auto"/>
            <w:noWrap/>
            <w:vAlign w:val="center"/>
            <w:hideMark/>
          </w:tcPr>
          <w:p w14:paraId="6B52FB07"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76.6552</w:t>
            </w:r>
          </w:p>
        </w:tc>
      </w:tr>
      <w:tr w:rsidR="00943C2E" w:rsidRPr="00ED0C77" w14:paraId="7A7BD539" w14:textId="77777777" w:rsidTr="00943C2E">
        <w:trPr>
          <w:trHeight w:val="100"/>
        </w:trPr>
        <w:tc>
          <w:tcPr>
            <w:tcW w:w="1022" w:type="dxa"/>
            <w:vMerge/>
            <w:vAlign w:val="center"/>
            <w:hideMark/>
          </w:tcPr>
          <w:p w14:paraId="514862B8" w14:textId="77777777" w:rsidR="00943C2E" w:rsidRPr="00ED0C77" w:rsidRDefault="00943C2E" w:rsidP="00943C2E">
            <w:pPr>
              <w:rPr>
                <w:rFonts w:ascii="Calibri" w:hAnsi="Calibri" w:cs="Calibri"/>
                <w:color w:val="000000"/>
                <w:sz w:val="22"/>
                <w:szCs w:val="22"/>
                <w:lang w:val="en-IN" w:eastAsia="en-IN"/>
              </w:rPr>
            </w:pPr>
          </w:p>
        </w:tc>
        <w:tc>
          <w:tcPr>
            <w:tcW w:w="1314" w:type="dxa"/>
            <w:tcBorders>
              <w:bottom w:val="single" w:sz="4" w:space="0" w:color="auto"/>
            </w:tcBorders>
            <w:shd w:val="clear" w:color="auto" w:fill="auto"/>
            <w:noWrap/>
            <w:vAlign w:val="bottom"/>
            <w:hideMark/>
          </w:tcPr>
          <w:p w14:paraId="610012E5" w14:textId="77777777" w:rsidR="00943C2E" w:rsidRPr="00ED0C77" w:rsidRDefault="00943C2E" w:rsidP="00943C2E">
            <w:pPr>
              <w:rPr>
                <w:rFonts w:ascii="Calibri" w:hAnsi="Calibri" w:cs="Calibri"/>
                <w:b/>
                <w:bCs/>
                <w:color w:val="000000"/>
                <w:sz w:val="22"/>
                <w:szCs w:val="22"/>
                <w:lang w:val="en-IN" w:eastAsia="en-IN"/>
              </w:rPr>
            </w:pPr>
            <w:r w:rsidRPr="00ED0C77">
              <w:rPr>
                <w:rFonts w:ascii="Calibri" w:hAnsi="Calibri" w:cs="Calibri"/>
                <w:b/>
                <w:bCs/>
                <w:color w:val="000000"/>
                <w:sz w:val="22"/>
                <w:szCs w:val="22"/>
                <w:lang w:val="en-IN" w:eastAsia="en-IN"/>
              </w:rPr>
              <w:t>Open Space</w:t>
            </w:r>
          </w:p>
        </w:tc>
        <w:tc>
          <w:tcPr>
            <w:tcW w:w="1002" w:type="dxa"/>
            <w:tcBorders>
              <w:bottom w:val="single" w:sz="4" w:space="0" w:color="auto"/>
            </w:tcBorders>
            <w:shd w:val="clear" w:color="auto" w:fill="auto"/>
            <w:noWrap/>
            <w:vAlign w:val="center"/>
            <w:hideMark/>
          </w:tcPr>
          <w:p w14:paraId="5AE1C42A"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1.81778</w:t>
            </w:r>
          </w:p>
        </w:tc>
        <w:tc>
          <w:tcPr>
            <w:tcW w:w="1303" w:type="dxa"/>
            <w:tcBorders>
              <w:bottom w:val="single" w:sz="4" w:space="0" w:color="auto"/>
            </w:tcBorders>
            <w:shd w:val="clear" w:color="auto" w:fill="auto"/>
            <w:noWrap/>
            <w:vAlign w:val="center"/>
            <w:hideMark/>
          </w:tcPr>
          <w:p w14:paraId="222F6B75"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16.9168</w:t>
            </w:r>
          </w:p>
        </w:tc>
        <w:tc>
          <w:tcPr>
            <w:tcW w:w="1002" w:type="dxa"/>
            <w:tcBorders>
              <w:bottom w:val="single" w:sz="4" w:space="0" w:color="auto"/>
            </w:tcBorders>
            <w:shd w:val="clear" w:color="auto" w:fill="auto"/>
            <w:noWrap/>
            <w:vAlign w:val="center"/>
            <w:hideMark/>
          </w:tcPr>
          <w:p w14:paraId="103A2613"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5.46705</w:t>
            </w:r>
          </w:p>
        </w:tc>
        <w:tc>
          <w:tcPr>
            <w:tcW w:w="1314" w:type="dxa"/>
            <w:tcBorders>
              <w:bottom w:val="single" w:sz="4" w:space="0" w:color="auto"/>
            </w:tcBorders>
            <w:shd w:val="clear" w:color="auto" w:fill="auto"/>
            <w:noWrap/>
            <w:vAlign w:val="center"/>
            <w:hideMark/>
          </w:tcPr>
          <w:p w14:paraId="21D34DB8"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35.5966</w:t>
            </w:r>
          </w:p>
        </w:tc>
        <w:tc>
          <w:tcPr>
            <w:tcW w:w="1121" w:type="dxa"/>
            <w:tcBorders>
              <w:bottom w:val="single" w:sz="4" w:space="0" w:color="auto"/>
            </w:tcBorders>
            <w:shd w:val="clear" w:color="auto" w:fill="auto"/>
            <w:noWrap/>
            <w:vAlign w:val="center"/>
            <w:hideMark/>
          </w:tcPr>
          <w:p w14:paraId="425942C4"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0</w:t>
            </w:r>
          </w:p>
        </w:tc>
        <w:tc>
          <w:tcPr>
            <w:tcW w:w="1234" w:type="dxa"/>
            <w:tcBorders>
              <w:bottom w:val="single" w:sz="4" w:space="0" w:color="auto"/>
            </w:tcBorders>
            <w:shd w:val="clear" w:color="auto" w:fill="auto"/>
            <w:noWrap/>
            <w:vAlign w:val="center"/>
            <w:hideMark/>
          </w:tcPr>
          <w:p w14:paraId="75633882" w14:textId="77777777" w:rsidR="00943C2E" w:rsidRPr="00ED0C77" w:rsidRDefault="00943C2E" w:rsidP="00943C2E">
            <w:pPr>
              <w:jc w:val="center"/>
              <w:rPr>
                <w:rFonts w:ascii="Calibri" w:hAnsi="Calibri" w:cs="Calibri"/>
                <w:color w:val="000000"/>
                <w:sz w:val="22"/>
                <w:szCs w:val="22"/>
                <w:lang w:val="en-IN" w:eastAsia="en-IN"/>
              </w:rPr>
            </w:pPr>
            <w:r w:rsidRPr="00ED0C77">
              <w:rPr>
                <w:rFonts w:ascii="Calibri" w:hAnsi="Calibri" w:cs="Calibri"/>
                <w:color w:val="000000"/>
                <w:sz w:val="22"/>
                <w:szCs w:val="22"/>
                <w:lang w:val="en-IN" w:eastAsia="en-IN"/>
              </w:rPr>
              <w:t>65.9376</w:t>
            </w:r>
          </w:p>
        </w:tc>
      </w:tr>
    </w:tbl>
    <w:p w14:paraId="1D539A10" w14:textId="0D263867" w:rsidR="00ED0C77" w:rsidRPr="000B7784" w:rsidRDefault="00ED0C77" w:rsidP="00ED0C77">
      <w:pPr>
        <w:pStyle w:val="Body"/>
        <w:spacing w:after="0"/>
        <w:rPr>
          <w:rFonts w:ascii="Arial" w:hAnsi="Arial" w:cs="Arial"/>
        </w:rPr>
      </w:pPr>
      <w:r>
        <w:rPr>
          <w:rFonts w:ascii="Arial" w:hAnsi="Arial"/>
          <w:b/>
        </w:rPr>
        <w:t xml:space="preserve">Table </w:t>
      </w:r>
      <w:r w:rsidR="00943C2E">
        <w:rPr>
          <w:rFonts w:ascii="Arial" w:hAnsi="Arial"/>
          <w:b/>
        </w:rPr>
        <w:t>8</w:t>
      </w:r>
      <w:r>
        <w:rPr>
          <w:rFonts w:ascii="Arial" w:hAnsi="Arial"/>
          <w:b/>
        </w:rPr>
        <w:t>. Change area matrix of 2011 - 2021</w:t>
      </w:r>
      <w:r w:rsidRPr="003012AC">
        <w:rPr>
          <w:rFonts w:ascii="Arial" w:hAnsi="Arial"/>
          <w:b/>
        </w:rPr>
        <w:t xml:space="preserve"> </w:t>
      </w:r>
      <w:r>
        <w:rPr>
          <w:rFonts w:ascii="Arial" w:hAnsi="Arial"/>
          <w:b/>
        </w:rPr>
        <w:t>(Km</w:t>
      </w:r>
      <w:r w:rsidRPr="00D27706">
        <w:rPr>
          <w:rFonts w:ascii="Arial" w:hAnsi="Arial"/>
          <w:b/>
          <w:vertAlign w:val="superscript"/>
        </w:rPr>
        <w:t>2</w:t>
      </w:r>
      <w:r>
        <w:rPr>
          <w:rFonts w:ascii="Arial" w:hAnsi="Arial"/>
          <w:b/>
        </w:rPr>
        <w:t>).</w:t>
      </w:r>
    </w:p>
    <w:p w14:paraId="112FAA95" w14:textId="0E4E7188" w:rsidR="004D08D0" w:rsidRDefault="004F4605" w:rsidP="00AA686A">
      <w:pPr>
        <w:pStyle w:val="Body"/>
        <w:spacing w:before="240"/>
        <w:rPr>
          <w:rFonts w:ascii="Arial" w:hAnsi="Arial" w:cs="Arial"/>
          <w:b/>
          <w:bCs/>
        </w:rPr>
      </w:pPr>
      <w:r>
        <w:rPr>
          <w:rFonts w:ascii="Arial" w:hAnsi="Arial" w:cs="Arial"/>
          <w:noProof/>
        </w:rPr>
        <w:drawing>
          <wp:anchor distT="0" distB="0" distL="114300" distR="114300" simplePos="0" relativeHeight="251666432" behindDoc="0" locked="0" layoutInCell="1" allowOverlap="1" wp14:anchorId="351E775A" wp14:editId="7932A533">
            <wp:simplePos x="0" y="0"/>
            <wp:positionH relativeFrom="column">
              <wp:posOffset>-186055</wp:posOffset>
            </wp:positionH>
            <wp:positionV relativeFrom="paragraph">
              <wp:posOffset>1923415</wp:posOffset>
            </wp:positionV>
            <wp:extent cx="3347085" cy="2368550"/>
            <wp:effectExtent l="0" t="0" r="0" b="0"/>
            <wp:wrapThrough wrapText="bothSides">
              <wp:wrapPolygon edited="0">
                <wp:start x="0" y="0"/>
                <wp:lineTo x="0" y="21368"/>
                <wp:lineTo x="21514" y="21368"/>
                <wp:lineTo x="2151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7085" cy="2368550"/>
                    </a:xfrm>
                    <a:prstGeom prst="rect">
                      <a:avLst/>
                    </a:prstGeom>
                  </pic:spPr>
                </pic:pic>
              </a:graphicData>
            </a:graphic>
            <wp14:sizeRelH relativeFrom="page">
              <wp14:pctWidth>0</wp14:pctWidth>
            </wp14:sizeRelH>
            <wp14:sizeRelV relativeFrom="page">
              <wp14:pctHeight>0</wp14:pctHeight>
            </wp14:sizeRelV>
          </wp:anchor>
        </w:drawing>
      </w:r>
    </w:p>
    <w:p w14:paraId="7214843E" w14:textId="77777777" w:rsidR="004D08D0" w:rsidRDefault="004D08D0" w:rsidP="00AA686A">
      <w:pPr>
        <w:pStyle w:val="Body"/>
        <w:spacing w:before="240"/>
        <w:rPr>
          <w:rFonts w:ascii="Arial" w:hAnsi="Arial" w:cs="Arial"/>
          <w:b/>
          <w:bCs/>
        </w:rPr>
      </w:pPr>
    </w:p>
    <w:p w14:paraId="09DEE8C6" w14:textId="77777777" w:rsidR="004D08D0" w:rsidRDefault="004D08D0" w:rsidP="00AA686A">
      <w:pPr>
        <w:pStyle w:val="Body"/>
        <w:spacing w:before="240"/>
        <w:rPr>
          <w:rFonts w:ascii="Arial" w:hAnsi="Arial" w:cs="Arial"/>
          <w:b/>
          <w:bCs/>
        </w:rPr>
      </w:pPr>
    </w:p>
    <w:p w14:paraId="1D6AAA91" w14:textId="77777777" w:rsidR="004D08D0" w:rsidRDefault="004D08D0" w:rsidP="00AA686A">
      <w:pPr>
        <w:pStyle w:val="Body"/>
        <w:spacing w:before="240"/>
        <w:rPr>
          <w:rFonts w:ascii="Arial" w:hAnsi="Arial" w:cs="Arial"/>
          <w:b/>
          <w:bCs/>
        </w:rPr>
      </w:pPr>
    </w:p>
    <w:p w14:paraId="0A1004FD" w14:textId="77777777" w:rsidR="004D08D0" w:rsidRDefault="004D08D0" w:rsidP="00AA686A">
      <w:pPr>
        <w:pStyle w:val="Body"/>
        <w:spacing w:before="240"/>
        <w:rPr>
          <w:rFonts w:ascii="Arial" w:hAnsi="Arial" w:cs="Arial"/>
          <w:b/>
          <w:bCs/>
        </w:rPr>
      </w:pPr>
    </w:p>
    <w:p w14:paraId="68C38F07" w14:textId="77777777" w:rsidR="004D08D0" w:rsidRDefault="004D08D0" w:rsidP="00AA686A">
      <w:pPr>
        <w:pStyle w:val="Body"/>
        <w:spacing w:before="240"/>
        <w:rPr>
          <w:rFonts w:ascii="Arial" w:hAnsi="Arial" w:cs="Arial"/>
          <w:b/>
          <w:bCs/>
        </w:rPr>
      </w:pPr>
    </w:p>
    <w:p w14:paraId="41053AA1" w14:textId="77777777" w:rsidR="004D08D0" w:rsidRDefault="004D08D0" w:rsidP="00AA686A">
      <w:pPr>
        <w:pStyle w:val="Body"/>
        <w:spacing w:before="240"/>
        <w:rPr>
          <w:rFonts w:ascii="Arial" w:hAnsi="Arial" w:cs="Arial"/>
          <w:b/>
          <w:bCs/>
        </w:rPr>
      </w:pPr>
    </w:p>
    <w:p w14:paraId="5544C4AC" w14:textId="77777777" w:rsidR="004D08D0" w:rsidRDefault="004D08D0" w:rsidP="00AA686A">
      <w:pPr>
        <w:pStyle w:val="Body"/>
        <w:spacing w:before="240"/>
        <w:rPr>
          <w:rFonts w:ascii="Arial" w:hAnsi="Arial" w:cs="Arial"/>
          <w:b/>
          <w:bCs/>
        </w:rPr>
      </w:pPr>
    </w:p>
    <w:p w14:paraId="499628AD" w14:textId="77777777" w:rsidR="004D08D0" w:rsidRDefault="004D08D0" w:rsidP="00AA686A">
      <w:pPr>
        <w:pStyle w:val="Body"/>
        <w:spacing w:before="240"/>
        <w:rPr>
          <w:rFonts w:ascii="Arial" w:hAnsi="Arial" w:cs="Arial"/>
          <w:b/>
          <w:bCs/>
        </w:rPr>
      </w:pPr>
    </w:p>
    <w:p w14:paraId="33651C28" w14:textId="77777777" w:rsidR="004D08D0" w:rsidRDefault="00AA686A" w:rsidP="00AA686A">
      <w:pPr>
        <w:pStyle w:val="Body"/>
        <w:spacing w:before="240"/>
        <w:rPr>
          <w:rFonts w:ascii="Arial" w:hAnsi="Arial" w:cs="Arial"/>
        </w:rPr>
      </w:pPr>
      <w:r w:rsidRPr="0078402F">
        <w:rPr>
          <w:rFonts w:ascii="Arial" w:hAnsi="Arial" w:cs="Arial"/>
          <w:b/>
          <w:bCs/>
        </w:rPr>
        <w:t xml:space="preserve">Fig. </w:t>
      </w:r>
      <w:r>
        <w:rPr>
          <w:rFonts w:ascii="Arial" w:hAnsi="Arial" w:cs="Arial"/>
          <w:b/>
          <w:bCs/>
        </w:rPr>
        <w:t xml:space="preserve">5 </w:t>
      </w:r>
      <w:r w:rsidRPr="005B7D6F">
        <w:rPr>
          <w:rFonts w:ascii="Arial" w:hAnsi="Arial" w:cs="Arial"/>
        </w:rPr>
        <w:t>LULC change detection during (</w:t>
      </w:r>
      <w:r>
        <w:rPr>
          <w:rFonts w:ascii="Arial" w:hAnsi="Arial" w:cs="Arial"/>
        </w:rPr>
        <w:t>2011</w:t>
      </w:r>
      <w:r w:rsidRPr="005B7D6F">
        <w:rPr>
          <w:rFonts w:ascii="Arial" w:hAnsi="Arial" w:cs="Arial"/>
        </w:rPr>
        <w:t>-20</w:t>
      </w:r>
      <w:r>
        <w:rPr>
          <w:rFonts w:ascii="Arial" w:hAnsi="Arial" w:cs="Arial"/>
        </w:rPr>
        <w:t>2</w:t>
      </w:r>
      <w:r w:rsidRPr="005B7D6F">
        <w:rPr>
          <w:rFonts w:ascii="Arial" w:hAnsi="Arial" w:cs="Arial"/>
        </w:rPr>
        <w:t xml:space="preserve">1); </w:t>
      </w:r>
    </w:p>
    <w:p w14:paraId="186329C0" w14:textId="332DE635" w:rsidR="004D08D0" w:rsidRDefault="004F4605" w:rsidP="00AA686A">
      <w:pPr>
        <w:pStyle w:val="Body"/>
        <w:spacing w:before="240"/>
        <w:rPr>
          <w:rFonts w:ascii="Arial" w:hAnsi="Arial" w:cs="Arial"/>
        </w:rPr>
      </w:pPr>
      <w:r>
        <w:rPr>
          <w:rFonts w:ascii="Arial" w:hAnsi="Arial" w:cs="Arial"/>
          <w:noProof/>
        </w:rPr>
        <w:lastRenderedPageBreak/>
        <w:drawing>
          <wp:anchor distT="0" distB="0" distL="114300" distR="114300" simplePos="0" relativeHeight="251673600" behindDoc="0" locked="0" layoutInCell="1" allowOverlap="1" wp14:anchorId="4DBAE8BC" wp14:editId="76C39BB2">
            <wp:simplePos x="0" y="0"/>
            <wp:positionH relativeFrom="column">
              <wp:posOffset>-38100</wp:posOffset>
            </wp:positionH>
            <wp:positionV relativeFrom="paragraph">
              <wp:posOffset>0</wp:posOffset>
            </wp:positionV>
            <wp:extent cx="3347085" cy="2368550"/>
            <wp:effectExtent l="0" t="0" r="0" b="0"/>
            <wp:wrapThrough wrapText="bothSides">
              <wp:wrapPolygon edited="0">
                <wp:start x="0" y="0"/>
                <wp:lineTo x="0" y="21368"/>
                <wp:lineTo x="21514" y="21368"/>
                <wp:lineTo x="2151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7085" cy="2368550"/>
                    </a:xfrm>
                    <a:prstGeom prst="rect">
                      <a:avLst/>
                    </a:prstGeom>
                  </pic:spPr>
                </pic:pic>
              </a:graphicData>
            </a:graphic>
            <wp14:sizeRelH relativeFrom="page">
              <wp14:pctWidth>0</wp14:pctWidth>
            </wp14:sizeRelH>
            <wp14:sizeRelV relativeFrom="page">
              <wp14:pctHeight>0</wp14:pctHeight>
            </wp14:sizeRelV>
          </wp:anchor>
        </w:drawing>
      </w:r>
    </w:p>
    <w:p w14:paraId="58B620E1" w14:textId="03CABDB8" w:rsidR="004D08D0" w:rsidRDefault="004D08D0" w:rsidP="00AA686A">
      <w:pPr>
        <w:pStyle w:val="Body"/>
        <w:spacing w:before="240"/>
        <w:rPr>
          <w:rFonts w:ascii="Arial" w:hAnsi="Arial" w:cs="Arial"/>
        </w:rPr>
      </w:pPr>
    </w:p>
    <w:p w14:paraId="67399397" w14:textId="43DA925E" w:rsidR="004D08D0" w:rsidRDefault="004D08D0" w:rsidP="00AA686A">
      <w:pPr>
        <w:pStyle w:val="Body"/>
        <w:spacing w:before="240"/>
        <w:rPr>
          <w:rFonts w:ascii="Arial" w:hAnsi="Arial" w:cs="Arial"/>
        </w:rPr>
      </w:pPr>
    </w:p>
    <w:p w14:paraId="4B4B46FB" w14:textId="77777777" w:rsidR="004D08D0" w:rsidRDefault="004D08D0" w:rsidP="00AA686A">
      <w:pPr>
        <w:pStyle w:val="Body"/>
        <w:spacing w:before="240"/>
        <w:rPr>
          <w:rFonts w:ascii="Arial" w:hAnsi="Arial" w:cs="Arial"/>
        </w:rPr>
      </w:pPr>
    </w:p>
    <w:p w14:paraId="3D4247F8" w14:textId="77777777" w:rsidR="004D08D0" w:rsidRDefault="004D08D0" w:rsidP="00AA686A">
      <w:pPr>
        <w:pStyle w:val="Body"/>
        <w:spacing w:before="240"/>
        <w:rPr>
          <w:rFonts w:ascii="Arial" w:hAnsi="Arial" w:cs="Arial"/>
        </w:rPr>
      </w:pPr>
    </w:p>
    <w:p w14:paraId="62937CB6" w14:textId="77777777" w:rsidR="004D08D0" w:rsidRDefault="004D08D0" w:rsidP="00AA686A">
      <w:pPr>
        <w:pStyle w:val="Body"/>
        <w:spacing w:before="240"/>
        <w:rPr>
          <w:rFonts w:ascii="Arial" w:hAnsi="Arial" w:cs="Arial"/>
        </w:rPr>
      </w:pPr>
    </w:p>
    <w:p w14:paraId="760B93B7" w14:textId="77777777" w:rsidR="004D08D0" w:rsidRDefault="004D08D0" w:rsidP="00AA686A">
      <w:pPr>
        <w:pStyle w:val="Body"/>
        <w:spacing w:before="240"/>
        <w:rPr>
          <w:rFonts w:ascii="Arial" w:hAnsi="Arial" w:cs="Arial"/>
        </w:rPr>
      </w:pPr>
    </w:p>
    <w:p w14:paraId="32A36A62" w14:textId="77777777" w:rsidR="004F4605" w:rsidRDefault="004F4605" w:rsidP="00AA686A">
      <w:pPr>
        <w:pStyle w:val="Body"/>
        <w:spacing w:before="240"/>
        <w:rPr>
          <w:rFonts w:ascii="Arial" w:hAnsi="Arial" w:cs="Arial"/>
        </w:rPr>
      </w:pPr>
    </w:p>
    <w:p w14:paraId="08B42ED7" w14:textId="77777777" w:rsidR="004F4605" w:rsidRDefault="004F4605" w:rsidP="00AA686A">
      <w:pPr>
        <w:pStyle w:val="Body"/>
        <w:spacing w:before="240"/>
        <w:rPr>
          <w:rFonts w:ascii="Arial" w:hAnsi="Arial" w:cs="Arial"/>
        </w:rPr>
      </w:pPr>
    </w:p>
    <w:p w14:paraId="160E339E" w14:textId="42351004" w:rsidR="00AA686A" w:rsidRDefault="00AA686A" w:rsidP="00AA686A">
      <w:pPr>
        <w:pStyle w:val="Body"/>
        <w:spacing w:before="240"/>
        <w:rPr>
          <w:rFonts w:ascii="Arial" w:hAnsi="Arial" w:cs="Arial"/>
        </w:rPr>
      </w:pPr>
      <w:r w:rsidRPr="009F6D9D">
        <w:rPr>
          <w:rFonts w:ascii="Arial" w:hAnsi="Arial" w:cs="Arial"/>
          <w:b/>
          <w:bCs/>
        </w:rPr>
        <w:t xml:space="preserve">Fig. </w:t>
      </w:r>
      <w:r>
        <w:rPr>
          <w:rFonts w:ascii="Arial" w:hAnsi="Arial" w:cs="Arial"/>
          <w:b/>
          <w:bCs/>
        </w:rPr>
        <w:t>6</w:t>
      </w:r>
      <w:r w:rsidRPr="005B7D6F">
        <w:rPr>
          <w:rFonts w:ascii="Arial" w:hAnsi="Arial" w:cs="Arial"/>
        </w:rPr>
        <w:t xml:space="preserve"> LULC change detection during (</w:t>
      </w:r>
      <w:r>
        <w:rPr>
          <w:rFonts w:ascii="Arial" w:hAnsi="Arial" w:cs="Arial"/>
        </w:rPr>
        <w:t>1991</w:t>
      </w:r>
      <w:r w:rsidRPr="005B7D6F">
        <w:rPr>
          <w:rFonts w:ascii="Arial" w:hAnsi="Arial" w:cs="Arial"/>
        </w:rPr>
        <w:t>-20</w:t>
      </w:r>
      <w:r>
        <w:rPr>
          <w:rFonts w:ascii="Arial" w:hAnsi="Arial" w:cs="Arial"/>
        </w:rPr>
        <w:t>2</w:t>
      </w:r>
      <w:r w:rsidRPr="005B7D6F">
        <w:rPr>
          <w:rFonts w:ascii="Arial" w:hAnsi="Arial" w:cs="Arial"/>
        </w:rPr>
        <w:t>1</w:t>
      </w:r>
      <w:r>
        <w:rPr>
          <w:rFonts w:ascii="Arial" w:hAnsi="Arial" w:cs="Arial"/>
        </w:rPr>
        <w:t>)</w:t>
      </w:r>
    </w:p>
    <w:p w14:paraId="7CF139D4" w14:textId="35BD5A70" w:rsidR="00B76C45" w:rsidRDefault="00E32056" w:rsidP="00B76C45">
      <w:pPr>
        <w:pStyle w:val="Body"/>
        <w:spacing w:before="240" w:after="0"/>
        <w:rPr>
          <w:rFonts w:ascii="Arial" w:hAnsi="Arial" w:cs="Arial"/>
        </w:rPr>
      </w:pPr>
      <w:r w:rsidRPr="00E32056">
        <w:rPr>
          <w:rFonts w:ascii="Arial" w:hAnsi="Arial" w:cs="Arial"/>
        </w:rPr>
        <w:t>Cumulatively, over the entire</w:t>
      </w:r>
      <w:r w:rsidR="006D54CD" w:rsidRPr="006D54CD">
        <w:rPr>
          <w:rFonts w:ascii="Arial" w:hAnsi="Arial" w:cs="Arial"/>
        </w:rPr>
        <w:t xml:space="preserve"> three decades (1991–2021) </w:t>
      </w:r>
      <w:r w:rsidRPr="00E32056">
        <w:rPr>
          <w:rFonts w:ascii="Arial" w:hAnsi="Arial" w:cs="Arial"/>
        </w:rPr>
        <w:t>(</w:t>
      </w:r>
      <w:r w:rsidRPr="00FE2FA3">
        <w:rPr>
          <w:rFonts w:ascii="Arial" w:hAnsi="Arial" w:cs="Arial"/>
          <w:b/>
          <w:bCs/>
        </w:rPr>
        <w:t xml:space="preserve">Table </w:t>
      </w:r>
      <w:r w:rsidR="00DB00A2" w:rsidRPr="00FE2FA3">
        <w:rPr>
          <w:rFonts w:ascii="Arial" w:hAnsi="Arial" w:cs="Arial"/>
          <w:b/>
          <w:bCs/>
        </w:rPr>
        <w:t>9</w:t>
      </w:r>
      <w:r w:rsidRPr="00FE2FA3">
        <w:rPr>
          <w:rFonts w:ascii="Arial" w:hAnsi="Arial" w:cs="Arial"/>
          <w:b/>
          <w:bCs/>
        </w:rPr>
        <w:t xml:space="preserve"> and Figure </w:t>
      </w:r>
      <w:r w:rsidR="00DB00A2" w:rsidRPr="00FE2FA3">
        <w:rPr>
          <w:rFonts w:ascii="Arial" w:hAnsi="Arial" w:cs="Arial"/>
          <w:b/>
          <w:bCs/>
        </w:rPr>
        <w:t>6</w:t>
      </w:r>
      <w:r w:rsidRPr="00FE2FA3">
        <w:rPr>
          <w:rFonts w:ascii="Arial" w:hAnsi="Arial" w:cs="Arial"/>
          <w:b/>
          <w:bCs/>
        </w:rPr>
        <w:t>),</w:t>
      </w:r>
      <w:r w:rsidRPr="00E32056">
        <w:rPr>
          <w:rFonts w:ascii="Arial" w:hAnsi="Arial" w:cs="Arial"/>
        </w:rPr>
        <w:t xml:space="preserve"> built-up land exhibited the most dramatic increase, from 0 to 259.59 sq.km, absorbing substantial areas from all other classes</w:t>
      </w:r>
      <w:r w:rsidR="00AA686A">
        <w:rPr>
          <w:rFonts w:ascii="Arial" w:hAnsi="Arial" w:cs="Arial"/>
        </w:rPr>
        <w:t xml:space="preserve"> </w:t>
      </w:r>
      <w:r w:rsidRPr="00E32056">
        <w:rPr>
          <w:rFonts w:ascii="Arial" w:hAnsi="Arial" w:cs="Arial"/>
        </w:rPr>
        <w:t>especially vegetation (80.43 sq.km), agriculture (91.31 sq.km), forest (40.33 sq.km), and open space (130.47 sq.km). Forest cover, in contrast, experienced a net gain, with 67.05 sq.km retained and additional conversion from vegetation (53.41 sq.km) and agriculture (61.04 sq.km), reflecting positive ecological trends. Vegetation and open space acted primarily as transitional categories, experiencing high flux and significant loss to built-up and forest classes. Agricultural land, although relatively stable (292.39 sq.km retained), lost more than 300 sq.km to other land cover types, indicating ongoing peri-urban conversion and shrinking cultivation zones. Overall, the transformation landscape across the four decades reflects a trajectory of rapid urban expansion, fluctuating green cover, and only partial ecological compensation</w:t>
      </w:r>
      <w:r w:rsidR="00AA686A">
        <w:rPr>
          <w:rFonts w:ascii="Arial" w:hAnsi="Arial" w:cs="Arial"/>
        </w:rPr>
        <w:t xml:space="preserve"> </w:t>
      </w:r>
      <w:r w:rsidRPr="00E32056">
        <w:rPr>
          <w:rFonts w:ascii="Arial" w:hAnsi="Arial" w:cs="Arial"/>
        </w:rPr>
        <w:t>demanding urgent integration of landscape-level planning, ecological restoration, and sustainable land governance frameworks in Delhi’s urban future.</w:t>
      </w:r>
    </w:p>
    <w:p w14:paraId="4B2D8A23" w14:textId="3AD2937C" w:rsidR="0070241A" w:rsidRDefault="00EA565B" w:rsidP="003C0603">
      <w:pPr>
        <w:pStyle w:val="Body"/>
        <w:rPr>
          <w:rFonts w:ascii="Arial" w:hAnsi="Arial"/>
          <w:b/>
        </w:rPr>
      </w:pPr>
      <w:r>
        <w:rPr>
          <w:rFonts w:ascii="Arial" w:hAnsi="Arial"/>
          <w:b/>
        </w:rPr>
        <w:t>Table 9. Change area matrix of 1991 - 2021</w:t>
      </w:r>
      <w:r w:rsidRPr="003012AC">
        <w:rPr>
          <w:rFonts w:ascii="Arial" w:hAnsi="Arial"/>
          <w:b/>
        </w:rPr>
        <w:t xml:space="preserve"> </w:t>
      </w:r>
      <w:r>
        <w:rPr>
          <w:rFonts w:ascii="Arial" w:hAnsi="Arial"/>
          <w:b/>
        </w:rPr>
        <w:t>(Km</w:t>
      </w:r>
      <w:r w:rsidRPr="00D27706">
        <w:rPr>
          <w:rFonts w:ascii="Arial" w:hAnsi="Arial"/>
          <w:b/>
          <w:vertAlign w:val="superscript"/>
        </w:rPr>
        <w:t>2</w:t>
      </w:r>
      <w:r>
        <w:rPr>
          <w:rFonts w:ascii="Arial" w:hAnsi="Arial"/>
          <w:b/>
        </w:rPr>
        <w:t>)</w:t>
      </w:r>
    </w:p>
    <w:p w14:paraId="3B70D211" w14:textId="3E89097F" w:rsidR="00B76C45" w:rsidRDefault="00B76C45" w:rsidP="003C0603">
      <w:pPr>
        <w:pStyle w:val="Body"/>
        <w:rPr>
          <w:rFonts w:ascii="Arial" w:hAnsi="Arial"/>
          <w:b/>
        </w:rPr>
      </w:pPr>
    </w:p>
    <w:p w14:paraId="2A3E1213" w14:textId="77777777" w:rsidR="00B76C45" w:rsidRDefault="00B76C45" w:rsidP="003C0603">
      <w:pPr>
        <w:pStyle w:val="Body"/>
        <w:rPr>
          <w:rFonts w:ascii="Arial" w:hAnsi="Arial" w:cs="Arial"/>
        </w:rPr>
      </w:pPr>
    </w:p>
    <w:tbl>
      <w:tblPr>
        <w:tblW w:w="9030" w:type="dxa"/>
        <w:tblInd w:w="-813" w:type="dxa"/>
        <w:tblLook w:val="04A0" w:firstRow="1" w:lastRow="0" w:firstColumn="1" w:lastColumn="0" w:noHBand="0" w:noVBand="1"/>
      </w:tblPr>
      <w:tblGrid>
        <w:gridCol w:w="975"/>
        <w:gridCol w:w="1277"/>
        <w:gridCol w:w="974"/>
        <w:gridCol w:w="1267"/>
        <w:gridCol w:w="974"/>
        <w:gridCol w:w="1277"/>
        <w:gridCol w:w="1090"/>
        <w:gridCol w:w="1196"/>
      </w:tblGrid>
      <w:tr w:rsidR="00E34B98" w:rsidRPr="00E34B98" w14:paraId="0C9551FE" w14:textId="77777777" w:rsidTr="00E34B98">
        <w:trPr>
          <w:trHeight w:val="145"/>
        </w:trPr>
        <w:tc>
          <w:tcPr>
            <w:tcW w:w="975" w:type="dxa"/>
            <w:vMerge w:val="restart"/>
            <w:shd w:val="clear" w:color="auto" w:fill="auto"/>
            <w:noWrap/>
            <w:textDirection w:val="btLr"/>
            <w:vAlign w:val="center"/>
            <w:hideMark/>
          </w:tcPr>
          <w:p w14:paraId="08FE875B" w14:textId="77777777" w:rsidR="00E34B98" w:rsidRPr="00E34B98" w:rsidRDefault="00E34B98" w:rsidP="00E34B98">
            <w:pPr>
              <w:ind w:left="113" w:right="113"/>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2021</w:t>
            </w:r>
          </w:p>
        </w:tc>
        <w:tc>
          <w:tcPr>
            <w:tcW w:w="8055" w:type="dxa"/>
            <w:gridSpan w:val="7"/>
            <w:tcBorders>
              <w:top w:val="single" w:sz="4" w:space="0" w:color="auto"/>
            </w:tcBorders>
            <w:shd w:val="clear" w:color="auto" w:fill="auto"/>
            <w:noWrap/>
            <w:vAlign w:val="center"/>
            <w:hideMark/>
          </w:tcPr>
          <w:p w14:paraId="279B5194"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1991</w:t>
            </w:r>
          </w:p>
        </w:tc>
      </w:tr>
      <w:tr w:rsidR="00E34B98" w:rsidRPr="00E34B98" w14:paraId="539248B8" w14:textId="77777777" w:rsidTr="00E34B98">
        <w:trPr>
          <w:trHeight w:val="145"/>
        </w:trPr>
        <w:tc>
          <w:tcPr>
            <w:tcW w:w="975" w:type="dxa"/>
            <w:vMerge/>
            <w:vAlign w:val="center"/>
            <w:hideMark/>
          </w:tcPr>
          <w:p w14:paraId="57772BBA" w14:textId="77777777" w:rsidR="00E34B98" w:rsidRPr="00E34B98" w:rsidRDefault="00E34B98" w:rsidP="00E34B98">
            <w:pPr>
              <w:rPr>
                <w:rFonts w:ascii="Calibri" w:hAnsi="Calibri" w:cs="Calibri"/>
                <w:color w:val="000000"/>
                <w:sz w:val="22"/>
                <w:szCs w:val="22"/>
                <w:lang w:val="en-IN" w:eastAsia="en-IN"/>
              </w:rPr>
            </w:pPr>
          </w:p>
        </w:tc>
        <w:tc>
          <w:tcPr>
            <w:tcW w:w="1277" w:type="dxa"/>
            <w:tcBorders>
              <w:bottom w:val="single" w:sz="4" w:space="0" w:color="auto"/>
            </w:tcBorders>
            <w:shd w:val="clear" w:color="auto" w:fill="auto"/>
            <w:noWrap/>
            <w:vAlign w:val="bottom"/>
            <w:hideMark/>
          </w:tcPr>
          <w:p w14:paraId="11D57017" w14:textId="77777777" w:rsidR="00E34B98" w:rsidRPr="00E34B98" w:rsidRDefault="00E34B98" w:rsidP="00E34B98">
            <w:pP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LULC</w:t>
            </w:r>
          </w:p>
        </w:tc>
        <w:tc>
          <w:tcPr>
            <w:tcW w:w="974" w:type="dxa"/>
            <w:tcBorders>
              <w:bottom w:val="single" w:sz="4" w:space="0" w:color="auto"/>
            </w:tcBorders>
            <w:shd w:val="clear" w:color="auto" w:fill="auto"/>
            <w:noWrap/>
            <w:vAlign w:val="center"/>
            <w:hideMark/>
          </w:tcPr>
          <w:p w14:paraId="4439DCF3" w14:textId="77777777" w:rsidR="00E34B98" w:rsidRPr="00E34B98" w:rsidRDefault="00E34B98" w:rsidP="00E34B98">
            <w:pPr>
              <w:jc w:val="cente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Water</w:t>
            </w:r>
          </w:p>
        </w:tc>
        <w:tc>
          <w:tcPr>
            <w:tcW w:w="1267" w:type="dxa"/>
            <w:tcBorders>
              <w:bottom w:val="single" w:sz="4" w:space="0" w:color="auto"/>
            </w:tcBorders>
            <w:shd w:val="clear" w:color="auto" w:fill="auto"/>
            <w:noWrap/>
            <w:vAlign w:val="center"/>
            <w:hideMark/>
          </w:tcPr>
          <w:p w14:paraId="7ADE31C3" w14:textId="77777777" w:rsidR="00E34B98" w:rsidRPr="00E34B98" w:rsidRDefault="00E34B98" w:rsidP="00E34B98">
            <w:pPr>
              <w:jc w:val="cente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Vegetation</w:t>
            </w:r>
          </w:p>
        </w:tc>
        <w:tc>
          <w:tcPr>
            <w:tcW w:w="974" w:type="dxa"/>
            <w:tcBorders>
              <w:bottom w:val="single" w:sz="4" w:space="0" w:color="auto"/>
            </w:tcBorders>
            <w:shd w:val="clear" w:color="auto" w:fill="auto"/>
            <w:noWrap/>
            <w:vAlign w:val="center"/>
            <w:hideMark/>
          </w:tcPr>
          <w:p w14:paraId="3927FDBA" w14:textId="77777777" w:rsidR="00E34B98" w:rsidRPr="00E34B98" w:rsidRDefault="00E34B98" w:rsidP="00E34B98">
            <w:pPr>
              <w:jc w:val="cente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Forest</w:t>
            </w:r>
          </w:p>
        </w:tc>
        <w:tc>
          <w:tcPr>
            <w:tcW w:w="1277" w:type="dxa"/>
            <w:tcBorders>
              <w:bottom w:val="single" w:sz="4" w:space="0" w:color="auto"/>
            </w:tcBorders>
            <w:shd w:val="clear" w:color="auto" w:fill="auto"/>
            <w:noWrap/>
            <w:vAlign w:val="center"/>
            <w:hideMark/>
          </w:tcPr>
          <w:p w14:paraId="4E3D9406" w14:textId="77777777" w:rsidR="00E34B98" w:rsidRPr="00E34B98" w:rsidRDefault="00E34B98" w:rsidP="00E34B98">
            <w:pPr>
              <w:jc w:val="cente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Agriculture</w:t>
            </w:r>
          </w:p>
        </w:tc>
        <w:tc>
          <w:tcPr>
            <w:tcW w:w="1090" w:type="dxa"/>
            <w:tcBorders>
              <w:bottom w:val="single" w:sz="4" w:space="0" w:color="auto"/>
            </w:tcBorders>
            <w:shd w:val="clear" w:color="auto" w:fill="auto"/>
            <w:noWrap/>
            <w:vAlign w:val="center"/>
            <w:hideMark/>
          </w:tcPr>
          <w:p w14:paraId="2B6480A6" w14:textId="77777777" w:rsidR="00E34B98" w:rsidRPr="00E34B98" w:rsidRDefault="00E34B98" w:rsidP="00E34B98">
            <w:pPr>
              <w:jc w:val="cente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Built-up</w:t>
            </w:r>
          </w:p>
        </w:tc>
        <w:tc>
          <w:tcPr>
            <w:tcW w:w="1196" w:type="dxa"/>
            <w:tcBorders>
              <w:bottom w:val="single" w:sz="4" w:space="0" w:color="auto"/>
            </w:tcBorders>
            <w:shd w:val="clear" w:color="auto" w:fill="auto"/>
            <w:noWrap/>
            <w:vAlign w:val="center"/>
            <w:hideMark/>
          </w:tcPr>
          <w:p w14:paraId="49A82B4F" w14:textId="77777777" w:rsidR="00E34B98" w:rsidRPr="00E34B98" w:rsidRDefault="00E34B98" w:rsidP="00E34B98">
            <w:pPr>
              <w:jc w:val="cente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Open Space</w:t>
            </w:r>
          </w:p>
        </w:tc>
      </w:tr>
      <w:tr w:rsidR="00E34B98" w:rsidRPr="00E34B98" w14:paraId="69156BCB" w14:textId="77777777" w:rsidTr="00E34B98">
        <w:trPr>
          <w:trHeight w:val="145"/>
        </w:trPr>
        <w:tc>
          <w:tcPr>
            <w:tcW w:w="975" w:type="dxa"/>
            <w:vMerge/>
            <w:vAlign w:val="center"/>
            <w:hideMark/>
          </w:tcPr>
          <w:p w14:paraId="2DFC9E93" w14:textId="77777777" w:rsidR="00E34B98" w:rsidRPr="00E34B98" w:rsidRDefault="00E34B98" w:rsidP="00E34B98">
            <w:pPr>
              <w:rPr>
                <w:rFonts w:ascii="Calibri" w:hAnsi="Calibri" w:cs="Calibri"/>
                <w:color w:val="000000"/>
                <w:sz w:val="22"/>
                <w:szCs w:val="22"/>
                <w:lang w:val="en-IN" w:eastAsia="en-IN"/>
              </w:rPr>
            </w:pPr>
          </w:p>
        </w:tc>
        <w:tc>
          <w:tcPr>
            <w:tcW w:w="1277" w:type="dxa"/>
            <w:tcBorders>
              <w:top w:val="single" w:sz="4" w:space="0" w:color="auto"/>
            </w:tcBorders>
            <w:shd w:val="clear" w:color="auto" w:fill="auto"/>
            <w:noWrap/>
            <w:vAlign w:val="bottom"/>
            <w:hideMark/>
          </w:tcPr>
          <w:p w14:paraId="4F5C3E2D" w14:textId="77777777" w:rsidR="00E34B98" w:rsidRPr="00E34B98" w:rsidRDefault="00E34B98" w:rsidP="00E34B98">
            <w:pP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Water</w:t>
            </w:r>
          </w:p>
        </w:tc>
        <w:tc>
          <w:tcPr>
            <w:tcW w:w="974" w:type="dxa"/>
            <w:tcBorders>
              <w:top w:val="single" w:sz="4" w:space="0" w:color="auto"/>
            </w:tcBorders>
            <w:shd w:val="clear" w:color="auto" w:fill="auto"/>
            <w:noWrap/>
            <w:vAlign w:val="center"/>
            <w:hideMark/>
          </w:tcPr>
          <w:p w14:paraId="20CA16D9"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8.00168</w:t>
            </w:r>
          </w:p>
        </w:tc>
        <w:tc>
          <w:tcPr>
            <w:tcW w:w="1267" w:type="dxa"/>
            <w:tcBorders>
              <w:top w:val="single" w:sz="4" w:space="0" w:color="auto"/>
            </w:tcBorders>
            <w:shd w:val="clear" w:color="auto" w:fill="auto"/>
            <w:noWrap/>
            <w:vAlign w:val="center"/>
            <w:hideMark/>
          </w:tcPr>
          <w:p w14:paraId="03DB35CA"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1.1196</w:t>
            </w:r>
          </w:p>
        </w:tc>
        <w:tc>
          <w:tcPr>
            <w:tcW w:w="974" w:type="dxa"/>
            <w:tcBorders>
              <w:top w:val="single" w:sz="4" w:space="0" w:color="auto"/>
            </w:tcBorders>
            <w:shd w:val="clear" w:color="auto" w:fill="auto"/>
            <w:noWrap/>
            <w:vAlign w:val="center"/>
            <w:hideMark/>
          </w:tcPr>
          <w:p w14:paraId="0BAB2748"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3.06337</w:t>
            </w:r>
          </w:p>
        </w:tc>
        <w:tc>
          <w:tcPr>
            <w:tcW w:w="1277" w:type="dxa"/>
            <w:tcBorders>
              <w:top w:val="single" w:sz="4" w:space="0" w:color="auto"/>
            </w:tcBorders>
            <w:shd w:val="clear" w:color="auto" w:fill="auto"/>
            <w:noWrap/>
            <w:vAlign w:val="center"/>
            <w:hideMark/>
          </w:tcPr>
          <w:p w14:paraId="400E9EAB"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5.32665</w:t>
            </w:r>
          </w:p>
        </w:tc>
        <w:tc>
          <w:tcPr>
            <w:tcW w:w="1090" w:type="dxa"/>
            <w:tcBorders>
              <w:top w:val="single" w:sz="4" w:space="0" w:color="auto"/>
            </w:tcBorders>
            <w:shd w:val="clear" w:color="auto" w:fill="auto"/>
            <w:noWrap/>
            <w:vAlign w:val="center"/>
            <w:hideMark/>
          </w:tcPr>
          <w:p w14:paraId="0BE9D1BA"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0</w:t>
            </w:r>
          </w:p>
        </w:tc>
        <w:tc>
          <w:tcPr>
            <w:tcW w:w="1196" w:type="dxa"/>
            <w:tcBorders>
              <w:top w:val="single" w:sz="4" w:space="0" w:color="auto"/>
            </w:tcBorders>
            <w:shd w:val="clear" w:color="auto" w:fill="auto"/>
            <w:noWrap/>
            <w:vAlign w:val="center"/>
            <w:hideMark/>
          </w:tcPr>
          <w:p w14:paraId="241F8A9D"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2.58548</w:t>
            </w:r>
          </w:p>
        </w:tc>
      </w:tr>
      <w:tr w:rsidR="00E34B98" w:rsidRPr="00E34B98" w14:paraId="4196F9C7" w14:textId="77777777" w:rsidTr="00E34B98">
        <w:trPr>
          <w:trHeight w:val="145"/>
        </w:trPr>
        <w:tc>
          <w:tcPr>
            <w:tcW w:w="975" w:type="dxa"/>
            <w:vMerge/>
            <w:vAlign w:val="center"/>
            <w:hideMark/>
          </w:tcPr>
          <w:p w14:paraId="75D544E0" w14:textId="77777777" w:rsidR="00E34B98" w:rsidRPr="00E34B98" w:rsidRDefault="00E34B98" w:rsidP="00E34B98">
            <w:pPr>
              <w:rPr>
                <w:rFonts w:ascii="Calibri" w:hAnsi="Calibri" w:cs="Calibri"/>
                <w:color w:val="000000"/>
                <w:sz w:val="22"/>
                <w:szCs w:val="22"/>
                <w:lang w:val="en-IN" w:eastAsia="en-IN"/>
              </w:rPr>
            </w:pPr>
          </w:p>
        </w:tc>
        <w:tc>
          <w:tcPr>
            <w:tcW w:w="1277" w:type="dxa"/>
            <w:shd w:val="clear" w:color="auto" w:fill="auto"/>
            <w:noWrap/>
            <w:vAlign w:val="bottom"/>
            <w:hideMark/>
          </w:tcPr>
          <w:p w14:paraId="11C0486D" w14:textId="77777777" w:rsidR="00E34B98" w:rsidRPr="00E34B98" w:rsidRDefault="00E34B98" w:rsidP="00E34B98">
            <w:pP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Vegetation</w:t>
            </w:r>
          </w:p>
        </w:tc>
        <w:tc>
          <w:tcPr>
            <w:tcW w:w="974" w:type="dxa"/>
            <w:shd w:val="clear" w:color="auto" w:fill="auto"/>
            <w:noWrap/>
            <w:vAlign w:val="center"/>
            <w:hideMark/>
          </w:tcPr>
          <w:p w14:paraId="18A74B9A"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1.01385</w:t>
            </w:r>
          </w:p>
        </w:tc>
        <w:tc>
          <w:tcPr>
            <w:tcW w:w="1267" w:type="dxa"/>
            <w:shd w:val="clear" w:color="auto" w:fill="auto"/>
            <w:noWrap/>
            <w:vAlign w:val="center"/>
            <w:hideMark/>
          </w:tcPr>
          <w:p w14:paraId="650C09CA"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33.1276</w:t>
            </w:r>
          </w:p>
        </w:tc>
        <w:tc>
          <w:tcPr>
            <w:tcW w:w="974" w:type="dxa"/>
            <w:shd w:val="clear" w:color="auto" w:fill="auto"/>
            <w:noWrap/>
            <w:vAlign w:val="center"/>
            <w:hideMark/>
          </w:tcPr>
          <w:p w14:paraId="19E08917"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20.0318</w:t>
            </w:r>
          </w:p>
        </w:tc>
        <w:tc>
          <w:tcPr>
            <w:tcW w:w="1277" w:type="dxa"/>
            <w:shd w:val="clear" w:color="auto" w:fill="auto"/>
            <w:noWrap/>
            <w:vAlign w:val="center"/>
            <w:hideMark/>
          </w:tcPr>
          <w:p w14:paraId="55F7F0C0"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21.0674</w:t>
            </w:r>
          </w:p>
        </w:tc>
        <w:tc>
          <w:tcPr>
            <w:tcW w:w="1090" w:type="dxa"/>
            <w:shd w:val="clear" w:color="auto" w:fill="auto"/>
            <w:noWrap/>
            <w:vAlign w:val="center"/>
            <w:hideMark/>
          </w:tcPr>
          <w:p w14:paraId="23DBD4D6"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0</w:t>
            </w:r>
          </w:p>
        </w:tc>
        <w:tc>
          <w:tcPr>
            <w:tcW w:w="1196" w:type="dxa"/>
            <w:shd w:val="clear" w:color="auto" w:fill="auto"/>
            <w:noWrap/>
            <w:vAlign w:val="center"/>
            <w:hideMark/>
          </w:tcPr>
          <w:p w14:paraId="4380DC79"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26.3754</w:t>
            </w:r>
          </w:p>
        </w:tc>
      </w:tr>
      <w:tr w:rsidR="00E34B98" w:rsidRPr="00E34B98" w14:paraId="27425563" w14:textId="77777777" w:rsidTr="00E34B98">
        <w:trPr>
          <w:trHeight w:val="145"/>
        </w:trPr>
        <w:tc>
          <w:tcPr>
            <w:tcW w:w="975" w:type="dxa"/>
            <w:vMerge/>
            <w:vAlign w:val="center"/>
            <w:hideMark/>
          </w:tcPr>
          <w:p w14:paraId="57F92FBE" w14:textId="77777777" w:rsidR="00E34B98" w:rsidRPr="00E34B98" w:rsidRDefault="00E34B98" w:rsidP="00E34B98">
            <w:pPr>
              <w:rPr>
                <w:rFonts w:ascii="Calibri" w:hAnsi="Calibri" w:cs="Calibri"/>
                <w:color w:val="000000"/>
                <w:sz w:val="22"/>
                <w:szCs w:val="22"/>
                <w:lang w:val="en-IN" w:eastAsia="en-IN"/>
              </w:rPr>
            </w:pPr>
          </w:p>
        </w:tc>
        <w:tc>
          <w:tcPr>
            <w:tcW w:w="1277" w:type="dxa"/>
            <w:shd w:val="clear" w:color="auto" w:fill="auto"/>
            <w:noWrap/>
            <w:vAlign w:val="bottom"/>
            <w:hideMark/>
          </w:tcPr>
          <w:p w14:paraId="0DA96DCF" w14:textId="77777777" w:rsidR="00E34B98" w:rsidRPr="00E34B98" w:rsidRDefault="00E34B98" w:rsidP="00E34B98">
            <w:pP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Forest</w:t>
            </w:r>
          </w:p>
        </w:tc>
        <w:tc>
          <w:tcPr>
            <w:tcW w:w="974" w:type="dxa"/>
            <w:shd w:val="clear" w:color="auto" w:fill="auto"/>
            <w:noWrap/>
            <w:vAlign w:val="center"/>
            <w:hideMark/>
          </w:tcPr>
          <w:p w14:paraId="37E65340"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3.62452</w:t>
            </w:r>
          </w:p>
        </w:tc>
        <w:tc>
          <w:tcPr>
            <w:tcW w:w="1267" w:type="dxa"/>
            <w:shd w:val="clear" w:color="auto" w:fill="auto"/>
            <w:noWrap/>
            <w:vAlign w:val="center"/>
            <w:hideMark/>
          </w:tcPr>
          <w:p w14:paraId="1A1488CE"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53.4064</w:t>
            </w:r>
          </w:p>
        </w:tc>
        <w:tc>
          <w:tcPr>
            <w:tcW w:w="974" w:type="dxa"/>
            <w:shd w:val="clear" w:color="auto" w:fill="auto"/>
            <w:noWrap/>
            <w:vAlign w:val="center"/>
            <w:hideMark/>
          </w:tcPr>
          <w:p w14:paraId="20D11669"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67.0527</w:t>
            </w:r>
          </w:p>
        </w:tc>
        <w:tc>
          <w:tcPr>
            <w:tcW w:w="1277" w:type="dxa"/>
            <w:shd w:val="clear" w:color="auto" w:fill="auto"/>
            <w:noWrap/>
            <w:vAlign w:val="center"/>
            <w:hideMark/>
          </w:tcPr>
          <w:p w14:paraId="1055903E"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61.0402</w:t>
            </w:r>
          </w:p>
        </w:tc>
        <w:tc>
          <w:tcPr>
            <w:tcW w:w="1090" w:type="dxa"/>
            <w:shd w:val="clear" w:color="auto" w:fill="auto"/>
            <w:noWrap/>
            <w:vAlign w:val="center"/>
            <w:hideMark/>
          </w:tcPr>
          <w:p w14:paraId="3D8B42AF"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0</w:t>
            </w:r>
          </w:p>
        </w:tc>
        <w:tc>
          <w:tcPr>
            <w:tcW w:w="1196" w:type="dxa"/>
            <w:shd w:val="clear" w:color="auto" w:fill="auto"/>
            <w:noWrap/>
            <w:vAlign w:val="center"/>
            <w:hideMark/>
          </w:tcPr>
          <w:p w14:paraId="228A1B34"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67.7644</w:t>
            </w:r>
          </w:p>
        </w:tc>
      </w:tr>
      <w:tr w:rsidR="00E34B98" w:rsidRPr="00E34B98" w14:paraId="091AF10F" w14:textId="77777777" w:rsidTr="00E34B98">
        <w:trPr>
          <w:trHeight w:val="145"/>
        </w:trPr>
        <w:tc>
          <w:tcPr>
            <w:tcW w:w="975" w:type="dxa"/>
            <w:vMerge/>
            <w:vAlign w:val="center"/>
            <w:hideMark/>
          </w:tcPr>
          <w:p w14:paraId="36D272FC" w14:textId="77777777" w:rsidR="00E34B98" w:rsidRPr="00E34B98" w:rsidRDefault="00E34B98" w:rsidP="00E34B98">
            <w:pPr>
              <w:rPr>
                <w:rFonts w:ascii="Calibri" w:hAnsi="Calibri" w:cs="Calibri"/>
                <w:color w:val="000000"/>
                <w:sz w:val="22"/>
                <w:szCs w:val="22"/>
                <w:lang w:val="en-IN" w:eastAsia="en-IN"/>
              </w:rPr>
            </w:pPr>
          </w:p>
        </w:tc>
        <w:tc>
          <w:tcPr>
            <w:tcW w:w="1277" w:type="dxa"/>
            <w:shd w:val="clear" w:color="auto" w:fill="auto"/>
            <w:noWrap/>
            <w:vAlign w:val="bottom"/>
            <w:hideMark/>
          </w:tcPr>
          <w:p w14:paraId="4291F3FB" w14:textId="77777777" w:rsidR="00E34B98" w:rsidRPr="00E34B98" w:rsidRDefault="00E34B98" w:rsidP="00E34B98">
            <w:pP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Agriculture</w:t>
            </w:r>
          </w:p>
        </w:tc>
        <w:tc>
          <w:tcPr>
            <w:tcW w:w="974" w:type="dxa"/>
            <w:shd w:val="clear" w:color="auto" w:fill="auto"/>
            <w:noWrap/>
            <w:vAlign w:val="center"/>
            <w:hideMark/>
          </w:tcPr>
          <w:p w14:paraId="7449B421"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2.04098</w:t>
            </w:r>
          </w:p>
        </w:tc>
        <w:tc>
          <w:tcPr>
            <w:tcW w:w="1267" w:type="dxa"/>
            <w:shd w:val="clear" w:color="auto" w:fill="auto"/>
            <w:noWrap/>
            <w:vAlign w:val="center"/>
            <w:hideMark/>
          </w:tcPr>
          <w:p w14:paraId="4A904EEC"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5.64772</w:t>
            </w:r>
          </w:p>
        </w:tc>
        <w:tc>
          <w:tcPr>
            <w:tcW w:w="974" w:type="dxa"/>
            <w:shd w:val="clear" w:color="auto" w:fill="auto"/>
            <w:noWrap/>
            <w:vAlign w:val="center"/>
            <w:hideMark/>
          </w:tcPr>
          <w:p w14:paraId="1D30942B"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12.8047</w:t>
            </w:r>
          </w:p>
        </w:tc>
        <w:tc>
          <w:tcPr>
            <w:tcW w:w="1277" w:type="dxa"/>
            <w:shd w:val="clear" w:color="auto" w:fill="auto"/>
            <w:noWrap/>
            <w:vAlign w:val="center"/>
            <w:hideMark/>
          </w:tcPr>
          <w:p w14:paraId="6BB106B1"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292.392</w:t>
            </w:r>
          </w:p>
        </w:tc>
        <w:tc>
          <w:tcPr>
            <w:tcW w:w="1090" w:type="dxa"/>
            <w:shd w:val="clear" w:color="auto" w:fill="auto"/>
            <w:noWrap/>
            <w:vAlign w:val="center"/>
            <w:hideMark/>
          </w:tcPr>
          <w:p w14:paraId="015AA2AD"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0</w:t>
            </w:r>
          </w:p>
        </w:tc>
        <w:tc>
          <w:tcPr>
            <w:tcW w:w="1196" w:type="dxa"/>
            <w:shd w:val="clear" w:color="auto" w:fill="auto"/>
            <w:noWrap/>
            <w:vAlign w:val="center"/>
            <w:hideMark/>
          </w:tcPr>
          <w:p w14:paraId="0D1F6965"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75.0116</w:t>
            </w:r>
          </w:p>
        </w:tc>
      </w:tr>
      <w:tr w:rsidR="00E34B98" w:rsidRPr="00E34B98" w14:paraId="5E16CA71" w14:textId="77777777" w:rsidTr="00E34B98">
        <w:trPr>
          <w:trHeight w:val="145"/>
        </w:trPr>
        <w:tc>
          <w:tcPr>
            <w:tcW w:w="975" w:type="dxa"/>
            <w:vMerge/>
            <w:vAlign w:val="center"/>
            <w:hideMark/>
          </w:tcPr>
          <w:p w14:paraId="699E6F40" w14:textId="77777777" w:rsidR="00E34B98" w:rsidRPr="00E34B98" w:rsidRDefault="00E34B98" w:rsidP="00E34B98">
            <w:pPr>
              <w:rPr>
                <w:rFonts w:ascii="Calibri" w:hAnsi="Calibri" w:cs="Calibri"/>
                <w:color w:val="000000"/>
                <w:sz w:val="22"/>
                <w:szCs w:val="22"/>
                <w:lang w:val="en-IN" w:eastAsia="en-IN"/>
              </w:rPr>
            </w:pPr>
          </w:p>
        </w:tc>
        <w:tc>
          <w:tcPr>
            <w:tcW w:w="1277" w:type="dxa"/>
            <w:shd w:val="clear" w:color="auto" w:fill="auto"/>
            <w:noWrap/>
            <w:vAlign w:val="bottom"/>
            <w:hideMark/>
          </w:tcPr>
          <w:p w14:paraId="7E1EE58B" w14:textId="77777777" w:rsidR="00E34B98" w:rsidRPr="00E34B98" w:rsidRDefault="00E34B98" w:rsidP="00E34B98">
            <w:pP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Built-up</w:t>
            </w:r>
          </w:p>
        </w:tc>
        <w:tc>
          <w:tcPr>
            <w:tcW w:w="974" w:type="dxa"/>
            <w:shd w:val="clear" w:color="auto" w:fill="auto"/>
            <w:noWrap/>
            <w:vAlign w:val="center"/>
            <w:hideMark/>
          </w:tcPr>
          <w:p w14:paraId="0258EE40"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2.10713</w:t>
            </w:r>
          </w:p>
        </w:tc>
        <w:tc>
          <w:tcPr>
            <w:tcW w:w="1267" w:type="dxa"/>
            <w:shd w:val="clear" w:color="auto" w:fill="auto"/>
            <w:noWrap/>
            <w:vAlign w:val="center"/>
            <w:hideMark/>
          </w:tcPr>
          <w:p w14:paraId="28B8BE54"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80.4314</w:t>
            </w:r>
          </w:p>
        </w:tc>
        <w:tc>
          <w:tcPr>
            <w:tcW w:w="974" w:type="dxa"/>
            <w:shd w:val="clear" w:color="auto" w:fill="auto"/>
            <w:noWrap/>
            <w:vAlign w:val="center"/>
            <w:hideMark/>
          </w:tcPr>
          <w:p w14:paraId="526A7562"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40.3259</w:t>
            </w:r>
          </w:p>
        </w:tc>
        <w:tc>
          <w:tcPr>
            <w:tcW w:w="1277" w:type="dxa"/>
            <w:shd w:val="clear" w:color="auto" w:fill="auto"/>
            <w:noWrap/>
            <w:vAlign w:val="center"/>
            <w:hideMark/>
          </w:tcPr>
          <w:p w14:paraId="59260B6A"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91.3126</w:t>
            </w:r>
          </w:p>
        </w:tc>
        <w:tc>
          <w:tcPr>
            <w:tcW w:w="1090" w:type="dxa"/>
            <w:shd w:val="clear" w:color="auto" w:fill="auto"/>
            <w:noWrap/>
            <w:vAlign w:val="center"/>
            <w:hideMark/>
          </w:tcPr>
          <w:p w14:paraId="2390C10B"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259.5928</w:t>
            </w:r>
          </w:p>
        </w:tc>
        <w:tc>
          <w:tcPr>
            <w:tcW w:w="1196" w:type="dxa"/>
            <w:shd w:val="clear" w:color="auto" w:fill="auto"/>
            <w:noWrap/>
            <w:vAlign w:val="center"/>
            <w:hideMark/>
          </w:tcPr>
          <w:p w14:paraId="034A8D2E"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130.468</w:t>
            </w:r>
          </w:p>
        </w:tc>
      </w:tr>
      <w:tr w:rsidR="00E34B98" w:rsidRPr="00E34B98" w14:paraId="250D812F" w14:textId="77777777" w:rsidTr="00E34B98">
        <w:trPr>
          <w:trHeight w:val="145"/>
        </w:trPr>
        <w:tc>
          <w:tcPr>
            <w:tcW w:w="975" w:type="dxa"/>
            <w:vMerge/>
            <w:vAlign w:val="center"/>
            <w:hideMark/>
          </w:tcPr>
          <w:p w14:paraId="2B613BC1" w14:textId="77777777" w:rsidR="00E34B98" w:rsidRPr="00E34B98" w:rsidRDefault="00E34B98" w:rsidP="00E34B98">
            <w:pPr>
              <w:rPr>
                <w:rFonts w:ascii="Calibri" w:hAnsi="Calibri" w:cs="Calibri"/>
                <w:color w:val="000000"/>
                <w:sz w:val="22"/>
                <w:szCs w:val="22"/>
                <w:lang w:val="en-IN" w:eastAsia="en-IN"/>
              </w:rPr>
            </w:pPr>
          </w:p>
        </w:tc>
        <w:tc>
          <w:tcPr>
            <w:tcW w:w="1277" w:type="dxa"/>
            <w:tcBorders>
              <w:bottom w:val="single" w:sz="4" w:space="0" w:color="auto"/>
            </w:tcBorders>
            <w:shd w:val="clear" w:color="auto" w:fill="auto"/>
            <w:noWrap/>
            <w:vAlign w:val="bottom"/>
            <w:hideMark/>
          </w:tcPr>
          <w:p w14:paraId="4C3E1867" w14:textId="77777777" w:rsidR="00E34B98" w:rsidRPr="00E34B98" w:rsidRDefault="00E34B98" w:rsidP="00E34B98">
            <w:pPr>
              <w:rPr>
                <w:rFonts w:ascii="Calibri" w:hAnsi="Calibri" w:cs="Calibri"/>
                <w:b/>
                <w:bCs/>
                <w:color w:val="000000"/>
                <w:sz w:val="22"/>
                <w:szCs w:val="22"/>
                <w:lang w:val="en-IN" w:eastAsia="en-IN"/>
              </w:rPr>
            </w:pPr>
            <w:r w:rsidRPr="00E34B98">
              <w:rPr>
                <w:rFonts w:ascii="Calibri" w:hAnsi="Calibri" w:cs="Calibri"/>
                <w:b/>
                <w:bCs/>
                <w:color w:val="000000"/>
                <w:sz w:val="22"/>
                <w:szCs w:val="22"/>
                <w:lang w:val="en-IN" w:eastAsia="en-IN"/>
              </w:rPr>
              <w:t>Open Space</w:t>
            </w:r>
          </w:p>
        </w:tc>
        <w:tc>
          <w:tcPr>
            <w:tcW w:w="974" w:type="dxa"/>
            <w:tcBorders>
              <w:bottom w:val="single" w:sz="4" w:space="0" w:color="auto"/>
            </w:tcBorders>
            <w:shd w:val="clear" w:color="auto" w:fill="auto"/>
            <w:noWrap/>
            <w:vAlign w:val="center"/>
            <w:hideMark/>
          </w:tcPr>
          <w:p w14:paraId="053B1797"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1.05908</w:t>
            </w:r>
          </w:p>
        </w:tc>
        <w:tc>
          <w:tcPr>
            <w:tcW w:w="1267" w:type="dxa"/>
            <w:tcBorders>
              <w:bottom w:val="single" w:sz="4" w:space="0" w:color="auto"/>
            </w:tcBorders>
            <w:shd w:val="clear" w:color="auto" w:fill="auto"/>
            <w:noWrap/>
            <w:vAlign w:val="center"/>
            <w:hideMark/>
          </w:tcPr>
          <w:p w14:paraId="4704AC1C"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20.1362</w:t>
            </w:r>
          </w:p>
        </w:tc>
        <w:tc>
          <w:tcPr>
            <w:tcW w:w="974" w:type="dxa"/>
            <w:tcBorders>
              <w:bottom w:val="single" w:sz="4" w:space="0" w:color="auto"/>
            </w:tcBorders>
            <w:shd w:val="clear" w:color="auto" w:fill="auto"/>
            <w:noWrap/>
            <w:vAlign w:val="center"/>
            <w:hideMark/>
          </w:tcPr>
          <w:p w14:paraId="194B871D"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12.193</w:t>
            </w:r>
          </w:p>
        </w:tc>
        <w:tc>
          <w:tcPr>
            <w:tcW w:w="1277" w:type="dxa"/>
            <w:tcBorders>
              <w:bottom w:val="single" w:sz="4" w:space="0" w:color="auto"/>
            </w:tcBorders>
            <w:shd w:val="clear" w:color="auto" w:fill="auto"/>
            <w:noWrap/>
            <w:vAlign w:val="center"/>
            <w:hideMark/>
          </w:tcPr>
          <w:p w14:paraId="018B2E51"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50.0573</w:t>
            </w:r>
          </w:p>
        </w:tc>
        <w:tc>
          <w:tcPr>
            <w:tcW w:w="1090" w:type="dxa"/>
            <w:tcBorders>
              <w:bottom w:val="single" w:sz="4" w:space="0" w:color="auto"/>
            </w:tcBorders>
            <w:shd w:val="clear" w:color="auto" w:fill="auto"/>
            <w:noWrap/>
            <w:vAlign w:val="center"/>
            <w:hideMark/>
          </w:tcPr>
          <w:p w14:paraId="537C978A"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0</w:t>
            </w:r>
          </w:p>
        </w:tc>
        <w:tc>
          <w:tcPr>
            <w:tcW w:w="1196" w:type="dxa"/>
            <w:tcBorders>
              <w:bottom w:val="single" w:sz="4" w:space="0" w:color="auto"/>
            </w:tcBorders>
            <w:shd w:val="clear" w:color="auto" w:fill="auto"/>
            <w:noWrap/>
            <w:vAlign w:val="center"/>
            <w:hideMark/>
          </w:tcPr>
          <w:p w14:paraId="6DCE7939" w14:textId="77777777" w:rsidR="00E34B98" w:rsidRPr="00E34B98" w:rsidRDefault="00E34B98" w:rsidP="00E34B98">
            <w:pPr>
              <w:jc w:val="center"/>
              <w:rPr>
                <w:rFonts w:ascii="Calibri" w:hAnsi="Calibri" w:cs="Calibri"/>
                <w:color w:val="000000"/>
                <w:sz w:val="22"/>
                <w:szCs w:val="22"/>
                <w:lang w:val="en-IN" w:eastAsia="en-IN"/>
              </w:rPr>
            </w:pPr>
            <w:r w:rsidRPr="00E34B98">
              <w:rPr>
                <w:rFonts w:ascii="Calibri" w:hAnsi="Calibri" w:cs="Calibri"/>
                <w:color w:val="000000"/>
                <w:sz w:val="22"/>
                <w:szCs w:val="22"/>
                <w:lang w:val="en-IN" w:eastAsia="en-IN"/>
              </w:rPr>
              <w:t>50.6891</w:t>
            </w:r>
          </w:p>
        </w:tc>
      </w:tr>
    </w:tbl>
    <w:p w14:paraId="1323E090" w14:textId="1CFA3420" w:rsidR="0070241A" w:rsidRDefault="0070241A" w:rsidP="00441B6F">
      <w:pPr>
        <w:pStyle w:val="Body"/>
        <w:spacing w:after="0"/>
        <w:rPr>
          <w:rFonts w:ascii="Arial" w:hAnsi="Arial" w:cs="Arial"/>
        </w:rPr>
      </w:pPr>
    </w:p>
    <w:p w14:paraId="0D9AD4B1" w14:textId="6B58754D" w:rsidR="001E06D8" w:rsidRDefault="001E06D8" w:rsidP="001E06D8">
      <w:pPr>
        <w:pStyle w:val="Body"/>
        <w:spacing w:before="240"/>
        <w:rPr>
          <w:rFonts w:ascii="Arial" w:hAnsi="Arial" w:cs="Arial"/>
          <w:b/>
          <w:caps/>
          <w:sz w:val="22"/>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000B7755" w:rsidRPr="000B7755">
        <w:rPr>
          <w:rFonts w:ascii="Arial" w:hAnsi="Arial" w:cs="Arial"/>
          <w:b/>
          <w:caps/>
          <w:sz w:val="22"/>
        </w:rPr>
        <w:t xml:space="preserve">Green Space Changes in Landscape Patterns </w:t>
      </w:r>
      <w:r>
        <w:rPr>
          <w:rFonts w:ascii="Arial" w:hAnsi="Arial" w:cs="Arial"/>
          <w:b/>
          <w:caps/>
          <w:sz w:val="22"/>
        </w:rPr>
        <w:t>(1991-2021)</w:t>
      </w:r>
    </w:p>
    <w:p w14:paraId="2B55AD87" w14:textId="1A6226BA" w:rsidR="00702849" w:rsidRPr="00702849" w:rsidRDefault="00702849" w:rsidP="00702849">
      <w:pPr>
        <w:pStyle w:val="Body"/>
        <w:rPr>
          <w:rFonts w:ascii="Arial" w:hAnsi="Arial" w:cs="Arial"/>
        </w:rPr>
      </w:pPr>
      <w:r>
        <w:rPr>
          <w:rFonts w:ascii="Arial" w:hAnsi="Arial" w:cs="Arial"/>
        </w:rPr>
        <w:t>W</w:t>
      </w:r>
      <w:r w:rsidRPr="00702849">
        <w:rPr>
          <w:rFonts w:ascii="Arial" w:hAnsi="Arial" w:cs="Arial"/>
        </w:rPr>
        <w:t xml:space="preserve">e applied </w:t>
      </w:r>
      <w:proofErr w:type="spellStart"/>
      <w:r w:rsidRPr="00702849">
        <w:rPr>
          <w:rFonts w:ascii="Arial" w:hAnsi="Arial" w:cs="Arial"/>
        </w:rPr>
        <w:t>Fragstats</w:t>
      </w:r>
      <w:proofErr w:type="spellEnd"/>
      <w:r w:rsidRPr="00702849">
        <w:rPr>
          <w:rFonts w:ascii="Arial" w:hAnsi="Arial" w:cs="Arial"/>
        </w:rPr>
        <w:t xml:space="preserve"> 4.2 to </w:t>
      </w:r>
      <w:r w:rsidR="00127F88" w:rsidRPr="00702849">
        <w:rPr>
          <w:rFonts w:ascii="Arial" w:hAnsi="Arial" w:cs="Arial"/>
        </w:rPr>
        <w:t>calculate</w:t>
      </w:r>
      <w:r w:rsidRPr="00702849">
        <w:rPr>
          <w:rFonts w:ascii="Arial" w:hAnsi="Arial" w:cs="Arial"/>
        </w:rPr>
        <w:t xml:space="preserve"> the landscape-level metrics of the </w:t>
      </w:r>
      <w:r w:rsidR="00C92644">
        <w:rPr>
          <w:rFonts w:ascii="Arial" w:hAnsi="Arial" w:cs="Arial"/>
        </w:rPr>
        <w:t>green space</w:t>
      </w:r>
      <w:r w:rsidRPr="00702849">
        <w:rPr>
          <w:rFonts w:ascii="Arial" w:hAnsi="Arial" w:cs="Arial"/>
        </w:rPr>
        <w:t xml:space="preserve"> landscape, that is, </w:t>
      </w:r>
      <w:r>
        <w:rPr>
          <w:rFonts w:ascii="Arial" w:hAnsi="Arial" w:cs="Arial"/>
        </w:rPr>
        <w:t>three</w:t>
      </w:r>
      <w:r w:rsidRPr="00702849">
        <w:rPr>
          <w:rFonts w:ascii="Arial" w:hAnsi="Arial" w:cs="Arial"/>
        </w:rPr>
        <w:t xml:space="preserve"> land -</w:t>
      </w:r>
      <w:r w:rsidR="00E66F0A">
        <w:rPr>
          <w:rFonts w:ascii="Arial" w:hAnsi="Arial" w:cs="Arial"/>
        </w:rPr>
        <w:t xml:space="preserve"> </w:t>
      </w:r>
      <w:r w:rsidRPr="00702849">
        <w:rPr>
          <w:rFonts w:ascii="Arial" w:hAnsi="Arial" w:cs="Arial"/>
        </w:rPr>
        <w:t xml:space="preserve">use types (Vegetation, forest, </w:t>
      </w:r>
      <w:r>
        <w:rPr>
          <w:rFonts w:ascii="Arial" w:hAnsi="Arial" w:cs="Arial"/>
        </w:rPr>
        <w:t xml:space="preserve">and </w:t>
      </w:r>
      <w:r w:rsidRPr="00702849">
        <w:rPr>
          <w:rFonts w:ascii="Arial" w:hAnsi="Arial" w:cs="Arial"/>
        </w:rPr>
        <w:t>Agriculture)</w:t>
      </w:r>
      <w:r>
        <w:rPr>
          <w:rFonts w:ascii="Arial" w:hAnsi="Arial" w:cs="Arial"/>
        </w:rPr>
        <w:t xml:space="preserve">. </w:t>
      </w:r>
      <w:r w:rsidRPr="00702849">
        <w:rPr>
          <w:rFonts w:ascii="Arial" w:hAnsi="Arial" w:cs="Arial"/>
        </w:rPr>
        <w:t>The temporal analysis of landscape metrics</w:t>
      </w:r>
      <w:r w:rsidR="006026F0">
        <w:rPr>
          <w:rFonts w:ascii="Arial" w:hAnsi="Arial" w:cs="Arial"/>
        </w:rPr>
        <w:t xml:space="preserve"> </w:t>
      </w:r>
      <w:r w:rsidRPr="00702849">
        <w:rPr>
          <w:rFonts w:ascii="Arial" w:hAnsi="Arial" w:cs="Arial"/>
        </w:rPr>
        <w:t>CONTAG</w:t>
      </w:r>
      <w:r w:rsidR="00C92644">
        <w:rPr>
          <w:rFonts w:ascii="Arial" w:hAnsi="Arial" w:cs="Arial"/>
        </w:rPr>
        <w:t xml:space="preserve"> </w:t>
      </w:r>
      <w:r w:rsidR="00127F88">
        <w:rPr>
          <w:rFonts w:ascii="Arial" w:hAnsi="Arial" w:cs="Arial"/>
        </w:rPr>
        <w:t xml:space="preserve">in </w:t>
      </w:r>
      <w:r w:rsidR="00127F88" w:rsidRPr="00702849">
        <w:rPr>
          <w:rFonts w:ascii="Arial" w:hAnsi="Arial" w:cs="Arial"/>
        </w:rPr>
        <w:t>(</w:t>
      </w:r>
      <w:r w:rsidRPr="00702849">
        <w:rPr>
          <w:rFonts w:ascii="Arial" w:hAnsi="Arial" w:cs="Arial"/>
        </w:rPr>
        <w:t>%), SHDI, and SHEI</w:t>
      </w:r>
      <w:r w:rsidR="006026F0">
        <w:rPr>
          <w:rFonts w:ascii="Arial" w:hAnsi="Arial" w:cs="Arial"/>
        </w:rPr>
        <w:t xml:space="preserve"> </w:t>
      </w:r>
      <w:r w:rsidRPr="00702849">
        <w:rPr>
          <w:rFonts w:ascii="Arial" w:hAnsi="Arial" w:cs="Arial"/>
        </w:rPr>
        <w:t>from 1991 to 2021 reveals significant shifts in the spatial configuration and composition of the landscape, likely driven by rapid urbanization and land use transformation. The CONTAG index</w:t>
      </w:r>
      <w:r w:rsidR="00E66F0A">
        <w:rPr>
          <w:rFonts w:ascii="Arial" w:hAnsi="Arial" w:cs="Arial"/>
        </w:rPr>
        <w:t xml:space="preserve"> as shown in fig 7 (a)</w:t>
      </w:r>
      <w:r w:rsidRPr="00702849">
        <w:rPr>
          <w:rFonts w:ascii="Arial" w:hAnsi="Arial" w:cs="Arial"/>
        </w:rPr>
        <w:t xml:space="preserve">, which measures the degree of clumping or aggregation of similar land cover types, shows a moderate increasing trend over the </w:t>
      </w:r>
      <w:r w:rsidR="006D54CD" w:rsidRPr="006D54CD">
        <w:rPr>
          <w:rFonts w:ascii="Arial" w:hAnsi="Arial" w:cs="Arial"/>
        </w:rPr>
        <w:t xml:space="preserve">three decades (1991–2021) </w:t>
      </w:r>
      <w:r w:rsidRPr="00702849">
        <w:rPr>
          <w:rFonts w:ascii="Arial" w:hAnsi="Arial" w:cs="Arial"/>
        </w:rPr>
        <w:t>(R² = 0.63). This suggests that the landscape has become more spatially aggregated, potentially due to the expansion and consolidation of built-up areas. As urban infrastructure such as residential, commercial, and industrial zones expanded, formerly fragmented patches of green and agricultural land were replaced by more continuous urban surfaces</w:t>
      </w:r>
      <w:r w:rsidR="00D047CB">
        <w:rPr>
          <w:rFonts w:ascii="Arial" w:hAnsi="Arial" w:cs="Arial"/>
        </w:rPr>
        <w:t xml:space="preserve"> </w:t>
      </w:r>
      <w:r w:rsidR="00D047CB" w:rsidRPr="00D047CB">
        <w:rPr>
          <w:rFonts w:ascii="Arial" w:hAnsi="Arial" w:cs="Arial"/>
          <w:b/>
          <w:bCs/>
        </w:rPr>
        <w:fldChar w:fldCharType="begin"/>
      </w:r>
      <w:r w:rsidR="00D047CB" w:rsidRPr="00D047CB">
        <w:rPr>
          <w:rFonts w:ascii="Arial" w:hAnsi="Arial" w:cs="Arial"/>
          <w:b/>
          <w:bCs/>
        </w:rPr>
        <w:instrText xml:space="preserve"> ADDIN ZOTERO_ITEM CSL_CITATION {"citationID":"md3KXO87","properties":{"formattedCitation":"(La Rosa, 2014)","plainCitation":"(La Rosa, 2014)","noteIndex":0},"citationItems":[{"id":956,"uris":["http://zotero.org/users/local/l98j9GEk/items/WNSVHHXE"],"itemData":{"id":956,"type":"article-journal","abstract":"The issue of accessibility to urban greenspaces is raising as one of the most debated in sustainable urban planning, especially in topics such as environmental justice and health inequalities. This is mainly due to the growing attention that is recognised today to health and well-being benefits from greenspaces. Different people interpret accessibility based on their individual needs and priorities, but it is generally acknowledged that access to greenspaces may be particularly beneficial for children, lower socioeconomic groups and for people with other mental/psychological illness. However, if accessibility is the measure of the ease of reaching valued destinations, clarifying its definition is an important pre-requisite for further analysis aimed at supporting urban planning choices on greenspaces. The following paper presents a set of accessibility indicators aimed at quantifying different measures of accessibility to existing open spaces for the city of Catania, south Italy, an urban context characterised by a general lack of greenspaces and high density of urban settlements. Proposed indicators are divided into two main categories: simple distance indicators (SIs) and proximity indicators (PIs). The first accounts for the number of people or users that can have access to a particular open space, while the second weights these people or users with the distance from their location to the open spaces. Indicators are calculated using different thresholds of Euclidean and network distances. Results show different scenarios in terms of rank of greenspaces accessibility, strongly influenced by chosen distance metric (Euclidean vs network) and thus emphasise a careful use of these indicators as planning support tools. Some practical implications of measuring accessibility for urban planning can be highlighted: for instance, specific land uses might be chosen for highly accessible open spaces, especially those characterised by a high proximity to residential settlements. Examples include allotment gardens, playgrounds and other informal green areas.","collection-title":"Contemporary concepts and novel methods fostering indicator-based approach to urban complexities","container-title":"Ecological Indicators","DOI":"10.1016/j.ecolind.2013.11.011","ISSN":"1470-160X","journalAbbreviation":"Ecological Indicators","page":"122-134","source":"ScienceDirect","title":"Accessibility to greenspaces: GIS based indicators for sustainable planning in a dense urban context","title-short":"Accessibility to greenspaces","volume":"42","author":[{"family":"La Rosa","given":"Daniele"}],"issued":{"date-parts":[["2014",7,1]]}}}],"schema":"https://github.com/citation-style-language/schema/raw/master/csl-citation.json"} </w:instrText>
      </w:r>
      <w:r w:rsidR="00D047CB" w:rsidRPr="00D047CB">
        <w:rPr>
          <w:rFonts w:ascii="Arial" w:hAnsi="Arial" w:cs="Arial"/>
          <w:b/>
          <w:bCs/>
        </w:rPr>
        <w:fldChar w:fldCharType="separate"/>
      </w:r>
      <w:r w:rsidR="00D047CB" w:rsidRPr="00D047CB">
        <w:rPr>
          <w:rFonts w:ascii="Arial" w:hAnsi="Arial" w:cs="Arial"/>
          <w:b/>
          <w:bCs/>
        </w:rPr>
        <w:t>(La Rosa, 2014)</w:t>
      </w:r>
      <w:r w:rsidR="00D047CB" w:rsidRPr="00D047CB">
        <w:rPr>
          <w:rFonts w:ascii="Arial" w:hAnsi="Arial" w:cs="Arial"/>
          <w:b/>
          <w:bCs/>
        </w:rPr>
        <w:fldChar w:fldCharType="end"/>
      </w:r>
      <w:r w:rsidRPr="00702849">
        <w:rPr>
          <w:rFonts w:ascii="Arial" w:hAnsi="Arial" w:cs="Arial"/>
        </w:rPr>
        <w:t>. This pattern aligns with observed urban sprawl and centralized urban development strategies adopted in many parts of the National Capital Territory (NCT) of Delhi.</w:t>
      </w:r>
      <w:r w:rsidR="006026F0">
        <w:rPr>
          <w:rFonts w:ascii="Arial" w:hAnsi="Arial" w:cs="Arial"/>
        </w:rPr>
        <w:t xml:space="preserve"> </w:t>
      </w:r>
      <w:r w:rsidRPr="00702849">
        <w:rPr>
          <w:rFonts w:ascii="Arial" w:hAnsi="Arial" w:cs="Arial"/>
        </w:rPr>
        <w:t>In contrast, the Shannon’s Diversity Index (SHDI),</w:t>
      </w:r>
      <w:r w:rsidR="00E66F0A">
        <w:rPr>
          <w:rFonts w:ascii="Arial" w:hAnsi="Arial" w:cs="Arial"/>
        </w:rPr>
        <w:t xml:space="preserve"> shown in fig 7 (b)</w:t>
      </w:r>
      <w:r w:rsidRPr="00702849">
        <w:rPr>
          <w:rFonts w:ascii="Arial" w:hAnsi="Arial" w:cs="Arial"/>
        </w:rPr>
        <w:t xml:space="preserve"> which captures the richness and distribution of different land cover types, shows a mild but consistent decline (R² = 0.42). This indicates a reduction in the heterogeneity of the landscape, where a few dominant land use categories</w:t>
      </w:r>
      <w:r w:rsidR="006026F0">
        <w:rPr>
          <w:rFonts w:ascii="Arial" w:hAnsi="Arial" w:cs="Arial"/>
        </w:rPr>
        <w:t xml:space="preserve"> </w:t>
      </w:r>
      <w:r w:rsidRPr="00702849">
        <w:rPr>
          <w:rFonts w:ascii="Arial" w:hAnsi="Arial" w:cs="Arial"/>
        </w:rPr>
        <w:t>most likely urban or built-up classes</w:t>
      </w:r>
      <w:r w:rsidR="006026F0">
        <w:rPr>
          <w:rFonts w:ascii="Arial" w:hAnsi="Arial" w:cs="Arial"/>
        </w:rPr>
        <w:t xml:space="preserve"> </w:t>
      </w:r>
      <w:r w:rsidRPr="00702849">
        <w:rPr>
          <w:rFonts w:ascii="Arial" w:hAnsi="Arial" w:cs="Arial"/>
        </w:rPr>
        <w:t>have increasingly overshadowed others such as vegetation, agriculture, and water bodies. This loss of diversity reflects a homogenizing landscape, a common consequence of unregulated urban expansion that diminishes ecological variety and reduces the adaptive capacity of urban ecosystems.</w:t>
      </w:r>
      <w:r w:rsidR="006026F0">
        <w:rPr>
          <w:rFonts w:ascii="Arial" w:hAnsi="Arial" w:cs="Arial"/>
        </w:rPr>
        <w:t xml:space="preserve"> </w:t>
      </w:r>
      <w:r w:rsidRPr="00702849">
        <w:rPr>
          <w:rFonts w:ascii="Arial" w:hAnsi="Arial" w:cs="Arial"/>
        </w:rPr>
        <w:t>Similarly, the Shannon’s Evenness Index (SHEI),</w:t>
      </w:r>
      <w:r w:rsidR="00E66F0A">
        <w:rPr>
          <w:rFonts w:ascii="Arial" w:hAnsi="Arial" w:cs="Arial"/>
        </w:rPr>
        <w:t xml:space="preserve"> in fig 7 (c)</w:t>
      </w:r>
      <w:r w:rsidRPr="00702849">
        <w:rPr>
          <w:rFonts w:ascii="Arial" w:hAnsi="Arial" w:cs="Arial"/>
        </w:rPr>
        <w:t xml:space="preserve"> quantifies the uniformity in the distribution of land cover categories, also displays a declining trend (R² = 0.36). This suggests a growing imbalance in the landscape structure, where certain classes are becoming disproportionately dominant. The reduction in evenness is likely a result of disproportionate land conversion into urban or impervious surfaces, with little attention given to maintaining equilibrium across different land cover types. The dominance of built-up areas at the expense of ecological land uses such as open spaces and vegetation patches poses serious concerns for landscape sustainability, biodiversity conservation, and environmental resilience</w:t>
      </w:r>
      <w:r w:rsidR="00520F4A">
        <w:rPr>
          <w:rFonts w:ascii="Arial" w:hAnsi="Arial" w:cs="Arial"/>
        </w:rPr>
        <w:t xml:space="preserve"> </w:t>
      </w:r>
      <w:r w:rsidR="00520F4A" w:rsidRPr="00520F4A">
        <w:rPr>
          <w:rFonts w:ascii="Arial" w:hAnsi="Arial" w:cs="Arial"/>
          <w:b/>
          <w:bCs/>
        </w:rPr>
        <w:fldChar w:fldCharType="begin"/>
      </w:r>
      <w:r w:rsidR="00520F4A" w:rsidRPr="00520F4A">
        <w:rPr>
          <w:rFonts w:ascii="Arial" w:hAnsi="Arial" w:cs="Arial"/>
          <w:b/>
          <w:bCs/>
        </w:rPr>
        <w:instrText xml:space="preserve"> ADDIN ZOTERO_ITEM CSL_CITATION {"citationID":"bbRYl08y","properties":{"formattedCitation":"(D. Wang &amp; Xu, 2024)","plainCitation":"(D. Wang &amp; Xu, 2024)","noteIndex":0},"citationItems":[{"id":1401,"uris":["http://zotero.org/users/local/l98j9GEk/items/AU8IGSIE"],"itemData":{"id":1401,"type":"article-journal","container-title":"Frontiers in Ecology and Evolution","DOI":"10.3389/fevo.2024.1440477","ISSN":"2296-701X","journalAbbreviation":"Front. Ecol. Evol.","language":"English","note":"publisher: Frontiers","page":"1440477","source":"www.frontiersin.org","title":"Urban green infrastructure: bridging biodiversity conservation and sustainable urban development through adaptive management approach","title-short":"Urban green infrastructure","volume":"12","author":[{"family":"Wang","given":"Dong"},{"family":"Xu","given":"Pei-Yuan"}],"issued":{"date-parts":[["2024",8,1]]}}}],"schema":"https://github.com/citation-style-language/schema/raw/master/csl-citation.json"} </w:instrText>
      </w:r>
      <w:r w:rsidR="00520F4A" w:rsidRPr="00520F4A">
        <w:rPr>
          <w:rFonts w:ascii="Arial" w:hAnsi="Arial" w:cs="Arial"/>
          <w:b/>
          <w:bCs/>
        </w:rPr>
        <w:fldChar w:fldCharType="separate"/>
      </w:r>
      <w:r w:rsidR="00520F4A" w:rsidRPr="00520F4A">
        <w:rPr>
          <w:rFonts w:ascii="Arial" w:hAnsi="Arial" w:cs="Arial"/>
          <w:b/>
          <w:bCs/>
        </w:rPr>
        <w:t>(D. Wang &amp; Xu, 2024)</w:t>
      </w:r>
      <w:r w:rsidR="00520F4A" w:rsidRPr="00520F4A">
        <w:rPr>
          <w:rFonts w:ascii="Arial" w:hAnsi="Arial" w:cs="Arial"/>
          <w:b/>
          <w:bCs/>
        </w:rPr>
        <w:fldChar w:fldCharType="end"/>
      </w:r>
      <w:r w:rsidRPr="00520F4A">
        <w:rPr>
          <w:rFonts w:ascii="Arial" w:hAnsi="Arial" w:cs="Arial"/>
          <w:b/>
          <w:bCs/>
        </w:rPr>
        <w:t>.</w:t>
      </w:r>
      <w:r w:rsidR="006026F0">
        <w:rPr>
          <w:rFonts w:ascii="Arial" w:hAnsi="Arial" w:cs="Arial"/>
        </w:rPr>
        <w:t xml:space="preserve"> </w:t>
      </w:r>
      <w:r w:rsidRPr="00702849">
        <w:rPr>
          <w:rFonts w:ascii="Arial" w:hAnsi="Arial" w:cs="Arial"/>
        </w:rPr>
        <w:t>Collectively, these trends highlight a progressive shift towards landscape homogenization, reduced ecological diversity, and increased spatial dominance of urban land cover types. The findings underscore the urgent need for integrated land use planning and policy interventions that prioritize the preservation of landscape heterogeneity and spatial balance. Maintaining a diverse and evenly distributed landscape is essential for enhancing ecosystem services, mitigating urban heat island effects, and promoting long-term urban sustainability.</w:t>
      </w:r>
    </w:p>
    <w:p w14:paraId="35E87D5E" w14:textId="77777777" w:rsidR="000E0CA3" w:rsidRDefault="000E0CA3" w:rsidP="000E0CA3">
      <w:pPr>
        <w:pStyle w:val="Body"/>
        <w:spacing w:before="240" w:after="0"/>
        <w:rPr>
          <w:rFonts w:ascii="Arial" w:hAnsi="Arial" w:cs="Arial"/>
        </w:rPr>
      </w:pPr>
    </w:p>
    <w:p w14:paraId="7CEA2383" w14:textId="7EA6E348" w:rsidR="00B20C0A" w:rsidRDefault="000E0CA3" w:rsidP="000E0CA3">
      <w:pPr>
        <w:pStyle w:val="Body"/>
        <w:spacing w:before="240" w:after="0"/>
        <w:rPr>
          <w:rFonts w:ascii="Arial" w:hAnsi="Arial" w:cs="Arial"/>
        </w:rPr>
      </w:pPr>
      <w:r w:rsidRPr="00127F88">
        <w:rPr>
          <w:rFonts w:ascii="Arial" w:hAnsi="Arial" w:cs="Arial"/>
          <w:b/>
          <w:bCs/>
          <w:noProof/>
        </w:rPr>
        <w:lastRenderedPageBreak/>
        <w:drawing>
          <wp:anchor distT="0" distB="0" distL="114300" distR="114300" simplePos="0" relativeHeight="251656192" behindDoc="0" locked="0" layoutInCell="1" allowOverlap="1" wp14:anchorId="3672C8B5" wp14:editId="3488F351">
            <wp:simplePos x="0" y="0"/>
            <wp:positionH relativeFrom="column">
              <wp:posOffset>-10160</wp:posOffset>
            </wp:positionH>
            <wp:positionV relativeFrom="paragraph">
              <wp:posOffset>114300</wp:posOffset>
            </wp:positionV>
            <wp:extent cx="5212080" cy="1718945"/>
            <wp:effectExtent l="19050" t="19050" r="7620" b="0"/>
            <wp:wrapThrough wrapText="bothSides">
              <wp:wrapPolygon edited="0">
                <wp:start x="-79" y="-239"/>
                <wp:lineTo x="-79" y="21544"/>
                <wp:lineTo x="21632" y="21544"/>
                <wp:lineTo x="21632" y="-239"/>
                <wp:lineTo x="-79" y="-239"/>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1718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27F88">
        <w:rPr>
          <w:rFonts w:ascii="Arial" w:hAnsi="Arial" w:cs="Arial"/>
          <w:b/>
          <w:bCs/>
        </w:rPr>
        <w:t xml:space="preserve">Fig </w:t>
      </w:r>
      <w:r w:rsidR="00FB3BEB" w:rsidRPr="00127F88">
        <w:rPr>
          <w:rFonts w:ascii="Arial" w:hAnsi="Arial" w:cs="Arial"/>
          <w:b/>
          <w:bCs/>
        </w:rPr>
        <w:t>7</w:t>
      </w:r>
      <w:r w:rsidRPr="00127F88">
        <w:rPr>
          <w:rFonts w:ascii="Arial" w:hAnsi="Arial" w:cs="Arial"/>
          <w:b/>
          <w:bCs/>
        </w:rPr>
        <w:t>.</w:t>
      </w:r>
      <w:r w:rsidRPr="000E0CA3">
        <w:rPr>
          <w:rFonts w:ascii="Arial" w:hAnsi="Arial" w:cs="Arial"/>
        </w:rPr>
        <w:t xml:space="preserve"> The landscape-level metrics of the land use pattern of </w:t>
      </w:r>
      <w:r w:rsidR="00FB3BEB">
        <w:rPr>
          <w:rFonts w:ascii="Arial" w:hAnsi="Arial" w:cs="Arial"/>
        </w:rPr>
        <w:t>NCT Delhi</w:t>
      </w:r>
      <w:r w:rsidRPr="000E0CA3">
        <w:rPr>
          <w:rFonts w:ascii="Arial" w:hAnsi="Arial" w:cs="Arial"/>
        </w:rPr>
        <w:t xml:space="preserve"> from 199</w:t>
      </w:r>
      <w:r w:rsidR="00FB3BEB">
        <w:rPr>
          <w:rFonts w:ascii="Arial" w:hAnsi="Arial" w:cs="Arial"/>
        </w:rPr>
        <w:t>1</w:t>
      </w:r>
      <w:r w:rsidRPr="000E0CA3">
        <w:rPr>
          <w:rFonts w:ascii="Arial" w:hAnsi="Arial" w:cs="Arial"/>
        </w:rPr>
        <w:t xml:space="preserve"> to </w:t>
      </w:r>
      <w:r w:rsidR="00FB3BEB">
        <w:rPr>
          <w:rFonts w:ascii="Arial" w:hAnsi="Arial" w:cs="Arial"/>
        </w:rPr>
        <w:t>2021</w:t>
      </w:r>
      <w:r w:rsidRPr="000E0CA3">
        <w:rPr>
          <w:rFonts w:ascii="Arial" w:hAnsi="Arial" w:cs="Arial"/>
        </w:rPr>
        <w:t>. (a)</w:t>
      </w:r>
      <w:r>
        <w:rPr>
          <w:rFonts w:ascii="Arial" w:hAnsi="Arial" w:cs="Arial"/>
        </w:rPr>
        <w:t xml:space="preserve"> </w:t>
      </w:r>
      <w:r w:rsidRPr="000E0CA3">
        <w:rPr>
          <w:rFonts w:ascii="Arial" w:hAnsi="Arial" w:cs="Arial"/>
        </w:rPr>
        <w:t>Contagion index (CONTAG); (b) Shannon’s evenness</w:t>
      </w:r>
      <w:r>
        <w:rPr>
          <w:rFonts w:ascii="Arial" w:hAnsi="Arial" w:cs="Arial"/>
        </w:rPr>
        <w:t xml:space="preserve"> </w:t>
      </w:r>
      <w:r w:rsidRPr="000E0CA3">
        <w:rPr>
          <w:rFonts w:ascii="Arial" w:hAnsi="Arial" w:cs="Arial"/>
        </w:rPr>
        <w:t>index (SHDI); (c) Shannon’s evenness index (SHEI)</w:t>
      </w:r>
      <w:r w:rsidR="00FB3BEB">
        <w:rPr>
          <w:rFonts w:ascii="Arial" w:hAnsi="Arial" w:cs="Arial"/>
        </w:rPr>
        <w:t>.</w:t>
      </w:r>
    </w:p>
    <w:p w14:paraId="5B58ACC6" w14:textId="256F0D29" w:rsidR="00B20C0A" w:rsidRDefault="00B20C0A" w:rsidP="00441B6F">
      <w:pPr>
        <w:pStyle w:val="Body"/>
        <w:spacing w:after="0"/>
        <w:rPr>
          <w:rFonts w:ascii="Arial" w:hAnsi="Arial" w:cs="Arial"/>
        </w:rPr>
      </w:pPr>
    </w:p>
    <w:p w14:paraId="4DE0AFC9" w14:textId="3E006D84" w:rsidR="00303F44" w:rsidRDefault="003A29E0" w:rsidP="00303F44">
      <w:pPr>
        <w:tabs>
          <w:tab w:val="left" w:pos="1080"/>
        </w:tabs>
        <w:jc w:val="both"/>
        <w:rPr>
          <w:rFonts w:ascii="Arial" w:hAnsi="Arial"/>
          <w:bCs/>
        </w:rPr>
      </w:pPr>
      <w:r>
        <w:rPr>
          <w:rFonts w:ascii="Arial" w:hAnsi="Arial"/>
          <w:bCs/>
          <w:noProof/>
        </w:rPr>
        <w:drawing>
          <wp:anchor distT="0" distB="0" distL="114300" distR="114300" simplePos="0" relativeHeight="251664384" behindDoc="0" locked="0" layoutInCell="1" allowOverlap="1" wp14:anchorId="539DF8DC" wp14:editId="53911BEC">
            <wp:simplePos x="0" y="0"/>
            <wp:positionH relativeFrom="column">
              <wp:posOffset>-8890</wp:posOffset>
            </wp:positionH>
            <wp:positionV relativeFrom="paragraph">
              <wp:posOffset>2270125</wp:posOffset>
            </wp:positionV>
            <wp:extent cx="5212080" cy="2764790"/>
            <wp:effectExtent l="19050" t="19050" r="7620" b="0"/>
            <wp:wrapThrough wrapText="bothSides">
              <wp:wrapPolygon edited="0">
                <wp:start x="-79" y="-149"/>
                <wp:lineTo x="-79" y="21580"/>
                <wp:lineTo x="21632" y="21580"/>
                <wp:lineTo x="21632" y="-149"/>
                <wp:lineTo x="-79" y="-149"/>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2080" cy="27647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03F44" w:rsidRPr="00303F44">
        <w:rPr>
          <w:rFonts w:ascii="Arial" w:hAnsi="Arial"/>
          <w:bCs/>
        </w:rPr>
        <w:t>Class-level metrics offer further insight into the specific behavior of key land cover types</w:t>
      </w:r>
      <w:r w:rsidR="00E66F0A">
        <w:rPr>
          <w:rFonts w:ascii="Arial" w:hAnsi="Arial"/>
          <w:bCs/>
        </w:rPr>
        <w:t xml:space="preserve"> </w:t>
      </w:r>
      <w:r w:rsidR="00303F44" w:rsidRPr="00303F44">
        <w:rPr>
          <w:rFonts w:ascii="Arial" w:hAnsi="Arial"/>
          <w:bCs/>
        </w:rPr>
        <w:t xml:space="preserve">vegetation, forest, and agriculture. </w:t>
      </w:r>
      <w:r w:rsidR="002F0A41">
        <w:rPr>
          <w:rFonts w:ascii="Arial" w:hAnsi="Arial"/>
          <w:bCs/>
        </w:rPr>
        <w:t xml:space="preserve">Fig 8. Shows that </w:t>
      </w:r>
      <w:r w:rsidR="00793681" w:rsidRPr="00303F44">
        <w:rPr>
          <w:rFonts w:ascii="Arial" w:hAnsi="Arial"/>
          <w:bCs/>
        </w:rPr>
        <w:t xml:space="preserve">Percentage of Landscape </w:t>
      </w:r>
      <w:r w:rsidR="00303F44" w:rsidRPr="00303F44">
        <w:rPr>
          <w:rFonts w:ascii="Arial" w:hAnsi="Arial"/>
          <w:bCs/>
        </w:rPr>
        <w:t>(</w:t>
      </w:r>
      <w:r w:rsidR="00793681" w:rsidRPr="00303F44">
        <w:rPr>
          <w:rFonts w:ascii="Arial" w:hAnsi="Arial"/>
          <w:bCs/>
        </w:rPr>
        <w:t>PLAND</w:t>
      </w:r>
      <w:r w:rsidR="00303F44" w:rsidRPr="00303F44">
        <w:rPr>
          <w:rFonts w:ascii="Arial" w:hAnsi="Arial"/>
          <w:bCs/>
        </w:rPr>
        <w:t>) values show that agriculture remained the dominant class, particularly increasing from 2011 to 2021, while vegetation exhibited only minor fluctuations. Interestingly, the forest class showed a substantial increase in PLAND and cohesion in 2021, possibly reflecting afforestation programs or a shift in classification policies. Despite this, earlier decades saw low forest presence and high fragmentation, as indicated by low LPI and moderate patch density.</w:t>
      </w:r>
      <w:r w:rsidR="00BD67A7">
        <w:rPr>
          <w:rFonts w:ascii="Arial" w:hAnsi="Arial"/>
          <w:bCs/>
        </w:rPr>
        <w:t xml:space="preserve"> </w:t>
      </w:r>
      <w:r w:rsidR="00303F44" w:rsidRPr="00303F44">
        <w:rPr>
          <w:rFonts w:ascii="Arial" w:hAnsi="Arial"/>
          <w:bCs/>
        </w:rPr>
        <w:t>Vegetation, while relatively stable in area coverage, showed significant increases in patch density (PD) and Landscape Shape Index (LSI), especially from 2011 to 2021. This suggests rising fragmentation and spatial irregularity, likely due to ongoing urban development. Cohesion values for vegetation decreased through 2011, before recovering slightly in 2021</w:t>
      </w:r>
      <w:r w:rsidR="00297086">
        <w:rPr>
          <w:rFonts w:ascii="Arial" w:hAnsi="Arial"/>
          <w:bCs/>
        </w:rPr>
        <w:t xml:space="preserve"> </w:t>
      </w:r>
      <w:r w:rsidR="00303F44" w:rsidRPr="00303F44">
        <w:rPr>
          <w:rFonts w:ascii="Arial" w:hAnsi="Arial"/>
          <w:bCs/>
        </w:rPr>
        <w:t>implying temporary disconnection of green patches with modest recovery efforts later. The agriculture class, on the other hand, maintained consistently high cohesion and low PD across all years, reflecting large, contiguous and relatively undisturbed agricultural blocks.</w:t>
      </w:r>
    </w:p>
    <w:p w14:paraId="12518B73" w14:textId="6BD299A2" w:rsidR="00BD67A7" w:rsidRPr="00303F44" w:rsidRDefault="00BD67A7" w:rsidP="00297086">
      <w:pPr>
        <w:tabs>
          <w:tab w:val="left" w:pos="1080"/>
        </w:tabs>
        <w:spacing w:after="240"/>
        <w:jc w:val="both"/>
        <w:rPr>
          <w:rFonts w:ascii="Arial" w:hAnsi="Arial"/>
          <w:bCs/>
        </w:rPr>
      </w:pPr>
      <w:r w:rsidRPr="00BD67A7">
        <w:rPr>
          <w:rFonts w:ascii="Arial" w:hAnsi="Arial" w:cs="Arial"/>
          <w:b/>
          <w:bCs/>
        </w:rPr>
        <w:lastRenderedPageBreak/>
        <w:t xml:space="preserve">Fig. 8 </w:t>
      </w:r>
      <w:r w:rsidRPr="000E0CA3">
        <w:rPr>
          <w:rFonts w:ascii="Arial" w:hAnsi="Arial" w:cs="Arial"/>
        </w:rPr>
        <w:t xml:space="preserve">The </w:t>
      </w:r>
      <w:r>
        <w:rPr>
          <w:rFonts w:ascii="Arial" w:hAnsi="Arial" w:cs="Arial"/>
        </w:rPr>
        <w:t>class</w:t>
      </w:r>
      <w:r w:rsidRPr="000E0CA3">
        <w:rPr>
          <w:rFonts w:ascii="Arial" w:hAnsi="Arial" w:cs="Arial"/>
        </w:rPr>
        <w:t xml:space="preserve">-level metrics of the </w:t>
      </w:r>
      <w:r>
        <w:rPr>
          <w:rFonts w:ascii="Arial" w:hAnsi="Arial" w:cs="Arial"/>
        </w:rPr>
        <w:t>Urban green space</w:t>
      </w:r>
      <w:r w:rsidRPr="000E0CA3">
        <w:rPr>
          <w:rFonts w:ascii="Arial" w:hAnsi="Arial" w:cs="Arial"/>
        </w:rPr>
        <w:t xml:space="preserve"> of </w:t>
      </w:r>
      <w:r>
        <w:rPr>
          <w:rFonts w:ascii="Arial" w:hAnsi="Arial" w:cs="Arial"/>
        </w:rPr>
        <w:t>NCT Delhi</w:t>
      </w:r>
      <w:r w:rsidRPr="000E0CA3">
        <w:rPr>
          <w:rFonts w:ascii="Arial" w:hAnsi="Arial" w:cs="Arial"/>
        </w:rPr>
        <w:t xml:space="preserve"> from 199</w:t>
      </w:r>
      <w:r>
        <w:rPr>
          <w:rFonts w:ascii="Arial" w:hAnsi="Arial" w:cs="Arial"/>
        </w:rPr>
        <w:t>1</w:t>
      </w:r>
      <w:r w:rsidRPr="000E0CA3">
        <w:rPr>
          <w:rFonts w:ascii="Arial" w:hAnsi="Arial" w:cs="Arial"/>
        </w:rPr>
        <w:t xml:space="preserve"> to </w:t>
      </w:r>
      <w:r>
        <w:rPr>
          <w:rFonts w:ascii="Arial" w:hAnsi="Arial" w:cs="Arial"/>
        </w:rPr>
        <w:t>2021</w:t>
      </w:r>
      <w:r w:rsidRPr="000E0CA3">
        <w:rPr>
          <w:rFonts w:ascii="Arial" w:hAnsi="Arial" w:cs="Arial"/>
        </w:rPr>
        <w:t>. (a)</w:t>
      </w:r>
      <w:r>
        <w:rPr>
          <w:rFonts w:ascii="Arial" w:hAnsi="Arial" w:cs="Arial"/>
        </w:rPr>
        <w:t xml:space="preserve"> PLAND</w:t>
      </w:r>
      <w:r w:rsidRPr="000E0CA3">
        <w:rPr>
          <w:rFonts w:ascii="Arial" w:hAnsi="Arial" w:cs="Arial"/>
        </w:rPr>
        <w:t xml:space="preserve">; (b) </w:t>
      </w:r>
      <w:r w:rsidR="006D3287">
        <w:rPr>
          <w:rFonts w:ascii="Arial" w:hAnsi="Arial" w:cs="Arial"/>
        </w:rPr>
        <w:t>PD</w:t>
      </w:r>
      <w:r w:rsidR="006D3287" w:rsidRPr="000E0CA3">
        <w:rPr>
          <w:rFonts w:ascii="Arial" w:hAnsi="Arial" w:cs="Arial"/>
        </w:rPr>
        <w:t>;</w:t>
      </w:r>
      <w:r w:rsidRPr="000E0CA3">
        <w:rPr>
          <w:rFonts w:ascii="Arial" w:hAnsi="Arial" w:cs="Arial"/>
        </w:rPr>
        <w:t xml:space="preserve"> (c) </w:t>
      </w:r>
      <w:r w:rsidR="006D3287">
        <w:rPr>
          <w:rFonts w:ascii="Arial" w:hAnsi="Arial" w:cs="Arial"/>
        </w:rPr>
        <w:t>LPI;</w:t>
      </w:r>
      <w:r w:rsidR="00297086">
        <w:rPr>
          <w:rFonts w:ascii="Arial" w:hAnsi="Arial" w:cs="Arial"/>
        </w:rPr>
        <w:t xml:space="preserve"> (d) </w:t>
      </w:r>
      <w:r w:rsidR="006D3287">
        <w:rPr>
          <w:rFonts w:ascii="Arial" w:hAnsi="Arial" w:cs="Arial"/>
        </w:rPr>
        <w:t>LSI;</w:t>
      </w:r>
      <w:r w:rsidR="00297086">
        <w:rPr>
          <w:rFonts w:ascii="Arial" w:hAnsi="Arial" w:cs="Arial"/>
        </w:rPr>
        <w:t xml:space="preserve"> (e) COHESION</w:t>
      </w:r>
    </w:p>
    <w:p w14:paraId="7110881D" w14:textId="730C6AA9" w:rsidR="00863BD3" w:rsidRPr="00303F44" w:rsidRDefault="00303F44" w:rsidP="00303F44">
      <w:pPr>
        <w:tabs>
          <w:tab w:val="left" w:pos="1080"/>
        </w:tabs>
        <w:jc w:val="both"/>
        <w:rPr>
          <w:rFonts w:ascii="Arial" w:hAnsi="Arial"/>
          <w:bCs/>
        </w:rPr>
      </w:pPr>
      <w:r w:rsidRPr="00303F44">
        <w:rPr>
          <w:rFonts w:ascii="Arial" w:hAnsi="Arial"/>
          <w:bCs/>
        </w:rPr>
        <w:t>Additionally, the LPI (Largest Patch Index) reveals that agriculture consistently contained the largest patches throughout the study period. The significant increase in forest LPI and cohesion in 2021, however, indicates that restoration and reforestation programs may have begun to yield spatially contiguous forest patches. The vegetation class remained dominated by small, fragmented patches with minimal large-patch presence, reinforcing its vulnerability within the broader land use system.</w:t>
      </w:r>
      <w:r w:rsidR="00297086">
        <w:rPr>
          <w:rFonts w:ascii="Arial" w:hAnsi="Arial"/>
          <w:bCs/>
        </w:rPr>
        <w:t xml:space="preserve"> </w:t>
      </w:r>
      <w:r w:rsidRPr="00303F44">
        <w:rPr>
          <w:rFonts w:ascii="Arial" w:hAnsi="Arial"/>
          <w:bCs/>
        </w:rPr>
        <w:t>Collectively, these metrics suggest a landscape under increasing anthropogenic pressure</w:t>
      </w:r>
      <w:r w:rsidR="002C72DE">
        <w:rPr>
          <w:rFonts w:ascii="Arial" w:hAnsi="Arial"/>
          <w:bCs/>
        </w:rPr>
        <w:t xml:space="preserve"> </w:t>
      </w:r>
      <w:r w:rsidRPr="00303F44">
        <w:rPr>
          <w:rFonts w:ascii="Arial" w:hAnsi="Arial"/>
          <w:bCs/>
        </w:rPr>
        <w:t>particularly from urban expansion</w:t>
      </w:r>
      <w:r w:rsidR="00297086">
        <w:rPr>
          <w:rFonts w:ascii="Arial" w:hAnsi="Arial"/>
          <w:bCs/>
        </w:rPr>
        <w:t xml:space="preserve"> </w:t>
      </w:r>
      <w:r w:rsidRPr="00303F44">
        <w:rPr>
          <w:rFonts w:ascii="Arial" w:hAnsi="Arial"/>
          <w:bCs/>
        </w:rPr>
        <w:t>which has altered the configuration and function of both natural and semi-natural land cover types. The trends underscore the need for integrated planning strategies that account for spatial cohesion, diversity, and resilience at both the landscape and class levels. Metrics such as CONTAG, SHDI, LPI, and cohesion should be institutionalized as diagnostic tools in land-use monitoring and urban planning frameworks, enabling a shift from reactive to proactive environmental governance.</w:t>
      </w:r>
    </w:p>
    <w:p w14:paraId="1FA7AFAE" w14:textId="77777777" w:rsidR="00790ADA" w:rsidRPr="00FB3A86" w:rsidRDefault="00790ADA" w:rsidP="00441B6F">
      <w:pPr>
        <w:pStyle w:val="Body"/>
        <w:spacing w:after="0"/>
        <w:rPr>
          <w:rFonts w:ascii="Arial" w:hAnsi="Arial" w:cs="Arial"/>
        </w:rPr>
      </w:pPr>
    </w:p>
    <w:p w14:paraId="7F0B584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145E910" w14:textId="77777777" w:rsidR="00790ADA" w:rsidRPr="00FB3A86" w:rsidRDefault="00790ADA" w:rsidP="00441B6F">
      <w:pPr>
        <w:pStyle w:val="ConcHead"/>
        <w:spacing w:after="0"/>
        <w:jc w:val="both"/>
        <w:rPr>
          <w:rFonts w:ascii="Arial" w:hAnsi="Arial" w:cs="Arial"/>
        </w:rPr>
      </w:pPr>
    </w:p>
    <w:p w14:paraId="4C10F80D" w14:textId="589ADE92" w:rsidR="00860000" w:rsidRDefault="005D2B23" w:rsidP="00E808E7">
      <w:pPr>
        <w:pStyle w:val="Body"/>
        <w:rPr>
          <w:rFonts w:ascii="Arial" w:hAnsi="Arial" w:cs="Arial"/>
        </w:rPr>
      </w:pPr>
      <w:r w:rsidRPr="005D2B23">
        <w:rPr>
          <w:rFonts w:ascii="Arial" w:hAnsi="Arial" w:cs="Arial"/>
        </w:rPr>
        <w:t>This study presents an integrated assessment of long-term urban green space (UGS) transformation in the National Capital Territory of Delhi (NCTD) from 1991 to 2021, combining remote sensing analysis, landscape metrics, and change detection matrices to reveal the underlying patterns and processes of land use dynamics. The findings clearly illustrate a sustained and substantial expansion of built-up areas</w:t>
      </w:r>
      <w:r w:rsidR="001120BC">
        <w:rPr>
          <w:rFonts w:ascii="Arial" w:hAnsi="Arial" w:cs="Arial"/>
        </w:rPr>
        <w:t xml:space="preserve"> </w:t>
      </w:r>
      <w:r w:rsidRPr="005D2B23">
        <w:rPr>
          <w:rFonts w:ascii="Arial" w:hAnsi="Arial" w:cs="Arial"/>
        </w:rPr>
        <w:t>growing by over 117% in three decades</w:t>
      </w:r>
      <w:r w:rsidR="001120BC">
        <w:rPr>
          <w:rFonts w:ascii="Arial" w:hAnsi="Arial" w:cs="Arial"/>
        </w:rPr>
        <w:t xml:space="preserve"> </w:t>
      </w:r>
      <w:r w:rsidRPr="005D2B23">
        <w:rPr>
          <w:rFonts w:ascii="Arial" w:hAnsi="Arial" w:cs="Arial"/>
        </w:rPr>
        <w:t>which has occurred predominantly at the cost of agricultural land, vegetation, and open spaces. The spatial configuration of the landscape has been markedly altered, with built-up areas becoming increasingly aggregated (as reflected by a rising CONTAG index), while the richness and evenness of land cover types have declined steadily (as indicated by decreasing SHDI and SHEI values).</w:t>
      </w:r>
      <w:r w:rsidR="001120BC">
        <w:rPr>
          <w:rFonts w:ascii="Arial" w:hAnsi="Arial" w:cs="Arial"/>
        </w:rPr>
        <w:t xml:space="preserve"> </w:t>
      </w:r>
      <w:r w:rsidRPr="005D2B23">
        <w:rPr>
          <w:rFonts w:ascii="Arial" w:hAnsi="Arial" w:cs="Arial"/>
        </w:rPr>
        <w:t>At the class level, the analysis reveals a nuanced picture: while agricultural land remains the dominant green space category in terms of spatial extent, it has undergone significant internal shrinkage and edge fragmentation. Vegetation areas exhibited high levels of patch density and geometric complexity, pointing to increased fragmentation and disconnection, particularly in peri-urban and transitional zones. In contrast, forest areas displayed a marked improvement in spatial cohesion and PLAND in the final decade, suggesting positive outcomes of afforestation policies and land reclassification. However, the vegetated landscape remains vulnerable, with green space patches increasingly fragmented and isolated due to the unrelenting expansion of impervious surfaces.</w:t>
      </w:r>
      <w:r w:rsidR="001120BC">
        <w:rPr>
          <w:rFonts w:ascii="Arial" w:hAnsi="Arial" w:cs="Arial"/>
        </w:rPr>
        <w:t xml:space="preserve"> </w:t>
      </w:r>
      <w:r w:rsidRPr="005D2B23">
        <w:rPr>
          <w:rFonts w:ascii="Arial" w:hAnsi="Arial" w:cs="Arial"/>
        </w:rPr>
        <w:t>These trends underscore the urgent need for an ecosystem-based, spatially-informed urban policy framework. Urban planning authorities, such as the Delhi Development Authority (DDA), must incorporate the findings of landscape metrics</w:t>
      </w:r>
      <w:r w:rsidR="001120BC">
        <w:rPr>
          <w:rFonts w:ascii="Arial" w:hAnsi="Arial" w:cs="Arial"/>
        </w:rPr>
        <w:t xml:space="preserve"> </w:t>
      </w:r>
      <w:r w:rsidRPr="005D2B23">
        <w:rPr>
          <w:rFonts w:ascii="Arial" w:hAnsi="Arial" w:cs="Arial"/>
        </w:rPr>
        <w:t>particularly LPI, COHESION, and CONTAG</w:t>
      </w:r>
      <w:r w:rsidR="001120BC">
        <w:rPr>
          <w:rFonts w:ascii="Arial" w:hAnsi="Arial" w:cs="Arial"/>
        </w:rPr>
        <w:t xml:space="preserve"> </w:t>
      </w:r>
      <w:r w:rsidRPr="005D2B23">
        <w:rPr>
          <w:rFonts w:ascii="Arial" w:hAnsi="Arial" w:cs="Arial"/>
        </w:rPr>
        <w:t>into master planning and zoning policies to prevent ecological disintegration. Green buffers, ecological corridors, and continuous green belts should be mandated in land use policy to maintain functional connectivity across urban green spaces. Furthermore, a minimum per capita green space threshold, aligned with WHO’s recommendation of 9 m² per person, should be institutionalized and enforced</w:t>
      </w:r>
      <w:r w:rsidR="002C72DE">
        <w:rPr>
          <w:rFonts w:ascii="Arial" w:hAnsi="Arial" w:cs="Arial"/>
        </w:rPr>
        <w:t xml:space="preserve"> </w:t>
      </w:r>
      <w:r w:rsidR="002C72DE" w:rsidRPr="002C72DE">
        <w:rPr>
          <w:rFonts w:ascii="Arial" w:hAnsi="Arial" w:cs="Arial"/>
          <w:b/>
          <w:bCs/>
        </w:rPr>
        <w:fldChar w:fldCharType="begin"/>
      </w:r>
      <w:r w:rsidR="002C72DE" w:rsidRPr="002C72DE">
        <w:rPr>
          <w:rFonts w:ascii="Arial" w:hAnsi="Arial" w:cs="Arial"/>
          <w:b/>
          <w:bCs/>
        </w:rPr>
        <w:instrText xml:space="preserve"> ADDIN ZOTERO_ITEM CSL_CITATION {"citationID":"cbx0UKEx","properties":{"formattedCitation":"(Przewo\\uc0\\u378{}na et al., 2024)","plainCitation":"(Przewoźna et al., 2024)","noteIndex":0},"citationItems":[{"id":1403,"uris":["http://zotero.org/users/local/l98j9GEk/items/PDPIB2UD"],"itemData":{"id":1403,"type":"article-journal","abstract":"Easy accessibility of Urban Green Spaces (UGSs) is essential to the quality of life in urban areas. The World Health Organization (WHO) recommendations focus on spatial access to UGSs, define as accessible those larger than 0.5 ha situated up to 300 m of residential areas, and disregard the social significance of smaller green spaces. This paper assesses the extent to which the WHO recommendations permit the identification of locations for tree-covered UGSs that serve urban residents. The study uses geo-questionnaire to collect data on residents’ perception of the ecosystem services (ESs) provided by trees in both small-sized (&lt;0.5 ha) and larger (≥0.5 ha) UGSs in two Polish cities, Poznań and Gdańsk. Three factors impacting the social perception of UGS accessibility were controlled: (a) distance to trees (influencing reaching it by walk), (b) age, (c) the ESs provided by trees in both sizes of UGSs. The minority, i.e. 26 % of respondents valued trees in the larger UGSs. Regulating ecosystem services appeared significant there (mainly impact on health and well-being) and cultural ecosystem services, such as recreation. Most of the treecovered areas residents’ identified as significant were small-sized UGSs within the median distance of 150 m and were related to trees in residential areas and along the roadsides. Cultural ecosystem service − a sense of intimacy, separating from the neighbors, was specifically valued there. Age does not appear to be a major determinant of social perspectives on trees in UGSs. The results suggest that smallsized tree-covered UGSs are essential to residents and should be included in policies on urban greenery. In addition, the research findings indicate that identifying UGSs that are valuable from residents’ perspectives requires a comprehensive methodological approach. Limiting the assessment of the accessibility of such sites only to analyses based on the criterion of area and distance can offer narrow policy guidelines.","container-title":"Ecological Indicators","DOI":"10.1016/j.ecolind.2024.112548","ISSN":"1470-160X","journalAbbreviation":"Ecological Indicators","page":"112548","source":"ScienceDirect","title":"Accessibility to urban green spaces: A critical review of WHO recommendations in the light of tree-covered areas assessment","title-short":"Accessibility to urban green spaces","volume":"166","author":[{"family":"Przewoźna","given":"Patrycja"},{"family":"Inglot","given":"Adam"},{"family":"Mielewczyk","given":"Marcin"},{"family":"Maczka","given":"Krzysztof"},{"family":"Matczak","given":"Piotr"}],"issued":{"date-parts":[["2024",9,1]]}}}],"schema":"https://github.com/citation-style-language/schema/raw/master/csl-citation.json"} </w:instrText>
      </w:r>
      <w:r w:rsidR="002C72DE" w:rsidRPr="002C72DE">
        <w:rPr>
          <w:rFonts w:ascii="Arial" w:hAnsi="Arial" w:cs="Arial"/>
          <w:b/>
          <w:bCs/>
        </w:rPr>
        <w:fldChar w:fldCharType="separate"/>
      </w:r>
      <w:r w:rsidR="002C72DE" w:rsidRPr="002C72DE">
        <w:rPr>
          <w:rFonts w:ascii="Arial" w:hAnsi="Arial" w:cs="Arial"/>
          <w:b/>
          <w:bCs/>
          <w:szCs w:val="24"/>
        </w:rPr>
        <w:t>(Przewoźna et al., 2024)</w:t>
      </w:r>
      <w:r w:rsidR="002C72DE" w:rsidRPr="002C72DE">
        <w:rPr>
          <w:rFonts w:ascii="Arial" w:hAnsi="Arial" w:cs="Arial"/>
          <w:b/>
          <w:bCs/>
        </w:rPr>
        <w:fldChar w:fldCharType="end"/>
      </w:r>
      <w:r w:rsidRPr="005D2B23">
        <w:rPr>
          <w:rFonts w:ascii="Arial" w:hAnsi="Arial" w:cs="Arial"/>
        </w:rPr>
        <w:t>.</w:t>
      </w:r>
      <w:r w:rsidR="007162EC">
        <w:rPr>
          <w:rFonts w:ascii="Arial" w:hAnsi="Arial" w:cs="Arial"/>
        </w:rPr>
        <w:t xml:space="preserve"> </w:t>
      </w:r>
      <w:r w:rsidRPr="005D2B23">
        <w:rPr>
          <w:rFonts w:ascii="Arial" w:hAnsi="Arial" w:cs="Arial"/>
        </w:rPr>
        <w:t xml:space="preserve">In conclusion, safeguarding urban green spaces in a megacity like Delhi requires a confluence of evidence-based planning, robust regulatory frameworks, and citizen participation. Without strategic intervention, the ongoing landscape homogenization and ecological fragmentation may pose irreversible threats to environmental sustainability, public health, and climate resilience. The methodology and findings of this study provide a replicable framework for other rapidly urbanizing cities in the </w:t>
      </w:r>
      <w:r w:rsidR="007162EC">
        <w:rPr>
          <w:rFonts w:ascii="Arial" w:hAnsi="Arial" w:cs="Arial"/>
        </w:rPr>
        <w:t>other part of the world</w:t>
      </w:r>
      <w:r w:rsidRPr="005D2B23">
        <w:rPr>
          <w:rFonts w:ascii="Arial" w:hAnsi="Arial" w:cs="Arial"/>
        </w:rPr>
        <w:t>, emphasizing the need for spatially explicit, data-driven strategies for sustainable urban development.</w:t>
      </w:r>
    </w:p>
    <w:p w14:paraId="2AF7261B" w14:textId="77777777" w:rsidR="00C07E78" w:rsidRPr="00DD31A8" w:rsidRDefault="00C07E78" w:rsidP="00D578A5">
      <w:pPr>
        <w:jc w:val="both"/>
        <w:rPr>
          <w:rFonts w:ascii="Calibri" w:eastAsia="Calibri" w:hAnsi="Calibri"/>
          <w:kern w:val="2"/>
          <w:highlight w:val="yellow"/>
        </w:rPr>
      </w:pPr>
      <w:bookmarkStart w:id="0" w:name="_Hlk193540946"/>
      <w:bookmarkStart w:id="1" w:name="_Hlk180402183"/>
      <w:bookmarkStart w:id="2" w:name="_Hlk183680988"/>
      <w:bookmarkStart w:id="3" w:name="_Hlk192511329"/>
      <w:r w:rsidRPr="00DD31A8">
        <w:rPr>
          <w:rFonts w:ascii="Calibri" w:eastAsia="Calibri" w:hAnsi="Calibri"/>
          <w:kern w:val="2"/>
          <w:highlight w:val="yellow"/>
        </w:rPr>
        <w:lastRenderedPageBreak/>
        <w:t>Disclaimer (Artificial intelligence)</w:t>
      </w:r>
    </w:p>
    <w:p w14:paraId="5D6C9920" w14:textId="77777777" w:rsidR="00C07E78" w:rsidRPr="00DD31A8" w:rsidRDefault="00C07E78" w:rsidP="00D578A5">
      <w:pPr>
        <w:jc w:val="both"/>
        <w:rPr>
          <w:rFonts w:ascii="Calibri" w:eastAsia="Calibri" w:hAnsi="Calibri"/>
          <w:kern w:val="2"/>
          <w:highlight w:val="yellow"/>
        </w:rPr>
      </w:pPr>
      <w:r w:rsidRPr="00DD31A8">
        <w:rPr>
          <w:rFonts w:ascii="Calibri" w:eastAsia="Calibri" w:hAnsi="Calibri"/>
          <w:kern w:val="2"/>
          <w:highlight w:val="yellow"/>
        </w:rPr>
        <w:t xml:space="preserve">Option 2: </w:t>
      </w:r>
    </w:p>
    <w:p w14:paraId="2A3B3AC4" w14:textId="77777777" w:rsidR="00C07E78" w:rsidRPr="00DD31A8" w:rsidRDefault="00C07E78" w:rsidP="00D578A5">
      <w:pPr>
        <w:jc w:val="both"/>
        <w:rPr>
          <w:rFonts w:ascii="Calibri" w:eastAsia="Calibri" w:hAnsi="Calibri"/>
          <w:kern w:val="2"/>
          <w:highlight w:val="yellow"/>
        </w:rPr>
      </w:pPr>
      <w:r w:rsidRPr="00DD31A8">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D4A3863" w14:textId="77777777" w:rsidR="00C07E78" w:rsidRPr="00DD31A8" w:rsidRDefault="00C07E78" w:rsidP="00C07E78">
      <w:pPr>
        <w:rPr>
          <w:rFonts w:ascii="Calibri" w:eastAsia="Calibri" w:hAnsi="Calibri"/>
          <w:kern w:val="2"/>
          <w:highlight w:val="yellow"/>
        </w:rPr>
      </w:pPr>
      <w:r w:rsidRPr="00DD31A8">
        <w:rPr>
          <w:rFonts w:ascii="Calibri" w:eastAsia="Calibri" w:hAnsi="Calibri"/>
          <w:kern w:val="2"/>
          <w:highlight w:val="yellow"/>
        </w:rPr>
        <w:t>Details of the AI usage are given below:</w:t>
      </w:r>
    </w:p>
    <w:p w14:paraId="6361F6DE" w14:textId="72D0F33C" w:rsidR="00C07E78" w:rsidRPr="00DD31A8" w:rsidRDefault="00C07E78" w:rsidP="00C07E78">
      <w:pPr>
        <w:rPr>
          <w:rFonts w:ascii="Calibri" w:eastAsia="Calibri" w:hAnsi="Calibri"/>
          <w:kern w:val="2"/>
          <w:highlight w:val="yellow"/>
        </w:rPr>
      </w:pPr>
      <w:r w:rsidRPr="00DD31A8">
        <w:rPr>
          <w:rFonts w:ascii="Calibri" w:eastAsia="Calibri" w:hAnsi="Calibri"/>
          <w:kern w:val="2"/>
          <w:highlight w:val="yellow"/>
        </w:rPr>
        <w:t>1.</w:t>
      </w:r>
      <w:r w:rsidR="00D578A5" w:rsidRPr="00DD31A8">
        <w:rPr>
          <w:rFonts w:ascii="Calibri" w:eastAsia="Calibri" w:hAnsi="Calibri"/>
          <w:kern w:val="2"/>
          <w:highlight w:val="yellow"/>
        </w:rPr>
        <w:t xml:space="preserve"> </w:t>
      </w:r>
      <w:r w:rsidR="00F16956" w:rsidRPr="00DD31A8">
        <w:rPr>
          <w:rFonts w:ascii="Calibri" w:eastAsia="Calibri" w:hAnsi="Calibri"/>
          <w:kern w:val="2"/>
          <w:highlight w:val="yellow"/>
        </w:rPr>
        <w:t xml:space="preserve">The author(s) declare that </w:t>
      </w:r>
      <w:proofErr w:type="spellStart"/>
      <w:r w:rsidR="00F16956" w:rsidRPr="00DD31A8">
        <w:rPr>
          <w:rFonts w:ascii="Calibri" w:eastAsia="Calibri" w:hAnsi="Calibri"/>
          <w:b/>
          <w:bCs/>
          <w:kern w:val="2"/>
          <w:highlight w:val="yellow"/>
        </w:rPr>
        <w:t>Quillbot</w:t>
      </w:r>
      <w:proofErr w:type="spellEnd"/>
      <w:r w:rsidR="00F16956" w:rsidRPr="00DD31A8">
        <w:rPr>
          <w:rFonts w:ascii="Calibri" w:eastAsia="Calibri" w:hAnsi="Calibri"/>
          <w:kern w:val="2"/>
          <w:highlight w:val="yellow"/>
        </w:rPr>
        <w:t xml:space="preserve"> (https://quillbot.com) was used to detect grammatical errors and enhance language clarity during the preparation of the manuscript.</w:t>
      </w:r>
    </w:p>
    <w:bookmarkEnd w:id="0"/>
    <w:bookmarkEnd w:id="1"/>
    <w:bookmarkEnd w:id="2"/>
    <w:p w14:paraId="0A9B84CD" w14:textId="77777777" w:rsidR="00C07E78" w:rsidRDefault="00C07E78" w:rsidP="00C07E78">
      <w:pPr>
        <w:rPr>
          <w:rFonts w:ascii="Calibri" w:eastAsia="Calibri" w:hAnsi="Calibri"/>
          <w:kern w:val="2"/>
        </w:rPr>
      </w:pPr>
      <w:r>
        <w:rPr>
          <w:rFonts w:ascii="Calibri" w:eastAsia="Calibri" w:hAnsi="Calibri"/>
          <w:kern w:val="2"/>
        </w:rPr>
        <w:tab/>
      </w:r>
    </w:p>
    <w:bookmarkEnd w:id="3"/>
    <w:p w14:paraId="48597555" w14:textId="77777777" w:rsidR="00C07E78" w:rsidRPr="00786D36" w:rsidRDefault="00C07E78" w:rsidP="00E808E7">
      <w:pPr>
        <w:pStyle w:val="Body"/>
        <w:rPr>
          <w:rFonts w:ascii="Arial" w:hAnsi="Arial" w:cs="Arial"/>
        </w:rPr>
      </w:pPr>
    </w:p>
    <w:p w14:paraId="046AB4A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CA0C98E" w14:textId="474530FF" w:rsidR="00790ADA" w:rsidRDefault="00790ADA" w:rsidP="00103B09">
      <w:pPr>
        <w:pStyle w:val="ReferHead"/>
        <w:spacing w:after="0"/>
        <w:ind w:left="284"/>
        <w:jc w:val="both"/>
        <w:rPr>
          <w:rFonts w:ascii="Arial" w:hAnsi="Arial" w:cs="Arial"/>
        </w:rPr>
      </w:pPr>
    </w:p>
    <w:p w14:paraId="78B38B27" w14:textId="77777777" w:rsidR="00BE2EDB" w:rsidRPr="00BE2EDB" w:rsidRDefault="00103B09" w:rsidP="00BE2EDB">
      <w:pPr>
        <w:pStyle w:val="Bibliography"/>
        <w:numPr>
          <w:ilvl w:val="0"/>
          <w:numId w:val="32"/>
        </w:numPr>
        <w:jc w:val="both"/>
        <w:rPr>
          <w:rFonts w:ascii="Arial" w:hAnsi="Arial" w:cs="Arial"/>
          <w:sz w:val="22"/>
        </w:rPr>
      </w:pPr>
      <w:r>
        <w:rPr>
          <w:rFonts w:ascii="Arial" w:hAnsi="Arial" w:cs="Arial"/>
        </w:rPr>
        <w:fldChar w:fldCharType="begin"/>
      </w:r>
      <w:r w:rsidR="00BE2EDB">
        <w:rPr>
          <w:rFonts w:ascii="Arial" w:hAnsi="Arial" w:cs="Arial"/>
        </w:rPr>
        <w:instrText xml:space="preserve"> ADDIN ZOTERO_BIBL {"uncited":[],"omitted":[],"custom":[]} CSL_BIBLIOGRAPHY </w:instrText>
      </w:r>
      <w:r>
        <w:rPr>
          <w:rFonts w:ascii="Arial" w:hAnsi="Arial" w:cs="Arial"/>
        </w:rPr>
        <w:fldChar w:fldCharType="separate"/>
      </w:r>
      <w:proofErr w:type="spellStart"/>
      <w:r w:rsidR="00BE2EDB" w:rsidRPr="00BE2EDB">
        <w:rPr>
          <w:rFonts w:ascii="Arial" w:hAnsi="Arial" w:cs="Arial"/>
          <w:sz w:val="22"/>
        </w:rPr>
        <w:t>Anees</w:t>
      </w:r>
      <w:proofErr w:type="spellEnd"/>
      <w:r w:rsidR="00BE2EDB" w:rsidRPr="00BE2EDB">
        <w:rPr>
          <w:rFonts w:ascii="Arial" w:hAnsi="Arial" w:cs="Arial"/>
          <w:sz w:val="22"/>
        </w:rPr>
        <w:t xml:space="preserve">, M. M., Mann, D., Sharma, M., Banzhaf, E., &amp; Joshi, P. K. (2020). Assessment of Urban Dynamics to Understand Spatiotemporal Differentiation at Various Scales Using Remote Sensing and Geospatial Tools. </w:t>
      </w:r>
      <w:r w:rsidR="00BE2EDB" w:rsidRPr="00BE2EDB">
        <w:rPr>
          <w:rFonts w:ascii="Arial" w:hAnsi="Arial" w:cs="Arial"/>
          <w:i/>
          <w:iCs/>
          <w:sz w:val="22"/>
        </w:rPr>
        <w:t>Remote Sensing</w:t>
      </w:r>
      <w:r w:rsidR="00BE2EDB" w:rsidRPr="00BE2EDB">
        <w:rPr>
          <w:rFonts w:ascii="Arial" w:hAnsi="Arial" w:cs="Arial"/>
          <w:sz w:val="22"/>
        </w:rPr>
        <w:t xml:space="preserve">, </w:t>
      </w:r>
      <w:r w:rsidR="00BE2EDB" w:rsidRPr="00BE2EDB">
        <w:rPr>
          <w:rFonts w:ascii="Arial" w:hAnsi="Arial" w:cs="Arial"/>
          <w:i/>
          <w:iCs/>
          <w:sz w:val="22"/>
        </w:rPr>
        <w:t>12</w:t>
      </w:r>
      <w:r w:rsidR="00BE2EDB" w:rsidRPr="00BE2EDB">
        <w:rPr>
          <w:rFonts w:ascii="Arial" w:hAnsi="Arial" w:cs="Arial"/>
          <w:sz w:val="22"/>
        </w:rPr>
        <w:t>(8), Article 8. https://doi.org/10.3390/rs12081306</w:t>
      </w:r>
    </w:p>
    <w:p w14:paraId="1AEE423E" w14:textId="77777777" w:rsidR="00BE2EDB" w:rsidRPr="00BE2EDB" w:rsidRDefault="00BE2EDB" w:rsidP="00BE2EDB">
      <w:pPr>
        <w:pStyle w:val="Bibliography"/>
        <w:numPr>
          <w:ilvl w:val="0"/>
          <w:numId w:val="32"/>
        </w:numPr>
        <w:jc w:val="both"/>
        <w:rPr>
          <w:rFonts w:ascii="Arial" w:hAnsi="Arial" w:cs="Arial"/>
          <w:sz w:val="22"/>
        </w:rPr>
      </w:pPr>
      <w:proofErr w:type="spellStart"/>
      <w:r w:rsidRPr="00BE2EDB">
        <w:rPr>
          <w:rFonts w:ascii="Arial" w:hAnsi="Arial" w:cs="Arial"/>
          <w:sz w:val="22"/>
        </w:rPr>
        <w:t>Asokan</w:t>
      </w:r>
      <w:proofErr w:type="spellEnd"/>
      <w:r w:rsidRPr="00BE2EDB">
        <w:rPr>
          <w:rFonts w:ascii="Arial" w:hAnsi="Arial" w:cs="Arial"/>
          <w:sz w:val="22"/>
        </w:rPr>
        <w:t xml:space="preserve">, A., &amp; </w:t>
      </w:r>
      <w:proofErr w:type="spellStart"/>
      <w:r w:rsidRPr="00BE2EDB">
        <w:rPr>
          <w:rFonts w:ascii="Arial" w:hAnsi="Arial" w:cs="Arial"/>
          <w:sz w:val="22"/>
        </w:rPr>
        <w:t>Anitha</w:t>
      </w:r>
      <w:proofErr w:type="spellEnd"/>
      <w:r w:rsidRPr="00BE2EDB">
        <w:rPr>
          <w:rFonts w:ascii="Arial" w:hAnsi="Arial" w:cs="Arial"/>
          <w:sz w:val="22"/>
        </w:rPr>
        <w:t xml:space="preserve">, J. (2019). Change detection techniques for remote sensing applications: A survey. </w:t>
      </w:r>
      <w:r w:rsidRPr="00BE2EDB">
        <w:rPr>
          <w:rFonts w:ascii="Arial" w:hAnsi="Arial" w:cs="Arial"/>
          <w:i/>
          <w:iCs/>
          <w:sz w:val="22"/>
        </w:rPr>
        <w:t>Earth Science Informatics</w:t>
      </w:r>
      <w:r w:rsidRPr="00BE2EDB">
        <w:rPr>
          <w:rFonts w:ascii="Arial" w:hAnsi="Arial" w:cs="Arial"/>
          <w:sz w:val="22"/>
        </w:rPr>
        <w:t xml:space="preserve">, </w:t>
      </w:r>
      <w:r w:rsidRPr="00BE2EDB">
        <w:rPr>
          <w:rFonts w:ascii="Arial" w:hAnsi="Arial" w:cs="Arial"/>
          <w:i/>
          <w:iCs/>
          <w:sz w:val="22"/>
        </w:rPr>
        <w:t>12</w:t>
      </w:r>
      <w:r w:rsidRPr="00BE2EDB">
        <w:rPr>
          <w:rFonts w:ascii="Arial" w:hAnsi="Arial" w:cs="Arial"/>
          <w:sz w:val="22"/>
        </w:rPr>
        <w:t>(2), 143–160. https://doi.org/10.1007/s12145-019-00380-5</w:t>
      </w:r>
    </w:p>
    <w:p w14:paraId="41700DBB"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Balogun, I. A., </w:t>
      </w:r>
      <w:proofErr w:type="spellStart"/>
      <w:r w:rsidRPr="00BE2EDB">
        <w:rPr>
          <w:rFonts w:ascii="Arial" w:hAnsi="Arial" w:cs="Arial"/>
          <w:sz w:val="22"/>
        </w:rPr>
        <w:t>Adeyewa</w:t>
      </w:r>
      <w:proofErr w:type="spellEnd"/>
      <w:r w:rsidRPr="00BE2EDB">
        <w:rPr>
          <w:rFonts w:ascii="Arial" w:hAnsi="Arial" w:cs="Arial"/>
          <w:sz w:val="22"/>
        </w:rPr>
        <w:t xml:space="preserve">, D. Z., Balogun, A. A., &amp; </w:t>
      </w:r>
      <w:proofErr w:type="spellStart"/>
      <w:r w:rsidRPr="00BE2EDB">
        <w:rPr>
          <w:rFonts w:ascii="Arial" w:hAnsi="Arial" w:cs="Arial"/>
          <w:sz w:val="22"/>
        </w:rPr>
        <w:t>Morakinyo</w:t>
      </w:r>
      <w:proofErr w:type="spellEnd"/>
      <w:r w:rsidRPr="00BE2EDB">
        <w:rPr>
          <w:rFonts w:ascii="Arial" w:hAnsi="Arial" w:cs="Arial"/>
          <w:sz w:val="22"/>
        </w:rPr>
        <w:t xml:space="preserve">, T. E. (2011). </w:t>
      </w:r>
      <w:r w:rsidRPr="00BE2EDB">
        <w:rPr>
          <w:rFonts w:ascii="Arial" w:hAnsi="Arial" w:cs="Arial"/>
          <w:i/>
          <w:iCs/>
          <w:sz w:val="22"/>
        </w:rPr>
        <w:t>Analysis of urban expansion and land use changes in Akure, Nigeria, using remote sensing and geographic information system (GIS) techniques</w:t>
      </w:r>
      <w:r w:rsidRPr="00BE2EDB">
        <w:rPr>
          <w:rFonts w:ascii="Arial" w:hAnsi="Arial" w:cs="Arial"/>
          <w:sz w:val="22"/>
        </w:rPr>
        <w:t>.</w:t>
      </w:r>
    </w:p>
    <w:p w14:paraId="02CB842C"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Bharath, H. A., Chandan, M. C., Vinay, S., &amp; Ramachandra, T. V. (2018). Modelling urban dynamics in rapidly </w:t>
      </w:r>
      <w:proofErr w:type="spellStart"/>
      <w:r w:rsidRPr="00BE2EDB">
        <w:rPr>
          <w:rFonts w:ascii="Arial" w:hAnsi="Arial" w:cs="Arial"/>
          <w:sz w:val="22"/>
        </w:rPr>
        <w:t>urbanising</w:t>
      </w:r>
      <w:proofErr w:type="spellEnd"/>
      <w:r w:rsidRPr="00BE2EDB">
        <w:rPr>
          <w:rFonts w:ascii="Arial" w:hAnsi="Arial" w:cs="Arial"/>
          <w:sz w:val="22"/>
        </w:rPr>
        <w:t xml:space="preserve"> Indian cities. </w:t>
      </w:r>
      <w:r w:rsidRPr="00BE2EDB">
        <w:rPr>
          <w:rFonts w:ascii="Arial" w:hAnsi="Arial" w:cs="Arial"/>
          <w:i/>
          <w:iCs/>
          <w:sz w:val="22"/>
        </w:rPr>
        <w:t>The Egyptian Journal of Remote Sensing and Space Science</w:t>
      </w:r>
      <w:r w:rsidRPr="00BE2EDB">
        <w:rPr>
          <w:rFonts w:ascii="Arial" w:hAnsi="Arial" w:cs="Arial"/>
          <w:sz w:val="22"/>
        </w:rPr>
        <w:t xml:space="preserve">, </w:t>
      </w:r>
      <w:r w:rsidRPr="00BE2EDB">
        <w:rPr>
          <w:rFonts w:ascii="Arial" w:hAnsi="Arial" w:cs="Arial"/>
          <w:i/>
          <w:iCs/>
          <w:sz w:val="22"/>
        </w:rPr>
        <w:t>21</w:t>
      </w:r>
      <w:r w:rsidRPr="00BE2EDB">
        <w:rPr>
          <w:rFonts w:ascii="Arial" w:hAnsi="Arial" w:cs="Arial"/>
          <w:sz w:val="22"/>
        </w:rPr>
        <w:t>(3), 201–210. https://doi.org/10.1016/j.ejrs.2017.08.002</w:t>
      </w:r>
    </w:p>
    <w:p w14:paraId="549A392A"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Biswas, J., Ray, K. K., Biswas, M. B., &amp; Panda, A. (2024). </w:t>
      </w:r>
      <w:r w:rsidRPr="00BE2EDB">
        <w:rPr>
          <w:rFonts w:ascii="Arial" w:hAnsi="Arial" w:cs="Arial"/>
          <w:i/>
          <w:iCs/>
          <w:sz w:val="22"/>
        </w:rPr>
        <w:t>Evaluating the Transformation of City Facilities under AMRUT: A Conceptual Model</w:t>
      </w:r>
      <w:r w:rsidRPr="00BE2EDB">
        <w:rPr>
          <w:rFonts w:ascii="Arial" w:hAnsi="Arial" w:cs="Arial"/>
          <w:sz w:val="22"/>
        </w:rPr>
        <w:t xml:space="preserve"> (13:718). F1000Research. https://doi.org/10.12688/f1000research.151245.1</w:t>
      </w:r>
    </w:p>
    <w:p w14:paraId="3B8FEE68" w14:textId="77777777" w:rsidR="00BE2EDB" w:rsidRPr="00BE2EDB" w:rsidRDefault="00BE2EDB" w:rsidP="00BE2EDB">
      <w:pPr>
        <w:pStyle w:val="Bibliography"/>
        <w:numPr>
          <w:ilvl w:val="0"/>
          <w:numId w:val="32"/>
        </w:numPr>
        <w:jc w:val="both"/>
        <w:rPr>
          <w:rFonts w:ascii="Arial" w:hAnsi="Arial" w:cs="Arial"/>
          <w:sz w:val="22"/>
        </w:rPr>
      </w:pPr>
      <w:proofErr w:type="spellStart"/>
      <w:r w:rsidRPr="00BE2EDB">
        <w:rPr>
          <w:rFonts w:ascii="Arial" w:hAnsi="Arial" w:cs="Arial"/>
          <w:sz w:val="22"/>
        </w:rPr>
        <w:t>Brovelli</w:t>
      </w:r>
      <w:proofErr w:type="spellEnd"/>
      <w:r w:rsidRPr="00BE2EDB">
        <w:rPr>
          <w:rFonts w:ascii="Arial" w:hAnsi="Arial" w:cs="Arial"/>
          <w:sz w:val="22"/>
        </w:rPr>
        <w:t xml:space="preserve">, M. A., Molinari, M. E., Hussein, E., Chen, J., &amp; Li, R. (2015). The First Comprehensive Accuracy Assessment of GlobeLand30 at a National Level: Methodology and Results. </w:t>
      </w:r>
      <w:r w:rsidRPr="00BE2EDB">
        <w:rPr>
          <w:rFonts w:ascii="Arial" w:hAnsi="Arial" w:cs="Arial"/>
          <w:i/>
          <w:iCs/>
          <w:sz w:val="22"/>
        </w:rPr>
        <w:t>Remote Sensing</w:t>
      </w:r>
      <w:r w:rsidRPr="00BE2EDB">
        <w:rPr>
          <w:rFonts w:ascii="Arial" w:hAnsi="Arial" w:cs="Arial"/>
          <w:sz w:val="22"/>
        </w:rPr>
        <w:t xml:space="preserve">, </w:t>
      </w:r>
      <w:r w:rsidRPr="00BE2EDB">
        <w:rPr>
          <w:rFonts w:ascii="Arial" w:hAnsi="Arial" w:cs="Arial"/>
          <w:i/>
          <w:iCs/>
          <w:sz w:val="22"/>
        </w:rPr>
        <w:t>7</w:t>
      </w:r>
      <w:r w:rsidRPr="00BE2EDB">
        <w:rPr>
          <w:rFonts w:ascii="Arial" w:hAnsi="Arial" w:cs="Arial"/>
          <w:sz w:val="22"/>
        </w:rPr>
        <w:t>(4), Article 4. https://doi.org/10.3390/rs70404191</w:t>
      </w:r>
    </w:p>
    <w:p w14:paraId="1BB9D6B6"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Census, I. (2011). </w:t>
      </w:r>
      <w:r w:rsidRPr="00BE2EDB">
        <w:rPr>
          <w:rFonts w:ascii="Arial" w:hAnsi="Arial" w:cs="Arial"/>
          <w:i/>
          <w:iCs/>
          <w:sz w:val="22"/>
        </w:rPr>
        <w:t>Census, 2011</w:t>
      </w:r>
      <w:r w:rsidRPr="00BE2EDB">
        <w:rPr>
          <w:rFonts w:ascii="Arial" w:hAnsi="Arial" w:cs="Arial"/>
          <w:sz w:val="22"/>
        </w:rPr>
        <w:t>. Government of India. https://censusindia.gov.in/census.website/data</w:t>
      </w:r>
    </w:p>
    <w:p w14:paraId="436ED02B" w14:textId="77777777" w:rsidR="00BE2EDB" w:rsidRPr="00BE2EDB" w:rsidRDefault="00BE2EDB" w:rsidP="00BE2EDB">
      <w:pPr>
        <w:pStyle w:val="Bibliography"/>
        <w:numPr>
          <w:ilvl w:val="0"/>
          <w:numId w:val="32"/>
        </w:numPr>
        <w:jc w:val="both"/>
        <w:rPr>
          <w:rFonts w:ascii="Arial" w:hAnsi="Arial" w:cs="Arial"/>
          <w:sz w:val="22"/>
        </w:rPr>
      </w:pPr>
      <w:proofErr w:type="spellStart"/>
      <w:r w:rsidRPr="00BE2EDB">
        <w:rPr>
          <w:rFonts w:ascii="Arial" w:hAnsi="Arial" w:cs="Arial"/>
          <w:sz w:val="22"/>
        </w:rPr>
        <w:t>Chalakkal</w:t>
      </w:r>
      <w:proofErr w:type="spellEnd"/>
      <w:r w:rsidRPr="00BE2EDB">
        <w:rPr>
          <w:rFonts w:ascii="Arial" w:hAnsi="Arial" w:cs="Arial"/>
          <w:sz w:val="22"/>
        </w:rPr>
        <w:t xml:space="preserve">, J. B., &amp; Mohan, M. (2022). Is the Monsoon climatology observed over the National Capital Region, Delhi indicative of an Urban -Monsoon linkage on rainfall modification? </w:t>
      </w:r>
      <w:r w:rsidRPr="00BE2EDB">
        <w:rPr>
          <w:rFonts w:ascii="Arial" w:hAnsi="Arial" w:cs="Arial"/>
          <w:i/>
          <w:iCs/>
          <w:sz w:val="22"/>
        </w:rPr>
        <w:t>Urban Climate</w:t>
      </w:r>
      <w:r w:rsidRPr="00BE2EDB">
        <w:rPr>
          <w:rFonts w:ascii="Arial" w:hAnsi="Arial" w:cs="Arial"/>
          <w:sz w:val="22"/>
        </w:rPr>
        <w:t xml:space="preserve">, </w:t>
      </w:r>
      <w:r w:rsidRPr="00BE2EDB">
        <w:rPr>
          <w:rFonts w:ascii="Arial" w:hAnsi="Arial" w:cs="Arial"/>
          <w:i/>
          <w:iCs/>
          <w:sz w:val="22"/>
        </w:rPr>
        <w:t>46</w:t>
      </w:r>
      <w:r w:rsidRPr="00BE2EDB">
        <w:rPr>
          <w:rFonts w:ascii="Arial" w:hAnsi="Arial" w:cs="Arial"/>
          <w:sz w:val="22"/>
        </w:rPr>
        <w:t>, 101289. https://doi.org/10.1016/j.uclim.2022.101289</w:t>
      </w:r>
    </w:p>
    <w:p w14:paraId="0D34E97A"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Chaudhuri, R. R., &amp; Sharma, P. (2020). Addressing uncertainty in extreme rainfall intensity for semi-arid urban regions: Case study of Delhi, India. </w:t>
      </w:r>
      <w:r w:rsidRPr="00BE2EDB">
        <w:rPr>
          <w:rFonts w:ascii="Arial" w:hAnsi="Arial" w:cs="Arial"/>
          <w:i/>
          <w:iCs/>
          <w:sz w:val="22"/>
        </w:rPr>
        <w:t>Natural Hazards</w:t>
      </w:r>
      <w:r w:rsidRPr="00BE2EDB">
        <w:rPr>
          <w:rFonts w:ascii="Arial" w:hAnsi="Arial" w:cs="Arial"/>
          <w:sz w:val="22"/>
        </w:rPr>
        <w:t xml:space="preserve">, </w:t>
      </w:r>
      <w:r w:rsidRPr="00BE2EDB">
        <w:rPr>
          <w:rFonts w:ascii="Arial" w:hAnsi="Arial" w:cs="Arial"/>
          <w:i/>
          <w:iCs/>
          <w:sz w:val="22"/>
        </w:rPr>
        <w:t>104</w:t>
      </w:r>
      <w:r w:rsidRPr="00BE2EDB">
        <w:rPr>
          <w:rFonts w:ascii="Arial" w:hAnsi="Arial" w:cs="Arial"/>
          <w:sz w:val="22"/>
        </w:rPr>
        <w:t>(3), 2307–2324. https://doi.org/10.1007/s11069-020-04273-5</w:t>
      </w:r>
    </w:p>
    <w:p w14:paraId="41ED975B"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Cheng, Y. (Daniel), Farmer, J. R., Dickinson, S. L., Robeson, S. M., Fischer, B. C., &amp; Reynolds, H. L. (2021). Climate change impacts and urban green space adaptation efforts: Evidence from U.S. municipal parks and recreation </w:t>
      </w:r>
      <w:r w:rsidRPr="00BE2EDB">
        <w:rPr>
          <w:rFonts w:ascii="Arial" w:hAnsi="Arial" w:cs="Arial"/>
          <w:sz w:val="22"/>
        </w:rPr>
        <w:lastRenderedPageBreak/>
        <w:t xml:space="preserve">departments. </w:t>
      </w:r>
      <w:r w:rsidRPr="00BE2EDB">
        <w:rPr>
          <w:rFonts w:ascii="Arial" w:hAnsi="Arial" w:cs="Arial"/>
          <w:i/>
          <w:iCs/>
          <w:sz w:val="22"/>
        </w:rPr>
        <w:t>Urban Climate</w:t>
      </w:r>
      <w:r w:rsidRPr="00BE2EDB">
        <w:rPr>
          <w:rFonts w:ascii="Arial" w:hAnsi="Arial" w:cs="Arial"/>
          <w:sz w:val="22"/>
        </w:rPr>
        <w:t xml:space="preserve">, </w:t>
      </w:r>
      <w:r w:rsidRPr="00BE2EDB">
        <w:rPr>
          <w:rFonts w:ascii="Arial" w:hAnsi="Arial" w:cs="Arial"/>
          <w:i/>
          <w:iCs/>
          <w:sz w:val="22"/>
        </w:rPr>
        <w:t>39</w:t>
      </w:r>
      <w:r w:rsidRPr="00BE2EDB">
        <w:rPr>
          <w:rFonts w:ascii="Arial" w:hAnsi="Arial" w:cs="Arial"/>
          <w:sz w:val="22"/>
        </w:rPr>
        <w:t>, 100962. https://doi.org/10.1016/j.uclim.2021.100962</w:t>
      </w:r>
    </w:p>
    <w:p w14:paraId="52D45413"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Das, S., &amp; </w:t>
      </w:r>
      <w:proofErr w:type="spellStart"/>
      <w:r w:rsidRPr="00BE2EDB">
        <w:rPr>
          <w:rFonts w:ascii="Arial" w:hAnsi="Arial" w:cs="Arial"/>
          <w:sz w:val="22"/>
        </w:rPr>
        <w:t>Angadi</w:t>
      </w:r>
      <w:proofErr w:type="spellEnd"/>
      <w:r w:rsidRPr="00BE2EDB">
        <w:rPr>
          <w:rFonts w:ascii="Arial" w:hAnsi="Arial" w:cs="Arial"/>
          <w:sz w:val="22"/>
        </w:rPr>
        <w:t xml:space="preserve">, D. P. (2022). Land use land cover change detection and monitoring of urban growth using remote sensing and GIS techniques: A micro-level study. </w:t>
      </w:r>
      <w:proofErr w:type="spellStart"/>
      <w:r w:rsidRPr="00BE2EDB">
        <w:rPr>
          <w:rFonts w:ascii="Arial" w:hAnsi="Arial" w:cs="Arial"/>
          <w:i/>
          <w:iCs/>
          <w:sz w:val="22"/>
        </w:rPr>
        <w:t>GeoJournal</w:t>
      </w:r>
      <w:proofErr w:type="spellEnd"/>
      <w:r w:rsidRPr="00BE2EDB">
        <w:rPr>
          <w:rFonts w:ascii="Arial" w:hAnsi="Arial" w:cs="Arial"/>
          <w:sz w:val="22"/>
        </w:rPr>
        <w:t xml:space="preserve">, </w:t>
      </w:r>
      <w:r w:rsidRPr="00BE2EDB">
        <w:rPr>
          <w:rFonts w:ascii="Arial" w:hAnsi="Arial" w:cs="Arial"/>
          <w:i/>
          <w:iCs/>
          <w:sz w:val="22"/>
        </w:rPr>
        <w:t>87</w:t>
      </w:r>
      <w:r w:rsidRPr="00BE2EDB">
        <w:rPr>
          <w:rFonts w:ascii="Arial" w:hAnsi="Arial" w:cs="Arial"/>
          <w:sz w:val="22"/>
        </w:rPr>
        <w:t>(3), 2101–2123. https://doi.org/10.1007/s10708-020-10359-1</w:t>
      </w:r>
    </w:p>
    <w:p w14:paraId="36AA4AD3" w14:textId="77777777" w:rsidR="00BE2EDB" w:rsidRPr="00BE2EDB" w:rsidRDefault="00BE2EDB" w:rsidP="00BE2EDB">
      <w:pPr>
        <w:pStyle w:val="Bibliography"/>
        <w:numPr>
          <w:ilvl w:val="0"/>
          <w:numId w:val="32"/>
        </w:numPr>
        <w:jc w:val="both"/>
        <w:rPr>
          <w:rFonts w:ascii="Arial" w:hAnsi="Arial" w:cs="Arial"/>
          <w:sz w:val="22"/>
        </w:rPr>
      </w:pPr>
      <w:proofErr w:type="spellStart"/>
      <w:r w:rsidRPr="00BE2EDB">
        <w:rPr>
          <w:rFonts w:ascii="Arial" w:hAnsi="Arial" w:cs="Arial"/>
          <w:sz w:val="22"/>
        </w:rPr>
        <w:t>Derkzen</w:t>
      </w:r>
      <w:proofErr w:type="spellEnd"/>
      <w:r w:rsidRPr="00BE2EDB">
        <w:rPr>
          <w:rFonts w:ascii="Arial" w:hAnsi="Arial" w:cs="Arial"/>
          <w:sz w:val="22"/>
        </w:rPr>
        <w:t xml:space="preserve">, M. L., van </w:t>
      </w:r>
      <w:proofErr w:type="spellStart"/>
      <w:r w:rsidRPr="00BE2EDB">
        <w:rPr>
          <w:rFonts w:ascii="Arial" w:hAnsi="Arial" w:cs="Arial"/>
          <w:sz w:val="22"/>
        </w:rPr>
        <w:t>Teeffelen</w:t>
      </w:r>
      <w:proofErr w:type="spellEnd"/>
      <w:r w:rsidRPr="00BE2EDB">
        <w:rPr>
          <w:rFonts w:ascii="Arial" w:hAnsi="Arial" w:cs="Arial"/>
          <w:sz w:val="22"/>
        </w:rPr>
        <w:t xml:space="preserve">, A. J., Nagendra, H., &amp; </w:t>
      </w:r>
      <w:proofErr w:type="spellStart"/>
      <w:r w:rsidRPr="00BE2EDB">
        <w:rPr>
          <w:rFonts w:ascii="Arial" w:hAnsi="Arial" w:cs="Arial"/>
          <w:sz w:val="22"/>
        </w:rPr>
        <w:t>Verburg</w:t>
      </w:r>
      <w:proofErr w:type="spellEnd"/>
      <w:r w:rsidRPr="00BE2EDB">
        <w:rPr>
          <w:rFonts w:ascii="Arial" w:hAnsi="Arial" w:cs="Arial"/>
          <w:sz w:val="22"/>
        </w:rPr>
        <w:t xml:space="preserve">, P. H. (2017). Shifting roles of urban green space in the context of urban development and global change. </w:t>
      </w:r>
      <w:r w:rsidRPr="00BE2EDB">
        <w:rPr>
          <w:rFonts w:ascii="Arial" w:hAnsi="Arial" w:cs="Arial"/>
          <w:i/>
          <w:iCs/>
          <w:sz w:val="22"/>
        </w:rPr>
        <w:t>Current Opinion in Environmental Sustainability</w:t>
      </w:r>
      <w:r w:rsidRPr="00BE2EDB">
        <w:rPr>
          <w:rFonts w:ascii="Arial" w:hAnsi="Arial" w:cs="Arial"/>
          <w:sz w:val="22"/>
        </w:rPr>
        <w:t xml:space="preserve">, </w:t>
      </w:r>
      <w:r w:rsidRPr="00BE2EDB">
        <w:rPr>
          <w:rFonts w:ascii="Arial" w:hAnsi="Arial" w:cs="Arial"/>
          <w:i/>
          <w:iCs/>
          <w:sz w:val="22"/>
        </w:rPr>
        <w:t>29</w:t>
      </w:r>
      <w:r w:rsidRPr="00BE2EDB">
        <w:rPr>
          <w:rFonts w:ascii="Arial" w:hAnsi="Arial" w:cs="Arial"/>
          <w:sz w:val="22"/>
        </w:rPr>
        <w:t>, 32–39. https://doi.org/10.1016/j.cosust.2017.10.001</w:t>
      </w:r>
    </w:p>
    <w:p w14:paraId="3E054609"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Duan, Z., Huang, L., Zhu, Z., Long, S., &amp; Liu, Y. (2025). Transformation and Inequity of Urban Green Space in Guangzhou: Drivers and Policy Implications Under Rapid Urbanization. </w:t>
      </w:r>
      <w:r w:rsidRPr="00BE2EDB">
        <w:rPr>
          <w:rFonts w:ascii="Arial" w:hAnsi="Arial" w:cs="Arial"/>
          <w:i/>
          <w:iCs/>
          <w:sz w:val="22"/>
        </w:rPr>
        <w:t>Sustainability</w:t>
      </w:r>
      <w:r w:rsidRPr="00BE2EDB">
        <w:rPr>
          <w:rFonts w:ascii="Arial" w:hAnsi="Arial" w:cs="Arial"/>
          <w:sz w:val="22"/>
        </w:rPr>
        <w:t xml:space="preserve">, </w:t>
      </w:r>
      <w:r w:rsidRPr="00BE2EDB">
        <w:rPr>
          <w:rFonts w:ascii="Arial" w:hAnsi="Arial" w:cs="Arial"/>
          <w:i/>
          <w:iCs/>
          <w:sz w:val="22"/>
        </w:rPr>
        <w:t>17</w:t>
      </w:r>
      <w:r w:rsidRPr="00BE2EDB">
        <w:rPr>
          <w:rFonts w:ascii="Arial" w:hAnsi="Arial" w:cs="Arial"/>
          <w:sz w:val="22"/>
        </w:rPr>
        <w:t>(5), Article 5. https://doi.org/10.3390/su17052217</w:t>
      </w:r>
    </w:p>
    <w:p w14:paraId="6B5CA8C0"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Foody, G. M. (2020). Explaining the unsuitability of the kappa coefficient in the assessment and comparison of the accuracy of thematic maps obtained by image classification. </w:t>
      </w:r>
      <w:r w:rsidRPr="00BE2EDB">
        <w:rPr>
          <w:rFonts w:ascii="Arial" w:hAnsi="Arial" w:cs="Arial"/>
          <w:i/>
          <w:iCs/>
          <w:sz w:val="22"/>
        </w:rPr>
        <w:t>Remote Sensing of Environment</w:t>
      </w:r>
      <w:r w:rsidRPr="00BE2EDB">
        <w:rPr>
          <w:rFonts w:ascii="Arial" w:hAnsi="Arial" w:cs="Arial"/>
          <w:sz w:val="22"/>
        </w:rPr>
        <w:t xml:space="preserve">, </w:t>
      </w:r>
      <w:r w:rsidRPr="00BE2EDB">
        <w:rPr>
          <w:rFonts w:ascii="Arial" w:hAnsi="Arial" w:cs="Arial"/>
          <w:i/>
          <w:iCs/>
          <w:sz w:val="22"/>
        </w:rPr>
        <w:t>239</w:t>
      </w:r>
      <w:r w:rsidRPr="00BE2EDB">
        <w:rPr>
          <w:rFonts w:ascii="Arial" w:hAnsi="Arial" w:cs="Arial"/>
          <w:sz w:val="22"/>
        </w:rPr>
        <w:t>, 111630. https://doi.org/10.1016/j.rse.2019.111630</w:t>
      </w:r>
    </w:p>
    <w:p w14:paraId="5CC2B3A7" w14:textId="77777777" w:rsidR="00BE2EDB" w:rsidRPr="00BE2EDB" w:rsidRDefault="00BE2EDB" w:rsidP="00BE2EDB">
      <w:pPr>
        <w:pStyle w:val="Bibliography"/>
        <w:numPr>
          <w:ilvl w:val="0"/>
          <w:numId w:val="32"/>
        </w:numPr>
        <w:jc w:val="both"/>
        <w:rPr>
          <w:rFonts w:ascii="Arial" w:hAnsi="Arial" w:cs="Arial"/>
          <w:sz w:val="22"/>
        </w:rPr>
      </w:pPr>
      <w:proofErr w:type="spellStart"/>
      <w:r w:rsidRPr="00BE2EDB">
        <w:rPr>
          <w:rFonts w:ascii="Arial" w:hAnsi="Arial" w:cs="Arial"/>
          <w:sz w:val="22"/>
        </w:rPr>
        <w:t>Fotso</w:t>
      </w:r>
      <w:proofErr w:type="spellEnd"/>
      <w:r w:rsidRPr="00BE2EDB">
        <w:rPr>
          <w:rFonts w:ascii="Arial" w:hAnsi="Arial" w:cs="Arial"/>
          <w:sz w:val="22"/>
        </w:rPr>
        <w:t xml:space="preserve"> Kamga, G. A., </w:t>
      </w:r>
      <w:proofErr w:type="spellStart"/>
      <w:proofErr w:type="gramStart"/>
      <w:r w:rsidRPr="00BE2EDB">
        <w:rPr>
          <w:rFonts w:ascii="Arial" w:hAnsi="Arial" w:cs="Arial"/>
          <w:sz w:val="22"/>
        </w:rPr>
        <w:t>Bitjoka</w:t>
      </w:r>
      <w:proofErr w:type="spellEnd"/>
      <w:r w:rsidRPr="00BE2EDB">
        <w:rPr>
          <w:rFonts w:ascii="Arial" w:hAnsi="Arial" w:cs="Arial"/>
          <w:sz w:val="22"/>
        </w:rPr>
        <w:t xml:space="preserve"> ,L</w:t>
      </w:r>
      <w:proofErr w:type="gramEnd"/>
      <w:r w:rsidRPr="00BE2EDB">
        <w:rPr>
          <w:rFonts w:ascii="Arial" w:hAnsi="Arial" w:cs="Arial"/>
          <w:sz w:val="22"/>
        </w:rPr>
        <w:t xml:space="preserve">, </w:t>
      </w:r>
      <w:proofErr w:type="spellStart"/>
      <w:r w:rsidRPr="00BE2EDB">
        <w:rPr>
          <w:rFonts w:ascii="Arial" w:hAnsi="Arial" w:cs="Arial"/>
          <w:sz w:val="22"/>
        </w:rPr>
        <w:t>Akram</w:t>
      </w:r>
      <w:proofErr w:type="spellEnd"/>
      <w:r w:rsidRPr="00BE2EDB">
        <w:rPr>
          <w:rFonts w:ascii="Arial" w:hAnsi="Arial" w:cs="Arial"/>
          <w:sz w:val="22"/>
        </w:rPr>
        <w:t xml:space="preserve"> ,T., </w:t>
      </w:r>
      <w:proofErr w:type="spellStart"/>
      <w:r w:rsidRPr="00BE2EDB">
        <w:rPr>
          <w:rFonts w:ascii="Arial" w:hAnsi="Arial" w:cs="Arial"/>
          <w:sz w:val="22"/>
        </w:rPr>
        <w:t>Mengue</w:t>
      </w:r>
      <w:proofErr w:type="spellEnd"/>
      <w:r w:rsidRPr="00BE2EDB">
        <w:rPr>
          <w:rFonts w:ascii="Arial" w:hAnsi="Arial" w:cs="Arial"/>
          <w:sz w:val="22"/>
        </w:rPr>
        <w:t xml:space="preserve"> </w:t>
      </w:r>
      <w:proofErr w:type="spellStart"/>
      <w:r w:rsidRPr="00BE2EDB">
        <w:rPr>
          <w:rFonts w:ascii="Arial" w:hAnsi="Arial" w:cs="Arial"/>
          <w:sz w:val="22"/>
        </w:rPr>
        <w:t>Mbom</w:t>
      </w:r>
      <w:proofErr w:type="spellEnd"/>
      <w:r w:rsidRPr="00BE2EDB">
        <w:rPr>
          <w:rFonts w:ascii="Arial" w:hAnsi="Arial" w:cs="Arial"/>
          <w:sz w:val="22"/>
        </w:rPr>
        <w:t xml:space="preserve"> ,A., Rameez Naqvi ,S., &amp; and </w:t>
      </w:r>
      <w:proofErr w:type="spellStart"/>
      <w:r w:rsidRPr="00BE2EDB">
        <w:rPr>
          <w:rFonts w:ascii="Arial" w:hAnsi="Arial" w:cs="Arial"/>
          <w:sz w:val="22"/>
        </w:rPr>
        <w:t>Bouroubi</w:t>
      </w:r>
      <w:proofErr w:type="spellEnd"/>
      <w:r w:rsidRPr="00BE2EDB">
        <w:rPr>
          <w:rFonts w:ascii="Arial" w:hAnsi="Arial" w:cs="Arial"/>
          <w:sz w:val="22"/>
        </w:rPr>
        <w:t xml:space="preserve">, Y. (2021). Advancements in satellite image classification: Methodologies, techniques, approaches and applications. </w:t>
      </w:r>
      <w:r w:rsidRPr="00BE2EDB">
        <w:rPr>
          <w:rFonts w:ascii="Arial" w:hAnsi="Arial" w:cs="Arial"/>
          <w:i/>
          <w:iCs/>
          <w:sz w:val="22"/>
        </w:rPr>
        <w:t>International Journal of Remote Sensing</w:t>
      </w:r>
      <w:r w:rsidRPr="00BE2EDB">
        <w:rPr>
          <w:rFonts w:ascii="Arial" w:hAnsi="Arial" w:cs="Arial"/>
          <w:sz w:val="22"/>
        </w:rPr>
        <w:t xml:space="preserve">, </w:t>
      </w:r>
      <w:r w:rsidRPr="00BE2EDB">
        <w:rPr>
          <w:rFonts w:ascii="Arial" w:hAnsi="Arial" w:cs="Arial"/>
          <w:i/>
          <w:iCs/>
          <w:sz w:val="22"/>
        </w:rPr>
        <w:t>42</w:t>
      </w:r>
      <w:r w:rsidRPr="00BE2EDB">
        <w:rPr>
          <w:rFonts w:ascii="Arial" w:hAnsi="Arial" w:cs="Arial"/>
          <w:sz w:val="22"/>
        </w:rPr>
        <w:t>(20), 7662–7722. https://doi.org/10.1080/01431161.2021.1954261</w:t>
      </w:r>
    </w:p>
    <w:p w14:paraId="3472E8B5"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García Sánchez, F., &amp; </w:t>
      </w:r>
      <w:proofErr w:type="spellStart"/>
      <w:r w:rsidRPr="00BE2EDB">
        <w:rPr>
          <w:rFonts w:ascii="Arial" w:hAnsi="Arial" w:cs="Arial"/>
          <w:sz w:val="22"/>
        </w:rPr>
        <w:t>Govindarajulu</w:t>
      </w:r>
      <w:proofErr w:type="spellEnd"/>
      <w:r w:rsidRPr="00BE2EDB">
        <w:rPr>
          <w:rFonts w:ascii="Arial" w:hAnsi="Arial" w:cs="Arial"/>
          <w:sz w:val="22"/>
        </w:rPr>
        <w:t xml:space="preserve">, D. (2023). Integrating blue-green infrastructure in urban planning for climate adaptation: Lessons from Chennai and Kochi, India. </w:t>
      </w:r>
      <w:r w:rsidRPr="00BE2EDB">
        <w:rPr>
          <w:rFonts w:ascii="Arial" w:hAnsi="Arial" w:cs="Arial"/>
          <w:i/>
          <w:iCs/>
          <w:sz w:val="22"/>
        </w:rPr>
        <w:t>Land Use Policy</w:t>
      </w:r>
      <w:r w:rsidRPr="00BE2EDB">
        <w:rPr>
          <w:rFonts w:ascii="Arial" w:hAnsi="Arial" w:cs="Arial"/>
          <w:sz w:val="22"/>
        </w:rPr>
        <w:t xml:space="preserve">, </w:t>
      </w:r>
      <w:r w:rsidRPr="00BE2EDB">
        <w:rPr>
          <w:rFonts w:ascii="Arial" w:hAnsi="Arial" w:cs="Arial"/>
          <w:i/>
          <w:iCs/>
          <w:sz w:val="22"/>
        </w:rPr>
        <w:t>124</w:t>
      </w:r>
      <w:r w:rsidRPr="00BE2EDB">
        <w:rPr>
          <w:rFonts w:ascii="Arial" w:hAnsi="Arial" w:cs="Arial"/>
          <w:sz w:val="22"/>
        </w:rPr>
        <w:t>, 106455. https://doi.org/10.1016/j.landusepol.2022.106455</w:t>
      </w:r>
    </w:p>
    <w:p w14:paraId="375635D4" w14:textId="77777777" w:rsidR="00BE2EDB" w:rsidRPr="00BE2EDB" w:rsidRDefault="00BE2EDB" w:rsidP="00BE2EDB">
      <w:pPr>
        <w:pStyle w:val="Bibliography"/>
        <w:numPr>
          <w:ilvl w:val="0"/>
          <w:numId w:val="32"/>
        </w:numPr>
        <w:jc w:val="both"/>
        <w:rPr>
          <w:rFonts w:ascii="Arial" w:hAnsi="Arial" w:cs="Arial"/>
          <w:sz w:val="22"/>
        </w:rPr>
      </w:pPr>
      <w:proofErr w:type="spellStart"/>
      <w:r w:rsidRPr="00BE2EDB">
        <w:rPr>
          <w:rFonts w:ascii="Arial" w:hAnsi="Arial" w:cs="Arial"/>
          <w:sz w:val="22"/>
        </w:rPr>
        <w:t>Govindarajulu</w:t>
      </w:r>
      <w:proofErr w:type="spellEnd"/>
      <w:r w:rsidRPr="00BE2EDB">
        <w:rPr>
          <w:rFonts w:ascii="Arial" w:hAnsi="Arial" w:cs="Arial"/>
          <w:sz w:val="22"/>
        </w:rPr>
        <w:t xml:space="preserve">, D. (2014). Urban green space planning for climate adaptation in Indian cities. </w:t>
      </w:r>
      <w:r w:rsidRPr="00BE2EDB">
        <w:rPr>
          <w:rFonts w:ascii="Arial" w:hAnsi="Arial" w:cs="Arial"/>
          <w:i/>
          <w:iCs/>
          <w:sz w:val="22"/>
        </w:rPr>
        <w:t>Urban Climate</w:t>
      </w:r>
      <w:r w:rsidRPr="00BE2EDB">
        <w:rPr>
          <w:rFonts w:ascii="Arial" w:hAnsi="Arial" w:cs="Arial"/>
          <w:sz w:val="22"/>
        </w:rPr>
        <w:t xml:space="preserve">, </w:t>
      </w:r>
      <w:r w:rsidRPr="00BE2EDB">
        <w:rPr>
          <w:rFonts w:ascii="Arial" w:hAnsi="Arial" w:cs="Arial"/>
          <w:i/>
          <w:iCs/>
          <w:sz w:val="22"/>
        </w:rPr>
        <w:t>10</w:t>
      </w:r>
      <w:r w:rsidRPr="00BE2EDB">
        <w:rPr>
          <w:rFonts w:ascii="Arial" w:hAnsi="Arial" w:cs="Arial"/>
          <w:sz w:val="22"/>
        </w:rPr>
        <w:t>, 35–41. https://doi.org/10.1016/j.uclim.2014.09.006</w:t>
      </w:r>
    </w:p>
    <w:p w14:paraId="015BEA33" w14:textId="77777777" w:rsidR="00BE2EDB" w:rsidRPr="00BE2EDB" w:rsidRDefault="00BE2EDB" w:rsidP="00BE2EDB">
      <w:pPr>
        <w:pStyle w:val="Bibliography"/>
        <w:numPr>
          <w:ilvl w:val="0"/>
          <w:numId w:val="32"/>
        </w:numPr>
        <w:jc w:val="both"/>
        <w:rPr>
          <w:rFonts w:ascii="Arial" w:hAnsi="Arial" w:cs="Arial"/>
          <w:sz w:val="22"/>
        </w:rPr>
      </w:pPr>
      <w:proofErr w:type="spellStart"/>
      <w:r w:rsidRPr="00BE2EDB">
        <w:rPr>
          <w:rFonts w:ascii="Arial" w:hAnsi="Arial" w:cs="Arial"/>
          <w:sz w:val="22"/>
        </w:rPr>
        <w:t>Kookana</w:t>
      </w:r>
      <w:proofErr w:type="spellEnd"/>
      <w:r w:rsidRPr="00BE2EDB">
        <w:rPr>
          <w:rFonts w:ascii="Arial" w:hAnsi="Arial" w:cs="Arial"/>
          <w:sz w:val="22"/>
        </w:rPr>
        <w:t xml:space="preserve">, R. S., </w:t>
      </w:r>
      <w:proofErr w:type="spellStart"/>
      <w:r w:rsidRPr="00BE2EDB">
        <w:rPr>
          <w:rFonts w:ascii="Arial" w:hAnsi="Arial" w:cs="Arial"/>
          <w:sz w:val="22"/>
        </w:rPr>
        <w:t>Drechsel</w:t>
      </w:r>
      <w:proofErr w:type="spellEnd"/>
      <w:r w:rsidRPr="00BE2EDB">
        <w:rPr>
          <w:rFonts w:ascii="Arial" w:hAnsi="Arial" w:cs="Arial"/>
          <w:sz w:val="22"/>
        </w:rPr>
        <w:t xml:space="preserve">, P., </w:t>
      </w:r>
      <w:proofErr w:type="spellStart"/>
      <w:r w:rsidRPr="00BE2EDB">
        <w:rPr>
          <w:rFonts w:ascii="Arial" w:hAnsi="Arial" w:cs="Arial"/>
          <w:sz w:val="22"/>
        </w:rPr>
        <w:t>Jamwal</w:t>
      </w:r>
      <w:proofErr w:type="spellEnd"/>
      <w:r w:rsidRPr="00BE2EDB">
        <w:rPr>
          <w:rFonts w:ascii="Arial" w:hAnsi="Arial" w:cs="Arial"/>
          <w:sz w:val="22"/>
        </w:rPr>
        <w:t xml:space="preserve">, P., &amp; </w:t>
      </w:r>
      <w:proofErr w:type="spellStart"/>
      <w:r w:rsidRPr="00BE2EDB">
        <w:rPr>
          <w:rFonts w:ascii="Arial" w:hAnsi="Arial" w:cs="Arial"/>
          <w:sz w:val="22"/>
        </w:rPr>
        <w:t>Vanderzalm</w:t>
      </w:r>
      <w:proofErr w:type="spellEnd"/>
      <w:r w:rsidRPr="00BE2EDB">
        <w:rPr>
          <w:rFonts w:ascii="Arial" w:hAnsi="Arial" w:cs="Arial"/>
          <w:sz w:val="22"/>
        </w:rPr>
        <w:t xml:space="preserve">, J. (2020). </w:t>
      </w:r>
      <w:proofErr w:type="spellStart"/>
      <w:r w:rsidRPr="00BE2EDB">
        <w:rPr>
          <w:rFonts w:ascii="Arial" w:hAnsi="Arial" w:cs="Arial"/>
          <w:sz w:val="22"/>
        </w:rPr>
        <w:t>Urbanisation</w:t>
      </w:r>
      <w:proofErr w:type="spellEnd"/>
      <w:r w:rsidRPr="00BE2EDB">
        <w:rPr>
          <w:rFonts w:ascii="Arial" w:hAnsi="Arial" w:cs="Arial"/>
          <w:sz w:val="22"/>
        </w:rPr>
        <w:t xml:space="preserve"> and emerging economies: Issues and potential solutions for water and food security. </w:t>
      </w:r>
      <w:r w:rsidRPr="00BE2EDB">
        <w:rPr>
          <w:rFonts w:ascii="Arial" w:hAnsi="Arial" w:cs="Arial"/>
          <w:i/>
          <w:iCs/>
          <w:sz w:val="22"/>
        </w:rPr>
        <w:t>Science of The Total Environment</w:t>
      </w:r>
      <w:r w:rsidRPr="00BE2EDB">
        <w:rPr>
          <w:rFonts w:ascii="Arial" w:hAnsi="Arial" w:cs="Arial"/>
          <w:sz w:val="22"/>
        </w:rPr>
        <w:t xml:space="preserve">, </w:t>
      </w:r>
      <w:r w:rsidRPr="00BE2EDB">
        <w:rPr>
          <w:rFonts w:ascii="Arial" w:hAnsi="Arial" w:cs="Arial"/>
          <w:i/>
          <w:iCs/>
          <w:sz w:val="22"/>
        </w:rPr>
        <w:t>732</w:t>
      </w:r>
      <w:r w:rsidRPr="00BE2EDB">
        <w:rPr>
          <w:rFonts w:ascii="Arial" w:hAnsi="Arial" w:cs="Arial"/>
          <w:sz w:val="22"/>
        </w:rPr>
        <w:t>, 139057. https://doi.org/10.1016/j.scitotenv.2020.139057</w:t>
      </w:r>
    </w:p>
    <w:p w14:paraId="3E345462"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Kumar, P., </w:t>
      </w:r>
      <w:proofErr w:type="spellStart"/>
      <w:r w:rsidRPr="00BE2EDB">
        <w:rPr>
          <w:rFonts w:ascii="Arial" w:hAnsi="Arial" w:cs="Arial"/>
          <w:sz w:val="22"/>
        </w:rPr>
        <w:t>Druckman</w:t>
      </w:r>
      <w:proofErr w:type="spellEnd"/>
      <w:r w:rsidRPr="00BE2EDB">
        <w:rPr>
          <w:rFonts w:ascii="Arial" w:hAnsi="Arial" w:cs="Arial"/>
          <w:sz w:val="22"/>
        </w:rPr>
        <w:t xml:space="preserve">, A., Gallagher, J., </w:t>
      </w:r>
      <w:proofErr w:type="spellStart"/>
      <w:r w:rsidRPr="00BE2EDB">
        <w:rPr>
          <w:rFonts w:ascii="Arial" w:hAnsi="Arial" w:cs="Arial"/>
          <w:sz w:val="22"/>
        </w:rPr>
        <w:t>Gatersleben</w:t>
      </w:r>
      <w:proofErr w:type="spellEnd"/>
      <w:r w:rsidRPr="00BE2EDB">
        <w:rPr>
          <w:rFonts w:ascii="Arial" w:hAnsi="Arial" w:cs="Arial"/>
          <w:sz w:val="22"/>
        </w:rPr>
        <w:t xml:space="preserve">, B., Allison, S., Eisenman, T. S., Hoang, U., Hama, S., Tiwari, A., Sharma, A., </w:t>
      </w:r>
      <w:proofErr w:type="spellStart"/>
      <w:r w:rsidRPr="00BE2EDB">
        <w:rPr>
          <w:rFonts w:ascii="Arial" w:hAnsi="Arial" w:cs="Arial"/>
          <w:sz w:val="22"/>
        </w:rPr>
        <w:t>Abhijith</w:t>
      </w:r>
      <w:proofErr w:type="spellEnd"/>
      <w:r w:rsidRPr="00BE2EDB">
        <w:rPr>
          <w:rFonts w:ascii="Arial" w:hAnsi="Arial" w:cs="Arial"/>
          <w:sz w:val="22"/>
        </w:rPr>
        <w:t xml:space="preserve">, K. V., Adlakha, D., </w:t>
      </w:r>
      <w:proofErr w:type="spellStart"/>
      <w:r w:rsidRPr="00BE2EDB">
        <w:rPr>
          <w:rFonts w:ascii="Arial" w:hAnsi="Arial" w:cs="Arial"/>
          <w:sz w:val="22"/>
        </w:rPr>
        <w:t>McNabola</w:t>
      </w:r>
      <w:proofErr w:type="spellEnd"/>
      <w:r w:rsidRPr="00BE2EDB">
        <w:rPr>
          <w:rFonts w:ascii="Arial" w:hAnsi="Arial" w:cs="Arial"/>
          <w:sz w:val="22"/>
        </w:rPr>
        <w:t xml:space="preserve">, A., Astell-Burt, T., Feng, X., </w:t>
      </w:r>
      <w:proofErr w:type="spellStart"/>
      <w:r w:rsidRPr="00BE2EDB">
        <w:rPr>
          <w:rFonts w:ascii="Arial" w:hAnsi="Arial" w:cs="Arial"/>
          <w:sz w:val="22"/>
        </w:rPr>
        <w:t>Skeldon</w:t>
      </w:r>
      <w:proofErr w:type="spellEnd"/>
      <w:r w:rsidRPr="00BE2EDB">
        <w:rPr>
          <w:rFonts w:ascii="Arial" w:hAnsi="Arial" w:cs="Arial"/>
          <w:sz w:val="22"/>
        </w:rPr>
        <w:t xml:space="preserve">, A. C., de Lusignan, S., &amp; </w:t>
      </w:r>
      <w:proofErr w:type="spellStart"/>
      <w:r w:rsidRPr="00BE2EDB">
        <w:rPr>
          <w:rFonts w:ascii="Arial" w:hAnsi="Arial" w:cs="Arial"/>
          <w:sz w:val="22"/>
        </w:rPr>
        <w:t>Morawska</w:t>
      </w:r>
      <w:proofErr w:type="spellEnd"/>
      <w:r w:rsidRPr="00BE2EDB">
        <w:rPr>
          <w:rFonts w:ascii="Arial" w:hAnsi="Arial" w:cs="Arial"/>
          <w:sz w:val="22"/>
        </w:rPr>
        <w:t xml:space="preserve">, L. (2019). The nexus between air pollution, green infrastructure and human health. </w:t>
      </w:r>
      <w:r w:rsidRPr="00BE2EDB">
        <w:rPr>
          <w:rFonts w:ascii="Arial" w:hAnsi="Arial" w:cs="Arial"/>
          <w:i/>
          <w:iCs/>
          <w:sz w:val="22"/>
        </w:rPr>
        <w:t>Environment International</w:t>
      </w:r>
      <w:r w:rsidRPr="00BE2EDB">
        <w:rPr>
          <w:rFonts w:ascii="Arial" w:hAnsi="Arial" w:cs="Arial"/>
          <w:sz w:val="22"/>
        </w:rPr>
        <w:t xml:space="preserve">, </w:t>
      </w:r>
      <w:r w:rsidRPr="00BE2EDB">
        <w:rPr>
          <w:rFonts w:ascii="Arial" w:hAnsi="Arial" w:cs="Arial"/>
          <w:i/>
          <w:iCs/>
          <w:sz w:val="22"/>
        </w:rPr>
        <w:t>133</w:t>
      </w:r>
      <w:r w:rsidRPr="00BE2EDB">
        <w:rPr>
          <w:rFonts w:ascii="Arial" w:hAnsi="Arial" w:cs="Arial"/>
          <w:sz w:val="22"/>
        </w:rPr>
        <w:t>, 105181. https://doi.org/10.1016/j.envint.2019.105181</w:t>
      </w:r>
    </w:p>
    <w:p w14:paraId="789613BC"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La Rosa, D. (2014). Accessibility to greenspaces: GIS based indicators for sustainable planning in a dense urban context. </w:t>
      </w:r>
      <w:r w:rsidRPr="00BE2EDB">
        <w:rPr>
          <w:rFonts w:ascii="Arial" w:hAnsi="Arial" w:cs="Arial"/>
          <w:i/>
          <w:iCs/>
          <w:sz w:val="22"/>
        </w:rPr>
        <w:t>Ecological Indicators</w:t>
      </w:r>
      <w:r w:rsidRPr="00BE2EDB">
        <w:rPr>
          <w:rFonts w:ascii="Arial" w:hAnsi="Arial" w:cs="Arial"/>
          <w:sz w:val="22"/>
        </w:rPr>
        <w:t xml:space="preserve">, </w:t>
      </w:r>
      <w:r w:rsidRPr="00BE2EDB">
        <w:rPr>
          <w:rFonts w:ascii="Arial" w:hAnsi="Arial" w:cs="Arial"/>
          <w:i/>
          <w:iCs/>
          <w:sz w:val="22"/>
        </w:rPr>
        <w:t>42</w:t>
      </w:r>
      <w:r w:rsidRPr="00BE2EDB">
        <w:rPr>
          <w:rFonts w:ascii="Arial" w:hAnsi="Arial" w:cs="Arial"/>
          <w:sz w:val="22"/>
        </w:rPr>
        <w:t>, 122–134. https://doi.org/10.1016/j.ecolind.2013.11.011</w:t>
      </w:r>
    </w:p>
    <w:p w14:paraId="307FFA53"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Li, Q., Thapa, S., Hu, X., Luo, Z., &amp; Gibson, D. J. (2022). The Relationship between Urban Green Space and Urban Expansion Based on Gravity Methods. </w:t>
      </w:r>
      <w:r w:rsidRPr="00BE2EDB">
        <w:rPr>
          <w:rFonts w:ascii="Arial" w:hAnsi="Arial" w:cs="Arial"/>
          <w:i/>
          <w:iCs/>
          <w:sz w:val="22"/>
        </w:rPr>
        <w:t>Sustainability</w:t>
      </w:r>
      <w:r w:rsidRPr="00BE2EDB">
        <w:rPr>
          <w:rFonts w:ascii="Arial" w:hAnsi="Arial" w:cs="Arial"/>
          <w:sz w:val="22"/>
        </w:rPr>
        <w:t xml:space="preserve">, </w:t>
      </w:r>
      <w:r w:rsidRPr="00BE2EDB">
        <w:rPr>
          <w:rFonts w:ascii="Arial" w:hAnsi="Arial" w:cs="Arial"/>
          <w:i/>
          <w:iCs/>
          <w:sz w:val="22"/>
        </w:rPr>
        <w:t>14</w:t>
      </w:r>
      <w:r w:rsidRPr="00BE2EDB">
        <w:rPr>
          <w:rFonts w:ascii="Arial" w:hAnsi="Arial" w:cs="Arial"/>
          <w:sz w:val="22"/>
        </w:rPr>
        <w:t>(9), Article 9. https://doi.org/10.3390/su14095396</w:t>
      </w:r>
    </w:p>
    <w:p w14:paraId="38B312B3"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Machado, R., </w:t>
      </w:r>
      <w:proofErr w:type="spellStart"/>
      <w:proofErr w:type="gramStart"/>
      <w:r w:rsidRPr="00BE2EDB">
        <w:rPr>
          <w:rFonts w:ascii="Arial" w:hAnsi="Arial" w:cs="Arial"/>
          <w:sz w:val="22"/>
        </w:rPr>
        <w:t>Godinho</w:t>
      </w:r>
      <w:proofErr w:type="spellEnd"/>
      <w:r w:rsidRPr="00BE2EDB">
        <w:rPr>
          <w:rFonts w:ascii="Arial" w:hAnsi="Arial" w:cs="Arial"/>
          <w:sz w:val="22"/>
        </w:rPr>
        <w:t xml:space="preserve"> ,</w:t>
      </w:r>
      <w:proofErr w:type="spellStart"/>
      <w:r w:rsidRPr="00BE2EDB">
        <w:rPr>
          <w:rFonts w:ascii="Arial" w:hAnsi="Arial" w:cs="Arial"/>
          <w:sz w:val="22"/>
        </w:rPr>
        <w:t>Sérgio</w:t>
      </w:r>
      <w:proofErr w:type="spellEnd"/>
      <w:proofErr w:type="gramEnd"/>
      <w:r w:rsidRPr="00BE2EDB">
        <w:rPr>
          <w:rFonts w:ascii="Arial" w:hAnsi="Arial" w:cs="Arial"/>
          <w:sz w:val="22"/>
        </w:rPr>
        <w:t xml:space="preserve">, </w:t>
      </w:r>
      <w:proofErr w:type="spellStart"/>
      <w:r w:rsidRPr="00BE2EDB">
        <w:rPr>
          <w:rFonts w:ascii="Arial" w:hAnsi="Arial" w:cs="Arial"/>
          <w:sz w:val="22"/>
        </w:rPr>
        <w:t>Pirnat</w:t>
      </w:r>
      <w:proofErr w:type="spellEnd"/>
      <w:r w:rsidRPr="00BE2EDB">
        <w:rPr>
          <w:rFonts w:ascii="Arial" w:hAnsi="Arial" w:cs="Arial"/>
          <w:sz w:val="22"/>
        </w:rPr>
        <w:t xml:space="preserve"> ,</w:t>
      </w:r>
      <w:proofErr w:type="spellStart"/>
      <w:r w:rsidRPr="00BE2EDB">
        <w:rPr>
          <w:rFonts w:ascii="Arial" w:hAnsi="Arial" w:cs="Arial"/>
          <w:sz w:val="22"/>
        </w:rPr>
        <w:t>Janez</w:t>
      </w:r>
      <w:proofErr w:type="spellEnd"/>
      <w:r w:rsidRPr="00BE2EDB">
        <w:rPr>
          <w:rFonts w:ascii="Arial" w:hAnsi="Arial" w:cs="Arial"/>
          <w:sz w:val="22"/>
        </w:rPr>
        <w:t xml:space="preserve">, Neves ,Nuno, &amp; and Santos, P. (2018). Assessment of landscape composition and configuration via spatial </w:t>
      </w:r>
      <w:r w:rsidRPr="00BE2EDB">
        <w:rPr>
          <w:rFonts w:ascii="Arial" w:hAnsi="Arial" w:cs="Arial"/>
          <w:sz w:val="22"/>
        </w:rPr>
        <w:lastRenderedPageBreak/>
        <w:t xml:space="preserve">metrics combination: Conceptual framework proposal and method improvement. </w:t>
      </w:r>
      <w:r w:rsidRPr="00BE2EDB">
        <w:rPr>
          <w:rFonts w:ascii="Arial" w:hAnsi="Arial" w:cs="Arial"/>
          <w:i/>
          <w:iCs/>
          <w:sz w:val="22"/>
        </w:rPr>
        <w:t>Landscape Research</w:t>
      </w:r>
      <w:r w:rsidRPr="00BE2EDB">
        <w:rPr>
          <w:rFonts w:ascii="Arial" w:hAnsi="Arial" w:cs="Arial"/>
          <w:sz w:val="22"/>
        </w:rPr>
        <w:t xml:space="preserve">, </w:t>
      </w:r>
      <w:r w:rsidRPr="00BE2EDB">
        <w:rPr>
          <w:rFonts w:ascii="Arial" w:hAnsi="Arial" w:cs="Arial"/>
          <w:i/>
          <w:iCs/>
          <w:sz w:val="22"/>
        </w:rPr>
        <w:t>43</w:t>
      </w:r>
      <w:r w:rsidRPr="00BE2EDB">
        <w:rPr>
          <w:rFonts w:ascii="Arial" w:hAnsi="Arial" w:cs="Arial"/>
          <w:sz w:val="22"/>
        </w:rPr>
        <w:t>(5), 652–664. https://doi.org/10.1080/01426397.2017.1336757</w:t>
      </w:r>
    </w:p>
    <w:p w14:paraId="48E140FB"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Mitchell, B. C., Chakraborty, J., &amp; </w:t>
      </w:r>
      <w:proofErr w:type="spellStart"/>
      <w:r w:rsidRPr="00BE2EDB">
        <w:rPr>
          <w:rFonts w:ascii="Arial" w:hAnsi="Arial" w:cs="Arial"/>
          <w:sz w:val="22"/>
        </w:rPr>
        <w:t>Basu</w:t>
      </w:r>
      <w:proofErr w:type="spellEnd"/>
      <w:r w:rsidRPr="00BE2EDB">
        <w:rPr>
          <w:rFonts w:ascii="Arial" w:hAnsi="Arial" w:cs="Arial"/>
          <w:sz w:val="22"/>
        </w:rPr>
        <w:t xml:space="preserve">, P. (2021). Social Inequities in Urban Heat and Greenspace: Analyzing Climate Justice in Delhi, India. </w:t>
      </w:r>
      <w:r w:rsidRPr="00BE2EDB">
        <w:rPr>
          <w:rFonts w:ascii="Arial" w:hAnsi="Arial" w:cs="Arial"/>
          <w:i/>
          <w:iCs/>
          <w:sz w:val="22"/>
        </w:rPr>
        <w:t>International Journal of Environmental Research and Public Health</w:t>
      </w:r>
      <w:r w:rsidRPr="00BE2EDB">
        <w:rPr>
          <w:rFonts w:ascii="Arial" w:hAnsi="Arial" w:cs="Arial"/>
          <w:sz w:val="22"/>
        </w:rPr>
        <w:t xml:space="preserve">, </w:t>
      </w:r>
      <w:r w:rsidRPr="00BE2EDB">
        <w:rPr>
          <w:rFonts w:ascii="Arial" w:hAnsi="Arial" w:cs="Arial"/>
          <w:i/>
          <w:iCs/>
          <w:sz w:val="22"/>
        </w:rPr>
        <w:t>18</w:t>
      </w:r>
      <w:r w:rsidRPr="00BE2EDB">
        <w:rPr>
          <w:rFonts w:ascii="Arial" w:hAnsi="Arial" w:cs="Arial"/>
          <w:sz w:val="22"/>
        </w:rPr>
        <w:t>(9), 4800. https://doi.org/10.3390/ijerph18094800</w:t>
      </w:r>
    </w:p>
    <w:p w14:paraId="0486C2DE" w14:textId="77777777" w:rsidR="00BE2EDB" w:rsidRPr="00BE2EDB" w:rsidRDefault="00BE2EDB" w:rsidP="00BE2EDB">
      <w:pPr>
        <w:pStyle w:val="Bibliography"/>
        <w:numPr>
          <w:ilvl w:val="0"/>
          <w:numId w:val="32"/>
        </w:numPr>
        <w:jc w:val="both"/>
        <w:rPr>
          <w:rFonts w:ascii="Arial" w:hAnsi="Arial" w:cs="Arial"/>
          <w:sz w:val="22"/>
        </w:rPr>
      </w:pPr>
      <w:proofErr w:type="spellStart"/>
      <w:r w:rsidRPr="00BE2EDB">
        <w:rPr>
          <w:rFonts w:ascii="Arial" w:hAnsi="Arial" w:cs="Arial"/>
          <w:sz w:val="22"/>
        </w:rPr>
        <w:t>Momm-Schult</w:t>
      </w:r>
      <w:proofErr w:type="spellEnd"/>
      <w:r w:rsidRPr="00BE2EDB">
        <w:rPr>
          <w:rFonts w:ascii="Arial" w:hAnsi="Arial" w:cs="Arial"/>
          <w:sz w:val="22"/>
        </w:rPr>
        <w:t xml:space="preserve">, S. I., </w:t>
      </w:r>
      <w:proofErr w:type="gramStart"/>
      <w:r w:rsidRPr="00BE2EDB">
        <w:rPr>
          <w:rFonts w:ascii="Arial" w:hAnsi="Arial" w:cs="Arial"/>
          <w:sz w:val="22"/>
        </w:rPr>
        <w:t>Piper ,Jake</w:t>
      </w:r>
      <w:proofErr w:type="gramEnd"/>
      <w:r w:rsidRPr="00BE2EDB">
        <w:rPr>
          <w:rFonts w:ascii="Arial" w:hAnsi="Arial" w:cs="Arial"/>
          <w:sz w:val="22"/>
        </w:rPr>
        <w:t xml:space="preserve">, </w:t>
      </w:r>
      <w:proofErr w:type="spellStart"/>
      <w:r w:rsidRPr="00BE2EDB">
        <w:rPr>
          <w:rFonts w:ascii="Arial" w:hAnsi="Arial" w:cs="Arial"/>
          <w:sz w:val="22"/>
        </w:rPr>
        <w:t>Denaldi</w:t>
      </w:r>
      <w:proofErr w:type="spellEnd"/>
      <w:r w:rsidRPr="00BE2EDB">
        <w:rPr>
          <w:rFonts w:ascii="Arial" w:hAnsi="Arial" w:cs="Arial"/>
          <w:sz w:val="22"/>
        </w:rPr>
        <w:t xml:space="preserve"> ,Rosana, Freitas ,Simone Rodrigues, Fonseca ,Maria de Lourdes Pereira, &amp; and Oliveira, V. E. de. (2013). Integration of urban and environmental policies in the metropolitan area of São Paulo and in Greater London: The value of establishing and protecting green open spaces. </w:t>
      </w:r>
      <w:r w:rsidRPr="00BE2EDB">
        <w:rPr>
          <w:rFonts w:ascii="Arial" w:hAnsi="Arial" w:cs="Arial"/>
          <w:i/>
          <w:iCs/>
          <w:sz w:val="22"/>
        </w:rPr>
        <w:t>International Journal of Urban Sustainable Development</w:t>
      </w:r>
      <w:r w:rsidRPr="00BE2EDB">
        <w:rPr>
          <w:rFonts w:ascii="Arial" w:hAnsi="Arial" w:cs="Arial"/>
          <w:sz w:val="22"/>
        </w:rPr>
        <w:t xml:space="preserve">, </w:t>
      </w:r>
      <w:r w:rsidRPr="00BE2EDB">
        <w:rPr>
          <w:rFonts w:ascii="Arial" w:hAnsi="Arial" w:cs="Arial"/>
          <w:i/>
          <w:iCs/>
          <w:sz w:val="22"/>
        </w:rPr>
        <w:t>5</w:t>
      </w:r>
      <w:r w:rsidRPr="00BE2EDB">
        <w:rPr>
          <w:rFonts w:ascii="Arial" w:hAnsi="Arial" w:cs="Arial"/>
          <w:sz w:val="22"/>
        </w:rPr>
        <w:t>(1), 89–104. https://doi.org/10.1080/19463138.2013.777671</w:t>
      </w:r>
    </w:p>
    <w:p w14:paraId="40EE5E6B" w14:textId="77777777" w:rsidR="00BE2EDB" w:rsidRPr="00BE2EDB" w:rsidRDefault="00BE2EDB" w:rsidP="00BE2EDB">
      <w:pPr>
        <w:pStyle w:val="Bibliography"/>
        <w:numPr>
          <w:ilvl w:val="0"/>
          <w:numId w:val="32"/>
        </w:numPr>
        <w:jc w:val="both"/>
        <w:rPr>
          <w:rFonts w:ascii="Arial" w:hAnsi="Arial" w:cs="Arial"/>
          <w:sz w:val="22"/>
        </w:rPr>
      </w:pPr>
      <w:proofErr w:type="spellStart"/>
      <w:r w:rsidRPr="00BE2EDB">
        <w:rPr>
          <w:rFonts w:ascii="Arial" w:hAnsi="Arial" w:cs="Arial"/>
          <w:sz w:val="22"/>
        </w:rPr>
        <w:t>Mookherjee</w:t>
      </w:r>
      <w:proofErr w:type="spellEnd"/>
      <w:r w:rsidRPr="00BE2EDB">
        <w:rPr>
          <w:rFonts w:ascii="Arial" w:hAnsi="Arial" w:cs="Arial"/>
          <w:sz w:val="22"/>
        </w:rPr>
        <w:t xml:space="preserve">, D., </w:t>
      </w:r>
      <w:proofErr w:type="gramStart"/>
      <w:r w:rsidRPr="00BE2EDB">
        <w:rPr>
          <w:rFonts w:ascii="Arial" w:hAnsi="Arial" w:cs="Arial"/>
          <w:sz w:val="22"/>
        </w:rPr>
        <w:t>Geyer ,</w:t>
      </w:r>
      <w:proofErr w:type="gramEnd"/>
      <w:r w:rsidRPr="00BE2EDB">
        <w:rPr>
          <w:rFonts w:ascii="Arial" w:hAnsi="Arial" w:cs="Arial"/>
          <w:sz w:val="22"/>
        </w:rPr>
        <w:t xml:space="preserve">H.S., &amp; and </w:t>
      </w:r>
      <w:proofErr w:type="spellStart"/>
      <w:r w:rsidRPr="00BE2EDB">
        <w:rPr>
          <w:rFonts w:ascii="Arial" w:hAnsi="Arial" w:cs="Arial"/>
          <w:sz w:val="22"/>
        </w:rPr>
        <w:t>Hoerauf</w:t>
      </w:r>
      <w:proofErr w:type="spellEnd"/>
      <w:r w:rsidRPr="00BE2EDB">
        <w:rPr>
          <w:rFonts w:ascii="Arial" w:hAnsi="Arial" w:cs="Arial"/>
          <w:sz w:val="22"/>
        </w:rPr>
        <w:t xml:space="preserve">, E. (2015). Dynamics of an Evolving City-Region in the Developing World: The National Capital Region of Delhi Revisited. </w:t>
      </w:r>
      <w:r w:rsidRPr="00BE2EDB">
        <w:rPr>
          <w:rFonts w:ascii="Arial" w:hAnsi="Arial" w:cs="Arial"/>
          <w:i/>
          <w:iCs/>
          <w:sz w:val="22"/>
        </w:rPr>
        <w:t>International Planning Studies</w:t>
      </w:r>
      <w:r w:rsidRPr="00BE2EDB">
        <w:rPr>
          <w:rFonts w:ascii="Arial" w:hAnsi="Arial" w:cs="Arial"/>
          <w:sz w:val="22"/>
        </w:rPr>
        <w:t xml:space="preserve">, </w:t>
      </w:r>
      <w:r w:rsidRPr="00BE2EDB">
        <w:rPr>
          <w:rFonts w:ascii="Arial" w:hAnsi="Arial" w:cs="Arial"/>
          <w:i/>
          <w:iCs/>
          <w:sz w:val="22"/>
        </w:rPr>
        <w:t>20</w:t>
      </w:r>
      <w:r w:rsidRPr="00BE2EDB">
        <w:rPr>
          <w:rFonts w:ascii="Arial" w:hAnsi="Arial" w:cs="Arial"/>
          <w:sz w:val="22"/>
        </w:rPr>
        <w:t>(1–2), 146–160. https://doi.org/10.1080/13563475.2014.942515</w:t>
      </w:r>
    </w:p>
    <w:p w14:paraId="13A90950"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Morales-</w:t>
      </w:r>
      <w:proofErr w:type="spellStart"/>
      <w:r w:rsidRPr="00BE2EDB">
        <w:rPr>
          <w:rFonts w:ascii="Arial" w:hAnsi="Arial" w:cs="Arial"/>
          <w:sz w:val="22"/>
        </w:rPr>
        <w:t>Barquero</w:t>
      </w:r>
      <w:proofErr w:type="spellEnd"/>
      <w:r w:rsidRPr="00BE2EDB">
        <w:rPr>
          <w:rFonts w:ascii="Arial" w:hAnsi="Arial" w:cs="Arial"/>
          <w:sz w:val="22"/>
        </w:rPr>
        <w:t xml:space="preserve">, L., Lyons, M. B., </w:t>
      </w:r>
      <w:proofErr w:type="spellStart"/>
      <w:r w:rsidRPr="00BE2EDB">
        <w:rPr>
          <w:rFonts w:ascii="Arial" w:hAnsi="Arial" w:cs="Arial"/>
          <w:sz w:val="22"/>
        </w:rPr>
        <w:t>Phinn</w:t>
      </w:r>
      <w:proofErr w:type="spellEnd"/>
      <w:r w:rsidRPr="00BE2EDB">
        <w:rPr>
          <w:rFonts w:ascii="Arial" w:hAnsi="Arial" w:cs="Arial"/>
          <w:sz w:val="22"/>
        </w:rPr>
        <w:t xml:space="preserve">, S. R., &amp; </w:t>
      </w:r>
      <w:proofErr w:type="spellStart"/>
      <w:r w:rsidRPr="00BE2EDB">
        <w:rPr>
          <w:rFonts w:ascii="Arial" w:hAnsi="Arial" w:cs="Arial"/>
          <w:sz w:val="22"/>
        </w:rPr>
        <w:t>Roelfsema</w:t>
      </w:r>
      <w:proofErr w:type="spellEnd"/>
      <w:r w:rsidRPr="00BE2EDB">
        <w:rPr>
          <w:rFonts w:ascii="Arial" w:hAnsi="Arial" w:cs="Arial"/>
          <w:sz w:val="22"/>
        </w:rPr>
        <w:t xml:space="preserve">, C. M. (2019). Trends in Remote Sensing Accuracy Assessment Approaches in the Context of Natural Resources. </w:t>
      </w:r>
      <w:r w:rsidRPr="00BE2EDB">
        <w:rPr>
          <w:rFonts w:ascii="Arial" w:hAnsi="Arial" w:cs="Arial"/>
          <w:i/>
          <w:iCs/>
          <w:sz w:val="22"/>
        </w:rPr>
        <w:t>Remote Sensing</w:t>
      </w:r>
      <w:r w:rsidRPr="00BE2EDB">
        <w:rPr>
          <w:rFonts w:ascii="Arial" w:hAnsi="Arial" w:cs="Arial"/>
          <w:sz w:val="22"/>
        </w:rPr>
        <w:t xml:space="preserve">, </w:t>
      </w:r>
      <w:r w:rsidRPr="00BE2EDB">
        <w:rPr>
          <w:rFonts w:ascii="Arial" w:hAnsi="Arial" w:cs="Arial"/>
          <w:i/>
          <w:iCs/>
          <w:sz w:val="22"/>
        </w:rPr>
        <w:t>11</w:t>
      </w:r>
      <w:r w:rsidRPr="00BE2EDB">
        <w:rPr>
          <w:rFonts w:ascii="Arial" w:hAnsi="Arial" w:cs="Arial"/>
          <w:sz w:val="22"/>
        </w:rPr>
        <w:t>(19), Article 19. https://doi.org/10.3390/rs11192305</w:t>
      </w:r>
    </w:p>
    <w:p w14:paraId="56D6FEC1" w14:textId="77777777" w:rsidR="00BE2EDB" w:rsidRPr="00BE2EDB" w:rsidRDefault="00BE2EDB" w:rsidP="00BE2EDB">
      <w:pPr>
        <w:pStyle w:val="Bibliography"/>
        <w:numPr>
          <w:ilvl w:val="0"/>
          <w:numId w:val="32"/>
        </w:numPr>
        <w:jc w:val="both"/>
        <w:rPr>
          <w:rFonts w:ascii="Arial" w:hAnsi="Arial" w:cs="Arial"/>
          <w:sz w:val="22"/>
        </w:rPr>
      </w:pPr>
      <w:proofErr w:type="spellStart"/>
      <w:r w:rsidRPr="00BE2EDB">
        <w:rPr>
          <w:rFonts w:ascii="Arial" w:hAnsi="Arial" w:cs="Arial"/>
          <w:sz w:val="22"/>
        </w:rPr>
        <w:t>Noszczyk</w:t>
      </w:r>
      <w:proofErr w:type="spellEnd"/>
      <w:r w:rsidRPr="00BE2EDB">
        <w:rPr>
          <w:rFonts w:ascii="Arial" w:hAnsi="Arial" w:cs="Arial"/>
          <w:sz w:val="22"/>
        </w:rPr>
        <w:t xml:space="preserve">, T. (2019). A review of approaches to land use changes modeling. </w:t>
      </w:r>
      <w:r w:rsidRPr="00BE2EDB">
        <w:rPr>
          <w:rFonts w:ascii="Arial" w:hAnsi="Arial" w:cs="Arial"/>
          <w:i/>
          <w:iCs/>
          <w:sz w:val="22"/>
        </w:rPr>
        <w:t>Human and Ecological Risk Assessment: An International Journal</w:t>
      </w:r>
      <w:r w:rsidRPr="00BE2EDB">
        <w:rPr>
          <w:rFonts w:ascii="Arial" w:hAnsi="Arial" w:cs="Arial"/>
          <w:sz w:val="22"/>
        </w:rPr>
        <w:t xml:space="preserve">, </w:t>
      </w:r>
      <w:r w:rsidRPr="00BE2EDB">
        <w:rPr>
          <w:rFonts w:ascii="Arial" w:hAnsi="Arial" w:cs="Arial"/>
          <w:i/>
          <w:iCs/>
          <w:sz w:val="22"/>
        </w:rPr>
        <w:t>25</w:t>
      </w:r>
      <w:r w:rsidRPr="00BE2EDB">
        <w:rPr>
          <w:rFonts w:ascii="Arial" w:hAnsi="Arial" w:cs="Arial"/>
          <w:sz w:val="22"/>
        </w:rPr>
        <w:t>(6), 1377–1405. https://doi.org/10.1080/10807039.2018.1468994</w:t>
      </w:r>
    </w:p>
    <w:p w14:paraId="10F810E7" w14:textId="77777777" w:rsidR="00BE2EDB" w:rsidRPr="00BE2EDB" w:rsidRDefault="00BE2EDB" w:rsidP="00BE2EDB">
      <w:pPr>
        <w:pStyle w:val="Bibliography"/>
        <w:numPr>
          <w:ilvl w:val="0"/>
          <w:numId w:val="32"/>
        </w:numPr>
        <w:jc w:val="both"/>
        <w:rPr>
          <w:rFonts w:ascii="Arial" w:hAnsi="Arial" w:cs="Arial"/>
          <w:sz w:val="22"/>
        </w:rPr>
      </w:pPr>
      <w:proofErr w:type="spellStart"/>
      <w:r w:rsidRPr="00BE2EDB">
        <w:rPr>
          <w:rFonts w:ascii="Arial" w:hAnsi="Arial" w:cs="Arial"/>
          <w:sz w:val="22"/>
        </w:rPr>
        <w:t>Plexida</w:t>
      </w:r>
      <w:proofErr w:type="spellEnd"/>
      <w:r w:rsidRPr="00BE2EDB">
        <w:rPr>
          <w:rFonts w:ascii="Arial" w:hAnsi="Arial" w:cs="Arial"/>
          <w:sz w:val="22"/>
        </w:rPr>
        <w:t xml:space="preserve">, S. G., </w:t>
      </w:r>
      <w:proofErr w:type="spellStart"/>
      <w:r w:rsidRPr="00BE2EDB">
        <w:rPr>
          <w:rFonts w:ascii="Arial" w:hAnsi="Arial" w:cs="Arial"/>
          <w:sz w:val="22"/>
        </w:rPr>
        <w:t>Sfougaris</w:t>
      </w:r>
      <w:proofErr w:type="spellEnd"/>
      <w:r w:rsidRPr="00BE2EDB">
        <w:rPr>
          <w:rFonts w:ascii="Arial" w:hAnsi="Arial" w:cs="Arial"/>
          <w:sz w:val="22"/>
        </w:rPr>
        <w:t xml:space="preserve">, A. I., </w:t>
      </w:r>
      <w:proofErr w:type="spellStart"/>
      <w:r w:rsidRPr="00BE2EDB">
        <w:rPr>
          <w:rFonts w:ascii="Arial" w:hAnsi="Arial" w:cs="Arial"/>
          <w:sz w:val="22"/>
        </w:rPr>
        <w:t>Ispikoudis</w:t>
      </w:r>
      <w:proofErr w:type="spellEnd"/>
      <w:r w:rsidRPr="00BE2EDB">
        <w:rPr>
          <w:rFonts w:ascii="Arial" w:hAnsi="Arial" w:cs="Arial"/>
          <w:sz w:val="22"/>
        </w:rPr>
        <w:t xml:space="preserve">, I. P., &amp; </w:t>
      </w:r>
      <w:proofErr w:type="spellStart"/>
      <w:r w:rsidRPr="00BE2EDB">
        <w:rPr>
          <w:rFonts w:ascii="Arial" w:hAnsi="Arial" w:cs="Arial"/>
          <w:sz w:val="22"/>
        </w:rPr>
        <w:t>Papanastasis</w:t>
      </w:r>
      <w:proofErr w:type="spellEnd"/>
      <w:r w:rsidRPr="00BE2EDB">
        <w:rPr>
          <w:rFonts w:ascii="Arial" w:hAnsi="Arial" w:cs="Arial"/>
          <w:sz w:val="22"/>
        </w:rPr>
        <w:t xml:space="preserve">, V. P. (2014). Selecting landscape metrics as indicators of spatial heterogeneity—A comparison among Greek landscapes. </w:t>
      </w:r>
      <w:r w:rsidRPr="00BE2EDB">
        <w:rPr>
          <w:rFonts w:ascii="Arial" w:hAnsi="Arial" w:cs="Arial"/>
          <w:i/>
          <w:iCs/>
          <w:sz w:val="22"/>
        </w:rPr>
        <w:t>International Journal of Applied Earth Observation and Geoinformation</w:t>
      </w:r>
      <w:r w:rsidRPr="00BE2EDB">
        <w:rPr>
          <w:rFonts w:ascii="Arial" w:hAnsi="Arial" w:cs="Arial"/>
          <w:sz w:val="22"/>
        </w:rPr>
        <w:t xml:space="preserve">, </w:t>
      </w:r>
      <w:r w:rsidRPr="00BE2EDB">
        <w:rPr>
          <w:rFonts w:ascii="Arial" w:hAnsi="Arial" w:cs="Arial"/>
          <w:i/>
          <w:iCs/>
          <w:sz w:val="22"/>
        </w:rPr>
        <w:t>26</w:t>
      </w:r>
      <w:r w:rsidRPr="00BE2EDB">
        <w:rPr>
          <w:rFonts w:ascii="Arial" w:hAnsi="Arial" w:cs="Arial"/>
          <w:sz w:val="22"/>
        </w:rPr>
        <w:t>, 26–35. https://doi.org/10.1016/j.jag.2013.05.001</w:t>
      </w:r>
    </w:p>
    <w:p w14:paraId="17AD18C8" w14:textId="77777777" w:rsidR="00BE2EDB" w:rsidRPr="00BE2EDB" w:rsidRDefault="00BE2EDB" w:rsidP="00BE2EDB">
      <w:pPr>
        <w:pStyle w:val="Bibliography"/>
        <w:numPr>
          <w:ilvl w:val="0"/>
          <w:numId w:val="32"/>
        </w:numPr>
        <w:jc w:val="both"/>
        <w:rPr>
          <w:rFonts w:ascii="Arial" w:hAnsi="Arial" w:cs="Arial"/>
          <w:sz w:val="22"/>
        </w:rPr>
      </w:pPr>
      <w:proofErr w:type="spellStart"/>
      <w:r w:rsidRPr="00BE2EDB">
        <w:rPr>
          <w:rFonts w:ascii="Arial" w:hAnsi="Arial" w:cs="Arial"/>
          <w:sz w:val="22"/>
        </w:rPr>
        <w:t>Przewoźna</w:t>
      </w:r>
      <w:proofErr w:type="spellEnd"/>
      <w:r w:rsidRPr="00BE2EDB">
        <w:rPr>
          <w:rFonts w:ascii="Arial" w:hAnsi="Arial" w:cs="Arial"/>
          <w:sz w:val="22"/>
        </w:rPr>
        <w:t xml:space="preserve">, P., Inglot, A., </w:t>
      </w:r>
      <w:proofErr w:type="spellStart"/>
      <w:r w:rsidRPr="00BE2EDB">
        <w:rPr>
          <w:rFonts w:ascii="Arial" w:hAnsi="Arial" w:cs="Arial"/>
          <w:sz w:val="22"/>
        </w:rPr>
        <w:t>Mielewczyk</w:t>
      </w:r>
      <w:proofErr w:type="spellEnd"/>
      <w:r w:rsidRPr="00BE2EDB">
        <w:rPr>
          <w:rFonts w:ascii="Arial" w:hAnsi="Arial" w:cs="Arial"/>
          <w:sz w:val="22"/>
        </w:rPr>
        <w:t xml:space="preserve">, M., Maczka, K., &amp; </w:t>
      </w:r>
      <w:proofErr w:type="spellStart"/>
      <w:r w:rsidRPr="00BE2EDB">
        <w:rPr>
          <w:rFonts w:ascii="Arial" w:hAnsi="Arial" w:cs="Arial"/>
          <w:sz w:val="22"/>
        </w:rPr>
        <w:t>Matczak</w:t>
      </w:r>
      <w:proofErr w:type="spellEnd"/>
      <w:r w:rsidRPr="00BE2EDB">
        <w:rPr>
          <w:rFonts w:ascii="Arial" w:hAnsi="Arial" w:cs="Arial"/>
          <w:sz w:val="22"/>
        </w:rPr>
        <w:t xml:space="preserve">, P. (2024). Accessibility to urban green spaces: A critical review of WHO recommendations in the light of tree-covered areas assessment. </w:t>
      </w:r>
      <w:r w:rsidRPr="00BE2EDB">
        <w:rPr>
          <w:rFonts w:ascii="Arial" w:hAnsi="Arial" w:cs="Arial"/>
          <w:i/>
          <w:iCs/>
          <w:sz w:val="22"/>
        </w:rPr>
        <w:t>Ecological Indicators</w:t>
      </w:r>
      <w:r w:rsidRPr="00BE2EDB">
        <w:rPr>
          <w:rFonts w:ascii="Arial" w:hAnsi="Arial" w:cs="Arial"/>
          <w:sz w:val="22"/>
        </w:rPr>
        <w:t xml:space="preserve">, </w:t>
      </w:r>
      <w:r w:rsidRPr="00BE2EDB">
        <w:rPr>
          <w:rFonts w:ascii="Arial" w:hAnsi="Arial" w:cs="Arial"/>
          <w:i/>
          <w:iCs/>
          <w:sz w:val="22"/>
        </w:rPr>
        <w:t>166</w:t>
      </w:r>
      <w:r w:rsidRPr="00BE2EDB">
        <w:rPr>
          <w:rFonts w:ascii="Arial" w:hAnsi="Arial" w:cs="Arial"/>
          <w:sz w:val="22"/>
        </w:rPr>
        <w:t>, 112548. https://doi.org/10.1016/j.ecolind.2024.112548</w:t>
      </w:r>
    </w:p>
    <w:p w14:paraId="669C603C" w14:textId="77777777" w:rsidR="00BE2EDB" w:rsidRPr="00BE2EDB" w:rsidRDefault="00BE2EDB" w:rsidP="00BE2EDB">
      <w:pPr>
        <w:pStyle w:val="Bibliography"/>
        <w:numPr>
          <w:ilvl w:val="0"/>
          <w:numId w:val="32"/>
        </w:numPr>
        <w:jc w:val="both"/>
        <w:rPr>
          <w:rFonts w:ascii="Arial" w:hAnsi="Arial" w:cs="Arial"/>
          <w:sz w:val="22"/>
        </w:rPr>
      </w:pPr>
      <w:proofErr w:type="spellStart"/>
      <w:r w:rsidRPr="00BE2EDB">
        <w:rPr>
          <w:rFonts w:ascii="Arial" w:hAnsi="Arial" w:cs="Arial"/>
          <w:sz w:val="22"/>
        </w:rPr>
        <w:t>Pulighe</w:t>
      </w:r>
      <w:proofErr w:type="spellEnd"/>
      <w:r w:rsidRPr="00BE2EDB">
        <w:rPr>
          <w:rFonts w:ascii="Arial" w:hAnsi="Arial" w:cs="Arial"/>
          <w:sz w:val="22"/>
        </w:rPr>
        <w:t xml:space="preserve">, G., Fava, F., &amp; </w:t>
      </w:r>
      <w:proofErr w:type="spellStart"/>
      <w:r w:rsidRPr="00BE2EDB">
        <w:rPr>
          <w:rFonts w:ascii="Arial" w:hAnsi="Arial" w:cs="Arial"/>
          <w:sz w:val="22"/>
        </w:rPr>
        <w:t>Lupia</w:t>
      </w:r>
      <w:proofErr w:type="spellEnd"/>
      <w:r w:rsidRPr="00BE2EDB">
        <w:rPr>
          <w:rFonts w:ascii="Arial" w:hAnsi="Arial" w:cs="Arial"/>
          <w:sz w:val="22"/>
        </w:rPr>
        <w:t xml:space="preserve">, F. (2016). Insights and opportunities from mapping ecosystem services of urban green spaces and potentials in planning. </w:t>
      </w:r>
      <w:r w:rsidRPr="00BE2EDB">
        <w:rPr>
          <w:rFonts w:ascii="Arial" w:hAnsi="Arial" w:cs="Arial"/>
          <w:i/>
          <w:iCs/>
          <w:sz w:val="22"/>
        </w:rPr>
        <w:t>Ecosystem Services</w:t>
      </w:r>
      <w:r w:rsidRPr="00BE2EDB">
        <w:rPr>
          <w:rFonts w:ascii="Arial" w:hAnsi="Arial" w:cs="Arial"/>
          <w:sz w:val="22"/>
        </w:rPr>
        <w:t xml:space="preserve">, </w:t>
      </w:r>
      <w:r w:rsidRPr="00BE2EDB">
        <w:rPr>
          <w:rFonts w:ascii="Arial" w:hAnsi="Arial" w:cs="Arial"/>
          <w:i/>
          <w:iCs/>
          <w:sz w:val="22"/>
        </w:rPr>
        <w:t>22</w:t>
      </w:r>
      <w:r w:rsidRPr="00BE2EDB">
        <w:rPr>
          <w:rFonts w:ascii="Arial" w:hAnsi="Arial" w:cs="Arial"/>
          <w:sz w:val="22"/>
        </w:rPr>
        <w:t>, 1–10. https://doi.org/10.1016/j.ecoser.2016.09.004</w:t>
      </w:r>
    </w:p>
    <w:p w14:paraId="1824C4C0"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Rahmati, L., &amp; </w:t>
      </w:r>
      <w:proofErr w:type="spellStart"/>
      <w:r w:rsidRPr="00BE2EDB">
        <w:rPr>
          <w:rFonts w:ascii="Arial" w:hAnsi="Arial" w:cs="Arial"/>
          <w:sz w:val="22"/>
        </w:rPr>
        <w:t>Hanaei</w:t>
      </w:r>
      <w:proofErr w:type="spellEnd"/>
      <w:r w:rsidRPr="00BE2EDB">
        <w:rPr>
          <w:rFonts w:ascii="Arial" w:hAnsi="Arial" w:cs="Arial"/>
          <w:sz w:val="22"/>
        </w:rPr>
        <w:t xml:space="preserve">, T. (2024). Comparative analysis of key factors influencing urban green space in Mashhad, Iran (1988–2018). </w:t>
      </w:r>
      <w:r w:rsidRPr="00BE2EDB">
        <w:rPr>
          <w:rFonts w:ascii="Arial" w:hAnsi="Arial" w:cs="Arial"/>
          <w:i/>
          <w:iCs/>
          <w:sz w:val="22"/>
        </w:rPr>
        <w:t>Environmental Systems Research</w:t>
      </w:r>
      <w:r w:rsidRPr="00BE2EDB">
        <w:rPr>
          <w:rFonts w:ascii="Arial" w:hAnsi="Arial" w:cs="Arial"/>
          <w:sz w:val="22"/>
        </w:rPr>
        <w:t xml:space="preserve">, </w:t>
      </w:r>
      <w:r w:rsidRPr="00BE2EDB">
        <w:rPr>
          <w:rFonts w:ascii="Arial" w:hAnsi="Arial" w:cs="Arial"/>
          <w:i/>
          <w:iCs/>
          <w:sz w:val="22"/>
        </w:rPr>
        <w:t>13</w:t>
      </w:r>
      <w:r w:rsidRPr="00BE2EDB">
        <w:rPr>
          <w:rFonts w:ascii="Arial" w:hAnsi="Arial" w:cs="Arial"/>
          <w:sz w:val="22"/>
        </w:rPr>
        <w:t>(1), 13. https://doi.org/10.1186/s40068-024-00346-7</w:t>
      </w:r>
    </w:p>
    <w:p w14:paraId="559CC341"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Ramaiah, M., &amp; Avtar, R. (2019). Urban green spaces and their need in cities of rapidly urbanizing India: A review. </w:t>
      </w:r>
      <w:r w:rsidRPr="00BE2EDB">
        <w:rPr>
          <w:rFonts w:ascii="Arial" w:hAnsi="Arial" w:cs="Arial"/>
          <w:i/>
          <w:iCs/>
          <w:sz w:val="22"/>
        </w:rPr>
        <w:t>Urban Science</w:t>
      </w:r>
      <w:r w:rsidRPr="00BE2EDB">
        <w:rPr>
          <w:rFonts w:ascii="Arial" w:hAnsi="Arial" w:cs="Arial"/>
          <w:sz w:val="22"/>
        </w:rPr>
        <w:t xml:space="preserve">, </w:t>
      </w:r>
      <w:r w:rsidRPr="00BE2EDB">
        <w:rPr>
          <w:rFonts w:ascii="Arial" w:hAnsi="Arial" w:cs="Arial"/>
          <w:i/>
          <w:iCs/>
          <w:sz w:val="22"/>
        </w:rPr>
        <w:t>3</w:t>
      </w:r>
      <w:r w:rsidRPr="00BE2EDB">
        <w:rPr>
          <w:rFonts w:ascii="Arial" w:hAnsi="Arial" w:cs="Arial"/>
          <w:sz w:val="22"/>
        </w:rPr>
        <w:t>(3), 94.</w:t>
      </w:r>
    </w:p>
    <w:p w14:paraId="79FB75B8"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Randhawa, K., Bhattacharya, P., &amp; </w:t>
      </w:r>
      <w:proofErr w:type="spellStart"/>
      <w:r w:rsidRPr="00BE2EDB">
        <w:rPr>
          <w:rFonts w:ascii="Arial" w:hAnsi="Arial" w:cs="Arial"/>
          <w:sz w:val="22"/>
        </w:rPr>
        <w:t>Shimrah</w:t>
      </w:r>
      <w:proofErr w:type="spellEnd"/>
      <w:r w:rsidRPr="00BE2EDB">
        <w:rPr>
          <w:rFonts w:ascii="Arial" w:hAnsi="Arial" w:cs="Arial"/>
          <w:sz w:val="22"/>
        </w:rPr>
        <w:t xml:space="preserve">, T. (2024). </w:t>
      </w:r>
      <w:proofErr w:type="spellStart"/>
      <w:r w:rsidRPr="00BE2EDB">
        <w:rPr>
          <w:rFonts w:ascii="Arial" w:hAnsi="Arial" w:cs="Arial"/>
          <w:sz w:val="22"/>
        </w:rPr>
        <w:t>Spatio</w:t>
      </w:r>
      <w:proofErr w:type="spellEnd"/>
      <w:r w:rsidRPr="00BE2EDB">
        <w:rPr>
          <w:rFonts w:ascii="Arial" w:hAnsi="Arial" w:cs="Arial"/>
          <w:sz w:val="22"/>
        </w:rPr>
        <w:t xml:space="preserve">-temporal analysis of urban forest fragmentation in Delhi, India, using Landscape Fragmentation Tool v2.0. </w:t>
      </w:r>
      <w:r w:rsidRPr="00BE2EDB">
        <w:rPr>
          <w:rFonts w:ascii="Arial" w:hAnsi="Arial" w:cs="Arial"/>
          <w:i/>
          <w:iCs/>
          <w:sz w:val="22"/>
        </w:rPr>
        <w:t>Environmental Monitoring and Assessment</w:t>
      </w:r>
      <w:r w:rsidRPr="00BE2EDB">
        <w:rPr>
          <w:rFonts w:ascii="Arial" w:hAnsi="Arial" w:cs="Arial"/>
          <w:sz w:val="22"/>
        </w:rPr>
        <w:t xml:space="preserve">, </w:t>
      </w:r>
      <w:r w:rsidRPr="00BE2EDB">
        <w:rPr>
          <w:rFonts w:ascii="Arial" w:hAnsi="Arial" w:cs="Arial"/>
          <w:i/>
          <w:iCs/>
          <w:sz w:val="22"/>
        </w:rPr>
        <w:t>196</w:t>
      </w:r>
      <w:r w:rsidRPr="00BE2EDB">
        <w:rPr>
          <w:rFonts w:ascii="Arial" w:hAnsi="Arial" w:cs="Arial"/>
          <w:sz w:val="22"/>
        </w:rPr>
        <w:t>(12), 1273. https://doi.org/10.1007/s10661-024-13386-4</w:t>
      </w:r>
    </w:p>
    <w:p w14:paraId="3EDFFD45"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lastRenderedPageBreak/>
        <w:t xml:space="preserve">Rogan, J., &amp; Chen, D. (2004). Remote sensing technology for mapping and monitoring land-cover and land-use change. </w:t>
      </w:r>
      <w:r w:rsidRPr="00BE2EDB">
        <w:rPr>
          <w:rFonts w:ascii="Arial" w:hAnsi="Arial" w:cs="Arial"/>
          <w:i/>
          <w:iCs/>
          <w:sz w:val="22"/>
        </w:rPr>
        <w:t>Progress in Planning</w:t>
      </w:r>
      <w:r w:rsidRPr="00BE2EDB">
        <w:rPr>
          <w:rFonts w:ascii="Arial" w:hAnsi="Arial" w:cs="Arial"/>
          <w:sz w:val="22"/>
        </w:rPr>
        <w:t xml:space="preserve">, </w:t>
      </w:r>
      <w:r w:rsidRPr="00BE2EDB">
        <w:rPr>
          <w:rFonts w:ascii="Arial" w:hAnsi="Arial" w:cs="Arial"/>
          <w:i/>
          <w:iCs/>
          <w:sz w:val="22"/>
        </w:rPr>
        <w:t>61</w:t>
      </w:r>
      <w:r w:rsidRPr="00BE2EDB">
        <w:rPr>
          <w:rFonts w:ascii="Arial" w:hAnsi="Arial" w:cs="Arial"/>
          <w:sz w:val="22"/>
        </w:rPr>
        <w:t>(4), 301–325. https://doi.org/10.1016/S0305-9006(03)00066-7</w:t>
      </w:r>
    </w:p>
    <w:p w14:paraId="3204096C"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Roy, S. S. (2019). Spatial patterns of trends in seasonal extreme temperatures in India during 1980–2010. </w:t>
      </w:r>
      <w:r w:rsidRPr="00BE2EDB">
        <w:rPr>
          <w:rFonts w:ascii="Arial" w:hAnsi="Arial" w:cs="Arial"/>
          <w:i/>
          <w:iCs/>
          <w:sz w:val="22"/>
        </w:rPr>
        <w:t>Weather and Climate Extremes</w:t>
      </w:r>
      <w:r w:rsidRPr="00BE2EDB">
        <w:rPr>
          <w:rFonts w:ascii="Arial" w:hAnsi="Arial" w:cs="Arial"/>
          <w:sz w:val="22"/>
        </w:rPr>
        <w:t xml:space="preserve">, </w:t>
      </w:r>
      <w:r w:rsidRPr="00BE2EDB">
        <w:rPr>
          <w:rFonts w:ascii="Arial" w:hAnsi="Arial" w:cs="Arial"/>
          <w:i/>
          <w:iCs/>
          <w:sz w:val="22"/>
        </w:rPr>
        <w:t>24</w:t>
      </w:r>
      <w:r w:rsidRPr="00BE2EDB">
        <w:rPr>
          <w:rFonts w:ascii="Arial" w:hAnsi="Arial" w:cs="Arial"/>
          <w:sz w:val="22"/>
        </w:rPr>
        <w:t>, 100203. https://doi.org/10.1016/j.wace.2019.100203</w:t>
      </w:r>
    </w:p>
    <w:p w14:paraId="5FEA4767" w14:textId="77777777" w:rsidR="00BE2EDB" w:rsidRPr="00BE2EDB" w:rsidRDefault="00BE2EDB" w:rsidP="00BE2EDB">
      <w:pPr>
        <w:pStyle w:val="Bibliography"/>
        <w:numPr>
          <w:ilvl w:val="0"/>
          <w:numId w:val="32"/>
        </w:numPr>
        <w:jc w:val="both"/>
        <w:rPr>
          <w:rFonts w:ascii="Arial" w:hAnsi="Arial" w:cs="Arial"/>
          <w:sz w:val="22"/>
        </w:rPr>
      </w:pPr>
      <w:proofErr w:type="spellStart"/>
      <w:r w:rsidRPr="00BE2EDB">
        <w:rPr>
          <w:rFonts w:ascii="Arial" w:hAnsi="Arial" w:cs="Arial"/>
          <w:sz w:val="22"/>
        </w:rPr>
        <w:t>Sertel</w:t>
      </w:r>
      <w:proofErr w:type="spellEnd"/>
      <w:r w:rsidRPr="00BE2EDB">
        <w:rPr>
          <w:rFonts w:ascii="Arial" w:hAnsi="Arial" w:cs="Arial"/>
          <w:sz w:val="22"/>
        </w:rPr>
        <w:t xml:space="preserve">, E., </w:t>
      </w:r>
      <w:proofErr w:type="spellStart"/>
      <w:r w:rsidRPr="00BE2EDB">
        <w:rPr>
          <w:rFonts w:ascii="Arial" w:hAnsi="Arial" w:cs="Arial"/>
          <w:sz w:val="22"/>
        </w:rPr>
        <w:t>Topaloğlu</w:t>
      </w:r>
      <w:proofErr w:type="spellEnd"/>
      <w:r w:rsidRPr="00BE2EDB">
        <w:rPr>
          <w:rFonts w:ascii="Arial" w:hAnsi="Arial" w:cs="Arial"/>
          <w:sz w:val="22"/>
        </w:rPr>
        <w:t xml:space="preserve">, R. H., </w:t>
      </w:r>
      <w:proofErr w:type="spellStart"/>
      <w:r w:rsidRPr="00BE2EDB">
        <w:rPr>
          <w:rFonts w:ascii="Arial" w:hAnsi="Arial" w:cs="Arial"/>
          <w:sz w:val="22"/>
        </w:rPr>
        <w:t>Şallı</w:t>
      </w:r>
      <w:proofErr w:type="spellEnd"/>
      <w:r w:rsidRPr="00BE2EDB">
        <w:rPr>
          <w:rFonts w:ascii="Arial" w:hAnsi="Arial" w:cs="Arial"/>
          <w:sz w:val="22"/>
        </w:rPr>
        <w:t xml:space="preserve">, B., Yay </w:t>
      </w:r>
      <w:proofErr w:type="spellStart"/>
      <w:r w:rsidRPr="00BE2EDB">
        <w:rPr>
          <w:rFonts w:ascii="Arial" w:hAnsi="Arial" w:cs="Arial"/>
          <w:sz w:val="22"/>
        </w:rPr>
        <w:t>Algan</w:t>
      </w:r>
      <w:proofErr w:type="spellEnd"/>
      <w:r w:rsidRPr="00BE2EDB">
        <w:rPr>
          <w:rFonts w:ascii="Arial" w:hAnsi="Arial" w:cs="Arial"/>
          <w:sz w:val="22"/>
        </w:rPr>
        <w:t xml:space="preserve">, I., &amp; Aksu, G. A. (2018). Comparison of Landscape Metrics for Three Different Level Land Cover/Land Use Maps. </w:t>
      </w:r>
      <w:r w:rsidRPr="00BE2EDB">
        <w:rPr>
          <w:rFonts w:ascii="Arial" w:hAnsi="Arial" w:cs="Arial"/>
          <w:i/>
          <w:iCs/>
          <w:sz w:val="22"/>
        </w:rPr>
        <w:t>ISPRS International Journal of Geo-Information</w:t>
      </w:r>
      <w:r w:rsidRPr="00BE2EDB">
        <w:rPr>
          <w:rFonts w:ascii="Arial" w:hAnsi="Arial" w:cs="Arial"/>
          <w:sz w:val="22"/>
        </w:rPr>
        <w:t xml:space="preserve">, </w:t>
      </w:r>
      <w:r w:rsidRPr="00BE2EDB">
        <w:rPr>
          <w:rFonts w:ascii="Arial" w:hAnsi="Arial" w:cs="Arial"/>
          <w:i/>
          <w:iCs/>
          <w:sz w:val="22"/>
        </w:rPr>
        <w:t>7</w:t>
      </w:r>
      <w:r w:rsidRPr="00BE2EDB">
        <w:rPr>
          <w:rFonts w:ascii="Arial" w:hAnsi="Arial" w:cs="Arial"/>
          <w:sz w:val="22"/>
        </w:rPr>
        <w:t>(10), Article 10. https://doi.org/10.3390/ijgi7100408</w:t>
      </w:r>
    </w:p>
    <w:p w14:paraId="39C22C16" w14:textId="77777777" w:rsidR="00BE2EDB" w:rsidRPr="00BE2EDB" w:rsidRDefault="00BE2EDB" w:rsidP="00BE2EDB">
      <w:pPr>
        <w:pStyle w:val="Bibliography"/>
        <w:numPr>
          <w:ilvl w:val="0"/>
          <w:numId w:val="32"/>
        </w:numPr>
        <w:jc w:val="both"/>
        <w:rPr>
          <w:rFonts w:ascii="Arial" w:hAnsi="Arial" w:cs="Arial"/>
          <w:sz w:val="22"/>
        </w:rPr>
      </w:pPr>
      <w:proofErr w:type="spellStart"/>
      <w:r w:rsidRPr="00BE2EDB">
        <w:rPr>
          <w:rFonts w:ascii="Arial" w:hAnsi="Arial" w:cs="Arial"/>
          <w:sz w:val="22"/>
        </w:rPr>
        <w:t>Subedi</w:t>
      </w:r>
      <w:proofErr w:type="spellEnd"/>
      <w:r w:rsidRPr="00BE2EDB">
        <w:rPr>
          <w:rFonts w:ascii="Arial" w:hAnsi="Arial" w:cs="Arial"/>
          <w:sz w:val="22"/>
        </w:rPr>
        <w:t xml:space="preserve">, B., </w:t>
      </w:r>
      <w:proofErr w:type="spellStart"/>
      <w:r w:rsidRPr="00BE2EDB">
        <w:rPr>
          <w:rFonts w:ascii="Arial" w:hAnsi="Arial" w:cs="Arial"/>
          <w:sz w:val="22"/>
        </w:rPr>
        <w:t>Devkota</w:t>
      </w:r>
      <w:proofErr w:type="spellEnd"/>
      <w:r w:rsidRPr="00BE2EDB">
        <w:rPr>
          <w:rFonts w:ascii="Arial" w:hAnsi="Arial" w:cs="Arial"/>
          <w:sz w:val="22"/>
        </w:rPr>
        <w:t xml:space="preserve">, B., &amp; Shrestha, B. (2023). Flood Hazard Mapping Using a Multi-Criteria Decision Analysis Approach Over the </w:t>
      </w:r>
      <w:proofErr w:type="spellStart"/>
      <w:r w:rsidRPr="00BE2EDB">
        <w:rPr>
          <w:rFonts w:ascii="Arial" w:hAnsi="Arial" w:cs="Arial"/>
          <w:sz w:val="22"/>
        </w:rPr>
        <w:t>Indrawati</w:t>
      </w:r>
      <w:proofErr w:type="spellEnd"/>
      <w:r w:rsidRPr="00BE2EDB">
        <w:rPr>
          <w:rFonts w:ascii="Arial" w:hAnsi="Arial" w:cs="Arial"/>
          <w:sz w:val="22"/>
        </w:rPr>
        <w:t xml:space="preserve"> River Basin. </w:t>
      </w:r>
      <w:proofErr w:type="spellStart"/>
      <w:r w:rsidRPr="00BE2EDB">
        <w:rPr>
          <w:rFonts w:ascii="Arial" w:hAnsi="Arial" w:cs="Arial"/>
          <w:i/>
          <w:iCs/>
          <w:sz w:val="22"/>
        </w:rPr>
        <w:t>Jalawaayu</w:t>
      </w:r>
      <w:proofErr w:type="spellEnd"/>
      <w:r w:rsidRPr="00BE2EDB">
        <w:rPr>
          <w:rFonts w:ascii="Arial" w:hAnsi="Arial" w:cs="Arial"/>
          <w:sz w:val="22"/>
        </w:rPr>
        <w:t xml:space="preserve">, </w:t>
      </w:r>
      <w:r w:rsidRPr="00BE2EDB">
        <w:rPr>
          <w:rFonts w:ascii="Arial" w:hAnsi="Arial" w:cs="Arial"/>
          <w:i/>
          <w:iCs/>
          <w:sz w:val="22"/>
        </w:rPr>
        <w:t>3</w:t>
      </w:r>
      <w:r w:rsidRPr="00BE2EDB">
        <w:rPr>
          <w:rFonts w:ascii="Arial" w:hAnsi="Arial" w:cs="Arial"/>
          <w:sz w:val="22"/>
        </w:rPr>
        <w:t>(1), Article 1. https://doi.org/10.3126/jalawaayu.v3i1.52058</w:t>
      </w:r>
    </w:p>
    <w:p w14:paraId="69221085"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Tripathi, U., &amp; Sinha, D. R. (2024). </w:t>
      </w:r>
      <w:r w:rsidRPr="00BE2EDB">
        <w:rPr>
          <w:rFonts w:ascii="Arial" w:hAnsi="Arial" w:cs="Arial"/>
          <w:i/>
          <w:iCs/>
          <w:sz w:val="22"/>
        </w:rPr>
        <w:t>The Role of National Green Tribunal in Safeguarding of Environment with Respect to Constitution of India</w:t>
      </w:r>
      <w:r w:rsidRPr="00BE2EDB">
        <w:rPr>
          <w:rFonts w:ascii="Arial" w:hAnsi="Arial" w:cs="Arial"/>
          <w:sz w:val="22"/>
        </w:rPr>
        <w:t xml:space="preserve">. </w:t>
      </w:r>
      <w:r w:rsidRPr="00BE2EDB">
        <w:rPr>
          <w:rFonts w:ascii="Arial" w:hAnsi="Arial" w:cs="Arial"/>
          <w:i/>
          <w:iCs/>
          <w:sz w:val="22"/>
        </w:rPr>
        <w:t>6</w:t>
      </w:r>
      <w:r w:rsidRPr="00BE2EDB">
        <w:rPr>
          <w:rFonts w:ascii="Arial" w:hAnsi="Arial" w:cs="Arial"/>
          <w:sz w:val="22"/>
        </w:rPr>
        <w:t>(2).</w:t>
      </w:r>
    </w:p>
    <w:p w14:paraId="5AE0B7EC"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Turner, M. G., &amp; Gardner, R. H. (2015). Landscape Metrics. In M. G. Turner &amp; R. H. Gardner (Eds.), </w:t>
      </w:r>
      <w:r w:rsidRPr="00BE2EDB">
        <w:rPr>
          <w:rFonts w:ascii="Arial" w:hAnsi="Arial" w:cs="Arial"/>
          <w:i/>
          <w:iCs/>
          <w:sz w:val="22"/>
        </w:rPr>
        <w:t>Landscape Ecology in Theory and Practice: Pattern and Process</w:t>
      </w:r>
      <w:r w:rsidRPr="00BE2EDB">
        <w:rPr>
          <w:rFonts w:ascii="Arial" w:hAnsi="Arial" w:cs="Arial"/>
          <w:sz w:val="22"/>
        </w:rPr>
        <w:t xml:space="preserve"> (pp. 97–142). Springer. https://doi.org/10.1007/978-1-4939-2794-4_4</w:t>
      </w:r>
    </w:p>
    <w:p w14:paraId="79FCD15E"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Viana, C. M., Oliveira, S., Oliveira, S. C., &amp; Rocha, J. (2019). 29—Land Use/Land Cover Change Detection and Urban Sprawl Analysis. In H. R. </w:t>
      </w:r>
      <w:proofErr w:type="spellStart"/>
      <w:r w:rsidRPr="00BE2EDB">
        <w:rPr>
          <w:rFonts w:ascii="Arial" w:hAnsi="Arial" w:cs="Arial"/>
          <w:sz w:val="22"/>
        </w:rPr>
        <w:t>Pourghasemi</w:t>
      </w:r>
      <w:proofErr w:type="spellEnd"/>
      <w:r w:rsidRPr="00BE2EDB">
        <w:rPr>
          <w:rFonts w:ascii="Arial" w:hAnsi="Arial" w:cs="Arial"/>
          <w:sz w:val="22"/>
        </w:rPr>
        <w:t xml:space="preserve"> &amp; C. </w:t>
      </w:r>
      <w:proofErr w:type="spellStart"/>
      <w:r w:rsidRPr="00BE2EDB">
        <w:rPr>
          <w:rFonts w:ascii="Arial" w:hAnsi="Arial" w:cs="Arial"/>
          <w:sz w:val="22"/>
        </w:rPr>
        <w:t>Gokceoglu</w:t>
      </w:r>
      <w:proofErr w:type="spellEnd"/>
      <w:r w:rsidRPr="00BE2EDB">
        <w:rPr>
          <w:rFonts w:ascii="Arial" w:hAnsi="Arial" w:cs="Arial"/>
          <w:sz w:val="22"/>
        </w:rPr>
        <w:t xml:space="preserve"> (Eds.), </w:t>
      </w:r>
      <w:r w:rsidRPr="00BE2EDB">
        <w:rPr>
          <w:rFonts w:ascii="Arial" w:hAnsi="Arial" w:cs="Arial"/>
          <w:i/>
          <w:iCs/>
          <w:sz w:val="22"/>
        </w:rPr>
        <w:t>Spatial Modeling in GIS and R for Earth and Environmental Sciences</w:t>
      </w:r>
      <w:r w:rsidRPr="00BE2EDB">
        <w:rPr>
          <w:rFonts w:ascii="Arial" w:hAnsi="Arial" w:cs="Arial"/>
          <w:sz w:val="22"/>
        </w:rPr>
        <w:t xml:space="preserve"> (pp. 621–651). Elsevier. https://doi.org/10.1016/B978-0-12-815226-3.00029-6</w:t>
      </w:r>
    </w:p>
    <w:p w14:paraId="72F8EDEB"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Wang, D., &amp; Xu, P.-Y. (2024). Urban green infrastructure: Bridging biodiversity conservation and sustainable urban development through adaptive management approach. </w:t>
      </w:r>
      <w:r w:rsidRPr="00BE2EDB">
        <w:rPr>
          <w:rFonts w:ascii="Arial" w:hAnsi="Arial" w:cs="Arial"/>
          <w:i/>
          <w:iCs/>
          <w:sz w:val="22"/>
        </w:rPr>
        <w:t>Frontiers in Ecology and Evolution</w:t>
      </w:r>
      <w:r w:rsidRPr="00BE2EDB">
        <w:rPr>
          <w:rFonts w:ascii="Arial" w:hAnsi="Arial" w:cs="Arial"/>
          <w:sz w:val="22"/>
        </w:rPr>
        <w:t xml:space="preserve">, </w:t>
      </w:r>
      <w:r w:rsidRPr="00BE2EDB">
        <w:rPr>
          <w:rFonts w:ascii="Arial" w:hAnsi="Arial" w:cs="Arial"/>
          <w:i/>
          <w:iCs/>
          <w:sz w:val="22"/>
        </w:rPr>
        <w:t>12</w:t>
      </w:r>
      <w:r w:rsidRPr="00BE2EDB">
        <w:rPr>
          <w:rFonts w:ascii="Arial" w:hAnsi="Arial" w:cs="Arial"/>
          <w:sz w:val="22"/>
        </w:rPr>
        <w:t>, 1440477. https://doi.org/10.3389/fevo.2024.1440477</w:t>
      </w:r>
    </w:p>
    <w:p w14:paraId="52CC4A6E"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Wang, L., Jia, Y., Li, X., &amp; Gong, P. (2020). </w:t>
      </w:r>
      <w:proofErr w:type="spellStart"/>
      <w:r w:rsidRPr="00BE2EDB">
        <w:rPr>
          <w:rFonts w:ascii="Arial" w:hAnsi="Arial" w:cs="Arial"/>
          <w:sz w:val="22"/>
        </w:rPr>
        <w:t>Analysing</w:t>
      </w:r>
      <w:proofErr w:type="spellEnd"/>
      <w:r w:rsidRPr="00BE2EDB">
        <w:rPr>
          <w:rFonts w:ascii="Arial" w:hAnsi="Arial" w:cs="Arial"/>
          <w:sz w:val="22"/>
        </w:rPr>
        <w:t xml:space="preserve"> the Driving Forces and Environmental Effects of Urban Expansion by Mapping the Speed and Acceleration of Built-Up Areas in China between 1978 and 2017. </w:t>
      </w:r>
      <w:r w:rsidRPr="00BE2EDB">
        <w:rPr>
          <w:rFonts w:ascii="Arial" w:hAnsi="Arial" w:cs="Arial"/>
          <w:i/>
          <w:iCs/>
          <w:sz w:val="22"/>
        </w:rPr>
        <w:t>Remote Sensing</w:t>
      </w:r>
      <w:r w:rsidRPr="00BE2EDB">
        <w:rPr>
          <w:rFonts w:ascii="Arial" w:hAnsi="Arial" w:cs="Arial"/>
          <w:sz w:val="22"/>
        </w:rPr>
        <w:t xml:space="preserve">, </w:t>
      </w:r>
      <w:r w:rsidRPr="00BE2EDB">
        <w:rPr>
          <w:rFonts w:ascii="Arial" w:hAnsi="Arial" w:cs="Arial"/>
          <w:i/>
          <w:iCs/>
          <w:sz w:val="22"/>
        </w:rPr>
        <w:t>12</w:t>
      </w:r>
      <w:r w:rsidRPr="00BE2EDB">
        <w:rPr>
          <w:rFonts w:ascii="Arial" w:hAnsi="Arial" w:cs="Arial"/>
          <w:sz w:val="22"/>
        </w:rPr>
        <w:t>(23), Article 23. https://doi.org/10.3390/rs12233929</w:t>
      </w:r>
    </w:p>
    <w:p w14:paraId="025033C2"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Weber, T., Sloan, A., &amp; Wolf, J. (2006). Maryland’s Green Infrastructure Assessment: Development of a comprehensive approach to land conservation. </w:t>
      </w:r>
      <w:r w:rsidRPr="00BE2EDB">
        <w:rPr>
          <w:rFonts w:ascii="Arial" w:hAnsi="Arial" w:cs="Arial"/>
          <w:i/>
          <w:iCs/>
          <w:sz w:val="22"/>
        </w:rPr>
        <w:t>Landscape and Urban Planning</w:t>
      </w:r>
      <w:r w:rsidRPr="00BE2EDB">
        <w:rPr>
          <w:rFonts w:ascii="Arial" w:hAnsi="Arial" w:cs="Arial"/>
          <w:sz w:val="22"/>
        </w:rPr>
        <w:t xml:space="preserve">, </w:t>
      </w:r>
      <w:r w:rsidRPr="00BE2EDB">
        <w:rPr>
          <w:rFonts w:ascii="Arial" w:hAnsi="Arial" w:cs="Arial"/>
          <w:i/>
          <w:iCs/>
          <w:sz w:val="22"/>
        </w:rPr>
        <w:t>77</w:t>
      </w:r>
      <w:r w:rsidRPr="00BE2EDB">
        <w:rPr>
          <w:rFonts w:ascii="Arial" w:hAnsi="Arial" w:cs="Arial"/>
          <w:sz w:val="22"/>
        </w:rPr>
        <w:t>(1), 94–110. https://doi.org/10.1016/j.landurbplan.2005.02.002</w:t>
      </w:r>
    </w:p>
    <w:p w14:paraId="59DE4C20"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Zhang, F., &amp; Qian, H. (2024). A comprehensive review of the environmental benefits of urban green spaces. </w:t>
      </w:r>
      <w:r w:rsidRPr="00BE2EDB">
        <w:rPr>
          <w:rFonts w:ascii="Arial" w:hAnsi="Arial" w:cs="Arial"/>
          <w:i/>
          <w:iCs/>
          <w:sz w:val="22"/>
        </w:rPr>
        <w:t>Environmental Research</w:t>
      </w:r>
      <w:r w:rsidRPr="00BE2EDB">
        <w:rPr>
          <w:rFonts w:ascii="Arial" w:hAnsi="Arial" w:cs="Arial"/>
          <w:sz w:val="22"/>
        </w:rPr>
        <w:t xml:space="preserve">, </w:t>
      </w:r>
      <w:r w:rsidRPr="00BE2EDB">
        <w:rPr>
          <w:rFonts w:ascii="Arial" w:hAnsi="Arial" w:cs="Arial"/>
          <w:i/>
          <w:iCs/>
          <w:sz w:val="22"/>
        </w:rPr>
        <w:t>252</w:t>
      </w:r>
      <w:r w:rsidRPr="00BE2EDB">
        <w:rPr>
          <w:rFonts w:ascii="Arial" w:hAnsi="Arial" w:cs="Arial"/>
          <w:sz w:val="22"/>
        </w:rPr>
        <w:t>, 118837. https://doi.org/10.1016/j.envres.2024.118837</w:t>
      </w:r>
    </w:p>
    <w:p w14:paraId="401B5FBD" w14:textId="77777777" w:rsidR="00BE2EDB" w:rsidRPr="00BE2EDB" w:rsidRDefault="00BE2EDB" w:rsidP="00BE2EDB">
      <w:pPr>
        <w:pStyle w:val="Bibliography"/>
        <w:numPr>
          <w:ilvl w:val="0"/>
          <w:numId w:val="32"/>
        </w:numPr>
        <w:jc w:val="both"/>
        <w:rPr>
          <w:rFonts w:ascii="Arial" w:hAnsi="Arial" w:cs="Arial"/>
          <w:sz w:val="22"/>
        </w:rPr>
      </w:pPr>
      <w:r w:rsidRPr="00BE2EDB">
        <w:rPr>
          <w:rFonts w:ascii="Arial" w:hAnsi="Arial" w:cs="Arial"/>
          <w:sz w:val="22"/>
        </w:rPr>
        <w:t xml:space="preserve">Zhang, Y., Zhao, Y., Zhang, H., Cao, J., Chen, J., </w:t>
      </w:r>
      <w:proofErr w:type="spellStart"/>
      <w:r w:rsidRPr="00BE2EDB">
        <w:rPr>
          <w:rFonts w:ascii="Arial" w:hAnsi="Arial" w:cs="Arial"/>
          <w:sz w:val="22"/>
        </w:rPr>
        <w:t>Su</w:t>
      </w:r>
      <w:proofErr w:type="spellEnd"/>
      <w:r w:rsidRPr="00BE2EDB">
        <w:rPr>
          <w:rFonts w:ascii="Arial" w:hAnsi="Arial" w:cs="Arial"/>
          <w:sz w:val="22"/>
        </w:rPr>
        <w:t xml:space="preserve">, C., &amp; Chen, Y. (2023). The Impact of Land—Use Composition and Landscape Pattern on Water Quality at Different Spatial Scales in the Dan River Basin, Qin Ling Mountains. </w:t>
      </w:r>
      <w:r w:rsidRPr="00BE2EDB">
        <w:rPr>
          <w:rFonts w:ascii="Arial" w:hAnsi="Arial" w:cs="Arial"/>
          <w:i/>
          <w:iCs/>
          <w:sz w:val="22"/>
        </w:rPr>
        <w:t>Water</w:t>
      </w:r>
      <w:r w:rsidRPr="00BE2EDB">
        <w:rPr>
          <w:rFonts w:ascii="Arial" w:hAnsi="Arial" w:cs="Arial"/>
          <w:sz w:val="22"/>
        </w:rPr>
        <w:t xml:space="preserve">, </w:t>
      </w:r>
      <w:r w:rsidRPr="00BE2EDB">
        <w:rPr>
          <w:rFonts w:ascii="Arial" w:hAnsi="Arial" w:cs="Arial"/>
          <w:i/>
          <w:iCs/>
          <w:sz w:val="22"/>
        </w:rPr>
        <w:t>15</w:t>
      </w:r>
      <w:r w:rsidRPr="00BE2EDB">
        <w:rPr>
          <w:rFonts w:ascii="Arial" w:hAnsi="Arial" w:cs="Arial"/>
          <w:sz w:val="22"/>
        </w:rPr>
        <w:t>(18), Article 18. https://doi.org/10.3390/w15183276</w:t>
      </w:r>
    </w:p>
    <w:p w14:paraId="447584AC" w14:textId="7FEA626E" w:rsidR="00103B09" w:rsidRPr="00FB3A86" w:rsidRDefault="00103B09" w:rsidP="00BE2EDB">
      <w:pPr>
        <w:pStyle w:val="ReferHead"/>
        <w:spacing w:after="0"/>
        <w:ind w:left="284"/>
        <w:jc w:val="both"/>
        <w:rPr>
          <w:rFonts w:ascii="Arial" w:hAnsi="Arial" w:cs="Arial"/>
        </w:rPr>
      </w:pPr>
      <w:r>
        <w:rPr>
          <w:rFonts w:ascii="Arial" w:hAnsi="Arial" w:cs="Arial"/>
        </w:rPr>
        <w:fldChar w:fldCharType="end"/>
      </w:r>
    </w:p>
    <w:p w14:paraId="26C85B38" w14:textId="77777777" w:rsidR="00790ADA" w:rsidRPr="002C57D2" w:rsidRDefault="00790ADA" w:rsidP="00441B6F">
      <w:pPr>
        <w:pStyle w:val="Body"/>
        <w:spacing w:after="0"/>
        <w:rPr>
          <w:rFonts w:ascii="Arial" w:hAnsi="Arial" w:cs="Arial"/>
        </w:rPr>
      </w:pPr>
    </w:p>
    <w:p w14:paraId="12E82E56" w14:textId="77777777" w:rsidR="00790ADA" w:rsidRPr="00FB3A86" w:rsidRDefault="00790ADA" w:rsidP="00441B6F">
      <w:pPr>
        <w:pStyle w:val="Body"/>
        <w:spacing w:after="0"/>
        <w:rPr>
          <w:rFonts w:ascii="Arial" w:hAnsi="Arial" w:cs="Arial"/>
        </w:rPr>
      </w:pPr>
    </w:p>
    <w:p w14:paraId="127EBE77" w14:textId="77777777" w:rsidR="00996572" w:rsidRDefault="00996572" w:rsidP="00441B6F">
      <w:pPr>
        <w:pStyle w:val="Appendix"/>
        <w:spacing w:after="0"/>
        <w:jc w:val="both"/>
        <w:rPr>
          <w:rFonts w:ascii="Arial" w:hAnsi="Arial" w:cs="Arial"/>
        </w:rPr>
      </w:pPr>
    </w:p>
    <w:p w14:paraId="70464D3D" w14:textId="1ADC5A3E" w:rsidR="00996572" w:rsidRPr="00FB3A86" w:rsidRDefault="00996572" w:rsidP="00441B6F">
      <w:pPr>
        <w:pStyle w:val="Appendix"/>
        <w:spacing w:after="0"/>
        <w:jc w:val="both"/>
        <w:rPr>
          <w:rFonts w:ascii="Arial" w:hAnsi="Arial" w:cs="Arial"/>
          <w:b w:val="0"/>
        </w:rPr>
        <w:sectPr w:rsidR="00996572" w:rsidRPr="00FB3A86" w:rsidSect="00361CC0">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540E1F9C" w14:textId="77777777" w:rsidR="00B01FCD" w:rsidRPr="00FB3A86" w:rsidRDefault="00B01FCD" w:rsidP="00E808E7">
      <w:pPr>
        <w:pStyle w:val="Appendix"/>
        <w:spacing w:after="0"/>
        <w:jc w:val="both"/>
        <w:rPr>
          <w:rFonts w:ascii="Arial" w:hAnsi="Arial" w:cs="Arial"/>
          <w:b w:val="0"/>
        </w:rPr>
      </w:pPr>
    </w:p>
    <w:sectPr w:rsidR="00B01FCD" w:rsidRPr="00FB3A86" w:rsidSect="00361CC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B17B3" w14:textId="77777777" w:rsidR="006D6C17" w:rsidRDefault="006D6C17" w:rsidP="00C37E61">
      <w:r>
        <w:separator/>
      </w:r>
    </w:p>
  </w:endnote>
  <w:endnote w:type="continuationSeparator" w:id="0">
    <w:p w14:paraId="1B5C0916" w14:textId="77777777" w:rsidR="006D6C17" w:rsidRDefault="006D6C1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92A25" w14:textId="77777777" w:rsidR="00361CC0" w:rsidRDefault="00361C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B5235" w14:textId="77777777" w:rsidR="00361CC0" w:rsidRDefault="00361C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EA2C5" w14:textId="77777777" w:rsidR="009E048A" w:rsidRDefault="009E048A">
    <w:pPr>
      <w:pStyle w:val="Footer"/>
      <w:rPr>
        <w:rFonts w:ascii="Arial" w:hAnsi="Arial" w:cs="Arial"/>
        <w:sz w:val="16"/>
      </w:rPr>
    </w:pPr>
  </w:p>
  <w:p w14:paraId="095729E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FEF22AF" w14:textId="77777777" w:rsidR="009E048A" w:rsidRDefault="009E048A">
    <w:pPr>
      <w:pStyle w:val="Footer"/>
      <w:rPr>
        <w:rFonts w:ascii="Arial" w:hAnsi="Arial" w:cs="Arial"/>
        <w:sz w:val="16"/>
      </w:rPr>
    </w:pPr>
  </w:p>
  <w:p w14:paraId="4412946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3AE1E" w14:textId="06D5A22A"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7F10E" w14:textId="77777777" w:rsidR="006D6C17" w:rsidRDefault="006D6C17" w:rsidP="00C37E61">
      <w:r>
        <w:separator/>
      </w:r>
    </w:p>
  </w:footnote>
  <w:footnote w:type="continuationSeparator" w:id="0">
    <w:p w14:paraId="5F9F1DAF" w14:textId="77777777" w:rsidR="006D6C17" w:rsidRDefault="006D6C1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3B20C" w14:textId="255E22F4" w:rsidR="00361CC0" w:rsidRDefault="006D6C17">
    <w:pPr>
      <w:pStyle w:val="Header"/>
    </w:pPr>
    <w:r>
      <w:rPr>
        <w:noProof/>
      </w:rPr>
      <w:pict w14:anchorId="28D599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049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6A19" w14:textId="35774066" w:rsidR="00361CC0" w:rsidRDefault="006D6C17">
    <w:pPr>
      <w:pStyle w:val="Header"/>
    </w:pPr>
    <w:r>
      <w:rPr>
        <w:noProof/>
      </w:rPr>
      <w:pict w14:anchorId="58BF1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049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891F" w14:textId="09167900" w:rsidR="00296529" w:rsidRPr="00296529" w:rsidRDefault="006D6C17" w:rsidP="00296529">
    <w:pPr>
      <w:ind w:left="2160"/>
      <w:jc w:val="center"/>
      <w:rPr>
        <w:rFonts w:ascii="Times New Roman" w:eastAsia="Calibri" w:hAnsi="Times New Roman"/>
        <w:i/>
        <w:sz w:val="18"/>
        <w:szCs w:val="22"/>
      </w:rPr>
    </w:pPr>
    <w:r>
      <w:rPr>
        <w:noProof/>
      </w:rPr>
      <w:pict w14:anchorId="6B03BA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049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0373FF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29E523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EC5774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7EA4F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D8B18A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C3CB93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4ADFB" w14:textId="60680435" w:rsidR="00361CC0" w:rsidRDefault="006D6C17">
    <w:pPr>
      <w:pStyle w:val="Header"/>
    </w:pPr>
    <w:r>
      <w:rPr>
        <w:noProof/>
      </w:rPr>
      <w:pict w14:anchorId="29FCC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049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84E6E" w14:textId="7EC5CE08" w:rsidR="00361CC0" w:rsidRDefault="006D6C17">
    <w:pPr>
      <w:pStyle w:val="Header"/>
    </w:pPr>
    <w:r>
      <w:rPr>
        <w:noProof/>
      </w:rPr>
      <w:pict w14:anchorId="1843D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049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84AC6" w14:textId="64B3B684" w:rsidR="00361CC0" w:rsidRDefault="006D6C17">
    <w:pPr>
      <w:pStyle w:val="Header"/>
    </w:pPr>
    <w:r>
      <w:rPr>
        <w:noProof/>
      </w:rPr>
      <w:pict w14:anchorId="7BD63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049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D75469E"/>
    <w:multiLevelType w:val="hybridMultilevel"/>
    <w:tmpl w:val="A78C54FE"/>
    <w:lvl w:ilvl="0" w:tplc="53BCB5C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ABF0C77"/>
    <w:multiLevelType w:val="hybridMultilevel"/>
    <w:tmpl w:val="B0E26876"/>
    <w:lvl w:ilvl="0" w:tplc="53BCB5C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6"/>
  </w:num>
  <w:num w:numId="19">
    <w:abstractNumId w:val="30"/>
  </w:num>
  <w:num w:numId="20">
    <w:abstractNumId w:val="12"/>
  </w:num>
  <w:num w:numId="21">
    <w:abstractNumId w:val="10"/>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9"/>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52A"/>
    <w:rsid w:val="00012FA1"/>
    <w:rsid w:val="00030174"/>
    <w:rsid w:val="00031E65"/>
    <w:rsid w:val="00034B58"/>
    <w:rsid w:val="000372F6"/>
    <w:rsid w:val="00042632"/>
    <w:rsid w:val="000447F0"/>
    <w:rsid w:val="0004579C"/>
    <w:rsid w:val="000502E7"/>
    <w:rsid w:val="00053806"/>
    <w:rsid w:val="00056F8A"/>
    <w:rsid w:val="00061B57"/>
    <w:rsid w:val="00062D16"/>
    <w:rsid w:val="00063FA1"/>
    <w:rsid w:val="0006459E"/>
    <w:rsid w:val="00065BDA"/>
    <w:rsid w:val="000669A3"/>
    <w:rsid w:val="000779AE"/>
    <w:rsid w:val="00080422"/>
    <w:rsid w:val="0008654D"/>
    <w:rsid w:val="00086B2B"/>
    <w:rsid w:val="0009042F"/>
    <w:rsid w:val="00093E10"/>
    <w:rsid w:val="00095A50"/>
    <w:rsid w:val="000969A4"/>
    <w:rsid w:val="00096D55"/>
    <w:rsid w:val="000A0013"/>
    <w:rsid w:val="000A47FA"/>
    <w:rsid w:val="000A4C9D"/>
    <w:rsid w:val="000A65D3"/>
    <w:rsid w:val="000A761D"/>
    <w:rsid w:val="000B1E33"/>
    <w:rsid w:val="000B282A"/>
    <w:rsid w:val="000B654B"/>
    <w:rsid w:val="000B7400"/>
    <w:rsid w:val="000B7755"/>
    <w:rsid w:val="000B7784"/>
    <w:rsid w:val="000C19C3"/>
    <w:rsid w:val="000D61F3"/>
    <w:rsid w:val="000D689F"/>
    <w:rsid w:val="000D7748"/>
    <w:rsid w:val="000E02E0"/>
    <w:rsid w:val="000E0CA3"/>
    <w:rsid w:val="000E674A"/>
    <w:rsid w:val="000E6C1D"/>
    <w:rsid w:val="000E7B7B"/>
    <w:rsid w:val="000E7D62"/>
    <w:rsid w:val="000F7A63"/>
    <w:rsid w:val="00103357"/>
    <w:rsid w:val="00103B09"/>
    <w:rsid w:val="001120BC"/>
    <w:rsid w:val="00123660"/>
    <w:rsid w:val="00123C9F"/>
    <w:rsid w:val="00126190"/>
    <w:rsid w:val="00127F88"/>
    <w:rsid w:val="00130F17"/>
    <w:rsid w:val="0013208B"/>
    <w:rsid w:val="001320BF"/>
    <w:rsid w:val="00134118"/>
    <w:rsid w:val="001356F3"/>
    <w:rsid w:val="00136E8E"/>
    <w:rsid w:val="00141122"/>
    <w:rsid w:val="00141CC7"/>
    <w:rsid w:val="001437B0"/>
    <w:rsid w:val="0015220D"/>
    <w:rsid w:val="00156EBC"/>
    <w:rsid w:val="001570B4"/>
    <w:rsid w:val="00161709"/>
    <w:rsid w:val="00163BC4"/>
    <w:rsid w:val="00164F84"/>
    <w:rsid w:val="00172597"/>
    <w:rsid w:val="00184D72"/>
    <w:rsid w:val="00187FB6"/>
    <w:rsid w:val="00191062"/>
    <w:rsid w:val="00192B72"/>
    <w:rsid w:val="00193130"/>
    <w:rsid w:val="00194275"/>
    <w:rsid w:val="00196113"/>
    <w:rsid w:val="001969FE"/>
    <w:rsid w:val="001A00D5"/>
    <w:rsid w:val="001A061B"/>
    <w:rsid w:val="001A29D8"/>
    <w:rsid w:val="001A2A53"/>
    <w:rsid w:val="001A5CAA"/>
    <w:rsid w:val="001B0427"/>
    <w:rsid w:val="001B5ED3"/>
    <w:rsid w:val="001C5EF6"/>
    <w:rsid w:val="001D3A51"/>
    <w:rsid w:val="001D5606"/>
    <w:rsid w:val="001E06D8"/>
    <w:rsid w:val="001E10D2"/>
    <w:rsid w:val="001E25B4"/>
    <w:rsid w:val="001E2C00"/>
    <w:rsid w:val="001E44FE"/>
    <w:rsid w:val="001E64F4"/>
    <w:rsid w:val="001F21D0"/>
    <w:rsid w:val="001F2421"/>
    <w:rsid w:val="001F2B2C"/>
    <w:rsid w:val="001F5F5E"/>
    <w:rsid w:val="00200595"/>
    <w:rsid w:val="002008F1"/>
    <w:rsid w:val="00202AC3"/>
    <w:rsid w:val="00204835"/>
    <w:rsid w:val="00214660"/>
    <w:rsid w:val="00222850"/>
    <w:rsid w:val="00223CAB"/>
    <w:rsid w:val="00226798"/>
    <w:rsid w:val="00231920"/>
    <w:rsid w:val="0023195C"/>
    <w:rsid w:val="00231F58"/>
    <w:rsid w:val="00232FE5"/>
    <w:rsid w:val="0023395F"/>
    <w:rsid w:val="00233A7A"/>
    <w:rsid w:val="002350B9"/>
    <w:rsid w:val="0024282C"/>
    <w:rsid w:val="00243650"/>
    <w:rsid w:val="002460DC"/>
    <w:rsid w:val="00247A4A"/>
    <w:rsid w:val="00250985"/>
    <w:rsid w:val="00251B9A"/>
    <w:rsid w:val="002532C0"/>
    <w:rsid w:val="002556F6"/>
    <w:rsid w:val="00256EE2"/>
    <w:rsid w:val="0026319F"/>
    <w:rsid w:val="00265630"/>
    <w:rsid w:val="00266BC1"/>
    <w:rsid w:val="00271A28"/>
    <w:rsid w:val="00283105"/>
    <w:rsid w:val="00283E36"/>
    <w:rsid w:val="00284C4C"/>
    <w:rsid w:val="00287E68"/>
    <w:rsid w:val="00296529"/>
    <w:rsid w:val="00297086"/>
    <w:rsid w:val="00297C66"/>
    <w:rsid w:val="002A030C"/>
    <w:rsid w:val="002A388F"/>
    <w:rsid w:val="002B0B8E"/>
    <w:rsid w:val="002B27FB"/>
    <w:rsid w:val="002B43D3"/>
    <w:rsid w:val="002B685A"/>
    <w:rsid w:val="002C57D2"/>
    <w:rsid w:val="002C72DE"/>
    <w:rsid w:val="002D64B5"/>
    <w:rsid w:val="002E0D56"/>
    <w:rsid w:val="002E279E"/>
    <w:rsid w:val="002F0A41"/>
    <w:rsid w:val="002F5504"/>
    <w:rsid w:val="003012AC"/>
    <w:rsid w:val="00301E46"/>
    <w:rsid w:val="00302D08"/>
    <w:rsid w:val="00303F44"/>
    <w:rsid w:val="00315186"/>
    <w:rsid w:val="00315B18"/>
    <w:rsid w:val="00317ABF"/>
    <w:rsid w:val="003240C7"/>
    <w:rsid w:val="003244C3"/>
    <w:rsid w:val="0032561A"/>
    <w:rsid w:val="0033343E"/>
    <w:rsid w:val="00346AC4"/>
    <w:rsid w:val="00347BB6"/>
    <w:rsid w:val="003512C2"/>
    <w:rsid w:val="00357090"/>
    <w:rsid w:val="00361CC0"/>
    <w:rsid w:val="0036307A"/>
    <w:rsid w:val="00363433"/>
    <w:rsid w:val="003643D3"/>
    <w:rsid w:val="00371FB6"/>
    <w:rsid w:val="003725F4"/>
    <w:rsid w:val="003763C1"/>
    <w:rsid w:val="00376BBE"/>
    <w:rsid w:val="0038753C"/>
    <w:rsid w:val="00390352"/>
    <w:rsid w:val="0039224F"/>
    <w:rsid w:val="00393F2E"/>
    <w:rsid w:val="00397B0A"/>
    <w:rsid w:val="003A29E0"/>
    <w:rsid w:val="003A43A4"/>
    <w:rsid w:val="003A4D85"/>
    <w:rsid w:val="003A64B1"/>
    <w:rsid w:val="003A7E18"/>
    <w:rsid w:val="003B4F52"/>
    <w:rsid w:val="003B55B2"/>
    <w:rsid w:val="003B7025"/>
    <w:rsid w:val="003C0603"/>
    <w:rsid w:val="003C0FCD"/>
    <w:rsid w:val="003C4C86"/>
    <w:rsid w:val="003C6258"/>
    <w:rsid w:val="003D342E"/>
    <w:rsid w:val="003E2904"/>
    <w:rsid w:val="003F5D70"/>
    <w:rsid w:val="003F7A2F"/>
    <w:rsid w:val="00401811"/>
    <w:rsid w:val="00401927"/>
    <w:rsid w:val="0041027F"/>
    <w:rsid w:val="00411EAC"/>
    <w:rsid w:val="00412475"/>
    <w:rsid w:val="0041420E"/>
    <w:rsid w:val="00414BA8"/>
    <w:rsid w:val="00423789"/>
    <w:rsid w:val="004267F8"/>
    <w:rsid w:val="00440F43"/>
    <w:rsid w:val="00441B6F"/>
    <w:rsid w:val="00442CBF"/>
    <w:rsid w:val="00446221"/>
    <w:rsid w:val="00447D0A"/>
    <w:rsid w:val="004507BB"/>
    <w:rsid w:val="00450E62"/>
    <w:rsid w:val="004539DB"/>
    <w:rsid w:val="00462420"/>
    <w:rsid w:val="00463F24"/>
    <w:rsid w:val="00465292"/>
    <w:rsid w:val="00471A80"/>
    <w:rsid w:val="00471A94"/>
    <w:rsid w:val="00475492"/>
    <w:rsid w:val="004809CC"/>
    <w:rsid w:val="00480B1A"/>
    <w:rsid w:val="004917FA"/>
    <w:rsid w:val="004A0C53"/>
    <w:rsid w:val="004B047D"/>
    <w:rsid w:val="004D08D0"/>
    <w:rsid w:val="004D1500"/>
    <w:rsid w:val="004D305E"/>
    <w:rsid w:val="004D3EB0"/>
    <w:rsid w:val="004D4277"/>
    <w:rsid w:val="004D4466"/>
    <w:rsid w:val="004D69D5"/>
    <w:rsid w:val="004E1EB2"/>
    <w:rsid w:val="004E25F3"/>
    <w:rsid w:val="004E6D8D"/>
    <w:rsid w:val="004F37A5"/>
    <w:rsid w:val="004F3F13"/>
    <w:rsid w:val="004F4605"/>
    <w:rsid w:val="004F638E"/>
    <w:rsid w:val="00502516"/>
    <w:rsid w:val="00503959"/>
    <w:rsid w:val="00505F06"/>
    <w:rsid w:val="00506828"/>
    <w:rsid w:val="00506D1A"/>
    <w:rsid w:val="0051028F"/>
    <w:rsid w:val="00510748"/>
    <w:rsid w:val="0051272F"/>
    <w:rsid w:val="00520F4A"/>
    <w:rsid w:val="00521DF8"/>
    <w:rsid w:val="005243FF"/>
    <w:rsid w:val="0053056E"/>
    <w:rsid w:val="00534285"/>
    <w:rsid w:val="00534C83"/>
    <w:rsid w:val="00542062"/>
    <w:rsid w:val="005429C9"/>
    <w:rsid w:val="005465EC"/>
    <w:rsid w:val="005468C1"/>
    <w:rsid w:val="0055189D"/>
    <w:rsid w:val="00551F6D"/>
    <w:rsid w:val="00554FDA"/>
    <w:rsid w:val="00560E3D"/>
    <w:rsid w:val="00562FA6"/>
    <w:rsid w:val="00565C92"/>
    <w:rsid w:val="00573498"/>
    <w:rsid w:val="0057546B"/>
    <w:rsid w:val="0058256E"/>
    <w:rsid w:val="00583C5C"/>
    <w:rsid w:val="00597BCF"/>
    <w:rsid w:val="005A2893"/>
    <w:rsid w:val="005B0608"/>
    <w:rsid w:val="005B3AB6"/>
    <w:rsid w:val="005B7D6F"/>
    <w:rsid w:val="005C2845"/>
    <w:rsid w:val="005C784C"/>
    <w:rsid w:val="005C7FE7"/>
    <w:rsid w:val="005D17F6"/>
    <w:rsid w:val="005D2B23"/>
    <w:rsid w:val="005D3532"/>
    <w:rsid w:val="005E01E9"/>
    <w:rsid w:val="005E04B1"/>
    <w:rsid w:val="005E275D"/>
    <w:rsid w:val="005E5539"/>
    <w:rsid w:val="005F5893"/>
    <w:rsid w:val="006026F0"/>
    <w:rsid w:val="00602BF5"/>
    <w:rsid w:val="00603721"/>
    <w:rsid w:val="006079D7"/>
    <w:rsid w:val="00607F07"/>
    <w:rsid w:val="00614CBC"/>
    <w:rsid w:val="00617FDD"/>
    <w:rsid w:val="006200B1"/>
    <w:rsid w:val="00621DC7"/>
    <w:rsid w:val="00631EC6"/>
    <w:rsid w:val="00633614"/>
    <w:rsid w:val="00633F68"/>
    <w:rsid w:val="00636EB2"/>
    <w:rsid w:val="006375B8"/>
    <w:rsid w:val="0064604A"/>
    <w:rsid w:val="006505E1"/>
    <w:rsid w:val="0065330C"/>
    <w:rsid w:val="00653772"/>
    <w:rsid w:val="006607DC"/>
    <w:rsid w:val="00660C55"/>
    <w:rsid w:val="006617DC"/>
    <w:rsid w:val="00662F4A"/>
    <w:rsid w:val="0066510A"/>
    <w:rsid w:val="00666CFD"/>
    <w:rsid w:val="00671218"/>
    <w:rsid w:val="00673F9F"/>
    <w:rsid w:val="00686953"/>
    <w:rsid w:val="00687DEA"/>
    <w:rsid w:val="00687E67"/>
    <w:rsid w:val="006967F7"/>
    <w:rsid w:val="006A250C"/>
    <w:rsid w:val="006B21D3"/>
    <w:rsid w:val="006B294A"/>
    <w:rsid w:val="006B57D0"/>
    <w:rsid w:val="006C6320"/>
    <w:rsid w:val="006D30FF"/>
    <w:rsid w:val="006D3287"/>
    <w:rsid w:val="006D47CB"/>
    <w:rsid w:val="006D54CD"/>
    <w:rsid w:val="006D6940"/>
    <w:rsid w:val="006D6C17"/>
    <w:rsid w:val="006D6D76"/>
    <w:rsid w:val="006F11EC"/>
    <w:rsid w:val="006F647A"/>
    <w:rsid w:val="006F7A54"/>
    <w:rsid w:val="0070082C"/>
    <w:rsid w:val="0070241A"/>
    <w:rsid w:val="00702849"/>
    <w:rsid w:val="00705A4F"/>
    <w:rsid w:val="007162EC"/>
    <w:rsid w:val="00717E75"/>
    <w:rsid w:val="00720B5A"/>
    <w:rsid w:val="00725783"/>
    <w:rsid w:val="007306AD"/>
    <w:rsid w:val="00734A96"/>
    <w:rsid w:val="007369E6"/>
    <w:rsid w:val="007418BC"/>
    <w:rsid w:val="00746E59"/>
    <w:rsid w:val="00754C9A"/>
    <w:rsid w:val="0075599A"/>
    <w:rsid w:val="0076098B"/>
    <w:rsid w:val="00761648"/>
    <w:rsid w:val="00761960"/>
    <w:rsid w:val="00761D52"/>
    <w:rsid w:val="00770D4A"/>
    <w:rsid w:val="0077749E"/>
    <w:rsid w:val="0078402F"/>
    <w:rsid w:val="00790ADA"/>
    <w:rsid w:val="00790B43"/>
    <w:rsid w:val="007920CC"/>
    <w:rsid w:val="00793681"/>
    <w:rsid w:val="007963D0"/>
    <w:rsid w:val="00797B7B"/>
    <w:rsid w:val="007A5AC6"/>
    <w:rsid w:val="007A66D3"/>
    <w:rsid w:val="007A6AAE"/>
    <w:rsid w:val="007B5C8B"/>
    <w:rsid w:val="007C6191"/>
    <w:rsid w:val="007D2288"/>
    <w:rsid w:val="007D34CD"/>
    <w:rsid w:val="007E088F"/>
    <w:rsid w:val="007F0B24"/>
    <w:rsid w:val="007F1C42"/>
    <w:rsid w:val="007F3AC8"/>
    <w:rsid w:val="007F7B32"/>
    <w:rsid w:val="00804BC2"/>
    <w:rsid w:val="00807897"/>
    <w:rsid w:val="00807F47"/>
    <w:rsid w:val="00807F8E"/>
    <w:rsid w:val="008105F0"/>
    <w:rsid w:val="0081431A"/>
    <w:rsid w:val="00816C6C"/>
    <w:rsid w:val="00825675"/>
    <w:rsid w:val="008275A5"/>
    <w:rsid w:val="00827B2B"/>
    <w:rsid w:val="0083216F"/>
    <w:rsid w:val="00837E9B"/>
    <w:rsid w:val="00843C18"/>
    <w:rsid w:val="00851786"/>
    <w:rsid w:val="00860000"/>
    <w:rsid w:val="00860C51"/>
    <w:rsid w:val="00863BD3"/>
    <w:rsid w:val="008641ED"/>
    <w:rsid w:val="00864599"/>
    <w:rsid w:val="00866D66"/>
    <w:rsid w:val="00866F7E"/>
    <w:rsid w:val="008671C6"/>
    <w:rsid w:val="00872432"/>
    <w:rsid w:val="008744AC"/>
    <w:rsid w:val="00875803"/>
    <w:rsid w:val="008859D3"/>
    <w:rsid w:val="00896321"/>
    <w:rsid w:val="008B459E"/>
    <w:rsid w:val="008B6C2F"/>
    <w:rsid w:val="008D286F"/>
    <w:rsid w:val="008D3365"/>
    <w:rsid w:val="008E13AE"/>
    <w:rsid w:val="008E1506"/>
    <w:rsid w:val="008E710C"/>
    <w:rsid w:val="008E7DAC"/>
    <w:rsid w:val="008F69D6"/>
    <w:rsid w:val="00902823"/>
    <w:rsid w:val="009039AC"/>
    <w:rsid w:val="00905031"/>
    <w:rsid w:val="00910775"/>
    <w:rsid w:val="00912444"/>
    <w:rsid w:val="00915CA6"/>
    <w:rsid w:val="00915E02"/>
    <w:rsid w:val="009204C3"/>
    <w:rsid w:val="00927834"/>
    <w:rsid w:val="00935FBC"/>
    <w:rsid w:val="00943897"/>
    <w:rsid w:val="00943C2E"/>
    <w:rsid w:val="009448AB"/>
    <w:rsid w:val="00945583"/>
    <w:rsid w:val="009500A6"/>
    <w:rsid w:val="00957C18"/>
    <w:rsid w:val="009622F3"/>
    <w:rsid w:val="009659BA"/>
    <w:rsid w:val="00976E21"/>
    <w:rsid w:val="00983040"/>
    <w:rsid w:val="009947BE"/>
    <w:rsid w:val="00996572"/>
    <w:rsid w:val="009A2E7B"/>
    <w:rsid w:val="009B1688"/>
    <w:rsid w:val="009B3FB9"/>
    <w:rsid w:val="009C08EF"/>
    <w:rsid w:val="009C1AEC"/>
    <w:rsid w:val="009C2465"/>
    <w:rsid w:val="009C53FD"/>
    <w:rsid w:val="009C644F"/>
    <w:rsid w:val="009D35A0"/>
    <w:rsid w:val="009D3969"/>
    <w:rsid w:val="009D7EB7"/>
    <w:rsid w:val="009E048A"/>
    <w:rsid w:val="009E08E9"/>
    <w:rsid w:val="009E3DB9"/>
    <w:rsid w:val="009E6E35"/>
    <w:rsid w:val="009F0EDA"/>
    <w:rsid w:val="009F6D9D"/>
    <w:rsid w:val="00A03B96"/>
    <w:rsid w:val="00A05B19"/>
    <w:rsid w:val="00A1134E"/>
    <w:rsid w:val="00A11BF7"/>
    <w:rsid w:val="00A15CB1"/>
    <w:rsid w:val="00A24E7E"/>
    <w:rsid w:val="00A258C3"/>
    <w:rsid w:val="00A27C01"/>
    <w:rsid w:val="00A30DF0"/>
    <w:rsid w:val="00A32486"/>
    <w:rsid w:val="00A33480"/>
    <w:rsid w:val="00A347C0"/>
    <w:rsid w:val="00A34AA2"/>
    <w:rsid w:val="00A3695C"/>
    <w:rsid w:val="00A4044F"/>
    <w:rsid w:val="00A51431"/>
    <w:rsid w:val="00A539AD"/>
    <w:rsid w:val="00A658DA"/>
    <w:rsid w:val="00A758C8"/>
    <w:rsid w:val="00A82AE9"/>
    <w:rsid w:val="00A8695D"/>
    <w:rsid w:val="00A86A00"/>
    <w:rsid w:val="00A9263D"/>
    <w:rsid w:val="00A93181"/>
    <w:rsid w:val="00A94063"/>
    <w:rsid w:val="00A952C4"/>
    <w:rsid w:val="00AA1B1F"/>
    <w:rsid w:val="00AA1D77"/>
    <w:rsid w:val="00AA511D"/>
    <w:rsid w:val="00AA6219"/>
    <w:rsid w:val="00AA686A"/>
    <w:rsid w:val="00AA74E0"/>
    <w:rsid w:val="00AB703F"/>
    <w:rsid w:val="00AC6BB8"/>
    <w:rsid w:val="00AD451B"/>
    <w:rsid w:val="00AE008F"/>
    <w:rsid w:val="00AE6EE7"/>
    <w:rsid w:val="00AE7858"/>
    <w:rsid w:val="00AF5BF8"/>
    <w:rsid w:val="00AF768B"/>
    <w:rsid w:val="00B00529"/>
    <w:rsid w:val="00B01FCD"/>
    <w:rsid w:val="00B0468C"/>
    <w:rsid w:val="00B1617E"/>
    <w:rsid w:val="00B1776C"/>
    <w:rsid w:val="00B20C0A"/>
    <w:rsid w:val="00B2485F"/>
    <w:rsid w:val="00B25172"/>
    <w:rsid w:val="00B32843"/>
    <w:rsid w:val="00B42246"/>
    <w:rsid w:val="00B52583"/>
    <w:rsid w:val="00B52896"/>
    <w:rsid w:val="00B600FB"/>
    <w:rsid w:val="00B62962"/>
    <w:rsid w:val="00B654AF"/>
    <w:rsid w:val="00B67293"/>
    <w:rsid w:val="00B74AE6"/>
    <w:rsid w:val="00B76C45"/>
    <w:rsid w:val="00B92721"/>
    <w:rsid w:val="00B947BE"/>
    <w:rsid w:val="00B95236"/>
    <w:rsid w:val="00B96BD9"/>
    <w:rsid w:val="00B9711C"/>
    <w:rsid w:val="00B97A2B"/>
    <w:rsid w:val="00BA122D"/>
    <w:rsid w:val="00BA1B01"/>
    <w:rsid w:val="00BA2641"/>
    <w:rsid w:val="00BA478D"/>
    <w:rsid w:val="00BA68B8"/>
    <w:rsid w:val="00BB37AA"/>
    <w:rsid w:val="00BB7E90"/>
    <w:rsid w:val="00BC41ED"/>
    <w:rsid w:val="00BC4432"/>
    <w:rsid w:val="00BC4512"/>
    <w:rsid w:val="00BC53A0"/>
    <w:rsid w:val="00BC5FC4"/>
    <w:rsid w:val="00BC66EE"/>
    <w:rsid w:val="00BD4E86"/>
    <w:rsid w:val="00BD67A7"/>
    <w:rsid w:val="00BE2EDB"/>
    <w:rsid w:val="00BE62AD"/>
    <w:rsid w:val="00BE7418"/>
    <w:rsid w:val="00BF0B09"/>
    <w:rsid w:val="00BF0B71"/>
    <w:rsid w:val="00BF121F"/>
    <w:rsid w:val="00BF1F80"/>
    <w:rsid w:val="00BF4ECC"/>
    <w:rsid w:val="00C00E5D"/>
    <w:rsid w:val="00C07E54"/>
    <w:rsid w:val="00C07E78"/>
    <w:rsid w:val="00C116C4"/>
    <w:rsid w:val="00C11EEC"/>
    <w:rsid w:val="00C166EF"/>
    <w:rsid w:val="00C17EB0"/>
    <w:rsid w:val="00C20ED2"/>
    <w:rsid w:val="00C20F55"/>
    <w:rsid w:val="00C27F5F"/>
    <w:rsid w:val="00C30184"/>
    <w:rsid w:val="00C30A0F"/>
    <w:rsid w:val="00C323BB"/>
    <w:rsid w:val="00C36202"/>
    <w:rsid w:val="00C37E61"/>
    <w:rsid w:val="00C461FF"/>
    <w:rsid w:val="00C467E5"/>
    <w:rsid w:val="00C51CEF"/>
    <w:rsid w:val="00C54A7C"/>
    <w:rsid w:val="00C6789B"/>
    <w:rsid w:val="00C704B8"/>
    <w:rsid w:val="00C70F1B"/>
    <w:rsid w:val="00C71A47"/>
    <w:rsid w:val="00C72889"/>
    <w:rsid w:val="00C72C38"/>
    <w:rsid w:val="00C7464C"/>
    <w:rsid w:val="00C85588"/>
    <w:rsid w:val="00C92644"/>
    <w:rsid w:val="00C936C3"/>
    <w:rsid w:val="00C964CF"/>
    <w:rsid w:val="00CA05B1"/>
    <w:rsid w:val="00CA1526"/>
    <w:rsid w:val="00CA222D"/>
    <w:rsid w:val="00CA373B"/>
    <w:rsid w:val="00CA4132"/>
    <w:rsid w:val="00CA6C96"/>
    <w:rsid w:val="00CC1D5C"/>
    <w:rsid w:val="00CD6755"/>
    <w:rsid w:val="00CD67F9"/>
    <w:rsid w:val="00CD6856"/>
    <w:rsid w:val="00CE0089"/>
    <w:rsid w:val="00CE1B06"/>
    <w:rsid w:val="00CE2756"/>
    <w:rsid w:val="00CE5E54"/>
    <w:rsid w:val="00CE793C"/>
    <w:rsid w:val="00CF193C"/>
    <w:rsid w:val="00CF1D9B"/>
    <w:rsid w:val="00D047CB"/>
    <w:rsid w:val="00D173F1"/>
    <w:rsid w:val="00D2566D"/>
    <w:rsid w:val="00D27706"/>
    <w:rsid w:val="00D31385"/>
    <w:rsid w:val="00D35226"/>
    <w:rsid w:val="00D35EF4"/>
    <w:rsid w:val="00D36246"/>
    <w:rsid w:val="00D50315"/>
    <w:rsid w:val="00D53EF9"/>
    <w:rsid w:val="00D53F13"/>
    <w:rsid w:val="00D578A5"/>
    <w:rsid w:val="00D616AA"/>
    <w:rsid w:val="00D61D9D"/>
    <w:rsid w:val="00D700C1"/>
    <w:rsid w:val="00D72729"/>
    <w:rsid w:val="00D74CB0"/>
    <w:rsid w:val="00D76EA4"/>
    <w:rsid w:val="00D8295D"/>
    <w:rsid w:val="00D84899"/>
    <w:rsid w:val="00D85A05"/>
    <w:rsid w:val="00D95BF0"/>
    <w:rsid w:val="00DA26EF"/>
    <w:rsid w:val="00DA3C67"/>
    <w:rsid w:val="00DA3DB7"/>
    <w:rsid w:val="00DA4C95"/>
    <w:rsid w:val="00DA4F50"/>
    <w:rsid w:val="00DB00A2"/>
    <w:rsid w:val="00DB7F21"/>
    <w:rsid w:val="00DC2A65"/>
    <w:rsid w:val="00DD02D3"/>
    <w:rsid w:val="00DD31A8"/>
    <w:rsid w:val="00DD6091"/>
    <w:rsid w:val="00DE1051"/>
    <w:rsid w:val="00DE15F0"/>
    <w:rsid w:val="00DE280D"/>
    <w:rsid w:val="00DE34B1"/>
    <w:rsid w:val="00DE5663"/>
    <w:rsid w:val="00DE78AA"/>
    <w:rsid w:val="00DF5718"/>
    <w:rsid w:val="00DF61EB"/>
    <w:rsid w:val="00E03E72"/>
    <w:rsid w:val="00E053D0"/>
    <w:rsid w:val="00E11D3C"/>
    <w:rsid w:val="00E15994"/>
    <w:rsid w:val="00E17C4B"/>
    <w:rsid w:val="00E240B9"/>
    <w:rsid w:val="00E24FED"/>
    <w:rsid w:val="00E250C7"/>
    <w:rsid w:val="00E27A95"/>
    <w:rsid w:val="00E3114E"/>
    <w:rsid w:val="00E31A70"/>
    <w:rsid w:val="00E32056"/>
    <w:rsid w:val="00E34455"/>
    <w:rsid w:val="00E34B98"/>
    <w:rsid w:val="00E35B02"/>
    <w:rsid w:val="00E5265D"/>
    <w:rsid w:val="00E64330"/>
    <w:rsid w:val="00E65857"/>
    <w:rsid w:val="00E66496"/>
    <w:rsid w:val="00E66B35"/>
    <w:rsid w:val="00E66E10"/>
    <w:rsid w:val="00E66F0A"/>
    <w:rsid w:val="00E72488"/>
    <w:rsid w:val="00E74DD6"/>
    <w:rsid w:val="00E757DF"/>
    <w:rsid w:val="00E75CD6"/>
    <w:rsid w:val="00E769F6"/>
    <w:rsid w:val="00E808E7"/>
    <w:rsid w:val="00E80C00"/>
    <w:rsid w:val="00E8407C"/>
    <w:rsid w:val="00E84F3C"/>
    <w:rsid w:val="00E91035"/>
    <w:rsid w:val="00EA012C"/>
    <w:rsid w:val="00EA565B"/>
    <w:rsid w:val="00EC4AC4"/>
    <w:rsid w:val="00EC6A55"/>
    <w:rsid w:val="00EC7DDC"/>
    <w:rsid w:val="00ED0288"/>
    <w:rsid w:val="00ED0C77"/>
    <w:rsid w:val="00ED5090"/>
    <w:rsid w:val="00ED69A9"/>
    <w:rsid w:val="00ED7DE6"/>
    <w:rsid w:val="00EE4820"/>
    <w:rsid w:val="00EE52CB"/>
    <w:rsid w:val="00EF581D"/>
    <w:rsid w:val="00EF7FD8"/>
    <w:rsid w:val="00F01032"/>
    <w:rsid w:val="00F03500"/>
    <w:rsid w:val="00F0604C"/>
    <w:rsid w:val="00F06F59"/>
    <w:rsid w:val="00F10336"/>
    <w:rsid w:val="00F15F48"/>
    <w:rsid w:val="00F16956"/>
    <w:rsid w:val="00F17988"/>
    <w:rsid w:val="00F20BF9"/>
    <w:rsid w:val="00F2594D"/>
    <w:rsid w:val="00F441CC"/>
    <w:rsid w:val="00F469F0"/>
    <w:rsid w:val="00F53273"/>
    <w:rsid w:val="00F64AA9"/>
    <w:rsid w:val="00F755E4"/>
    <w:rsid w:val="00F75D97"/>
    <w:rsid w:val="00F76DA7"/>
    <w:rsid w:val="00F775C7"/>
    <w:rsid w:val="00F77D02"/>
    <w:rsid w:val="00F80274"/>
    <w:rsid w:val="00F81B87"/>
    <w:rsid w:val="00F84AAB"/>
    <w:rsid w:val="00F936C1"/>
    <w:rsid w:val="00FA65AC"/>
    <w:rsid w:val="00FB39BA"/>
    <w:rsid w:val="00FB3A86"/>
    <w:rsid w:val="00FB3BEB"/>
    <w:rsid w:val="00FD36C8"/>
    <w:rsid w:val="00FD5675"/>
    <w:rsid w:val="00FD6EA1"/>
    <w:rsid w:val="00FE2FA3"/>
    <w:rsid w:val="00FE7DE9"/>
    <w:rsid w:val="00FF3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5246AD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4263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7418BC"/>
    <w:rPr>
      <w:color w:val="808080"/>
    </w:rPr>
  </w:style>
  <w:style w:type="paragraph" w:styleId="BodyText">
    <w:name w:val="Body Text"/>
    <w:basedOn w:val="Normal"/>
    <w:link w:val="BodyTextChar"/>
    <w:semiHidden/>
    <w:unhideWhenUsed/>
    <w:rsid w:val="00226798"/>
    <w:pPr>
      <w:spacing w:after="120"/>
    </w:pPr>
  </w:style>
  <w:style w:type="character" w:customStyle="1" w:styleId="BodyTextChar">
    <w:name w:val="Body Text Char"/>
    <w:basedOn w:val="DefaultParagraphFont"/>
    <w:link w:val="BodyText"/>
    <w:semiHidden/>
    <w:rsid w:val="00226798"/>
    <w:rPr>
      <w:rFonts w:ascii="Helvetica" w:hAnsi="Helvetica"/>
    </w:rPr>
  </w:style>
  <w:style w:type="character" w:customStyle="1" w:styleId="Heading3Char">
    <w:name w:val="Heading 3 Char"/>
    <w:basedOn w:val="DefaultParagraphFont"/>
    <w:link w:val="Heading3"/>
    <w:semiHidden/>
    <w:rsid w:val="00042632"/>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unhideWhenUsed/>
    <w:rsid w:val="00103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9753938">
      <w:bodyDiv w:val="1"/>
      <w:marLeft w:val="0"/>
      <w:marRight w:val="0"/>
      <w:marTop w:val="0"/>
      <w:marBottom w:val="0"/>
      <w:divBdr>
        <w:top w:val="none" w:sz="0" w:space="0" w:color="auto"/>
        <w:left w:val="none" w:sz="0" w:space="0" w:color="auto"/>
        <w:bottom w:val="none" w:sz="0" w:space="0" w:color="auto"/>
        <w:right w:val="none" w:sz="0" w:space="0" w:color="auto"/>
      </w:divBdr>
    </w:div>
    <w:div w:id="452408474">
      <w:bodyDiv w:val="1"/>
      <w:marLeft w:val="0"/>
      <w:marRight w:val="0"/>
      <w:marTop w:val="0"/>
      <w:marBottom w:val="0"/>
      <w:divBdr>
        <w:top w:val="none" w:sz="0" w:space="0" w:color="auto"/>
        <w:left w:val="none" w:sz="0" w:space="0" w:color="auto"/>
        <w:bottom w:val="none" w:sz="0" w:space="0" w:color="auto"/>
        <w:right w:val="none" w:sz="0" w:space="0" w:color="auto"/>
      </w:divBdr>
    </w:div>
    <w:div w:id="59960450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553185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62047953">
      <w:bodyDiv w:val="1"/>
      <w:marLeft w:val="0"/>
      <w:marRight w:val="0"/>
      <w:marTop w:val="0"/>
      <w:marBottom w:val="0"/>
      <w:divBdr>
        <w:top w:val="none" w:sz="0" w:space="0" w:color="auto"/>
        <w:left w:val="none" w:sz="0" w:space="0" w:color="auto"/>
        <w:bottom w:val="none" w:sz="0" w:space="0" w:color="auto"/>
        <w:right w:val="none" w:sz="0" w:space="0" w:color="auto"/>
      </w:divBdr>
    </w:div>
    <w:div w:id="1561359489">
      <w:bodyDiv w:val="1"/>
      <w:marLeft w:val="0"/>
      <w:marRight w:val="0"/>
      <w:marTop w:val="0"/>
      <w:marBottom w:val="0"/>
      <w:divBdr>
        <w:top w:val="none" w:sz="0" w:space="0" w:color="auto"/>
        <w:left w:val="none" w:sz="0" w:space="0" w:color="auto"/>
        <w:bottom w:val="none" w:sz="0" w:space="0" w:color="auto"/>
        <w:right w:val="none" w:sz="0" w:space="0" w:color="auto"/>
      </w:divBdr>
    </w:div>
    <w:div w:id="1641689965">
      <w:bodyDiv w:val="1"/>
      <w:marLeft w:val="0"/>
      <w:marRight w:val="0"/>
      <w:marTop w:val="0"/>
      <w:marBottom w:val="0"/>
      <w:divBdr>
        <w:top w:val="none" w:sz="0" w:space="0" w:color="auto"/>
        <w:left w:val="none" w:sz="0" w:space="0" w:color="auto"/>
        <w:bottom w:val="none" w:sz="0" w:space="0" w:color="auto"/>
        <w:right w:val="none" w:sz="0" w:space="0" w:color="auto"/>
      </w:divBdr>
    </w:div>
    <w:div w:id="166770644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4450393">
      <w:bodyDiv w:val="1"/>
      <w:marLeft w:val="0"/>
      <w:marRight w:val="0"/>
      <w:marTop w:val="0"/>
      <w:marBottom w:val="0"/>
      <w:divBdr>
        <w:top w:val="none" w:sz="0" w:space="0" w:color="auto"/>
        <w:left w:val="none" w:sz="0" w:space="0" w:color="auto"/>
        <w:bottom w:val="none" w:sz="0" w:space="0" w:color="auto"/>
        <w:right w:val="none" w:sz="0" w:space="0" w:color="auto"/>
      </w:divBdr>
    </w:div>
    <w:div w:id="192788550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3214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ers.cr.usgs.gov/"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159C4-8C26-4CE7-9785-6415F340C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4</TotalTime>
  <Pages>24</Pages>
  <Words>25243</Words>
  <Characters>143887</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168793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jas7889983285@gmail.com</cp:lastModifiedBy>
  <cp:revision>2</cp:revision>
  <cp:lastPrinted>2025-04-12T10:00:00Z</cp:lastPrinted>
  <dcterms:created xsi:type="dcterms:W3CDTF">2025-04-27T09:15:00Z</dcterms:created>
  <dcterms:modified xsi:type="dcterms:W3CDTF">2025-04-27T09:15:00Z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id="J99bTL8J"/&gt;&lt;style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