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07EA" w14:textId="3F67C10A" w:rsidR="005963A4" w:rsidRPr="003540F8" w:rsidRDefault="004C34F3" w:rsidP="00EB4E3E">
      <w:pPr>
        <w:spacing w:line="240" w:lineRule="auto"/>
        <w:jc w:val="right"/>
        <w:rPr>
          <w:rFonts w:ascii="Arial" w:hAnsi="Arial" w:cs="Arial"/>
          <w:b/>
          <w:bCs/>
          <w:szCs w:val="28"/>
        </w:rPr>
      </w:pPr>
      <w:r w:rsidRPr="003540F8">
        <w:rPr>
          <w:rFonts w:ascii="Arial" w:hAnsi="Arial" w:cs="Arial"/>
          <w:b/>
          <w:bCs/>
          <w:szCs w:val="28"/>
        </w:rPr>
        <w:t>Impact of</w:t>
      </w:r>
      <w:r w:rsidR="005C479C" w:rsidRPr="003540F8">
        <w:rPr>
          <w:rFonts w:ascii="Arial" w:hAnsi="Arial" w:cs="Arial"/>
          <w:b/>
          <w:bCs/>
          <w:szCs w:val="28"/>
        </w:rPr>
        <w:t xml:space="preserve"> </w:t>
      </w:r>
      <w:r w:rsidRPr="003540F8">
        <w:rPr>
          <w:rFonts w:ascii="Arial" w:hAnsi="Arial" w:cs="Arial"/>
          <w:b/>
          <w:bCs/>
          <w:szCs w:val="28"/>
        </w:rPr>
        <w:t xml:space="preserve">Lifestyle Habits on the Nutritional Status of Patients with Type </w:t>
      </w:r>
      <w:r w:rsidR="00B43582">
        <w:rPr>
          <w:rFonts w:ascii="Arial" w:hAnsi="Arial" w:cs="Arial"/>
          <w:b/>
          <w:bCs/>
          <w:szCs w:val="28"/>
        </w:rPr>
        <w:t>2</w:t>
      </w:r>
      <w:r w:rsidRPr="003540F8">
        <w:rPr>
          <w:rFonts w:ascii="Arial" w:hAnsi="Arial" w:cs="Arial"/>
          <w:b/>
          <w:bCs/>
          <w:szCs w:val="28"/>
        </w:rPr>
        <w:t xml:space="preserve"> Diabetes</w:t>
      </w:r>
    </w:p>
    <w:p w14:paraId="46ACF911" w14:textId="77777777" w:rsidR="00DC4E00" w:rsidRPr="003540F8" w:rsidRDefault="00DC4E00" w:rsidP="00DC4E00">
      <w:pPr>
        <w:spacing w:after="0" w:line="240" w:lineRule="auto"/>
        <w:jc w:val="right"/>
        <w:rPr>
          <w:rFonts w:ascii="Arial" w:hAnsi="Arial" w:cs="Arial"/>
          <w:b/>
          <w:bCs/>
          <w:sz w:val="20"/>
          <w:szCs w:val="20"/>
        </w:rPr>
      </w:pPr>
    </w:p>
    <w:p w14:paraId="2124E548" w14:textId="77777777" w:rsidR="00060D81" w:rsidRPr="003540F8" w:rsidRDefault="00060D81" w:rsidP="00EB4E3E">
      <w:pPr>
        <w:spacing w:after="0" w:line="240" w:lineRule="auto"/>
        <w:jc w:val="both"/>
        <w:rPr>
          <w:rFonts w:ascii="Arial" w:hAnsi="Arial" w:cs="Arial"/>
          <w:b/>
          <w:bCs/>
          <w:sz w:val="20"/>
          <w:szCs w:val="20"/>
        </w:rPr>
      </w:pPr>
    </w:p>
    <w:p w14:paraId="008A2C85" w14:textId="15695F99" w:rsidR="00222D7C" w:rsidRPr="003540F8" w:rsidRDefault="00222D7C" w:rsidP="00EB4E3E">
      <w:pPr>
        <w:spacing w:line="240" w:lineRule="auto"/>
        <w:rPr>
          <w:rFonts w:ascii="Arial" w:hAnsi="Arial" w:cs="Arial"/>
          <w:b/>
          <w:bCs/>
          <w:sz w:val="22"/>
        </w:rPr>
      </w:pPr>
      <w:r w:rsidRPr="003540F8">
        <w:rPr>
          <w:rFonts w:ascii="Arial" w:hAnsi="Arial" w:cs="Arial"/>
          <w:b/>
          <w:bCs/>
          <w:sz w:val="22"/>
        </w:rPr>
        <w:t>ABSTRACT</w:t>
      </w:r>
    </w:p>
    <w:p w14:paraId="516B2C0F" w14:textId="0B648523" w:rsidR="007A0C26" w:rsidRPr="003540F8" w:rsidRDefault="004C34F3" w:rsidP="00EB4E3E">
      <w:pPr>
        <w:spacing w:line="240" w:lineRule="auto"/>
        <w:jc w:val="both"/>
        <w:rPr>
          <w:rFonts w:ascii="Arial" w:hAnsi="Arial" w:cs="Arial"/>
          <w:sz w:val="20"/>
          <w:szCs w:val="20"/>
        </w:rPr>
      </w:pPr>
      <w:r w:rsidRPr="003540F8">
        <w:rPr>
          <w:rFonts w:ascii="Arial" w:hAnsi="Arial" w:cs="Arial"/>
          <w:b/>
          <w:bCs/>
          <w:sz w:val="20"/>
          <w:szCs w:val="20"/>
        </w:rPr>
        <w:t>Background</w:t>
      </w:r>
      <w:r w:rsidR="009A0516" w:rsidRPr="003540F8">
        <w:rPr>
          <w:rFonts w:ascii="Arial" w:hAnsi="Arial" w:cs="Arial"/>
          <w:b/>
          <w:bCs/>
          <w:sz w:val="20"/>
          <w:szCs w:val="20"/>
        </w:rPr>
        <w:t xml:space="preserve">: </w:t>
      </w:r>
      <w:r w:rsidR="005F7FD2" w:rsidRPr="003540F8">
        <w:rPr>
          <w:rFonts w:ascii="Arial" w:hAnsi="Arial" w:cs="Arial"/>
          <w:sz w:val="20"/>
          <w:szCs w:val="20"/>
        </w:rPr>
        <w:t>Diabetes is classified as a metabolic disorder that can be effectively managed through beneficial dietary changes.</w:t>
      </w:r>
      <w:r w:rsidR="00854057" w:rsidRPr="003540F8">
        <w:rPr>
          <w:rFonts w:ascii="Arial" w:hAnsi="Arial" w:cs="Arial"/>
          <w:sz w:val="20"/>
          <w:szCs w:val="20"/>
        </w:rPr>
        <w:t xml:space="preserve"> </w:t>
      </w:r>
      <w:r w:rsidR="005F7FD2" w:rsidRPr="003540F8">
        <w:rPr>
          <w:rFonts w:ascii="Arial" w:hAnsi="Arial" w:cs="Arial"/>
          <w:sz w:val="20"/>
          <w:szCs w:val="20"/>
        </w:rPr>
        <w:t>Patients with diabetes are at an increased risk of developing chronic complications, including retinopathy, nephropathy, cardiovascular disease, neuropathy, and sepsis. The</w:t>
      </w:r>
      <w:r w:rsidR="00D17C7C">
        <w:rPr>
          <w:rFonts w:ascii="Arial" w:hAnsi="Arial" w:cs="Arial"/>
          <w:sz w:val="20"/>
          <w:szCs w:val="20"/>
        </w:rPr>
        <w:t xml:space="preserve"> </w:t>
      </w:r>
      <w:r w:rsidR="005F7FD2" w:rsidRPr="003540F8">
        <w:rPr>
          <w:rFonts w:ascii="Arial" w:hAnsi="Arial" w:cs="Arial"/>
          <w:sz w:val="20"/>
          <w:szCs w:val="20"/>
        </w:rPr>
        <w:t xml:space="preserve">treatment of this illness </w:t>
      </w:r>
      <w:r w:rsidR="00D17C7C">
        <w:rPr>
          <w:rFonts w:ascii="Arial" w:hAnsi="Arial" w:cs="Arial"/>
          <w:sz w:val="20"/>
          <w:szCs w:val="20"/>
        </w:rPr>
        <w:t>is</w:t>
      </w:r>
      <w:r w:rsidR="005F7FD2" w:rsidRPr="003540F8">
        <w:rPr>
          <w:rFonts w:ascii="Arial" w:hAnsi="Arial" w:cs="Arial"/>
          <w:sz w:val="20"/>
          <w:szCs w:val="20"/>
        </w:rPr>
        <w:t xml:space="preserve"> significantly influenced by lifestyle choices. Adopting a balanced diet, regular physical activity, maintaining appropriate sleep hygiene, and making other lifestyle choices significantly impacts the nutritional status of individuals with T2DM.</w:t>
      </w:r>
    </w:p>
    <w:p w14:paraId="78283139" w14:textId="77777777" w:rsidR="007A0C26" w:rsidRPr="003540F8" w:rsidRDefault="004C34F3" w:rsidP="00EB4E3E">
      <w:pPr>
        <w:spacing w:line="240" w:lineRule="auto"/>
        <w:jc w:val="both"/>
        <w:rPr>
          <w:rFonts w:ascii="Arial" w:hAnsi="Arial" w:cs="Arial"/>
          <w:sz w:val="20"/>
          <w:szCs w:val="20"/>
        </w:rPr>
      </w:pPr>
      <w:r w:rsidRPr="003540F8">
        <w:rPr>
          <w:rFonts w:ascii="Arial" w:hAnsi="Arial" w:cs="Arial"/>
          <w:b/>
          <w:bCs/>
          <w:sz w:val="20"/>
          <w:szCs w:val="20"/>
        </w:rPr>
        <w:t>Objective</w:t>
      </w:r>
      <w:r w:rsidR="009A0516" w:rsidRPr="003540F8">
        <w:rPr>
          <w:rFonts w:ascii="Arial" w:hAnsi="Arial" w:cs="Arial"/>
          <w:b/>
          <w:bCs/>
          <w:sz w:val="20"/>
          <w:szCs w:val="20"/>
        </w:rPr>
        <w:t>:</w:t>
      </w:r>
      <w:r w:rsidR="00225936" w:rsidRPr="003540F8">
        <w:rPr>
          <w:rFonts w:ascii="Arial" w:hAnsi="Arial" w:cs="Arial"/>
          <w:b/>
          <w:bCs/>
          <w:sz w:val="20"/>
          <w:szCs w:val="20"/>
        </w:rPr>
        <w:t xml:space="preserve"> </w:t>
      </w:r>
      <w:r w:rsidR="00225936" w:rsidRPr="003540F8">
        <w:rPr>
          <w:rFonts w:ascii="Arial" w:hAnsi="Arial" w:cs="Arial"/>
          <w:sz w:val="20"/>
          <w:szCs w:val="20"/>
        </w:rPr>
        <w:t>The present study aims to assess the impact of lifestyle habits on the nutritional status of patients with type 2 diabetes.</w:t>
      </w:r>
      <w:r w:rsidR="00A944F6" w:rsidRPr="003540F8">
        <w:rPr>
          <w:rFonts w:ascii="Arial" w:hAnsi="Arial" w:cs="Arial"/>
          <w:sz w:val="20"/>
          <w:szCs w:val="20"/>
        </w:rPr>
        <w:t xml:space="preserve"> </w:t>
      </w:r>
    </w:p>
    <w:p w14:paraId="5DCC8577" w14:textId="54625D32" w:rsidR="007A0C26" w:rsidRPr="003540F8" w:rsidRDefault="004C34F3" w:rsidP="00EB4E3E">
      <w:pPr>
        <w:spacing w:line="240" w:lineRule="auto"/>
        <w:jc w:val="both"/>
        <w:rPr>
          <w:rFonts w:ascii="Arial" w:hAnsi="Arial" w:cs="Arial"/>
          <w:sz w:val="20"/>
          <w:szCs w:val="20"/>
        </w:rPr>
      </w:pPr>
      <w:r w:rsidRPr="003540F8">
        <w:rPr>
          <w:rFonts w:ascii="Arial" w:hAnsi="Arial" w:cs="Arial"/>
          <w:b/>
          <w:bCs/>
          <w:sz w:val="20"/>
          <w:szCs w:val="20"/>
        </w:rPr>
        <w:t>Method and Materials</w:t>
      </w:r>
      <w:r w:rsidR="00A944F6" w:rsidRPr="003540F8">
        <w:rPr>
          <w:rFonts w:ascii="Arial" w:hAnsi="Arial" w:cs="Arial"/>
          <w:b/>
          <w:bCs/>
          <w:sz w:val="20"/>
          <w:szCs w:val="20"/>
        </w:rPr>
        <w:t xml:space="preserve">: </w:t>
      </w:r>
      <w:r w:rsidR="003E13C5" w:rsidRPr="003540F8">
        <w:rPr>
          <w:rFonts w:ascii="Arial" w:hAnsi="Arial" w:cs="Arial"/>
          <w:sz w:val="20"/>
          <w:szCs w:val="20"/>
        </w:rPr>
        <w:t xml:space="preserve">A total of </w:t>
      </w:r>
      <w:r w:rsidR="00B1188E" w:rsidRPr="003540F8">
        <w:rPr>
          <w:rFonts w:ascii="Arial" w:hAnsi="Arial" w:cs="Arial"/>
          <w:sz w:val="20"/>
          <w:szCs w:val="20"/>
        </w:rPr>
        <w:t>250</w:t>
      </w:r>
      <w:r w:rsidR="003E13C5" w:rsidRPr="003540F8">
        <w:rPr>
          <w:rFonts w:ascii="Arial" w:hAnsi="Arial" w:cs="Arial"/>
          <w:sz w:val="20"/>
          <w:szCs w:val="20"/>
        </w:rPr>
        <w:t xml:space="preserve"> </w:t>
      </w:r>
      <w:r w:rsidR="00A5554C" w:rsidRPr="003540F8">
        <w:rPr>
          <w:rFonts w:ascii="Arial" w:hAnsi="Arial" w:cs="Arial"/>
          <w:sz w:val="20"/>
          <w:szCs w:val="20"/>
        </w:rPr>
        <w:t>outpatients with</w:t>
      </w:r>
      <w:r w:rsidR="005118B5" w:rsidRPr="003540F8">
        <w:rPr>
          <w:rFonts w:ascii="Arial" w:hAnsi="Arial" w:cs="Arial"/>
          <w:sz w:val="20"/>
          <w:szCs w:val="20"/>
        </w:rPr>
        <w:t xml:space="preserve"> type 2 </w:t>
      </w:r>
      <w:r w:rsidR="00A5554C" w:rsidRPr="003540F8">
        <w:rPr>
          <w:rFonts w:ascii="Arial" w:hAnsi="Arial" w:cs="Arial"/>
          <w:sz w:val="20"/>
          <w:szCs w:val="20"/>
        </w:rPr>
        <w:t>diabetes</w:t>
      </w:r>
      <w:r w:rsidR="005118B5" w:rsidRPr="003540F8">
        <w:rPr>
          <w:rFonts w:ascii="Arial" w:hAnsi="Arial" w:cs="Arial"/>
          <w:sz w:val="20"/>
          <w:szCs w:val="20"/>
        </w:rPr>
        <w:t xml:space="preserve"> were selected based on </w:t>
      </w:r>
      <w:r w:rsidR="00A5554C" w:rsidRPr="003540F8">
        <w:rPr>
          <w:rFonts w:ascii="Arial" w:hAnsi="Arial" w:cs="Arial"/>
          <w:sz w:val="20"/>
          <w:szCs w:val="20"/>
        </w:rPr>
        <w:t>a purposive</w:t>
      </w:r>
      <w:r w:rsidR="001D50A3" w:rsidRPr="003540F8">
        <w:rPr>
          <w:rFonts w:ascii="Arial" w:hAnsi="Arial" w:cs="Arial"/>
          <w:sz w:val="20"/>
          <w:szCs w:val="20"/>
        </w:rPr>
        <w:t xml:space="preserve"> </w:t>
      </w:r>
      <w:r w:rsidR="00A5554C" w:rsidRPr="003540F8">
        <w:rPr>
          <w:rFonts w:ascii="Arial" w:hAnsi="Arial" w:cs="Arial"/>
          <w:sz w:val="20"/>
          <w:szCs w:val="20"/>
        </w:rPr>
        <w:t>non-</w:t>
      </w:r>
      <w:r w:rsidR="001D50A3" w:rsidRPr="003540F8">
        <w:rPr>
          <w:rFonts w:ascii="Arial" w:hAnsi="Arial" w:cs="Arial"/>
          <w:sz w:val="20"/>
          <w:szCs w:val="20"/>
        </w:rPr>
        <w:t>random sampling technique.</w:t>
      </w:r>
      <w:r w:rsidR="004C090B" w:rsidRPr="003540F8">
        <w:rPr>
          <w:rFonts w:ascii="Arial" w:hAnsi="Arial" w:cs="Arial"/>
          <w:sz w:val="20"/>
          <w:szCs w:val="20"/>
        </w:rPr>
        <w:t xml:space="preserve"> </w:t>
      </w:r>
      <w:r w:rsidR="008F436D" w:rsidRPr="003540F8">
        <w:rPr>
          <w:rFonts w:ascii="Arial" w:hAnsi="Arial" w:cs="Arial"/>
          <w:sz w:val="20"/>
          <w:szCs w:val="20"/>
        </w:rPr>
        <w:t xml:space="preserve">The data </w:t>
      </w:r>
      <w:r w:rsidR="000B6BF4" w:rsidRPr="003540F8">
        <w:rPr>
          <w:rFonts w:ascii="Arial" w:hAnsi="Arial" w:cs="Arial"/>
          <w:sz w:val="20"/>
          <w:szCs w:val="20"/>
        </w:rPr>
        <w:t>was collected</w:t>
      </w:r>
      <w:r w:rsidR="0075509A" w:rsidRPr="003540F8">
        <w:rPr>
          <w:rFonts w:ascii="Arial" w:hAnsi="Arial" w:cs="Arial"/>
          <w:sz w:val="20"/>
          <w:szCs w:val="20"/>
        </w:rPr>
        <w:t xml:space="preserve"> from </w:t>
      </w:r>
      <w:r w:rsidR="002177EB" w:rsidRPr="003540F8">
        <w:rPr>
          <w:rFonts w:ascii="Arial" w:hAnsi="Arial" w:cs="Arial"/>
          <w:sz w:val="20"/>
          <w:szCs w:val="20"/>
        </w:rPr>
        <w:t>Sir Sunder</w:t>
      </w:r>
      <w:r w:rsidR="001A59FE" w:rsidRPr="003540F8">
        <w:rPr>
          <w:rFonts w:ascii="Arial" w:hAnsi="Arial" w:cs="Arial"/>
          <w:sz w:val="20"/>
          <w:szCs w:val="20"/>
        </w:rPr>
        <w:t xml:space="preserve"> Lal</w:t>
      </w:r>
      <w:r w:rsidR="002177EB" w:rsidRPr="003540F8">
        <w:rPr>
          <w:rFonts w:ascii="Arial" w:hAnsi="Arial" w:cs="Arial"/>
          <w:sz w:val="20"/>
          <w:szCs w:val="20"/>
        </w:rPr>
        <w:t xml:space="preserve"> Hospital, BHU</w:t>
      </w:r>
      <w:r w:rsidR="00CC0236" w:rsidRPr="003540F8">
        <w:rPr>
          <w:rFonts w:ascii="Arial" w:hAnsi="Arial" w:cs="Arial"/>
          <w:sz w:val="20"/>
          <w:szCs w:val="20"/>
        </w:rPr>
        <w:t>, Varanasi, U</w:t>
      </w:r>
      <w:r w:rsidR="00D54F95" w:rsidRPr="003540F8">
        <w:rPr>
          <w:rFonts w:ascii="Arial" w:hAnsi="Arial" w:cs="Arial"/>
          <w:sz w:val="20"/>
          <w:szCs w:val="20"/>
        </w:rPr>
        <w:t xml:space="preserve">ttar Pradesh. </w:t>
      </w:r>
      <w:r w:rsidR="00B24959" w:rsidRPr="003540F8">
        <w:rPr>
          <w:rFonts w:ascii="Arial" w:hAnsi="Arial" w:cs="Arial"/>
          <w:sz w:val="20"/>
          <w:szCs w:val="20"/>
        </w:rPr>
        <w:t>Socio-</w:t>
      </w:r>
      <w:r w:rsidR="00C44179" w:rsidRPr="003540F8">
        <w:rPr>
          <w:rFonts w:ascii="Arial" w:hAnsi="Arial" w:cs="Arial"/>
          <w:sz w:val="20"/>
          <w:szCs w:val="20"/>
        </w:rPr>
        <w:t xml:space="preserve">demographic profile, </w:t>
      </w:r>
      <w:r w:rsidR="00B24959" w:rsidRPr="003540F8">
        <w:rPr>
          <w:rFonts w:ascii="Arial" w:hAnsi="Arial" w:cs="Arial"/>
          <w:sz w:val="20"/>
          <w:szCs w:val="20"/>
        </w:rPr>
        <w:t>biochemical</w:t>
      </w:r>
      <w:r w:rsidR="009F2AC8" w:rsidRPr="003540F8">
        <w:rPr>
          <w:rFonts w:ascii="Arial" w:hAnsi="Arial" w:cs="Arial"/>
          <w:sz w:val="20"/>
          <w:szCs w:val="20"/>
        </w:rPr>
        <w:t xml:space="preserve"> profile, </w:t>
      </w:r>
      <w:r w:rsidR="00B24959" w:rsidRPr="003540F8">
        <w:rPr>
          <w:rFonts w:ascii="Arial" w:hAnsi="Arial" w:cs="Arial"/>
          <w:sz w:val="20"/>
          <w:szCs w:val="20"/>
        </w:rPr>
        <w:t>nutritional profile,</w:t>
      </w:r>
      <w:r w:rsidR="007E2802" w:rsidRPr="003540F8">
        <w:rPr>
          <w:rFonts w:ascii="Arial" w:hAnsi="Arial" w:cs="Arial"/>
          <w:sz w:val="20"/>
          <w:szCs w:val="20"/>
        </w:rPr>
        <w:t xml:space="preserve"> </w:t>
      </w:r>
      <w:r w:rsidR="005820F0" w:rsidRPr="003540F8">
        <w:rPr>
          <w:rFonts w:ascii="Arial" w:hAnsi="Arial" w:cs="Arial"/>
          <w:sz w:val="20"/>
          <w:szCs w:val="20"/>
        </w:rPr>
        <w:t xml:space="preserve">and </w:t>
      </w:r>
      <w:r w:rsidR="000D4288" w:rsidRPr="003540F8">
        <w:rPr>
          <w:rFonts w:ascii="Arial" w:hAnsi="Arial" w:cs="Arial"/>
          <w:sz w:val="20"/>
          <w:szCs w:val="20"/>
        </w:rPr>
        <w:t>lifestyle</w:t>
      </w:r>
      <w:r w:rsidR="00D46B0B" w:rsidRPr="003540F8">
        <w:rPr>
          <w:rFonts w:ascii="Arial" w:hAnsi="Arial" w:cs="Arial"/>
          <w:sz w:val="20"/>
          <w:szCs w:val="20"/>
        </w:rPr>
        <w:t xml:space="preserve"> </w:t>
      </w:r>
      <w:r w:rsidR="00DB799A" w:rsidRPr="003540F8">
        <w:rPr>
          <w:rFonts w:ascii="Arial" w:hAnsi="Arial" w:cs="Arial"/>
          <w:sz w:val="20"/>
          <w:szCs w:val="20"/>
        </w:rPr>
        <w:t xml:space="preserve">habits </w:t>
      </w:r>
      <w:r w:rsidR="00D96938" w:rsidRPr="003540F8">
        <w:rPr>
          <w:rFonts w:ascii="Arial" w:hAnsi="Arial" w:cs="Arial"/>
          <w:sz w:val="20"/>
          <w:szCs w:val="20"/>
        </w:rPr>
        <w:t xml:space="preserve">assessed through </w:t>
      </w:r>
      <w:r w:rsidR="002D63BC" w:rsidRPr="003540F8">
        <w:rPr>
          <w:rFonts w:ascii="Arial" w:hAnsi="Arial" w:cs="Arial"/>
          <w:sz w:val="20"/>
          <w:szCs w:val="20"/>
        </w:rPr>
        <w:t>interview,</w:t>
      </w:r>
      <w:r w:rsidR="00593591" w:rsidRPr="003540F8">
        <w:rPr>
          <w:rFonts w:ascii="Arial" w:hAnsi="Arial" w:cs="Arial"/>
          <w:sz w:val="20"/>
          <w:szCs w:val="20"/>
        </w:rPr>
        <w:t xml:space="preserve"> </w:t>
      </w:r>
      <w:r w:rsidR="00102064" w:rsidRPr="003540F8">
        <w:rPr>
          <w:rFonts w:ascii="Arial" w:hAnsi="Arial" w:cs="Arial"/>
          <w:sz w:val="20"/>
          <w:szCs w:val="20"/>
        </w:rPr>
        <w:t xml:space="preserve">self-structured </w:t>
      </w:r>
      <w:r w:rsidR="002D63BC" w:rsidRPr="003540F8">
        <w:rPr>
          <w:rFonts w:ascii="Arial" w:hAnsi="Arial" w:cs="Arial"/>
          <w:sz w:val="20"/>
          <w:szCs w:val="20"/>
        </w:rPr>
        <w:t>questionnaire,</w:t>
      </w:r>
      <w:r w:rsidR="00102064" w:rsidRPr="003540F8">
        <w:rPr>
          <w:rFonts w:ascii="Arial" w:hAnsi="Arial" w:cs="Arial"/>
          <w:sz w:val="20"/>
          <w:szCs w:val="20"/>
        </w:rPr>
        <w:t xml:space="preserve"> </w:t>
      </w:r>
      <w:r w:rsidR="00593591" w:rsidRPr="003540F8">
        <w:rPr>
          <w:rFonts w:ascii="Arial" w:hAnsi="Arial" w:cs="Arial"/>
          <w:sz w:val="20"/>
          <w:szCs w:val="20"/>
        </w:rPr>
        <w:t xml:space="preserve">and </w:t>
      </w:r>
      <w:r w:rsidR="007833A8" w:rsidRPr="003540F8">
        <w:rPr>
          <w:rFonts w:ascii="Arial" w:hAnsi="Arial" w:cs="Arial"/>
          <w:sz w:val="20"/>
          <w:szCs w:val="20"/>
        </w:rPr>
        <w:t>tools.</w:t>
      </w:r>
      <w:r w:rsidR="0026118E" w:rsidRPr="003540F8">
        <w:rPr>
          <w:rFonts w:ascii="Arial" w:hAnsi="Arial" w:cs="Arial"/>
          <w:sz w:val="20"/>
          <w:szCs w:val="20"/>
        </w:rPr>
        <w:t xml:space="preserve"> (SPSS 25.0)</w:t>
      </w:r>
      <w:r w:rsidR="00CF110B" w:rsidRPr="003540F8">
        <w:rPr>
          <w:rFonts w:ascii="Arial" w:hAnsi="Arial" w:cs="Arial"/>
          <w:sz w:val="20"/>
          <w:szCs w:val="20"/>
        </w:rPr>
        <w:t xml:space="preserve"> version used for the analysis of the data.</w:t>
      </w:r>
    </w:p>
    <w:p w14:paraId="1AEFD894" w14:textId="0DD23958" w:rsidR="007A0C26" w:rsidRPr="003540F8" w:rsidRDefault="004C34F3" w:rsidP="00EB4E3E">
      <w:pPr>
        <w:spacing w:line="240" w:lineRule="auto"/>
        <w:jc w:val="both"/>
        <w:rPr>
          <w:rFonts w:ascii="Arial" w:hAnsi="Arial" w:cs="Arial"/>
          <w:sz w:val="20"/>
          <w:szCs w:val="20"/>
        </w:rPr>
      </w:pPr>
      <w:r w:rsidRPr="003540F8">
        <w:rPr>
          <w:rFonts w:ascii="Arial" w:hAnsi="Arial" w:cs="Arial"/>
          <w:b/>
          <w:bCs/>
          <w:sz w:val="20"/>
          <w:szCs w:val="20"/>
        </w:rPr>
        <w:t>Result</w:t>
      </w:r>
      <w:r w:rsidR="00811951" w:rsidRPr="003540F8">
        <w:rPr>
          <w:rFonts w:ascii="Arial" w:hAnsi="Arial" w:cs="Arial"/>
          <w:b/>
          <w:bCs/>
          <w:sz w:val="20"/>
          <w:szCs w:val="20"/>
        </w:rPr>
        <w:t xml:space="preserve">: </w:t>
      </w:r>
      <w:r w:rsidR="00201640" w:rsidRPr="003540F8">
        <w:rPr>
          <w:rFonts w:ascii="Arial" w:hAnsi="Arial" w:cs="Arial"/>
          <w:sz w:val="20"/>
          <w:szCs w:val="20"/>
        </w:rPr>
        <w:t xml:space="preserve">The </w:t>
      </w:r>
      <w:r w:rsidR="00EE73D0" w:rsidRPr="003540F8">
        <w:rPr>
          <w:rFonts w:ascii="Arial" w:hAnsi="Arial" w:cs="Arial"/>
          <w:sz w:val="20"/>
          <w:szCs w:val="20"/>
        </w:rPr>
        <w:t>analysis revealed that physical activity, gender, and WHR were significantly associated with BMI.</w:t>
      </w:r>
      <w:r w:rsidR="002D20CB" w:rsidRPr="003540F8">
        <w:rPr>
          <w:rFonts w:ascii="Arial" w:eastAsia="Times New Roman" w:hAnsi="Arial" w:cs="Arial"/>
          <w:kern w:val="0"/>
          <w:sz w:val="20"/>
          <w:szCs w:val="20"/>
          <w:lang w:eastAsia="en-IN"/>
          <w14:ligatures w14:val="none"/>
        </w:rPr>
        <w:t xml:space="preserve"> </w:t>
      </w:r>
      <w:r w:rsidR="0013745E" w:rsidRPr="003540F8">
        <w:rPr>
          <w:rFonts w:ascii="Arial" w:eastAsia="Times New Roman" w:hAnsi="Arial" w:cs="Arial"/>
          <w:kern w:val="0"/>
          <w:sz w:val="20"/>
          <w:szCs w:val="20"/>
          <w:lang w:eastAsia="en-IN"/>
          <w14:ligatures w14:val="none"/>
        </w:rPr>
        <w:t xml:space="preserve">The </w:t>
      </w:r>
      <w:r w:rsidR="0013745E" w:rsidRPr="003540F8">
        <w:rPr>
          <w:rFonts w:ascii="Arial" w:hAnsi="Arial" w:cs="Arial"/>
          <w:sz w:val="20"/>
          <w:szCs w:val="20"/>
        </w:rPr>
        <w:t xml:space="preserve">other </w:t>
      </w:r>
      <w:r w:rsidR="002D63BC" w:rsidRPr="003540F8">
        <w:rPr>
          <w:rFonts w:ascii="Arial" w:hAnsi="Arial" w:cs="Arial"/>
          <w:sz w:val="20"/>
          <w:szCs w:val="20"/>
        </w:rPr>
        <w:t>variables,</w:t>
      </w:r>
      <w:r w:rsidR="0013745E" w:rsidRPr="003540F8">
        <w:rPr>
          <w:rFonts w:ascii="Arial" w:hAnsi="Arial" w:cs="Arial"/>
          <w:sz w:val="20"/>
          <w:szCs w:val="20"/>
        </w:rPr>
        <w:t xml:space="preserve"> such as smoking, tobacco use, alcohol consumption, food habits, age, marital status, and </w:t>
      </w:r>
      <w:r w:rsidR="002D63BC" w:rsidRPr="003540F8">
        <w:rPr>
          <w:rFonts w:ascii="Arial" w:hAnsi="Arial" w:cs="Arial"/>
          <w:sz w:val="20"/>
          <w:szCs w:val="20"/>
        </w:rPr>
        <w:t>socioeconomic status,</w:t>
      </w:r>
      <w:r w:rsidR="0013745E" w:rsidRPr="003540F8">
        <w:rPr>
          <w:rFonts w:ascii="Arial" w:hAnsi="Arial" w:cs="Arial"/>
          <w:sz w:val="20"/>
          <w:szCs w:val="20"/>
        </w:rPr>
        <w:t xml:space="preserve"> did not show significant associations with </w:t>
      </w:r>
      <w:r w:rsidR="002D63BC" w:rsidRPr="003540F8">
        <w:rPr>
          <w:rFonts w:ascii="Arial" w:hAnsi="Arial" w:cs="Arial"/>
          <w:sz w:val="20"/>
          <w:szCs w:val="20"/>
        </w:rPr>
        <w:t>the BMI</w:t>
      </w:r>
      <w:r w:rsidR="0013745E" w:rsidRPr="003540F8">
        <w:rPr>
          <w:rFonts w:ascii="Arial" w:hAnsi="Arial" w:cs="Arial"/>
          <w:sz w:val="20"/>
          <w:szCs w:val="20"/>
        </w:rPr>
        <w:t xml:space="preserve"> (p &gt; 0.05)</w:t>
      </w:r>
      <w:r w:rsidR="00FA0B5F" w:rsidRPr="003540F8">
        <w:rPr>
          <w:rFonts w:ascii="Arial" w:hAnsi="Arial" w:cs="Arial"/>
          <w:sz w:val="20"/>
          <w:szCs w:val="20"/>
        </w:rPr>
        <w:t xml:space="preserve"> of the patients</w:t>
      </w:r>
      <w:r w:rsidR="0013745E" w:rsidRPr="003540F8">
        <w:rPr>
          <w:rFonts w:ascii="Arial" w:hAnsi="Arial" w:cs="Arial"/>
          <w:sz w:val="20"/>
          <w:szCs w:val="20"/>
        </w:rPr>
        <w:t>.</w:t>
      </w:r>
    </w:p>
    <w:p w14:paraId="7D6876D4" w14:textId="3AD8958B" w:rsidR="00BE0FF8" w:rsidRPr="003540F8" w:rsidRDefault="004C34F3" w:rsidP="00EB4E3E">
      <w:pPr>
        <w:spacing w:line="240" w:lineRule="auto"/>
        <w:jc w:val="both"/>
        <w:rPr>
          <w:rFonts w:ascii="Arial" w:hAnsi="Arial" w:cs="Arial"/>
          <w:sz w:val="20"/>
          <w:szCs w:val="20"/>
        </w:rPr>
      </w:pPr>
      <w:r w:rsidRPr="003540F8">
        <w:rPr>
          <w:rFonts w:ascii="Arial" w:hAnsi="Arial" w:cs="Arial"/>
          <w:b/>
          <w:bCs/>
          <w:sz w:val="20"/>
          <w:szCs w:val="20"/>
        </w:rPr>
        <w:t>Conclusion</w:t>
      </w:r>
      <w:r w:rsidR="004112A7" w:rsidRPr="003540F8">
        <w:rPr>
          <w:rFonts w:ascii="Arial" w:hAnsi="Arial" w:cs="Arial"/>
          <w:b/>
          <w:bCs/>
          <w:sz w:val="20"/>
          <w:szCs w:val="20"/>
        </w:rPr>
        <w:t>:</w:t>
      </w:r>
      <w:r w:rsidR="00164B4C" w:rsidRPr="003540F8">
        <w:rPr>
          <w:rFonts w:ascii="Arial" w:hAnsi="Arial" w:cs="Arial"/>
          <w:sz w:val="20"/>
          <w:szCs w:val="20"/>
        </w:rPr>
        <w:t xml:space="preserve"> </w:t>
      </w:r>
      <w:r w:rsidR="005F7FD2" w:rsidRPr="003540F8">
        <w:rPr>
          <w:rFonts w:ascii="Arial" w:hAnsi="Arial" w:cs="Arial"/>
          <w:sz w:val="20"/>
          <w:szCs w:val="20"/>
        </w:rPr>
        <w:t>This investigation emphasizes the substantial influence of sociodemographic and lifestyle variables on body mass index (BMI).  BMI is significantly influenced by gender, physical activity, and WHR.  The effective prevention and management of type 2 diabetes can be significantly influenced by the promotion of active lifestyles and the consideration of these variables.</w:t>
      </w:r>
    </w:p>
    <w:p w14:paraId="3051C53A" w14:textId="5B0EF215" w:rsidR="00C926E2" w:rsidRPr="003540F8" w:rsidRDefault="00C926E2" w:rsidP="00EB4E3E">
      <w:pPr>
        <w:spacing w:line="240" w:lineRule="auto"/>
        <w:jc w:val="both"/>
        <w:rPr>
          <w:rFonts w:ascii="Arial" w:hAnsi="Arial" w:cs="Arial"/>
          <w:i/>
          <w:iCs/>
          <w:sz w:val="20"/>
          <w:szCs w:val="20"/>
        </w:rPr>
      </w:pPr>
      <w:r w:rsidRPr="003540F8">
        <w:rPr>
          <w:rFonts w:ascii="Arial" w:hAnsi="Arial" w:cs="Arial"/>
          <w:b/>
          <w:bCs/>
          <w:i/>
          <w:iCs/>
          <w:sz w:val="20"/>
          <w:szCs w:val="20"/>
        </w:rPr>
        <w:t>K</w:t>
      </w:r>
      <w:r w:rsidR="00D775C2" w:rsidRPr="003540F8">
        <w:rPr>
          <w:rFonts w:ascii="Arial" w:hAnsi="Arial" w:cs="Arial"/>
          <w:b/>
          <w:bCs/>
          <w:i/>
          <w:iCs/>
          <w:sz w:val="20"/>
          <w:szCs w:val="20"/>
        </w:rPr>
        <w:t>eywords</w:t>
      </w:r>
      <w:r w:rsidRPr="003540F8">
        <w:rPr>
          <w:rFonts w:ascii="Arial" w:hAnsi="Arial" w:cs="Arial"/>
          <w:b/>
          <w:bCs/>
          <w:i/>
          <w:iCs/>
          <w:sz w:val="20"/>
          <w:szCs w:val="20"/>
        </w:rPr>
        <w:t xml:space="preserve">: </w:t>
      </w:r>
      <w:r w:rsidR="00073E68" w:rsidRPr="003540F8">
        <w:rPr>
          <w:rFonts w:ascii="Arial" w:hAnsi="Arial" w:cs="Arial"/>
          <w:i/>
          <w:iCs/>
          <w:sz w:val="20"/>
          <w:szCs w:val="20"/>
        </w:rPr>
        <w:t>T2DM, Lifestyle Habits, Body Mass Index, Physical Activity.</w:t>
      </w:r>
    </w:p>
    <w:p w14:paraId="3312D664" w14:textId="65D5DD70" w:rsidR="00F5757E" w:rsidRPr="003540F8" w:rsidRDefault="00A56247" w:rsidP="00D775C2">
      <w:pPr>
        <w:pStyle w:val="ListParagraph"/>
        <w:numPr>
          <w:ilvl w:val="0"/>
          <w:numId w:val="22"/>
        </w:numPr>
        <w:spacing w:line="240" w:lineRule="auto"/>
        <w:ind w:left="284"/>
        <w:jc w:val="both"/>
        <w:rPr>
          <w:rFonts w:ascii="Arial" w:hAnsi="Arial" w:cs="Arial"/>
          <w:b/>
          <w:bCs/>
          <w:sz w:val="22"/>
        </w:rPr>
      </w:pPr>
      <w:r w:rsidRPr="003540F8">
        <w:rPr>
          <w:rFonts w:ascii="Arial" w:hAnsi="Arial" w:cs="Arial"/>
          <w:b/>
          <w:bCs/>
          <w:sz w:val="22"/>
        </w:rPr>
        <w:t>INTRODUCTION</w:t>
      </w:r>
    </w:p>
    <w:p w14:paraId="50128EDC" w14:textId="595DEE71" w:rsidR="004405CB" w:rsidRPr="004405CB" w:rsidRDefault="004405CB" w:rsidP="004405CB">
      <w:pPr>
        <w:spacing w:line="240" w:lineRule="auto"/>
        <w:jc w:val="both"/>
        <w:rPr>
          <w:rFonts w:ascii="Arial" w:hAnsi="Arial" w:cs="Arial"/>
          <w:sz w:val="20"/>
          <w:szCs w:val="20"/>
        </w:rPr>
      </w:pPr>
      <w:r w:rsidRPr="004405CB">
        <w:rPr>
          <w:rFonts w:ascii="Arial" w:hAnsi="Arial" w:cs="Arial"/>
          <w:sz w:val="20"/>
          <w:szCs w:val="20"/>
        </w:rPr>
        <w:t>Diabetes mellitus is a chronic condition that impacts the process of blood glucose in the body (Mukhtar et al., 2019) and leads to significant health issues. Diabetes can be classified into gestational diabetes, type 1 diabetes, type 2 diabetes, pre-diabetes, and MRDM. The main source of the diabetes epidemic is type 2 diabetes mellitus, which accounts for 90% of all diabetes cases. T2DM is a chronic condition characterized by elevated insulin resistance and diminished insulin secretion. Untreated severe diabetes can cause microvascular problems including retinopathy, nephropathy, and neuropathy as well as macrovascular ones including stroke, ischemic heart disease, and peripheral vascular disease (Krishnan et al., 2015). Among chronic non-communicable diseases, diabetes lowers quality of life by raising the risk of chronic complications and death (Schipper et al., 2023).</w:t>
      </w:r>
    </w:p>
    <w:p w14:paraId="4D83FB42" w14:textId="01573B80" w:rsidR="004405CB" w:rsidRPr="004405CB" w:rsidRDefault="004405CB" w:rsidP="004405CB">
      <w:pPr>
        <w:spacing w:line="240" w:lineRule="auto"/>
        <w:jc w:val="both"/>
        <w:rPr>
          <w:rFonts w:ascii="Arial" w:hAnsi="Arial" w:cs="Arial"/>
          <w:sz w:val="20"/>
          <w:szCs w:val="20"/>
        </w:rPr>
      </w:pPr>
      <w:r w:rsidRPr="004405CB">
        <w:rPr>
          <w:rFonts w:ascii="Arial" w:hAnsi="Arial" w:cs="Arial"/>
          <w:sz w:val="20"/>
          <w:szCs w:val="20"/>
        </w:rPr>
        <w:t>The most common risk factors for type 2 diabetes include a sedentary lifestyle, stress, overweight or obesity, adult-onset diabetes, and a family history of the disease. The most prevalent risk factors for diabetes are obesity and being overweight (Zheng et al., 2018). Dietary programs and healthy lifestyle interventions are crucial for the management of diabetes mellitus and the prevention of its complications (Sami et al., 2017).</w:t>
      </w:r>
      <w:r>
        <w:rPr>
          <w:rFonts w:ascii="Arial" w:hAnsi="Arial" w:cs="Arial"/>
          <w:sz w:val="20"/>
          <w:szCs w:val="20"/>
        </w:rPr>
        <w:t xml:space="preserve"> </w:t>
      </w:r>
      <w:r w:rsidRPr="004405CB">
        <w:rPr>
          <w:rFonts w:ascii="Arial" w:hAnsi="Arial" w:cs="Arial"/>
          <w:sz w:val="20"/>
          <w:szCs w:val="20"/>
        </w:rPr>
        <w:t>A well-balanced diet that includes complex carbohydrates, high-</w:t>
      </w:r>
      <w:proofErr w:type="spellStart"/>
      <w:r w:rsidRPr="004405CB">
        <w:rPr>
          <w:rFonts w:ascii="Arial" w:hAnsi="Arial" w:cs="Arial"/>
          <w:sz w:val="20"/>
          <w:szCs w:val="20"/>
        </w:rPr>
        <w:t>fiber</w:t>
      </w:r>
      <w:proofErr w:type="spellEnd"/>
      <w:r w:rsidRPr="004405CB">
        <w:rPr>
          <w:rFonts w:ascii="Arial" w:hAnsi="Arial" w:cs="Arial"/>
          <w:sz w:val="20"/>
          <w:szCs w:val="20"/>
        </w:rPr>
        <w:t xml:space="preserve"> foods, and lean sources of protein comprises approximately 15-20% of the total energy intake, and also healthy fats can help regulate blood sugar levels to improve insulin sensitivity (</w:t>
      </w:r>
      <w:proofErr w:type="spellStart"/>
      <w:r w:rsidRPr="004405CB">
        <w:rPr>
          <w:rFonts w:ascii="Arial" w:hAnsi="Arial" w:cs="Arial"/>
          <w:sz w:val="20"/>
          <w:szCs w:val="20"/>
        </w:rPr>
        <w:t>Amerkamp</w:t>
      </w:r>
      <w:proofErr w:type="spellEnd"/>
      <w:r w:rsidRPr="004405CB">
        <w:rPr>
          <w:rFonts w:ascii="Arial" w:hAnsi="Arial" w:cs="Arial"/>
          <w:sz w:val="20"/>
          <w:szCs w:val="20"/>
        </w:rPr>
        <w:t xml:space="preserve"> et al., 2025</w:t>
      </w:r>
      <w:r w:rsidR="00D55B27">
        <w:rPr>
          <w:rFonts w:ascii="Arial" w:hAnsi="Arial" w:cs="Arial"/>
          <w:sz w:val="20"/>
          <w:szCs w:val="20"/>
        </w:rPr>
        <w:t>; Evert et al., 2019</w:t>
      </w:r>
      <w:r w:rsidRPr="004405CB">
        <w:rPr>
          <w:rFonts w:ascii="Arial" w:hAnsi="Arial" w:cs="Arial"/>
          <w:sz w:val="20"/>
          <w:szCs w:val="20"/>
        </w:rPr>
        <w:t xml:space="preserve">). Additionally, engaging in consistent physical activity enhances glucose uptake by muscles and supports weight management, which is important for diabetes control (Lee et al., 2012; Warburton et al., 2006). The diet should be the patient’s preference and also ensure it meets the necessary dietary allowances for all vitamins and </w:t>
      </w:r>
      <w:r w:rsidRPr="004405CB">
        <w:rPr>
          <w:rFonts w:ascii="Arial" w:hAnsi="Arial" w:cs="Arial"/>
          <w:sz w:val="20"/>
          <w:szCs w:val="20"/>
        </w:rPr>
        <w:lastRenderedPageBreak/>
        <w:t>minerals. Nutritional interventions are positively significant with the quality of life in the management of type 2 diabetes (Huang et al., 2016).</w:t>
      </w:r>
    </w:p>
    <w:p w14:paraId="5B4AF3DC" w14:textId="5AD26858" w:rsidR="004405CB" w:rsidRPr="004405CB" w:rsidRDefault="004405CB" w:rsidP="004405CB">
      <w:pPr>
        <w:spacing w:line="240" w:lineRule="auto"/>
        <w:jc w:val="both"/>
        <w:rPr>
          <w:rFonts w:ascii="Arial" w:hAnsi="Arial" w:cs="Arial"/>
          <w:sz w:val="20"/>
          <w:szCs w:val="20"/>
        </w:rPr>
      </w:pPr>
      <w:r w:rsidRPr="004405CB">
        <w:rPr>
          <w:rFonts w:ascii="Arial" w:hAnsi="Arial" w:cs="Arial"/>
          <w:sz w:val="20"/>
          <w:szCs w:val="20"/>
        </w:rPr>
        <w:t>Lifestyle choices play a crucial role in both the progression and management of type 2 diabetes (</w:t>
      </w:r>
      <w:proofErr w:type="spellStart"/>
      <w:r w:rsidRPr="004405CB">
        <w:rPr>
          <w:rFonts w:ascii="Arial" w:hAnsi="Arial" w:cs="Arial"/>
          <w:sz w:val="20"/>
          <w:szCs w:val="20"/>
        </w:rPr>
        <w:t>Mozaffarian</w:t>
      </w:r>
      <w:proofErr w:type="spellEnd"/>
      <w:r w:rsidRPr="004405CB">
        <w:rPr>
          <w:rFonts w:ascii="Arial" w:hAnsi="Arial" w:cs="Arial"/>
          <w:sz w:val="20"/>
          <w:szCs w:val="20"/>
        </w:rPr>
        <w:t xml:space="preserve"> et al., 2011). Lifestyle modification has beneficial consequences that extend beyond the reduction of conventional risk factors</w:t>
      </w:r>
      <w:r w:rsidR="00752A4B">
        <w:rPr>
          <w:rFonts w:ascii="Arial" w:hAnsi="Arial" w:cs="Arial"/>
          <w:sz w:val="20"/>
          <w:szCs w:val="20"/>
        </w:rPr>
        <w:t xml:space="preserve"> (Duan et al., 2022)</w:t>
      </w:r>
      <w:r w:rsidRPr="004405CB">
        <w:rPr>
          <w:rFonts w:ascii="Arial" w:hAnsi="Arial" w:cs="Arial"/>
          <w:sz w:val="20"/>
          <w:szCs w:val="20"/>
        </w:rPr>
        <w:t>. The cornerstone of diabetes management is the modification of diet and, in particular, physical activity. Physical activity is a comprehensive term that encompasses all activities that enhance energy expenditure and is a critical component of the diabetes management plan (Gherasim et al., 2023</w:t>
      </w:r>
      <w:r w:rsidR="00D55B27">
        <w:rPr>
          <w:rFonts w:ascii="Arial" w:hAnsi="Arial" w:cs="Arial"/>
          <w:sz w:val="20"/>
          <w:szCs w:val="20"/>
        </w:rPr>
        <w:t>; Pippi et al., 2022</w:t>
      </w:r>
      <w:r w:rsidRPr="004405CB">
        <w:rPr>
          <w:rFonts w:ascii="Arial" w:hAnsi="Arial" w:cs="Arial"/>
          <w:sz w:val="20"/>
          <w:szCs w:val="20"/>
        </w:rPr>
        <w:t>).</w:t>
      </w:r>
    </w:p>
    <w:p w14:paraId="657A1370" w14:textId="77777777" w:rsidR="004405CB" w:rsidRPr="004405CB" w:rsidRDefault="004405CB" w:rsidP="004405CB">
      <w:pPr>
        <w:spacing w:line="240" w:lineRule="auto"/>
        <w:jc w:val="both"/>
        <w:rPr>
          <w:rFonts w:ascii="Arial" w:hAnsi="Arial" w:cs="Arial"/>
          <w:sz w:val="20"/>
          <w:szCs w:val="20"/>
        </w:rPr>
      </w:pPr>
      <w:r w:rsidRPr="004405CB">
        <w:rPr>
          <w:rFonts w:ascii="Arial" w:hAnsi="Arial" w:cs="Arial"/>
          <w:sz w:val="20"/>
          <w:szCs w:val="20"/>
        </w:rPr>
        <w:t>Good sleep hygiene is equally extremely important since inadequate sleep is linked to higher insulin resistance and hormonal abnormalities that could aggravate diabetes (</w:t>
      </w:r>
      <w:proofErr w:type="spellStart"/>
      <w:r w:rsidRPr="004405CB">
        <w:rPr>
          <w:rFonts w:ascii="Arial" w:hAnsi="Arial" w:cs="Arial"/>
          <w:sz w:val="20"/>
          <w:szCs w:val="20"/>
        </w:rPr>
        <w:t>Anothaisintawee</w:t>
      </w:r>
      <w:proofErr w:type="spellEnd"/>
      <w:r w:rsidRPr="004405CB">
        <w:rPr>
          <w:rFonts w:ascii="Arial" w:hAnsi="Arial" w:cs="Arial"/>
          <w:sz w:val="20"/>
          <w:szCs w:val="20"/>
        </w:rPr>
        <w:t xml:space="preserve"> et al., 2016). Sleep disorders may accelerate diabetes progression and consequently significantly influence diabetes management (Schipper et al., 2023). It is crucial to consider the patient's comprehensive lifestyle patterns to implement interventions that promote optimal health (Kris-Etherton et al., 2022). When these lifestyle interventions are applied together, they create a complete strategy for enhancing health outcomes in people with Type II diabetes (American Diabetes Association, 2023).</w:t>
      </w:r>
    </w:p>
    <w:p w14:paraId="57B9B78A" w14:textId="18A1B772" w:rsidR="004405CB" w:rsidRPr="004405CB" w:rsidRDefault="004405CB" w:rsidP="004405CB">
      <w:pPr>
        <w:spacing w:line="240" w:lineRule="auto"/>
        <w:jc w:val="both"/>
        <w:rPr>
          <w:rFonts w:ascii="Arial" w:hAnsi="Arial" w:cs="Arial"/>
          <w:b/>
          <w:bCs/>
          <w:sz w:val="22"/>
        </w:rPr>
      </w:pPr>
      <w:r w:rsidRPr="004405CB">
        <w:rPr>
          <w:rFonts w:ascii="Arial" w:hAnsi="Arial" w:cs="Arial"/>
          <w:sz w:val="20"/>
          <w:szCs w:val="20"/>
        </w:rPr>
        <w:t xml:space="preserve">This paper investigates the </w:t>
      </w:r>
      <w:r>
        <w:rPr>
          <w:rFonts w:ascii="Arial" w:hAnsi="Arial" w:cs="Arial"/>
          <w:sz w:val="20"/>
          <w:szCs w:val="20"/>
        </w:rPr>
        <w:t>impact</w:t>
      </w:r>
      <w:r w:rsidRPr="004405CB">
        <w:rPr>
          <w:rFonts w:ascii="Arial" w:hAnsi="Arial" w:cs="Arial"/>
          <w:sz w:val="20"/>
          <w:szCs w:val="20"/>
        </w:rPr>
        <w:t xml:space="preserve"> of lifestyle choices on the nutritional status of patients with type 2 diabetes, emphasizing the significance of dietary modifications, exercise, and other modifiable factors in the management of the condition.</w:t>
      </w:r>
      <w:r>
        <w:rPr>
          <w:rFonts w:ascii="Arial" w:hAnsi="Arial" w:cs="Arial"/>
          <w:sz w:val="20"/>
          <w:szCs w:val="20"/>
        </w:rPr>
        <w:t xml:space="preserve"> </w:t>
      </w:r>
      <w:r w:rsidRPr="004405CB">
        <w:rPr>
          <w:rFonts w:ascii="Arial" w:hAnsi="Arial" w:cs="Arial"/>
          <w:sz w:val="20"/>
          <w:szCs w:val="20"/>
        </w:rPr>
        <w:t>Knowing these links will enable doctors to create focused plans to encourage better lifestyles and enhance patient results (Bhurosy &amp; Jeewon, 2014).</w:t>
      </w:r>
    </w:p>
    <w:p w14:paraId="031CF513" w14:textId="3F1128DF" w:rsidR="00D775C2" w:rsidRDefault="00C62EEF" w:rsidP="004405CB">
      <w:pPr>
        <w:pStyle w:val="ListParagraph"/>
        <w:numPr>
          <w:ilvl w:val="0"/>
          <w:numId w:val="22"/>
        </w:numPr>
        <w:spacing w:line="240" w:lineRule="auto"/>
        <w:ind w:left="284" w:hanging="284"/>
        <w:jc w:val="both"/>
        <w:rPr>
          <w:rFonts w:ascii="Arial" w:hAnsi="Arial" w:cs="Arial"/>
          <w:b/>
          <w:bCs/>
          <w:sz w:val="22"/>
        </w:rPr>
      </w:pPr>
      <w:r w:rsidRPr="004405CB">
        <w:rPr>
          <w:rFonts w:ascii="Arial" w:hAnsi="Arial" w:cs="Arial"/>
          <w:b/>
          <w:bCs/>
          <w:sz w:val="22"/>
        </w:rPr>
        <w:t>O</w:t>
      </w:r>
      <w:r w:rsidR="00B94D84" w:rsidRPr="004405CB">
        <w:rPr>
          <w:rFonts w:ascii="Arial" w:hAnsi="Arial" w:cs="Arial"/>
          <w:b/>
          <w:bCs/>
          <w:sz w:val="22"/>
        </w:rPr>
        <w:t>BJECTIVES</w:t>
      </w:r>
    </w:p>
    <w:p w14:paraId="5F2EA336" w14:textId="77777777" w:rsidR="004405CB" w:rsidRPr="004405CB" w:rsidRDefault="004405CB" w:rsidP="004405CB">
      <w:pPr>
        <w:pStyle w:val="ListParagraph"/>
        <w:spacing w:line="240" w:lineRule="auto"/>
        <w:ind w:left="284"/>
        <w:jc w:val="both"/>
        <w:rPr>
          <w:rFonts w:ascii="Arial" w:hAnsi="Arial" w:cs="Arial"/>
          <w:b/>
          <w:bCs/>
          <w:sz w:val="22"/>
        </w:rPr>
      </w:pPr>
    </w:p>
    <w:p w14:paraId="752F743C" w14:textId="6319BF55" w:rsidR="00B94D84" w:rsidRPr="003540F8" w:rsidRDefault="00B94D84" w:rsidP="00053D5C">
      <w:pPr>
        <w:pStyle w:val="ListParagraph"/>
        <w:numPr>
          <w:ilvl w:val="1"/>
          <w:numId w:val="22"/>
        </w:numPr>
        <w:spacing w:line="240" w:lineRule="auto"/>
        <w:jc w:val="both"/>
        <w:rPr>
          <w:rFonts w:ascii="Arial" w:hAnsi="Arial" w:cs="Arial"/>
          <w:sz w:val="20"/>
          <w:szCs w:val="20"/>
        </w:rPr>
      </w:pPr>
      <w:r w:rsidRPr="003540F8">
        <w:rPr>
          <w:rFonts w:ascii="Arial" w:hAnsi="Arial" w:cs="Arial"/>
          <w:sz w:val="20"/>
          <w:szCs w:val="20"/>
        </w:rPr>
        <w:t xml:space="preserve">To study the </w:t>
      </w:r>
      <w:r w:rsidR="00703F8B" w:rsidRPr="003540F8">
        <w:rPr>
          <w:rFonts w:ascii="Arial" w:hAnsi="Arial" w:cs="Arial"/>
          <w:sz w:val="20"/>
          <w:szCs w:val="20"/>
        </w:rPr>
        <w:t>lifestyle habits of type 2 diabetes patients.</w:t>
      </w:r>
    </w:p>
    <w:p w14:paraId="2AECBEF1" w14:textId="17BEAECA" w:rsidR="00703F8B" w:rsidRPr="003540F8" w:rsidRDefault="00703F8B" w:rsidP="00053D5C">
      <w:pPr>
        <w:pStyle w:val="ListParagraph"/>
        <w:numPr>
          <w:ilvl w:val="1"/>
          <w:numId w:val="22"/>
        </w:numPr>
        <w:spacing w:line="240" w:lineRule="auto"/>
        <w:jc w:val="both"/>
        <w:rPr>
          <w:rFonts w:ascii="Arial" w:hAnsi="Arial" w:cs="Arial"/>
          <w:sz w:val="20"/>
          <w:szCs w:val="20"/>
        </w:rPr>
      </w:pPr>
      <w:r w:rsidRPr="003540F8">
        <w:rPr>
          <w:rFonts w:ascii="Arial" w:hAnsi="Arial" w:cs="Arial"/>
          <w:sz w:val="20"/>
          <w:szCs w:val="20"/>
        </w:rPr>
        <w:t xml:space="preserve">To assess the nutritional status </w:t>
      </w:r>
      <w:r w:rsidR="002063E8" w:rsidRPr="003540F8">
        <w:rPr>
          <w:rFonts w:ascii="Arial" w:hAnsi="Arial" w:cs="Arial"/>
          <w:sz w:val="20"/>
          <w:szCs w:val="20"/>
        </w:rPr>
        <w:t>of the type 2 diabetes patients.</w:t>
      </w:r>
    </w:p>
    <w:p w14:paraId="49FC2CDC" w14:textId="27BAC2AB" w:rsidR="00D775C2" w:rsidRPr="003540F8" w:rsidRDefault="002063E8" w:rsidP="00D775C2">
      <w:pPr>
        <w:pStyle w:val="ListParagraph"/>
        <w:numPr>
          <w:ilvl w:val="1"/>
          <w:numId w:val="22"/>
        </w:numPr>
        <w:spacing w:line="240" w:lineRule="auto"/>
        <w:jc w:val="both"/>
        <w:rPr>
          <w:rFonts w:ascii="Arial" w:hAnsi="Arial" w:cs="Arial"/>
          <w:sz w:val="20"/>
          <w:szCs w:val="20"/>
        </w:rPr>
      </w:pPr>
      <w:r w:rsidRPr="003540F8">
        <w:rPr>
          <w:rFonts w:ascii="Arial" w:hAnsi="Arial" w:cs="Arial"/>
          <w:sz w:val="20"/>
          <w:szCs w:val="20"/>
        </w:rPr>
        <w:t xml:space="preserve">To </w:t>
      </w:r>
      <w:proofErr w:type="spellStart"/>
      <w:r w:rsidR="00040E38" w:rsidRPr="003540F8">
        <w:rPr>
          <w:rFonts w:ascii="Arial" w:hAnsi="Arial" w:cs="Arial"/>
          <w:sz w:val="20"/>
          <w:szCs w:val="20"/>
        </w:rPr>
        <w:t>analyze</w:t>
      </w:r>
      <w:proofErr w:type="spellEnd"/>
      <w:r w:rsidRPr="003540F8">
        <w:rPr>
          <w:rFonts w:ascii="Arial" w:hAnsi="Arial" w:cs="Arial"/>
          <w:sz w:val="20"/>
          <w:szCs w:val="20"/>
        </w:rPr>
        <w:t xml:space="preserve"> the impact of lifestyle </w:t>
      </w:r>
      <w:r w:rsidR="00F958CE" w:rsidRPr="003540F8">
        <w:rPr>
          <w:rFonts w:ascii="Arial" w:hAnsi="Arial" w:cs="Arial"/>
          <w:sz w:val="20"/>
          <w:szCs w:val="20"/>
        </w:rPr>
        <w:t>habits on the nutritional status of the patients</w:t>
      </w:r>
      <w:r w:rsidR="0022752F" w:rsidRPr="003540F8">
        <w:rPr>
          <w:rFonts w:ascii="Arial" w:hAnsi="Arial" w:cs="Arial"/>
          <w:sz w:val="20"/>
          <w:szCs w:val="20"/>
        </w:rPr>
        <w:t>.</w:t>
      </w:r>
    </w:p>
    <w:p w14:paraId="5D15FCDE" w14:textId="1CFE8554" w:rsidR="00AD32D9" w:rsidRPr="003540F8" w:rsidRDefault="00D775C2" w:rsidP="00D775C2">
      <w:pPr>
        <w:spacing w:line="240" w:lineRule="auto"/>
        <w:jc w:val="both"/>
        <w:rPr>
          <w:rFonts w:ascii="Arial" w:hAnsi="Arial" w:cs="Arial"/>
          <w:b/>
          <w:bCs/>
          <w:sz w:val="22"/>
        </w:rPr>
      </w:pPr>
      <w:r w:rsidRPr="003540F8">
        <w:rPr>
          <w:rFonts w:ascii="Arial" w:hAnsi="Arial" w:cs="Arial"/>
          <w:b/>
          <w:bCs/>
          <w:sz w:val="22"/>
        </w:rPr>
        <w:t xml:space="preserve">3. </w:t>
      </w:r>
      <w:r w:rsidR="005D6B48" w:rsidRPr="003540F8">
        <w:rPr>
          <w:rFonts w:ascii="Arial" w:hAnsi="Arial" w:cs="Arial"/>
          <w:b/>
          <w:bCs/>
          <w:sz w:val="22"/>
        </w:rPr>
        <w:t>RESEARCH M</w:t>
      </w:r>
      <w:r w:rsidR="00F500D4" w:rsidRPr="003540F8">
        <w:rPr>
          <w:rFonts w:ascii="Arial" w:hAnsi="Arial" w:cs="Arial"/>
          <w:b/>
          <w:bCs/>
          <w:sz w:val="22"/>
        </w:rPr>
        <w:t>E</w:t>
      </w:r>
      <w:r w:rsidR="005D6B48" w:rsidRPr="003540F8">
        <w:rPr>
          <w:rFonts w:ascii="Arial" w:hAnsi="Arial" w:cs="Arial"/>
          <w:b/>
          <w:bCs/>
          <w:sz w:val="22"/>
        </w:rPr>
        <w:t>THODOLOGY</w:t>
      </w:r>
    </w:p>
    <w:p w14:paraId="4A121109" w14:textId="12F634C7" w:rsidR="0022752F" w:rsidRPr="003540F8" w:rsidRDefault="0022752F" w:rsidP="0022752F">
      <w:pPr>
        <w:spacing w:after="0" w:line="240" w:lineRule="auto"/>
        <w:jc w:val="both"/>
        <w:rPr>
          <w:rFonts w:ascii="Arial" w:hAnsi="Arial" w:cs="Arial"/>
          <w:b/>
          <w:bCs/>
          <w:sz w:val="20"/>
          <w:szCs w:val="20"/>
        </w:rPr>
      </w:pPr>
      <w:r w:rsidRPr="003540F8">
        <w:rPr>
          <w:rFonts w:ascii="Arial" w:hAnsi="Arial" w:cs="Arial"/>
          <w:sz w:val="20"/>
          <w:szCs w:val="20"/>
        </w:rPr>
        <w:t>The current research</w:t>
      </w:r>
      <w:r w:rsidR="00624109">
        <w:rPr>
          <w:rFonts w:ascii="Arial" w:hAnsi="Arial" w:cs="Arial"/>
          <w:sz w:val="20"/>
          <w:szCs w:val="20"/>
        </w:rPr>
        <w:t xml:space="preserve"> was an </w:t>
      </w:r>
      <w:r w:rsidR="00EB74E6">
        <w:rPr>
          <w:rFonts w:ascii="Arial" w:hAnsi="Arial" w:cs="Arial"/>
          <w:sz w:val="20"/>
          <w:szCs w:val="20"/>
        </w:rPr>
        <w:t xml:space="preserve">original research article </w:t>
      </w:r>
      <w:r w:rsidRPr="003540F8">
        <w:rPr>
          <w:rFonts w:ascii="Arial" w:hAnsi="Arial" w:cs="Arial"/>
          <w:sz w:val="20"/>
          <w:szCs w:val="20"/>
        </w:rPr>
        <w:t xml:space="preserve">titled “Impact of Lifestyle Habits on the Nutritional Status of Patients with Type 2 </w:t>
      </w:r>
      <w:r w:rsidR="008756B5">
        <w:rPr>
          <w:rFonts w:ascii="Arial" w:hAnsi="Arial" w:cs="Arial"/>
          <w:sz w:val="20"/>
          <w:szCs w:val="20"/>
        </w:rPr>
        <w:t>Diabetes” and</w:t>
      </w:r>
      <w:r w:rsidRPr="003540F8">
        <w:rPr>
          <w:rFonts w:ascii="Arial" w:hAnsi="Arial" w:cs="Arial"/>
          <w:sz w:val="20"/>
          <w:szCs w:val="20"/>
        </w:rPr>
        <w:t xml:space="preserve"> was conducted in a hospital located in the Varanasi district. The evaluation employed many instruments and methodologies to obtain the findings and a scientific research framework.  The subsequent headings delineate the chronological steps of the investigation:</w:t>
      </w:r>
    </w:p>
    <w:p w14:paraId="38F932BE" w14:textId="08694894" w:rsidR="00737253" w:rsidRPr="003540F8" w:rsidRDefault="00737253" w:rsidP="00430151">
      <w:pPr>
        <w:pStyle w:val="ListParagraph"/>
        <w:numPr>
          <w:ilvl w:val="1"/>
          <w:numId w:val="23"/>
        </w:numPr>
        <w:spacing w:before="240" w:line="240" w:lineRule="auto"/>
        <w:jc w:val="both"/>
        <w:rPr>
          <w:rFonts w:ascii="Arial" w:hAnsi="Arial" w:cs="Arial"/>
          <w:b/>
          <w:bCs/>
          <w:sz w:val="20"/>
          <w:szCs w:val="20"/>
        </w:rPr>
      </w:pPr>
      <w:r w:rsidRPr="003540F8">
        <w:rPr>
          <w:rFonts w:ascii="Arial" w:hAnsi="Arial" w:cs="Arial"/>
          <w:b/>
          <w:bCs/>
          <w:sz w:val="20"/>
          <w:szCs w:val="20"/>
        </w:rPr>
        <w:t>Domain of the study</w:t>
      </w:r>
    </w:p>
    <w:p w14:paraId="4D1931DB" w14:textId="2905848D" w:rsidR="00F50843" w:rsidRPr="003540F8" w:rsidRDefault="00F50843" w:rsidP="00F50843">
      <w:pPr>
        <w:spacing w:after="0" w:line="240" w:lineRule="auto"/>
        <w:jc w:val="both"/>
        <w:rPr>
          <w:rFonts w:ascii="Arial" w:hAnsi="Arial" w:cs="Arial"/>
          <w:b/>
          <w:bCs/>
          <w:sz w:val="20"/>
          <w:szCs w:val="20"/>
        </w:rPr>
      </w:pPr>
      <w:r w:rsidRPr="003540F8">
        <w:rPr>
          <w:rFonts w:ascii="Arial" w:hAnsi="Arial" w:cs="Arial"/>
          <w:sz w:val="20"/>
          <w:szCs w:val="20"/>
        </w:rPr>
        <w:t xml:space="preserve">The present study was carried out in the Outpatient Department of Kaya </w:t>
      </w:r>
      <w:proofErr w:type="spellStart"/>
      <w:r w:rsidRPr="003540F8">
        <w:rPr>
          <w:rFonts w:ascii="Arial" w:hAnsi="Arial" w:cs="Arial"/>
          <w:sz w:val="20"/>
          <w:szCs w:val="20"/>
        </w:rPr>
        <w:t>Chikitsha</w:t>
      </w:r>
      <w:proofErr w:type="spellEnd"/>
      <w:r w:rsidRPr="003540F8">
        <w:rPr>
          <w:rFonts w:ascii="Arial" w:hAnsi="Arial" w:cs="Arial"/>
          <w:sz w:val="20"/>
          <w:szCs w:val="20"/>
        </w:rPr>
        <w:t>, Department of Ayurveda, IMS, Banaras Hindu University, Varanasi, Uttar Pradesh</w:t>
      </w:r>
      <w:r w:rsidR="00430151">
        <w:rPr>
          <w:rFonts w:ascii="Arial" w:hAnsi="Arial" w:cs="Arial"/>
          <w:sz w:val="20"/>
          <w:szCs w:val="20"/>
        </w:rPr>
        <w:t>, India</w:t>
      </w:r>
      <w:r w:rsidRPr="003540F8">
        <w:rPr>
          <w:rFonts w:ascii="Arial" w:hAnsi="Arial" w:cs="Arial"/>
          <w:sz w:val="20"/>
          <w:szCs w:val="20"/>
        </w:rPr>
        <w:t>. This cross-sectional study aimed to evaluate the i</w:t>
      </w:r>
      <w:r w:rsidR="00430151">
        <w:rPr>
          <w:rFonts w:ascii="Arial" w:hAnsi="Arial" w:cs="Arial"/>
          <w:sz w:val="20"/>
          <w:szCs w:val="20"/>
        </w:rPr>
        <w:t>mpact</w:t>
      </w:r>
      <w:r w:rsidRPr="003540F8">
        <w:rPr>
          <w:rFonts w:ascii="Arial" w:hAnsi="Arial" w:cs="Arial"/>
          <w:sz w:val="20"/>
          <w:szCs w:val="20"/>
        </w:rPr>
        <w:t xml:space="preserve"> of lifestyle </w:t>
      </w:r>
      <w:r w:rsidR="00430151">
        <w:rPr>
          <w:rFonts w:ascii="Arial" w:hAnsi="Arial" w:cs="Arial"/>
          <w:sz w:val="20"/>
          <w:szCs w:val="20"/>
        </w:rPr>
        <w:t>habits</w:t>
      </w:r>
      <w:r w:rsidRPr="003540F8">
        <w:rPr>
          <w:rFonts w:ascii="Arial" w:hAnsi="Arial" w:cs="Arial"/>
          <w:sz w:val="20"/>
          <w:szCs w:val="20"/>
        </w:rPr>
        <w:t xml:space="preserve"> on the nutritional status of individuals with type 2 diabetes mellitus.</w:t>
      </w:r>
    </w:p>
    <w:p w14:paraId="44ECD99C" w14:textId="0281EACB" w:rsidR="00042216" w:rsidRPr="003540F8" w:rsidRDefault="00737253" w:rsidP="00430151">
      <w:pPr>
        <w:pStyle w:val="ListParagraph"/>
        <w:numPr>
          <w:ilvl w:val="1"/>
          <w:numId w:val="23"/>
        </w:numPr>
        <w:spacing w:before="240" w:line="240" w:lineRule="auto"/>
        <w:jc w:val="both"/>
        <w:rPr>
          <w:rFonts w:ascii="Arial" w:hAnsi="Arial" w:cs="Arial"/>
          <w:b/>
          <w:bCs/>
          <w:sz w:val="20"/>
          <w:szCs w:val="20"/>
        </w:rPr>
      </w:pPr>
      <w:r w:rsidRPr="003540F8">
        <w:rPr>
          <w:rFonts w:ascii="Arial" w:hAnsi="Arial" w:cs="Arial"/>
          <w:b/>
          <w:bCs/>
          <w:sz w:val="20"/>
          <w:szCs w:val="20"/>
        </w:rPr>
        <w:t>Sampling procedure</w:t>
      </w:r>
    </w:p>
    <w:p w14:paraId="7D9A48C3" w14:textId="5B21C870" w:rsidR="00217DCA" w:rsidRPr="003540F8" w:rsidRDefault="00217DCA" w:rsidP="00217DCA">
      <w:pPr>
        <w:pStyle w:val="NormalWeb"/>
        <w:spacing w:before="0" w:beforeAutospacing="0"/>
        <w:jc w:val="both"/>
        <w:rPr>
          <w:rFonts w:ascii="Arial" w:hAnsi="Arial" w:cs="Arial"/>
          <w:sz w:val="20"/>
          <w:szCs w:val="20"/>
        </w:rPr>
      </w:pPr>
      <w:r w:rsidRPr="003540F8">
        <w:rPr>
          <w:rFonts w:ascii="Arial" w:hAnsi="Arial" w:cs="Arial"/>
          <w:sz w:val="20"/>
          <w:szCs w:val="20"/>
        </w:rPr>
        <w:t>The purposive sampling technique was used for the selection of subjects. The research included 250 diagnosed</w:t>
      </w:r>
      <w:r w:rsidR="00430151">
        <w:rPr>
          <w:rFonts w:ascii="Arial" w:hAnsi="Arial" w:cs="Arial"/>
          <w:sz w:val="20"/>
          <w:szCs w:val="20"/>
        </w:rPr>
        <w:t xml:space="preserve"> type 2</w:t>
      </w:r>
      <w:r w:rsidRPr="003540F8">
        <w:rPr>
          <w:rFonts w:ascii="Arial" w:hAnsi="Arial" w:cs="Arial"/>
          <w:sz w:val="20"/>
          <w:szCs w:val="20"/>
        </w:rPr>
        <w:t xml:space="preserve"> diabetic patients who had been selected from the outpatient department of Kaya </w:t>
      </w:r>
      <w:proofErr w:type="spellStart"/>
      <w:r w:rsidRPr="003540F8">
        <w:rPr>
          <w:rFonts w:ascii="Arial" w:hAnsi="Arial" w:cs="Arial"/>
          <w:sz w:val="20"/>
          <w:szCs w:val="20"/>
        </w:rPr>
        <w:t>Chikitsha</w:t>
      </w:r>
      <w:proofErr w:type="spellEnd"/>
      <w:r w:rsidRPr="003540F8">
        <w:rPr>
          <w:rFonts w:ascii="Arial" w:hAnsi="Arial" w:cs="Arial"/>
          <w:sz w:val="20"/>
          <w:szCs w:val="20"/>
        </w:rPr>
        <w:t>, the Department of Ayurveda, IMS at Banaras Hindu University.</w:t>
      </w:r>
    </w:p>
    <w:p w14:paraId="7AF80F51" w14:textId="69BF5392" w:rsidR="008A26A6" w:rsidRPr="00430151" w:rsidRDefault="008A26A6" w:rsidP="00430151">
      <w:pPr>
        <w:pStyle w:val="ListParagraph"/>
        <w:numPr>
          <w:ilvl w:val="1"/>
          <w:numId w:val="23"/>
        </w:numPr>
        <w:spacing w:before="240" w:line="240" w:lineRule="auto"/>
        <w:jc w:val="both"/>
        <w:rPr>
          <w:rFonts w:ascii="Arial" w:hAnsi="Arial" w:cs="Arial"/>
          <w:sz w:val="20"/>
          <w:szCs w:val="20"/>
        </w:rPr>
      </w:pPr>
      <w:r w:rsidRPr="003540F8">
        <w:rPr>
          <w:rFonts w:ascii="Arial" w:hAnsi="Arial" w:cs="Arial"/>
          <w:b/>
          <w:sz w:val="20"/>
          <w:szCs w:val="20"/>
          <w:shd w:val="clear" w:color="auto" w:fill="FFFFFF"/>
        </w:rPr>
        <w:t xml:space="preserve">Inclusion Criteria </w:t>
      </w:r>
    </w:p>
    <w:p w14:paraId="4B9C9A62" w14:textId="77777777" w:rsidR="00430151" w:rsidRPr="003540F8" w:rsidRDefault="00430151" w:rsidP="00430151">
      <w:pPr>
        <w:pStyle w:val="ListParagraph"/>
        <w:spacing w:before="240" w:line="240" w:lineRule="auto"/>
        <w:ind w:left="360"/>
        <w:jc w:val="both"/>
        <w:rPr>
          <w:rFonts w:ascii="Arial" w:hAnsi="Arial" w:cs="Arial"/>
          <w:sz w:val="20"/>
          <w:szCs w:val="20"/>
        </w:rPr>
      </w:pPr>
    </w:p>
    <w:p w14:paraId="197084A6" w14:textId="343210A9" w:rsidR="008A26A6" w:rsidRPr="003540F8" w:rsidRDefault="008A26A6" w:rsidP="004405CB">
      <w:pPr>
        <w:pStyle w:val="ListParagraph"/>
        <w:numPr>
          <w:ilvl w:val="2"/>
          <w:numId w:val="23"/>
        </w:numPr>
        <w:spacing w:before="240" w:after="200" w:line="276" w:lineRule="auto"/>
        <w:rPr>
          <w:rFonts w:ascii="Arial" w:hAnsi="Arial" w:cs="Arial"/>
          <w:sz w:val="20"/>
          <w:szCs w:val="20"/>
          <w:shd w:val="clear" w:color="auto" w:fill="FFFFFF"/>
        </w:rPr>
      </w:pPr>
      <w:r w:rsidRPr="003540F8">
        <w:rPr>
          <w:rFonts w:ascii="Arial" w:hAnsi="Arial" w:cs="Arial"/>
          <w:sz w:val="20"/>
          <w:szCs w:val="20"/>
          <w:shd w:val="clear" w:color="auto" w:fill="FFFFFF"/>
        </w:rPr>
        <w:t xml:space="preserve">Patient with Type 2 Diabetes Mellitus (Age </w:t>
      </w:r>
      <w:r w:rsidR="0022752F" w:rsidRPr="003540F8">
        <w:rPr>
          <w:rFonts w:ascii="Arial" w:hAnsi="Arial" w:cs="Arial"/>
          <w:sz w:val="20"/>
          <w:szCs w:val="20"/>
          <w:shd w:val="clear" w:color="auto" w:fill="FFFFFF"/>
        </w:rPr>
        <w:t>Group</w:t>
      </w:r>
      <w:r w:rsidRPr="003540F8">
        <w:rPr>
          <w:rFonts w:ascii="Arial" w:hAnsi="Arial" w:cs="Arial"/>
          <w:sz w:val="20"/>
          <w:szCs w:val="20"/>
          <w:shd w:val="clear" w:color="auto" w:fill="FFFFFF"/>
        </w:rPr>
        <w:t xml:space="preserve">: </w:t>
      </w:r>
      <w:r w:rsidR="00E065AC" w:rsidRPr="003540F8">
        <w:rPr>
          <w:rFonts w:ascii="Arial" w:hAnsi="Arial" w:cs="Arial"/>
          <w:sz w:val="20"/>
          <w:szCs w:val="20"/>
          <w:shd w:val="clear" w:color="auto" w:fill="FFFFFF"/>
        </w:rPr>
        <w:t>35-75 yrs.</w:t>
      </w:r>
      <w:r w:rsidRPr="003540F8">
        <w:rPr>
          <w:rFonts w:ascii="Arial" w:hAnsi="Arial" w:cs="Arial"/>
          <w:sz w:val="20"/>
          <w:szCs w:val="20"/>
          <w:shd w:val="clear" w:color="auto" w:fill="FFFFFF"/>
        </w:rPr>
        <w:t>).</w:t>
      </w:r>
    </w:p>
    <w:p w14:paraId="597A3F64" w14:textId="120E48E0" w:rsidR="0022752F" w:rsidRPr="003540F8" w:rsidRDefault="008A26A6" w:rsidP="004405CB">
      <w:pPr>
        <w:pStyle w:val="ListParagraph"/>
        <w:numPr>
          <w:ilvl w:val="2"/>
          <w:numId w:val="23"/>
        </w:numPr>
        <w:spacing w:after="200" w:line="276" w:lineRule="auto"/>
        <w:rPr>
          <w:rFonts w:ascii="Arial" w:hAnsi="Arial" w:cs="Arial"/>
          <w:sz w:val="20"/>
          <w:szCs w:val="20"/>
          <w:shd w:val="clear" w:color="auto" w:fill="FFFFFF"/>
        </w:rPr>
      </w:pPr>
      <w:r w:rsidRPr="003540F8">
        <w:rPr>
          <w:rFonts w:ascii="Arial" w:hAnsi="Arial" w:cs="Arial"/>
          <w:sz w:val="20"/>
          <w:szCs w:val="20"/>
          <w:shd w:val="clear" w:color="auto" w:fill="FFFFFF"/>
        </w:rPr>
        <w:t xml:space="preserve">Patient </w:t>
      </w:r>
      <w:r w:rsidR="00E065AC" w:rsidRPr="003540F8">
        <w:rPr>
          <w:rFonts w:ascii="Arial" w:hAnsi="Arial" w:cs="Arial"/>
          <w:sz w:val="20"/>
          <w:szCs w:val="20"/>
          <w:shd w:val="clear" w:color="auto" w:fill="FFFFFF"/>
        </w:rPr>
        <w:t>has had</w:t>
      </w:r>
      <w:r w:rsidRPr="003540F8">
        <w:rPr>
          <w:rFonts w:ascii="Arial" w:hAnsi="Arial" w:cs="Arial"/>
          <w:sz w:val="20"/>
          <w:szCs w:val="20"/>
          <w:shd w:val="clear" w:color="auto" w:fill="FFFFFF"/>
        </w:rPr>
        <w:t xml:space="preserve"> </w:t>
      </w:r>
      <w:r w:rsidR="00E065AC" w:rsidRPr="003540F8">
        <w:rPr>
          <w:rFonts w:ascii="Arial" w:hAnsi="Arial" w:cs="Arial"/>
          <w:sz w:val="20"/>
          <w:szCs w:val="20"/>
          <w:shd w:val="clear" w:color="auto" w:fill="FFFFFF"/>
        </w:rPr>
        <w:t>diabetes for</w:t>
      </w:r>
      <w:r w:rsidRPr="003540F8">
        <w:rPr>
          <w:rFonts w:ascii="Arial" w:hAnsi="Arial" w:cs="Arial"/>
          <w:sz w:val="20"/>
          <w:szCs w:val="20"/>
          <w:shd w:val="clear" w:color="auto" w:fill="FFFFFF"/>
        </w:rPr>
        <w:t xml:space="preserve"> &gt;6 months.</w:t>
      </w:r>
    </w:p>
    <w:p w14:paraId="480B6908" w14:textId="77777777" w:rsidR="0022752F" w:rsidRPr="003540F8" w:rsidRDefault="0022752F" w:rsidP="0022752F">
      <w:pPr>
        <w:pStyle w:val="ListParagraph"/>
        <w:spacing w:after="200" w:line="240" w:lineRule="auto"/>
        <w:rPr>
          <w:rFonts w:ascii="Arial" w:hAnsi="Arial" w:cs="Arial"/>
          <w:sz w:val="20"/>
          <w:szCs w:val="20"/>
          <w:shd w:val="clear" w:color="auto" w:fill="FFFFFF"/>
        </w:rPr>
      </w:pPr>
    </w:p>
    <w:p w14:paraId="138E4866" w14:textId="2EA6F727" w:rsidR="008A26A6" w:rsidRPr="00430151" w:rsidRDefault="008A26A6" w:rsidP="00053D5C">
      <w:pPr>
        <w:pStyle w:val="ListParagraph"/>
        <w:numPr>
          <w:ilvl w:val="1"/>
          <w:numId w:val="23"/>
        </w:numPr>
        <w:spacing w:after="200" w:line="240" w:lineRule="auto"/>
        <w:rPr>
          <w:rFonts w:ascii="Arial" w:hAnsi="Arial" w:cs="Arial"/>
          <w:sz w:val="20"/>
          <w:szCs w:val="20"/>
          <w:shd w:val="clear" w:color="auto" w:fill="FFFFFF"/>
        </w:rPr>
      </w:pPr>
      <w:r w:rsidRPr="003540F8">
        <w:rPr>
          <w:rFonts w:ascii="Arial" w:hAnsi="Arial" w:cs="Arial"/>
          <w:b/>
          <w:sz w:val="20"/>
          <w:szCs w:val="20"/>
          <w:shd w:val="clear" w:color="auto" w:fill="FFFFFF"/>
        </w:rPr>
        <w:t>Exclusion criteria</w:t>
      </w:r>
    </w:p>
    <w:p w14:paraId="69FC282A" w14:textId="77777777" w:rsidR="00430151" w:rsidRPr="003540F8" w:rsidRDefault="00430151" w:rsidP="00430151">
      <w:pPr>
        <w:pStyle w:val="ListParagraph"/>
        <w:spacing w:after="200" w:line="240" w:lineRule="auto"/>
        <w:ind w:left="360"/>
        <w:rPr>
          <w:rFonts w:ascii="Arial" w:hAnsi="Arial" w:cs="Arial"/>
          <w:sz w:val="20"/>
          <w:szCs w:val="20"/>
          <w:shd w:val="clear" w:color="auto" w:fill="FFFFFF"/>
        </w:rPr>
      </w:pPr>
    </w:p>
    <w:p w14:paraId="547C2DF8" w14:textId="4DD39246" w:rsidR="008A26A6" w:rsidRPr="003540F8" w:rsidRDefault="008A26A6" w:rsidP="004405CB">
      <w:pPr>
        <w:pStyle w:val="ListParagraph"/>
        <w:numPr>
          <w:ilvl w:val="2"/>
          <w:numId w:val="23"/>
        </w:numPr>
        <w:spacing w:after="200" w:line="276" w:lineRule="auto"/>
        <w:rPr>
          <w:rFonts w:ascii="Arial" w:hAnsi="Arial" w:cs="Arial"/>
          <w:sz w:val="20"/>
          <w:szCs w:val="20"/>
          <w:shd w:val="clear" w:color="auto" w:fill="FFFFFF"/>
        </w:rPr>
      </w:pPr>
      <w:r w:rsidRPr="003540F8">
        <w:rPr>
          <w:rFonts w:ascii="Arial" w:hAnsi="Arial" w:cs="Arial"/>
          <w:sz w:val="20"/>
          <w:szCs w:val="20"/>
          <w:shd w:val="clear" w:color="auto" w:fill="FFFFFF"/>
        </w:rPr>
        <w:t xml:space="preserve">Pregnant, </w:t>
      </w:r>
      <w:r w:rsidR="00040E38" w:rsidRPr="003540F8">
        <w:rPr>
          <w:rFonts w:ascii="Arial" w:hAnsi="Arial" w:cs="Arial"/>
          <w:sz w:val="20"/>
          <w:szCs w:val="20"/>
          <w:shd w:val="clear" w:color="auto" w:fill="FFFFFF"/>
        </w:rPr>
        <w:t>type 1</w:t>
      </w:r>
      <w:r w:rsidRPr="003540F8">
        <w:rPr>
          <w:rFonts w:ascii="Arial" w:hAnsi="Arial" w:cs="Arial"/>
          <w:sz w:val="20"/>
          <w:szCs w:val="20"/>
          <w:shd w:val="clear" w:color="auto" w:fill="FFFFFF"/>
        </w:rPr>
        <w:t xml:space="preserve"> diabetic patients, </w:t>
      </w:r>
      <w:r w:rsidR="00040E38" w:rsidRPr="003540F8">
        <w:rPr>
          <w:rFonts w:ascii="Arial" w:hAnsi="Arial" w:cs="Arial"/>
          <w:sz w:val="20"/>
          <w:szCs w:val="20"/>
          <w:shd w:val="clear" w:color="auto" w:fill="FFFFFF"/>
        </w:rPr>
        <w:t>alcoholics</w:t>
      </w:r>
      <w:r w:rsidRPr="003540F8">
        <w:rPr>
          <w:rFonts w:ascii="Arial" w:hAnsi="Arial" w:cs="Arial"/>
          <w:sz w:val="20"/>
          <w:szCs w:val="20"/>
          <w:shd w:val="clear" w:color="auto" w:fill="FFFFFF"/>
        </w:rPr>
        <w:t>.</w:t>
      </w:r>
    </w:p>
    <w:p w14:paraId="3AFC76C9" w14:textId="07D6D504" w:rsidR="008A26A6" w:rsidRPr="003540F8" w:rsidRDefault="008A26A6" w:rsidP="004405CB">
      <w:pPr>
        <w:pStyle w:val="ListParagraph"/>
        <w:numPr>
          <w:ilvl w:val="2"/>
          <w:numId w:val="23"/>
        </w:numPr>
        <w:spacing w:after="200" w:line="276" w:lineRule="auto"/>
        <w:rPr>
          <w:rFonts w:ascii="Arial" w:hAnsi="Arial" w:cs="Arial"/>
          <w:sz w:val="20"/>
          <w:szCs w:val="20"/>
          <w:shd w:val="clear" w:color="auto" w:fill="FFFFFF"/>
        </w:rPr>
      </w:pPr>
      <w:r w:rsidRPr="003540F8">
        <w:rPr>
          <w:rFonts w:ascii="Arial" w:hAnsi="Arial" w:cs="Arial"/>
          <w:sz w:val="20"/>
          <w:szCs w:val="20"/>
          <w:shd w:val="clear" w:color="auto" w:fill="FFFFFF"/>
        </w:rPr>
        <w:lastRenderedPageBreak/>
        <w:t xml:space="preserve">Respondents with lactose intolerance, severe </w:t>
      </w:r>
      <w:r w:rsidR="00040E38" w:rsidRPr="003540F8">
        <w:rPr>
          <w:rFonts w:ascii="Arial" w:hAnsi="Arial" w:cs="Arial"/>
          <w:sz w:val="20"/>
          <w:szCs w:val="20"/>
          <w:shd w:val="clear" w:color="auto" w:fill="FFFFFF"/>
        </w:rPr>
        <w:t>hepatic or</w:t>
      </w:r>
      <w:r w:rsidRPr="003540F8">
        <w:rPr>
          <w:rFonts w:ascii="Arial" w:hAnsi="Arial" w:cs="Arial"/>
          <w:sz w:val="20"/>
          <w:szCs w:val="20"/>
          <w:shd w:val="clear" w:color="auto" w:fill="FFFFFF"/>
        </w:rPr>
        <w:t xml:space="preserve"> renal </w:t>
      </w:r>
      <w:r w:rsidR="00040E38" w:rsidRPr="003540F8">
        <w:rPr>
          <w:rFonts w:ascii="Arial" w:hAnsi="Arial" w:cs="Arial"/>
          <w:sz w:val="20"/>
          <w:szCs w:val="20"/>
          <w:shd w:val="clear" w:color="auto" w:fill="FFFFFF"/>
        </w:rPr>
        <w:t>disorder,</w:t>
      </w:r>
      <w:r w:rsidRPr="003540F8">
        <w:rPr>
          <w:rFonts w:ascii="Arial" w:hAnsi="Arial" w:cs="Arial"/>
          <w:sz w:val="20"/>
          <w:szCs w:val="20"/>
          <w:shd w:val="clear" w:color="auto" w:fill="FFFFFF"/>
        </w:rPr>
        <w:t xml:space="preserve"> and other chronic complications. </w:t>
      </w:r>
    </w:p>
    <w:p w14:paraId="7DD685E9" w14:textId="7DA4672C" w:rsidR="004405CB" w:rsidRPr="004405CB" w:rsidRDefault="008A26A6" w:rsidP="004405CB">
      <w:pPr>
        <w:pStyle w:val="ListParagraph"/>
        <w:numPr>
          <w:ilvl w:val="2"/>
          <w:numId w:val="23"/>
        </w:numPr>
        <w:spacing w:after="0" w:line="276" w:lineRule="auto"/>
        <w:rPr>
          <w:rFonts w:ascii="Arial" w:hAnsi="Arial" w:cs="Arial"/>
          <w:sz w:val="20"/>
          <w:szCs w:val="20"/>
          <w:shd w:val="clear" w:color="auto" w:fill="FFFFFF"/>
        </w:rPr>
      </w:pPr>
      <w:r w:rsidRPr="003540F8">
        <w:rPr>
          <w:rFonts w:ascii="Arial" w:hAnsi="Arial" w:cs="Arial"/>
          <w:sz w:val="20"/>
          <w:szCs w:val="20"/>
          <w:shd w:val="clear" w:color="auto" w:fill="FFFFFF"/>
        </w:rPr>
        <w:t>Respondent having any supplement or other experimental medicine.</w:t>
      </w:r>
    </w:p>
    <w:p w14:paraId="1ACA8784" w14:textId="77777777" w:rsidR="00430151" w:rsidRDefault="008A26A6" w:rsidP="00430151">
      <w:pPr>
        <w:spacing w:before="240" w:line="240" w:lineRule="auto"/>
        <w:jc w:val="both"/>
        <w:rPr>
          <w:rFonts w:ascii="Arial" w:hAnsi="Arial" w:cs="Arial"/>
          <w:b/>
          <w:bCs/>
          <w:sz w:val="20"/>
          <w:szCs w:val="20"/>
        </w:rPr>
      </w:pPr>
      <w:r w:rsidRPr="00824DF8">
        <w:rPr>
          <w:rFonts w:ascii="Arial" w:hAnsi="Arial" w:cs="Arial"/>
          <w:b/>
          <w:bCs/>
          <w:sz w:val="20"/>
          <w:szCs w:val="20"/>
        </w:rPr>
        <w:t>Tools and Techniques</w:t>
      </w:r>
    </w:p>
    <w:p w14:paraId="0624D944" w14:textId="047CC73E" w:rsidR="00D20754" w:rsidRPr="00430151" w:rsidRDefault="00267275" w:rsidP="00430151">
      <w:pPr>
        <w:spacing w:line="240" w:lineRule="auto"/>
        <w:jc w:val="both"/>
        <w:rPr>
          <w:rFonts w:ascii="Arial" w:hAnsi="Arial" w:cs="Arial"/>
          <w:b/>
          <w:bCs/>
          <w:sz w:val="20"/>
          <w:szCs w:val="20"/>
        </w:rPr>
      </w:pPr>
      <w:r w:rsidRPr="003540F8">
        <w:rPr>
          <w:rFonts w:ascii="Arial" w:hAnsi="Arial" w:cs="Arial"/>
          <w:sz w:val="20"/>
          <w:szCs w:val="20"/>
        </w:rPr>
        <w:t xml:space="preserve">The data was collected through </w:t>
      </w:r>
      <w:r w:rsidR="006F0FCE" w:rsidRPr="003540F8">
        <w:rPr>
          <w:rFonts w:ascii="Arial" w:hAnsi="Arial" w:cs="Arial"/>
          <w:sz w:val="20"/>
          <w:szCs w:val="20"/>
        </w:rPr>
        <w:t>the personal</w:t>
      </w:r>
      <w:r w:rsidRPr="003540F8">
        <w:rPr>
          <w:rFonts w:ascii="Arial" w:hAnsi="Arial" w:cs="Arial"/>
          <w:sz w:val="20"/>
          <w:szCs w:val="20"/>
        </w:rPr>
        <w:t xml:space="preserve"> interview </w:t>
      </w:r>
      <w:r w:rsidR="006F0FCE" w:rsidRPr="003540F8">
        <w:rPr>
          <w:rFonts w:ascii="Arial" w:hAnsi="Arial" w:cs="Arial"/>
          <w:sz w:val="20"/>
          <w:szCs w:val="20"/>
        </w:rPr>
        <w:t>method,</w:t>
      </w:r>
      <w:r w:rsidR="00E4289A" w:rsidRPr="003540F8">
        <w:rPr>
          <w:rFonts w:ascii="Arial" w:hAnsi="Arial" w:cs="Arial"/>
          <w:sz w:val="20"/>
          <w:szCs w:val="20"/>
        </w:rPr>
        <w:t xml:space="preserve"> </w:t>
      </w:r>
      <w:r w:rsidR="006F0FCE" w:rsidRPr="003540F8">
        <w:rPr>
          <w:rFonts w:ascii="Arial" w:hAnsi="Arial" w:cs="Arial"/>
          <w:sz w:val="20"/>
          <w:szCs w:val="20"/>
        </w:rPr>
        <w:t>and the questionnaire</w:t>
      </w:r>
      <w:r w:rsidR="0078538C" w:rsidRPr="003540F8">
        <w:rPr>
          <w:rFonts w:ascii="Arial" w:hAnsi="Arial" w:cs="Arial"/>
          <w:sz w:val="20"/>
          <w:szCs w:val="20"/>
        </w:rPr>
        <w:t xml:space="preserve"> was formulated specifically keeping in mind the objectives of the study. The questionnaire was prepared after </w:t>
      </w:r>
      <w:r w:rsidR="006F0FCE" w:rsidRPr="003540F8">
        <w:rPr>
          <w:rFonts w:ascii="Arial" w:hAnsi="Arial" w:cs="Arial"/>
          <w:sz w:val="20"/>
          <w:szCs w:val="20"/>
        </w:rPr>
        <w:t>referring to</w:t>
      </w:r>
      <w:r w:rsidR="0078538C" w:rsidRPr="003540F8">
        <w:rPr>
          <w:rFonts w:ascii="Arial" w:hAnsi="Arial" w:cs="Arial"/>
          <w:sz w:val="20"/>
          <w:szCs w:val="20"/>
        </w:rPr>
        <w:t xml:space="preserve"> literature on the subject and other relevant information (Internet and </w:t>
      </w:r>
      <w:r w:rsidR="006F0FCE" w:rsidRPr="003540F8">
        <w:rPr>
          <w:rFonts w:ascii="Arial" w:hAnsi="Arial" w:cs="Arial"/>
          <w:sz w:val="20"/>
          <w:szCs w:val="20"/>
        </w:rPr>
        <w:t>journals</w:t>
      </w:r>
      <w:r w:rsidR="0078538C" w:rsidRPr="003540F8">
        <w:rPr>
          <w:rFonts w:ascii="Arial" w:hAnsi="Arial" w:cs="Arial"/>
          <w:sz w:val="20"/>
          <w:szCs w:val="20"/>
        </w:rPr>
        <w:t>).</w:t>
      </w:r>
      <w:r w:rsidR="008A26A6" w:rsidRPr="003540F8">
        <w:rPr>
          <w:rFonts w:ascii="Arial" w:hAnsi="Arial" w:cs="Arial"/>
          <w:b/>
          <w:bCs/>
          <w:sz w:val="20"/>
          <w:szCs w:val="20"/>
        </w:rPr>
        <w:t xml:space="preserve"> </w:t>
      </w:r>
      <w:r w:rsidR="003F7A61" w:rsidRPr="003540F8">
        <w:rPr>
          <w:rFonts w:ascii="Arial" w:eastAsia="Times New Roman" w:hAnsi="Arial" w:cs="Arial"/>
          <w:kern w:val="0"/>
          <w:sz w:val="20"/>
          <w:szCs w:val="20"/>
          <w:lang w:eastAsia="en-IN"/>
          <w14:ligatures w14:val="none"/>
        </w:rPr>
        <w:t xml:space="preserve">Patients </w:t>
      </w:r>
      <w:r w:rsidR="00860799" w:rsidRPr="003540F8">
        <w:rPr>
          <w:rFonts w:ascii="Arial" w:eastAsia="Times New Roman" w:hAnsi="Arial" w:cs="Arial"/>
          <w:kern w:val="0"/>
          <w:sz w:val="20"/>
          <w:szCs w:val="20"/>
          <w:lang w:eastAsia="en-IN"/>
          <w14:ligatures w14:val="none"/>
        </w:rPr>
        <w:t xml:space="preserve">were interviewed </w:t>
      </w:r>
      <w:r w:rsidR="005D7681" w:rsidRPr="003540F8">
        <w:rPr>
          <w:rFonts w:ascii="Arial" w:eastAsia="Times New Roman" w:hAnsi="Arial" w:cs="Arial"/>
          <w:kern w:val="0"/>
          <w:sz w:val="20"/>
          <w:szCs w:val="20"/>
          <w:lang w:eastAsia="en-IN"/>
          <w14:ligatures w14:val="none"/>
        </w:rPr>
        <w:t xml:space="preserve">by </w:t>
      </w:r>
      <w:r w:rsidR="006F0FCE" w:rsidRPr="003540F8">
        <w:rPr>
          <w:rFonts w:ascii="Arial" w:eastAsia="Times New Roman" w:hAnsi="Arial" w:cs="Arial"/>
          <w:kern w:val="0"/>
          <w:sz w:val="20"/>
          <w:szCs w:val="20"/>
          <w:lang w:eastAsia="en-IN"/>
          <w14:ligatures w14:val="none"/>
        </w:rPr>
        <w:t>researchers</w:t>
      </w:r>
      <w:r w:rsidR="005D7681" w:rsidRPr="003540F8">
        <w:rPr>
          <w:rFonts w:ascii="Arial" w:eastAsia="Times New Roman" w:hAnsi="Arial" w:cs="Arial"/>
          <w:kern w:val="0"/>
          <w:sz w:val="20"/>
          <w:szCs w:val="20"/>
          <w:lang w:eastAsia="en-IN"/>
          <w14:ligatures w14:val="none"/>
        </w:rPr>
        <w:t xml:space="preserve"> </w:t>
      </w:r>
      <w:r w:rsidR="003F7A61" w:rsidRPr="003540F8">
        <w:rPr>
          <w:rFonts w:ascii="Arial" w:eastAsia="Times New Roman" w:hAnsi="Arial" w:cs="Arial"/>
          <w:kern w:val="0"/>
          <w:sz w:val="20"/>
          <w:szCs w:val="20"/>
          <w:lang w:eastAsia="en-IN"/>
          <w14:ligatures w14:val="none"/>
        </w:rPr>
        <w:t>in order to learn more about their eating habits</w:t>
      </w:r>
      <w:r w:rsidR="005D7681" w:rsidRPr="003540F8">
        <w:rPr>
          <w:rFonts w:ascii="Arial" w:eastAsia="Times New Roman" w:hAnsi="Arial" w:cs="Arial"/>
          <w:kern w:val="0"/>
          <w:sz w:val="20"/>
          <w:szCs w:val="20"/>
          <w:lang w:eastAsia="en-IN"/>
          <w14:ligatures w14:val="none"/>
        </w:rPr>
        <w:t>, blood parameters</w:t>
      </w:r>
      <w:r w:rsidR="00F20BED" w:rsidRPr="003540F8">
        <w:rPr>
          <w:rFonts w:ascii="Arial" w:eastAsia="Times New Roman" w:hAnsi="Arial" w:cs="Arial"/>
          <w:kern w:val="0"/>
          <w:sz w:val="20"/>
          <w:szCs w:val="20"/>
          <w:lang w:eastAsia="en-IN"/>
          <w14:ligatures w14:val="none"/>
        </w:rPr>
        <w:t>, and anthropometric measurements</w:t>
      </w:r>
      <w:r w:rsidR="003F7A61" w:rsidRPr="003540F8">
        <w:rPr>
          <w:rFonts w:ascii="Arial" w:eastAsia="Times New Roman" w:hAnsi="Arial" w:cs="Arial"/>
          <w:kern w:val="0"/>
          <w:sz w:val="20"/>
          <w:szCs w:val="20"/>
          <w:lang w:eastAsia="en-IN"/>
          <w14:ligatures w14:val="none"/>
        </w:rPr>
        <w:t>.</w:t>
      </w:r>
      <w:r w:rsidR="00003974" w:rsidRPr="003540F8">
        <w:rPr>
          <w:rFonts w:ascii="Arial" w:eastAsia="Times New Roman" w:hAnsi="Arial" w:cs="Arial"/>
          <w:kern w:val="0"/>
          <w:sz w:val="20"/>
          <w:szCs w:val="20"/>
          <w:lang w:eastAsia="en-IN"/>
          <w14:ligatures w14:val="none"/>
        </w:rPr>
        <w:t xml:space="preserve"> </w:t>
      </w:r>
      <w:r w:rsidR="006F0FCE" w:rsidRPr="003540F8">
        <w:rPr>
          <w:rFonts w:ascii="Arial" w:eastAsia="Times New Roman" w:hAnsi="Arial" w:cs="Arial"/>
          <w:kern w:val="0"/>
          <w:sz w:val="20"/>
          <w:szCs w:val="20"/>
          <w:lang w:eastAsia="en-IN"/>
          <w14:ligatures w14:val="none"/>
        </w:rPr>
        <w:t>Socioeconomic</w:t>
      </w:r>
      <w:r w:rsidR="00003974" w:rsidRPr="003540F8">
        <w:rPr>
          <w:rFonts w:ascii="Arial" w:eastAsia="Times New Roman" w:hAnsi="Arial" w:cs="Arial"/>
          <w:kern w:val="0"/>
          <w:sz w:val="20"/>
          <w:szCs w:val="20"/>
          <w:lang w:eastAsia="en-IN"/>
          <w14:ligatures w14:val="none"/>
        </w:rPr>
        <w:t xml:space="preserve"> status was </w:t>
      </w:r>
      <w:r w:rsidR="00644FD0" w:rsidRPr="003540F8">
        <w:rPr>
          <w:rFonts w:ascii="Arial" w:eastAsia="Times New Roman" w:hAnsi="Arial" w:cs="Arial"/>
          <w:kern w:val="0"/>
          <w:sz w:val="20"/>
          <w:szCs w:val="20"/>
          <w:lang w:eastAsia="en-IN"/>
          <w14:ligatures w14:val="none"/>
        </w:rPr>
        <w:t xml:space="preserve">calculated according to the Modified BG Prasad classification for </w:t>
      </w:r>
      <w:r w:rsidR="006F0FCE" w:rsidRPr="003540F8">
        <w:rPr>
          <w:rFonts w:ascii="Arial" w:eastAsia="Times New Roman" w:hAnsi="Arial" w:cs="Arial"/>
          <w:kern w:val="0"/>
          <w:sz w:val="20"/>
          <w:szCs w:val="20"/>
          <w:lang w:eastAsia="en-IN"/>
          <w14:ligatures w14:val="none"/>
        </w:rPr>
        <w:t>the Oct</w:t>
      </w:r>
      <w:r w:rsidR="00644FD0" w:rsidRPr="003540F8">
        <w:rPr>
          <w:rFonts w:ascii="Arial" w:eastAsia="Times New Roman" w:hAnsi="Arial" w:cs="Arial"/>
          <w:kern w:val="0"/>
          <w:sz w:val="20"/>
          <w:szCs w:val="20"/>
          <w:lang w:eastAsia="en-IN"/>
          <w14:ligatures w14:val="none"/>
        </w:rPr>
        <w:t xml:space="preserve"> 2023</w:t>
      </w:r>
      <w:r w:rsidR="00BB4352" w:rsidRPr="003540F8">
        <w:rPr>
          <w:rFonts w:ascii="Arial" w:eastAsia="Times New Roman" w:hAnsi="Arial" w:cs="Arial"/>
          <w:kern w:val="0"/>
          <w:sz w:val="20"/>
          <w:szCs w:val="20"/>
          <w:lang w:eastAsia="en-IN"/>
          <w14:ligatures w14:val="none"/>
        </w:rPr>
        <w:t xml:space="preserve"> scale.</w:t>
      </w:r>
      <w:r w:rsidR="00243C41" w:rsidRPr="003540F8">
        <w:rPr>
          <w:rFonts w:ascii="Arial" w:eastAsia="Times New Roman" w:hAnsi="Arial" w:cs="Arial"/>
          <w:kern w:val="0"/>
          <w:sz w:val="20"/>
          <w:szCs w:val="20"/>
          <w:lang w:eastAsia="en-IN"/>
          <w14:ligatures w14:val="none"/>
        </w:rPr>
        <w:t xml:space="preserve"> </w:t>
      </w:r>
    </w:p>
    <w:p w14:paraId="10D5F0EF" w14:textId="4C5C25D9" w:rsidR="00737253" w:rsidRPr="003540F8" w:rsidRDefault="00737253" w:rsidP="00430151">
      <w:pPr>
        <w:spacing w:line="240" w:lineRule="auto"/>
        <w:jc w:val="both"/>
        <w:rPr>
          <w:rFonts w:ascii="Arial" w:hAnsi="Arial" w:cs="Arial"/>
          <w:b/>
          <w:bCs/>
          <w:sz w:val="20"/>
          <w:szCs w:val="20"/>
        </w:rPr>
      </w:pPr>
      <w:r w:rsidRPr="003540F8">
        <w:rPr>
          <w:rFonts w:ascii="Arial" w:hAnsi="Arial" w:cs="Arial"/>
          <w:b/>
          <w:bCs/>
          <w:sz w:val="20"/>
          <w:szCs w:val="20"/>
        </w:rPr>
        <w:t>Collection of data</w:t>
      </w:r>
    </w:p>
    <w:p w14:paraId="7D3004FA" w14:textId="77777777" w:rsidR="007A3033" w:rsidRPr="003540F8" w:rsidRDefault="00391786" w:rsidP="00EB4E3E">
      <w:pPr>
        <w:spacing w:line="240" w:lineRule="auto"/>
        <w:jc w:val="both"/>
        <w:rPr>
          <w:rFonts w:ascii="Arial" w:hAnsi="Arial" w:cs="Arial"/>
          <w:sz w:val="20"/>
          <w:szCs w:val="20"/>
        </w:rPr>
      </w:pPr>
      <w:r w:rsidRPr="003540F8">
        <w:rPr>
          <w:rFonts w:ascii="Arial" w:hAnsi="Arial" w:cs="Arial"/>
          <w:sz w:val="20"/>
          <w:szCs w:val="20"/>
        </w:rPr>
        <w:t xml:space="preserve">The </w:t>
      </w:r>
      <w:r w:rsidR="00084BE0" w:rsidRPr="003540F8">
        <w:rPr>
          <w:rFonts w:ascii="Arial" w:hAnsi="Arial" w:cs="Arial"/>
          <w:sz w:val="20"/>
          <w:szCs w:val="20"/>
        </w:rPr>
        <w:t>data</w:t>
      </w:r>
      <w:r w:rsidRPr="003540F8">
        <w:rPr>
          <w:rFonts w:ascii="Arial" w:hAnsi="Arial" w:cs="Arial"/>
          <w:sz w:val="20"/>
          <w:szCs w:val="20"/>
        </w:rPr>
        <w:t xml:space="preserve"> collection started after the </w:t>
      </w:r>
      <w:r w:rsidR="009E1B8F" w:rsidRPr="003540F8">
        <w:rPr>
          <w:rFonts w:ascii="Arial" w:hAnsi="Arial" w:cs="Arial"/>
          <w:sz w:val="20"/>
          <w:szCs w:val="20"/>
        </w:rPr>
        <w:t xml:space="preserve">consent of patients </w:t>
      </w:r>
      <w:r w:rsidR="000B6B4D" w:rsidRPr="003540F8">
        <w:rPr>
          <w:rFonts w:ascii="Arial" w:hAnsi="Arial" w:cs="Arial"/>
          <w:sz w:val="20"/>
          <w:szCs w:val="20"/>
        </w:rPr>
        <w:t xml:space="preserve">and </w:t>
      </w:r>
      <w:r w:rsidR="00084BE0" w:rsidRPr="003540F8">
        <w:rPr>
          <w:rFonts w:ascii="Arial" w:hAnsi="Arial" w:cs="Arial"/>
          <w:sz w:val="20"/>
          <w:szCs w:val="20"/>
        </w:rPr>
        <w:t>ethical approval,</w:t>
      </w:r>
      <w:r w:rsidR="0034610D" w:rsidRPr="003540F8">
        <w:rPr>
          <w:rFonts w:ascii="Arial" w:hAnsi="Arial" w:cs="Arial"/>
          <w:sz w:val="20"/>
          <w:szCs w:val="20"/>
        </w:rPr>
        <w:t xml:space="preserve"> which</w:t>
      </w:r>
      <w:r w:rsidR="00B21CEA" w:rsidRPr="003540F8">
        <w:rPr>
          <w:rFonts w:ascii="Arial" w:hAnsi="Arial" w:cs="Arial"/>
          <w:sz w:val="20"/>
          <w:szCs w:val="20"/>
        </w:rPr>
        <w:t xml:space="preserve"> was granted </w:t>
      </w:r>
      <w:r w:rsidR="004C6A56" w:rsidRPr="003540F8">
        <w:rPr>
          <w:rFonts w:ascii="Arial" w:hAnsi="Arial" w:cs="Arial"/>
          <w:sz w:val="20"/>
          <w:szCs w:val="20"/>
        </w:rPr>
        <w:t>by the Ethics Committee of the Institute of Science, Centre for Genetic Disorders, BHU, Varanasi. The committee's registration number is ECR/226/</w:t>
      </w:r>
      <w:proofErr w:type="spellStart"/>
      <w:r w:rsidR="004C6A56" w:rsidRPr="003540F8">
        <w:rPr>
          <w:rFonts w:ascii="Arial" w:hAnsi="Arial" w:cs="Arial"/>
          <w:sz w:val="20"/>
          <w:szCs w:val="20"/>
        </w:rPr>
        <w:t>Indt</w:t>
      </w:r>
      <w:proofErr w:type="spellEnd"/>
      <w:r w:rsidR="004C6A56" w:rsidRPr="003540F8">
        <w:rPr>
          <w:rFonts w:ascii="Arial" w:hAnsi="Arial" w:cs="Arial"/>
          <w:sz w:val="20"/>
          <w:szCs w:val="20"/>
        </w:rPr>
        <w:t xml:space="preserve">/UP/2014/RR-22, dated January 4, 2022, and it is registered under Rule 122DD of the Drugs &amp; Cosmetics Rule 1945. The Ethics Committee at the Centre for Genetic Disorders, Institute of Science, Banaras Hindu University (BHU), follows the ethical standards of Good Clinical Practice (GCP). Good Clinical Practice (GCP) is a recognized ethical and scientific benchmark for planning, conducting, and documenting clinical trials involving human participants. Adhering to GCP assures the public rights, safety, and well-being are safeguarded in accordance with the principles of the Declaration of Helsinki, while also ensuring the reliability and integrity of the trial data. </w:t>
      </w:r>
      <w:r w:rsidR="00B21CEA" w:rsidRPr="003540F8">
        <w:rPr>
          <w:rFonts w:ascii="Arial" w:hAnsi="Arial" w:cs="Arial"/>
          <w:sz w:val="20"/>
          <w:szCs w:val="20"/>
        </w:rPr>
        <w:t>Additionally, the study has been registered with the CTRI under registration number CTRI/2023/07/055208.</w:t>
      </w:r>
      <w:r w:rsidR="00605223" w:rsidRPr="003540F8">
        <w:rPr>
          <w:rFonts w:ascii="Arial" w:hAnsi="Arial" w:cs="Arial"/>
          <w:sz w:val="20"/>
          <w:szCs w:val="20"/>
        </w:rPr>
        <w:t xml:space="preserve"> </w:t>
      </w:r>
    </w:p>
    <w:p w14:paraId="6AF6A1A6" w14:textId="55F3988C" w:rsidR="00185DBA" w:rsidRPr="003540F8" w:rsidRDefault="006578D9" w:rsidP="00EB4E3E">
      <w:pPr>
        <w:spacing w:line="240" w:lineRule="auto"/>
        <w:jc w:val="both"/>
        <w:rPr>
          <w:rFonts w:ascii="Arial" w:hAnsi="Arial" w:cs="Arial"/>
          <w:sz w:val="20"/>
          <w:szCs w:val="20"/>
        </w:rPr>
      </w:pPr>
      <w:r w:rsidRPr="003540F8">
        <w:rPr>
          <w:rFonts w:ascii="Arial" w:hAnsi="Arial" w:cs="Arial"/>
          <w:sz w:val="20"/>
          <w:szCs w:val="20"/>
        </w:rPr>
        <w:t>The researcher conducted interviews with the subjects to gather information on their anthropometric measurements, socioeconomic status, and lifestyle choices, including physical activity, sleep quality, alcohol consumption, and tobacco and smoking.</w:t>
      </w:r>
      <w:r w:rsidR="00A655C2" w:rsidRPr="003540F8">
        <w:rPr>
          <w:rFonts w:ascii="Arial" w:hAnsi="Arial" w:cs="Arial"/>
          <w:sz w:val="20"/>
          <w:szCs w:val="20"/>
        </w:rPr>
        <w:t xml:space="preserve"> </w:t>
      </w:r>
      <w:r w:rsidR="0000104E" w:rsidRPr="003540F8">
        <w:rPr>
          <w:rFonts w:ascii="Arial" w:hAnsi="Arial" w:cs="Arial"/>
          <w:sz w:val="20"/>
          <w:szCs w:val="20"/>
        </w:rPr>
        <w:t xml:space="preserve">The WHO anthropometric techniques were used to measure weight and height. A measuring scale in inches was used to determine height. A digital </w:t>
      </w:r>
      <w:r w:rsidR="00084BE0" w:rsidRPr="003540F8">
        <w:rPr>
          <w:rFonts w:ascii="Arial" w:hAnsi="Arial" w:cs="Arial"/>
          <w:sz w:val="20"/>
          <w:szCs w:val="20"/>
        </w:rPr>
        <w:t>weighing</w:t>
      </w:r>
      <w:r w:rsidR="0000104E" w:rsidRPr="003540F8">
        <w:rPr>
          <w:rFonts w:ascii="Arial" w:hAnsi="Arial" w:cs="Arial"/>
          <w:sz w:val="20"/>
          <w:szCs w:val="20"/>
        </w:rPr>
        <w:t xml:space="preserve"> machine was used to measure body weight in kilograms. Weight in kilograms divided by height in meters results in the patient's body mass index (BMI) in kilograms per </w:t>
      </w:r>
      <w:r w:rsidR="00084BE0" w:rsidRPr="003540F8">
        <w:rPr>
          <w:rFonts w:ascii="Arial" w:hAnsi="Arial" w:cs="Arial"/>
          <w:sz w:val="20"/>
          <w:szCs w:val="20"/>
        </w:rPr>
        <w:t>meter squared</w:t>
      </w:r>
      <w:r w:rsidR="0000104E" w:rsidRPr="003540F8">
        <w:rPr>
          <w:rFonts w:ascii="Arial" w:hAnsi="Arial" w:cs="Arial"/>
          <w:sz w:val="20"/>
          <w:szCs w:val="20"/>
        </w:rPr>
        <w:t>.</w:t>
      </w:r>
      <w:r w:rsidR="00DC454F" w:rsidRPr="003540F8">
        <w:rPr>
          <w:rFonts w:ascii="Arial" w:eastAsia="Times New Roman" w:hAnsi="Arial" w:cs="Arial"/>
          <w:kern w:val="0"/>
          <w:sz w:val="20"/>
          <w:szCs w:val="20"/>
          <w:lang w:eastAsia="en-IN"/>
          <w14:ligatures w14:val="none"/>
        </w:rPr>
        <w:t xml:space="preserve"> </w:t>
      </w:r>
      <w:r w:rsidR="00DC454F" w:rsidRPr="003540F8">
        <w:rPr>
          <w:rFonts w:ascii="Arial" w:hAnsi="Arial" w:cs="Arial"/>
          <w:sz w:val="20"/>
          <w:szCs w:val="20"/>
        </w:rPr>
        <w:t>Biochemical measurements of the patient, such as glycosylated</w:t>
      </w:r>
      <w:r w:rsidR="00085A99" w:rsidRPr="003540F8">
        <w:rPr>
          <w:rFonts w:ascii="Arial" w:hAnsi="Arial" w:cs="Arial"/>
          <w:sz w:val="20"/>
          <w:szCs w:val="20"/>
        </w:rPr>
        <w:t xml:space="preserve"> </w:t>
      </w:r>
      <w:proofErr w:type="spellStart"/>
      <w:r w:rsidR="00DC454F" w:rsidRPr="003540F8">
        <w:rPr>
          <w:rFonts w:ascii="Arial" w:hAnsi="Arial" w:cs="Arial"/>
          <w:sz w:val="20"/>
          <w:szCs w:val="20"/>
        </w:rPr>
        <w:t>hemoglobin</w:t>
      </w:r>
      <w:proofErr w:type="spellEnd"/>
      <w:r w:rsidR="00DC454F" w:rsidRPr="003540F8">
        <w:rPr>
          <w:rFonts w:ascii="Arial" w:hAnsi="Arial" w:cs="Arial"/>
          <w:sz w:val="20"/>
          <w:szCs w:val="20"/>
        </w:rPr>
        <w:t>, postprandial blood glucose, and fasting blood glucose, were collected from the pathology report.</w:t>
      </w:r>
      <w:r w:rsidR="00E7072B" w:rsidRPr="003540F8">
        <w:rPr>
          <w:rFonts w:ascii="Arial" w:hAnsi="Arial" w:cs="Arial"/>
          <w:sz w:val="20"/>
          <w:szCs w:val="20"/>
        </w:rPr>
        <w:t xml:space="preserve"> Nutritional </w:t>
      </w:r>
      <w:r w:rsidR="00084BE0" w:rsidRPr="003540F8">
        <w:rPr>
          <w:rFonts w:ascii="Arial" w:hAnsi="Arial" w:cs="Arial"/>
          <w:sz w:val="20"/>
          <w:szCs w:val="20"/>
        </w:rPr>
        <w:t>status is</w:t>
      </w:r>
      <w:r w:rsidR="00E7072B" w:rsidRPr="003540F8">
        <w:rPr>
          <w:rFonts w:ascii="Arial" w:hAnsi="Arial" w:cs="Arial"/>
          <w:sz w:val="20"/>
          <w:szCs w:val="20"/>
        </w:rPr>
        <w:t xml:space="preserve"> </w:t>
      </w:r>
      <w:r w:rsidR="00774263" w:rsidRPr="003540F8">
        <w:rPr>
          <w:rFonts w:ascii="Arial" w:hAnsi="Arial" w:cs="Arial"/>
          <w:sz w:val="20"/>
          <w:szCs w:val="20"/>
        </w:rPr>
        <w:t xml:space="preserve">assessed by the BMI </w:t>
      </w:r>
      <w:r w:rsidR="00726849" w:rsidRPr="003540F8">
        <w:rPr>
          <w:rFonts w:ascii="Arial" w:hAnsi="Arial" w:cs="Arial"/>
          <w:sz w:val="20"/>
          <w:szCs w:val="20"/>
        </w:rPr>
        <w:t xml:space="preserve">method. </w:t>
      </w:r>
      <w:r w:rsidR="00185DBA" w:rsidRPr="003540F8">
        <w:rPr>
          <w:rFonts w:ascii="Arial" w:hAnsi="Arial" w:cs="Arial"/>
          <w:sz w:val="20"/>
          <w:szCs w:val="20"/>
        </w:rPr>
        <w:t>The following weight categories were used to classify the respondents: underweight (BMI ˂ 18.5), normal weight (BMI 18.5-24.9), overweight (BMI 25.0-29.9), and obese (BMI ˃ 30).</w:t>
      </w:r>
    </w:p>
    <w:p w14:paraId="0448637E" w14:textId="77777777" w:rsidR="003A49A7" w:rsidRPr="003540F8" w:rsidRDefault="00FE4109" w:rsidP="00430151">
      <w:pPr>
        <w:spacing w:line="240" w:lineRule="auto"/>
        <w:jc w:val="both"/>
        <w:rPr>
          <w:rFonts w:ascii="Arial" w:hAnsi="Arial" w:cs="Arial"/>
          <w:b/>
          <w:bCs/>
          <w:sz w:val="20"/>
          <w:szCs w:val="20"/>
        </w:rPr>
      </w:pPr>
      <w:r w:rsidRPr="003540F8">
        <w:rPr>
          <w:rFonts w:ascii="Arial" w:hAnsi="Arial" w:cs="Arial"/>
          <w:b/>
          <w:bCs/>
          <w:sz w:val="20"/>
          <w:szCs w:val="20"/>
        </w:rPr>
        <w:t>Statistical</w:t>
      </w:r>
      <w:r w:rsidR="00737253" w:rsidRPr="003540F8">
        <w:rPr>
          <w:rFonts w:ascii="Arial" w:hAnsi="Arial" w:cs="Arial"/>
          <w:b/>
          <w:bCs/>
          <w:sz w:val="20"/>
          <w:szCs w:val="20"/>
        </w:rPr>
        <w:t xml:space="preserve"> analysis</w:t>
      </w:r>
    </w:p>
    <w:p w14:paraId="09844E64" w14:textId="1B07EE7E" w:rsidR="003E0B7D" w:rsidRPr="003540F8" w:rsidRDefault="00604662" w:rsidP="00EB4E3E">
      <w:pPr>
        <w:spacing w:line="240" w:lineRule="auto"/>
        <w:jc w:val="both"/>
        <w:rPr>
          <w:rFonts w:ascii="Arial" w:hAnsi="Arial" w:cs="Arial"/>
          <w:sz w:val="20"/>
          <w:szCs w:val="20"/>
        </w:rPr>
      </w:pPr>
      <w:r w:rsidRPr="003540F8">
        <w:rPr>
          <w:rFonts w:ascii="Arial" w:hAnsi="Arial" w:cs="Arial"/>
          <w:sz w:val="20"/>
          <w:szCs w:val="20"/>
        </w:rPr>
        <w:t xml:space="preserve">The data was organized into tables and </w:t>
      </w:r>
      <w:proofErr w:type="spellStart"/>
      <w:r w:rsidRPr="003540F8">
        <w:rPr>
          <w:rFonts w:ascii="Arial" w:hAnsi="Arial" w:cs="Arial"/>
          <w:sz w:val="20"/>
          <w:szCs w:val="20"/>
        </w:rPr>
        <w:t>analyzed</w:t>
      </w:r>
      <w:proofErr w:type="spellEnd"/>
      <w:r w:rsidRPr="003540F8">
        <w:rPr>
          <w:rFonts w:ascii="Arial" w:hAnsi="Arial" w:cs="Arial"/>
          <w:sz w:val="20"/>
          <w:szCs w:val="20"/>
        </w:rPr>
        <w:t xml:space="preserve"> statistically using version 25 of the Statistical Package for Social Sciences (SPSS)</w:t>
      </w:r>
      <w:r w:rsidR="00C444A2" w:rsidRPr="003540F8">
        <w:rPr>
          <w:rFonts w:ascii="Arial" w:hAnsi="Arial" w:cs="Arial"/>
          <w:sz w:val="20"/>
          <w:szCs w:val="20"/>
        </w:rPr>
        <w:t>.</w:t>
      </w:r>
      <w:r w:rsidR="0045729B" w:rsidRPr="003540F8">
        <w:rPr>
          <w:rFonts w:ascii="Arial" w:hAnsi="Arial" w:cs="Arial"/>
          <w:sz w:val="20"/>
          <w:szCs w:val="20"/>
        </w:rPr>
        <w:t xml:space="preserve"> </w:t>
      </w:r>
      <w:r w:rsidR="007C5F28" w:rsidRPr="003540F8">
        <w:rPr>
          <w:rFonts w:ascii="Arial" w:hAnsi="Arial" w:cs="Arial"/>
          <w:sz w:val="20"/>
          <w:szCs w:val="20"/>
        </w:rPr>
        <w:t xml:space="preserve">The statistical analysis involved calculating the mean and standard deviation for continuous variables and determining percentages for categorical variables. Statistical significance was established using the Fisher exact test, with a </w:t>
      </w:r>
      <w:r w:rsidR="00A14C16" w:rsidRPr="003540F8">
        <w:rPr>
          <w:rFonts w:ascii="Arial" w:hAnsi="Arial" w:cs="Arial"/>
          <w:sz w:val="20"/>
          <w:szCs w:val="20"/>
        </w:rPr>
        <w:t>P</w:t>
      </w:r>
      <w:r w:rsidR="007C5F28" w:rsidRPr="003540F8">
        <w:rPr>
          <w:rFonts w:ascii="Arial" w:hAnsi="Arial" w:cs="Arial"/>
          <w:sz w:val="20"/>
          <w:szCs w:val="20"/>
        </w:rPr>
        <w:t xml:space="preserve">-value of </w:t>
      </w:r>
      <w:r w:rsidR="00A14C16" w:rsidRPr="003540F8">
        <w:rPr>
          <w:rFonts w:ascii="Arial" w:hAnsi="Arial" w:cs="Arial"/>
          <w:sz w:val="20"/>
          <w:szCs w:val="20"/>
        </w:rPr>
        <w:t>less than or equal</w:t>
      </w:r>
      <w:r w:rsidR="007C5F28" w:rsidRPr="003540F8">
        <w:rPr>
          <w:rFonts w:ascii="Arial" w:hAnsi="Arial" w:cs="Arial"/>
          <w:sz w:val="20"/>
          <w:szCs w:val="20"/>
        </w:rPr>
        <w:t xml:space="preserve"> t</w:t>
      </w:r>
      <w:r w:rsidR="00A14C16" w:rsidRPr="003540F8">
        <w:rPr>
          <w:rFonts w:ascii="Arial" w:hAnsi="Arial" w:cs="Arial"/>
          <w:sz w:val="20"/>
          <w:szCs w:val="20"/>
        </w:rPr>
        <w:t>o</w:t>
      </w:r>
      <w:r w:rsidR="007C5F28" w:rsidRPr="003540F8">
        <w:rPr>
          <w:rFonts w:ascii="Arial" w:hAnsi="Arial" w:cs="Arial"/>
          <w:sz w:val="20"/>
          <w:szCs w:val="20"/>
        </w:rPr>
        <w:t xml:space="preserve"> 0.05.</w:t>
      </w:r>
    </w:p>
    <w:p w14:paraId="63A66B18" w14:textId="6ABAB28E" w:rsidR="00B11958" w:rsidRPr="00824DF8" w:rsidRDefault="00B11958" w:rsidP="00430151">
      <w:pPr>
        <w:pStyle w:val="ListParagraph"/>
        <w:numPr>
          <w:ilvl w:val="0"/>
          <w:numId w:val="26"/>
        </w:numPr>
        <w:spacing w:line="240" w:lineRule="auto"/>
        <w:ind w:left="284" w:hanging="284"/>
        <w:jc w:val="both"/>
        <w:rPr>
          <w:rFonts w:ascii="Arial" w:hAnsi="Arial" w:cs="Arial"/>
          <w:b/>
          <w:bCs/>
          <w:sz w:val="22"/>
        </w:rPr>
      </w:pPr>
      <w:r w:rsidRPr="00824DF8">
        <w:rPr>
          <w:rFonts w:ascii="Arial" w:hAnsi="Arial" w:cs="Arial"/>
          <w:b/>
          <w:bCs/>
          <w:sz w:val="22"/>
        </w:rPr>
        <w:t>Results and Discussion</w:t>
      </w:r>
    </w:p>
    <w:p w14:paraId="238ACB57" w14:textId="1DD514E2" w:rsidR="000123CC" w:rsidRDefault="000123CC" w:rsidP="00EB4E3E">
      <w:pPr>
        <w:spacing w:line="240" w:lineRule="auto"/>
        <w:jc w:val="both"/>
        <w:rPr>
          <w:rFonts w:ascii="Arial" w:hAnsi="Arial" w:cs="Arial"/>
          <w:sz w:val="20"/>
          <w:szCs w:val="20"/>
        </w:rPr>
      </w:pPr>
      <w:r w:rsidRPr="000123CC">
        <w:rPr>
          <w:rFonts w:ascii="Arial" w:hAnsi="Arial" w:cs="Arial"/>
          <w:sz w:val="20"/>
          <w:szCs w:val="20"/>
        </w:rPr>
        <w:t>This section summarizes the primary findings of the investigation and evaluates their significance in reference to the existing body of literature.</w:t>
      </w:r>
      <w:r>
        <w:rPr>
          <w:rFonts w:ascii="Arial" w:hAnsi="Arial" w:cs="Arial"/>
          <w:sz w:val="20"/>
          <w:szCs w:val="20"/>
        </w:rPr>
        <w:t xml:space="preserve"> </w:t>
      </w:r>
      <w:r w:rsidRPr="000123CC">
        <w:rPr>
          <w:rFonts w:ascii="Arial" w:hAnsi="Arial" w:cs="Arial"/>
          <w:sz w:val="20"/>
          <w:szCs w:val="20"/>
        </w:rPr>
        <w:t>The study emphasizes the relationships between nutritional status and several lifestyle and sociodemographic characteristics.</w:t>
      </w:r>
    </w:p>
    <w:p w14:paraId="2DCE37CB" w14:textId="130E2679" w:rsidR="00824DF8" w:rsidRPr="000123CC" w:rsidRDefault="004E6094" w:rsidP="00EB4E3E">
      <w:pPr>
        <w:spacing w:line="240" w:lineRule="auto"/>
        <w:jc w:val="both"/>
        <w:rPr>
          <w:rFonts w:ascii="Arial" w:hAnsi="Arial" w:cs="Arial"/>
          <w:b/>
          <w:bCs/>
          <w:sz w:val="20"/>
          <w:szCs w:val="20"/>
        </w:rPr>
      </w:pPr>
      <w:r w:rsidRPr="003540F8">
        <w:rPr>
          <w:rFonts w:ascii="Arial" w:hAnsi="Arial" w:cs="Arial"/>
          <w:b/>
          <w:bCs/>
          <w:sz w:val="20"/>
          <w:szCs w:val="20"/>
        </w:rPr>
        <w:t xml:space="preserve">Table 1: </w:t>
      </w:r>
      <w:r w:rsidR="000123CC" w:rsidRPr="000123CC">
        <w:rPr>
          <w:rFonts w:ascii="Arial" w:hAnsi="Arial" w:cs="Arial"/>
          <w:b/>
          <w:bCs/>
          <w:sz w:val="20"/>
          <w:szCs w:val="20"/>
        </w:rPr>
        <w:t>Distribution of socioeconomic characteristics and eating habits among diabetic patients.</w:t>
      </w:r>
    </w:p>
    <w:tbl>
      <w:tblPr>
        <w:tblStyle w:val="TableGrid"/>
        <w:tblW w:w="9351" w:type="dxa"/>
        <w:tblLook w:val="04A0" w:firstRow="1" w:lastRow="0" w:firstColumn="1" w:lastColumn="0" w:noHBand="0" w:noVBand="1"/>
      </w:tblPr>
      <w:tblGrid>
        <w:gridCol w:w="1980"/>
        <w:gridCol w:w="2410"/>
        <w:gridCol w:w="2409"/>
        <w:gridCol w:w="2552"/>
      </w:tblGrid>
      <w:tr w:rsidR="00416063" w:rsidRPr="003540F8" w14:paraId="4F992C16" w14:textId="77777777" w:rsidTr="00824DF8">
        <w:tc>
          <w:tcPr>
            <w:tcW w:w="1980" w:type="dxa"/>
            <w:vAlign w:val="center"/>
          </w:tcPr>
          <w:p w14:paraId="6C59C33B" w14:textId="4FFCF8A3" w:rsidR="00416063" w:rsidRPr="003540F8" w:rsidRDefault="00824DF8" w:rsidP="00430151">
            <w:pPr>
              <w:spacing w:line="360" w:lineRule="auto"/>
              <w:jc w:val="center"/>
              <w:rPr>
                <w:rFonts w:ascii="Arial" w:hAnsi="Arial" w:cs="Arial"/>
                <w:b/>
                <w:bCs/>
                <w:sz w:val="20"/>
                <w:szCs w:val="20"/>
              </w:rPr>
            </w:pPr>
            <w:r>
              <w:rPr>
                <w:rFonts w:ascii="Arial" w:hAnsi="Arial" w:cs="Arial"/>
                <w:b/>
                <w:bCs/>
                <w:sz w:val="20"/>
                <w:szCs w:val="20"/>
              </w:rPr>
              <w:t xml:space="preserve">Variables </w:t>
            </w:r>
          </w:p>
        </w:tc>
        <w:tc>
          <w:tcPr>
            <w:tcW w:w="2410" w:type="dxa"/>
            <w:vAlign w:val="center"/>
          </w:tcPr>
          <w:p w14:paraId="4AA3A711" w14:textId="19252A66" w:rsidR="00F5084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Male (Mean</w:t>
            </w:r>
            <w:r w:rsidR="00824DF8">
              <w:rPr>
                <w:rFonts w:ascii="Arial" w:hAnsi="Arial" w:cs="Arial"/>
                <w:b/>
                <w:bCs/>
                <w:sz w:val="20"/>
                <w:szCs w:val="20"/>
              </w:rPr>
              <w:t xml:space="preserve"> </w:t>
            </w:r>
            <w:r w:rsidR="00416063" w:rsidRPr="003540F8">
              <w:rPr>
                <w:rFonts w:ascii="Arial" w:hAnsi="Arial" w:cs="Arial"/>
                <w:b/>
                <w:bCs/>
                <w:sz w:val="20"/>
                <w:szCs w:val="20"/>
                <w:u w:val="single"/>
              </w:rPr>
              <w:t>+</w:t>
            </w:r>
            <w:r w:rsidR="00824DF8">
              <w:rPr>
                <w:rFonts w:ascii="Arial" w:hAnsi="Arial" w:cs="Arial"/>
                <w:b/>
                <w:bCs/>
                <w:sz w:val="20"/>
                <w:szCs w:val="20"/>
              </w:rPr>
              <w:t xml:space="preserve"> </w:t>
            </w:r>
            <w:r w:rsidRPr="003540F8">
              <w:rPr>
                <w:rFonts w:ascii="Arial" w:hAnsi="Arial" w:cs="Arial"/>
                <w:b/>
                <w:bCs/>
                <w:sz w:val="20"/>
                <w:szCs w:val="20"/>
              </w:rPr>
              <w:t>SD/%)</w:t>
            </w:r>
          </w:p>
        </w:tc>
        <w:tc>
          <w:tcPr>
            <w:tcW w:w="2409" w:type="dxa"/>
            <w:vAlign w:val="center"/>
          </w:tcPr>
          <w:p w14:paraId="034D221A" w14:textId="058C3C93"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Female (Mean</w:t>
            </w:r>
            <w:r w:rsidR="00824DF8">
              <w:rPr>
                <w:rFonts w:ascii="Arial" w:hAnsi="Arial" w:cs="Arial"/>
                <w:b/>
                <w:bCs/>
                <w:sz w:val="20"/>
                <w:szCs w:val="20"/>
              </w:rPr>
              <w:t xml:space="preserve"> </w:t>
            </w:r>
            <w:r w:rsidR="00416063" w:rsidRPr="003540F8">
              <w:rPr>
                <w:rFonts w:ascii="Arial" w:hAnsi="Arial" w:cs="Arial"/>
                <w:b/>
                <w:bCs/>
                <w:sz w:val="20"/>
                <w:szCs w:val="20"/>
                <w:u w:val="single"/>
              </w:rPr>
              <w:t>+</w:t>
            </w:r>
            <w:r w:rsidR="00824DF8">
              <w:rPr>
                <w:rFonts w:ascii="Arial" w:hAnsi="Arial" w:cs="Arial"/>
                <w:b/>
                <w:bCs/>
                <w:sz w:val="20"/>
                <w:szCs w:val="20"/>
              </w:rPr>
              <w:t xml:space="preserve"> SD/%) </w:t>
            </w:r>
          </w:p>
        </w:tc>
        <w:tc>
          <w:tcPr>
            <w:tcW w:w="2552" w:type="dxa"/>
            <w:vAlign w:val="center"/>
          </w:tcPr>
          <w:p w14:paraId="4121FAA4" w14:textId="3BF7CCA2"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Total (Mean</w:t>
            </w:r>
            <w:r w:rsidR="00824DF8">
              <w:rPr>
                <w:rFonts w:ascii="Arial" w:hAnsi="Arial" w:cs="Arial"/>
                <w:b/>
                <w:bCs/>
                <w:sz w:val="20"/>
                <w:szCs w:val="20"/>
              </w:rPr>
              <w:t xml:space="preserve"> </w:t>
            </w:r>
            <w:r w:rsidR="00416063" w:rsidRPr="003540F8">
              <w:rPr>
                <w:rFonts w:ascii="Arial" w:hAnsi="Arial" w:cs="Arial"/>
                <w:b/>
                <w:bCs/>
                <w:sz w:val="20"/>
                <w:szCs w:val="20"/>
                <w:u w:val="single"/>
              </w:rPr>
              <w:t>+</w:t>
            </w:r>
            <w:r w:rsidR="00824DF8">
              <w:rPr>
                <w:rFonts w:ascii="Arial" w:hAnsi="Arial" w:cs="Arial"/>
                <w:b/>
                <w:bCs/>
                <w:sz w:val="20"/>
                <w:szCs w:val="20"/>
              </w:rPr>
              <w:t xml:space="preserve"> </w:t>
            </w:r>
            <w:r w:rsidRPr="003540F8">
              <w:rPr>
                <w:rFonts w:ascii="Arial" w:hAnsi="Arial" w:cs="Arial"/>
                <w:b/>
                <w:bCs/>
                <w:sz w:val="20"/>
                <w:szCs w:val="20"/>
              </w:rPr>
              <w:t>SD/%)</w:t>
            </w:r>
          </w:p>
        </w:tc>
      </w:tr>
      <w:tr w:rsidR="00416063" w:rsidRPr="003540F8" w14:paraId="5A5B177B" w14:textId="77777777" w:rsidTr="00824DF8">
        <w:tc>
          <w:tcPr>
            <w:tcW w:w="1980" w:type="dxa"/>
            <w:vAlign w:val="center"/>
          </w:tcPr>
          <w:p w14:paraId="423D35EA" w14:textId="60769C09"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 xml:space="preserve">Age (years) </w:t>
            </w:r>
          </w:p>
        </w:tc>
        <w:tc>
          <w:tcPr>
            <w:tcW w:w="2410" w:type="dxa"/>
            <w:vAlign w:val="center"/>
          </w:tcPr>
          <w:p w14:paraId="414A1764"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 xml:space="preserve">51.5 </w:t>
            </w:r>
            <w:r w:rsidRPr="003540F8">
              <w:rPr>
                <w:rFonts w:ascii="Arial" w:hAnsi="Arial" w:cs="Arial"/>
                <w:sz w:val="20"/>
                <w:szCs w:val="20"/>
                <w:u w:val="single"/>
              </w:rPr>
              <w:t>+</w:t>
            </w:r>
            <w:r w:rsidRPr="003540F8">
              <w:rPr>
                <w:rFonts w:ascii="Arial" w:hAnsi="Arial" w:cs="Arial"/>
                <w:sz w:val="20"/>
                <w:szCs w:val="20"/>
              </w:rPr>
              <w:t>11.82</w:t>
            </w:r>
          </w:p>
        </w:tc>
        <w:tc>
          <w:tcPr>
            <w:tcW w:w="2409" w:type="dxa"/>
            <w:vAlign w:val="center"/>
          </w:tcPr>
          <w:p w14:paraId="527038CF"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46.6</w:t>
            </w:r>
            <w:r w:rsidRPr="003540F8">
              <w:rPr>
                <w:rFonts w:ascii="Arial" w:hAnsi="Arial" w:cs="Arial"/>
                <w:sz w:val="20"/>
                <w:szCs w:val="20"/>
                <w:u w:val="single"/>
              </w:rPr>
              <w:t>+</w:t>
            </w:r>
            <w:r w:rsidRPr="003540F8">
              <w:rPr>
                <w:rFonts w:ascii="Arial" w:hAnsi="Arial" w:cs="Arial"/>
                <w:sz w:val="20"/>
                <w:szCs w:val="20"/>
              </w:rPr>
              <w:t>6.79</w:t>
            </w:r>
          </w:p>
        </w:tc>
        <w:tc>
          <w:tcPr>
            <w:tcW w:w="2552" w:type="dxa"/>
            <w:vAlign w:val="center"/>
          </w:tcPr>
          <w:p w14:paraId="3640431A"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49.17</w:t>
            </w:r>
            <w:r w:rsidRPr="003540F8">
              <w:rPr>
                <w:rFonts w:ascii="Arial" w:hAnsi="Arial" w:cs="Arial"/>
                <w:sz w:val="20"/>
                <w:szCs w:val="20"/>
                <w:u w:val="single"/>
              </w:rPr>
              <w:t>+</w:t>
            </w:r>
            <w:r w:rsidRPr="003540F8">
              <w:rPr>
                <w:rFonts w:ascii="Arial" w:hAnsi="Arial" w:cs="Arial"/>
                <w:sz w:val="20"/>
                <w:szCs w:val="20"/>
              </w:rPr>
              <w:t>9.99</w:t>
            </w:r>
          </w:p>
        </w:tc>
      </w:tr>
      <w:tr w:rsidR="00416063" w:rsidRPr="003540F8" w14:paraId="0B58AADB" w14:textId="77777777" w:rsidTr="00824DF8">
        <w:tc>
          <w:tcPr>
            <w:tcW w:w="1980" w:type="dxa"/>
            <w:vAlign w:val="center"/>
          </w:tcPr>
          <w:p w14:paraId="73A0BE1F" w14:textId="3E03BC3D"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Gender (%)</w:t>
            </w:r>
          </w:p>
        </w:tc>
        <w:tc>
          <w:tcPr>
            <w:tcW w:w="2410" w:type="dxa"/>
            <w:vAlign w:val="center"/>
          </w:tcPr>
          <w:p w14:paraId="78AA8F70"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(130) 52%</w:t>
            </w:r>
          </w:p>
        </w:tc>
        <w:tc>
          <w:tcPr>
            <w:tcW w:w="2409" w:type="dxa"/>
            <w:vAlign w:val="center"/>
          </w:tcPr>
          <w:p w14:paraId="424DB658"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(120) 48%</w:t>
            </w:r>
          </w:p>
        </w:tc>
        <w:tc>
          <w:tcPr>
            <w:tcW w:w="2552" w:type="dxa"/>
            <w:vAlign w:val="center"/>
          </w:tcPr>
          <w:p w14:paraId="3A593525"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 xml:space="preserve">(250)100% </w:t>
            </w:r>
          </w:p>
        </w:tc>
      </w:tr>
      <w:tr w:rsidR="00416063" w:rsidRPr="003540F8" w14:paraId="6FB17EBC" w14:textId="77777777" w:rsidTr="007C5FE9">
        <w:tc>
          <w:tcPr>
            <w:tcW w:w="9351" w:type="dxa"/>
            <w:gridSpan w:val="4"/>
            <w:vAlign w:val="center"/>
          </w:tcPr>
          <w:p w14:paraId="639F41F0" w14:textId="1F7DBB9B"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 xml:space="preserve">Marital status </w:t>
            </w:r>
            <w:r w:rsidR="00416063" w:rsidRPr="003540F8">
              <w:rPr>
                <w:rFonts w:ascii="Arial" w:hAnsi="Arial" w:cs="Arial"/>
                <w:b/>
                <w:bCs/>
                <w:sz w:val="20"/>
                <w:szCs w:val="20"/>
              </w:rPr>
              <w:t xml:space="preserve">(n) </w:t>
            </w:r>
            <w:r w:rsidR="00824DF8">
              <w:rPr>
                <w:rFonts w:ascii="Arial" w:hAnsi="Arial" w:cs="Arial"/>
                <w:b/>
                <w:bCs/>
                <w:sz w:val="20"/>
                <w:szCs w:val="20"/>
              </w:rPr>
              <w:t xml:space="preserve">% </w:t>
            </w:r>
          </w:p>
        </w:tc>
      </w:tr>
      <w:tr w:rsidR="00416063" w:rsidRPr="003540F8" w14:paraId="358E8DD3" w14:textId="77777777" w:rsidTr="00824DF8">
        <w:tc>
          <w:tcPr>
            <w:tcW w:w="1980" w:type="dxa"/>
            <w:vAlign w:val="center"/>
          </w:tcPr>
          <w:p w14:paraId="0757D761" w14:textId="6D8127C5"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lastRenderedPageBreak/>
              <w:t>Married</w:t>
            </w:r>
          </w:p>
        </w:tc>
        <w:tc>
          <w:tcPr>
            <w:tcW w:w="2410" w:type="dxa"/>
            <w:vAlign w:val="center"/>
          </w:tcPr>
          <w:p w14:paraId="4FEE5910"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(122) 93.9%</w:t>
            </w:r>
          </w:p>
        </w:tc>
        <w:tc>
          <w:tcPr>
            <w:tcW w:w="2409" w:type="dxa"/>
            <w:vAlign w:val="center"/>
          </w:tcPr>
          <w:p w14:paraId="05DB96D4"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(120) 100%</w:t>
            </w:r>
          </w:p>
        </w:tc>
        <w:tc>
          <w:tcPr>
            <w:tcW w:w="2552" w:type="dxa"/>
            <w:vAlign w:val="center"/>
          </w:tcPr>
          <w:p w14:paraId="5435F897" w14:textId="0A80D894"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 xml:space="preserve">(242) </w:t>
            </w:r>
            <w:r w:rsidR="00824DF8">
              <w:rPr>
                <w:rFonts w:ascii="Arial" w:hAnsi="Arial" w:cs="Arial"/>
                <w:sz w:val="20"/>
                <w:szCs w:val="20"/>
              </w:rPr>
              <w:t xml:space="preserve">96.8% </w:t>
            </w:r>
          </w:p>
        </w:tc>
      </w:tr>
      <w:tr w:rsidR="00416063" w:rsidRPr="003540F8" w14:paraId="2B197EE0" w14:textId="77777777" w:rsidTr="00824DF8">
        <w:tc>
          <w:tcPr>
            <w:tcW w:w="1980" w:type="dxa"/>
            <w:vAlign w:val="center"/>
          </w:tcPr>
          <w:p w14:paraId="38E3B0BE" w14:textId="37288055"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Unmarried</w:t>
            </w:r>
          </w:p>
        </w:tc>
        <w:tc>
          <w:tcPr>
            <w:tcW w:w="2410" w:type="dxa"/>
            <w:vAlign w:val="center"/>
          </w:tcPr>
          <w:p w14:paraId="120041BE"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(0)</w:t>
            </w:r>
          </w:p>
        </w:tc>
        <w:tc>
          <w:tcPr>
            <w:tcW w:w="2409" w:type="dxa"/>
            <w:vAlign w:val="center"/>
          </w:tcPr>
          <w:p w14:paraId="2EE6CBE6"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(0)</w:t>
            </w:r>
          </w:p>
        </w:tc>
        <w:tc>
          <w:tcPr>
            <w:tcW w:w="2552" w:type="dxa"/>
            <w:vAlign w:val="center"/>
          </w:tcPr>
          <w:p w14:paraId="67290108"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(0)</w:t>
            </w:r>
          </w:p>
        </w:tc>
      </w:tr>
      <w:tr w:rsidR="00416063" w:rsidRPr="003540F8" w14:paraId="0D02D273" w14:textId="77777777" w:rsidTr="00824DF8">
        <w:tc>
          <w:tcPr>
            <w:tcW w:w="1980" w:type="dxa"/>
            <w:vAlign w:val="center"/>
          </w:tcPr>
          <w:p w14:paraId="0C253198" w14:textId="7163EC49"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Divorced</w:t>
            </w:r>
          </w:p>
        </w:tc>
        <w:tc>
          <w:tcPr>
            <w:tcW w:w="2410" w:type="dxa"/>
            <w:vAlign w:val="center"/>
          </w:tcPr>
          <w:p w14:paraId="09EC3C02"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(0)</w:t>
            </w:r>
          </w:p>
        </w:tc>
        <w:tc>
          <w:tcPr>
            <w:tcW w:w="2409" w:type="dxa"/>
            <w:vAlign w:val="center"/>
          </w:tcPr>
          <w:p w14:paraId="46C6DD83"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(0)</w:t>
            </w:r>
          </w:p>
        </w:tc>
        <w:tc>
          <w:tcPr>
            <w:tcW w:w="2552" w:type="dxa"/>
            <w:vAlign w:val="center"/>
          </w:tcPr>
          <w:p w14:paraId="562CBAB0"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(0)</w:t>
            </w:r>
          </w:p>
        </w:tc>
      </w:tr>
      <w:tr w:rsidR="00416063" w:rsidRPr="003540F8" w14:paraId="2A6802E9" w14:textId="77777777" w:rsidTr="00824DF8">
        <w:tc>
          <w:tcPr>
            <w:tcW w:w="1980" w:type="dxa"/>
            <w:vAlign w:val="center"/>
          </w:tcPr>
          <w:p w14:paraId="40503775" w14:textId="5F5C3BD9"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Widow/ widower</w:t>
            </w:r>
          </w:p>
        </w:tc>
        <w:tc>
          <w:tcPr>
            <w:tcW w:w="2410" w:type="dxa"/>
            <w:vAlign w:val="center"/>
          </w:tcPr>
          <w:p w14:paraId="606C4763"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(8) 6.2%</w:t>
            </w:r>
          </w:p>
        </w:tc>
        <w:tc>
          <w:tcPr>
            <w:tcW w:w="2409" w:type="dxa"/>
            <w:vAlign w:val="center"/>
          </w:tcPr>
          <w:p w14:paraId="34FB9089"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(0)</w:t>
            </w:r>
          </w:p>
        </w:tc>
        <w:tc>
          <w:tcPr>
            <w:tcW w:w="2552" w:type="dxa"/>
            <w:vAlign w:val="center"/>
          </w:tcPr>
          <w:p w14:paraId="31E49D01" w14:textId="0D98E826"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 xml:space="preserve">(8) </w:t>
            </w:r>
            <w:r w:rsidR="00824DF8">
              <w:rPr>
                <w:rFonts w:ascii="Arial" w:hAnsi="Arial" w:cs="Arial"/>
                <w:sz w:val="20"/>
                <w:szCs w:val="20"/>
              </w:rPr>
              <w:t xml:space="preserve">3.2% </w:t>
            </w:r>
          </w:p>
        </w:tc>
      </w:tr>
      <w:tr w:rsidR="00416063" w:rsidRPr="003540F8" w14:paraId="23006BE3" w14:textId="77777777" w:rsidTr="00290FE4">
        <w:trPr>
          <w:trHeight w:val="268"/>
        </w:trPr>
        <w:tc>
          <w:tcPr>
            <w:tcW w:w="9351" w:type="dxa"/>
            <w:gridSpan w:val="4"/>
            <w:vAlign w:val="center"/>
          </w:tcPr>
          <w:p w14:paraId="73446C6C" w14:textId="5FA4814B"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 xml:space="preserve">Food habits </w:t>
            </w:r>
            <w:r w:rsidR="00416063" w:rsidRPr="003540F8">
              <w:rPr>
                <w:rFonts w:ascii="Arial" w:hAnsi="Arial" w:cs="Arial"/>
                <w:b/>
                <w:bCs/>
                <w:sz w:val="20"/>
                <w:szCs w:val="20"/>
              </w:rPr>
              <w:t xml:space="preserve">(n)% </w:t>
            </w:r>
          </w:p>
        </w:tc>
      </w:tr>
      <w:tr w:rsidR="00416063" w:rsidRPr="003540F8" w14:paraId="42CC1480" w14:textId="77777777" w:rsidTr="00824DF8">
        <w:tc>
          <w:tcPr>
            <w:tcW w:w="1980" w:type="dxa"/>
            <w:vAlign w:val="center"/>
          </w:tcPr>
          <w:p w14:paraId="6237B8A8" w14:textId="3646865A"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Vegetarian</w:t>
            </w:r>
          </w:p>
        </w:tc>
        <w:tc>
          <w:tcPr>
            <w:tcW w:w="2410" w:type="dxa"/>
            <w:vAlign w:val="center"/>
          </w:tcPr>
          <w:p w14:paraId="0EB3F308"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(62) 47.7%</w:t>
            </w:r>
          </w:p>
        </w:tc>
        <w:tc>
          <w:tcPr>
            <w:tcW w:w="2409" w:type="dxa"/>
            <w:vAlign w:val="center"/>
          </w:tcPr>
          <w:p w14:paraId="287F1FE6"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(67) 55.9%</w:t>
            </w:r>
          </w:p>
        </w:tc>
        <w:tc>
          <w:tcPr>
            <w:tcW w:w="2552" w:type="dxa"/>
            <w:vAlign w:val="center"/>
          </w:tcPr>
          <w:p w14:paraId="2FF7718E"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(129) 51.6%</w:t>
            </w:r>
          </w:p>
        </w:tc>
      </w:tr>
      <w:tr w:rsidR="00416063" w:rsidRPr="003540F8" w14:paraId="075A8E4A" w14:textId="77777777" w:rsidTr="00824DF8">
        <w:tc>
          <w:tcPr>
            <w:tcW w:w="1980" w:type="dxa"/>
            <w:vAlign w:val="center"/>
          </w:tcPr>
          <w:p w14:paraId="2A3B4A05" w14:textId="018232F3"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Eggetarian</w:t>
            </w:r>
          </w:p>
        </w:tc>
        <w:tc>
          <w:tcPr>
            <w:tcW w:w="2410" w:type="dxa"/>
            <w:vAlign w:val="center"/>
          </w:tcPr>
          <w:p w14:paraId="3F935B49"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(17) 13.08%</w:t>
            </w:r>
          </w:p>
        </w:tc>
        <w:tc>
          <w:tcPr>
            <w:tcW w:w="2409" w:type="dxa"/>
            <w:vAlign w:val="center"/>
          </w:tcPr>
          <w:p w14:paraId="1321E593"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(12) 10%</w:t>
            </w:r>
          </w:p>
        </w:tc>
        <w:tc>
          <w:tcPr>
            <w:tcW w:w="2552" w:type="dxa"/>
            <w:vAlign w:val="center"/>
          </w:tcPr>
          <w:p w14:paraId="1670FB04"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(29) 11.6%</w:t>
            </w:r>
          </w:p>
        </w:tc>
      </w:tr>
      <w:tr w:rsidR="00416063" w:rsidRPr="003540F8" w14:paraId="12C5806C" w14:textId="77777777" w:rsidTr="00824DF8">
        <w:trPr>
          <w:trHeight w:val="108"/>
        </w:trPr>
        <w:tc>
          <w:tcPr>
            <w:tcW w:w="1980" w:type="dxa"/>
            <w:vAlign w:val="center"/>
          </w:tcPr>
          <w:p w14:paraId="38116B73" w14:textId="63417F79" w:rsidR="00416063" w:rsidRPr="003540F8" w:rsidRDefault="00F50843" w:rsidP="00430151">
            <w:pPr>
              <w:spacing w:line="360" w:lineRule="auto"/>
              <w:jc w:val="center"/>
              <w:rPr>
                <w:rFonts w:ascii="Arial" w:hAnsi="Arial" w:cs="Arial"/>
                <w:b/>
                <w:bCs/>
                <w:sz w:val="20"/>
                <w:szCs w:val="20"/>
              </w:rPr>
            </w:pPr>
            <w:r w:rsidRPr="003540F8">
              <w:rPr>
                <w:rFonts w:ascii="Arial" w:hAnsi="Arial" w:cs="Arial"/>
                <w:b/>
                <w:bCs/>
                <w:sz w:val="20"/>
                <w:szCs w:val="20"/>
              </w:rPr>
              <w:t>Non-vegetarian</w:t>
            </w:r>
          </w:p>
        </w:tc>
        <w:tc>
          <w:tcPr>
            <w:tcW w:w="2410" w:type="dxa"/>
            <w:vAlign w:val="center"/>
          </w:tcPr>
          <w:p w14:paraId="0F53E7F5"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(51) 39.3%</w:t>
            </w:r>
          </w:p>
        </w:tc>
        <w:tc>
          <w:tcPr>
            <w:tcW w:w="2409" w:type="dxa"/>
            <w:vAlign w:val="center"/>
          </w:tcPr>
          <w:p w14:paraId="20F658EE"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(41) 34.2%</w:t>
            </w:r>
          </w:p>
        </w:tc>
        <w:tc>
          <w:tcPr>
            <w:tcW w:w="2552" w:type="dxa"/>
            <w:vAlign w:val="center"/>
          </w:tcPr>
          <w:p w14:paraId="25BE5B69" w14:textId="77777777" w:rsidR="00416063" w:rsidRPr="003540F8" w:rsidRDefault="00416063" w:rsidP="00430151">
            <w:pPr>
              <w:spacing w:line="360" w:lineRule="auto"/>
              <w:jc w:val="center"/>
              <w:rPr>
                <w:rFonts w:ascii="Arial" w:hAnsi="Arial" w:cs="Arial"/>
                <w:sz w:val="20"/>
                <w:szCs w:val="20"/>
              </w:rPr>
            </w:pPr>
            <w:r w:rsidRPr="003540F8">
              <w:rPr>
                <w:rFonts w:ascii="Arial" w:hAnsi="Arial" w:cs="Arial"/>
                <w:sz w:val="20"/>
                <w:szCs w:val="20"/>
              </w:rPr>
              <w:t xml:space="preserve">(92) 36.8% </w:t>
            </w:r>
          </w:p>
        </w:tc>
      </w:tr>
    </w:tbl>
    <w:p w14:paraId="3FF0FDD9" w14:textId="793654E4" w:rsidR="000123CC" w:rsidRDefault="000123CC" w:rsidP="0082702D">
      <w:pPr>
        <w:spacing w:before="240" w:line="240" w:lineRule="auto"/>
        <w:jc w:val="both"/>
        <w:rPr>
          <w:rFonts w:ascii="Arial" w:hAnsi="Arial" w:cs="Arial"/>
          <w:sz w:val="20"/>
          <w:szCs w:val="20"/>
        </w:rPr>
      </w:pPr>
      <w:r w:rsidRPr="000123CC">
        <w:rPr>
          <w:rFonts w:ascii="Arial" w:hAnsi="Arial" w:cs="Arial"/>
          <w:sz w:val="20"/>
          <w:szCs w:val="20"/>
        </w:rPr>
        <w:t xml:space="preserve">The demographic data in table 1 represents an investigation </w:t>
      </w:r>
      <w:r w:rsidR="00671414">
        <w:rPr>
          <w:rFonts w:ascii="Arial" w:hAnsi="Arial" w:cs="Arial"/>
          <w:sz w:val="20"/>
          <w:szCs w:val="20"/>
        </w:rPr>
        <w:t>of</w:t>
      </w:r>
      <w:r w:rsidRPr="000123CC">
        <w:rPr>
          <w:rFonts w:ascii="Arial" w:hAnsi="Arial" w:cs="Arial"/>
          <w:sz w:val="20"/>
          <w:szCs w:val="20"/>
        </w:rPr>
        <w:t xml:space="preserve"> the age, gender distribution, marital status, and eating preferences of the population studied. For continuous variables, the data is shown as mean </w:t>
      </w:r>
      <w:r w:rsidR="00B46A52" w:rsidRPr="00B46A52">
        <w:rPr>
          <w:rFonts w:ascii="Arial" w:hAnsi="Arial" w:cs="Arial"/>
          <w:sz w:val="20"/>
          <w:szCs w:val="20"/>
          <w:u w:val="single"/>
        </w:rPr>
        <w:t>+</w:t>
      </w:r>
      <w:r w:rsidRPr="000123CC">
        <w:rPr>
          <w:rFonts w:ascii="Arial" w:hAnsi="Arial" w:cs="Arial"/>
          <w:sz w:val="20"/>
          <w:szCs w:val="20"/>
        </w:rPr>
        <w:t xml:space="preserve"> standard deviation; for categorical variables, it is shown as percentage.</w:t>
      </w:r>
      <w:r w:rsidR="00671414">
        <w:rPr>
          <w:rFonts w:ascii="Arial" w:hAnsi="Arial" w:cs="Arial"/>
          <w:sz w:val="20"/>
          <w:szCs w:val="20"/>
        </w:rPr>
        <w:t xml:space="preserve"> </w:t>
      </w:r>
      <w:r w:rsidRPr="000123CC">
        <w:rPr>
          <w:rFonts w:ascii="Arial" w:hAnsi="Arial" w:cs="Arial"/>
          <w:sz w:val="20"/>
          <w:szCs w:val="20"/>
        </w:rPr>
        <w:t xml:space="preserve">The mean </w:t>
      </w:r>
      <w:r w:rsidRPr="00B46A52">
        <w:rPr>
          <w:rFonts w:ascii="Arial" w:hAnsi="Arial" w:cs="Arial"/>
          <w:sz w:val="20"/>
          <w:szCs w:val="20"/>
          <w:u w:val="single"/>
        </w:rPr>
        <w:t>+</w:t>
      </w:r>
      <w:r w:rsidRPr="000123CC">
        <w:rPr>
          <w:rFonts w:ascii="Arial" w:hAnsi="Arial" w:cs="Arial"/>
          <w:sz w:val="20"/>
          <w:szCs w:val="20"/>
        </w:rPr>
        <w:t xml:space="preserve"> SD age of the participants is approximately </w:t>
      </w:r>
      <w:r w:rsidR="00B46A52">
        <w:rPr>
          <w:rFonts w:ascii="Arial" w:hAnsi="Arial" w:cs="Arial"/>
          <w:sz w:val="20"/>
          <w:szCs w:val="20"/>
        </w:rPr>
        <w:t>(</w:t>
      </w:r>
      <w:r w:rsidRPr="000123CC">
        <w:rPr>
          <w:rFonts w:ascii="Arial" w:hAnsi="Arial" w:cs="Arial"/>
          <w:sz w:val="20"/>
          <w:szCs w:val="20"/>
        </w:rPr>
        <w:t>49.17</w:t>
      </w:r>
      <w:r w:rsidRPr="00B46A52">
        <w:rPr>
          <w:rFonts w:ascii="Arial" w:hAnsi="Arial" w:cs="Arial"/>
          <w:sz w:val="20"/>
          <w:szCs w:val="20"/>
          <w:u w:val="single"/>
        </w:rPr>
        <w:t>+</w:t>
      </w:r>
      <w:r w:rsidRPr="000123CC">
        <w:rPr>
          <w:rFonts w:ascii="Arial" w:hAnsi="Arial" w:cs="Arial"/>
          <w:sz w:val="20"/>
          <w:szCs w:val="20"/>
        </w:rPr>
        <w:t xml:space="preserve">9.99 </w:t>
      </w:r>
      <w:r w:rsidR="00B46A52">
        <w:rPr>
          <w:rFonts w:ascii="Arial" w:hAnsi="Arial" w:cs="Arial"/>
          <w:sz w:val="20"/>
          <w:szCs w:val="20"/>
        </w:rPr>
        <w:t>years)</w:t>
      </w:r>
      <w:r w:rsidRPr="000123CC">
        <w:rPr>
          <w:rFonts w:ascii="Arial" w:hAnsi="Arial" w:cs="Arial"/>
          <w:sz w:val="20"/>
          <w:szCs w:val="20"/>
        </w:rPr>
        <w:t xml:space="preserve"> with males being slightly older (51.5</w:t>
      </w:r>
      <w:r w:rsidRPr="00B46A52">
        <w:rPr>
          <w:rFonts w:ascii="Arial" w:hAnsi="Arial" w:cs="Arial"/>
          <w:sz w:val="20"/>
          <w:szCs w:val="20"/>
          <w:u w:val="single"/>
        </w:rPr>
        <w:t>+</w:t>
      </w:r>
      <w:r w:rsidRPr="000123CC">
        <w:rPr>
          <w:rFonts w:ascii="Arial" w:hAnsi="Arial" w:cs="Arial"/>
          <w:sz w:val="20"/>
          <w:szCs w:val="20"/>
        </w:rPr>
        <w:t>11.82 years) than females (46.6</w:t>
      </w:r>
      <w:r w:rsidRPr="00B46A52">
        <w:rPr>
          <w:rFonts w:ascii="Arial" w:hAnsi="Arial" w:cs="Arial"/>
          <w:sz w:val="20"/>
          <w:szCs w:val="20"/>
          <w:u w:val="single"/>
        </w:rPr>
        <w:t>+</w:t>
      </w:r>
      <w:r w:rsidRPr="000123CC">
        <w:rPr>
          <w:rFonts w:ascii="Arial" w:hAnsi="Arial" w:cs="Arial"/>
          <w:sz w:val="20"/>
          <w:szCs w:val="20"/>
        </w:rPr>
        <w:t>6.79 years) and a wider age spread among males. The sample is 52% men and 48% women, indicating a rather equal representation. The marital status data indicates that a majority of the participants are married, with 93.8% of males and 100% of females being married. No individuals were reported as unmarried or divorced.  While no females are widowed, a small percentage of males (6.2%) are widowers, indicating a minor gender disparity in widowhood within the population being studied.</w:t>
      </w:r>
    </w:p>
    <w:p w14:paraId="71740C0B" w14:textId="1EA1CFF2" w:rsidR="00671414" w:rsidRDefault="00671414" w:rsidP="00EB4E3E">
      <w:pPr>
        <w:spacing w:line="240" w:lineRule="auto"/>
        <w:jc w:val="both"/>
        <w:rPr>
          <w:rFonts w:ascii="Arial" w:hAnsi="Arial" w:cs="Arial"/>
          <w:sz w:val="20"/>
          <w:szCs w:val="20"/>
        </w:rPr>
      </w:pPr>
      <w:r w:rsidRPr="00671414">
        <w:rPr>
          <w:rFonts w:ascii="Arial" w:hAnsi="Arial" w:cs="Arial"/>
          <w:sz w:val="20"/>
          <w:szCs w:val="20"/>
        </w:rPr>
        <w:t>Dietary choices differ among the group in the context of food habits.</w:t>
      </w:r>
      <w:r w:rsidR="004952BA">
        <w:rPr>
          <w:rFonts w:ascii="Arial" w:hAnsi="Arial" w:cs="Arial"/>
          <w:sz w:val="20"/>
          <w:szCs w:val="20"/>
        </w:rPr>
        <w:t xml:space="preserve"> </w:t>
      </w:r>
      <w:r w:rsidRPr="00671414">
        <w:rPr>
          <w:rFonts w:ascii="Arial" w:hAnsi="Arial" w:cs="Arial"/>
          <w:sz w:val="20"/>
          <w:szCs w:val="20"/>
        </w:rPr>
        <w:t>The vegetarian diet is adhered to by slightly more than half of the population (51.6%), with females (55.8%) being slightly more likely to be vegetarians than males (47.7%). The sample is composed of 11.6% eggetarians, with comparable percentages among males (13.08%) and females (10%).</w:t>
      </w:r>
      <w:r>
        <w:rPr>
          <w:rFonts w:ascii="Arial" w:hAnsi="Arial" w:cs="Arial"/>
          <w:sz w:val="20"/>
          <w:szCs w:val="20"/>
        </w:rPr>
        <w:t xml:space="preserve"> </w:t>
      </w:r>
      <w:r w:rsidRPr="00671414">
        <w:rPr>
          <w:rFonts w:ascii="Arial" w:hAnsi="Arial" w:cs="Arial"/>
          <w:sz w:val="20"/>
          <w:szCs w:val="20"/>
        </w:rPr>
        <w:t>36.8% of participants adhere to non-vegetarian diets, with a comparatively greater percentage among males (39.2%) than females (34.2%). The data shows a mostly middle-aged, married population with varied eating habits.</w:t>
      </w:r>
    </w:p>
    <w:p w14:paraId="2F4CD750" w14:textId="77777777" w:rsidR="00A37427" w:rsidRPr="00A37427" w:rsidRDefault="006665D4" w:rsidP="00A37427">
      <w:pPr>
        <w:spacing w:line="240" w:lineRule="auto"/>
        <w:jc w:val="both"/>
        <w:rPr>
          <w:rFonts w:ascii="Arial" w:hAnsi="Arial" w:cs="Arial"/>
          <w:b/>
          <w:bCs/>
          <w:sz w:val="20"/>
          <w:szCs w:val="20"/>
        </w:rPr>
      </w:pPr>
      <w:r w:rsidRPr="003540F8">
        <w:rPr>
          <w:rFonts w:ascii="Arial" w:hAnsi="Arial" w:cs="Arial"/>
          <w:b/>
          <w:bCs/>
          <w:sz w:val="20"/>
          <w:szCs w:val="20"/>
        </w:rPr>
        <w:t xml:space="preserve">Table 2: </w:t>
      </w:r>
      <w:r w:rsidR="00A37427" w:rsidRPr="00A37427">
        <w:rPr>
          <w:rFonts w:ascii="Arial" w:hAnsi="Arial" w:cs="Arial"/>
          <w:b/>
          <w:bCs/>
          <w:sz w:val="20"/>
          <w:szCs w:val="20"/>
        </w:rPr>
        <w:t>Distribution of Socioeconomic Status Among Patients by Percentage.</w:t>
      </w:r>
    </w:p>
    <w:tbl>
      <w:tblPr>
        <w:tblStyle w:val="TableGrid"/>
        <w:tblW w:w="0" w:type="auto"/>
        <w:jc w:val="center"/>
        <w:tblLook w:val="04A0" w:firstRow="1" w:lastRow="0" w:firstColumn="1" w:lastColumn="0" w:noHBand="0" w:noVBand="1"/>
      </w:tblPr>
      <w:tblGrid>
        <w:gridCol w:w="3102"/>
        <w:gridCol w:w="2153"/>
        <w:gridCol w:w="2135"/>
        <w:gridCol w:w="1776"/>
      </w:tblGrid>
      <w:tr w:rsidR="003C2336" w:rsidRPr="003540F8" w14:paraId="7BBFF637" w14:textId="77777777" w:rsidTr="00B43582">
        <w:trPr>
          <w:trHeight w:val="400"/>
          <w:jc w:val="center"/>
        </w:trPr>
        <w:tc>
          <w:tcPr>
            <w:tcW w:w="3102" w:type="dxa"/>
            <w:vAlign w:val="center"/>
          </w:tcPr>
          <w:p w14:paraId="4606420A" w14:textId="2686FC06" w:rsidR="003C2336"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 xml:space="preserve">Socioeconomic status </w:t>
            </w:r>
          </w:p>
        </w:tc>
        <w:tc>
          <w:tcPr>
            <w:tcW w:w="2153" w:type="dxa"/>
            <w:vAlign w:val="center"/>
          </w:tcPr>
          <w:p w14:paraId="79204828" w14:textId="659FACF8" w:rsidR="003C2336"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Male (n) %</w:t>
            </w:r>
          </w:p>
        </w:tc>
        <w:tc>
          <w:tcPr>
            <w:tcW w:w="2135" w:type="dxa"/>
            <w:vAlign w:val="center"/>
          </w:tcPr>
          <w:p w14:paraId="667D0E28" w14:textId="6C5DE082" w:rsidR="003C2336"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Female (n) %</w:t>
            </w:r>
          </w:p>
        </w:tc>
        <w:tc>
          <w:tcPr>
            <w:tcW w:w="1776" w:type="dxa"/>
            <w:vAlign w:val="center"/>
          </w:tcPr>
          <w:p w14:paraId="6694F676" w14:textId="2753BE57" w:rsidR="003C2336"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 xml:space="preserve">Total (n) </w:t>
            </w:r>
            <w:r>
              <w:rPr>
                <w:rFonts w:ascii="Arial" w:hAnsi="Arial" w:cs="Arial"/>
                <w:b/>
                <w:bCs/>
                <w:sz w:val="20"/>
                <w:szCs w:val="20"/>
              </w:rPr>
              <w:t xml:space="preserve">% </w:t>
            </w:r>
          </w:p>
        </w:tc>
      </w:tr>
      <w:tr w:rsidR="003C2336" w:rsidRPr="003540F8" w14:paraId="2D73F769" w14:textId="77777777" w:rsidTr="00B43582">
        <w:trPr>
          <w:trHeight w:val="425"/>
          <w:jc w:val="center"/>
        </w:trPr>
        <w:tc>
          <w:tcPr>
            <w:tcW w:w="3102" w:type="dxa"/>
            <w:vAlign w:val="center"/>
          </w:tcPr>
          <w:p w14:paraId="0E5584A9" w14:textId="75DC1265" w:rsidR="003C2336"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Upper class</w:t>
            </w:r>
          </w:p>
        </w:tc>
        <w:tc>
          <w:tcPr>
            <w:tcW w:w="2153" w:type="dxa"/>
            <w:vAlign w:val="center"/>
          </w:tcPr>
          <w:p w14:paraId="01CEF16F" w14:textId="3BF753B7"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(12)</w:t>
            </w:r>
            <w:r w:rsidR="003540F8">
              <w:rPr>
                <w:rFonts w:ascii="Arial" w:hAnsi="Arial" w:cs="Arial"/>
                <w:sz w:val="20"/>
                <w:szCs w:val="20"/>
              </w:rPr>
              <w:t xml:space="preserve"> </w:t>
            </w:r>
            <w:r w:rsidRPr="003540F8">
              <w:rPr>
                <w:rFonts w:ascii="Arial" w:hAnsi="Arial" w:cs="Arial"/>
                <w:sz w:val="20"/>
                <w:szCs w:val="20"/>
              </w:rPr>
              <w:t>9.2%</w:t>
            </w:r>
          </w:p>
        </w:tc>
        <w:tc>
          <w:tcPr>
            <w:tcW w:w="2135" w:type="dxa"/>
            <w:vAlign w:val="center"/>
          </w:tcPr>
          <w:p w14:paraId="7B10DEFA" w14:textId="4269261A"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(10)</w:t>
            </w:r>
            <w:r w:rsidR="003540F8">
              <w:rPr>
                <w:rFonts w:ascii="Arial" w:hAnsi="Arial" w:cs="Arial"/>
                <w:sz w:val="20"/>
                <w:szCs w:val="20"/>
              </w:rPr>
              <w:t xml:space="preserve"> </w:t>
            </w:r>
            <w:r w:rsidRPr="003540F8">
              <w:rPr>
                <w:rFonts w:ascii="Arial" w:hAnsi="Arial" w:cs="Arial"/>
                <w:sz w:val="20"/>
                <w:szCs w:val="20"/>
              </w:rPr>
              <w:t>8.4%</w:t>
            </w:r>
          </w:p>
        </w:tc>
        <w:tc>
          <w:tcPr>
            <w:tcW w:w="1776" w:type="dxa"/>
            <w:vAlign w:val="center"/>
          </w:tcPr>
          <w:p w14:paraId="51470ABE" w14:textId="26898957"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(22)</w:t>
            </w:r>
            <w:r w:rsidR="003540F8">
              <w:rPr>
                <w:rFonts w:ascii="Arial" w:hAnsi="Arial" w:cs="Arial"/>
                <w:sz w:val="20"/>
                <w:szCs w:val="20"/>
              </w:rPr>
              <w:t xml:space="preserve"> 8.8% </w:t>
            </w:r>
          </w:p>
        </w:tc>
      </w:tr>
      <w:tr w:rsidR="003C2336" w:rsidRPr="003540F8" w14:paraId="4252D47F" w14:textId="77777777" w:rsidTr="00B43582">
        <w:trPr>
          <w:trHeight w:val="400"/>
          <w:jc w:val="center"/>
        </w:trPr>
        <w:tc>
          <w:tcPr>
            <w:tcW w:w="3102" w:type="dxa"/>
            <w:vAlign w:val="center"/>
          </w:tcPr>
          <w:p w14:paraId="54E74F8F" w14:textId="13735456" w:rsidR="003C2336"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Upper middle class</w:t>
            </w:r>
          </w:p>
        </w:tc>
        <w:tc>
          <w:tcPr>
            <w:tcW w:w="2153" w:type="dxa"/>
            <w:vAlign w:val="center"/>
          </w:tcPr>
          <w:p w14:paraId="48E407AD" w14:textId="00B85DE9"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(29)</w:t>
            </w:r>
            <w:r w:rsidR="003540F8">
              <w:rPr>
                <w:rFonts w:ascii="Arial" w:hAnsi="Arial" w:cs="Arial"/>
                <w:sz w:val="20"/>
                <w:szCs w:val="20"/>
              </w:rPr>
              <w:t xml:space="preserve"> </w:t>
            </w:r>
            <w:r w:rsidRPr="003540F8">
              <w:rPr>
                <w:rFonts w:ascii="Arial" w:hAnsi="Arial" w:cs="Arial"/>
                <w:sz w:val="20"/>
                <w:szCs w:val="20"/>
              </w:rPr>
              <w:t>22.3%</w:t>
            </w:r>
          </w:p>
        </w:tc>
        <w:tc>
          <w:tcPr>
            <w:tcW w:w="2135" w:type="dxa"/>
            <w:vAlign w:val="center"/>
          </w:tcPr>
          <w:p w14:paraId="6F0752CF" w14:textId="56E7953A"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(17)</w:t>
            </w:r>
            <w:r w:rsidR="003540F8">
              <w:rPr>
                <w:rFonts w:ascii="Arial" w:hAnsi="Arial" w:cs="Arial"/>
                <w:sz w:val="20"/>
                <w:szCs w:val="20"/>
              </w:rPr>
              <w:t xml:space="preserve"> </w:t>
            </w:r>
            <w:r w:rsidRPr="003540F8">
              <w:rPr>
                <w:rFonts w:ascii="Arial" w:hAnsi="Arial" w:cs="Arial"/>
                <w:sz w:val="20"/>
                <w:szCs w:val="20"/>
              </w:rPr>
              <w:t>14.2%</w:t>
            </w:r>
          </w:p>
        </w:tc>
        <w:tc>
          <w:tcPr>
            <w:tcW w:w="1776" w:type="dxa"/>
            <w:vAlign w:val="center"/>
          </w:tcPr>
          <w:p w14:paraId="0700BCAC" w14:textId="66919F9A"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(46)</w:t>
            </w:r>
            <w:r w:rsidR="003540F8">
              <w:rPr>
                <w:rFonts w:ascii="Arial" w:hAnsi="Arial" w:cs="Arial"/>
                <w:sz w:val="20"/>
                <w:szCs w:val="20"/>
              </w:rPr>
              <w:t xml:space="preserve"> 18.4% </w:t>
            </w:r>
          </w:p>
        </w:tc>
      </w:tr>
      <w:tr w:rsidR="003C2336" w:rsidRPr="003540F8" w14:paraId="5C56FFA3" w14:textId="77777777" w:rsidTr="00B43582">
        <w:trPr>
          <w:trHeight w:val="400"/>
          <w:jc w:val="center"/>
        </w:trPr>
        <w:tc>
          <w:tcPr>
            <w:tcW w:w="3102" w:type="dxa"/>
            <w:vAlign w:val="center"/>
          </w:tcPr>
          <w:p w14:paraId="7EAEE6F2" w14:textId="585C9E97" w:rsidR="003C2336"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Middle class</w:t>
            </w:r>
          </w:p>
        </w:tc>
        <w:tc>
          <w:tcPr>
            <w:tcW w:w="2153" w:type="dxa"/>
            <w:vAlign w:val="center"/>
          </w:tcPr>
          <w:p w14:paraId="16DED7D0" w14:textId="5985E53E"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(55)</w:t>
            </w:r>
            <w:r w:rsidR="003540F8">
              <w:rPr>
                <w:rFonts w:ascii="Arial" w:hAnsi="Arial" w:cs="Arial"/>
                <w:sz w:val="20"/>
                <w:szCs w:val="20"/>
              </w:rPr>
              <w:t xml:space="preserve"> </w:t>
            </w:r>
            <w:r w:rsidRPr="003540F8">
              <w:rPr>
                <w:rFonts w:ascii="Arial" w:hAnsi="Arial" w:cs="Arial"/>
                <w:sz w:val="20"/>
                <w:szCs w:val="20"/>
              </w:rPr>
              <w:t>42.3%</w:t>
            </w:r>
          </w:p>
        </w:tc>
        <w:tc>
          <w:tcPr>
            <w:tcW w:w="2135" w:type="dxa"/>
            <w:vAlign w:val="center"/>
          </w:tcPr>
          <w:p w14:paraId="7E0A10D0" w14:textId="0D54AD7C"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(43)</w:t>
            </w:r>
            <w:r w:rsidR="003540F8">
              <w:rPr>
                <w:rFonts w:ascii="Arial" w:hAnsi="Arial" w:cs="Arial"/>
                <w:sz w:val="20"/>
                <w:szCs w:val="20"/>
              </w:rPr>
              <w:t xml:space="preserve"> </w:t>
            </w:r>
            <w:r w:rsidRPr="003540F8">
              <w:rPr>
                <w:rFonts w:ascii="Arial" w:hAnsi="Arial" w:cs="Arial"/>
                <w:sz w:val="20"/>
                <w:szCs w:val="20"/>
              </w:rPr>
              <w:t>35.9%</w:t>
            </w:r>
          </w:p>
        </w:tc>
        <w:tc>
          <w:tcPr>
            <w:tcW w:w="1776" w:type="dxa"/>
            <w:vAlign w:val="center"/>
          </w:tcPr>
          <w:p w14:paraId="6333FBFD" w14:textId="488892B1"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(98)</w:t>
            </w:r>
            <w:r w:rsidR="003540F8">
              <w:rPr>
                <w:rFonts w:ascii="Arial" w:hAnsi="Arial" w:cs="Arial"/>
                <w:sz w:val="20"/>
                <w:szCs w:val="20"/>
              </w:rPr>
              <w:t xml:space="preserve"> 39.2% </w:t>
            </w:r>
          </w:p>
        </w:tc>
      </w:tr>
      <w:tr w:rsidR="003C2336" w:rsidRPr="003540F8" w14:paraId="1754A4AA" w14:textId="77777777" w:rsidTr="00B43582">
        <w:trPr>
          <w:trHeight w:val="400"/>
          <w:jc w:val="center"/>
        </w:trPr>
        <w:tc>
          <w:tcPr>
            <w:tcW w:w="3102" w:type="dxa"/>
            <w:vAlign w:val="center"/>
          </w:tcPr>
          <w:p w14:paraId="1099EB2E" w14:textId="5F2E76B4" w:rsidR="003C2336"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Upper lower class</w:t>
            </w:r>
          </w:p>
        </w:tc>
        <w:tc>
          <w:tcPr>
            <w:tcW w:w="2153" w:type="dxa"/>
            <w:vAlign w:val="center"/>
          </w:tcPr>
          <w:p w14:paraId="7BE00AD1" w14:textId="54BFB4BF"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(34)</w:t>
            </w:r>
            <w:r w:rsidR="003540F8">
              <w:rPr>
                <w:rFonts w:ascii="Arial" w:hAnsi="Arial" w:cs="Arial"/>
                <w:sz w:val="20"/>
                <w:szCs w:val="20"/>
              </w:rPr>
              <w:t xml:space="preserve"> </w:t>
            </w:r>
            <w:r w:rsidRPr="003540F8">
              <w:rPr>
                <w:rFonts w:ascii="Arial" w:hAnsi="Arial" w:cs="Arial"/>
                <w:sz w:val="20"/>
                <w:szCs w:val="20"/>
              </w:rPr>
              <w:t>26.2%</w:t>
            </w:r>
          </w:p>
        </w:tc>
        <w:tc>
          <w:tcPr>
            <w:tcW w:w="2135" w:type="dxa"/>
            <w:vAlign w:val="center"/>
          </w:tcPr>
          <w:p w14:paraId="5D0BDC39" w14:textId="0490389B"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(45)</w:t>
            </w:r>
            <w:r w:rsidR="003540F8">
              <w:rPr>
                <w:rFonts w:ascii="Arial" w:hAnsi="Arial" w:cs="Arial"/>
                <w:sz w:val="20"/>
                <w:szCs w:val="20"/>
              </w:rPr>
              <w:t xml:space="preserve"> </w:t>
            </w:r>
            <w:r w:rsidRPr="003540F8">
              <w:rPr>
                <w:rFonts w:ascii="Arial" w:hAnsi="Arial" w:cs="Arial"/>
                <w:sz w:val="20"/>
                <w:szCs w:val="20"/>
              </w:rPr>
              <w:t>37.5%</w:t>
            </w:r>
          </w:p>
        </w:tc>
        <w:tc>
          <w:tcPr>
            <w:tcW w:w="1776" w:type="dxa"/>
            <w:vAlign w:val="center"/>
          </w:tcPr>
          <w:p w14:paraId="2B0C70EB" w14:textId="50B7A79D"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(79)</w:t>
            </w:r>
            <w:r w:rsidR="003540F8">
              <w:rPr>
                <w:rFonts w:ascii="Arial" w:hAnsi="Arial" w:cs="Arial"/>
                <w:sz w:val="20"/>
                <w:szCs w:val="20"/>
              </w:rPr>
              <w:t xml:space="preserve"> 31.6% </w:t>
            </w:r>
          </w:p>
        </w:tc>
      </w:tr>
      <w:tr w:rsidR="003C2336" w:rsidRPr="003540F8" w14:paraId="7D38E8A4" w14:textId="77777777" w:rsidTr="00B43582">
        <w:trPr>
          <w:trHeight w:val="425"/>
          <w:jc w:val="center"/>
        </w:trPr>
        <w:tc>
          <w:tcPr>
            <w:tcW w:w="3102" w:type="dxa"/>
            <w:vAlign w:val="center"/>
          </w:tcPr>
          <w:p w14:paraId="253DD790" w14:textId="78380AE8" w:rsidR="003C2336"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 xml:space="preserve">Lower class </w:t>
            </w:r>
          </w:p>
        </w:tc>
        <w:tc>
          <w:tcPr>
            <w:tcW w:w="2153" w:type="dxa"/>
            <w:vAlign w:val="center"/>
          </w:tcPr>
          <w:p w14:paraId="508385EE" w14:textId="77777777"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0</w:t>
            </w:r>
          </w:p>
        </w:tc>
        <w:tc>
          <w:tcPr>
            <w:tcW w:w="2135" w:type="dxa"/>
            <w:vAlign w:val="center"/>
          </w:tcPr>
          <w:p w14:paraId="60B5D466" w14:textId="2BD83B85"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(5)</w:t>
            </w:r>
            <w:r w:rsidR="003540F8">
              <w:rPr>
                <w:rFonts w:ascii="Arial" w:hAnsi="Arial" w:cs="Arial"/>
                <w:sz w:val="20"/>
                <w:szCs w:val="20"/>
              </w:rPr>
              <w:t xml:space="preserve"> </w:t>
            </w:r>
            <w:r w:rsidRPr="003540F8">
              <w:rPr>
                <w:rFonts w:ascii="Arial" w:hAnsi="Arial" w:cs="Arial"/>
                <w:sz w:val="20"/>
                <w:szCs w:val="20"/>
              </w:rPr>
              <w:t>4.2%</w:t>
            </w:r>
          </w:p>
        </w:tc>
        <w:tc>
          <w:tcPr>
            <w:tcW w:w="1776" w:type="dxa"/>
            <w:vAlign w:val="center"/>
          </w:tcPr>
          <w:p w14:paraId="3AA23E32" w14:textId="21472BD4"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(5)</w:t>
            </w:r>
            <w:r w:rsidR="003540F8">
              <w:rPr>
                <w:rFonts w:ascii="Arial" w:hAnsi="Arial" w:cs="Arial"/>
                <w:sz w:val="20"/>
                <w:szCs w:val="20"/>
              </w:rPr>
              <w:t xml:space="preserve"> 2% </w:t>
            </w:r>
          </w:p>
        </w:tc>
      </w:tr>
      <w:tr w:rsidR="003C2336" w:rsidRPr="003540F8" w14:paraId="5C771463" w14:textId="77777777" w:rsidTr="00B43582">
        <w:trPr>
          <w:trHeight w:val="400"/>
          <w:jc w:val="center"/>
        </w:trPr>
        <w:tc>
          <w:tcPr>
            <w:tcW w:w="3102" w:type="dxa"/>
            <w:vAlign w:val="center"/>
          </w:tcPr>
          <w:p w14:paraId="0B41CBAD" w14:textId="4C946D8D" w:rsidR="003C2336"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Total</w:t>
            </w:r>
          </w:p>
        </w:tc>
        <w:tc>
          <w:tcPr>
            <w:tcW w:w="2153" w:type="dxa"/>
            <w:vAlign w:val="center"/>
          </w:tcPr>
          <w:p w14:paraId="762F5521" w14:textId="687111AB"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(130)</w:t>
            </w:r>
            <w:r w:rsidR="003540F8">
              <w:rPr>
                <w:rFonts w:ascii="Arial" w:hAnsi="Arial" w:cs="Arial"/>
                <w:sz w:val="20"/>
                <w:szCs w:val="20"/>
              </w:rPr>
              <w:t xml:space="preserve"> </w:t>
            </w:r>
            <w:r w:rsidRPr="003540F8">
              <w:rPr>
                <w:rFonts w:ascii="Arial" w:hAnsi="Arial" w:cs="Arial"/>
                <w:sz w:val="20"/>
                <w:szCs w:val="20"/>
              </w:rPr>
              <w:t>100%</w:t>
            </w:r>
          </w:p>
        </w:tc>
        <w:tc>
          <w:tcPr>
            <w:tcW w:w="2135" w:type="dxa"/>
            <w:vAlign w:val="center"/>
          </w:tcPr>
          <w:p w14:paraId="10E1D66A" w14:textId="21703369"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(120)</w:t>
            </w:r>
            <w:r w:rsidR="003540F8">
              <w:rPr>
                <w:rFonts w:ascii="Arial" w:hAnsi="Arial" w:cs="Arial"/>
                <w:sz w:val="20"/>
                <w:szCs w:val="20"/>
              </w:rPr>
              <w:t xml:space="preserve"> </w:t>
            </w:r>
            <w:r w:rsidRPr="003540F8">
              <w:rPr>
                <w:rFonts w:ascii="Arial" w:hAnsi="Arial" w:cs="Arial"/>
                <w:sz w:val="20"/>
                <w:szCs w:val="20"/>
              </w:rPr>
              <w:t>100%</w:t>
            </w:r>
          </w:p>
        </w:tc>
        <w:tc>
          <w:tcPr>
            <w:tcW w:w="1776" w:type="dxa"/>
            <w:vAlign w:val="center"/>
          </w:tcPr>
          <w:p w14:paraId="42EB6B10" w14:textId="77777777" w:rsidR="003C2336" w:rsidRPr="003540F8" w:rsidRDefault="003C2336" w:rsidP="00430151">
            <w:pPr>
              <w:spacing w:line="360" w:lineRule="auto"/>
              <w:jc w:val="center"/>
              <w:rPr>
                <w:rFonts w:ascii="Arial" w:hAnsi="Arial" w:cs="Arial"/>
                <w:sz w:val="20"/>
                <w:szCs w:val="20"/>
              </w:rPr>
            </w:pPr>
            <w:r w:rsidRPr="003540F8">
              <w:rPr>
                <w:rFonts w:ascii="Arial" w:hAnsi="Arial" w:cs="Arial"/>
                <w:sz w:val="20"/>
                <w:szCs w:val="20"/>
              </w:rPr>
              <w:t>100%</w:t>
            </w:r>
          </w:p>
        </w:tc>
      </w:tr>
    </w:tbl>
    <w:p w14:paraId="4792EF29" w14:textId="77777777" w:rsidR="007A3033" w:rsidRPr="003540F8" w:rsidRDefault="007A3033" w:rsidP="00EB4E3E">
      <w:pPr>
        <w:spacing w:line="240" w:lineRule="auto"/>
        <w:jc w:val="both"/>
        <w:rPr>
          <w:rFonts w:ascii="Arial" w:hAnsi="Arial" w:cs="Arial"/>
          <w:sz w:val="20"/>
          <w:szCs w:val="20"/>
        </w:rPr>
      </w:pPr>
    </w:p>
    <w:p w14:paraId="21DBE57E" w14:textId="2EEF15F4" w:rsidR="00671414" w:rsidRDefault="00671414" w:rsidP="00EB4E3E">
      <w:pPr>
        <w:spacing w:line="240" w:lineRule="auto"/>
        <w:jc w:val="both"/>
        <w:rPr>
          <w:rFonts w:ascii="Arial" w:hAnsi="Arial" w:cs="Arial"/>
          <w:sz w:val="20"/>
          <w:szCs w:val="20"/>
        </w:rPr>
      </w:pPr>
      <w:r w:rsidRPr="00671414">
        <w:rPr>
          <w:rFonts w:ascii="Arial" w:hAnsi="Arial" w:cs="Arial"/>
          <w:sz w:val="20"/>
          <w:szCs w:val="20"/>
        </w:rPr>
        <w:t>The data in table 2 indicates an equal distribution of socioeconomic status (SES) between males and females, despite the existence of gender disparities. The middle class, which makes up 42.3% of m</w:t>
      </w:r>
      <w:r w:rsidR="00B46A52">
        <w:rPr>
          <w:rFonts w:ascii="Arial" w:hAnsi="Arial" w:cs="Arial"/>
          <w:sz w:val="20"/>
          <w:szCs w:val="20"/>
        </w:rPr>
        <w:t>ales</w:t>
      </w:r>
      <w:r w:rsidRPr="00671414">
        <w:rPr>
          <w:rFonts w:ascii="Arial" w:hAnsi="Arial" w:cs="Arial"/>
          <w:sz w:val="20"/>
          <w:szCs w:val="20"/>
        </w:rPr>
        <w:t xml:space="preserve"> and 35.9% of </w:t>
      </w:r>
      <w:r w:rsidR="00B46A52">
        <w:rPr>
          <w:rFonts w:ascii="Arial" w:hAnsi="Arial" w:cs="Arial"/>
          <w:sz w:val="20"/>
          <w:szCs w:val="20"/>
        </w:rPr>
        <w:t>females</w:t>
      </w:r>
      <w:r w:rsidRPr="00671414">
        <w:rPr>
          <w:rFonts w:ascii="Arial" w:hAnsi="Arial" w:cs="Arial"/>
          <w:sz w:val="20"/>
          <w:szCs w:val="20"/>
        </w:rPr>
        <w:t xml:space="preserve">, remains the largest group for both sexes, suggesting that a notable share of both populations fits this profile. Compared to 8.4% and 14.2% of women, respectively, men are notably greater in the upper and upper-middle classes, with 9.2% in the upper class and a significant 22.3% in the upper-middle class. This implies that guys are more probable to fit higher SES groups. On the other hand, </w:t>
      </w:r>
      <w:r w:rsidR="00B46A52">
        <w:rPr>
          <w:rFonts w:ascii="Arial" w:hAnsi="Arial" w:cs="Arial"/>
          <w:sz w:val="20"/>
          <w:szCs w:val="20"/>
        </w:rPr>
        <w:t>females</w:t>
      </w:r>
      <w:r w:rsidRPr="00671414">
        <w:rPr>
          <w:rFonts w:ascii="Arial" w:hAnsi="Arial" w:cs="Arial"/>
          <w:sz w:val="20"/>
          <w:szCs w:val="20"/>
        </w:rPr>
        <w:t xml:space="preserve"> are more common in the upper-lower and lower classes; 37.5% are in the upper-lower class and 4.2% are in the lower class, as opposed to 26.2% and 0% of m</w:t>
      </w:r>
      <w:r w:rsidR="00B46A52">
        <w:rPr>
          <w:rFonts w:ascii="Arial" w:hAnsi="Arial" w:cs="Arial"/>
          <w:sz w:val="20"/>
          <w:szCs w:val="20"/>
        </w:rPr>
        <w:t>ales</w:t>
      </w:r>
      <w:r w:rsidRPr="00671414">
        <w:rPr>
          <w:rFonts w:ascii="Arial" w:hAnsi="Arial" w:cs="Arial"/>
          <w:sz w:val="20"/>
          <w:szCs w:val="20"/>
        </w:rPr>
        <w:t xml:space="preserve">, respectively. This suggests that </w:t>
      </w:r>
      <w:r w:rsidR="00B46A52">
        <w:rPr>
          <w:rFonts w:ascii="Arial" w:hAnsi="Arial" w:cs="Arial"/>
          <w:sz w:val="20"/>
          <w:szCs w:val="20"/>
        </w:rPr>
        <w:t>females</w:t>
      </w:r>
      <w:r w:rsidRPr="00671414">
        <w:rPr>
          <w:rFonts w:ascii="Arial" w:hAnsi="Arial" w:cs="Arial"/>
          <w:sz w:val="20"/>
          <w:szCs w:val="20"/>
        </w:rPr>
        <w:t xml:space="preserve"> are more prone to suffer socioeconomic disadvantage.</w:t>
      </w:r>
    </w:p>
    <w:p w14:paraId="47720A21" w14:textId="7A7021A1" w:rsidR="00D73D49" w:rsidRPr="003540F8" w:rsidRDefault="00D73D49" w:rsidP="00EB4E3E">
      <w:pPr>
        <w:spacing w:line="240" w:lineRule="auto"/>
        <w:jc w:val="both"/>
        <w:rPr>
          <w:rFonts w:ascii="Arial" w:hAnsi="Arial" w:cs="Arial"/>
          <w:b/>
          <w:bCs/>
          <w:sz w:val="20"/>
          <w:szCs w:val="20"/>
        </w:rPr>
      </w:pPr>
      <w:r w:rsidRPr="003540F8">
        <w:rPr>
          <w:rFonts w:ascii="Arial" w:hAnsi="Arial" w:cs="Arial"/>
          <w:b/>
          <w:bCs/>
          <w:sz w:val="20"/>
          <w:szCs w:val="20"/>
        </w:rPr>
        <w:lastRenderedPageBreak/>
        <w:t>Table</w:t>
      </w:r>
      <w:r w:rsidR="00797221" w:rsidRPr="003540F8">
        <w:rPr>
          <w:rFonts w:ascii="Arial" w:hAnsi="Arial" w:cs="Arial"/>
          <w:b/>
          <w:bCs/>
          <w:sz w:val="20"/>
          <w:szCs w:val="20"/>
        </w:rPr>
        <w:t xml:space="preserve"> </w:t>
      </w:r>
      <w:r w:rsidRPr="003540F8">
        <w:rPr>
          <w:rFonts w:ascii="Arial" w:hAnsi="Arial" w:cs="Arial"/>
          <w:b/>
          <w:bCs/>
          <w:sz w:val="20"/>
          <w:szCs w:val="20"/>
        </w:rPr>
        <w:t xml:space="preserve">3: </w:t>
      </w:r>
      <w:r w:rsidR="00A37427" w:rsidRPr="00A37427">
        <w:rPr>
          <w:rFonts w:ascii="Arial" w:hAnsi="Arial" w:cs="Arial"/>
          <w:b/>
          <w:bCs/>
          <w:sz w:val="20"/>
          <w:szCs w:val="20"/>
        </w:rPr>
        <w:t>Means and Standard Deviations of Biochemical Parameters and Anthropometric Measurements.</w:t>
      </w:r>
    </w:p>
    <w:tbl>
      <w:tblPr>
        <w:tblStyle w:val="TableGrid"/>
        <w:tblW w:w="9368" w:type="dxa"/>
        <w:tblLook w:val="04A0" w:firstRow="1" w:lastRow="0" w:firstColumn="1" w:lastColumn="0" w:noHBand="0" w:noVBand="1"/>
      </w:tblPr>
      <w:tblGrid>
        <w:gridCol w:w="2547"/>
        <w:gridCol w:w="1984"/>
        <w:gridCol w:w="1695"/>
        <w:gridCol w:w="2054"/>
        <w:gridCol w:w="1088"/>
      </w:tblGrid>
      <w:tr w:rsidR="008B384D" w:rsidRPr="003540F8" w14:paraId="4A50F55E" w14:textId="77777777" w:rsidTr="00A37427">
        <w:trPr>
          <w:trHeight w:val="379"/>
        </w:trPr>
        <w:tc>
          <w:tcPr>
            <w:tcW w:w="2547" w:type="dxa"/>
            <w:vAlign w:val="center"/>
          </w:tcPr>
          <w:p w14:paraId="26258050" w14:textId="3775C78F" w:rsidR="008B384D" w:rsidRPr="003540F8" w:rsidRDefault="00A37427" w:rsidP="00430151">
            <w:pPr>
              <w:spacing w:line="360" w:lineRule="auto"/>
              <w:jc w:val="center"/>
              <w:rPr>
                <w:rFonts w:ascii="Arial" w:hAnsi="Arial" w:cs="Arial"/>
                <w:b/>
                <w:bCs/>
                <w:sz w:val="20"/>
                <w:szCs w:val="20"/>
              </w:rPr>
            </w:pPr>
            <w:r>
              <w:rPr>
                <w:rFonts w:ascii="Arial" w:hAnsi="Arial" w:cs="Arial"/>
                <w:b/>
                <w:bCs/>
                <w:sz w:val="20"/>
                <w:szCs w:val="20"/>
              </w:rPr>
              <w:t xml:space="preserve">Variables </w:t>
            </w:r>
          </w:p>
        </w:tc>
        <w:tc>
          <w:tcPr>
            <w:tcW w:w="1984" w:type="dxa"/>
            <w:vAlign w:val="center"/>
          </w:tcPr>
          <w:p w14:paraId="07B854A8" w14:textId="54E83D9E" w:rsidR="008B384D"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Male</w:t>
            </w:r>
          </w:p>
        </w:tc>
        <w:tc>
          <w:tcPr>
            <w:tcW w:w="1695" w:type="dxa"/>
            <w:vAlign w:val="center"/>
          </w:tcPr>
          <w:p w14:paraId="45947178" w14:textId="09ED75FC" w:rsidR="008B384D"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Female</w:t>
            </w:r>
          </w:p>
        </w:tc>
        <w:tc>
          <w:tcPr>
            <w:tcW w:w="2054" w:type="dxa"/>
            <w:vAlign w:val="center"/>
          </w:tcPr>
          <w:p w14:paraId="6AD1EA86" w14:textId="61433FD0" w:rsidR="008B384D" w:rsidRPr="003540F8" w:rsidRDefault="003540F8" w:rsidP="00430151">
            <w:pPr>
              <w:spacing w:line="360" w:lineRule="auto"/>
              <w:jc w:val="center"/>
              <w:rPr>
                <w:rFonts w:ascii="Arial" w:hAnsi="Arial" w:cs="Arial"/>
                <w:b/>
                <w:bCs/>
                <w:sz w:val="20"/>
                <w:szCs w:val="20"/>
              </w:rPr>
            </w:pPr>
            <w:r w:rsidRPr="003540F8">
              <w:rPr>
                <w:rFonts w:ascii="Arial" w:hAnsi="Arial" w:cs="Arial"/>
                <w:b/>
                <w:bCs/>
                <w:sz w:val="20"/>
                <w:szCs w:val="20"/>
              </w:rPr>
              <w:t>Total</w:t>
            </w:r>
          </w:p>
        </w:tc>
        <w:tc>
          <w:tcPr>
            <w:tcW w:w="1088" w:type="dxa"/>
          </w:tcPr>
          <w:p w14:paraId="121F0008" w14:textId="340FA4AA" w:rsidR="008B384D" w:rsidRPr="003540F8" w:rsidRDefault="00555ABC" w:rsidP="00430151">
            <w:pPr>
              <w:spacing w:line="360" w:lineRule="auto"/>
              <w:jc w:val="center"/>
              <w:rPr>
                <w:rFonts w:ascii="Arial" w:hAnsi="Arial" w:cs="Arial"/>
                <w:b/>
                <w:bCs/>
                <w:sz w:val="20"/>
                <w:szCs w:val="20"/>
              </w:rPr>
            </w:pPr>
            <w:r w:rsidRPr="003540F8">
              <w:rPr>
                <w:rFonts w:ascii="Arial" w:hAnsi="Arial" w:cs="Arial"/>
                <w:b/>
                <w:bCs/>
                <w:sz w:val="20"/>
                <w:szCs w:val="20"/>
              </w:rPr>
              <w:t>P</w:t>
            </w:r>
            <w:r w:rsidR="00B8022B" w:rsidRPr="003540F8">
              <w:rPr>
                <w:rFonts w:ascii="Arial" w:hAnsi="Arial" w:cs="Arial"/>
                <w:b/>
                <w:bCs/>
                <w:sz w:val="20"/>
                <w:szCs w:val="20"/>
              </w:rPr>
              <w:t>-</w:t>
            </w:r>
            <w:r w:rsidR="007C3495" w:rsidRPr="003540F8">
              <w:rPr>
                <w:rFonts w:ascii="Arial" w:hAnsi="Arial" w:cs="Arial"/>
                <w:b/>
                <w:bCs/>
                <w:sz w:val="20"/>
                <w:szCs w:val="20"/>
              </w:rPr>
              <w:t>value</w:t>
            </w:r>
          </w:p>
        </w:tc>
      </w:tr>
      <w:tr w:rsidR="00522401" w:rsidRPr="003540F8" w14:paraId="3C5DB969" w14:textId="77777777" w:rsidTr="00A37427">
        <w:trPr>
          <w:trHeight w:val="349"/>
        </w:trPr>
        <w:tc>
          <w:tcPr>
            <w:tcW w:w="8280" w:type="dxa"/>
            <w:gridSpan w:val="4"/>
            <w:vAlign w:val="center"/>
          </w:tcPr>
          <w:p w14:paraId="2115A395" w14:textId="5AEBDBAA" w:rsidR="00522401" w:rsidRPr="003540F8" w:rsidRDefault="003540F8" w:rsidP="00430151">
            <w:pPr>
              <w:spacing w:line="360" w:lineRule="auto"/>
              <w:jc w:val="center"/>
              <w:rPr>
                <w:rFonts w:ascii="Arial" w:hAnsi="Arial" w:cs="Arial"/>
                <w:sz w:val="20"/>
                <w:szCs w:val="20"/>
              </w:rPr>
            </w:pPr>
            <w:r w:rsidRPr="003540F8">
              <w:rPr>
                <w:rFonts w:ascii="Arial" w:hAnsi="Arial" w:cs="Arial"/>
                <w:b/>
                <w:bCs/>
                <w:sz w:val="20"/>
                <w:szCs w:val="20"/>
              </w:rPr>
              <w:t xml:space="preserve">Anthropometric </w:t>
            </w:r>
            <w:r w:rsidR="00A37427">
              <w:rPr>
                <w:rFonts w:ascii="Arial" w:hAnsi="Arial" w:cs="Arial"/>
                <w:b/>
                <w:bCs/>
                <w:sz w:val="20"/>
                <w:szCs w:val="20"/>
              </w:rPr>
              <w:t xml:space="preserve">measurements </w:t>
            </w:r>
          </w:p>
        </w:tc>
        <w:tc>
          <w:tcPr>
            <w:tcW w:w="1088" w:type="dxa"/>
          </w:tcPr>
          <w:p w14:paraId="56314CD7" w14:textId="77777777" w:rsidR="00522401" w:rsidRPr="003540F8" w:rsidRDefault="00522401" w:rsidP="00430151">
            <w:pPr>
              <w:spacing w:line="360" w:lineRule="auto"/>
              <w:jc w:val="center"/>
              <w:rPr>
                <w:rFonts w:ascii="Arial" w:hAnsi="Arial" w:cs="Arial"/>
                <w:sz w:val="20"/>
                <w:szCs w:val="20"/>
              </w:rPr>
            </w:pPr>
          </w:p>
        </w:tc>
      </w:tr>
      <w:tr w:rsidR="00D73D49" w:rsidRPr="003540F8" w14:paraId="77B1D905" w14:textId="77777777" w:rsidTr="00A37427">
        <w:trPr>
          <w:trHeight w:val="379"/>
        </w:trPr>
        <w:tc>
          <w:tcPr>
            <w:tcW w:w="2547" w:type="dxa"/>
            <w:vAlign w:val="center"/>
          </w:tcPr>
          <w:p w14:paraId="16EC0120" w14:textId="5393BDB5" w:rsidR="00D73D49" w:rsidRPr="003540F8" w:rsidRDefault="00D73D49" w:rsidP="00430151">
            <w:pPr>
              <w:spacing w:line="360" w:lineRule="auto"/>
              <w:jc w:val="center"/>
              <w:rPr>
                <w:rFonts w:ascii="Arial" w:hAnsi="Arial" w:cs="Arial"/>
                <w:sz w:val="20"/>
                <w:szCs w:val="20"/>
              </w:rPr>
            </w:pPr>
            <w:r w:rsidRPr="003540F8">
              <w:rPr>
                <w:rFonts w:ascii="Arial" w:hAnsi="Arial" w:cs="Arial"/>
                <w:b/>
                <w:bCs/>
                <w:sz w:val="20"/>
                <w:szCs w:val="20"/>
              </w:rPr>
              <w:t>BMI</w:t>
            </w:r>
            <w:r w:rsidR="00C35035" w:rsidRPr="003540F8">
              <w:rPr>
                <w:rFonts w:ascii="Arial" w:hAnsi="Arial" w:cs="Arial"/>
                <w:b/>
                <w:bCs/>
                <w:sz w:val="20"/>
                <w:szCs w:val="20"/>
              </w:rPr>
              <w:t xml:space="preserve"> (kg/m</w:t>
            </w:r>
            <w:r w:rsidR="00C35035" w:rsidRPr="003540F8">
              <w:rPr>
                <w:rFonts w:ascii="Arial" w:hAnsi="Arial" w:cs="Arial"/>
                <w:b/>
                <w:bCs/>
                <w:sz w:val="20"/>
                <w:szCs w:val="20"/>
                <w:vertAlign w:val="superscript"/>
              </w:rPr>
              <w:t>2</w:t>
            </w:r>
            <w:r w:rsidR="00C35035" w:rsidRPr="003540F8">
              <w:rPr>
                <w:rFonts w:ascii="Arial" w:hAnsi="Arial" w:cs="Arial"/>
                <w:b/>
                <w:bCs/>
                <w:sz w:val="20"/>
                <w:szCs w:val="20"/>
              </w:rPr>
              <w:t>)</w:t>
            </w:r>
          </w:p>
        </w:tc>
        <w:tc>
          <w:tcPr>
            <w:tcW w:w="1984" w:type="dxa"/>
            <w:vAlign w:val="center"/>
          </w:tcPr>
          <w:p w14:paraId="76F3F114"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26.3</w:t>
            </w:r>
            <w:r w:rsidRPr="003540F8">
              <w:rPr>
                <w:rFonts w:ascii="Arial" w:hAnsi="Arial" w:cs="Arial"/>
                <w:sz w:val="20"/>
                <w:szCs w:val="20"/>
                <w:u w:val="single"/>
              </w:rPr>
              <w:t>+</w:t>
            </w:r>
            <w:r w:rsidRPr="003540F8">
              <w:rPr>
                <w:rFonts w:ascii="Arial" w:hAnsi="Arial" w:cs="Arial"/>
                <w:sz w:val="20"/>
                <w:szCs w:val="20"/>
              </w:rPr>
              <w:t>3.3</w:t>
            </w:r>
          </w:p>
        </w:tc>
        <w:tc>
          <w:tcPr>
            <w:tcW w:w="1695" w:type="dxa"/>
            <w:vAlign w:val="center"/>
          </w:tcPr>
          <w:p w14:paraId="07747EE9"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27.8</w:t>
            </w:r>
            <w:r w:rsidRPr="003540F8">
              <w:rPr>
                <w:rFonts w:ascii="Arial" w:hAnsi="Arial" w:cs="Arial"/>
                <w:sz w:val="20"/>
                <w:szCs w:val="20"/>
                <w:u w:val="single"/>
              </w:rPr>
              <w:t>+</w:t>
            </w:r>
            <w:r w:rsidRPr="003540F8">
              <w:rPr>
                <w:rFonts w:ascii="Arial" w:hAnsi="Arial" w:cs="Arial"/>
                <w:sz w:val="20"/>
                <w:szCs w:val="20"/>
              </w:rPr>
              <w:t>6.04</w:t>
            </w:r>
          </w:p>
        </w:tc>
        <w:tc>
          <w:tcPr>
            <w:tcW w:w="2054" w:type="dxa"/>
            <w:vAlign w:val="center"/>
          </w:tcPr>
          <w:p w14:paraId="1B3560D3"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27</w:t>
            </w:r>
            <w:r w:rsidRPr="003540F8">
              <w:rPr>
                <w:rFonts w:ascii="Arial" w:hAnsi="Arial" w:cs="Arial"/>
                <w:sz w:val="20"/>
                <w:szCs w:val="20"/>
                <w:u w:val="single"/>
              </w:rPr>
              <w:t>+</w:t>
            </w:r>
            <w:r w:rsidRPr="00A37427">
              <w:rPr>
                <w:rFonts w:ascii="Arial" w:hAnsi="Arial" w:cs="Arial"/>
                <w:sz w:val="20"/>
                <w:szCs w:val="20"/>
              </w:rPr>
              <w:t>4.9</w:t>
            </w:r>
          </w:p>
        </w:tc>
        <w:tc>
          <w:tcPr>
            <w:tcW w:w="1088" w:type="dxa"/>
          </w:tcPr>
          <w:p w14:paraId="69D0509F" w14:textId="748BBB75" w:rsidR="00D73D49" w:rsidRPr="003540F8" w:rsidRDefault="007D052B" w:rsidP="00430151">
            <w:pPr>
              <w:spacing w:line="360" w:lineRule="auto"/>
              <w:jc w:val="center"/>
              <w:rPr>
                <w:rFonts w:ascii="Arial" w:hAnsi="Arial" w:cs="Arial"/>
                <w:sz w:val="20"/>
                <w:szCs w:val="20"/>
              </w:rPr>
            </w:pPr>
            <w:r w:rsidRPr="003540F8">
              <w:rPr>
                <w:rFonts w:ascii="Arial" w:hAnsi="Arial" w:cs="Arial"/>
                <w:sz w:val="20"/>
                <w:szCs w:val="20"/>
              </w:rPr>
              <w:t>0.000</w:t>
            </w:r>
          </w:p>
        </w:tc>
      </w:tr>
      <w:tr w:rsidR="00D73D49" w:rsidRPr="003540F8" w14:paraId="7A34B504" w14:textId="77777777" w:rsidTr="00A37427">
        <w:trPr>
          <w:trHeight w:val="349"/>
        </w:trPr>
        <w:tc>
          <w:tcPr>
            <w:tcW w:w="2547" w:type="dxa"/>
            <w:vAlign w:val="center"/>
          </w:tcPr>
          <w:p w14:paraId="7CDF9F48" w14:textId="4D6C461C" w:rsidR="00D73D49" w:rsidRPr="003540F8" w:rsidRDefault="003540F8" w:rsidP="00430151">
            <w:pPr>
              <w:spacing w:line="360" w:lineRule="auto"/>
              <w:jc w:val="center"/>
              <w:rPr>
                <w:rFonts w:ascii="Arial" w:hAnsi="Arial" w:cs="Arial"/>
                <w:sz w:val="20"/>
                <w:szCs w:val="20"/>
              </w:rPr>
            </w:pPr>
            <w:r w:rsidRPr="003540F8">
              <w:rPr>
                <w:rFonts w:ascii="Arial" w:hAnsi="Arial" w:cs="Arial"/>
                <w:b/>
                <w:bCs/>
                <w:sz w:val="20"/>
                <w:szCs w:val="20"/>
              </w:rPr>
              <w:t>W</w:t>
            </w:r>
            <w:r>
              <w:rPr>
                <w:rFonts w:ascii="Arial" w:hAnsi="Arial" w:cs="Arial"/>
                <w:b/>
                <w:bCs/>
                <w:sz w:val="20"/>
                <w:szCs w:val="20"/>
              </w:rPr>
              <w:t>HR</w:t>
            </w:r>
          </w:p>
        </w:tc>
        <w:tc>
          <w:tcPr>
            <w:tcW w:w="1984" w:type="dxa"/>
            <w:vAlign w:val="center"/>
          </w:tcPr>
          <w:p w14:paraId="29EE80C6" w14:textId="1B44D311"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1.0</w:t>
            </w:r>
            <w:r w:rsidRPr="003540F8">
              <w:rPr>
                <w:rFonts w:ascii="Arial" w:hAnsi="Arial" w:cs="Arial"/>
                <w:sz w:val="20"/>
                <w:szCs w:val="20"/>
                <w:u w:val="single"/>
              </w:rPr>
              <w:t>+</w:t>
            </w:r>
            <w:r w:rsidRPr="003540F8">
              <w:rPr>
                <w:rFonts w:ascii="Arial" w:hAnsi="Arial" w:cs="Arial"/>
                <w:sz w:val="20"/>
                <w:szCs w:val="20"/>
              </w:rPr>
              <w:t>0.54</w:t>
            </w:r>
          </w:p>
        </w:tc>
        <w:tc>
          <w:tcPr>
            <w:tcW w:w="1695" w:type="dxa"/>
            <w:vAlign w:val="center"/>
          </w:tcPr>
          <w:p w14:paraId="3DCEE9E5"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1.02</w:t>
            </w:r>
            <w:r w:rsidRPr="003540F8">
              <w:rPr>
                <w:rFonts w:ascii="Arial" w:hAnsi="Arial" w:cs="Arial"/>
                <w:sz w:val="20"/>
                <w:szCs w:val="20"/>
                <w:u w:val="single"/>
              </w:rPr>
              <w:t>+</w:t>
            </w:r>
            <w:r w:rsidRPr="003540F8">
              <w:rPr>
                <w:rFonts w:ascii="Arial" w:hAnsi="Arial" w:cs="Arial"/>
                <w:sz w:val="20"/>
                <w:szCs w:val="20"/>
              </w:rPr>
              <w:t>0.08</w:t>
            </w:r>
          </w:p>
        </w:tc>
        <w:tc>
          <w:tcPr>
            <w:tcW w:w="2054" w:type="dxa"/>
            <w:vAlign w:val="center"/>
          </w:tcPr>
          <w:p w14:paraId="45EFD859"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1.01</w:t>
            </w:r>
            <w:r w:rsidRPr="003540F8">
              <w:rPr>
                <w:rFonts w:ascii="Arial" w:hAnsi="Arial" w:cs="Arial"/>
                <w:sz w:val="20"/>
                <w:szCs w:val="20"/>
                <w:u w:val="single"/>
              </w:rPr>
              <w:t>+</w:t>
            </w:r>
            <w:r w:rsidRPr="003540F8">
              <w:rPr>
                <w:rFonts w:ascii="Arial" w:hAnsi="Arial" w:cs="Arial"/>
                <w:sz w:val="20"/>
                <w:szCs w:val="20"/>
              </w:rPr>
              <w:t>0.07</w:t>
            </w:r>
          </w:p>
        </w:tc>
        <w:tc>
          <w:tcPr>
            <w:tcW w:w="1088" w:type="dxa"/>
          </w:tcPr>
          <w:p w14:paraId="1D4BA63A" w14:textId="496742AE" w:rsidR="00D73D49" w:rsidRPr="003540F8" w:rsidRDefault="00504F70" w:rsidP="00430151">
            <w:pPr>
              <w:spacing w:line="360" w:lineRule="auto"/>
              <w:jc w:val="center"/>
              <w:rPr>
                <w:rFonts w:ascii="Arial" w:hAnsi="Arial" w:cs="Arial"/>
                <w:sz w:val="20"/>
                <w:szCs w:val="20"/>
              </w:rPr>
            </w:pPr>
            <w:r w:rsidRPr="003540F8">
              <w:rPr>
                <w:rFonts w:ascii="Arial" w:hAnsi="Arial" w:cs="Arial"/>
                <w:sz w:val="20"/>
                <w:szCs w:val="20"/>
              </w:rPr>
              <w:t>0.000</w:t>
            </w:r>
          </w:p>
        </w:tc>
      </w:tr>
      <w:tr w:rsidR="00D73D49" w:rsidRPr="003540F8" w14:paraId="0AEF4EE6" w14:textId="77777777" w:rsidTr="00A37427">
        <w:trPr>
          <w:trHeight w:val="379"/>
        </w:trPr>
        <w:tc>
          <w:tcPr>
            <w:tcW w:w="8280" w:type="dxa"/>
            <w:gridSpan w:val="4"/>
            <w:vAlign w:val="center"/>
          </w:tcPr>
          <w:p w14:paraId="53115243" w14:textId="3100D31E" w:rsidR="00D73D49" w:rsidRPr="003540F8" w:rsidRDefault="003540F8" w:rsidP="00430151">
            <w:pPr>
              <w:spacing w:line="360" w:lineRule="auto"/>
              <w:jc w:val="center"/>
              <w:rPr>
                <w:rFonts w:ascii="Arial" w:hAnsi="Arial" w:cs="Arial"/>
                <w:sz w:val="20"/>
                <w:szCs w:val="20"/>
              </w:rPr>
            </w:pPr>
            <w:r w:rsidRPr="003540F8">
              <w:rPr>
                <w:rFonts w:ascii="Arial" w:hAnsi="Arial" w:cs="Arial"/>
                <w:b/>
                <w:bCs/>
                <w:sz w:val="20"/>
                <w:szCs w:val="20"/>
              </w:rPr>
              <w:t xml:space="preserve">Biochemical </w:t>
            </w:r>
            <w:r w:rsidR="00A37427">
              <w:rPr>
                <w:rFonts w:ascii="Arial" w:hAnsi="Arial" w:cs="Arial"/>
                <w:b/>
                <w:bCs/>
                <w:sz w:val="20"/>
                <w:szCs w:val="20"/>
              </w:rPr>
              <w:t xml:space="preserve">parameters </w:t>
            </w:r>
          </w:p>
        </w:tc>
        <w:tc>
          <w:tcPr>
            <w:tcW w:w="1088" w:type="dxa"/>
          </w:tcPr>
          <w:p w14:paraId="5A8DBF43" w14:textId="77777777" w:rsidR="00D73D49" w:rsidRPr="003540F8" w:rsidRDefault="00D73D49" w:rsidP="00430151">
            <w:pPr>
              <w:spacing w:line="360" w:lineRule="auto"/>
              <w:jc w:val="center"/>
              <w:rPr>
                <w:rFonts w:ascii="Arial" w:hAnsi="Arial" w:cs="Arial"/>
                <w:b/>
                <w:bCs/>
                <w:sz w:val="20"/>
                <w:szCs w:val="20"/>
              </w:rPr>
            </w:pPr>
          </w:p>
        </w:tc>
      </w:tr>
      <w:tr w:rsidR="00D73D49" w:rsidRPr="003540F8" w14:paraId="3D8C158A" w14:textId="77777777" w:rsidTr="00A37427">
        <w:trPr>
          <w:trHeight w:val="349"/>
        </w:trPr>
        <w:tc>
          <w:tcPr>
            <w:tcW w:w="2547" w:type="dxa"/>
            <w:vAlign w:val="center"/>
          </w:tcPr>
          <w:p w14:paraId="19B29411" w14:textId="44A62101" w:rsidR="00D73D49" w:rsidRPr="003540F8" w:rsidRDefault="003540F8" w:rsidP="00430151">
            <w:pPr>
              <w:spacing w:line="360" w:lineRule="auto"/>
              <w:jc w:val="center"/>
              <w:rPr>
                <w:rFonts w:ascii="Arial" w:hAnsi="Arial" w:cs="Arial"/>
                <w:sz w:val="20"/>
                <w:szCs w:val="20"/>
              </w:rPr>
            </w:pPr>
            <w:r w:rsidRPr="003540F8">
              <w:rPr>
                <w:rFonts w:ascii="Arial" w:hAnsi="Arial" w:cs="Arial"/>
                <w:b/>
                <w:bCs/>
                <w:sz w:val="20"/>
                <w:szCs w:val="20"/>
              </w:rPr>
              <w:t>F</w:t>
            </w:r>
            <w:r>
              <w:rPr>
                <w:rFonts w:ascii="Arial" w:hAnsi="Arial" w:cs="Arial"/>
                <w:b/>
                <w:bCs/>
                <w:sz w:val="20"/>
                <w:szCs w:val="20"/>
              </w:rPr>
              <w:t>asting BG</w:t>
            </w:r>
            <w:r w:rsidR="00A37427">
              <w:rPr>
                <w:rFonts w:ascii="Arial" w:hAnsi="Arial" w:cs="Arial"/>
                <w:b/>
                <w:bCs/>
                <w:sz w:val="20"/>
                <w:szCs w:val="20"/>
              </w:rPr>
              <w:t xml:space="preserve"> (mg/dl)</w:t>
            </w:r>
          </w:p>
        </w:tc>
        <w:tc>
          <w:tcPr>
            <w:tcW w:w="1984" w:type="dxa"/>
            <w:vAlign w:val="center"/>
          </w:tcPr>
          <w:p w14:paraId="72E700BA"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177.6</w:t>
            </w:r>
            <w:r w:rsidRPr="003540F8">
              <w:rPr>
                <w:rFonts w:ascii="Arial" w:hAnsi="Arial" w:cs="Arial"/>
                <w:sz w:val="20"/>
                <w:szCs w:val="20"/>
                <w:u w:val="single"/>
              </w:rPr>
              <w:t>+</w:t>
            </w:r>
            <w:r w:rsidRPr="003540F8">
              <w:rPr>
                <w:rFonts w:ascii="Arial" w:hAnsi="Arial" w:cs="Arial"/>
                <w:sz w:val="20"/>
                <w:szCs w:val="20"/>
              </w:rPr>
              <w:t>35.4</w:t>
            </w:r>
          </w:p>
        </w:tc>
        <w:tc>
          <w:tcPr>
            <w:tcW w:w="1695" w:type="dxa"/>
            <w:vAlign w:val="center"/>
          </w:tcPr>
          <w:p w14:paraId="2313D463"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198.9</w:t>
            </w:r>
            <w:r w:rsidRPr="003540F8">
              <w:rPr>
                <w:rFonts w:ascii="Arial" w:hAnsi="Arial" w:cs="Arial"/>
                <w:sz w:val="20"/>
                <w:szCs w:val="20"/>
                <w:u w:val="single"/>
              </w:rPr>
              <w:t>+</w:t>
            </w:r>
            <w:r w:rsidRPr="003540F8">
              <w:rPr>
                <w:rFonts w:ascii="Arial" w:hAnsi="Arial" w:cs="Arial"/>
                <w:sz w:val="20"/>
                <w:szCs w:val="20"/>
              </w:rPr>
              <w:t>64</w:t>
            </w:r>
          </w:p>
        </w:tc>
        <w:tc>
          <w:tcPr>
            <w:tcW w:w="2054" w:type="dxa"/>
            <w:vAlign w:val="center"/>
          </w:tcPr>
          <w:p w14:paraId="4AC79455"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187.8</w:t>
            </w:r>
            <w:r w:rsidRPr="003540F8">
              <w:rPr>
                <w:rFonts w:ascii="Arial" w:hAnsi="Arial" w:cs="Arial"/>
                <w:sz w:val="20"/>
                <w:szCs w:val="20"/>
                <w:u w:val="single"/>
              </w:rPr>
              <w:t>+</w:t>
            </w:r>
            <w:r w:rsidRPr="003540F8">
              <w:rPr>
                <w:rFonts w:ascii="Arial" w:hAnsi="Arial" w:cs="Arial"/>
                <w:sz w:val="20"/>
                <w:szCs w:val="20"/>
              </w:rPr>
              <w:t>52</w:t>
            </w:r>
          </w:p>
        </w:tc>
        <w:tc>
          <w:tcPr>
            <w:tcW w:w="1088" w:type="dxa"/>
          </w:tcPr>
          <w:p w14:paraId="65926DD3" w14:textId="207E2A96" w:rsidR="00D73D49" w:rsidRPr="003540F8" w:rsidRDefault="007E35FC" w:rsidP="00430151">
            <w:pPr>
              <w:spacing w:line="360" w:lineRule="auto"/>
              <w:jc w:val="center"/>
              <w:rPr>
                <w:rFonts w:ascii="Arial" w:hAnsi="Arial" w:cs="Arial"/>
                <w:sz w:val="20"/>
                <w:szCs w:val="20"/>
              </w:rPr>
            </w:pPr>
            <w:r w:rsidRPr="003540F8">
              <w:rPr>
                <w:rFonts w:ascii="Arial" w:hAnsi="Arial" w:cs="Arial"/>
                <w:sz w:val="20"/>
                <w:szCs w:val="20"/>
              </w:rPr>
              <w:t>0.034</w:t>
            </w:r>
          </w:p>
        </w:tc>
      </w:tr>
      <w:tr w:rsidR="00D73D49" w:rsidRPr="003540F8" w14:paraId="719085C2" w14:textId="77777777" w:rsidTr="00A37427">
        <w:trPr>
          <w:trHeight w:val="379"/>
        </w:trPr>
        <w:tc>
          <w:tcPr>
            <w:tcW w:w="2547" w:type="dxa"/>
            <w:vAlign w:val="center"/>
          </w:tcPr>
          <w:p w14:paraId="42231976" w14:textId="6CE453CA" w:rsidR="00D73D49" w:rsidRPr="003540F8" w:rsidRDefault="003540F8" w:rsidP="00430151">
            <w:pPr>
              <w:spacing w:line="360" w:lineRule="auto"/>
              <w:jc w:val="center"/>
              <w:rPr>
                <w:rFonts w:ascii="Arial" w:hAnsi="Arial" w:cs="Arial"/>
                <w:sz w:val="20"/>
                <w:szCs w:val="20"/>
              </w:rPr>
            </w:pPr>
            <w:r w:rsidRPr="003540F8">
              <w:rPr>
                <w:rFonts w:ascii="Arial" w:hAnsi="Arial" w:cs="Arial"/>
                <w:b/>
                <w:bCs/>
                <w:sz w:val="20"/>
                <w:szCs w:val="20"/>
              </w:rPr>
              <w:t>P</w:t>
            </w:r>
            <w:r>
              <w:rPr>
                <w:rFonts w:ascii="Arial" w:hAnsi="Arial" w:cs="Arial"/>
                <w:b/>
                <w:bCs/>
                <w:sz w:val="20"/>
                <w:szCs w:val="20"/>
              </w:rPr>
              <w:t>ostprandial BG</w:t>
            </w:r>
            <w:r w:rsidR="00A37427">
              <w:rPr>
                <w:rFonts w:ascii="Arial" w:hAnsi="Arial" w:cs="Arial"/>
                <w:b/>
                <w:bCs/>
                <w:sz w:val="20"/>
                <w:szCs w:val="20"/>
              </w:rPr>
              <w:t xml:space="preserve"> (mg/dl)</w:t>
            </w:r>
          </w:p>
        </w:tc>
        <w:tc>
          <w:tcPr>
            <w:tcW w:w="1984" w:type="dxa"/>
            <w:vAlign w:val="center"/>
          </w:tcPr>
          <w:p w14:paraId="5794A4E6"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256</w:t>
            </w:r>
            <w:r w:rsidRPr="003540F8">
              <w:rPr>
                <w:rFonts w:ascii="Arial" w:hAnsi="Arial" w:cs="Arial"/>
                <w:sz w:val="20"/>
                <w:szCs w:val="20"/>
                <w:u w:val="single"/>
              </w:rPr>
              <w:t>+</w:t>
            </w:r>
            <w:r w:rsidRPr="003540F8">
              <w:rPr>
                <w:rFonts w:ascii="Arial" w:hAnsi="Arial" w:cs="Arial"/>
                <w:sz w:val="20"/>
                <w:szCs w:val="20"/>
              </w:rPr>
              <w:t>60.1</w:t>
            </w:r>
          </w:p>
        </w:tc>
        <w:tc>
          <w:tcPr>
            <w:tcW w:w="1695" w:type="dxa"/>
            <w:vAlign w:val="center"/>
          </w:tcPr>
          <w:p w14:paraId="7C86EE02"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276.6</w:t>
            </w:r>
            <w:r w:rsidRPr="003540F8">
              <w:rPr>
                <w:rFonts w:ascii="Arial" w:hAnsi="Arial" w:cs="Arial"/>
                <w:sz w:val="20"/>
                <w:szCs w:val="20"/>
                <w:u w:val="single"/>
              </w:rPr>
              <w:t>+</w:t>
            </w:r>
            <w:r w:rsidRPr="003540F8">
              <w:rPr>
                <w:rFonts w:ascii="Arial" w:hAnsi="Arial" w:cs="Arial"/>
                <w:sz w:val="20"/>
                <w:szCs w:val="20"/>
              </w:rPr>
              <w:t>62.8</w:t>
            </w:r>
          </w:p>
        </w:tc>
        <w:tc>
          <w:tcPr>
            <w:tcW w:w="2054" w:type="dxa"/>
            <w:vAlign w:val="center"/>
          </w:tcPr>
          <w:p w14:paraId="5F65B67D"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265.9</w:t>
            </w:r>
            <w:r w:rsidRPr="003540F8">
              <w:rPr>
                <w:rFonts w:ascii="Arial" w:hAnsi="Arial" w:cs="Arial"/>
                <w:sz w:val="20"/>
                <w:szCs w:val="20"/>
                <w:u w:val="single"/>
              </w:rPr>
              <w:t>+</w:t>
            </w:r>
            <w:r w:rsidRPr="003540F8">
              <w:rPr>
                <w:rFonts w:ascii="Arial" w:hAnsi="Arial" w:cs="Arial"/>
                <w:sz w:val="20"/>
                <w:szCs w:val="20"/>
              </w:rPr>
              <w:t>62</w:t>
            </w:r>
          </w:p>
        </w:tc>
        <w:tc>
          <w:tcPr>
            <w:tcW w:w="1088" w:type="dxa"/>
          </w:tcPr>
          <w:p w14:paraId="5C16CBAD" w14:textId="00DD847B" w:rsidR="00D73D49" w:rsidRPr="003540F8" w:rsidRDefault="00DD4DDD" w:rsidP="00430151">
            <w:pPr>
              <w:spacing w:line="360" w:lineRule="auto"/>
              <w:jc w:val="center"/>
              <w:rPr>
                <w:rFonts w:ascii="Arial" w:hAnsi="Arial" w:cs="Arial"/>
                <w:sz w:val="20"/>
                <w:szCs w:val="20"/>
              </w:rPr>
            </w:pPr>
            <w:r w:rsidRPr="003540F8">
              <w:rPr>
                <w:rFonts w:ascii="Arial" w:hAnsi="Arial" w:cs="Arial"/>
                <w:sz w:val="20"/>
                <w:szCs w:val="20"/>
              </w:rPr>
              <w:t>0.904</w:t>
            </w:r>
          </w:p>
        </w:tc>
      </w:tr>
      <w:tr w:rsidR="00D73D49" w:rsidRPr="003540F8" w14:paraId="65B4ADF5" w14:textId="77777777" w:rsidTr="00A37427">
        <w:trPr>
          <w:trHeight w:val="379"/>
        </w:trPr>
        <w:tc>
          <w:tcPr>
            <w:tcW w:w="2547" w:type="dxa"/>
            <w:vAlign w:val="center"/>
          </w:tcPr>
          <w:p w14:paraId="5068627B" w14:textId="27B094D4" w:rsidR="00D73D49" w:rsidRPr="003540F8" w:rsidRDefault="003540F8" w:rsidP="00430151">
            <w:pPr>
              <w:spacing w:line="360" w:lineRule="auto"/>
              <w:jc w:val="center"/>
              <w:rPr>
                <w:rFonts w:ascii="Arial" w:hAnsi="Arial" w:cs="Arial"/>
                <w:sz w:val="20"/>
                <w:szCs w:val="20"/>
              </w:rPr>
            </w:pPr>
            <w:r w:rsidRPr="003540F8">
              <w:rPr>
                <w:rFonts w:ascii="Arial" w:hAnsi="Arial" w:cs="Arial"/>
                <w:b/>
                <w:bCs/>
                <w:sz w:val="20"/>
                <w:szCs w:val="20"/>
              </w:rPr>
              <w:t>Hb</w:t>
            </w:r>
            <w:r>
              <w:rPr>
                <w:rFonts w:ascii="Arial" w:hAnsi="Arial" w:cs="Arial"/>
                <w:b/>
                <w:bCs/>
                <w:sz w:val="20"/>
                <w:szCs w:val="20"/>
              </w:rPr>
              <w:t>A</w:t>
            </w:r>
            <w:r w:rsidRPr="003540F8">
              <w:rPr>
                <w:rFonts w:ascii="Arial" w:hAnsi="Arial" w:cs="Arial"/>
                <w:b/>
                <w:bCs/>
                <w:sz w:val="20"/>
                <w:szCs w:val="20"/>
              </w:rPr>
              <w:t>1</w:t>
            </w:r>
            <w:r>
              <w:rPr>
                <w:rFonts w:ascii="Arial" w:hAnsi="Arial" w:cs="Arial"/>
                <w:b/>
                <w:bCs/>
                <w:sz w:val="20"/>
                <w:szCs w:val="20"/>
              </w:rPr>
              <w:t>C</w:t>
            </w:r>
            <w:r w:rsidR="00A37427">
              <w:rPr>
                <w:rFonts w:ascii="Arial" w:hAnsi="Arial" w:cs="Arial"/>
                <w:b/>
                <w:bCs/>
                <w:sz w:val="20"/>
                <w:szCs w:val="20"/>
              </w:rPr>
              <w:t xml:space="preserve"> (%)</w:t>
            </w:r>
          </w:p>
        </w:tc>
        <w:tc>
          <w:tcPr>
            <w:tcW w:w="1984" w:type="dxa"/>
            <w:vAlign w:val="center"/>
          </w:tcPr>
          <w:p w14:paraId="4F96DE07"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9.1</w:t>
            </w:r>
            <w:r w:rsidRPr="003540F8">
              <w:rPr>
                <w:rFonts w:ascii="Arial" w:hAnsi="Arial" w:cs="Arial"/>
                <w:sz w:val="20"/>
                <w:szCs w:val="20"/>
                <w:u w:val="single"/>
              </w:rPr>
              <w:t>+</w:t>
            </w:r>
            <w:r w:rsidRPr="003540F8">
              <w:rPr>
                <w:rFonts w:ascii="Arial" w:hAnsi="Arial" w:cs="Arial"/>
                <w:sz w:val="20"/>
                <w:szCs w:val="20"/>
              </w:rPr>
              <w:t>1.3</w:t>
            </w:r>
          </w:p>
        </w:tc>
        <w:tc>
          <w:tcPr>
            <w:tcW w:w="1695" w:type="dxa"/>
            <w:vAlign w:val="center"/>
          </w:tcPr>
          <w:p w14:paraId="69D0881C"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9.7</w:t>
            </w:r>
            <w:r w:rsidRPr="003540F8">
              <w:rPr>
                <w:rFonts w:ascii="Arial" w:hAnsi="Arial" w:cs="Arial"/>
                <w:sz w:val="20"/>
                <w:szCs w:val="20"/>
                <w:u w:val="single"/>
              </w:rPr>
              <w:t>+</w:t>
            </w:r>
            <w:r w:rsidRPr="003540F8">
              <w:rPr>
                <w:rFonts w:ascii="Arial" w:hAnsi="Arial" w:cs="Arial"/>
                <w:sz w:val="20"/>
                <w:szCs w:val="20"/>
              </w:rPr>
              <w:t>1.6</w:t>
            </w:r>
          </w:p>
        </w:tc>
        <w:tc>
          <w:tcPr>
            <w:tcW w:w="2054" w:type="dxa"/>
            <w:vAlign w:val="center"/>
          </w:tcPr>
          <w:p w14:paraId="000284A6" w14:textId="77777777" w:rsidR="00D73D49" w:rsidRPr="003540F8" w:rsidRDefault="00D73D49" w:rsidP="00430151">
            <w:pPr>
              <w:spacing w:line="360" w:lineRule="auto"/>
              <w:jc w:val="center"/>
              <w:rPr>
                <w:rFonts w:ascii="Arial" w:hAnsi="Arial" w:cs="Arial"/>
                <w:sz w:val="20"/>
                <w:szCs w:val="20"/>
              </w:rPr>
            </w:pPr>
            <w:r w:rsidRPr="003540F8">
              <w:rPr>
                <w:rFonts w:ascii="Arial" w:hAnsi="Arial" w:cs="Arial"/>
                <w:sz w:val="20"/>
                <w:szCs w:val="20"/>
              </w:rPr>
              <w:t>9.4</w:t>
            </w:r>
            <w:r w:rsidRPr="003540F8">
              <w:rPr>
                <w:rFonts w:ascii="Arial" w:hAnsi="Arial" w:cs="Arial"/>
                <w:sz w:val="20"/>
                <w:szCs w:val="20"/>
                <w:u w:val="single"/>
              </w:rPr>
              <w:t>+</w:t>
            </w:r>
            <w:r w:rsidRPr="003540F8">
              <w:rPr>
                <w:rFonts w:ascii="Arial" w:hAnsi="Arial" w:cs="Arial"/>
                <w:sz w:val="20"/>
                <w:szCs w:val="20"/>
              </w:rPr>
              <w:t>1.5</w:t>
            </w:r>
          </w:p>
        </w:tc>
        <w:tc>
          <w:tcPr>
            <w:tcW w:w="1088" w:type="dxa"/>
          </w:tcPr>
          <w:p w14:paraId="7BA78C0C" w14:textId="020B0CF2" w:rsidR="00D73D49" w:rsidRPr="003540F8" w:rsidRDefault="009E7F55" w:rsidP="00430151">
            <w:pPr>
              <w:spacing w:line="360" w:lineRule="auto"/>
              <w:jc w:val="center"/>
              <w:rPr>
                <w:rFonts w:ascii="Arial" w:hAnsi="Arial" w:cs="Arial"/>
                <w:sz w:val="20"/>
                <w:szCs w:val="20"/>
              </w:rPr>
            </w:pPr>
            <w:r w:rsidRPr="003540F8">
              <w:rPr>
                <w:rFonts w:ascii="Arial" w:hAnsi="Arial" w:cs="Arial"/>
                <w:sz w:val="20"/>
                <w:szCs w:val="20"/>
              </w:rPr>
              <w:t>0.325</w:t>
            </w:r>
          </w:p>
        </w:tc>
      </w:tr>
    </w:tbl>
    <w:p w14:paraId="02DFFED5" w14:textId="67440529" w:rsidR="0082702D" w:rsidRDefault="0082702D" w:rsidP="0082702D">
      <w:pPr>
        <w:spacing w:before="240" w:line="240" w:lineRule="auto"/>
        <w:jc w:val="both"/>
        <w:rPr>
          <w:rFonts w:ascii="Arial" w:hAnsi="Arial" w:cs="Arial"/>
          <w:sz w:val="20"/>
          <w:szCs w:val="20"/>
        </w:rPr>
      </w:pPr>
      <w:r w:rsidRPr="0082702D">
        <w:rPr>
          <w:rFonts w:ascii="Arial" w:hAnsi="Arial" w:cs="Arial"/>
          <w:sz w:val="20"/>
          <w:szCs w:val="20"/>
        </w:rPr>
        <w:t xml:space="preserve">The data in Table 3 exhibits significant disparities between male and female respondents in a variety of anthropometric and biochemical parameters. With </w:t>
      </w:r>
      <w:r w:rsidR="00B46A52">
        <w:rPr>
          <w:rFonts w:ascii="Arial" w:hAnsi="Arial" w:cs="Arial"/>
          <w:sz w:val="20"/>
          <w:szCs w:val="20"/>
        </w:rPr>
        <w:t>females</w:t>
      </w:r>
      <w:r w:rsidRPr="0082702D">
        <w:rPr>
          <w:rFonts w:ascii="Arial" w:hAnsi="Arial" w:cs="Arial"/>
          <w:sz w:val="20"/>
          <w:szCs w:val="20"/>
        </w:rPr>
        <w:t xml:space="preserve"> (27.8 ± 6.04) computing higher than m</w:t>
      </w:r>
      <w:r w:rsidR="00B46A52">
        <w:rPr>
          <w:rFonts w:ascii="Arial" w:hAnsi="Arial" w:cs="Arial"/>
          <w:sz w:val="20"/>
          <w:szCs w:val="20"/>
        </w:rPr>
        <w:t>ales</w:t>
      </w:r>
      <w:r w:rsidRPr="0082702D">
        <w:rPr>
          <w:rFonts w:ascii="Arial" w:hAnsi="Arial" w:cs="Arial"/>
          <w:sz w:val="20"/>
          <w:szCs w:val="20"/>
        </w:rPr>
        <w:t xml:space="preserve"> (26.3 ± 3.3), the mean BMI for all participants was 27 ± 4.9 kg/m², a difference that was highly significant (p = 0.000). </w:t>
      </w:r>
      <w:r w:rsidR="00B46A52">
        <w:rPr>
          <w:rFonts w:ascii="Arial" w:hAnsi="Arial" w:cs="Arial"/>
          <w:sz w:val="20"/>
          <w:szCs w:val="20"/>
        </w:rPr>
        <w:t>Females</w:t>
      </w:r>
      <w:r w:rsidRPr="0082702D">
        <w:rPr>
          <w:rFonts w:ascii="Arial" w:hAnsi="Arial" w:cs="Arial"/>
          <w:sz w:val="20"/>
          <w:szCs w:val="20"/>
        </w:rPr>
        <w:t xml:space="preserve"> (1.02 ± 0.08) had a </w:t>
      </w:r>
      <w:r w:rsidR="004952BA">
        <w:rPr>
          <w:rFonts w:ascii="Arial" w:hAnsi="Arial" w:cs="Arial"/>
          <w:sz w:val="20"/>
          <w:szCs w:val="20"/>
        </w:rPr>
        <w:t>slightly</w:t>
      </w:r>
      <w:r w:rsidRPr="0082702D">
        <w:rPr>
          <w:rFonts w:ascii="Arial" w:hAnsi="Arial" w:cs="Arial"/>
          <w:sz w:val="20"/>
          <w:szCs w:val="20"/>
        </w:rPr>
        <w:t xml:space="preserve"> greater waist-to-hip ratio than m</w:t>
      </w:r>
      <w:r w:rsidR="00B46A52">
        <w:rPr>
          <w:rFonts w:ascii="Arial" w:hAnsi="Arial" w:cs="Arial"/>
          <w:sz w:val="20"/>
          <w:szCs w:val="20"/>
        </w:rPr>
        <w:t>ales</w:t>
      </w:r>
      <w:r w:rsidRPr="0082702D">
        <w:rPr>
          <w:rFonts w:ascii="Arial" w:hAnsi="Arial" w:cs="Arial"/>
          <w:sz w:val="20"/>
          <w:szCs w:val="20"/>
        </w:rPr>
        <w:t xml:space="preserve"> (1.0 ± 0.54), and this difference was also statistically relevant (p = 0.000). Biochemical data show that </w:t>
      </w:r>
      <w:r w:rsidR="00B46A52">
        <w:rPr>
          <w:rFonts w:ascii="Arial" w:hAnsi="Arial" w:cs="Arial"/>
          <w:sz w:val="20"/>
          <w:szCs w:val="20"/>
        </w:rPr>
        <w:t>females</w:t>
      </w:r>
      <w:r w:rsidRPr="0082702D">
        <w:rPr>
          <w:rFonts w:ascii="Arial" w:hAnsi="Arial" w:cs="Arial"/>
          <w:sz w:val="20"/>
          <w:szCs w:val="20"/>
        </w:rPr>
        <w:t xml:space="preserve"> (198.9 ± 64 mg/dL) had far higher fasting blood glucose (FBG) levels than m</w:t>
      </w:r>
      <w:r w:rsidR="00B46A52">
        <w:rPr>
          <w:rFonts w:ascii="Arial" w:hAnsi="Arial" w:cs="Arial"/>
          <w:sz w:val="20"/>
          <w:szCs w:val="20"/>
        </w:rPr>
        <w:t>ales</w:t>
      </w:r>
      <w:r w:rsidRPr="0082702D">
        <w:rPr>
          <w:rFonts w:ascii="Arial" w:hAnsi="Arial" w:cs="Arial"/>
          <w:sz w:val="20"/>
          <w:szCs w:val="20"/>
        </w:rPr>
        <w:t xml:space="preserve"> (177.6 ± 35.4 mg/dL), with a P-value of 0.034 suggesting statistical significance.</w:t>
      </w:r>
      <w:r w:rsidR="004952BA">
        <w:rPr>
          <w:rFonts w:ascii="Arial" w:hAnsi="Arial" w:cs="Arial"/>
          <w:sz w:val="20"/>
          <w:szCs w:val="20"/>
        </w:rPr>
        <w:t xml:space="preserve"> </w:t>
      </w:r>
      <w:r w:rsidRPr="0082702D">
        <w:rPr>
          <w:rFonts w:ascii="Arial" w:hAnsi="Arial" w:cs="Arial"/>
          <w:sz w:val="20"/>
          <w:szCs w:val="20"/>
        </w:rPr>
        <w:t xml:space="preserve">Though </w:t>
      </w:r>
      <w:r w:rsidR="00B46A52">
        <w:rPr>
          <w:rFonts w:ascii="Arial" w:hAnsi="Arial" w:cs="Arial"/>
          <w:sz w:val="20"/>
          <w:szCs w:val="20"/>
        </w:rPr>
        <w:t>females</w:t>
      </w:r>
      <w:r w:rsidRPr="0082702D">
        <w:rPr>
          <w:rFonts w:ascii="Arial" w:hAnsi="Arial" w:cs="Arial"/>
          <w:sz w:val="20"/>
          <w:szCs w:val="20"/>
        </w:rPr>
        <w:t xml:space="preserve"> had somewhat higher averages in both, no notable gender differences were seen in postprandial blood glucose (PPBG) and HbA1c values. PPBG and HbA1c had P-values of 0.904 and 0.325, respectively, suggesting the differences were not statistically relevant.</w:t>
      </w:r>
    </w:p>
    <w:p w14:paraId="6C5A4BEC" w14:textId="00B85ACD" w:rsidR="00952D2F" w:rsidRPr="003540F8" w:rsidRDefault="00952D2F" w:rsidP="00EB4E3E">
      <w:pPr>
        <w:spacing w:line="240" w:lineRule="auto"/>
        <w:jc w:val="both"/>
        <w:rPr>
          <w:rFonts w:ascii="Arial" w:hAnsi="Arial" w:cs="Arial"/>
          <w:b/>
          <w:bCs/>
          <w:sz w:val="20"/>
          <w:szCs w:val="20"/>
        </w:rPr>
      </w:pPr>
      <w:r w:rsidRPr="003540F8">
        <w:rPr>
          <w:rFonts w:ascii="Arial" w:hAnsi="Arial" w:cs="Arial"/>
          <w:b/>
          <w:bCs/>
          <w:sz w:val="20"/>
          <w:szCs w:val="20"/>
        </w:rPr>
        <w:t xml:space="preserve">Figure </w:t>
      </w:r>
      <w:r w:rsidR="00053D5C" w:rsidRPr="003540F8">
        <w:rPr>
          <w:rFonts w:ascii="Arial" w:hAnsi="Arial" w:cs="Arial"/>
          <w:b/>
          <w:bCs/>
          <w:sz w:val="20"/>
          <w:szCs w:val="20"/>
        </w:rPr>
        <w:t>1</w:t>
      </w:r>
      <w:r w:rsidR="007B7C62" w:rsidRPr="003540F8">
        <w:rPr>
          <w:rFonts w:ascii="Arial" w:hAnsi="Arial" w:cs="Arial"/>
          <w:b/>
          <w:bCs/>
          <w:sz w:val="20"/>
          <w:szCs w:val="20"/>
        </w:rPr>
        <w:t>:</w:t>
      </w:r>
      <w:r w:rsidRPr="003540F8">
        <w:rPr>
          <w:rFonts w:ascii="Arial" w:hAnsi="Arial" w:cs="Arial"/>
          <w:b/>
          <w:bCs/>
          <w:sz w:val="20"/>
          <w:szCs w:val="20"/>
        </w:rPr>
        <w:t xml:space="preserve"> </w:t>
      </w:r>
      <w:r w:rsidR="008A0208" w:rsidRPr="003540F8">
        <w:rPr>
          <w:rFonts w:ascii="Arial" w:hAnsi="Arial" w:cs="Arial"/>
          <w:b/>
          <w:bCs/>
          <w:sz w:val="20"/>
          <w:szCs w:val="20"/>
        </w:rPr>
        <w:t xml:space="preserve">Percentage distribution of </w:t>
      </w:r>
      <w:r w:rsidRPr="003540F8">
        <w:rPr>
          <w:rFonts w:ascii="Arial" w:hAnsi="Arial" w:cs="Arial"/>
          <w:b/>
          <w:bCs/>
          <w:sz w:val="20"/>
          <w:szCs w:val="20"/>
        </w:rPr>
        <w:t>BMI of the patients</w:t>
      </w:r>
      <w:r w:rsidR="00F85332">
        <w:rPr>
          <w:rFonts w:ascii="Arial" w:hAnsi="Arial" w:cs="Arial"/>
          <w:b/>
          <w:bCs/>
          <w:sz w:val="20"/>
          <w:szCs w:val="20"/>
        </w:rPr>
        <w:t>.</w:t>
      </w:r>
    </w:p>
    <w:p w14:paraId="7C332E40" w14:textId="4DF14415" w:rsidR="00952D2F" w:rsidRPr="003540F8" w:rsidRDefault="00952D2F" w:rsidP="00EB4E3E">
      <w:pPr>
        <w:spacing w:line="240" w:lineRule="auto"/>
        <w:jc w:val="center"/>
        <w:rPr>
          <w:rFonts w:ascii="Arial" w:hAnsi="Arial" w:cs="Arial"/>
          <w:b/>
          <w:bCs/>
          <w:sz w:val="20"/>
          <w:szCs w:val="20"/>
        </w:rPr>
      </w:pPr>
      <w:r w:rsidRPr="003540F8">
        <w:rPr>
          <w:rFonts w:ascii="Arial" w:hAnsi="Arial" w:cs="Arial"/>
          <w:noProof/>
          <w:sz w:val="20"/>
          <w:szCs w:val="20"/>
          <w:lang w:val="en-US"/>
        </w:rPr>
        <w:drawing>
          <wp:inline distT="0" distB="0" distL="0" distR="0" wp14:anchorId="3BCDB39E" wp14:editId="41F4549D">
            <wp:extent cx="5863389" cy="2422358"/>
            <wp:effectExtent l="0" t="0" r="4445" b="16510"/>
            <wp:docPr id="57626017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8D9BAF" w14:textId="308BDFC1" w:rsidR="004952BA" w:rsidRDefault="004952BA" w:rsidP="004952BA">
      <w:pPr>
        <w:spacing w:line="240" w:lineRule="auto"/>
        <w:jc w:val="both"/>
        <w:rPr>
          <w:rFonts w:ascii="Arial" w:hAnsi="Arial" w:cs="Arial"/>
          <w:sz w:val="20"/>
          <w:szCs w:val="20"/>
        </w:rPr>
      </w:pPr>
      <w:r w:rsidRPr="004952BA">
        <w:rPr>
          <w:rFonts w:ascii="Arial" w:hAnsi="Arial" w:cs="Arial"/>
          <w:sz w:val="20"/>
          <w:szCs w:val="20"/>
        </w:rPr>
        <w:t xml:space="preserve">The data on Body Mass Index (BMI) in figure 1 illustrates substantial disparities in various categories of weight between males and females. Of the whole population, only </w:t>
      </w:r>
      <w:r>
        <w:rPr>
          <w:rFonts w:ascii="Arial" w:hAnsi="Arial" w:cs="Arial"/>
          <w:sz w:val="20"/>
          <w:szCs w:val="20"/>
        </w:rPr>
        <w:t>a little</w:t>
      </w:r>
      <w:r w:rsidRPr="004952BA">
        <w:rPr>
          <w:rFonts w:ascii="Arial" w:hAnsi="Arial" w:cs="Arial"/>
          <w:sz w:val="20"/>
          <w:szCs w:val="20"/>
        </w:rPr>
        <w:t xml:space="preserve"> (4%) is underweight (BMI &lt; 18.5); all are female </w:t>
      </w:r>
      <w:r>
        <w:rPr>
          <w:rFonts w:ascii="Arial" w:hAnsi="Arial" w:cs="Arial"/>
          <w:sz w:val="20"/>
          <w:szCs w:val="20"/>
        </w:rPr>
        <w:t>(8.4%),</w:t>
      </w:r>
      <w:r w:rsidRPr="004952BA">
        <w:rPr>
          <w:rFonts w:ascii="Arial" w:hAnsi="Arial" w:cs="Arial"/>
          <w:sz w:val="20"/>
          <w:szCs w:val="20"/>
        </w:rPr>
        <w:t xml:space="preserve"> and </w:t>
      </w:r>
      <w:r>
        <w:rPr>
          <w:rFonts w:ascii="Arial" w:hAnsi="Arial" w:cs="Arial"/>
          <w:sz w:val="20"/>
          <w:szCs w:val="20"/>
        </w:rPr>
        <w:t>none are</w:t>
      </w:r>
      <w:r w:rsidRPr="004952BA">
        <w:rPr>
          <w:rFonts w:ascii="Arial" w:hAnsi="Arial" w:cs="Arial"/>
          <w:sz w:val="20"/>
          <w:szCs w:val="20"/>
        </w:rPr>
        <w:t xml:space="preserve"> male. With comparable representation from both m</w:t>
      </w:r>
      <w:r w:rsidR="00B46A52">
        <w:rPr>
          <w:rFonts w:ascii="Arial" w:hAnsi="Arial" w:cs="Arial"/>
          <w:sz w:val="20"/>
          <w:szCs w:val="20"/>
        </w:rPr>
        <w:t>ales</w:t>
      </w:r>
      <w:r w:rsidRPr="004952BA">
        <w:rPr>
          <w:rFonts w:ascii="Arial" w:hAnsi="Arial" w:cs="Arial"/>
          <w:sz w:val="20"/>
          <w:szCs w:val="20"/>
        </w:rPr>
        <w:t xml:space="preserve"> (29.2%) and </w:t>
      </w:r>
      <w:r w:rsidR="00B46A52">
        <w:rPr>
          <w:rFonts w:ascii="Arial" w:hAnsi="Arial" w:cs="Arial"/>
          <w:sz w:val="20"/>
          <w:szCs w:val="20"/>
        </w:rPr>
        <w:t>females</w:t>
      </w:r>
      <w:r w:rsidRPr="004952BA">
        <w:rPr>
          <w:rFonts w:ascii="Arial" w:hAnsi="Arial" w:cs="Arial"/>
          <w:sz w:val="20"/>
          <w:szCs w:val="20"/>
        </w:rPr>
        <w:t xml:space="preserve"> (28.4%), the normal BMI range (18.5–24.9) contains 28.8% of the total population. But in the overweight and obese groups, notable gender disparities appear.</w:t>
      </w:r>
      <w:r>
        <w:rPr>
          <w:rFonts w:ascii="Arial" w:hAnsi="Arial" w:cs="Arial"/>
          <w:sz w:val="20"/>
          <w:szCs w:val="20"/>
        </w:rPr>
        <w:t xml:space="preserve"> </w:t>
      </w:r>
      <w:r w:rsidRPr="004952BA">
        <w:rPr>
          <w:rFonts w:ascii="Arial" w:hAnsi="Arial" w:cs="Arial"/>
          <w:sz w:val="20"/>
          <w:szCs w:val="20"/>
        </w:rPr>
        <w:t xml:space="preserve">63.8% </w:t>
      </w:r>
      <w:r>
        <w:rPr>
          <w:rFonts w:ascii="Arial" w:hAnsi="Arial" w:cs="Arial"/>
          <w:sz w:val="20"/>
          <w:szCs w:val="20"/>
        </w:rPr>
        <w:t xml:space="preserve">of </w:t>
      </w:r>
      <w:r w:rsidR="00B46A52">
        <w:rPr>
          <w:rFonts w:ascii="Arial" w:hAnsi="Arial" w:cs="Arial"/>
          <w:sz w:val="20"/>
          <w:szCs w:val="20"/>
        </w:rPr>
        <w:t>males</w:t>
      </w:r>
      <w:r>
        <w:rPr>
          <w:rFonts w:ascii="Arial" w:hAnsi="Arial" w:cs="Arial"/>
          <w:sz w:val="20"/>
          <w:szCs w:val="20"/>
        </w:rPr>
        <w:t xml:space="preserve"> </w:t>
      </w:r>
      <w:r w:rsidRPr="004952BA">
        <w:rPr>
          <w:rFonts w:ascii="Arial" w:hAnsi="Arial" w:cs="Arial"/>
          <w:sz w:val="20"/>
          <w:szCs w:val="20"/>
        </w:rPr>
        <w:t>are overweight (BMI 25–29.9)</w:t>
      </w:r>
      <w:r>
        <w:rPr>
          <w:rFonts w:ascii="Arial" w:hAnsi="Arial" w:cs="Arial"/>
          <w:sz w:val="20"/>
          <w:szCs w:val="20"/>
        </w:rPr>
        <w:t>,</w:t>
      </w:r>
      <w:r w:rsidRPr="004952BA">
        <w:rPr>
          <w:rFonts w:ascii="Arial" w:hAnsi="Arial" w:cs="Arial"/>
          <w:sz w:val="20"/>
          <w:szCs w:val="20"/>
        </w:rPr>
        <w:t xml:space="preserve"> while only 31.7% of </w:t>
      </w:r>
      <w:r w:rsidR="00B46A52">
        <w:rPr>
          <w:rFonts w:ascii="Arial" w:hAnsi="Arial" w:cs="Arial"/>
          <w:sz w:val="20"/>
          <w:szCs w:val="20"/>
        </w:rPr>
        <w:t>females</w:t>
      </w:r>
      <w:r w:rsidRPr="004952BA">
        <w:rPr>
          <w:rFonts w:ascii="Arial" w:hAnsi="Arial" w:cs="Arial"/>
          <w:sz w:val="20"/>
          <w:szCs w:val="20"/>
        </w:rPr>
        <w:t xml:space="preserve"> fall into this category. On the other hand, </w:t>
      </w:r>
      <w:r w:rsidR="00B46A52">
        <w:rPr>
          <w:rFonts w:ascii="Arial" w:hAnsi="Arial" w:cs="Arial"/>
          <w:sz w:val="20"/>
          <w:szCs w:val="20"/>
        </w:rPr>
        <w:t>females</w:t>
      </w:r>
      <w:r w:rsidRPr="004952BA">
        <w:rPr>
          <w:rFonts w:ascii="Arial" w:hAnsi="Arial" w:cs="Arial"/>
          <w:sz w:val="20"/>
          <w:szCs w:val="20"/>
        </w:rPr>
        <w:t xml:space="preserve"> (31.7%) are far more likely than m</w:t>
      </w:r>
      <w:r w:rsidR="00B46A52">
        <w:rPr>
          <w:rFonts w:ascii="Arial" w:hAnsi="Arial" w:cs="Arial"/>
          <w:sz w:val="20"/>
          <w:szCs w:val="20"/>
        </w:rPr>
        <w:t>ales</w:t>
      </w:r>
      <w:r w:rsidRPr="004952BA">
        <w:rPr>
          <w:rFonts w:ascii="Arial" w:hAnsi="Arial" w:cs="Arial"/>
          <w:sz w:val="20"/>
          <w:szCs w:val="20"/>
        </w:rPr>
        <w:t xml:space="preserve"> (7.7%) to be obese (BMI above </w:t>
      </w:r>
      <w:r w:rsidR="00B46A52">
        <w:rPr>
          <w:rFonts w:ascii="Arial" w:hAnsi="Arial" w:cs="Arial"/>
          <w:sz w:val="20"/>
          <w:szCs w:val="20"/>
        </w:rPr>
        <w:t>30</w:t>
      </w:r>
      <w:r w:rsidRPr="004952BA">
        <w:rPr>
          <w:rFonts w:ascii="Arial" w:hAnsi="Arial" w:cs="Arial"/>
          <w:sz w:val="20"/>
          <w:szCs w:val="20"/>
        </w:rPr>
        <w:t>). This suggests that although m</w:t>
      </w:r>
      <w:r w:rsidR="00B46A52">
        <w:rPr>
          <w:rFonts w:ascii="Arial" w:hAnsi="Arial" w:cs="Arial"/>
          <w:sz w:val="20"/>
          <w:szCs w:val="20"/>
        </w:rPr>
        <w:t>ales</w:t>
      </w:r>
      <w:r w:rsidRPr="004952BA">
        <w:rPr>
          <w:rFonts w:ascii="Arial" w:hAnsi="Arial" w:cs="Arial"/>
          <w:sz w:val="20"/>
          <w:szCs w:val="20"/>
        </w:rPr>
        <w:t xml:space="preserve"> are more prone to </w:t>
      </w:r>
      <w:r>
        <w:rPr>
          <w:rFonts w:ascii="Arial" w:hAnsi="Arial" w:cs="Arial"/>
          <w:sz w:val="20"/>
          <w:szCs w:val="20"/>
        </w:rPr>
        <w:t>being</w:t>
      </w:r>
      <w:r w:rsidRPr="004952BA">
        <w:rPr>
          <w:rFonts w:ascii="Arial" w:hAnsi="Arial" w:cs="Arial"/>
          <w:sz w:val="20"/>
          <w:szCs w:val="20"/>
        </w:rPr>
        <w:t xml:space="preserve"> overweight, </w:t>
      </w:r>
      <w:r w:rsidR="00B46A52">
        <w:rPr>
          <w:rFonts w:ascii="Arial" w:hAnsi="Arial" w:cs="Arial"/>
          <w:sz w:val="20"/>
          <w:szCs w:val="20"/>
        </w:rPr>
        <w:t>females</w:t>
      </w:r>
      <w:r w:rsidRPr="004952BA">
        <w:rPr>
          <w:rFonts w:ascii="Arial" w:hAnsi="Arial" w:cs="Arial"/>
          <w:sz w:val="20"/>
          <w:szCs w:val="20"/>
        </w:rPr>
        <w:t xml:space="preserve"> have a greater inclination towards obesity or underweight.</w:t>
      </w:r>
      <w:r>
        <w:rPr>
          <w:rFonts w:ascii="Arial" w:hAnsi="Arial" w:cs="Arial"/>
          <w:sz w:val="20"/>
          <w:szCs w:val="20"/>
        </w:rPr>
        <w:t xml:space="preserve"> </w:t>
      </w:r>
      <w:r w:rsidRPr="004952BA">
        <w:rPr>
          <w:rFonts w:ascii="Arial" w:hAnsi="Arial" w:cs="Arial"/>
          <w:sz w:val="20"/>
          <w:szCs w:val="20"/>
        </w:rPr>
        <w:t xml:space="preserve">The research indicates that although appropriate BMI is rather consistent across sexes, men are mostly </w:t>
      </w:r>
      <w:r>
        <w:rPr>
          <w:rFonts w:ascii="Arial" w:hAnsi="Arial" w:cs="Arial"/>
          <w:sz w:val="20"/>
          <w:szCs w:val="20"/>
        </w:rPr>
        <w:t>overweight,</w:t>
      </w:r>
      <w:r w:rsidRPr="004952BA">
        <w:rPr>
          <w:rFonts w:ascii="Arial" w:hAnsi="Arial" w:cs="Arial"/>
          <w:sz w:val="20"/>
          <w:szCs w:val="20"/>
        </w:rPr>
        <w:t xml:space="preserve"> and </w:t>
      </w:r>
      <w:r w:rsidR="00B46A52">
        <w:rPr>
          <w:rFonts w:ascii="Arial" w:hAnsi="Arial" w:cs="Arial"/>
          <w:sz w:val="20"/>
          <w:szCs w:val="20"/>
        </w:rPr>
        <w:lastRenderedPageBreak/>
        <w:t>females</w:t>
      </w:r>
      <w:r w:rsidRPr="004952BA">
        <w:rPr>
          <w:rFonts w:ascii="Arial" w:hAnsi="Arial" w:cs="Arial"/>
          <w:sz w:val="20"/>
          <w:szCs w:val="20"/>
        </w:rPr>
        <w:t xml:space="preserve"> show a broader distribution across the BMI spectrum—from underweight to obese</w:t>
      </w:r>
      <w:r>
        <w:rPr>
          <w:rFonts w:ascii="Arial" w:hAnsi="Arial" w:cs="Arial"/>
          <w:sz w:val="20"/>
          <w:szCs w:val="20"/>
        </w:rPr>
        <w:t xml:space="preserve"> </w:t>
      </w:r>
      <w:r w:rsidRPr="004952BA">
        <w:rPr>
          <w:rFonts w:ascii="Arial" w:hAnsi="Arial" w:cs="Arial"/>
          <w:sz w:val="20"/>
          <w:szCs w:val="20"/>
        </w:rPr>
        <w:t>emphasizing gender-specific patterns in body weight and maybe different health concerns.</w:t>
      </w:r>
    </w:p>
    <w:p w14:paraId="2470235F" w14:textId="77777777" w:rsidR="004952BA" w:rsidRDefault="00E66609" w:rsidP="004952BA">
      <w:pPr>
        <w:spacing w:after="0" w:line="240" w:lineRule="auto"/>
        <w:jc w:val="both"/>
        <w:rPr>
          <w:rFonts w:ascii="Arial" w:hAnsi="Arial" w:cs="Arial"/>
          <w:b/>
          <w:bCs/>
          <w:sz w:val="20"/>
          <w:szCs w:val="20"/>
        </w:rPr>
      </w:pPr>
      <w:r w:rsidRPr="003540F8">
        <w:rPr>
          <w:rFonts w:ascii="Arial" w:hAnsi="Arial" w:cs="Arial"/>
          <w:b/>
          <w:bCs/>
          <w:sz w:val="20"/>
          <w:szCs w:val="20"/>
        </w:rPr>
        <w:t xml:space="preserve">Figure </w:t>
      </w:r>
      <w:r w:rsidR="00053D5C" w:rsidRPr="003540F8">
        <w:rPr>
          <w:rFonts w:ascii="Arial" w:hAnsi="Arial" w:cs="Arial"/>
          <w:b/>
          <w:bCs/>
          <w:sz w:val="20"/>
          <w:szCs w:val="20"/>
        </w:rPr>
        <w:t>2</w:t>
      </w:r>
      <w:r w:rsidRPr="003540F8">
        <w:rPr>
          <w:rFonts w:ascii="Arial" w:hAnsi="Arial" w:cs="Arial"/>
          <w:b/>
          <w:bCs/>
          <w:sz w:val="20"/>
          <w:szCs w:val="20"/>
        </w:rPr>
        <w:t xml:space="preserve">: </w:t>
      </w:r>
      <w:r w:rsidR="004952BA" w:rsidRPr="004952BA">
        <w:rPr>
          <w:rFonts w:ascii="Arial" w:hAnsi="Arial" w:cs="Arial"/>
          <w:b/>
          <w:bCs/>
          <w:sz w:val="20"/>
          <w:szCs w:val="20"/>
        </w:rPr>
        <w:t>Percentage distribution of the patients' smoking and use of tobacco and alcohol.</w:t>
      </w:r>
    </w:p>
    <w:p w14:paraId="7B20927C" w14:textId="77777777" w:rsidR="004952BA" w:rsidRDefault="004952BA" w:rsidP="004952BA">
      <w:pPr>
        <w:spacing w:after="0" w:line="240" w:lineRule="auto"/>
        <w:jc w:val="both"/>
        <w:rPr>
          <w:rFonts w:ascii="Arial" w:hAnsi="Arial" w:cs="Arial"/>
          <w:b/>
          <w:bCs/>
          <w:sz w:val="20"/>
          <w:szCs w:val="20"/>
        </w:rPr>
      </w:pPr>
    </w:p>
    <w:p w14:paraId="20329F5B" w14:textId="7D09C6E7" w:rsidR="004E6094" w:rsidRPr="003540F8" w:rsidRDefault="008B031F" w:rsidP="00F85332">
      <w:pPr>
        <w:spacing w:after="0" w:line="240" w:lineRule="auto"/>
        <w:jc w:val="center"/>
        <w:rPr>
          <w:rFonts w:ascii="Arial" w:hAnsi="Arial" w:cs="Arial"/>
          <w:sz w:val="20"/>
          <w:szCs w:val="20"/>
        </w:rPr>
      </w:pPr>
      <w:r w:rsidRPr="003540F8">
        <w:rPr>
          <w:rFonts w:ascii="Arial" w:hAnsi="Arial" w:cs="Arial"/>
          <w:noProof/>
          <w:sz w:val="20"/>
          <w:szCs w:val="20"/>
          <w:lang w:val="en-US"/>
        </w:rPr>
        <w:drawing>
          <wp:inline distT="0" distB="0" distL="0" distR="0" wp14:anchorId="1282F012" wp14:editId="555EE2A0">
            <wp:extent cx="5831306" cy="2173706"/>
            <wp:effectExtent l="0" t="0" r="17145" b="17145"/>
            <wp:docPr id="34420238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ADEA91" w14:textId="0AB163D1" w:rsidR="00F85332" w:rsidRDefault="00F85332" w:rsidP="00F85332">
      <w:pPr>
        <w:spacing w:before="240" w:line="240" w:lineRule="auto"/>
        <w:jc w:val="both"/>
        <w:rPr>
          <w:rFonts w:ascii="Arial" w:hAnsi="Arial" w:cs="Arial"/>
          <w:sz w:val="20"/>
          <w:szCs w:val="20"/>
        </w:rPr>
      </w:pPr>
      <w:r w:rsidRPr="00F85332">
        <w:rPr>
          <w:rFonts w:ascii="Arial" w:hAnsi="Arial" w:cs="Arial"/>
          <w:sz w:val="20"/>
          <w:szCs w:val="20"/>
        </w:rPr>
        <w:t>Figure 2 shows the percentage of boys and females in this study who smoke, use tobacco, and drink alcohol occasionally. It shows a distinct gender difference in all three practices. Smoking is primarily reported among males (3.9%), with no females being recorded as smokers.</w:t>
      </w:r>
      <w:r w:rsidR="00A3718B">
        <w:rPr>
          <w:rFonts w:ascii="Arial" w:hAnsi="Arial" w:cs="Arial"/>
          <w:sz w:val="20"/>
          <w:szCs w:val="20"/>
        </w:rPr>
        <w:t xml:space="preserve"> </w:t>
      </w:r>
      <w:r w:rsidRPr="00F85332">
        <w:rPr>
          <w:rFonts w:ascii="Arial" w:hAnsi="Arial" w:cs="Arial"/>
          <w:sz w:val="20"/>
          <w:szCs w:val="20"/>
        </w:rPr>
        <w:t xml:space="preserve">The population's total smoking prevalence is 2%.  The combined total of 11.6% is the result of a considerably higher prevalence of tobacco use among males (18.5%) than females (4%).  Likewise, stated infrequent alcohol use is only among men </w:t>
      </w:r>
      <w:r w:rsidR="00A3718B">
        <w:rPr>
          <w:rFonts w:ascii="Arial" w:hAnsi="Arial" w:cs="Arial"/>
          <w:sz w:val="20"/>
          <w:szCs w:val="20"/>
        </w:rPr>
        <w:t>(18.5%),</w:t>
      </w:r>
      <w:r w:rsidRPr="00F85332">
        <w:rPr>
          <w:rFonts w:ascii="Arial" w:hAnsi="Arial" w:cs="Arial"/>
          <w:sz w:val="20"/>
          <w:szCs w:val="20"/>
        </w:rPr>
        <w:t xml:space="preserve"> with no women reporting this </w:t>
      </w:r>
      <w:r w:rsidR="00AB3561">
        <w:rPr>
          <w:rFonts w:ascii="Arial" w:hAnsi="Arial" w:cs="Arial"/>
          <w:sz w:val="20"/>
          <w:szCs w:val="20"/>
        </w:rPr>
        <w:t>practice;</w:t>
      </w:r>
      <w:r>
        <w:rPr>
          <w:rFonts w:ascii="Arial" w:hAnsi="Arial" w:cs="Arial"/>
          <w:sz w:val="20"/>
          <w:szCs w:val="20"/>
        </w:rPr>
        <w:t xml:space="preserve"> </w:t>
      </w:r>
      <w:r w:rsidR="00A3718B">
        <w:rPr>
          <w:rFonts w:ascii="Arial" w:hAnsi="Arial" w:cs="Arial"/>
          <w:sz w:val="20"/>
          <w:szCs w:val="20"/>
        </w:rPr>
        <w:t>t</w:t>
      </w:r>
      <w:r>
        <w:rPr>
          <w:rFonts w:ascii="Arial" w:hAnsi="Arial" w:cs="Arial"/>
          <w:sz w:val="20"/>
          <w:szCs w:val="20"/>
        </w:rPr>
        <w:t>herefore,</w:t>
      </w:r>
      <w:r w:rsidRPr="00F85332">
        <w:rPr>
          <w:rFonts w:ascii="Arial" w:hAnsi="Arial" w:cs="Arial"/>
          <w:sz w:val="20"/>
          <w:szCs w:val="20"/>
        </w:rPr>
        <w:t xml:space="preserve"> the total is 9.6%. The research shows, therefore, that men smoke, use tobacco, and drink more often than women. These results indicate that substance use </w:t>
      </w:r>
      <w:proofErr w:type="spellStart"/>
      <w:r w:rsidRPr="00F85332">
        <w:rPr>
          <w:rFonts w:ascii="Arial" w:hAnsi="Arial" w:cs="Arial"/>
          <w:sz w:val="20"/>
          <w:szCs w:val="20"/>
        </w:rPr>
        <w:t>behaviors</w:t>
      </w:r>
      <w:proofErr w:type="spellEnd"/>
      <w:r w:rsidRPr="00F85332">
        <w:rPr>
          <w:rFonts w:ascii="Arial" w:hAnsi="Arial" w:cs="Arial"/>
          <w:sz w:val="20"/>
          <w:szCs w:val="20"/>
        </w:rPr>
        <w:t xml:space="preserve"> are primarily associated with men in the sample population.</w:t>
      </w:r>
    </w:p>
    <w:p w14:paraId="613D3393" w14:textId="073EEA99" w:rsidR="00E66609" w:rsidRPr="003540F8" w:rsidRDefault="00E66609" w:rsidP="00EB4E3E">
      <w:pPr>
        <w:spacing w:line="240" w:lineRule="auto"/>
        <w:jc w:val="both"/>
        <w:rPr>
          <w:rFonts w:ascii="Arial" w:hAnsi="Arial" w:cs="Arial"/>
          <w:b/>
          <w:bCs/>
          <w:sz w:val="20"/>
          <w:szCs w:val="20"/>
        </w:rPr>
      </w:pPr>
      <w:r w:rsidRPr="003540F8">
        <w:rPr>
          <w:rFonts w:ascii="Arial" w:hAnsi="Arial" w:cs="Arial"/>
          <w:b/>
          <w:bCs/>
          <w:sz w:val="20"/>
          <w:szCs w:val="20"/>
        </w:rPr>
        <w:t xml:space="preserve">Figure </w:t>
      </w:r>
      <w:r w:rsidR="00053D5C" w:rsidRPr="003540F8">
        <w:rPr>
          <w:rFonts w:ascii="Arial" w:hAnsi="Arial" w:cs="Arial"/>
          <w:b/>
          <w:bCs/>
          <w:sz w:val="20"/>
          <w:szCs w:val="20"/>
        </w:rPr>
        <w:t>3</w:t>
      </w:r>
      <w:r w:rsidRPr="003540F8">
        <w:rPr>
          <w:rFonts w:ascii="Arial" w:hAnsi="Arial" w:cs="Arial"/>
          <w:b/>
          <w:bCs/>
          <w:sz w:val="20"/>
          <w:szCs w:val="20"/>
        </w:rPr>
        <w:t xml:space="preserve">: Percentage distribution of </w:t>
      </w:r>
      <w:r w:rsidR="00926F24" w:rsidRPr="003540F8">
        <w:rPr>
          <w:rFonts w:ascii="Arial" w:hAnsi="Arial" w:cs="Arial"/>
          <w:b/>
          <w:bCs/>
          <w:sz w:val="20"/>
          <w:szCs w:val="20"/>
        </w:rPr>
        <w:t>physical activity</w:t>
      </w:r>
      <w:r w:rsidRPr="003540F8">
        <w:rPr>
          <w:rFonts w:ascii="Arial" w:hAnsi="Arial" w:cs="Arial"/>
          <w:b/>
          <w:bCs/>
          <w:sz w:val="20"/>
          <w:szCs w:val="20"/>
        </w:rPr>
        <w:t xml:space="preserve"> of the patients</w:t>
      </w:r>
      <w:r w:rsidR="00A3718B">
        <w:rPr>
          <w:rFonts w:ascii="Arial" w:hAnsi="Arial" w:cs="Arial"/>
          <w:b/>
          <w:bCs/>
          <w:sz w:val="20"/>
          <w:szCs w:val="20"/>
        </w:rPr>
        <w:t>.</w:t>
      </w:r>
    </w:p>
    <w:p w14:paraId="256A4501" w14:textId="540CDEF4" w:rsidR="004E6094" w:rsidRPr="003540F8" w:rsidRDefault="00B91797" w:rsidP="00EB4E3E">
      <w:pPr>
        <w:spacing w:line="240" w:lineRule="auto"/>
        <w:jc w:val="center"/>
        <w:rPr>
          <w:rFonts w:ascii="Arial" w:hAnsi="Arial" w:cs="Arial"/>
          <w:sz w:val="20"/>
          <w:szCs w:val="20"/>
        </w:rPr>
      </w:pPr>
      <w:r w:rsidRPr="003540F8">
        <w:rPr>
          <w:rFonts w:ascii="Arial" w:hAnsi="Arial" w:cs="Arial"/>
          <w:noProof/>
          <w:sz w:val="20"/>
          <w:szCs w:val="20"/>
          <w:lang w:val="en-US"/>
        </w:rPr>
        <w:drawing>
          <wp:inline distT="0" distB="0" distL="0" distR="0" wp14:anchorId="0CD21F52" wp14:editId="780A50E2">
            <wp:extent cx="5863390" cy="2213810"/>
            <wp:effectExtent l="0" t="0" r="4445" b="15240"/>
            <wp:docPr id="133355240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4CADD1" w14:textId="02F73108" w:rsidR="00AB3561" w:rsidRPr="00AB3561" w:rsidRDefault="00AB3561" w:rsidP="00AB3561">
      <w:pPr>
        <w:spacing w:line="240" w:lineRule="auto"/>
        <w:jc w:val="both"/>
        <w:rPr>
          <w:rFonts w:ascii="Arial" w:hAnsi="Arial" w:cs="Arial"/>
          <w:sz w:val="20"/>
          <w:szCs w:val="20"/>
        </w:rPr>
      </w:pPr>
      <w:r w:rsidRPr="00AB3561">
        <w:rPr>
          <w:rFonts w:ascii="Arial" w:hAnsi="Arial" w:cs="Arial"/>
          <w:sz w:val="20"/>
          <w:szCs w:val="20"/>
        </w:rPr>
        <w:t xml:space="preserve">Figure 3 of the Physical Activity section illustrates the distribution of physical activity levels among males and females, including sedentary, moderate, and intensive </w:t>
      </w:r>
      <w:r>
        <w:rPr>
          <w:rFonts w:ascii="Arial" w:hAnsi="Arial" w:cs="Arial"/>
          <w:sz w:val="20"/>
          <w:szCs w:val="20"/>
        </w:rPr>
        <w:t>workers</w:t>
      </w:r>
      <w:r w:rsidRPr="00AB3561">
        <w:rPr>
          <w:rFonts w:ascii="Arial" w:hAnsi="Arial" w:cs="Arial"/>
          <w:sz w:val="20"/>
          <w:szCs w:val="20"/>
        </w:rPr>
        <w:t>.</w:t>
      </w:r>
    </w:p>
    <w:p w14:paraId="636BB2CE" w14:textId="3E27D9DE" w:rsidR="00AB3561" w:rsidRDefault="00AB3561" w:rsidP="00AB3561">
      <w:pPr>
        <w:spacing w:line="240" w:lineRule="auto"/>
        <w:jc w:val="both"/>
        <w:rPr>
          <w:rFonts w:ascii="Arial" w:hAnsi="Arial" w:cs="Arial"/>
          <w:sz w:val="20"/>
          <w:szCs w:val="20"/>
        </w:rPr>
      </w:pPr>
      <w:r w:rsidRPr="00AB3561">
        <w:rPr>
          <w:rFonts w:ascii="Arial" w:hAnsi="Arial" w:cs="Arial"/>
          <w:sz w:val="20"/>
          <w:szCs w:val="20"/>
        </w:rPr>
        <w:t xml:space="preserve">Sedentary activity is comprised of 30% males and 27.5% females, yielding a total of 28.8%.  Among all groups, the moderate activity level is the most common; 55.4% of </w:t>
      </w:r>
      <w:r w:rsidR="00B46A52">
        <w:rPr>
          <w:rFonts w:ascii="Arial" w:hAnsi="Arial" w:cs="Arial"/>
          <w:sz w:val="20"/>
          <w:szCs w:val="20"/>
        </w:rPr>
        <w:t>males</w:t>
      </w:r>
      <w:r w:rsidRPr="00AB3561">
        <w:rPr>
          <w:rFonts w:ascii="Arial" w:hAnsi="Arial" w:cs="Arial"/>
          <w:sz w:val="20"/>
          <w:szCs w:val="20"/>
        </w:rPr>
        <w:t xml:space="preserve">, 54.2% of </w:t>
      </w:r>
      <w:r w:rsidR="00B46A52">
        <w:rPr>
          <w:rFonts w:ascii="Arial" w:hAnsi="Arial" w:cs="Arial"/>
          <w:sz w:val="20"/>
          <w:szCs w:val="20"/>
        </w:rPr>
        <w:t>females</w:t>
      </w:r>
      <w:r w:rsidRPr="00AB3561">
        <w:rPr>
          <w:rFonts w:ascii="Arial" w:hAnsi="Arial" w:cs="Arial"/>
          <w:sz w:val="20"/>
          <w:szCs w:val="20"/>
        </w:rPr>
        <w:t xml:space="preserve">, and a total of 54.8% of the population participate at this level.  Finally, just 14.6% of </w:t>
      </w:r>
      <w:r w:rsidR="00B46A52">
        <w:rPr>
          <w:rFonts w:ascii="Arial" w:hAnsi="Arial" w:cs="Arial"/>
          <w:sz w:val="20"/>
          <w:szCs w:val="20"/>
        </w:rPr>
        <w:t>males</w:t>
      </w:r>
      <w:r w:rsidRPr="00AB3561">
        <w:rPr>
          <w:rFonts w:ascii="Arial" w:hAnsi="Arial" w:cs="Arial"/>
          <w:sz w:val="20"/>
          <w:szCs w:val="20"/>
        </w:rPr>
        <w:t xml:space="preserve"> and 18.3% of </w:t>
      </w:r>
      <w:r w:rsidR="00B46A52">
        <w:rPr>
          <w:rFonts w:ascii="Arial" w:hAnsi="Arial" w:cs="Arial"/>
          <w:sz w:val="20"/>
          <w:szCs w:val="20"/>
        </w:rPr>
        <w:t>females</w:t>
      </w:r>
      <w:r w:rsidRPr="00AB3561">
        <w:rPr>
          <w:rFonts w:ascii="Arial" w:hAnsi="Arial" w:cs="Arial"/>
          <w:sz w:val="20"/>
          <w:szCs w:val="20"/>
        </w:rPr>
        <w:t xml:space="preserve"> are at the heavy activity level, which totals 16.4%.</w:t>
      </w:r>
      <w:r>
        <w:rPr>
          <w:rFonts w:ascii="Arial" w:hAnsi="Arial" w:cs="Arial"/>
          <w:sz w:val="20"/>
          <w:szCs w:val="20"/>
        </w:rPr>
        <w:t xml:space="preserve"> </w:t>
      </w:r>
      <w:r w:rsidRPr="00AB3561">
        <w:rPr>
          <w:rFonts w:ascii="Arial" w:hAnsi="Arial" w:cs="Arial"/>
          <w:sz w:val="20"/>
          <w:szCs w:val="20"/>
        </w:rPr>
        <w:t>The chart shows that most m</w:t>
      </w:r>
      <w:r w:rsidR="00B46A52">
        <w:rPr>
          <w:rFonts w:ascii="Arial" w:hAnsi="Arial" w:cs="Arial"/>
          <w:sz w:val="20"/>
          <w:szCs w:val="20"/>
        </w:rPr>
        <w:t>ales</w:t>
      </w:r>
      <w:r w:rsidRPr="00AB3561">
        <w:rPr>
          <w:rFonts w:ascii="Arial" w:hAnsi="Arial" w:cs="Arial"/>
          <w:sz w:val="20"/>
          <w:szCs w:val="20"/>
        </w:rPr>
        <w:t xml:space="preserve"> and </w:t>
      </w:r>
      <w:r w:rsidR="00B46A52">
        <w:rPr>
          <w:rFonts w:ascii="Arial" w:hAnsi="Arial" w:cs="Arial"/>
          <w:sz w:val="20"/>
          <w:szCs w:val="20"/>
        </w:rPr>
        <w:t>females</w:t>
      </w:r>
      <w:r w:rsidRPr="00AB3561">
        <w:rPr>
          <w:rFonts w:ascii="Arial" w:hAnsi="Arial" w:cs="Arial"/>
          <w:sz w:val="20"/>
          <w:szCs w:val="20"/>
        </w:rPr>
        <w:t xml:space="preserve">, overall, are moderately physically active; there are </w:t>
      </w:r>
      <w:r>
        <w:rPr>
          <w:rFonts w:ascii="Arial" w:hAnsi="Arial" w:cs="Arial"/>
          <w:sz w:val="20"/>
          <w:szCs w:val="20"/>
        </w:rPr>
        <w:t>fewer</w:t>
      </w:r>
      <w:r w:rsidRPr="00AB3561">
        <w:rPr>
          <w:rFonts w:ascii="Arial" w:hAnsi="Arial" w:cs="Arial"/>
          <w:sz w:val="20"/>
          <w:szCs w:val="20"/>
        </w:rPr>
        <w:t xml:space="preserve"> people at either end and a </w:t>
      </w:r>
      <w:r>
        <w:rPr>
          <w:rFonts w:ascii="Arial" w:hAnsi="Arial" w:cs="Arial"/>
          <w:sz w:val="20"/>
          <w:szCs w:val="20"/>
        </w:rPr>
        <w:t>slightly</w:t>
      </w:r>
      <w:r w:rsidRPr="00AB3561">
        <w:rPr>
          <w:rFonts w:ascii="Arial" w:hAnsi="Arial" w:cs="Arial"/>
          <w:sz w:val="20"/>
          <w:szCs w:val="20"/>
        </w:rPr>
        <w:t xml:space="preserve"> larger proportion of </w:t>
      </w:r>
      <w:r w:rsidR="00B46A52">
        <w:rPr>
          <w:rFonts w:ascii="Arial" w:hAnsi="Arial" w:cs="Arial"/>
          <w:sz w:val="20"/>
          <w:szCs w:val="20"/>
        </w:rPr>
        <w:t>females</w:t>
      </w:r>
      <w:r w:rsidRPr="00AB3561">
        <w:rPr>
          <w:rFonts w:ascii="Arial" w:hAnsi="Arial" w:cs="Arial"/>
          <w:sz w:val="20"/>
          <w:szCs w:val="20"/>
        </w:rPr>
        <w:t xml:space="preserve"> partaking in high levels of activity than </w:t>
      </w:r>
      <w:r w:rsidR="00B46A52">
        <w:rPr>
          <w:rFonts w:ascii="Arial" w:hAnsi="Arial" w:cs="Arial"/>
          <w:sz w:val="20"/>
          <w:szCs w:val="20"/>
        </w:rPr>
        <w:t>males</w:t>
      </w:r>
      <w:r w:rsidRPr="00AB3561">
        <w:rPr>
          <w:rFonts w:ascii="Arial" w:hAnsi="Arial" w:cs="Arial"/>
          <w:sz w:val="20"/>
          <w:szCs w:val="20"/>
        </w:rPr>
        <w:t>.</w:t>
      </w:r>
    </w:p>
    <w:p w14:paraId="10B5240A" w14:textId="6020BFD2" w:rsidR="005B3BA0" w:rsidRPr="003540F8" w:rsidRDefault="0071250E" w:rsidP="00AB3561">
      <w:pPr>
        <w:spacing w:line="240" w:lineRule="auto"/>
        <w:jc w:val="both"/>
        <w:rPr>
          <w:rFonts w:ascii="Arial" w:hAnsi="Arial" w:cs="Arial"/>
          <w:b/>
          <w:bCs/>
          <w:sz w:val="20"/>
          <w:szCs w:val="20"/>
        </w:rPr>
      </w:pPr>
      <w:r w:rsidRPr="003540F8">
        <w:rPr>
          <w:rFonts w:ascii="Arial" w:hAnsi="Arial" w:cs="Arial"/>
          <w:b/>
          <w:bCs/>
          <w:sz w:val="20"/>
          <w:szCs w:val="20"/>
        </w:rPr>
        <w:lastRenderedPageBreak/>
        <w:t xml:space="preserve">Table 4: </w:t>
      </w:r>
      <w:r w:rsidR="00F77A58" w:rsidRPr="003540F8">
        <w:rPr>
          <w:rFonts w:ascii="Arial" w:hAnsi="Arial" w:cs="Arial"/>
          <w:b/>
          <w:bCs/>
          <w:sz w:val="20"/>
          <w:szCs w:val="20"/>
        </w:rPr>
        <w:t>Cross Tabulation of</w:t>
      </w:r>
      <w:r w:rsidRPr="003540F8">
        <w:rPr>
          <w:rFonts w:ascii="Arial" w:hAnsi="Arial" w:cs="Arial"/>
          <w:b/>
          <w:bCs/>
          <w:sz w:val="20"/>
          <w:szCs w:val="20"/>
        </w:rPr>
        <w:t xml:space="preserve"> </w:t>
      </w:r>
      <w:r w:rsidR="00BC62A0" w:rsidRPr="003540F8">
        <w:rPr>
          <w:rFonts w:ascii="Arial" w:hAnsi="Arial" w:cs="Arial"/>
          <w:b/>
          <w:bCs/>
          <w:sz w:val="20"/>
          <w:szCs w:val="20"/>
        </w:rPr>
        <w:t xml:space="preserve">Lifestyle </w:t>
      </w:r>
      <w:r w:rsidR="006521B4" w:rsidRPr="003540F8">
        <w:rPr>
          <w:rFonts w:ascii="Arial" w:hAnsi="Arial" w:cs="Arial"/>
          <w:b/>
          <w:bCs/>
          <w:sz w:val="20"/>
          <w:szCs w:val="20"/>
        </w:rPr>
        <w:t>Habits</w:t>
      </w:r>
      <w:r w:rsidR="00BC62A0" w:rsidRPr="003540F8">
        <w:rPr>
          <w:rFonts w:ascii="Arial" w:hAnsi="Arial" w:cs="Arial"/>
          <w:b/>
          <w:bCs/>
          <w:sz w:val="20"/>
          <w:szCs w:val="20"/>
        </w:rPr>
        <w:t xml:space="preserve">, </w:t>
      </w:r>
      <w:r w:rsidR="00D647A4" w:rsidRPr="003540F8">
        <w:rPr>
          <w:rFonts w:ascii="Arial" w:hAnsi="Arial" w:cs="Arial"/>
          <w:b/>
          <w:bCs/>
          <w:sz w:val="20"/>
          <w:szCs w:val="20"/>
        </w:rPr>
        <w:t>Sociodemographic</w:t>
      </w:r>
      <w:r w:rsidR="00C14ACE" w:rsidRPr="003540F8">
        <w:rPr>
          <w:rFonts w:ascii="Arial" w:hAnsi="Arial" w:cs="Arial"/>
          <w:b/>
          <w:bCs/>
          <w:sz w:val="20"/>
          <w:szCs w:val="20"/>
        </w:rPr>
        <w:t xml:space="preserve"> </w:t>
      </w:r>
      <w:r w:rsidR="00D647A4" w:rsidRPr="003540F8">
        <w:rPr>
          <w:rFonts w:ascii="Arial" w:hAnsi="Arial" w:cs="Arial"/>
          <w:b/>
          <w:bCs/>
          <w:sz w:val="20"/>
          <w:szCs w:val="20"/>
        </w:rPr>
        <w:t>Characteristics</w:t>
      </w:r>
      <w:r w:rsidR="00C14ACE" w:rsidRPr="003540F8">
        <w:rPr>
          <w:rFonts w:ascii="Arial" w:hAnsi="Arial" w:cs="Arial"/>
          <w:b/>
          <w:bCs/>
          <w:sz w:val="20"/>
          <w:szCs w:val="20"/>
        </w:rPr>
        <w:t>,</w:t>
      </w:r>
      <w:r w:rsidR="005C3AB3" w:rsidRPr="003540F8">
        <w:rPr>
          <w:rFonts w:ascii="Arial" w:hAnsi="Arial" w:cs="Arial"/>
          <w:b/>
          <w:bCs/>
          <w:sz w:val="20"/>
          <w:szCs w:val="20"/>
        </w:rPr>
        <w:t xml:space="preserve"> WHR,</w:t>
      </w:r>
      <w:r w:rsidR="00C14ACE" w:rsidRPr="003540F8">
        <w:rPr>
          <w:rFonts w:ascii="Arial" w:hAnsi="Arial" w:cs="Arial"/>
          <w:b/>
          <w:bCs/>
          <w:sz w:val="20"/>
          <w:szCs w:val="20"/>
        </w:rPr>
        <w:t xml:space="preserve"> and </w:t>
      </w:r>
      <w:r w:rsidR="00D647A4" w:rsidRPr="003540F8">
        <w:rPr>
          <w:rFonts w:ascii="Arial" w:hAnsi="Arial" w:cs="Arial"/>
          <w:b/>
          <w:bCs/>
          <w:sz w:val="20"/>
          <w:szCs w:val="20"/>
        </w:rPr>
        <w:t>Socioeconomic Status</w:t>
      </w:r>
      <w:r w:rsidR="00C14ACE" w:rsidRPr="003540F8">
        <w:rPr>
          <w:rFonts w:ascii="Arial" w:hAnsi="Arial" w:cs="Arial"/>
          <w:b/>
          <w:bCs/>
          <w:sz w:val="20"/>
          <w:szCs w:val="20"/>
        </w:rPr>
        <w:t xml:space="preserve"> </w:t>
      </w:r>
      <w:r w:rsidR="001C279A" w:rsidRPr="003540F8">
        <w:rPr>
          <w:rFonts w:ascii="Arial" w:hAnsi="Arial" w:cs="Arial"/>
          <w:b/>
          <w:bCs/>
          <w:sz w:val="20"/>
          <w:szCs w:val="20"/>
        </w:rPr>
        <w:t>with BMI</w:t>
      </w:r>
      <w:r w:rsidR="00D512FD" w:rsidRPr="003540F8">
        <w:rPr>
          <w:rFonts w:ascii="Arial" w:hAnsi="Arial" w:cs="Arial"/>
          <w:b/>
          <w:bCs/>
          <w:sz w:val="20"/>
          <w:szCs w:val="20"/>
        </w:rPr>
        <w:t xml:space="preserve"> of the Diabetic </w:t>
      </w:r>
      <w:r w:rsidR="00D647A4" w:rsidRPr="003540F8">
        <w:rPr>
          <w:rFonts w:ascii="Arial" w:hAnsi="Arial" w:cs="Arial"/>
          <w:b/>
          <w:bCs/>
          <w:sz w:val="20"/>
          <w:szCs w:val="20"/>
        </w:rPr>
        <w:t>Patients</w:t>
      </w:r>
      <w:r w:rsidR="00082A80" w:rsidRPr="003540F8">
        <w:rPr>
          <w:rFonts w:ascii="Arial" w:hAnsi="Arial" w:cs="Arial"/>
          <w:b/>
          <w:bCs/>
          <w:sz w:val="20"/>
          <w:szCs w:val="20"/>
        </w:rPr>
        <w:t>.</w:t>
      </w:r>
    </w:p>
    <w:tbl>
      <w:tblPr>
        <w:tblStyle w:val="TableGrid"/>
        <w:tblW w:w="0" w:type="auto"/>
        <w:jc w:val="center"/>
        <w:tblLook w:val="04A0" w:firstRow="1" w:lastRow="0" w:firstColumn="1" w:lastColumn="0" w:noHBand="0" w:noVBand="1"/>
      </w:tblPr>
      <w:tblGrid>
        <w:gridCol w:w="4673"/>
        <w:gridCol w:w="4568"/>
      </w:tblGrid>
      <w:tr w:rsidR="008D3635" w:rsidRPr="003540F8" w14:paraId="2F64681B" w14:textId="77777777" w:rsidTr="00430151">
        <w:trPr>
          <w:trHeight w:val="264"/>
          <w:jc w:val="center"/>
        </w:trPr>
        <w:tc>
          <w:tcPr>
            <w:tcW w:w="4673" w:type="dxa"/>
          </w:tcPr>
          <w:p w14:paraId="4A2D5FD4" w14:textId="4FC9C2C1" w:rsidR="008D3635" w:rsidRPr="00AB3561" w:rsidRDefault="003540F8" w:rsidP="00AB3561">
            <w:pPr>
              <w:jc w:val="center"/>
              <w:rPr>
                <w:rFonts w:ascii="Arial" w:hAnsi="Arial" w:cs="Arial"/>
                <w:b/>
                <w:bCs/>
                <w:sz w:val="20"/>
                <w:szCs w:val="20"/>
              </w:rPr>
            </w:pPr>
            <w:r w:rsidRPr="00AB3561">
              <w:rPr>
                <w:rFonts w:ascii="Arial" w:hAnsi="Arial" w:cs="Arial"/>
                <w:b/>
                <w:bCs/>
                <w:sz w:val="20"/>
                <w:szCs w:val="20"/>
              </w:rPr>
              <w:t>Variables</w:t>
            </w:r>
          </w:p>
        </w:tc>
        <w:tc>
          <w:tcPr>
            <w:tcW w:w="4568" w:type="dxa"/>
          </w:tcPr>
          <w:p w14:paraId="49C21F9B" w14:textId="00AA290C" w:rsidR="008D3635" w:rsidRPr="00AB3561" w:rsidRDefault="00AD7EF0" w:rsidP="00824DF8">
            <w:pPr>
              <w:jc w:val="center"/>
              <w:rPr>
                <w:rFonts w:ascii="Arial" w:hAnsi="Arial" w:cs="Arial"/>
                <w:b/>
                <w:bCs/>
                <w:sz w:val="20"/>
                <w:szCs w:val="20"/>
              </w:rPr>
            </w:pPr>
            <w:r w:rsidRPr="00AB3561">
              <w:rPr>
                <w:rFonts w:ascii="Arial" w:hAnsi="Arial" w:cs="Arial"/>
                <w:b/>
                <w:bCs/>
                <w:sz w:val="20"/>
                <w:szCs w:val="20"/>
              </w:rPr>
              <w:t>P</w:t>
            </w:r>
            <w:r w:rsidR="008D3635" w:rsidRPr="00AB3561">
              <w:rPr>
                <w:rFonts w:ascii="Arial" w:hAnsi="Arial" w:cs="Arial"/>
                <w:b/>
                <w:bCs/>
                <w:sz w:val="20"/>
                <w:szCs w:val="20"/>
              </w:rPr>
              <w:t>-value</w:t>
            </w:r>
          </w:p>
        </w:tc>
      </w:tr>
      <w:tr w:rsidR="00430151" w:rsidRPr="003540F8" w14:paraId="500A6F76" w14:textId="77777777" w:rsidTr="00BA7A1D">
        <w:trPr>
          <w:trHeight w:val="264"/>
          <w:jc w:val="center"/>
        </w:trPr>
        <w:tc>
          <w:tcPr>
            <w:tcW w:w="9241" w:type="dxa"/>
            <w:gridSpan w:val="2"/>
          </w:tcPr>
          <w:p w14:paraId="77335424" w14:textId="6E62A291" w:rsidR="00430151" w:rsidRPr="003540F8" w:rsidRDefault="00430151" w:rsidP="00824DF8">
            <w:pPr>
              <w:jc w:val="center"/>
              <w:rPr>
                <w:rFonts w:ascii="Arial" w:hAnsi="Arial" w:cs="Arial"/>
                <w:b/>
                <w:bCs/>
                <w:sz w:val="20"/>
                <w:szCs w:val="20"/>
              </w:rPr>
            </w:pPr>
            <w:r w:rsidRPr="00AB3561">
              <w:rPr>
                <w:rFonts w:ascii="Arial" w:hAnsi="Arial" w:cs="Arial"/>
                <w:b/>
                <w:bCs/>
                <w:sz w:val="20"/>
                <w:szCs w:val="20"/>
              </w:rPr>
              <w:t xml:space="preserve">Lifestyle Habits </w:t>
            </w:r>
          </w:p>
        </w:tc>
      </w:tr>
      <w:tr w:rsidR="008D3635" w:rsidRPr="003540F8" w14:paraId="41CA8DB6" w14:textId="77777777" w:rsidTr="00430151">
        <w:trPr>
          <w:trHeight w:val="264"/>
          <w:jc w:val="center"/>
        </w:trPr>
        <w:tc>
          <w:tcPr>
            <w:tcW w:w="4673" w:type="dxa"/>
          </w:tcPr>
          <w:p w14:paraId="3B62D5A3" w14:textId="7064E7B3" w:rsidR="008D3635" w:rsidRPr="003540F8" w:rsidRDefault="003540F8" w:rsidP="00824DF8">
            <w:pPr>
              <w:jc w:val="center"/>
              <w:rPr>
                <w:rFonts w:ascii="Arial" w:hAnsi="Arial" w:cs="Arial"/>
                <w:b/>
                <w:bCs/>
                <w:sz w:val="20"/>
                <w:szCs w:val="20"/>
              </w:rPr>
            </w:pPr>
            <w:r w:rsidRPr="003540F8">
              <w:rPr>
                <w:rFonts w:ascii="Arial" w:hAnsi="Arial" w:cs="Arial"/>
                <w:sz w:val="20"/>
                <w:szCs w:val="20"/>
              </w:rPr>
              <w:t>Smoking</w:t>
            </w:r>
          </w:p>
        </w:tc>
        <w:tc>
          <w:tcPr>
            <w:tcW w:w="4568" w:type="dxa"/>
          </w:tcPr>
          <w:p w14:paraId="59AAAAE6" w14:textId="2D2BAB2E" w:rsidR="008D3635" w:rsidRPr="003540F8" w:rsidRDefault="008D3635" w:rsidP="00824DF8">
            <w:pPr>
              <w:jc w:val="center"/>
              <w:rPr>
                <w:rFonts w:ascii="Arial" w:hAnsi="Arial" w:cs="Arial"/>
                <w:sz w:val="20"/>
                <w:szCs w:val="20"/>
              </w:rPr>
            </w:pPr>
            <w:r w:rsidRPr="003540F8">
              <w:rPr>
                <w:rFonts w:ascii="Arial" w:hAnsi="Arial" w:cs="Arial"/>
                <w:sz w:val="20"/>
                <w:szCs w:val="20"/>
              </w:rPr>
              <w:t>0.720</w:t>
            </w:r>
          </w:p>
        </w:tc>
      </w:tr>
      <w:tr w:rsidR="008D3635" w:rsidRPr="003540F8" w14:paraId="5263577B" w14:textId="77777777" w:rsidTr="00430151">
        <w:trPr>
          <w:trHeight w:val="264"/>
          <w:jc w:val="center"/>
        </w:trPr>
        <w:tc>
          <w:tcPr>
            <w:tcW w:w="4673" w:type="dxa"/>
          </w:tcPr>
          <w:p w14:paraId="12AB5B95" w14:textId="7816D597" w:rsidR="008D3635" w:rsidRPr="003540F8" w:rsidRDefault="003540F8" w:rsidP="00824DF8">
            <w:pPr>
              <w:jc w:val="center"/>
              <w:rPr>
                <w:rFonts w:ascii="Arial" w:hAnsi="Arial" w:cs="Arial"/>
                <w:b/>
                <w:bCs/>
                <w:sz w:val="20"/>
                <w:szCs w:val="20"/>
              </w:rPr>
            </w:pPr>
            <w:r w:rsidRPr="003540F8">
              <w:rPr>
                <w:rFonts w:ascii="Arial" w:hAnsi="Arial" w:cs="Arial"/>
                <w:sz w:val="20"/>
                <w:szCs w:val="20"/>
              </w:rPr>
              <w:t>Tobacco</w:t>
            </w:r>
          </w:p>
        </w:tc>
        <w:tc>
          <w:tcPr>
            <w:tcW w:w="4568" w:type="dxa"/>
          </w:tcPr>
          <w:p w14:paraId="52E51C26" w14:textId="51A27F22" w:rsidR="008D3635" w:rsidRPr="003540F8" w:rsidRDefault="008D3635" w:rsidP="00824DF8">
            <w:pPr>
              <w:jc w:val="center"/>
              <w:rPr>
                <w:rFonts w:ascii="Arial" w:hAnsi="Arial" w:cs="Arial"/>
                <w:sz w:val="20"/>
                <w:szCs w:val="20"/>
              </w:rPr>
            </w:pPr>
            <w:r w:rsidRPr="003540F8">
              <w:rPr>
                <w:rFonts w:ascii="Arial" w:hAnsi="Arial" w:cs="Arial"/>
                <w:sz w:val="20"/>
                <w:szCs w:val="20"/>
              </w:rPr>
              <w:t>0.679</w:t>
            </w:r>
          </w:p>
        </w:tc>
      </w:tr>
      <w:tr w:rsidR="008D3635" w:rsidRPr="003540F8" w14:paraId="3D16B8D0" w14:textId="77777777" w:rsidTr="00430151">
        <w:trPr>
          <w:trHeight w:val="264"/>
          <w:jc w:val="center"/>
        </w:trPr>
        <w:tc>
          <w:tcPr>
            <w:tcW w:w="4673" w:type="dxa"/>
          </w:tcPr>
          <w:p w14:paraId="481FF3A2" w14:textId="68D0074F" w:rsidR="008D3635" w:rsidRPr="003540F8" w:rsidRDefault="003540F8" w:rsidP="00824DF8">
            <w:pPr>
              <w:jc w:val="center"/>
              <w:rPr>
                <w:rFonts w:ascii="Arial" w:hAnsi="Arial" w:cs="Arial"/>
                <w:b/>
                <w:bCs/>
                <w:sz w:val="20"/>
                <w:szCs w:val="20"/>
              </w:rPr>
            </w:pPr>
            <w:r w:rsidRPr="003540F8">
              <w:rPr>
                <w:rFonts w:ascii="Arial" w:hAnsi="Arial" w:cs="Arial"/>
                <w:sz w:val="20"/>
                <w:szCs w:val="20"/>
              </w:rPr>
              <w:t>Alcohol</w:t>
            </w:r>
          </w:p>
        </w:tc>
        <w:tc>
          <w:tcPr>
            <w:tcW w:w="4568" w:type="dxa"/>
          </w:tcPr>
          <w:p w14:paraId="0CD2618D" w14:textId="6E01B5B4" w:rsidR="008D3635" w:rsidRPr="003540F8" w:rsidRDefault="008D3635" w:rsidP="00824DF8">
            <w:pPr>
              <w:jc w:val="center"/>
              <w:rPr>
                <w:rFonts w:ascii="Arial" w:hAnsi="Arial" w:cs="Arial"/>
                <w:sz w:val="20"/>
                <w:szCs w:val="20"/>
              </w:rPr>
            </w:pPr>
            <w:r w:rsidRPr="003540F8">
              <w:rPr>
                <w:rFonts w:ascii="Arial" w:hAnsi="Arial" w:cs="Arial"/>
                <w:sz w:val="20"/>
                <w:szCs w:val="20"/>
              </w:rPr>
              <w:t>0.208</w:t>
            </w:r>
          </w:p>
        </w:tc>
      </w:tr>
      <w:tr w:rsidR="008D3635" w:rsidRPr="003540F8" w14:paraId="623ABC11" w14:textId="77777777" w:rsidTr="00430151">
        <w:trPr>
          <w:trHeight w:val="264"/>
          <w:jc w:val="center"/>
        </w:trPr>
        <w:tc>
          <w:tcPr>
            <w:tcW w:w="4673" w:type="dxa"/>
          </w:tcPr>
          <w:p w14:paraId="2BBCD982" w14:textId="543A19BB" w:rsidR="008D3635" w:rsidRPr="003540F8" w:rsidRDefault="003540F8" w:rsidP="00824DF8">
            <w:pPr>
              <w:jc w:val="center"/>
              <w:rPr>
                <w:rFonts w:ascii="Arial" w:hAnsi="Arial" w:cs="Arial"/>
                <w:b/>
                <w:bCs/>
                <w:sz w:val="20"/>
                <w:szCs w:val="20"/>
              </w:rPr>
            </w:pPr>
            <w:r w:rsidRPr="003540F8">
              <w:rPr>
                <w:rFonts w:ascii="Arial" w:hAnsi="Arial" w:cs="Arial"/>
                <w:sz w:val="20"/>
                <w:szCs w:val="20"/>
              </w:rPr>
              <w:t>Food habits</w:t>
            </w:r>
          </w:p>
        </w:tc>
        <w:tc>
          <w:tcPr>
            <w:tcW w:w="4568" w:type="dxa"/>
          </w:tcPr>
          <w:p w14:paraId="06F110D2" w14:textId="39010E01" w:rsidR="008D3635" w:rsidRPr="003540F8" w:rsidRDefault="008D3635" w:rsidP="00824DF8">
            <w:pPr>
              <w:jc w:val="center"/>
              <w:rPr>
                <w:rFonts w:ascii="Arial" w:hAnsi="Arial" w:cs="Arial"/>
                <w:sz w:val="20"/>
                <w:szCs w:val="20"/>
              </w:rPr>
            </w:pPr>
            <w:r w:rsidRPr="003540F8">
              <w:rPr>
                <w:rFonts w:ascii="Arial" w:hAnsi="Arial" w:cs="Arial"/>
                <w:sz w:val="20"/>
                <w:szCs w:val="20"/>
              </w:rPr>
              <w:t>0.122</w:t>
            </w:r>
          </w:p>
        </w:tc>
      </w:tr>
      <w:tr w:rsidR="008D3635" w:rsidRPr="003540F8" w14:paraId="5855AB37" w14:textId="77777777" w:rsidTr="00430151">
        <w:trPr>
          <w:trHeight w:val="264"/>
          <w:jc w:val="center"/>
        </w:trPr>
        <w:tc>
          <w:tcPr>
            <w:tcW w:w="4673" w:type="dxa"/>
          </w:tcPr>
          <w:p w14:paraId="46E73E20" w14:textId="35AC1310" w:rsidR="008D3635" w:rsidRPr="003540F8" w:rsidRDefault="003540F8" w:rsidP="00824DF8">
            <w:pPr>
              <w:jc w:val="center"/>
              <w:rPr>
                <w:rFonts w:ascii="Arial" w:hAnsi="Arial" w:cs="Arial"/>
                <w:b/>
                <w:bCs/>
                <w:sz w:val="20"/>
                <w:szCs w:val="20"/>
              </w:rPr>
            </w:pPr>
            <w:r w:rsidRPr="003540F8">
              <w:rPr>
                <w:rFonts w:ascii="Arial" w:hAnsi="Arial" w:cs="Arial"/>
                <w:sz w:val="20"/>
                <w:szCs w:val="20"/>
              </w:rPr>
              <w:t>Physical activity</w:t>
            </w:r>
          </w:p>
        </w:tc>
        <w:tc>
          <w:tcPr>
            <w:tcW w:w="4568" w:type="dxa"/>
          </w:tcPr>
          <w:p w14:paraId="30472C37" w14:textId="5A034EF0" w:rsidR="008D3635" w:rsidRPr="003540F8" w:rsidRDefault="008D3635" w:rsidP="00824DF8">
            <w:pPr>
              <w:jc w:val="center"/>
              <w:rPr>
                <w:rFonts w:ascii="Arial" w:hAnsi="Arial" w:cs="Arial"/>
                <w:sz w:val="20"/>
                <w:szCs w:val="20"/>
              </w:rPr>
            </w:pPr>
            <w:r w:rsidRPr="003540F8">
              <w:rPr>
                <w:rFonts w:ascii="Arial" w:hAnsi="Arial" w:cs="Arial"/>
                <w:sz w:val="20"/>
                <w:szCs w:val="20"/>
              </w:rPr>
              <w:t>0.002</w:t>
            </w:r>
          </w:p>
        </w:tc>
      </w:tr>
      <w:tr w:rsidR="008D3635" w:rsidRPr="003540F8" w14:paraId="5FA5F25A" w14:textId="77777777" w:rsidTr="00430151">
        <w:trPr>
          <w:trHeight w:val="264"/>
          <w:jc w:val="center"/>
        </w:trPr>
        <w:tc>
          <w:tcPr>
            <w:tcW w:w="4673" w:type="dxa"/>
          </w:tcPr>
          <w:p w14:paraId="6DB97869" w14:textId="0B3D6819" w:rsidR="008D3635" w:rsidRPr="003540F8" w:rsidRDefault="003540F8" w:rsidP="00824DF8">
            <w:pPr>
              <w:jc w:val="center"/>
              <w:rPr>
                <w:rFonts w:ascii="Arial" w:hAnsi="Arial" w:cs="Arial"/>
                <w:b/>
                <w:bCs/>
                <w:sz w:val="20"/>
                <w:szCs w:val="20"/>
              </w:rPr>
            </w:pPr>
            <w:r w:rsidRPr="003540F8">
              <w:rPr>
                <w:rFonts w:ascii="Arial" w:hAnsi="Arial" w:cs="Arial"/>
                <w:sz w:val="20"/>
                <w:szCs w:val="20"/>
              </w:rPr>
              <w:t>Age</w:t>
            </w:r>
          </w:p>
        </w:tc>
        <w:tc>
          <w:tcPr>
            <w:tcW w:w="4568" w:type="dxa"/>
          </w:tcPr>
          <w:p w14:paraId="7F4D3865" w14:textId="33644137" w:rsidR="008D3635" w:rsidRPr="003540F8" w:rsidRDefault="008D3635" w:rsidP="00824DF8">
            <w:pPr>
              <w:jc w:val="center"/>
              <w:rPr>
                <w:rFonts w:ascii="Arial" w:hAnsi="Arial" w:cs="Arial"/>
                <w:sz w:val="20"/>
                <w:szCs w:val="20"/>
              </w:rPr>
            </w:pPr>
            <w:r w:rsidRPr="003540F8">
              <w:rPr>
                <w:rFonts w:ascii="Arial" w:hAnsi="Arial" w:cs="Arial"/>
                <w:sz w:val="20"/>
                <w:szCs w:val="20"/>
              </w:rPr>
              <w:t>0.092</w:t>
            </w:r>
          </w:p>
        </w:tc>
      </w:tr>
      <w:tr w:rsidR="008D3635" w:rsidRPr="003540F8" w14:paraId="3B2436FD" w14:textId="77777777" w:rsidTr="00430151">
        <w:trPr>
          <w:trHeight w:val="264"/>
          <w:jc w:val="center"/>
        </w:trPr>
        <w:tc>
          <w:tcPr>
            <w:tcW w:w="4673" w:type="dxa"/>
          </w:tcPr>
          <w:p w14:paraId="6F59D860" w14:textId="222BAFF1" w:rsidR="008D3635" w:rsidRPr="003540F8" w:rsidRDefault="003540F8" w:rsidP="00824DF8">
            <w:pPr>
              <w:jc w:val="center"/>
              <w:rPr>
                <w:rFonts w:ascii="Arial" w:hAnsi="Arial" w:cs="Arial"/>
                <w:b/>
                <w:bCs/>
                <w:sz w:val="20"/>
                <w:szCs w:val="20"/>
              </w:rPr>
            </w:pPr>
            <w:r w:rsidRPr="003540F8">
              <w:rPr>
                <w:rFonts w:ascii="Arial" w:hAnsi="Arial" w:cs="Arial"/>
                <w:sz w:val="20"/>
                <w:szCs w:val="20"/>
              </w:rPr>
              <w:t>Gender</w:t>
            </w:r>
          </w:p>
        </w:tc>
        <w:tc>
          <w:tcPr>
            <w:tcW w:w="4568" w:type="dxa"/>
          </w:tcPr>
          <w:p w14:paraId="64CEC87F" w14:textId="06F34E58" w:rsidR="008D3635" w:rsidRPr="003540F8" w:rsidRDefault="008D3635" w:rsidP="00824DF8">
            <w:pPr>
              <w:jc w:val="center"/>
              <w:rPr>
                <w:rFonts w:ascii="Arial" w:hAnsi="Arial" w:cs="Arial"/>
                <w:sz w:val="20"/>
                <w:szCs w:val="20"/>
              </w:rPr>
            </w:pPr>
            <w:r w:rsidRPr="003540F8">
              <w:rPr>
                <w:rFonts w:ascii="Arial" w:hAnsi="Arial" w:cs="Arial"/>
                <w:sz w:val="20"/>
                <w:szCs w:val="20"/>
              </w:rPr>
              <w:t>0.001</w:t>
            </w:r>
          </w:p>
        </w:tc>
      </w:tr>
      <w:tr w:rsidR="008D3635" w:rsidRPr="003540F8" w14:paraId="711C6A3A" w14:textId="77777777" w:rsidTr="00430151">
        <w:trPr>
          <w:trHeight w:val="264"/>
          <w:jc w:val="center"/>
        </w:trPr>
        <w:tc>
          <w:tcPr>
            <w:tcW w:w="4673" w:type="dxa"/>
          </w:tcPr>
          <w:p w14:paraId="6DF882FC" w14:textId="63B62B07" w:rsidR="008D3635" w:rsidRPr="003540F8" w:rsidRDefault="003540F8" w:rsidP="00824DF8">
            <w:pPr>
              <w:jc w:val="center"/>
              <w:rPr>
                <w:rFonts w:ascii="Arial" w:hAnsi="Arial" w:cs="Arial"/>
                <w:b/>
                <w:bCs/>
                <w:sz w:val="20"/>
                <w:szCs w:val="20"/>
              </w:rPr>
            </w:pPr>
            <w:r w:rsidRPr="003540F8">
              <w:rPr>
                <w:rFonts w:ascii="Arial" w:hAnsi="Arial" w:cs="Arial"/>
                <w:sz w:val="20"/>
                <w:szCs w:val="20"/>
              </w:rPr>
              <w:t>Marital status</w:t>
            </w:r>
          </w:p>
        </w:tc>
        <w:tc>
          <w:tcPr>
            <w:tcW w:w="4568" w:type="dxa"/>
          </w:tcPr>
          <w:p w14:paraId="71C5F02F" w14:textId="527FD725" w:rsidR="008D3635" w:rsidRPr="003540F8" w:rsidRDefault="008D3635" w:rsidP="00824DF8">
            <w:pPr>
              <w:jc w:val="center"/>
              <w:rPr>
                <w:rFonts w:ascii="Arial" w:hAnsi="Arial" w:cs="Arial"/>
                <w:sz w:val="20"/>
                <w:szCs w:val="20"/>
              </w:rPr>
            </w:pPr>
            <w:r w:rsidRPr="003540F8">
              <w:rPr>
                <w:rFonts w:ascii="Arial" w:hAnsi="Arial" w:cs="Arial"/>
                <w:sz w:val="20"/>
                <w:szCs w:val="20"/>
              </w:rPr>
              <w:t>0.798</w:t>
            </w:r>
          </w:p>
        </w:tc>
      </w:tr>
      <w:tr w:rsidR="008D3635" w:rsidRPr="003540F8" w14:paraId="73E3A7B5" w14:textId="77777777" w:rsidTr="00430151">
        <w:trPr>
          <w:trHeight w:val="264"/>
          <w:jc w:val="center"/>
        </w:trPr>
        <w:tc>
          <w:tcPr>
            <w:tcW w:w="4673" w:type="dxa"/>
          </w:tcPr>
          <w:p w14:paraId="69632500" w14:textId="295F9AA0" w:rsidR="008D3635" w:rsidRPr="003540F8" w:rsidRDefault="003540F8" w:rsidP="00824DF8">
            <w:pPr>
              <w:jc w:val="center"/>
              <w:rPr>
                <w:rFonts w:ascii="Arial" w:hAnsi="Arial" w:cs="Arial"/>
                <w:b/>
                <w:bCs/>
                <w:sz w:val="20"/>
                <w:szCs w:val="20"/>
              </w:rPr>
            </w:pPr>
            <w:r w:rsidRPr="003540F8">
              <w:rPr>
                <w:rFonts w:ascii="Arial" w:hAnsi="Arial" w:cs="Arial"/>
                <w:sz w:val="20"/>
                <w:szCs w:val="20"/>
              </w:rPr>
              <w:t>WHR</w:t>
            </w:r>
          </w:p>
        </w:tc>
        <w:tc>
          <w:tcPr>
            <w:tcW w:w="4568" w:type="dxa"/>
          </w:tcPr>
          <w:p w14:paraId="1B8F5EB3" w14:textId="53521242" w:rsidR="008D3635" w:rsidRPr="003540F8" w:rsidRDefault="008D3635" w:rsidP="00824DF8">
            <w:pPr>
              <w:jc w:val="center"/>
              <w:rPr>
                <w:rFonts w:ascii="Arial" w:hAnsi="Arial" w:cs="Arial"/>
                <w:sz w:val="20"/>
                <w:szCs w:val="20"/>
              </w:rPr>
            </w:pPr>
            <w:r w:rsidRPr="003540F8">
              <w:rPr>
                <w:rFonts w:ascii="Arial" w:hAnsi="Arial" w:cs="Arial"/>
                <w:sz w:val="20"/>
                <w:szCs w:val="20"/>
              </w:rPr>
              <w:t>0.000</w:t>
            </w:r>
          </w:p>
        </w:tc>
      </w:tr>
      <w:tr w:rsidR="008D3635" w:rsidRPr="003540F8" w14:paraId="1C62EDE0" w14:textId="77777777" w:rsidTr="00430151">
        <w:trPr>
          <w:trHeight w:val="264"/>
          <w:jc w:val="center"/>
        </w:trPr>
        <w:tc>
          <w:tcPr>
            <w:tcW w:w="4673" w:type="dxa"/>
          </w:tcPr>
          <w:p w14:paraId="118EA64B" w14:textId="15632D69" w:rsidR="008D3635" w:rsidRPr="003540F8" w:rsidRDefault="003540F8" w:rsidP="00824DF8">
            <w:pPr>
              <w:jc w:val="center"/>
              <w:rPr>
                <w:rFonts w:ascii="Arial" w:hAnsi="Arial" w:cs="Arial"/>
                <w:b/>
                <w:bCs/>
                <w:sz w:val="20"/>
                <w:szCs w:val="20"/>
              </w:rPr>
            </w:pPr>
            <w:r w:rsidRPr="003540F8">
              <w:rPr>
                <w:rFonts w:ascii="Arial" w:hAnsi="Arial" w:cs="Arial"/>
                <w:sz w:val="20"/>
                <w:szCs w:val="20"/>
              </w:rPr>
              <w:t>Socio-economic status</w:t>
            </w:r>
          </w:p>
        </w:tc>
        <w:tc>
          <w:tcPr>
            <w:tcW w:w="4568" w:type="dxa"/>
          </w:tcPr>
          <w:p w14:paraId="288E5008" w14:textId="1A546947" w:rsidR="008D3635" w:rsidRPr="003540F8" w:rsidRDefault="008D3635" w:rsidP="00824DF8">
            <w:pPr>
              <w:jc w:val="center"/>
              <w:rPr>
                <w:rFonts w:ascii="Arial" w:hAnsi="Arial" w:cs="Arial"/>
                <w:sz w:val="20"/>
                <w:szCs w:val="20"/>
              </w:rPr>
            </w:pPr>
            <w:r w:rsidRPr="003540F8">
              <w:rPr>
                <w:rFonts w:ascii="Arial" w:hAnsi="Arial" w:cs="Arial"/>
                <w:sz w:val="20"/>
                <w:szCs w:val="20"/>
              </w:rPr>
              <w:t>0.619</w:t>
            </w:r>
          </w:p>
        </w:tc>
      </w:tr>
    </w:tbl>
    <w:p w14:paraId="444EAEDC" w14:textId="2341230D" w:rsidR="00322C64" w:rsidRPr="00322C64" w:rsidRDefault="00322C64" w:rsidP="00322C64">
      <w:pPr>
        <w:spacing w:before="240" w:line="240" w:lineRule="auto"/>
        <w:jc w:val="both"/>
        <w:rPr>
          <w:rFonts w:ascii="Arial" w:hAnsi="Arial" w:cs="Arial"/>
          <w:b/>
          <w:bCs/>
          <w:sz w:val="22"/>
        </w:rPr>
      </w:pPr>
      <w:r w:rsidRPr="00322C64">
        <w:rPr>
          <w:rFonts w:ascii="Arial" w:hAnsi="Arial" w:cs="Arial"/>
          <w:sz w:val="20"/>
          <w:szCs w:val="20"/>
        </w:rPr>
        <w:t xml:space="preserve">Table 4 reveals significant correlations between </w:t>
      </w:r>
      <w:r>
        <w:rPr>
          <w:rFonts w:ascii="Arial" w:hAnsi="Arial" w:cs="Arial"/>
          <w:sz w:val="20"/>
          <w:szCs w:val="20"/>
        </w:rPr>
        <w:t>body mass index</w:t>
      </w:r>
      <w:r w:rsidRPr="00322C64">
        <w:rPr>
          <w:rFonts w:ascii="Arial" w:hAnsi="Arial" w:cs="Arial"/>
          <w:sz w:val="20"/>
          <w:szCs w:val="20"/>
        </w:rPr>
        <w:t xml:space="preserve"> (BMI) and physical activity (P = 0.002), gender (P = 0.001), and waist-hip ratio (WHR) (P = 0.000). These findings show that the involvement of individuals in physical activity, gender, and body fat distribution mostly affect BMI. BMI showed no significant relationship with some </w:t>
      </w:r>
      <w:r w:rsidR="009070E0">
        <w:rPr>
          <w:rFonts w:ascii="Arial" w:hAnsi="Arial" w:cs="Arial"/>
          <w:sz w:val="20"/>
          <w:szCs w:val="20"/>
        </w:rPr>
        <w:t>variables,</w:t>
      </w:r>
      <w:r w:rsidRPr="00322C64">
        <w:rPr>
          <w:rFonts w:ascii="Arial" w:hAnsi="Arial" w:cs="Arial"/>
          <w:sz w:val="20"/>
          <w:szCs w:val="20"/>
        </w:rPr>
        <w:t xml:space="preserve"> including smoking, tobacco use, alcohol use, dietary patterns, age, marital status, and socioeconomic status (P&gt; 0.05). A study published in BMC Public Health, for instance, confirmed that lower levels of physical activity are significantly linked with higher BMI, especially in adults, </w:t>
      </w:r>
      <w:r w:rsidR="009070E0">
        <w:rPr>
          <w:rFonts w:ascii="Arial" w:hAnsi="Arial" w:cs="Arial"/>
          <w:sz w:val="20"/>
          <w:szCs w:val="20"/>
        </w:rPr>
        <w:t>thus</w:t>
      </w:r>
      <w:r w:rsidRPr="00322C64">
        <w:rPr>
          <w:rFonts w:ascii="Arial" w:hAnsi="Arial" w:cs="Arial"/>
          <w:sz w:val="20"/>
          <w:szCs w:val="20"/>
        </w:rPr>
        <w:t xml:space="preserve"> supporting the function exercise performs in weight control (Gebremariam et al., 2020). Studies show that the variations in fat and muscle mass between men and women affect BMI and its reading. For instance, at the same </w:t>
      </w:r>
      <w:r w:rsidR="009070E0">
        <w:rPr>
          <w:rFonts w:ascii="Arial" w:hAnsi="Arial" w:cs="Arial"/>
          <w:sz w:val="20"/>
          <w:szCs w:val="20"/>
        </w:rPr>
        <w:t>BMI,</w:t>
      </w:r>
      <w:r w:rsidRPr="00322C64">
        <w:rPr>
          <w:rFonts w:ascii="Arial" w:hAnsi="Arial" w:cs="Arial"/>
          <w:sz w:val="20"/>
          <w:szCs w:val="20"/>
        </w:rPr>
        <w:t xml:space="preserve"> women often have more body fat than males (WHO, 2021). Studies have shown that the waist-hip ratio (WHR), a measure of central obesity, is a more consistent predictor of health risks than BMI. A study released in the Journal of Clinical Endocrinology &amp; Metabolism underlined waist-hip ratio's (WHR) relevance in assessing obesity and related health issues by showing that it is usually a better predictor of heart and metabolic disorders than BMI. The results of this study confirm the present scientific knowledge underlining the major influence that gender, physical activity, and waist-hip ratio (WHR) have in forming body mass index (BMI). Apart from their statistical relevance in this study, these elements are also well known in the literature as significant drivers of body composition and weight status.</w:t>
      </w:r>
    </w:p>
    <w:p w14:paraId="61151841" w14:textId="4F13C3E3" w:rsidR="00ED2FC2" w:rsidRPr="003540F8" w:rsidRDefault="00F57A53" w:rsidP="00824DF8">
      <w:pPr>
        <w:pStyle w:val="ListParagraph"/>
        <w:numPr>
          <w:ilvl w:val="0"/>
          <w:numId w:val="26"/>
        </w:numPr>
        <w:spacing w:line="240" w:lineRule="auto"/>
        <w:ind w:left="426"/>
        <w:jc w:val="both"/>
        <w:rPr>
          <w:rFonts w:ascii="Arial" w:hAnsi="Arial" w:cs="Arial"/>
          <w:b/>
          <w:bCs/>
          <w:sz w:val="22"/>
        </w:rPr>
      </w:pPr>
      <w:r w:rsidRPr="003540F8">
        <w:rPr>
          <w:rFonts w:ascii="Arial" w:hAnsi="Arial" w:cs="Arial"/>
          <w:b/>
          <w:bCs/>
          <w:sz w:val="22"/>
        </w:rPr>
        <w:t>CONCLUSION</w:t>
      </w:r>
    </w:p>
    <w:p w14:paraId="7E8E07E0" w14:textId="083E27C8" w:rsidR="009070E0" w:rsidRDefault="009070E0" w:rsidP="00322C64">
      <w:pPr>
        <w:spacing w:line="240" w:lineRule="auto"/>
        <w:jc w:val="both"/>
        <w:rPr>
          <w:rFonts w:ascii="Arial" w:hAnsi="Arial" w:cs="Arial"/>
          <w:sz w:val="20"/>
          <w:szCs w:val="20"/>
        </w:rPr>
      </w:pPr>
      <w:r w:rsidRPr="009070E0">
        <w:rPr>
          <w:rFonts w:ascii="Arial" w:hAnsi="Arial" w:cs="Arial"/>
          <w:sz w:val="20"/>
          <w:szCs w:val="20"/>
        </w:rPr>
        <w:t xml:space="preserve">This study emphasizes the significant influence of physical activity, gender, and waist-hip ratio (WHR) on body mass index (BMI), highlighting the effects of lifestyle and sociodemographic factors. These three factors demonstrated statistically significant correlations with BMI, suggesting their importance in the management and progression of obesity and associated metabolic disorders. Physical exercise is the most important lifestyle component that affects </w:t>
      </w:r>
      <w:r>
        <w:rPr>
          <w:rFonts w:ascii="Arial" w:hAnsi="Arial" w:cs="Arial"/>
          <w:sz w:val="20"/>
          <w:szCs w:val="20"/>
        </w:rPr>
        <w:t>the BMI</w:t>
      </w:r>
      <w:r w:rsidRPr="009070E0">
        <w:rPr>
          <w:rFonts w:ascii="Arial" w:hAnsi="Arial" w:cs="Arial"/>
          <w:sz w:val="20"/>
          <w:szCs w:val="20"/>
        </w:rPr>
        <w:t xml:space="preserve"> of the body.  Regular moderate to intense physical exercise helps keep your energy levels in check, burn fat, and keep your lean body mass. Research consistently provides that inactive individuals have a higher BMI and an increased probability of obesity. A </w:t>
      </w:r>
      <w:r>
        <w:rPr>
          <w:rFonts w:ascii="Arial" w:hAnsi="Arial" w:cs="Arial"/>
          <w:sz w:val="20"/>
          <w:szCs w:val="20"/>
        </w:rPr>
        <w:t>research</w:t>
      </w:r>
      <w:r w:rsidRPr="009070E0">
        <w:rPr>
          <w:rFonts w:ascii="Arial" w:hAnsi="Arial" w:cs="Arial"/>
          <w:sz w:val="20"/>
          <w:szCs w:val="20"/>
        </w:rPr>
        <w:t xml:space="preserve"> article published in </w:t>
      </w:r>
      <w:r>
        <w:rPr>
          <w:rFonts w:ascii="Arial" w:hAnsi="Arial" w:cs="Arial"/>
          <w:sz w:val="20"/>
          <w:szCs w:val="20"/>
        </w:rPr>
        <w:t>the BMC</w:t>
      </w:r>
      <w:r w:rsidRPr="009070E0">
        <w:rPr>
          <w:rFonts w:ascii="Arial" w:hAnsi="Arial" w:cs="Arial"/>
          <w:sz w:val="20"/>
          <w:szCs w:val="20"/>
        </w:rPr>
        <w:t xml:space="preserve"> Public Health journal shows </w:t>
      </w:r>
      <w:r>
        <w:rPr>
          <w:rFonts w:ascii="Arial" w:hAnsi="Arial" w:cs="Arial"/>
          <w:sz w:val="20"/>
          <w:szCs w:val="20"/>
        </w:rPr>
        <w:t>an association</w:t>
      </w:r>
      <w:r w:rsidRPr="009070E0">
        <w:rPr>
          <w:rFonts w:ascii="Arial" w:hAnsi="Arial" w:cs="Arial"/>
          <w:sz w:val="20"/>
          <w:szCs w:val="20"/>
        </w:rPr>
        <w:t xml:space="preserve"> between increased physical activity and lower </w:t>
      </w:r>
      <w:r>
        <w:rPr>
          <w:rFonts w:ascii="Arial" w:hAnsi="Arial" w:cs="Arial"/>
          <w:sz w:val="20"/>
          <w:szCs w:val="20"/>
        </w:rPr>
        <w:t xml:space="preserve">BMI </w:t>
      </w:r>
      <w:r w:rsidRPr="009070E0">
        <w:rPr>
          <w:rFonts w:ascii="Arial" w:hAnsi="Arial" w:cs="Arial"/>
          <w:sz w:val="20"/>
          <w:szCs w:val="20"/>
        </w:rPr>
        <w:t xml:space="preserve">and also enhanced metabolic health. </w:t>
      </w:r>
    </w:p>
    <w:p w14:paraId="79F0E24F" w14:textId="12EAB8C0" w:rsidR="009070E0" w:rsidRDefault="009070E0" w:rsidP="00322C64">
      <w:pPr>
        <w:spacing w:line="240" w:lineRule="auto"/>
        <w:jc w:val="both"/>
        <w:rPr>
          <w:rFonts w:ascii="Arial" w:hAnsi="Arial" w:cs="Arial"/>
          <w:sz w:val="20"/>
          <w:szCs w:val="20"/>
        </w:rPr>
      </w:pPr>
      <w:r w:rsidRPr="009070E0">
        <w:rPr>
          <w:rFonts w:ascii="Arial" w:hAnsi="Arial" w:cs="Arial"/>
          <w:sz w:val="20"/>
          <w:szCs w:val="20"/>
        </w:rPr>
        <w:t xml:space="preserve">This finding </w:t>
      </w:r>
      <w:r>
        <w:rPr>
          <w:rFonts w:ascii="Arial" w:hAnsi="Arial" w:cs="Arial"/>
          <w:sz w:val="20"/>
          <w:szCs w:val="20"/>
        </w:rPr>
        <w:t>emphasizes</w:t>
      </w:r>
      <w:r w:rsidRPr="009070E0">
        <w:rPr>
          <w:rFonts w:ascii="Arial" w:hAnsi="Arial" w:cs="Arial"/>
          <w:sz w:val="20"/>
          <w:szCs w:val="20"/>
        </w:rPr>
        <w:t xml:space="preserve"> the essential requirement to promote active lifestyles within obesity management and prevention strategies. The variation in BMI is significantly influenced by gender. Males and females differ biologically and hormonally in terms of fat distribution, muscle mass, and metabolic rate, which influences BMI.   Women have higher body fat percentages than men at similar BMI levels, with body fat largely distributed in the hip and thigh regions.   However, males have a higher propensity to accumulate central body fat. These changes may have an effect on the BMI </w:t>
      </w:r>
      <w:r>
        <w:rPr>
          <w:rFonts w:ascii="Arial" w:hAnsi="Arial" w:cs="Arial"/>
          <w:sz w:val="20"/>
          <w:szCs w:val="20"/>
        </w:rPr>
        <w:t>and what</w:t>
      </w:r>
      <w:r w:rsidRPr="009070E0">
        <w:rPr>
          <w:rFonts w:ascii="Arial" w:hAnsi="Arial" w:cs="Arial"/>
          <w:sz w:val="20"/>
          <w:szCs w:val="20"/>
        </w:rPr>
        <w:t xml:space="preserve"> it means for health. Thus, gender-specific methods may be required when developing weight management interventions (Bhurosy &amp; Jeewon, 2014).  The waist-hip ratio (WHR) indicates the fat distribution in the body, particularly central or abdominal obesity. It also has demonstrated higher accuracy than body mass index (BMI) alone in predicting the risk related to metabolism and cardiovascular disease. Central obesity is closely associated with insulin </w:t>
      </w:r>
      <w:r w:rsidRPr="009070E0">
        <w:rPr>
          <w:rFonts w:ascii="Arial" w:hAnsi="Arial" w:cs="Arial"/>
          <w:sz w:val="20"/>
          <w:szCs w:val="20"/>
        </w:rPr>
        <w:lastRenderedPageBreak/>
        <w:t xml:space="preserve">resistance, type 2 diabetes, and cardiovascular diseases. This study found the significant association between body mass index (BMI) and waist-to-hip ratio </w:t>
      </w:r>
      <w:r>
        <w:rPr>
          <w:rFonts w:ascii="Arial" w:hAnsi="Arial" w:cs="Arial"/>
          <w:sz w:val="20"/>
          <w:szCs w:val="20"/>
        </w:rPr>
        <w:t>(WHR),</w:t>
      </w:r>
      <w:r w:rsidRPr="009070E0">
        <w:rPr>
          <w:rFonts w:ascii="Arial" w:hAnsi="Arial" w:cs="Arial"/>
          <w:sz w:val="20"/>
          <w:szCs w:val="20"/>
        </w:rPr>
        <w:t xml:space="preserve"> which points to the importance of incorporating waist hip ratio as </w:t>
      </w:r>
      <w:r>
        <w:rPr>
          <w:rFonts w:ascii="Arial" w:hAnsi="Arial" w:cs="Arial"/>
          <w:sz w:val="20"/>
          <w:szCs w:val="20"/>
        </w:rPr>
        <w:t>an additional</w:t>
      </w:r>
      <w:r w:rsidRPr="009070E0">
        <w:rPr>
          <w:rFonts w:ascii="Arial" w:hAnsi="Arial" w:cs="Arial"/>
          <w:sz w:val="20"/>
          <w:szCs w:val="20"/>
        </w:rPr>
        <w:t xml:space="preserve"> parameter in the assessment of obesity. A higher waist-to-hip ratio (WHR) shows an increased amount of visceral fat, which is metabolically active and more dangerous compared to subcutaneous fat. This present study emphasizes the importance </w:t>
      </w:r>
      <w:r>
        <w:rPr>
          <w:rFonts w:ascii="Arial" w:hAnsi="Arial" w:cs="Arial"/>
          <w:sz w:val="20"/>
          <w:szCs w:val="20"/>
        </w:rPr>
        <w:t>of</w:t>
      </w:r>
      <w:r w:rsidRPr="009070E0">
        <w:rPr>
          <w:rFonts w:ascii="Arial" w:hAnsi="Arial" w:cs="Arial"/>
          <w:sz w:val="20"/>
          <w:szCs w:val="20"/>
        </w:rPr>
        <w:t xml:space="preserve"> encouraging physical activity, using specifically </w:t>
      </w:r>
      <w:r>
        <w:rPr>
          <w:rFonts w:ascii="Arial" w:hAnsi="Arial" w:cs="Arial"/>
          <w:sz w:val="20"/>
          <w:szCs w:val="20"/>
        </w:rPr>
        <w:t>gender-oriented approaches</w:t>
      </w:r>
      <w:r w:rsidRPr="009070E0">
        <w:rPr>
          <w:rFonts w:ascii="Arial" w:hAnsi="Arial" w:cs="Arial"/>
          <w:sz w:val="20"/>
          <w:szCs w:val="20"/>
        </w:rPr>
        <w:t xml:space="preserve">, and </w:t>
      </w:r>
      <w:r>
        <w:rPr>
          <w:rFonts w:ascii="Arial" w:hAnsi="Arial" w:cs="Arial"/>
          <w:sz w:val="20"/>
          <w:szCs w:val="20"/>
        </w:rPr>
        <w:t>monitoring</w:t>
      </w:r>
      <w:r w:rsidRPr="009070E0">
        <w:rPr>
          <w:rFonts w:ascii="Arial" w:hAnsi="Arial" w:cs="Arial"/>
          <w:sz w:val="20"/>
          <w:szCs w:val="20"/>
        </w:rPr>
        <w:t xml:space="preserve"> waist-to-hip ratio (WHR) in health programs to combat obesity and related health issues. Public health policies should focus on the promotion of healthy lifestyles, incorporating strategies related to </w:t>
      </w:r>
      <w:r>
        <w:rPr>
          <w:rFonts w:ascii="Arial" w:hAnsi="Arial" w:cs="Arial"/>
          <w:sz w:val="20"/>
          <w:szCs w:val="20"/>
        </w:rPr>
        <w:t>gender sensitivity</w:t>
      </w:r>
      <w:r w:rsidRPr="009070E0">
        <w:rPr>
          <w:rFonts w:ascii="Arial" w:hAnsi="Arial" w:cs="Arial"/>
          <w:sz w:val="20"/>
          <w:szCs w:val="20"/>
        </w:rPr>
        <w:t xml:space="preserve">, and </w:t>
      </w:r>
      <w:r>
        <w:rPr>
          <w:rFonts w:ascii="Arial" w:hAnsi="Arial" w:cs="Arial"/>
          <w:sz w:val="20"/>
          <w:szCs w:val="20"/>
        </w:rPr>
        <w:t>monitoring</w:t>
      </w:r>
      <w:r w:rsidRPr="009070E0">
        <w:rPr>
          <w:rFonts w:ascii="Arial" w:hAnsi="Arial" w:cs="Arial"/>
          <w:sz w:val="20"/>
          <w:szCs w:val="20"/>
        </w:rPr>
        <w:t xml:space="preserve"> abdominal fat distribution to effectively manage the rising obesity and prevent associated chronic diseases such as type 2 diabetes and cardiovascular diseases.</w:t>
      </w:r>
    </w:p>
    <w:p w14:paraId="0019CE88" w14:textId="317BEAF1" w:rsidR="00602379" w:rsidRPr="003540F8" w:rsidRDefault="00602379" w:rsidP="00322C64">
      <w:pPr>
        <w:spacing w:line="240" w:lineRule="auto"/>
        <w:jc w:val="both"/>
        <w:rPr>
          <w:rFonts w:ascii="Arial" w:hAnsi="Arial" w:cs="Arial"/>
          <w:b/>
          <w:bCs/>
          <w:sz w:val="22"/>
        </w:rPr>
      </w:pPr>
      <w:r w:rsidRPr="003540F8">
        <w:rPr>
          <w:rFonts w:ascii="Arial" w:hAnsi="Arial" w:cs="Arial"/>
          <w:b/>
          <w:bCs/>
          <w:sz w:val="22"/>
        </w:rPr>
        <w:t>DECLARATIONS</w:t>
      </w:r>
    </w:p>
    <w:p w14:paraId="3047AB83" w14:textId="07A98C05" w:rsidR="00602379" w:rsidRPr="003540F8" w:rsidRDefault="00602379" w:rsidP="00EB4E3E">
      <w:pPr>
        <w:spacing w:line="240" w:lineRule="auto"/>
        <w:jc w:val="both"/>
        <w:rPr>
          <w:rFonts w:ascii="Arial" w:hAnsi="Arial" w:cs="Arial"/>
          <w:sz w:val="20"/>
          <w:szCs w:val="20"/>
        </w:rPr>
      </w:pPr>
      <w:r w:rsidRPr="003540F8">
        <w:rPr>
          <w:rFonts w:ascii="Arial" w:hAnsi="Arial" w:cs="Arial"/>
          <w:b/>
          <w:bCs/>
          <w:sz w:val="20"/>
          <w:szCs w:val="20"/>
        </w:rPr>
        <w:t>Ethics approval and consent to participate</w:t>
      </w:r>
      <w:r w:rsidR="00A03486" w:rsidRPr="003540F8">
        <w:rPr>
          <w:rFonts w:ascii="Arial" w:hAnsi="Arial" w:cs="Arial"/>
          <w:sz w:val="20"/>
          <w:szCs w:val="20"/>
        </w:rPr>
        <w:t xml:space="preserve">: The </w:t>
      </w:r>
      <w:r w:rsidR="00BF2441" w:rsidRPr="003540F8">
        <w:rPr>
          <w:rFonts w:ascii="Arial" w:hAnsi="Arial" w:cs="Arial"/>
          <w:sz w:val="20"/>
          <w:szCs w:val="20"/>
        </w:rPr>
        <w:t>data</w:t>
      </w:r>
      <w:r w:rsidR="00A03486" w:rsidRPr="003540F8">
        <w:rPr>
          <w:rFonts w:ascii="Arial" w:hAnsi="Arial" w:cs="Arial"/>
          <w:sz w:val="20"/>
          <w:szCs w:val="20"/>
        </w:rPr>
        <w:t xml:space="preserve"> collection started after the consent of patients </w:t>
      </w:r>
      <w:r w:rsidR="004D4EB2" w:rsidRPr="003540F8">
        <w:rPr>
          <w:rFonts w:ascii="Arial" w:hAnsi="Arial" w:cs="Arial"/>
          <w:sz w:val="20"/>
          <w:szCs w:val="20"/>
        </w:rPr>
        <w:t xml:space="preserve">to participate in the study </w:t>
      </w:r>
      <w:r w:rsidR="00A03486" w:rsidRPr="003540F8">
        <w:rPr>
          <w:rFonts w:ascii="Arial" w:hAnsi="Arial" w:cs="Arial"/>
          <w:sz w:val="20"/>
          <w:szCs w:val="20"/>
        </w:rPr>
        <w:t xml:space="preserve">and </w:t>
      </w:r>
      <w:r w:rsidR="004D4EB2" w:rsidRPr="003540F8">
        <w:rPr>
          <w:rFonts w:ascii="Arial" w:hAnsi="Arial" w:cs="Arial"/>
          <w:sz w:val="20"/>
          <w:szCs w:val="20"/>
        </w:rPr>
        <w:t>the ethical approval</w:t>
      </w:r>
      <w:r w:rsidR="00A03486" w:rsidRPr="003540F8">
        <w:rPr>
          <w:rFonts w:ascii="Arial" w:hAnsi="Arial" w:cs="Arial"/>
          <w:sz w:val="20"/>
          <w:szCs w:val="20"/>
        </w:rPr>
        <w:t xml:space="preserve"> was granted by the Ethics Committee of the Institute of Science, BHU, Varanasi. The committee's registration number is ECR/226/</w:t>
      </w:r>
      <w:proofErr w:type="spellStart"/>
      <w:r w:rsidR="00A03486" w:rsidRPr="003540F8">
        <w:rPr>
          <w:rFonts w:ascii="Arial" w:hAnsi="Arial" w:cs="Arial"/>
          <w:sz w:val="20"/>
          <w:szCs w:val="20"/>
        </w:rPr>
        <w:t>Indt</w:t>
      </w:r>
      <w:proofErr w:type="spellEnd"/>
      <w:r w:rsidR="00A03486" w:rsidRPr="003540F8">
        <w:rPr>
          <w:rFonts w:ascii="Arial" w:hAnsi="Arial" w:cs="Arial"/>
          <w:sz w:val="20"/>
          <w:szCs w:val="20"/>
        </w:rPr>
        <w:t>/UP/2014/RR-22, dated January 4, 2022, and it is registered under Rule 122DD of the Drugs &amp; Cosmetics Rule 1945.</w:t>
      </w:r>
    </w:p>
    <w:p w14:paraId="0E6D5058" w14:textId="645B1A20" w:rsidR="007C126A" w:rsidRPr="003540F8" w:rsidRDefault="007C126A" w:rsidP="00EB4E3E">
      <w:pPr>
        <w:spacing w:line="240" w:lineRule="auto"/>
        <w:jc w:val="both"/>
        <w:rPr>
          <w:rFonts w:ascii="Arial" w:hAnsi="Arial" w:cs="Arial"/>
          <w:sz w:val="20"/>
          <w:szCs w:val="20"/>
        </w:rPr>
      </w:pPr>
    </w:p>
    <w:p w14:paraId="160638BC" w14:textId="50E8EC35" w:rsidR="007C126A" w:rsidRPr="003540F8" w:rsidRDefault="007C126A" w:rsidP="00EB4E3E">
      <w:pPr>
        <w:spacing w:line="240" w:lineRule="auto"/>
        <w:jc w:val="both"/>
        <w:rPr>
          <w:rFonts w:ascii="Arial" w:hAnsi="Arial" w:cs="Arial"/>
          <w:sz w:val="20"/>
          <w:szCs w:val="20"/>
        </w:rPr>
      </w:pPr>
    </w:p>
    <w:p w14:paraId="7F756E26" w14:textId="77777777" w:rsidR="007C126A" w:rsidRPr="003540F8" w:rsidRDefault="007C126A" w:rsidP="007C126A">
      <w:pPr>
        <w:spacing w:after="200" w:line="276" w:lineRule="auto"/>
        <w:rPr>
          <w:rFonts w:ascii="Arial" w:eastAsia="Calibri" w:hAnsi="Arial" w:cs="Arial"/>
          <w:sz w:val="22"/>
          <w:highlight w:val="yellow"/>
          <w:lang w:val="en-US"/>
        </w:rPr>
      </w:pPr>
      <w:r w:rsidRPr="003540F8">
        <w:rPr>
          <w:rFonts w:ascii="Arial" w:eastAsia="Calibri" w:hAnsi="Arial" w:cs="Arial"/>
          <w:sz w:val="22"/>
          <w:highlight w:val="yellow"/>
          <w:lang w:val="en-US"/>
        </w:rPr>
        <w:t>Disclaimer (Artificial intelligence)</w:t>
      </w:r>
    </w:p>
    <w:p w14:paraId="570FAB9A" w14:textId="756234C8" w:rsidR="007C126A" w:rsidRPr="003540F8" w:rsidRDefault="007C126A" w:rsidP="007C126A">
      <w:pPr>
        <w:spacing w:after="200" w:line="276" w:lineRule="auto"/>
        <w:rPr>
          <w:rFonts w:ascii="Arial" w:eastAsia="Calibri" w:hAnsi="Arial" w:cs="Arial"/>
          <w:sz w:val="22"/>
          <w:highlight w:val="yellow"/>
          <w:lang w:val="en-US"/>
        </w:rPr>
      </w:pPr>
      <w:r w:rsidRPr="003540F8">
        <w:rPr>
          <w:rFonts w:ascii="Arial" w:eastAsia="Calibri" w:hAnsi="Arial" w:cs="Arial"/>
          <w:sz w:val="22"/>
          <w:highlight w:val="yellow"/>
          <w:lang w:val="en-US"/>
        </w:rPr>
        <w:t xml:space="preserve">Option 1: </w:t>
      </w:r>
      <w:r w:rsidR="00430151">
        <w:rPr>
          <w:rFonts w:ascii="Arial" w:eastAsia="Calibri" w:hAnsi="Arial" w:cs="Arial"/>
          <w:sz w:val="22"/>
          <w:highlight w:val="yellow"/>
          <w:lang w:val="en-US"/>
        </w:rPr>
        <w:t>No generative AI technologies were used in the article.</w:t>
      </w:r>
    </w:p>
    <w:p w14:paraId="0F372045" w14:textId="77777777" w:rsidR="007C126A" w:rsidRPr="003540F8" w:rsidRDefault="007C126A" w:rsidP="007C126A">
      <w:pPr>
        <w:spacing w:after="200" w:line="276" w:lineRule="auto"/>
        <w:rPr>
          <w:rFonts w:ascii="Arial" w:eastAsia="Calibri" w:hAnsi="Arial" w:cs="Arial"/>
          <w:sz w:val="22"/>
          <w:highlight w:val="yellow"/>
          <w:lang w:val="en-US"/>
        </w:rPr>
      </w:pPr>
      <w:r w:rsidRPr="003540F8">
        <w:rPr>
          <w:rFonts w:ascii="Arial" w:eastAsia="Calibri" w:hAnsi="Arial" w:cs="Arial"/>
          <w:sz w:val="22"/>
          <w:highlight w:val="yellow"/>
          <w:lang w:val="en-US"/>
        </w:rPr>
        <w:t xml:space="preserve">Author(s) hereby </w:t>
      </w:r>
      <w:proofErr w:type="gramStart"/>
      <w:r w:rsidRPr="003540F8">
        <w:rPr>
          <w:rFonts w:ascii="Arial" w:eastAsia="Calibri" w:hAnsi="Arial" w:cs="Arial"/>
          <w:sz w:val="22"/>
          <w:highlight w:val="yellow"/>
          <w:lang w:val="en-US"/>
        </w:rPr>
        <w:t>declare</w:t>
      </w:r>
      <w:proofErr w:type="gramEnd"/>
      <w:r w:rsidRPr="003540F8">
        <w:rPr>
          <w:rFonts w:ascii="Arial" w:eastAsia="Calibri" w:hAnsi="Arial" w:cs="Arial"/>
          <w:sz w:val="22"/>
          <w:highlight w:val="yellow"/>
          <w:lang w:val="en-US"/>
        </w:rPr>
        <w:t xml:space="preserve"> that NO generative AI technologies such as Large Language Models (ChatGPT, COPILOT, etc.) and text-to-image generators have been used during the writing or editing of this manuscript. </w:t>
      </w:r>
    </w:p>
    <w:p w14:paraId="50DDAB11" w14:textId="77777777" w:rsidR="007C126A" w:rsidRPr="003540F8" w:rsidRDefault="007C126A" w:rsidP="007C126A">
      <w:pPr>
        <w:spacing w:after="200" w:line="276" w:lineRule="auto"/>
        <w:rPr>
          <w:rFonts w:ascii="Arial" w:eastAsia="Calibri" w:hAnsi="Arial" w:cs="Arial"/>
          <w:sz w:val="22"/>
          <w:highlight w:val="yellow"/>
          <w:lang w:val="en-US"/>
        </w:rPr>
      </w:pPr>
      <w:r w:rsidRPr="003540F8">
        <w:rPr>
          <w:rFonts w:ascii="Arial" w:eastAsia="Calibri" w:hAnsi="Arial" w:cs="Arial"/>
          <w:sz w:val="22"/>
          <w:highlight w:val="yellow"/>
          <w:lang w:val="en-US"/>
        </w:rPr>
        <w:t xml:space="preserve">Option 2: </w:t>
      </w:r>
    </w:p>
    <w:p w14:paraId="62F88743" w14:textId="77777777" w:rsidR="007C126A" w:rsidRPr="003540F8" w:rsidRDefault="007C126A" w:rsidP="007C126A">
      <w:pPr>
        <w:spacing w:after="200" w:line="276" w:lineRule="auto"/>
        <w:rPr>
          <w:rFonts w:ascii="Arial" w:eastAsia="Calibri" w:hAnsi="Arial" w:cs="Arial"/>
          <w:sz w:val="22"/>
          <w:highlight w:val="yellow"/>
          <w:lang w:val="en-US"/>
        </w:rPr>
      </w:pPr>
      <w:r w:rsidRPr="003540F8">
        <w:rPr>
          <w:rFonts w:ascii="Arial" w:eastAsia="Calibri" w:hAnsi="Arial" w:cs="Arial"/>
          <w:sz w:val="22"/>
          <w:highlight w:val="yellow"/>
          <w:lang w:val="en-US"/>
        </w:rPr>
        <w:t xml:space="preserve">Author(s) hereby </w:t>
      </w:r>
      <w:proofErr w:type="gramStart"/>
      <w:r w:rsidRPr="003540F8">
        <w:rPr>
          <w:rFonts w:ascii="Arial" w:eastAsia="Calibri" w:hAnsi="Arial" w:cs="Arial"/>
          <w:sz w:val="22"/>
          <w:highlight w:val="yellow"/>
          <w:lang w:val="en-US"/>
        </w:rPr>
        <w:t>declare</w:t>
      </w:r>
      <w:proofErr w:type="gramEnd"/>
      <w:r w:rsidRPr="003540F8">
        <w:rPr>
          <w:rFonts w:ascii="Arial" w:eastAsia="Calibri" w:hAnsi="Arial" w:cs="Arial"/>
          <w:sz w:val="2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69F83E" w14:textId="77777777" w:rsidR="007C126A" w:rsidRPr="003540F8" w:rsidRDefault="007C126A" w:rsidP="007C126A">
      <w:pPr>
        <w:spacing w:after="200" w:line="276" w:lineRule="auto"/>
        <w:rPr>
          <w:rFonts w:ascii="Arial" w:eastAsia="Calibri" w:hAnsi="Arial" w:cs="Arial"/>
          <w:sz w:val="22"/>
          <w:highlight w:val="yellow"/>
          <w:lang w:val="en-US"/>
        </w:rPr>
      </w:pPr>
      <w:r w:rsidRPr="003540F8">
        <w:rPr>
          <w:rFonts w:ascii="Arial" w:eastAsia="Calibri" w:hAnsi="Arial" w:cs="Arial"/>
          <w:sz w:val="22"/>
          <w:highlight w:val="yellow"/>
          <w:lang w:val="en-US"/>
        </w:rPr>
        <w:t>Details of the AI usage are given below:</w:t>
      </w:r>
    </w:p>
    <w:p w14:paraId="436559BC" w14:textId="77777777" w:rsidR="007C126A" w:rsidRPr="003540F8" w:rsidRDefault="007C126A" w:rsidP="007C126A">
      <w:pPr>
        <w:spacing w:after="200" w:line="276" w:lineRule="auto"/>
        <w:rPr>
          <w:rFonts w:ascii="Arial" w:eastAsia="Calibri" w:hAnsi="Arial" w:cs="Arial"/>
          <w:sz w:val="22"/>
          <w:highlight w:val="yellow"/>
          <w:lang w:val="en-US"/>
        </w:rPr>
      </w:pPr>
      <w:r w:rsidRPr="003540F8">
        <w:rPr>
          <w:rFonts w:ascii="Arial" w:eastAsia="Calibri" w:hAnsi="Arial" w:cs="Arial"/>
          <w:sz w:val="22"/>
          <w:highlight w:val="yellow"/>
          <w:lang w:val="en-US"/>
        </w:rPr>
        <w:t>1.</w:t>
      </w:r>
    </w:p>
    <w:p w14:paraId="22305AD7" w14:textId="77777777" w:rsidR="007C126A" w:rsidRPr="003540F8" w:rsidRDefault="007C126A" w:rsidP="007C126A">
      <w:pPr>
        <w:spacing w:after="200" w:line="276" w:lineRule="auto"/>
        <w:rPr>
          <w:rFonts w:ascii="Arial" w:eastAsia="Calibri" w:hAnsi="Arial" w:cs="Arial"/>
          <w:sz w:val="22"/>
          <w:highlight w:val="yellow"/>
          <w:lang w:val="en-US"/>
        </w:rPr>
      </w:pPr>
      <w:r w:rsidRPr="003540F8">
        <w:rPr>
          <w:rFonts w:ascii="Arial" w:eastAsia="Calibri" w:hAnsi="Arial" w:cs="Arial"/>
          <w:sz w:val="22"/>
          <w:highlight w:val="yellow"/>
          <w:lang w:val="en-US"/>
        </w:rPr>
        <w:t>2.</w:t>
      </w:r>
    </w:p>
    <w:p w14:paraId="34199FE8" w14:textId="77777777" w:rsidR="007C126A" w:rsidRPr="003540F8" w:rsidRDefault="007C126A" w:rsidP="007C126A">
      <w:pPr>
        <w:spacing w:after="200" w:line="276" w:lineRule="auto"/>
        <w:rPr>
          <w:rFonts w:ascii="Arial" w:eastAsia="Calibri" w:hAnsi="Arial" w:cs="Arial"/>
          <w:sz w:val="22"/>
          <w:lang w:val="en-US"/>
        </w:rPr>
      </w:pPr>
      <w:r w:rsidRPr="003540F8">
        <w:rPr>
          <w:rFonts w:ascii="Arial" w:eastAsia="Calibri" w:hAnsi="Arial" w:cs="Arial"/>
          <w:sz w:val="22"/>
          <w:highlight w:val="yellow"/>
          <w:lang w:val="en-US"/>
        </w:rPr>
        <w:t>3.</w:t>
      </w:r>
    </w:p>
    <w:p w14:paraId="785BCE93" w14:textId="77777777" w:rsidR="00874EB8" w:rsidRDefault="00874EB8" w:rsidP="00EB4E3E">
      <w:pPr>
        <w:spacing w:before="100" w:beforeAutospacing="1" w:after="100" w:afterAutospacing="1" w:line="240" w:lineRule="auto"/>
        <w:jc w:val="both"/>
        <w:rPr>
          <w:rFonts w:ascii="Arial" w:hAnsi="Arial" w:cs="Arial"/>
          <w:sz w:val="20"/>
          <w:szCs w:val="20"/>
        </w:rPr>
      </w:pPr>
    </w:p>
    <w:p w14:paraId="0846CC0F" w14:textId="77777777" w:rsidR="00575542" w:rsidRDefault="00575542" w:rsidP="00EB4E3E">
      <w:pPr>
        <w:spacing w:before="100" w:beforeAutospacing="1" w:after="100" w:afterAutospacing="1" w:line="240" w:lineRule="auto"/>
        <w:jc w:val="both"/>
        <w:rPr>
          <w:rFonts w:ascii="Arial" w:hAnsi="Arial" w:cs="Arial"/>
          <w:sz w:val="20"/>
          <w:szCs w:val="20"/>
        </w:rPr>
      </w:pPr>
    </w:p>
    <w:p w14:paraId="225D0D82" w14:textId="77777777" w:rsidR="00575542" w:rsidRDefault="00575542" w:rsidP="00EB4E3E">
      <w:pPr>
        <w:spacing w:before="100" w:beforeAutospacing="1" w:after="100" w:afterAutospacing="1" w:line="240" w:lineRule="auto"/>
        <w:jc w:val="both"/>
        <w:rPr>
          <w:rFonts w:ascii="Arial" w:hAnsi="Arial" w:cs="Arial"/>
          <w:sz w:val="20"/>
          <w:szCs w:val="20"/>
        </w:rPr>
      </w:pPr>
    </w:p>
    <w:p w14:paraId="2239FDAE" w14:textId="77777777" w:rsidR="00575542" w:rsidRPr="003540F8" w:rsidRDefault="00575542" w:rsidP="00EB4E3E">
      <w:pPr>
        <w:spacing w:before="100" w:beforeAutospacing="1" w:after="100" w:afterAutospacing="1" w:line="240" w:lineRule="auto"/>
        <w:jc w:val="both"/>
        <w:rPr>
          <w:rFonts w:ascii="Arial" w:hAnsi="Arial" w:cs="Arial"/>
          <w:b/>
          <w:bCs/>
          <w:sz w:val="22"/>
        </w:rPr>
      </w:pPr>
    </w:p>
    <w:p w14:paraId="6BA26165" w14:textId="30FD16AE" w:rsidR="00C42DA7" w:rsidRPr="003540F8" w:rsidRDefault="00C42DA7" w:rsidP="00EB4E3E">
      <w:pPr>
        <w:spacing w:before="100" w:beforeAutospacing="1" w:after="100" w:afterAutospacing="1" w:line="240" w:lineRule="auto"/>
        <w:jc w:val="both"/>
        <w:rPr>
          <w:rFonts w:ascii="Arial" w:hAnsi="Arial" w:cs="Arial"/>
          <w:b/>
          <w:bCs/>
          <w:color w:val="000000" w:themeColor="text1"/>
          <w:sz w:val="22"/>
        </w:rPr>
      </w:pPr>
      <w:r w:rsidRPr="003540F8">
        <w:rPr>
          <w:rFonts w:ascii="Arial" w:hAnsi="Arial" w:cs="Arial"/>
          <w:b/>
          <w:bCs/>
          <w:sz w:val="22"/>
        </w:rPr>
        <w:lastRenderedPageBreak/>
        <w:t>REFERENCE</w:t>
      </w:r>
    </w:p>
    <w:p w14:paraId="1713AA9C"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proofErr w:type="spellStart"/>
      <w:r w:rsidRPr="00EB64EF">
        <w:rPr>
          <w:rFonts w:ascii="Arial" w:hAnsi="Arial" w:cs="Arial"/>
          <w:color w:val="000000" w:themeColor="text1"/>
          <w:sz w:val="20"/>
          <w:szCs w:val="20"/>
        </w:rPr>
        <w:t>Anothaisintawee</w:t>
      </w:r>
      <w:proofErr w:type="spellEnd"/>
      <w:r w:rsidRPr="00EB64EF">
        <w:rPr>
          <w:rFonts w:ascii="Arial" w:hAnsi="Arial" w:cs="Arial"/>
          <w:color w:val="000000" w:themeColor="text1"/>
          <w:sz w:val="20"/>
          <w:szCs w:val="20"/>
        </w:rPr>
        <w:t xml:space="preserve"> T, </w:t>
      </w:r>
      <w:proofErr w:type="spellStart"/>
      <w:r w:rsidRPr="00EB64EF">
        <w:rPr>
          <w:rFonts w:ascii="Arial" w:hAnsi="Arial" w:cs="Arial"/>
          <w:color w:val="000000" w:themeColor="text1"/>
          <w:sz w:val="20"/>
          <w:szCs w:val="20"/>
        </w:rPr>
        <w:t>Reutrakul</w:t>
      </w:r>
      <w:proofErr w:type="spellEnd"/>
      <w:r w:rsidRPr="00EB64EF">
        <w:rPr>
          <w:rFonts w:ascii="Arial" w:hAnsi="Arial" w:cs="Arial"/>
          <w:color w:val="000000" w:themeColor="text1"/>
          <w:sz w:val="20"/>
          <w:szCs w:val="20"/>
        </w:rPr>
        <w:t xml:space="preserve"> S, Van </w:t>
      </w:r>
      <w:proofErr w:type="spellStart"/>
      <w:r w:rsidRPr="00EB64EF">
        <w:rPr>
          <w:rFonts w:ascii="Arial" w:hAnsi="Arial" w:cs="Arial"/>
          <w:color w:val="000000" w:themeColor="text1"/>
          <w:sz w:val="20"/>
          <w:szCs w:val="20"/>
        </w:rPr>
        <w:t>Cauter</w:t>
      </w:r>
      <w:proofErr w:type="spellEnd"/>
      <w:r w:rsidRPr="00EB64EF">
        <w:rPr>
          <w:rFonts w:ascii="Arial" w:hAnsi="Arial" w:cs="Arial"/>
          <w:color w:val="000000" w:themeColor="text1"/>
          <w:sz w:val="20"/>
          <w:szCs w:val="20"/>
        </w:rPr>
        <w:t xml:space="preserve"> E, </w:t>
      </w:r>
      <w:proofErr w:type="spellStart"/>
      <w:r w:rsidRPr="00EB64EF">
        <w:rPr>
          <w:rFonts w:ascii="Arial" w:hAnsi="Arial" w:cs="Arial"/>
          <w:color w:val="000000" w:themeColor="text1"/>
          <w:sz w:val="20"/>
          <w:szCs w:val="20"/>
        </w:rPr>
        <w:t>Thakkinstian</w:t>
      </w:r>
      <w:proofErr w:type="spellEnd"/>
      <w:r w:rsidRPr="00EB64EF">
        <w:rPr>
          <w:rFonts w:ascii="Arial" w:hAnsi="Arial" w:cs="Arial"/>
          <w:color w:val="000000" w:themeColor="text1"/>
          <w:sz w:val="20"/>
          <w:szCs w:val="20"/>
        </w:rPr>
        <w:t xml:space="preserve"> A </w:t>
      </w:r>
      <w:proofErr w:type="gramStart"/>
      <w:r w:rsidRPr="00EB64EF">
        <w:rPr>
          <w:rFonts w:ascii="Arial" w:hAnsi="Arial" w:cs="Arial"/>
          <w:color w:val="000000" w:themeColor="text1"/>
          <w:sz w:val="20"/>
          <w:szCs w:val="20"/>
        </w:rPr>
        <w:t>Sleep disturbances</w:t>
      </w:r>
      <w:proofErr w:type="gramEnd"/>
      <w:r w:rsidRPr="00EB64EF">
        <w:rPr>
          <w:rFonts w:ascii="Arial" w:hAnsi="Arial" w:cs="Arial"/>
          <w:color w:val="000000" w:themeColor="text1"/>
          <w:sz w:val="20"/>
          <w:szCs w:val="20"/>
        </w:rPr>
        <w:t xml:space="preserve"> compared to traditional risk factors for diabetes development: systematic review and meta-analysis. Sleep Med Rev (2016) 30:11–24.  </w:t>
      </w:r>
      <w:hyperlink r:id="rId11" w:history="1">
        <w:r w:rsidRPr="00EB64EF">
          <w:rPr>
            <w:rStyle w:val="Hyperlink"/>
            <w:rFonts w:ascii="Arial" w:hAnsi="Arial" w:cs="Arial"/>
            <w:color w:val="000000" w:themeColor="text1"/>
            <w:sz w:val="20"/>
            <w:szCs w:val="20"/>
            <w:u w:val="none"/>
          </w:rPr>
          <w:t>https://doi.org/10.1016/j.smrv.2015.10.002</w:t>
        </w:r>
      </w:hyperlink>
    </w:p>
    <w:p w14:paraId="6884CE47" w14:textId="77777777" w:rsidR="00B46A52" w:rsidRPr="00EB64EF" w:rsidRDefault="00B46A52" w:rsidP="00575542">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EB64EF">
        <w:rPr>
          <w:rFonts w:ascii="Arial" w:hAnsi="Arial" w:cs="Arial"/>
          <w:color w:val="000000" w:themeColor="text1"/>
          <w:sz w:val="20"/>
          <w:szCs w:val="20"/>
        </w:rPr>
        <w:t xml:space="preserve">Bhurosy, T., &amp; Jeewon, R. Overweight and obesity epidemic in developing countries: A problem with diet, physical activity, or socioeconomic status? </w:t>
      </w:r>
      <w:r w:rsidRPr="00EB64EF">
        <w:rPr>
          <w:rStyle w:val="Emphasis"/>
          <w:rFonts w:ascii="Arial" w:hAnsi="Arial" w:cs="Arial"/>
          <w:color w:val="000000" w:themeColor="text1"/>
          <w:sz w:val="20"/>
          <w:szCs w:val="20"/>
        </w:rPr>
        <w:t>The Scientific World Journal, 2014</w:t>
      </w:r>
      <w:r w:rsidRPr="00EB64EF">
        <w:rPr>
          <w:rFonts w:ascii="Arial" w:hAnsi="Arial" w:cs="Arial"/>
          <w:color w:val="000000" w:themeColor="text1"/>
          <w:sz w:val="20"/>
          <w:szCs w:val="20"/>
        </w:rPr>
        <w:t xml:space="preserve">, Article ID 964236. </w:t>
      </w:r>
      <w:hyperlink r:id="rId12" w:tgtFrame="_new" w:history="1">
        <w:r w:rsidRPr="00EB64EF">
          <w:rPr>
            <w:rStyle w:val="Hyperlink"/>
            <w:rFonts w:ascii="Arial" w:hAnsi="Arial" w:cs="Arial"/>
            <w:color w:val="000000" w:themeColor="text1"/>
            <w:sz w:val="20"/>
            <w:szCs w:val="20"/>
            <w:u w:val="none"/>
          </w:rPr>
          <w:t>https://doi.org/10.1155/2014/964236</w:t>
        </w:r>
      </w:hyperlink>
    </w:p>
    <w:p w14:paraId="49EA6F0E"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r w:rsidRPr="00EB64EF">
        <w:rPr>
          <w:rFonts w:ascii="Arial" w:hAnsi="Arial" w:cs="Arial"/>
          <w:color w:val="000000" w:themeColor="text1"/>
          <w:sz w:val="20"/>
          <w:szCs w:val="20"/>
        </w:rPr>
        <w:t xml:space="preserve">Duan, M.J.; Dekker, L.H.; Carrero, J.J.; Navis, G. Lifestyle patterns and incident type 2 diabetes in the Dutch </w:t>
      </w:r>
      <w:proofErr w:type="gramStart"/>
      <w:r w:rsidRPr="00EB64EF">
        <w:rPr>
          <w:rFonts w:ascii="Arial" w:hAnsi="Arial" w:cs="Arial"/>
          <w:color w:val="000000" w:themeColor="text1"/>
          <w:sz w:val="20"/>
          <w:szCs w:val="20"/>
        </w:rPr>
        <w:t>lifelines</w:t>
      </w:r>
      <w:proofErr w:type="gramEnd"/>
      <w:r w:rsidRPr="00EB64EF">
        <w:rPr>
          <w:rFonts w:ascii="Arial" w:hAnsi="Arial" w:cs="Arial"/>
          <w:color w:val="000000" w:themeColor="text1"/>
          <w:sz w:val="20"/>
          <w:szCs w:val="20"/>
        </w:rPr>
        <w:t xml:space="preserve"> cohort study. Prev. Med. Rep. 2022, 30, 102012</w:t>
      </w:r>
    </w:p>
    <w:p w14:paraId="41B35031"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r w:rsidRPr="00EB64EF">
        <w:rPr>
          <w:rFonts w:ascii="Arial" w:hAnsi="Arial" w:cs="Arial"/>
          <w:color w:val="000000" w:themeColor="text1"/>
          <w:sz w:val="20"/>
          <w:szCs w:val="20"/>
        </w:rPr>
        <w:t xml:space="preserve">Evert, A.B.; Dennison, M.; Gardner, C.D.; Garvey, W.T.; Lau, K.H.K.; MacLeod, J.; Mitri, J.; Pereira, R.F.; Rawlings, K.; Robinson, S.; et al. Nutrition Therapy for Adults </w:t>
      </w:r>
      <w:proofErr w:type="gramStart"/>
      <w:r w:rsidRPr="00EB64EF">
        <w:rPr>
          <w:rFonts w:ascii="Arial" w:hAnsi="Arial" w:cs="Arial"/>
          <w:color w:val="000000" w:themeColor="text1"/>
          <w:sz w:val="20"/>
          <w:szCs w:val="20"/>
        </w:rPr>
        <w:t>With</w:t>
      </w:r>
      <w:proofErr w:type="gramEnd"/>
      <w:r w:rsidRPr="00EB64EF">
        <w:rPr>
          <w:rFonts w:ascii="Arial" w:hAnsi="Arial" w:cs="Arial"/>
          <w:color w:val="000000" w:themeColor="text1"/>
          <w:sz w:val="20"/>
          <w:szCs w:val="20"/>
        </w:rPr>
        <w:t xml:space="preserve"> Diabetes or Prediabetes: A Consensus Report. Diabetes Care 2019, 42, 731–754</w:t>
      </w:r>
    </w:p>
    <w:p w14:paraId="1718350E" w14:textId="77777777" w:rsidR="00B46A52" w:rsidRPr="00EB64EF" w:rsidRDefault="00B46A52" w:rsidP="00575542">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EB64EF">
        <w:rPr>
          <w:rFonts w:ascii="Arial" w:hAnsi="Arial" w:cs="Arial"/>
          <w:color w:val="000000" w:themeColor="text1"/>
          <w:sz w:val="20"/>
          <w:szCs w:val="20"/>
        </w:rPr>
        <w:t xml:space="preserve">Gebremariam, M. K., Chiang, C., &amp; </w:t>
      </w:r>
      <w:proofErr w:type="spellStart"/>
      <w:r w:rsidRPr="00EB64EF">
        <w:rPr>
          <w:rFonts w:ascii="Arial" w:hAnsi="Arial" w:cs="Arial"/>
          <w:color w:val="000000" w:themeColor="text1"/>
          <w:sz w:val="20"/>
          <w:szCs w:val="20"/>
        </w:rPr>
        <w:t>Bjertness</w:t>
      </w:r>
      <w:proofErr w:type="spellEnd"/>
      <w:r w:rsidRPr="00EB64EF">
        <w:rPr>
          <w:rFonts w:ascii="Arial" w:hAnsi="Arial" w:cs="Arial"/>
          <w:color w:val="000000" w:themeColor="text1"/>
          <w:sz w:val="20"/>
          <w:szCs w:val="20"/>
        </w:rPr>
        <w:t xml:space="preserve">, E. Physical activity and sedentary </w:t>
      </w:r>
      <w:proofErr w:type="spellStart"/>
      <w:r w:rsidRPr="00EB64EF">
        <w:rPr>
          <w:rFonts w:ascii="Arial" w:hAnsi="Arial" w:cs="Arial"/>
          <w:color w:val="000000" w:themeColor="text1"/>
          <w:sz w:val="20"/>
          <w:szCs w:val="20"/>
        </w:rPr>
        <w:t>behavior</w:t>
      </w:r>
      <w:proofErr w:type="spellEnd"/>
      <w:r w:rsidRPr="00EB64EF">
        <w:rPr>
          <w:rFonts w:ascii="Arial" w:hAnsi="Arial" w:cs="Arial"/>
          <w:color w:val="000000" w:themeColor="text1"/>
          <w:sz w:val="20"/>
          <w:szCs w:val="20"/>
        </w:rPr>
        <w:t xml:space="preserve"> in relation to BMI in adults: A cross-sectional study. BMC Public Health, (2020) 20, 1102. </w:t>
      </w:r>
      <w:hyperlink r:id="rId13" w:history="1">
        <w:r w:rsidRPr="00EB64EF">
          <w:rPr>
            <w:rStyle w:val="Hyperlink"/>
            <w:rFonts w:ascii="Arial" w:hAnsi="Arial" w:cs="Arial"/>
            <w:color w:val="000000" w:themeColor="text1"/>
            <w:sz w:val="20"/>
            <w:szCs w:val="20"/>
            <w:u w:val="none"/>
          </w:rPr>
          <w:t>https://doi.org/10.1186/s12889-020-8283-x</w:t>
        </w:r>
      </w:hyperlink>
    </w:p>
    <w:p w14:paraId="16B817FB"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r w:rsidRPr="00EB64EF">
        <w:rPr>
          <w:rFonts w:ascii="Arial" w:hAnsi="Arial" w:cs="Arial"/>
          <w:color w:val="000000" w:themeColor="text1"/>
          <w:sz w:val="20"/>
          <w:szCs w:val="20"/>
        </w:rPr>
        <w:t xml:space="preserve">Gherasim, A., Oprescu, A. C., Gal, A. M., </w:t>
      </w:r>
      <w:proofErr w:type="spellStart"/>
      <w:r w:rsidRPr="00EB64EF">
        <w:rPr>
          <w:rFonts w:ascii="Arial" w:hAnsi="Arial" w:cs="Arial"/>
          <w:color w:val="000000" w:themeColor="text1"/>
          <w:sz w:val="20"/>
          <w:szCs w:val="20"/>
        </w:rPr>
        <w:t>Burlui</w:t>
      </w:r>
      <w:proofErr w:type="spellEnd"/>
      <w:r w:rsidRPr="00EB64EF">
        <w:rPr>
          <w:rFonts w:ascii="Arial" w:hAnsi="Arial" w:cs="Arial"/>
          <w:color w:val="000000" w:themeColor="text1"/>
          <w:sz w:val="20"/>
          <w:szCs w:val="20"/>
        </w:rPr>
        <w:t xml:space="preserve">, A. M., &amp; Mihalache, L. Lifestyle Patterns in Patients with Type 2 Diabetes. Metabolites, (2023). 13(7), 831. https://doi.org/10.3390/metabo13070831 </w:t>
      </w:r>
      <w:proofErr w:type="spellStart"/>
      <w:r w:rsidRPr="00EB64EF">
        <w:rPr>
          <w:rFonts w:ascii="Arial" w:hAnsi="Arial" w:cs="Arial"/>
          <w:color w:val="000000" w:themeColor="text1"/>
          <w:sz w:val="20"/>
          <w:szCs w:val="20"/>
        </w:rPr>
        <w:t>Dwibedi</w:t>
      </w:r>
      <w:proofErr w:type="spellEnd"/>
      <w:r w:rsidRPr="00EB64EF">
        <w:rPr>
          <w:rFonts w:ascii="Arial" w:hAnsi="Arial" w:cs="Arial"/>
          <w:color w:val="000000" w:themeColor="text1"/>
          <w:sz w:val="20"/>
          <w:szCs w:val="20"/>
        </w:rPr>
        <w:t xml:space="preserve">, C., </w:t>
      </w:r>
      <w:proofErr w:type="spellStart"/>
      <w:r w:rsidRPr="00EB64EF">
        <w:rPr>
          <w:rFonts w:ascii="Arial" w:hAnsi="Arial" w:cs="Arial"/>
          <w:color w:val="000000" w:themeColor="text1"/>
          <w:sz w:val="20"/>
          <w:szCs w:val="20"/>
        </w:rPr>
        <w:t>Mellergård</w:t>
      </w:r>
      <w:proofErr w:type="spellEnd"/>
      <w:r w:rsidRPr="00EB64EF">
        <w:rPr>
          <w:rFonts w:ascii="Arial" w:hAnsi="Arial" w:cs="Arial"/>
          <w:color w:val="000000" w:themeColor="text1"/>
          <w:sz w:val="20"/>
          <w:szCs w:val="20"/>
        </w:rPr>
        <w:t xml:space="preserve">, E., Gyllensten, A.C. et al. Effect of self-managed lifestyle treatment on </w:t>
      </w:r>
      <w:proofErr w:type="spellStart"/>
      <w:r w:rsidRPr="00EB64EF">
        <w:rPr>
          <w:rFonts w:ascii="Arial" w:hAnsi="Arial" w:cs="Arial"/>
          <w:color w:val="000000" w:themeColor="text1"/>
          <w:sz w:val="20"/>
          <w:szCs w:val="20"/>
        </w:rPr>
        <w:t>glycemic</w:t>
      </w:r>
      <w:proofErr w:type="spellEnd"/>
      <w:r w:rsidRPr="00EB64EF">
        <w:rPr>
          <w:rFonts w:ascii="Arial" w:hAnsi="Arial" w:cs="Arial"/>
          <w:color w:val="000000" w:themeColor="text1"/>
          <w:sz w:val="20"/>
          <w:szCs w:val="20"/>
        </w:rPr>
        <w:t xml:space="preserve"> control in patients with type 2 diabetes. </w:t>
      </w:r>
      <w:proofErr w:type="spellStart"/>
      <w:r w:rsidRPr="00EB64EF">
        <w:rPr>
          <w:rFonts w:ascii="Arial" w:hAnsi="Arial" w:cs="Arial"/>
          <w:color w:val="000000" w:themeColor="text1"/>
          <w:sz w:val="20"/>
          <w:szCs w:val="20"/>
        </w:rPr>
        <w:t>npj</w:t>
      </w:r>
      <w:proofErr w:type="spellEnd"/>
      <w:r w:rsidRPr="00EB64EF">
        <w:rPr>
          <w:rFonts w:ascii="Arial" w:hAnsi="Arial" w:cs="Arial"/>
          <w:color w:val="000000" w:themeColor="text1"/>
          <w:sz w:val="20"/>
          <w:szCs w:val="20"/>
        </w:rPr>
        <w:t xml:space="preserve"> Digit. Med. 5, 60 (2022). </w:t>
      </w:r>
      <w:hyperlink r:id="rId14" w:history="1">
        <w:r w:rsidRPr="00EB64EF">
          <w:rPr>
            <w:rStyle w:val="Hyperlink"/>
            <w:rFonts w:ascii="Arial" w:hAnsi="Arial" w:cs="Arial"/>
            <w:color w:val="000000" w:themeColor="text1"/>
            <w:sz w:val="20"/>
            <w:szCs w:val="20"/>
            <w:u w:val="none"/>
          </w:rPr>
          <w:t>https://doi.org/10.1038/s41746-022-00606-9</w:t>
        </w:r>
      </w:hyperlink>
    </w:p>
    <w:p w14:paraId="2F7CAD02"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r w:rsidRPr="00EB64EF">
        <w:rPr>
          <w:rFonts w:ascii="Arial" w:hAnsi="Arial" w:cs="Arial"/>
          <w:color w:val="000000" w:themeColor="text1"/>
          <w:sz w:val="20"/>
          <w:szCs w:val="20"/>
        </w:rPr>
        <w:t xml:space="preserve">Huang XL, Pan JH, Chen D, Chen J, Chen F, Hu TT. Efficacy of lifestyle interventions in patients with type 2 diabetes: a systematic review and meta-analysis. </w:t>
      </w:r>
      <w:proofErr w:type="spellStart"/>
      <w:r w:rsidRPr="00EB64EF">
        <w:rPr>
          <w:rFonts w:ascii="Arial" w:hAnsi="Arial" w:cs="Arial"/>
          <w:color w:val="000000" w:themeColor="text1"/>
          <w:sz w:val="20"/>
          <w:szCs w:val="20"/>
        </w:rPr>
        <w:t>Eur</w:t>
      </w:r>
      <w:proofErr w:type="spellEnd"/>
      <w:r w:rsidRPr="00EB64EF">
        <w:rPr>
          <w:rFonts w:ascii="Arial" w:hAnsi="Arial" w:cs="Arial"/>
          <w:color w:val="000000" w:themeColor="text1"/>
          <w:sz w:val="20"/>
          <w:szCs w:val="20"/>
        </w:rPr>
        <w:t xml:space="preserve"> J Intern Med. </w:t>
      </w:r>
      <w:proofErr w:type="gramStart"/>
      <w:r w:rsidRPr="00EB64EF">
        <w:rPr>
          <w:rFonts w:ascii="Arial" w:hAnsi="Arial" w:cs="Arial"/>
          <w:color w:val="000000" w:themeColor="text1"/>
          <w:sz w:val="20"/>
          <w:szCs w:val="20"/>
        </w:rPr>
        <w:t>2016;27:37</w:t>
      </w:r>
      <w:proofErr w:type="gramEnd"/>
      <w:r w:rsidRPr="00EB64EF">
        <w:rPr>
          <w:rFonts w:ascii="Arial" w:hAnsi="Arial" w:cs="Arial"/>
          <w:color w:val="000000" w:themeColor="text1"/>
          <w:sz w:val="20"/>
          <w:szCs w:val="20"/>
        </w:rPr>
        <w:t>–47.</w:t>
      </w:r>
    </w:p>
    <w:p w14:paraId="5D0601BD"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r w:rsidRPr="00EB64EF">
        <w:rPr>
          <w:rFonts w:ascii="Arial" w:hAnsi="Arial" w:cs="Arial"/>
          <w:color w:val="000000" w:themeColor="text1"/>
          <w:sz w:val="20"/>
          <w:szCs w:val="20"/>
        </w:rPr>
        <w:t xml:space="preserve">Kris-Etherton, P.M.; Sapp, P.A.; Riley, T.M.; Davis, K.M.; Hart, T.; Lawler, O. The Dynamic Interplay of Healthy Lifestyle </w:t>
      </w:r>
      <w:proofErr w:type="spellStart"/>
      <w:r w:rsidRPr="00EB64EF">
        <w:rPr>
          <w:rFonts w:ascii="Arial" w:hAnsi="Arial" w:cs="Arial"/>
          <w:color w:val="000000" w:themeColor="text1"/>
          <w:sz w:val="20"/>
          <w:szCs w:val="20"/>
        </w:rPr>
        <w:t>Behaviors</w:t>
      </w:r>
      <w:proofErr w:type="spellEnd"/>
      <w:r w:rsidRPr="00EB64EF">
        <w:rPr>
          <w:rFonts w:ascii="Arial" w:hAnsi="Arial" w:cs="Arial"/>
          <w:color w:val="000000" w:themeColor="text1"/>
          <w:sz w:val="20"/>
          <w:szCs w:val="20"/>
        </w:rPr>
        <w:t xml:space="preserve"> for Cardiovascular Health. Curr. </w:t>
      </w:r>
      <w:proofErr w:type="spellStart"/>
      <w:r w:rsidRPr="00EB64EF">
        <w:rPr>
          <w:rFonts w:ascii="Arial" w:hAnsi="Arial" w:cs="Arial"/>
          <w:color w:val="000000" w:themeColor="text1"/>
          <w:sz w:val="20"/>
          <w:szCs w:val="20"/>
        </w:rPr>
        <w:t>Atheroscler</w:t>
      </w:r>
      <w:proofErr w:type="spellEnd"/>
      <w:r w:rsidRPr="00EB64EF">
        <w:rPr>
          <w:rFonts w:ascii="Arial" w:hAnsi="Arial" w:cs="Arial"/>
          <w:color w:val="000000" w:themeColor="text1"/>
          <w:sz w:val="20"/>
          <w:szCs w:val="20"/>
        </w:rPr>
        <w:t>. Rep. 2022, 24, 969–980. </w:t>
      </w:r>
    </w:p>
    <w:p w14:paraId="4A7D8B99" w14:textId="77777777" w:rsidR="00B46A52" w:rsidRPr="00EB64EF" w:rsidRDefault="00B46A52" w:rsidP="00575542">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EB64EF">
        <w:rPr>
          <w:rFonts w:ascii="Arial" w:hAnsi="Arial" w:cs="Arial"/>
          <w:color w:val="000000" w:themeColor="text1"/>
          <w:sz w:val="20"/>
          <w:szCs w:val="20"/>
        </w:rPr>
        <w:t xml:space="preserve">Lee I. M., Shiroma E. J., Lobelo F., Puska P., Blair S. N., &amp; Katzmarzyk P. T. Effect of physical inactivity on major non-communicable diseases worldwide: An analysis of burden of disease and life expectancy. </w:t>
      </w:r>
      <w:r w:rsidRPr="00EB64EF">
        <w:rPr>
          <w:rStyle w:val="Emphasis"/>
          <w:rFonts w:ascii="Arial" w:hAnsi="Arial" w:cs="Arial"/>
          <w:color w:val="000000" w:themeColor="text1"/>
          <w:sz w:val="20"/>
          <w:szCs w:val="20"/>
        </w:rPr>
        <w:t xml:space="preserve">The Lancet, </w:t>
      </w:r>
      <w:r w:rsidRPr="00EB64EF">
        <w:rPr>
          <w:rFonts w:ascii="Arial" w:hAnsi="Arial" w:cs="Arial"/>
          <w:color w:val="000000" w:themeColor="text1"/>
          <w:sz w:val="20"/>
          <w:szCs w:val="20"/>
        </w:rPr>
        <w:t xml:space="preserve">(2012) </w:t>
      </w:r>
      <w:r w:rsidRPr="00EB64EF">
        <w:rPr>
          <w:rStyle w:val="Emphasis"/>
          <w:rFonts w:ascii="Arial" w:hAnsi="Arial" w:cs="Arial"/>
          <w:color w:val="000000" w:themeColor="text1"/>
          <w:sz w:val="20"/>
          <w:szCs w:val="20"/>
        </w:rPr>
        <w:t>380</w:t>
      </w:r>
      <w:r w:rsidRPr="00EB64EF">
        <w:rPr>
          <w:rFonts w:ascii="Arial" w:hAnsi="Arial" w:cs="Arial"/>
          <w:color w:val="000000" w:themeColor="text1"/>
          <w:sz w:val="20"/>
          <w:szCs w:val="20"/>
        </w:rPr>
        <w:t>(9838), 219–229. https://doi.org/10.1016/S0140-6736(12)61031-9</w:t>
      </w:r>
    </w:p>
    <w:p w14:paraId="4D61418D"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proofErr w:type="spellStart"/>
      <w:r w:rsidRPr="00EB64EF">
        <w:rPr>
          <w:rFonts w:ascii="Arial" w:hAnsi="Arial" w:cs="Arial"/>
          <w:color w:val="000000" w:themeColor="text1"/>
          <w:sz w:val="20"/>
          <w:szCs w:val="20"/>
        </w:rPr>
        <w:t>Mozaffarian</w:t>
      </w:r>
      <w:proofErr w:type="spellEnd"/>
      <w:r w:rsidRPr="00EB64EF">
        <w:rPr>
          <w:rFonts w:ascii="Arial" w:hAnsi="Arial" w:cs="Arial"/>
          <w:color w:val="000000" w:themeColor="text1"/>
          <w:sz w:val="20"/>
          <w:szCs w:val="20"/>
        </w:rPr>
        <w:t>, D.; Hao, T.; Rimm, E.B.; Willett, W.C.; Hu, F.B. Changes in diet and lifestyle and long-term weight gain in women and men. N. Engl. J. Med. 2011, 364, 2392–2404.</w:t>
      </w:r>
    </w:p>
    <w:p w14:paraId="271C9750"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r w:rsidRPr="00EB64EF">
        <w:rPr>
          <w:rFonts w:ascii="Arial" w:hAnsi="Arial" w:cs="Arial"/>
          <w:color w:val="000000" w:themeColor="text1"/>
          <w:sz w:val="20"/>
          <w:szCs w:val="20"/>
        </w:rPr>
        <w:t xml:space="preserve">Mukhtar Y, </w:t>
      </w:r>
      <w:proofErr w:type="spellStart"/>
      <w:r w:rsidRPr="00EB64EF">
        <w:rPr>
          <w:rFonts w:ascii="Arial" w:hAnsi="Arial" w:cs="Arial"/>
          <w:color w:val="000000" w:themeColor="text1"/>
          <w:sz w:val="20"/>
          <w:szCs w:val="20"/>
        </w:rPr>
        <w:t>Galalain</w:t>
      </w:r>
      <w:proofErr w:type="spellEnd"/>
      <w:r w:rsidRPr="00EB64EF">
        <w:rPr>
          <w:rFonts w:ascii="Arial" w:hAnsi="Arial" w:cs="Arial"/>
          <w:color w:val="000000" w:themeColor="text1"/>
          <w:sz w:val="20"/>
          <w:szCs w:val="20"/>
        </w:rPr>
        <w:t xml:space="preserve"> A, Yunusa U. A modern overview on diabetes mellitus: a chronic endocrine disorder. </w:t>
      </w:r>
      <w:proofErr w:type="spellStart"/>
      <w:r w:rsidRPr="00EB64EF">
        <w:rPr>
          <w:rFonts w:ascii="Arial" w:hAnsi="Arial" w:cs="Arial"/>
          <w:color w:val="000000" w:themeColor="text1"/>
          <w:sz w:val="20"/>
          <w:szCs w:val="20"/>
        </w:rPr>
        <w:t>Eur</w:t>
      </w:r>
      <w:proofErr w:type="spellEnd"/>
      <w:r w:rsidRPr="00EB64EF">
        <w:rPr>
          <w:rFonts w:ascii="Arial" w:hAnsi="Arial" w:cs="Arial"/>
          <w:color w:val="000000" w:themeColor="text1"/>
          <w:sz w:val="20"/>
          <w:szCs w:val="20"/>
        </w:rPr>
        <w:t xml:space="preserve"> J Biol. 2019; 4:1–14.</w:t>
      </w:r>
    </w:p>
    <w:p w14:paraId="0EE5B0C8"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r w:rsidRPr="00EB64EF">
        <w:rPr>
          <w:rFonts w:ascii="Arial" w:hAnsi="Arial" w:cs="Arial"/>
          <w:color w:val="000000" w:themeColor="text1"/>
          <w:sz w:val="20"/>
          <w:szCs w:val="20"/>
        </w:rPr>
        <w:t xml:space="preserve">Pippi, R.; </w:t>
      </w:r>
      <w:proofErr w:type="spellStart"/>
      <w:r w:rsidRPr="00EB64EF">
        <w:rPr>
          <w:rFonts w:ascii="Arial" w:hAnsi="Arial" w:cs="Arial"/>
          <w:color w:val="000000" w:themeColor="text1"/>
          <w:sz w:val="20"/>
          <w:szCs w:val="20"/>
        </w:rPr>
        <w:t>Cugusi</w:t>
      </w:r>
      <w:proofErr w:type="spellEnd"/>
      <w:r w:rsidRPr="00EB64EF">
        <w:rPr>
          <w:rFonts w:ascii="Arial" w:hAnsi="Arial" w:cs="Arial"/>
          <w:color w:val="000000" w:themeColor="text1"/>
          <w:sz w:val="20"/>
          <w:szCs w:val="20"/>
        </w:rPr>
        <w:t xml:space="preserve">, L.; </w:t>
      </w:r>
      <w:proofErr w:type="spellStart"/>
      <w:r w:rsidRPr="00EB64EF">
        <w:rPr>
          <w:rFonts w:ascii="Arial" w:hAnsi="Arial" w:cs="Arial"/>
          <w:color w:val="000000" w:themeColor="text1"/>
          <w:sz w:val="20"/>
          <w:szCs w:val="20"/>
        </w:rPr>
        <w:t>Bergamin</w:t>
      </w:r>
      <w:proofErr w:type="spellEnd"/>
      <w:r w:rsidRPr="00EB64EF">
        <w:rPr>
          <w:rFonts w:ascii="Arial" w:hAnsi="Arial" w:cs="Arial"/>
          <w:color w:val="000000" w:themeColor="text1"/>
          <w:sz w:val="20"/>
          <w:szCs w:val="20"/>
        </w:rPr>
        <w:t xml:space="preserve">, M.; Bini, V.; Fanelli, C.G.; Bullo, V.; Gobbo, S.; Di Blasio, A. Impact of BMI, Physical Activity, and Sitting Time Levels on Health-Related Outcomes in a Group of Overweight and Obese Adults with and without Type 2 Diabetes. J. </w:t>
      </w:r>
      <w:proofErr w:type="spellStart"/>
      <w:r w:rsidRPr="00EB64EF">
        <w:rPr>
          <w:rFonts w:ascii="Arial" w:hAnsi="Arial" w:cs="Arial"/>
          <w:color w:val="000000" w:themeColor="text1"/>
          <w:sz w:val="20"/>
          <w:szCs w:val="20"/>
        </w:rPr>
        <w:t>Funct</w:t>
      </w:r>
      <w:proofErr w:type="spellEnd"/>
      <w:r w:rsidRPr="00EB64EF">
        <w:rPr>
          <w:rFonts w:ascii="Arial" w:hAnsi="Arial" w:cs="Arial"/>
          <w:color w:val="000000" w:themeColor="text1"/>
          <w:sz w:val="20"/>
          <w:szCs w:val="20"/>
        </w:rPr>
        <w:t xml:space="preserve">. </w:t>
      </w:r>
      <w:proofErr w:type="spellStart"/>
      <w:r w:rsidRPr="00EB64EF">
        <w:rPr>
          <w:rFonts w:ascii="Arial" w:hAnsi="Arial" w:cs="Arial"/>
          <w:color w:val="000000" w:themeColor="text1"/>
          <w:sz w:val="20"/>
          <w:szCs w:val="20"/>
        </w:rPr>
        <w:t>Morphol</w:t>
      </w:r>
      <w:proofErr w:type="spellEnd"/>
      <w:r w:rsidRPr="00EB64EF">
        <w:rPr>
          <w:rFonts w:ascii="Arial" w:hAnsi="Arial" w:cs="Arial"/>
          <w:color w:val="000000" w:themeColor="text1"/>
          <w:sz w:val="20"/>
          <w:szCs w:val="20"/>
        </w:rPr>
        <w:t xml:space="preserve">. </w:t>
      </w:r>
      <w:proofErr w:type="spellStart"/>
      <w:r w:rsidRPr="00EB64EF">
        <w:rPr>
          <w:rFonts w:ascii="Arial" w:hAnsi="Arial" w:cs="Arial"/>
          <w:color w:val="000000" w:themeColor="text1"/>
          <w:sz w:val="20"/>
          <w:szCs w:val="20"/>
        </w:rPr>
        <w:t>Kinesiol</w:t>
      </w:r>
      <w:proofErr w:type="spellEnd"/>
      <w:r w:rsidRPr="00EB64EF">
        <w:rPr>
          <w:rFonts w:ascii="Arial" w:hAnsi="Arial" w:cs="Arial"/>
          <w:color w:val="000000" w:themeColor="text1"/>
          <w:sz w:val="20"/>
          <w:szCs w:val="20"/>
        </w:rPr>
        <w:t>. 2022, 7, 12.</w:t>
      </w:r>
    </w:p>
    <w:p w14:paraId="1CBB9E88" w14:textId="77777777" w:rsidR="00B46A52" w:rsidRPr="00EB64EF" w:rsidRDefault="00B46A52" w:rsidP="00575542">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EB64EF">
        <w:rPr>
          <w:rFonts w:ascii="Arial" w:hAnsi="Arial" w:cs="Arial"/>
          <w:color w:val="000000" w:themeColor="text1"/>
          <w:sz w:val="20"/>
          <w:szCs w:val="20"/>
        </w:rPr>
        <w:t>Sami W, Ansari T, Butt NS, Ab Hamid MR. Effect of diet on type 2 diabetes mellitus: a review. Int J Health Sci. 2017; 11:65.</w:t>
      </w:r>
    </w:p>
    <w:p w14:paraId="64BD91E2"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r w:rsidRPr="00EB64EF">
        <w:rPr>
          <w:rFonts w:ascii="Arial" w:hAnsi="Arial" w:cs="Arial"/>
          <w:color w:val="000000" w:themeColor="text1"/>
          <w:sz w:val="20"/>
          <w:szCs w:val="20"/>
        </w:rPr>
        <w:t>Sami W, Ansari T, Butt NS, Ab Hamid MR. Effect of diet on type 2 diabetes mellitus: a review. Int J Health Sci. 2017; 11:65.</w:t>
      </w:r>
    </w:p>
    <w:p w14:paraId="57927A12"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r w:rsidRPr="00EB64EF">
        <w:rPr>
          <w:rFonts w:ascii="Arial" w:hAnsi="Arial" w:cs="Arial"/>
          <w:color w:val="000000" w:themeColor="text1"/>
          <w:sz w:val="20"/>
          <w:szCs w:val="20"/>
        </w:rPr>
        <w:t xml:space="preserve">Schipper, S.B.J.; Van Veen, M.M.; Elders, P.J.M.; van Straten, A.; Van Der Werf, Y.D.; Knutson, K.L.; Rutters, F. Sleep disorders in people with type 2 diabetes and associated health outcomes: A review of the literature.  </w:t>
      </w:r>
      <w:proofErr w:type="spellStart"/>
      <w:r w:rsidRPr="00EB64EF">
        <w:rPr>
          <w:rFonts w:ascii="Arial" w:hAnsi="Arial" w:cs="Arial"/>
          <w:color w:val="000000" w:themeColor="text1"/>
          <w:sz w:val="20"/>
          <w:szCs w:val="20"/>
        </w:rPr>
        <w:t>Diabetologia</w:t>
      </w:r>
      <w:proofErr w:type="spellEnd"/>
      <w:r w:rsidRPr="00EB64EF">
        <w:rPr>
          <w:rFonts w:ascii="Arial" w:hAnsi="Arial" w:cs="Arial"/>
          <w:color w:val="000000" w:themeColor="text1"/>
          <w:sz w:val="20"/>
          <w:szCs w:val="20"/>
        </w:rPr>
        <w:t> 2021, 64, 2367–2377</w:t>
      </w:r>
    </w:p>
    <w:p w14:paraId="2961DEC1" w14:textId="77777777" w:rsidR="00B46A52" w:rsidRPr="00EB64EF" w:rsidRDefault="00B46A52" w:rsidP="00575542">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EB64EF">
        <w:rPr>
          <w:rFonts w:ascii="Arial" w:hAnsi="Arial" w:cs="Arial"/>
          <w:color w:val="000000" w:themeColor="text1"/>
          <w:sz w:val="20"/>
          <w:szCs w:val="20"/>
        </w:rPr>
        <w:t xml:space="preserve">Warburton, D. E. R., Nicol, C. W., &amp; Bredin, S. S. D. Health benefits of physical activity: The evidence. </w:t>
      </w:r>
      <w:r w:rsidRPr="00EB64EF">
        <w:rPr>
          <w:rStyle w:val="Emphasis"/>
          <w:rFonts w:ascii="Arial" w:hAnsi="Arial" w:cs="Arial"/>
          <w:color w:val="000000" w:themeColor="text1"/>
          <w:sz w:val="20"/>
          <w:szCs w:val="20"/>
        </w:rPr>
        <w:t xml:space="preserve">CMAJ, </w:t>
      </w:r>
      <w:r w:rsidRPr="00EB64EF">
        <w:rPr>
          <w:rFonts w:ascii="Arial" w:hAnsi="Arial" w:cs="Arial"/>
          <w:color w:val="000000" w:themeColor="text1"/>
          <w:sz w:val="20"/>
          <w:szCs w:val="20"/>
        </w:rPr>
        <w:t xml:space="preserve">(2006). </w:t>
      </w:r>
      <w:r w:rsidRPr="00EB64EF">
        <w:rPr>
          <w:rStyle w:val="Emphasis"/>
          <w:rFonts w:ascii="Arial" w:hAnsi="Arial" w:cs="Arial"/>
          <w:color w:val="000000" w:themeColor="text1"/>
          <w:sz w:val="20"/>
          <w:szCs w:val="20"/>
        </w:rPr>
        <w:t>174</w:t>
      </w:r>
      <w:r w:rsidRPr="00EB64EF">
        <w:rPr>
          <w:rFonts w:ascii="Arial" w:hAnsi="Arial" w:cs="Arial"/>
          <w:color w:val="000000" w:themeColor="text1"/>
          <w:sz w:val="20"/>
          <w:szCs w:val="20"/>
        </w:rPr>
        <w:t xml:space="preserve">(6), 801–809. </w:t>
      </w:r>
      <w:hyperlink r:id="rId15" w:tgtFrame="_new" w:history="1">
        <w:r w:rsidRPr="00EB64EF">
          <w:rPr>
            <w:rStyle w:val="Hyperlink"/>
            <w:rFonts w:ascii="Arial" w:hAnsi="Arial" w:cs="Arial"/>
            <w:color w:val="000000" w:themeColor="text1"/>
            <w:sz w:val="20"/>
            <w:szCs w:val="20"/>
            <w:u w:val="none"/>
          </w:rPr>
          <w:t>https://doi.org/10.1503/cmaj.051351</w:t>
        </w:r>
      </w:hyperlink>
    </w:p>
    <w:p w14:paraId="2AAB6044" w14:textId="77777777" w:rsidR="00B46A52" w:rsidRPr="00EB64EF" w:rsidRDefault="00B46A52" w:rsidP="00575542">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EB64EF">
        <w:rPr>
          <w:rFonts w:ascii="Arial" w:hAnsi="Arial" w:cs="Arial"/>
          <w:color w:val="000000" w:themeColor="text1"/>
          <w:sz w:val="20"/>
          <w:szCs w:val="20"/>
        </w:rPr>
        <w:t xml:space="preserve">World Health Organization. </w:t>
      </w:r>
      <w:r w:rsidRPr="00EB64EF">
        <w:rPr>
          <w:rStyle w:val="Emphasis"/>
          <w:rFonts w:ascii="Arial" w:hAnsi="Arial" w:cs="Arial"/>
          <w:color w:val="000000" w:themeColor="text1"/>
          <w:sz w:val="20"/>
          <w:szCs w:val="20"/>
        </w:rPr>
        <w:t>Obesity and overweight (2021).</w:t>
      </w:r>
      <w:r w:rsidRPr="00EB64EF">
        <w:rPr>
          <w:rFonts w:ascii="Arial" w:hAnsi="Arial" w:cs="Arial"/>
          <w:color w:val="000000" w:themeColor="text1"/>
          <w:sz w:val="20"/>
          <w:szCs w:val="20"/>
        </w:rPr>
        <w:t xml:space="preserve"> </w:t>
      </w:r>
      <w:r w:rsidRPr="00EB64EF">
        <w:rPr>
          <w:rStyle w:val="Emphasis"/>
          <w:rFonts w:ascii="Arial" w:hAnsi="Arial" w:cs="Arial"/>
          <w:color w:val="000000" w:themeColor="text1"/>
          <w:sz w:val="20"/>
          <w:szCs w:val="20"/>
        </w:rPr>
        <w:t>Key facts</w:t>
      </w:r>
      <w:r w:rsidRPr="00EB64EF">
        <w:rPr>
          <w:rFonts w:ascii="Arial" w:hAnsi="Arial" w:cs="Arial"/>
          <w:color w:val="000000" w:themeColor="text1"/>
          <w:sz w:val="20"/>
          <w:szCs w:val="20"/>
        </w:rPr>
        <w:t xml:space="preserve">. </w:t>
      </w:r>
      <w:hyperlink r:id="rId16" w:tgtFrame="_new" w:history="1">
        <w:r w:rsidRPr="00EB64EF">
          <w:rPr>
            <w:rStyle w:val="Hyperlink"/>
            <w:rFonts w:ascii="Arial" w:hAnsi="Arial" w:cs="Arial"/>
            <w:color w:val="000000" w:themeColor="text1"/>
            <w:sz w:val="20"/>
            <w:szCs w:val="20"/>
            <w:u w:val="none"/>
          </w:rPr>
          <w:t>https://www.who.int/news-room/fact-sheets/detail/obesity-and-overweight</w:t>
        </w:r>
      </w:hyperlink>
    </w:p>
    <w:p w14:paraId="0B98D57E" w14:textId="77777777" w:rsidR="00B46A52" w:rsidRPr="00EB64EF" w:rsidRDefault="00B46A52" w:rsidP="00575542">
      <w:pPr>
        <w:pStyle w:val="ListParagraph"/>
        <w:numPr>
          <w:ilvl w:val="0"/>
          <w:numId w:val="1"/>
        </w:numPr>
        <w:jc w:val="both"/>
        <w:rPr>
          <w:rFonts w:ascii="Arial" w:hAnsi="Arial" w:cs="Arial"/>
          <w:color w:val="000000" w:themeColor="text1"/>
          <w:sz w:val="20"/>
          <w:szCs w:val="20"/>
        </w:rPr>
      </w:pPr>
      <w:r w:rsidRPr="00EB64EF">
        <w:rPr>
          <w:rFonts w:ascii="Arial" w:hAnsi="Arial" w:cs="Arial"/>
          <w:color w:val="000000" w:themeColor="text1"/>
          <w:sz w:val="20"/>
          <w:szCs w:val="20"/>
        </w:rPr>
        <w:t>Zheng Y, Ley SH, Hu FB. Global aetiology and epidemiology of type 2 diabetes mellitus and its complications. Nat Rev Endocrinol. 2018; 14:88.</w:t>
      </w:r>
    </w:p>
    <w:sectPr w:rsidR="00B46A52" w:rsidRPr="00EB64EF" w:rsidSect="00874EB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1D7D" w14:textId="77777777" w:rsidR="00093447" w:rsidRDefault="00093447" w:rsidP="00B34E2C">
      <w:pPr>
        <w:spacing w:after="0" w:line="240" w:lineRule="auto"/>
      </w:pPr>
      <w:r>
        <w:separator/>
      </w:r>
    </w:p>
  </w:endnote>
  <w:endnote w:type="continuationSeparator" w:id="0">
    <w:p w14:paraId="7F96CD8E" w14:textId="77777777" w:rsidR="00093447" w:rsidRDefault="00093447" w:rsidP="00B3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BD7C" w14:textId="77777777" w:rsidR="00874EB8" w:rsidRDefault="00874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553110"/>
      <w:docPartObj>
        <w:docPartGallery w:val="Page Numbers (Bottom of Page)"/>
        <w:docPartUnique/>
      </w:docPartObj>
    </w:sdtPr>
    <w:sdtEndPr>
      <w:rPr>
        <w:noProof/>
      </w:rPr>
    </w:sdtEndPr>
    <w:sdtContent>
      <w:p w14:paraId="36220F79" w14:textId="3BF952C0" w:rsidR="007B7C62" w:rsidRDefault="007B7C62">
        <w:pPr>
          <w:pStyle w:val="Footer"/>
          <w:jc w:val="center"/>
        </w:pPr>
        <w:r>
          <w:fldChar w:fldCharType="begin"/>
        </w:r>
        <w:r>
          <w:instrText xml:space="preserve"> PAGE   \* MERGEFORMAT </w:instrText>
        </w:r>
        <w:r>
          <w:fldChar w:fldCharType="separate"/>
        </w:r>
        <w:r w:rsidR="00C31484">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2447" w14:textId="77777777" w:rsidR="00874EB8" w:rsidRDefault="00874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F7A9" w14:textId="77777777" w:rsidR="00093447" w:rsidRDefault="00093447" w:rsidP="00B34E2C">
      <w:pPr>
        <w:spacing w:after="0" w:line="240" w:lineRule="auto"/>
      </w:pPr>
      <w:r>
        <w:separator/>
      </w:r>
    </w:p>
  </w:footnote>
  <w:footnote w:type="continuationSeparator" w:id="0">
    <w:p w14:paraId="016AB1E9" w14:textId="77777777" w:rsidR="00093447" w:rsidRDefault="00093447" w:rsidP="00B34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0D5F" w14:textId="0F1A9EB0" w:rsidR="00874EB8" w:rsidRDefault="00000000">
    <w:pPr>
      <w:pStyle w:val="Header"/>
    </w:pPr>
    <w:r>
      <w:rPr>
        <w:noProof/>
      </w:rPr>
      <w:pict w14:anchorId="3759E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80661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55BB" w14:textId="7271FB7C" w:rsidR="00B34E2C" w:rsidRDefault="00000000" w:rsidP="007B7C62">
    <w:pPr>
      <w:pStyle w:val="Header"/>
      <w:jc w:val="center"/>
    </w:pPr>
    <w:r>
      <w:rPr>
        <w:noProof/>
      </w:rPr>
      <w:pict w14:anchorId="351B4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806611"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FE84" w14:textId="79C89274" w:rsidR="00874EB8" w:rsidRDefault="00000000">
    <w:pPr>
      <w:pStyle w:val="Header"/>
    </w:pPr>
    <w:r>
      <w:rPr>
        <w:noProof/>
      </w:rPr>
      <w:pict w14:anchorId="04E5A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80660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E51"/>
    <w:multiLevelType w:val="hybridMultilevel"/>
    <w:tmpl w:val="FA2CF7F0"/>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8735848"/>
    <w:multiLevelType w:val="multilevel"/>
    <w:tmpl w:val="70806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26301"/>
    <w:multiLevelType w:val="hybridMultilevel"/>
    <w:tmpl w:val="94E0FB86"/>
    <w:lvl w:ilvl="0" w:tplc="40090019">
      <w:start w:val="1"/>
      <w:numFmt w:val="lowerLetter"/>
      <w:lvlText w:val="%1."/>
      <w:lvlJc w:val="left"/>
      <w:pPr>
        <w:ind w:left="142" w:hanging="360"/>
      </w:pPr>
      <w:rPr>
        <w:rFonts w:hint="default"/>
      </w:rPr>
    </w:lvl>
    <w:lvl w:ilvl="1" w:tplc="40090019" w:tentative="1">
      <w:start w:val="1"/>
      <w:numFmt w:val="lowerLetter"/>
      <w:lvlText w:val="%2."/>
      <w:lvlJc w:val="left"/>
      <w:pPr>
        <w:ind w:left="862" w:hanging="360"/>
      </w:pPr>
    </w:lvl>
    <w:lvl w:ilvl="2" w:tplc="4009001B" w:tentative="1">
      <w:start w:val="1"/>
      <w:numFmt w:val="lowerRoman"/>
      <w:lvlText w:val="%3."/>
      <w:lvlJc w:val="right"/>
      <w:pPr>
        <w:ind w:left="1582" w:hanging="180"/>
      </w:pPr>
    </w:lvl>
    <w:lvl w:ilvl="3" w:tplc="4009000F" w:tentative="1">
      <w:start w:val="1"/>
      <w:numFmt w:val="decimal"/>
      <w:lvlText w:val="%4."/>
      <w:lvlJc w:val="left"/>
      <w:pPr>
        <w:ind w:left="2302" w:hanging="360"/>
      </w:pPr>
    </w:lvl>
    <w:lvl w:ilvl="4" w:tplc="40090019" w:tentative="1">
      <w:start w:val="1"/>
      <w:numFmt w:val="lowerLetter"/>
      <w:lvlText w:val="%5."/>
      <w:lvlJc w:val="left"/>
      <w:pPr>
        <w:ind w:left="3022" w:hanging="360"/>
      </w:pPr>
    </w:lvl>
    <w:lvl w:ilvl="5" w:tplc="4009001B" w:tentative="1">
      <w:start w:val="1"/>
      <w:numFmt w:val="lowerRoman"/>
      <w:lvlText w:val="%6."/>
      <w:lvlJc w:val="right"/>
      <w:pPr>
        <w:ind w:left="3742" w:hanging="180"/>
      </w:pPr>
    </w:lvl>
    <w:lvl w:ilvl="6" w:tplc="4009000F" w:tentative="1">
      <w:start w:val="1"/>
      <w:numFmt w:val="decimal"/>
      <w:lvlText w:val="%7."/>
      <w:lvlJc w:val="left"/>
      <w:pPr>
        <w:ind w:left="4462" w:hanging="360"/>
      </w:pPr>
    </w:lvl>
    <w:lvl w:ilvl="7" w:tplc="40090019" w:tentative="1">
      <w:start w:val="1"/>
      <w:numFmt w:val="lowerLetter"/>
      <w:lvlText w:val="%8."/>
      <w:lvlJc w:val="left"/>
      <w:pPr>
        <w:ind w:left="5182" w:hanging="360"/>
      </w:pPr>
    </w:lvl>
    <w:lvl w:ilvl="8" w:tplc="4009001B" w:tentative="1">
      <w:start w:val="1"/>
      <w:numFmt w:val="lowerRoman"/>
      <w:lvlText w:val="%9."/>
      <w:lvlJc w:val="right"/>
      <w:pPr>
        <w:ind w:left="5902" w:hanging="180"/>
      </w:pPr>
    </w:lvl>
  </w:abstractNum>
  <w:abstractNum w:abstractNumId="3" w15:restartNumberingAfterBreak="0">
    <w:nsid w:val="0AB1493B"/>
    <w:multiLevelType w:val="hybridMultilevel"/>
    <w:tmpl w:val="331C0F30"/>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3477F8"/>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A73F93"/>
    <w:multiLevelType w:val="multilevel"/>
    <w:tmpl w:val="67B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81A61"/>
    <w:multiLevelType w:val="multilevel"/>
    <w:tmpl w:val="CA9655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45607C"/>
    <w:multiLevelType w:val="hybridMultilevel"/>
    <w:tmpl w:val="373A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2027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673E48"/>
    <w:multiLevelType w:val="hybridMultilevel"/>
    <w:tmpl w:val="31D4E87A"/>
    <w:lvl w:ilvl="0" w:tplc="D4D449D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0B4187F"/>
    <w:multiLevelType w:val="hybridMultilevel"/>
    <w:tmpl w:val="E7589A4A"/>
    <w:lvl w:ilvl="0" w:tplc="4C32833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15:restartNumberingAfterBreak="0">
    <w:nsid w:val="351A7162"/>
    <w:multiLevelType w:val="multilevel"/>
    <w:tmpl w:val="4580D12E"/>
    <w:lvl w:ilvl="0">
      <w:start w:val="1"/>
      <w:numFmt w:val="decimal"/>
      <w:lvlText w:val="%1."/>
      <w:lvlJc w:val="left"/>
      <w:pPr>
        <w:ind w:left="720" w:hanging="360"/>
      </w:pPr>
    </w:lvl>
    <w:lvl w:ilvl="1">
      <w:start w:val="1"/>
      <w:numFmt w:val="decimal"/>
      <w:lvlText w:val="%2."/>
      <w:lvlJc w:val="left"/>
      <w:pPr>
        <w:ind w:left="72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E2029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050935"/>
    <w:multiLevelType w:val="hybridMultilevel"/>
    <w:tmpl w:val="CA4C54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C231C07"/>
    <w:multiLevelType w:val="multilevel"/>
    <w:tmpl w:val="02ACFCBE"/>
    <w:lvl w:ilvl="0">
      <w:start w:val="1"/>
      <w:numFmt w:val="lowerRoman"/>
      <w:lvlText w:val="%1."/>
      <w:lvlJc w:val="righ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53DFA"/>
    <w:multiLevelType w:val="multilevel"/>
    <w:tmpl w:val="CEC0576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AC718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4B1F9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4872D9"/>
    <w:multiLevelType w:val="hybridMultilevel"/>
    <w:tmpl w:val="B4D4C4CC"/>
    <w:lvl w:ilvl="0" w:tplc="24D43F7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9" w15:restartNumberingAfterBreak="0">
    <w:nsid w:val="6EF4506F"/>
    <w:multiLevelType w:val="hybridMultilevel"/>
    <w:tmpl w:val="CCE884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F125BB8"/>
    <w:multiLevelType w:val="hybridMultilevel"/>
    <w:tmpl w:val="D99CBD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16F083E"/>
    <w:multiLevelType w:val="hybridMultilevel"/>
    <w:tmpl w:val="A6E05F2C"/>
    <w:lvl w:ilvl="0" w:tplc="FAE82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9A1AD9"/>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FE15C0"/>
    <w:multiLevelType w:val="hybridMultilevel"/>
    <w:tmpl w:val="EC4A592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8AE04AA"/>
    <w:multiLevelType w:val="multilevel"/>
    <w:tmpl w:val="CEC0576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CF33D59"/>
    <w:multiLevelType w:val="multilevel"/>
    <w:tmpl w:val="740EC27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C0698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4548563">
    <w:abstractNumId w:val="13"/>
  </w:num>
  <w:num w:numId="2" w16cid:durableId="1389574110">
    <w:abstractNumId w:val="24"/>
  </w:num>
  <w:num w:numId="3" w16cid:durableId="1665817494">
    <w:abstractNumId w:val="2"/>
  </w:num>
  <w:num w:numId="4" w16cid:durableId="1530607501">
    <w:abstractNumId w:val="20"/>
  </w:num>
  <w:num w:numId="5" w16cid:durableId="821123323">
    <w:abstractNumId w:val="15"/>
  </w:num>
  <w:num w:numId="6" w16cid:durableId="1179660914">
    <w:abstractNumId w:val="11"/>
  </w:num>
  <w:num w:numId="7" w16cid:durableId="432826485">
    <w:abstractNumId w:val="8"/>
  </w:num>
  <w:num w:numId="8" w16cid:durableId="385447002">
    <w:abstractNumId w:val="16"/>
  </w:num>
  <w:num w:numId="9" w16cid:durableId="2048218058">
    <w:abstractNumId w:val="4"/>
  </w:num>
  <w:num w:numId="10" w16cid:durableId="389884707">
    <w:abstractNumId w:val="25"/>
  </w:num>
  <w:num w:numId="11" w16cid:durableId="451480662">
    <w:abstractNumId w:val="17"/>
  </w:num>
  <w:num w:numId="12" w16cid:durableId="670909901">
    <w:abstractNumId w:val="26"/>
  </w:num>
  <w:num w:numId="13" w16cid:durableId="2121223651">
    <w:abstractNumId w:val="7"/>
  </w:num>
  <w:num w:numId="14" w16cid:durableId="875891025">
    <w:abstractNumId w:val="21"/>
  </w:num>
  <w:num w:numId="15" w16cid:durableId="648290802">
    <w:abstractNumId w:val="12"/>
  </w:num>
  <w:num w:numId="16" w16cid:durableId="884946828">
    <w:abstractNumId w:val="14"/>
  </w:num>
  <w:num w:numId="17" w16cid:durableId="1249345492">
    <w:abstractNumId w:val="22"/>
  </w:num>
  <w:num w:numId="18" w16cid:durableId="1174491854">
    <w:abstractNumId w:val="10"/>
  </w:num>
  <w:num w:numId="19" w16cid:durableId="821308293">
    <w:abstractNumId w:val="18"/>
  </w:num>
  <w:num w:numId="20" w16cid:durableId="97070545">
    <w:abstractNumId w:val="9"/>
  </w:num>
  <w:num w:numId="21" w16cid:durableId="157113758">
    <w:abstractNumId w:val="5"/>
  </w:num>
  <w:num w:numId="22" w16cid:durableId="1990405766">
    <w:abstractNumId w:val="6"/>
  </w:num>
  <w:num w:numId="23" w16cid:durableId="96600419">
    <w:abstractNumId w:val="1"/>
  </w:num>
  <w:num w:numId="24" w16cid:durableId="869103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7254003">
    <w:abstractNumId w:val="3"/>
  </w:num>
  <w:num w:numId="26" w16cid:durableId="241372817">
    <w:abstractNumId w:val="23"/>
  </w:num>
  <w:num w:numId="27" w16cid:durableId="20782784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4F3"/>
    <w:rsid w:val="0000104E"/>
    <w:rsid w:val="0000106B"/>
    <w:rsid w:val="00003974"/>
    <w:rsid w:val="000123CC"/>
    <w:rsid w:val="00012820"/>
    <w:rsid w:val="00014523"/>
    <w:rsid w:val="00014664"/>
    <w:rsid w:val="00017429"/>
    <w:rsid w:val="00017C9F"/>
    <w:rsid w:val="0002055F"/>
    <w:rsid w:val="0002088D"/>
    <w:rsid w:val="00021B9E"/>
    <w:rsid w:val="0002244B"/>
    <w:rsid w:val="0002452D"/>
    <w:rsid w:val="00024978"/>
    <w:rsid w:val="000272A0"/>
    <w:rsid w:val="00031390"/>
    <w:rsid w:val="000313FE"/>
    <w:rsid w:val="0003514D"/>
    <w:rsid w:val="00040E38"/>
    <w:rsid w:val="00042216"/>
    <w:rsid w:val="00044049"/>
    <w:rsid w:val="00050640"/>
    <w:rsid w:val="00050ED7"/>
    <w:rsid w:val="00051A9E"/>
    <w:rsid w:val="00053D5C"/>
    <w:rsid w:val="000562E9"/>
    <w:rsid w:val="00060D81"/>
    <w:rsid w:val="00061F53"/>
    <w:rsid w:val="00066EAD"/>
    <w:rsid w:val="000721CE"/>
    <w:rsid w:val="00073E68"/>
    <w:rsid w:val="00074A56"/>
    <w:rsid w:val="00075E8A"/>
    <w:rsid w:val="00077B75"/>
    <w:rsid w:val="0008224C"/>
    <w:rsid w:val="00082A80"/>
    <w:rsid w:val="00084BE0"/>
    <w:rsid w:val="000854F6"/>
    <w:rsid w:val="0008581A"/>
    <w:rsid w:val="00085A99"/>
    <w:rsid w:val="00087662"/>
    <w:rsid w:val="00093447"/>
    <w:rsid w:val="000A08D2"/>
    <w:rsid w:val="000A3C92"/>
    <w:rsid w:val="000A67E5"/>
    <w:rsid w:val="000B1127"/>
    <w:rsid w:val="000B1EB9"/>
    <w:rsid w:val="000B278D"/>
    <w:rsid w:val="000B3933"/>
    <w:rsid w:val="000B48EA"/>
    <w:rsid w:val="000B6B4D"/>
    <w:rsid w:val="000B6BF4"/>
    <w:rsid w:val="000C3581"/>
    <w:rsid w:val="000C6680"/>
    <w:rsid w:val="000C6D66"/>
    <w:rsid w:val="000C7AA9"/>
    <w:rsid w:val="000D2CEC"/>
    <w:rsid w:val="000D35DB"/>
    <w:rsid w:val="000D4288"/>
    <w:rsid w:val="000D467B"/>
    <w:rsid w:val="000D6D9A"/>
    <w:rsid w:val="000D7AE5"/>
    <w:rsid w:val="000E1EC3"/>
    <w:rsid w:val="000E25C1"/>
    <w:rsid w:val="000E4DF7"/>
    <w:rsid w:val="000E672B"/>
    <w:rsid w:val="000F258C"/>
    <w:rsid w:val="000F5081"/>
    <w:rsid w:val="000F6A4E"/>
    <w:rsid w:val="00102064"/>
    <w:rsid w:val="00103F6F"/>
    <w:rsid w:val="0010459A"/>
    <w:rsid w:val="001070CB"/>
    <w:rsid w:val="00110ABA"/>
    <w:rsid w:val="0011153F"/>
    <w:rsid w:val="001133D0"/>
    <w:rsid w:val="00116453"/>
    <w:rsid w:val="001168B3"/>
    <w:rsid w:val="00121572"/>
    <w:rsid w:val="0012356F"/>
    <w:rsid w:val="0012531B"/>
    <w:rsid w:val="00125A31"/>
    <w:rsid w:val="00134D45"/>
    <w:rsid w:val="0013745E"/>
    <w:rsid w:val="001405A8"/>
    <w:rsid w:val="00142D3B"/>
    <w:rsid w:val="00143C75"/>
    <w:rsid w:val="001462CB"/>
    <w:rsid w:val="00146F78"/>
    <w:rsid w:val="001548B4"/>
    <w:rsid w:val="001548D1"/>
    <w:rsid w:val="0016283B"/>
    <w:rsid w:val="00163793"/>
    <w:rsid w:val="001637C1"/>
    <w:rsid w:val="001645C3"/>
    <w:rsid w:val="00164B4C"/>
    <w:rsid w:val="00165623"/>
    <w:rsid w:val="00170F0D"/>
    <w:rsid w:val="00172158"/>
    <w:rsid w:val="00173AB2"/>
    <w:rsid w:val="00174C03"/>
    <w:rsid w:val="00174F39"/>
    <w:rsid w:val="0018197A"/>
    <w:rsid w:val="00182795"/>
    <w:rsid w:val="00185DBA"/>
    <w:rsid w:val="00187507"/>
    <w:rsid w:val="00190AFE"/>
    <w:rsid w:val="00193355"/>
    <w:rsid w:val="0019429E"/>
    <w:rsid w:val="0019530C"/>
    <w:rsid w:val="00195F7D"/>
    <w:rsid w:val="00196305"/>
    <w:rsid w:val="001969ED"/>
    <w:rsid w:val="00197481"/>
    <w:rsid w:val="001A15F5"/>
    <w:rsid w:val="001A2601"/>
    <w:rsid w:val="001A59FE"/>
    <w:rsid w:val="001A7477"/>
    <w:rsid w:val="001B020A"/>
    <w:rsid w:val="001B0F49"/>
    <w:rsid w:val="001B1DB6"/>
    <w:rsid w:val="001B324A"/>
    <w:rsid w:val="001B3DA6"/>
    <w:rsid w:val="001C16B9"/>
    <w:rsid w:val="001C170C"/>
    <w:rsid w:val="001C279A"/>
    <w:rsid w:val="001C6FAA"/>
    <w:rsid w:val="001D11CE"/>
    <w:rsid w:val="001D2344"/>
    <w:rsid w:val="001D50A3"/>
    <w:rsid w:val="001E5553"/>
    <w:rsid w:val="001E579B"/>
    <w:rsid w:val="001E6CFD"/>
    <w:rsid w:val="001E6FF4"/>
    <w:rsid w:val="001F0C5E"/>
    <w:rsid w:val="001F43DA"/>
    <w:rsid w:val="001F4A79"/>
    <w:rsid w:val="001F60E0"/>
    <w:rsid w:val="00201640"/>
    <w:rsid w:val="0020232E"/>
    <w:rsid w:val="0020611D"/>
    <w:rsid w:val="002063E8"/>
    <w:rsid w:val="00213C32"/>
    <w:rsid w:val="00217005"/>
    <w:rsid w:val="002177EB"/>
    <w:rsid w:val="00217DCA"/>
    <w:rsid w:val="00221C66"/>
    <w:rsid w:val="00222D7C"/>
    <w:rsid w:val="00224A21"/>
    <w:rsid w:val="00225936"/>
    <w:rsid w:val="002271A6"/>
    <w:rsid w:val="0022752F"/>
    <w:rsid w:val="00227939"/>
    <w:rsid w:val="002311B6"/>
    <w:rsid w:val="002315F9"/>
    <w:rsid w:val="002327F2"/>
    <w:rsid w:val="00233551"/>
    <w:rsid w:val="0023436F"/>
    <w:rsid w:val="002355C8"/>
    <w:rsid w:val="0023605F"/>
    <w:rsid w:val="002432CF"/>
    <w:rsid w:val="00243C41"/>
    <w:rsid w:val="0024486B"/>
    <w:rsid w:val="00246515"/>
    <w:rsid w:val="0024728A"/>
    <w:rsid w:val="00250545"/>
    <w:rsid w:val="00251567"/>
    <w:rsid w:val="002528D0"/>
    <w:rsid w:val="002539A8"/>
    <w:rsid w:val="0025455C"/>
    <w:rsid w:val="002579FA"/>
    <w:rsid w:val="0026091D"/>
    <w:rsid w:val="0026118E"/>
    <w:rsid w:val="0026290A"/>
    <w:rsid w:val="00267275"/>
    <w:rsid w:val="00271B2F"/>
    <w:rsid w:val="00274E75"/>
    <w:rsid w:val="00275133"/>
    <w:rsid w:val="0027717C"/>
    <w:rsid w:val="00280BB9"/>
    <w:rsid w:val="002816B5"/>
    <w:rsid w:val="002828E1"/>
    <w:rsid w:val="00284FE4"/>
    <w:rsid w:val="0028745E"/>
    <w:rsid w:val="00290EB5"/>
    <w:rsid w:val="00290FE4"/>
    <w:rsid w:val="0029127F"/>
    <w:rsid w:val="002931B6"/>
    <w:rsid w:val="002A5A94"/>
    <w:rsid w:val="002B334F"/>
    <w:rsid w:val="002B4FFE"/>
    <w:rsid w:val="002B63F3"/>
    <w:rsid w:val="002B77A8"/>
    <w:rsid w:val="002D20CB"/>
    <w:rsid w:val="002D2AD4"/>
    <w:rsid w:val="002D2DF4"/>
    <w:rsid w:val="002D3699"/>
    <w:rsid w:val="002D5928"/>
    <w:rsid w:val="002D62B7"/>
    <w:rsid w:val="002D63BC"/>
    <w:rsid w:val="002D710A"/>
    <w:rsid w:val="002E1CA0"/>
    <w:rsid w:val="002E264C"/>
    <w:rsid w:val="002E6C3C"/>
    <w:rsid w:val="002F4D61"/>
    <w:rsid w:val="002F558E"/>
    <w:rsid w:val="0030232C"/>
    <w:rsid w:val="0030359F"/>
    <w:rsid w:val="00306F5B"/>
    <w:rsid w:val="003123A0"/>
    <w:rsid w:val="003130FE"/>
    <w:rsid w:val="0031387D"/>
    <w:rsid w:val="00313EBD"/>
    <w:rsid w:val="00314A64"/>
    <w:rsid w:val="003156F4"/>
    <w:rsid w:val="00320577"/>
    <w:rsid w:val="00322C64"/>
    <w:rsid w:val="00322C69"/>
    <w:rsid w:val="00322EFB"/>
    <w:rsid w:val="00325A6B"/>
    <w:rsid w:val="00325F42"/>
    <w:rsid w:val="00326439"/>
    <w:rsid w:val="00336906"/>
    <w:rsid w:val="00337337"/>
    <w:rsid w:val="00344122"/>
    <w:rsid w:val="00344F39"/>
    <w:rsid w:val="0034610D"/>
    <w:rsid w:val="0034649B"/>
    <w:rsid w:val="0035018E"/>
    <w:rsid w:val="0035147C"/>
    <w:rsid w:val="00352589"/>
    <w:rsid w:val="00352C5B"/>
    <w:rsid w:val="00353EB5"/>
    <w:rsid w:val="003540F8"/>
    <w:rsid w:val="00354AC9"/>
    <w:rsid w:val="00354EEE"/>
    <w:rsid w:val="00356EA5"/>
    <w:rsid w:val="00360644"/>
    <w:rsid w:val="00361686"/>
    <w:rsid w:val="00363287"/>
    <w:rsid w:val="00364541"/>
    <w:rsid w:val="003754B9"/>
    <w:rsid w:val="003829FF"/>
    <w:rsid w:val="00384211"/>
    <w:rsid w:val="00391422"/>
    <w:rsid w:val="00391786"/>
    <w:rsid w:val="003A1589"/>
    <w:rsid w:val="003A49A7"/>
    <w:rsid w:val="003B0EDD"/>
    <w:rsid w:val="003B128B"/>
    <w:rsid w:val="003B51C2"/>
    <w:rsid w:val="003C0CB3"/>
    <w:rsid w:val="003C1EC8"/>
    <w:rsid w:val="003C2336"/>
    <w:rsid w:val="003C36E3"/>
    <w:rsid w:val="003D329F"/>
    <w:rsid w:val="003D7930"/>
    <w:rsid w:val="003E0B7D"/>
    <w:rsid w:val="003E13C5"/>
    <w:rsid w:val="003E5AB3"/>
    <w:rsid w:val="003E7B86"/>
    <w:rsid w:val="003F792C"/>
    <w:rsid w:val="003F7A61"/>
    <w:rsid w:val="00402671"/>
    <w:rsid w:val="00406E07"/>
    <w:rsid w:val="004101A2"/>
    <w:rsid w:val="004112A7"/>
    <w:rsid w:val="00415C5E"/>
    <w:rsid w:val="00415DD2"/>
    <w:rsid w:val="00416063"/>
    <w:rsid w:val="00417F01"/>
    <w:rsid w:val="00421C4A"/>
    <w:rsid w:val="004226FA"/>
    <w:rsid w:val="00424D5D"/>
    <w:rsid w:val="004254BD"/>
    <w:rsid w:val="00426FAA"/>
    <w:rsid w:val="00430151"/>
    <w:rsid w:val="004315FE"/>
    <w:rsid w:val="00436556"/>
    <w:rsid w:val="0043793D"/>
    <w:rsid w:val="004405CB"/>
    <w:rsid w:val="00442D62"/>
    <w:rsid w:val="004479EB"/>
    <w:rsid w:val="00453525"/>
    <w:rsid w:val="00455751"/>
    <w:rsid w:val="00455BB7"/>
    <w:rsid w:val="00456FC9"/>
    <w:rsid w:val="0045729B"/>
    <w:rsid w:val="00457A68"/>
    <w:rsid w:val="00463E00"/>
    <w:rsid w:val="00466CD4"/>
    <w:rsid w:val="00467C4B"/>
    <w:rsid w:val="00475BE9"/>
    <w:rsid w:val="004767B6"/>
    <w:rsid w:val="00481A9B"/>
    <w:rsid w:val="00482724"/>
    <w:rsid w:val="004846FB"/>
    <w:rsid w:val="0048524B"/>
    <w:rsid w:val="00486B39"/>
    <w:rsid w:val="00491916"/>
    <w:rsid w:val="00492536"/>
    <w:rsid w:val="004952BA"/>
    <w:rsid w:val="00495543"/>
    <w:rsid w:val="004A19D3"/>
    <w:rsid w:val="004A1DCF"/>
    <w:rsid w:val="004A3AE1"/>
    <w:rsid w:val="004A3CD8"/>
    <w:rsid w:val="004A630B"/>
    <w:rsid w:val="004B11CA"/>
    <w:rsid w:val="004B1630"/>
    <w:rsid w:val="004B6799"/>
    <w:rsid w:val="004C090B"/>
    <w:rsid w:val="004C0C8E"/>
    <w:rsid w:val="004C34F3"/>
    <w:rsid w:val="004C6421"/>
    <w:rsid w:val="004C6A56"/>
    <w:rsid w:val="004D1213"/>
    <w:rsid w:val="004D2AA2"/>
    <w:rsid w:val="004D30F6"/>
    <w:rsid w:val="004D4EB2"/>
    <w:rsid w:val="004D5A06"/>
    <w:rsid w:val="004D619A"/>
    <w:rsid w:val="004D62F0"/>
    <w:rsid w:val="004E269C"/>
    <w:rsid w:val="004E36A3"/>
    <w:rsid w:val="004E4D14"/>
    <w:rsid w:val="004E6094"/>
    <w:rsid w:val="004F00E9"/>
    <w:rsid w:val="004F037C"/>
    <w:rsid w:val="004F2756"/>
    <w:rsid w:val="004F3ECE"/>
    <w:rsid w:val="004F7ABB"/>
    <w:rsid w:val="0050143B"/>
    <w:rsid w:val="00503F26"/>
    <w:rsid w:val="00504F70"/>
    <w:rsid w:val="0050535F"/>
    <w:rsid w:val="005060C4"/>
    <w:rsid w:val="00510D4B"/>
    <w:rsid w:val="00510EE7"/>
    <w:rsid w:val="005118B5"/>
    <w:rsid w:val="00522401"/>
    <w:rsid w:val="0053414D"/>
    <w:rsid w:val="00540DED"/>
    <w:rsid w:val="005463CD"/>
    <w:rsid w:val="00546E85"/>
    <w:rsid w:val="00547387"/>
    <w:rsid w:val="0054764D"/>
    <w:rsid w:val="005539C7"/>
    <w:rsid w:val="005550A1"/>
    <w:rsid w:val="00555ABC"/>
    <w:rsid w:val="00556B44"/>
    <w:rsid w:val="00557282"/>
    <w:rsid w:val="00557CCB"/>
    <w:rsid w:val="00563F5A"/>
    <w:rsid w:val="005735FF"/>
    <w:rsid w:val="00574E63"/>
    <w:rsid w:val="005751C2"/>
    <w:rsid w:val="00575542"/>
    <w:rsid w:val="00575DEA"/>
    <w:rsid w:val="005771C7"/>
    <w:rsid w:val="005806F0"/>
    <w:rsid w:val="005820F0"/>
    <w:rsid w:val="0058758F"/>
    <w:rsid w:val="005903ED"/>
    <w:rsid w:val="00593591"/>
    <w:rsid w:val="005963A4"/>
    <w:rsid w:val="005970C2"/>
    <w:rsid w:val="0059745A"/>
    <w:rsid w:val="005A4EE3"/>
    <w:rsid w:val="005A7B9F"/>
    <w:rsid w:val="005B138C"/>
    <w:rsid w:val="005B1B41"/>
    <w:rsid w:val="005B3BA0"/>
    <w:rsid w:val="005B42DC"/>
    <w:rsid w:val="005B51ED"/>
    <w:rsid w:val="005B6DFA"/>
    <w:rsid w:val="005B7BB0"/>
    <w:rsid w:val="005C3AB3"/>
    <w:rsid w:val="005C479C"/>
    <w:rsid w:val="005D02B3"/>
    <w:rsid w:val="005D05E9"/>
    <w:rsid w:val="005D6B48"/>
    <w:rsid w:val="005D7681"/>
    <w:rsid w:val="005E29A3"/>
    <w:rsid w:val="005E7B39"/>
    <w:rsid w:val="005E7BC0"/>
    <w:rsid w:val="005F31C6"/>
    <w:rsid w:val="005F7360"/>
    <w:rsid w:val="005F7FD2"/>
    <w:rsid w:val="006005F6"/>
    <w:rsid w:val="00602379"/>
    <w:rsid w:val="00602D80"/>
    <w:rsid w:val="00603222"/>
    <w:rsid w:val="00604662"/>
    <w:rsid w:val="00604B94"/>
    <w:rsid w:val="00605223"/>
    <w:rsid w:val="00605843"/>
    <w:rsid w:val="0061172F"/>
    <w:rsid w:val="006126EE"/>
    <w:rsid w:val="00624109"/>
    <w:rsid w:val="00626C4F"/>
    <w:rsid w:val="00632404"/>
    <w:rsid w:val="006332F4"/>
    <w:rsid w:val="00642B49"/>
    <w:rsid w:val="00644FD0"/>
    <w:rsid w:val="00646426"/>
    <w:rsid w:val="0064764B"/>
    <w:rsid w:val="00650434"/>
    <w:rsid w:val="00651EC9"/>
    <w:rsid w:val="006521B4"/>
    <w:rsid w:val="00654176"/>
    <w:rsid w:val="0065591E"/>
    <w:rsid w:val="006578D9"/>
    <w:rsid w:val="006631DC"/>
    <w:rsid w:val="0066586D"/>
    <w:rsid w:val="006665D4"/>
    <w:rsid w:val="00671414"/>
    <w:rsid w:val="00671F06"/>
    <w:rsid w:val="00676950"/>
    <w:rsid w:val="00677C5E"/>
    <w:rsid w:val="00681D60"/>
    <w:rsid w:val="006850F3"/>
    <w:rsid w:val="00685922"/>
    <w:rsid w:val="00686ABA"/>
    <w:rsid w:val="00686BCF"/>
    <w:rsid w:val="00690ED1"/>
    <w:rsid w:val="00693C2C"/>
    <w:rsid w:val="00697778"/>
    <w:rsid w:val="006A0D13"/>
    <w:rsid w:val="006A1DD1"/>
    <w:rsid w:val="006A3A0E"/>
    <w:rsid w:val="006A444F"/>
    <w:rsid w:val="006B0936"/>
    <w:rsid w:val="006B206F"/>
    <w:rsid w:val="006C0661"/>
    <w:rsid w:val="006C159A"/>
    <w:rsid w:val="006C25CF"/>
    <w:rsid w:val="006C2C9C"/>
    <w:rsid w:val="006D2FF0"/>
    <w:rsid w:val="006D5750"/>
    <w:rsid w:val="006E43A6"/>
    <w:rsid w:val="006E4524"/>
    <w:rsid w:val="006E48EC"/>
    <w:rsid w:val="006E6395"/>
    <w:rsid w:val="006E7D71"/>
    <w:rsid w:val="006F0FCE"/>
    <w:rsid w:val="006F4AAA"/>
    <w:rsid w:val="006F4BFD"/>
    <w:rsid w:val="007000FF"/>
    <w:rsid w:val="007003BC"/>
    <w:rsid w:val="00702F88"/>
    <w:rsid w:val="0070335D"/>
    <w:rsid w:val="00703F8B"/>
    <w:rsid w:val="0071250E"/>
    <w:rsid w:val="0071265A"/>
    <w:rsid w:val="00715AE7"/>
    <w:rsid w:val="007261C0"/>
    <w:rsid w:val="00726849"/>
    <w:rsid w:val="00731147"/>
    <w:rsid w:val="007313AE"/>
    <w:rsid w:val="007319CF"/>
    <w:rsid w:val="00735B86"/>
    <w:rsid w:val="0073612D"/>
    <w:rsid w:val="00737253"/>
    <w:rsid w:val="007404A2"/>
    <w:rsid w:val="00740787"/>
    <w:rsid w:val="00752A4B"/>
    <w:rsid w:val="00752F15"/>
    <w:rsid w:val="0075509A"/>
    <w:rsid w:val="00755CD8"/>
    <w:rsid w:val="007607FF"/>
    <w:rsid w:val="00761E16"/>
    <w:rsid w:val="007620C6"/>
    <w:rsid w:val="0076689D"/>
    <w:rsid w:val="007711A4"/>
    <w:rsid w:val="00774263"/>
    <w:rsid w:val="007802EF"/>
    <w:rsid w:val="00781D2F"/>
    <w:rsid w:val="007833A8"/>
    <w:rsid w:val="0078538C"/>
    <w:rsid w:val="007877F3"/>
    <w:rsid w:val="007879A8"/>
    <w:rsid w:val="00790F1E"/>
    <w:rsid w:val="00791EC8"/>
    <w:rsid w:val="007942E8"/>
    <w:rsid w:val="0079482C"/>
    <w:rsid w:val="00797221"/>
    <w:rsid w:val="00797876"/>
    <w:rsid w:val="007A0C26"/>
    <w:rsid w:val="007A3033"/>
    <w:rsid w:val="007A6CF8"/>
    <w:rsid w:val="007A79CD"/>
    <w:rsid w:val="007B3239"/>
    <w:rsid w:val="007B6B3B"/>
    <w:rsid w:val="007B7C62"/>
    <w:rsid w:val="007C0E00"/>
    <w:rsid w:val="007C126A"/>
    <w:rsid w:val="007C1BB9"/>
    <w:rsid w:val="007C283B"/>
    <w:rsid w:val="007C3495"/>
    <w:rsid w:val="007C4B7D"/>
    <w:rsid w:val="007C5F28"/>
    <w:rsid w:val="007D052B"/>
    <w:rsid w:val="007D12D7"/>
    <w:rsid w:val="007D1535"/>
    <w:rsid w:val="007D1B07"/>
    <w:rsid w:val="007D66D0"/>
    <w:rsid w:val="007E0D4E"/>
    <w:rsid w:val="007E1CA1"/>
    <w:rsid w:val="007E2802"/>
    <w:rsid w:val="007E35FC"/>
    <w:rsid w:val="007E67BD"/>
    <w:rsid w:val="007E7945"/>
    <w:rsid w:val="007F0FF1"/>
    <w:rsid w:val="007F40DF"/>
    <w:rsid w:val="007F4BDC"/>
    <w:rsid w:val="008005B5"/>
    <w:rsid w:val="0080345A"/>
    <w:rsid w:val="00810173"/>
    <w:rsid w:val="00811951"/>
    <w:rsid w:val="00813279"/>
    <w:rsid w:val="00815DE9"/>
    <w:rsid w:val="00817993"/>
    <w:rsid w:val="0082068F"/>
    <w:rsid w:val="00821062"/>
    <w:rsid w:val="00824B61"/>
    <w:rsid w:val="00824DF8"/>
    <w:rsid w:val="008258BD"/>
    <w:rsid w:val="00825E15"/>
    <w:rsid w:val="0082702D"/>
    <w:rsid w:val="008276B8"/>
    <w:rsid w:val="008277FD"/>
    <w:rsid w:val="00827955"/>
    <w:rsid w:val="00830A36"/>
    <w:rsid w:val="008357EC"/>
    <w:rsid w:val="00836D27"/>
    <w:rsid w:val="00836E5F"/>
    <w:rsid w:val="00842C30"/>
    <w:rsid w:val="00851079"/>
    <w:rsid w:val="008513BD"/>
    <w:rsid w:val="00853C22"/>
    <w:rsid w:val="00854057"/>
    <w:rsid w:val="00855121"/>
    <w:rsid w:val="008553E4"/>
    <w:rsid w:val="00855415"/>
    <w:rsid w:val="00855989"/>
    <w:rsid w:val="008564A8"/>
    <w:rsid w:val="00856AA3"/>
    <w:rsid w:val="008578F8"/>
    <w:rsid w:val="00857A78"/>
    <w:rsid w:val="00860799"/>
    <w:rsid w:val="008639F2"/>
    <w:rsid w:val="008646CE"/>
    <w:rsid w:val="00874061"/>
    <w:rsid w:val="00874EB8"/>
    <w:rsid w:val="008756B5"/>
    <w:rsid w:val="008773BD"/>
    <w:rsid w:val="0088210F"/>
    <w:rsid w:val="008821BD"/>
    <w:rsid w:val="00885606"/>
    <w:rsid w:val="00887D8C"/>
    <w:rsid w:val="008917D4"/>
    <w:rsid w:val="00893D87"/>
    <w:rsid w:val="0089478E"/>
    <w:rsid w:val="008A0208"/>
    <w:rsid w:val="008A26A6"/>
    <w:rsid w:val="008A2867"/>
    <w:rsid w:val="008B031F"/>
    <w:rsid w:val="008B121B"/>
    <w:rsid w:val="008B1CEB"/>
    <w:rsid w:val="008B241E"/>
    <w:rsid w:val="008B384D"/>
    <w:rsid w:val="008B3CC2"/>
    <w:rsid w:val="008C32A0"/>
    <w:rsid w:val="008C3361"/>
    <w:rsid w:val="008C7313"/>
    <w:rsid w:val="008D1D04"/>
    <w:rsid w:val="008D3635"/>
    <w:rsid w:val="008D481E"/>
    <w:rsid w:val="008D5A70"/>
    <w:rsid w:val="008D6C9A"/>
    <w:rsid w:val="008E2229"/>
    <w:rsid w:val="008E2FA6"/>
    <w:rsid w:val="008E5456"/>
    <w:rsid w:val="008F2117"/>
    <w:rsid w:val="008F3FF2"/>
    <w:rsid w:val="008F436D"/>
    <w:rsid w:val="008F43DB"/>
    <w:rsid w:val="008F58D8"/>
    <w:rsid w:val="008F6974"/>
    <w:rsid w:val="009070E0"/>
    <w:rsid w:val="00912E61"/>
    <w:rsid w:val="00915449"/>
    <w:rsid w:val="0092174D"/>
    <w:rsid w:val="00926F24"/>
    <w:rsid w:val="00933BC0"/>
    <w:rsid w:val="00937843"/>
    <w:rsid w:val="0094322A"/>
    <w:rsid w:val="009436E1"/>
    <w:rsid w:val="0094448C"/>
    <w:rsid w:val="009445CD"/>
    <w:rsid w:val="0094742D"/>
    <w:rsid w:val="00952980"/>
    <w:rsid w:val="00952D2F"/>
    <w:rsid w:val="0095752F"/>
    <w:rsid w:val="00962CAB"/>
    <w:rsid w:val="00963EA0"/>
    <w:rsid w:val="00967B2C"/>
    <w:rsid w:val="00970058"/>
    <w:rsid w:val="009716BF"/>
    <w:rsid w:val="00973EC2"/>
    <w:rsid w:val="00981CD2"/>
    <w:rsid w:val="00984E65"/>
    <w:rsid w:val="00986E55"/>
    <w:rsid w:val="0098708C"/>
    <w:rsid w:val="00990662"/>
    <w:rsid w:val="00994ACE"/>
    <w:rsid w:val="009A0516"/>
    <w:rsid w:val="009A1405"/>
    <w:rsid w:val="009A23ED"/>
    <w:rsid w:val="009A65DE"/>
    <w:rsid w:val="009B0218"/>
    <w:rsid w:val="009B356D"/>
    <w:rsid w:val="009B3747"/>
    <w:rsid w:val="009C4AB1"/>
    <w:rsid w:val="009C6B51"/>
    <w:rsid w:val="009D0E23"/>
    <w:rsid w:val="009E1B8F"/>
    <w:rsid w:val="009E6DD4"/>
    <w:rsid w:val="009E7F55"/>
    <w:rsid w:val="009F0E91"/>
    <w:rsid w:val="009F1330"/>
    <w:rsid w:val="009F2AC8"/>
    <w:rsid w:val="009F3359"/>
    <w:rsid w:val="009F75B5"/>
    <w:rsid w:val="00A01B29"/>
    <w:rsid w:val="00A03486"/>
    <w:rsid w:val="00A05E43"/>
    <w:rsid w:val="00A1075A"/>
    <w:rsid w:val="00A114B6"/>
    <w:rsid w:val="00A12B8F"/>
    <w:rsid w:val="00A13C22"/>
    <w:rsid w:val="00A14031"/>
    <w:rsid w:val="00A14C16"/>
    <w:rsid w:val="00A20D2F"/>
    <w:rsid w:val="00A24775"/>
    <w:rsid w:val="00A2505E"/>
    <w:rsid w:val="00A26EFC"/>
    <w:rsid w:val="00A27D31"/>
    <w:rsid w:val="00A30723"/>
    <w:rsid w:val="00A30C3B"/>
    <w:rsid w:val="00A32620"/>
    <w:rsid w:val="00A33DE7"/>
    <w:rsid w:val="00A3718B"/>
    <w:rsid w:val="00A37427"/>
    <w:rsid w:val="00A37920"/>
    <w:rsid w:val="00A4183A"/>
    <w:rsid w:val="00A41AA3"/>
    <w:rsid w:val="00A43F1D"/>
    <w:rsid w:val="00A45F10"/>
    <w:rsid w:val="00A50BFF"/>
    <w:rsid w:val="00A51E20"/>
    <w:rsid w:val="00A5554C"/>
    <w:rsid w:val="00A56247"/>
    <w:rsid w:val="00A64CD4"/>
    <w:rsid w:val="00A655C2"/>
    <w:rsid w:val="00A71D1E"/>
    <w:rsid w:val="00A73B97"/>
    <w:rsid w:val="00A73F25"/>
    <w:rsid w:val="00A74C82"/>
    <w:rsid w:val="00A80AA4"/>
    <w:rsid w:val="00A8509B"/>
    <w:rsid w:val="00A93AF7"/>
    <w:rsid w:val="00A93BCE"/>
    <w:rsid w:val="00A944F6"/>
    <w:rsid w:val="00AA44C0"/>
    <w:rsid w:val="00AB2DFA"/>
    <w:rsid w:val="00AB3561"/>
    <w:rsid w:val="00AB43A0"/>
    <w:rsid w:val="00AB607F"/>
    <w:rsid w:val="00AB6C36"/>
    <w:rsid w:val="00AB71C1"/>
    <w:rsid w:val="00AC0564"/>
    <w:rsid w:val="00AC4298"/>
    <w:rsid w:val="00AC76ED"/>
    <w:rsid w:val="00AD1AB8"/>
    <w:rsid w:val="00AD32D9"/>
    <w:rsid w:val="00AD50E8"/>
    <w:rsid w:val="00AD7EF0"/>
    <w:rsid w:val="00AE0349"/>
    <w:rsid w:val="00AE08D2"/>
    <w:rsid w:val="00AE12B7"/>
    <w:rsid w:val="00AE3892"/>
    <w:rsid w:val="00AE3B2C"/>
    <w:rsid w:val="00AE3E72"/>
    <w:rsid w:val="00AE59A8"/>
    <w:rsid w:val="00AE7396"/>
    <w:rsid w:val="00AF0373"/>
    <w:rsid w:val="00AF225C"/>
    <w:rsid w:val="00AF24F8"/>
    <w:rsid w:val="00AF3A4A"/>
    <w:rsid w:val="00AF5EA1"/>
    <w:rsid w:val="00B05EF8"/>
    <w:rsid w:val="00B07982"/>
    <w:rsid w:val="00B1188E"/>
    <w:rsid w:val="00B11948"/>
    <w:rsid w:val="00B11958"/>
    <w:rsid w:val="00B1746E"/>
    <w:rsid w:val="00B217BE"/>
    <w:rsid w:val="00B21CEA"/>
    <w:rsid w:val="00B23F12"/>
    <w:rsid w:val="00B2413D"/>
    <w:rsid w:val="00B24959"/>
    <w:rsid w:val="00B30346"/>
    <w:rsid w:val="00B34E13"/>
    <w:rsid w:val="00B34E2C"/>
    <w:rsid w:val="00B409FA"/>
    <w:rsid w:val="00B41B04"/>
    <w:rsid w:val="00B4303E"/>
    <w:rsid w:val="00B43582"/>
    <w:rsid w:val="00B46A52"/>
    <w:rsid w:val="00B509DB"/>
    <w:rsid w:val="00B55350"/>
    <w:rsid w:val="00B57E04"/>
    <w:rsid w:val="00B62DDD"/>
    <w:rsid w:val="00B71770"/>
    <w:rsid w:val="00B72204"/>
    <w:rsid w:val="00B72981"/>
    <w:rsid w:val="00B8022B"/>
    <w:rsid w:val="00B84AD0"/>
    <w:rsid w:val="00B86CD9"/>
    <w:rsid w:val="00B87357"/>
    <w:rsid w:val="00B910B7"/>
    <w:rsid w:val="00B91797"/>
    <w:rsid w:val="00B92EC9"/>
    <w:rsid w:val="00B93449"/>
    <w:rsid w:val="00B94D84"/>
    <w:rsid w:val="00B94EA1"/>
    <w:rsid w:val="00B95237"/>
    <w:rsid w:val="00B96000"/>
    <w:rsid w:val="00B97375"/>
    <w:rsid w:val="00B97724"/>
    <w:rsid w:val="00BA3022"/>
    <w:rsid w:val="00BB0B9A"/>
    <w:rsid w:val="00BB25F9"/>
    <w:rsid w:val="00BB4352"/>
    <w:rsid w:val="00BC2343"/>
    <w:rsid w:val="00BC2F37"/>
    <w:rsid w:val="00BC2F99"/>
    <w:rsid w:val="00BC3CE7"/>
    <w:rsid w:val="00BC445B"/>
    <w:rsid w:val="00BC4A3F"/>
    <w:rsid w:val="00BC4ADA"/>
    <w:rsid w:val="00BC62A0"/>
    <w:rsid w:val="00BD2988"/>
    <w:rsid w:val="00BD4DDC"/>
    <w:rsid w:val="00BD69AA"/>
    <w:rsid w:val="00BD725E"/>
    <w:rsid w:val="00BE0FF8"/>
    <w:rsid w:val="00BE4020"/>
    <w:rsid w:val="00BF20C1"/>
    <w:rsid w:val="00BF2441"/>
    <w:rsid w:val="00BF5CE2"/>
    <w:rsid w:val="00BF5F90"/>
    <w:rsid w:val="00C14ACE"/>
    <w:rsid w:val="00C2092A"/>
    <w:rsid w:val="00C23C31"/>
    <w:rsid w:val="00C31484"/>
    <w:rsid w:val="00C33E8F"/>
    <w:rsid w:val="00C35035"/>
    <w:rsid w:val="00C35C83"/>
    <w:rsid w:val="00C42DA7"/>
    <w:rsid w:val="00C44179"/>
    <w:rsid w:val="00C444A2"/>
    <w:rsid w:val="00C450E5"/>
    <w:rsid w:val="00C5018F"/>
    <w:rsid w:val="00C53873"/>
    <w:rsid w:val="00C5737A"/>
    <w:rsid w:val="00C62EEF"/>
    <w:rsid w:val="00C63303"/>
    <w:rsid w:val="00C63B35"/>
    <w:rsid w:val="00C71FBF"/>
    <w:rsid w:val="00C75E33"/>
    <w:rsid w:val="00C87DD6"/>
    <w:rsid w:val="00C91702"/>
    <w:rsid w:val="00C91744"/>
    <w:rsid w:val="00C926E2"/>
    <w:rsid w:val="00C929E7"/>
    <w:rsid w:val="00C9346A"/>
    <w:rsid w:val="00CA059C"/>
    <w:rsid w:val="00CA2603"/>
    <w:rsid w:val="00CA6515"/>
    <w:rsid w:val="00CB2279"/>
    <w:rsid w:val="00CB78BE"/>
    <w:rsid w:val="00CC0236"/>
    <w:rsid w:val="00CC3EB2"/>
    <w:rsid w:val="00CC4A33"/>
    <w:rsid w:val="00CC4FC4"/>
    <w:rsid w:val="00CC7825"/>
    <w:rsid w:val="00CD1E29"/>
    <w:rsid w:val="00CD2DA7"/>
    <w:rsid w:val="00CD2FFA"/>
    <w:rsid w:val="00CD4C49"/>
    <w:rsid w:val="00CD577B"/>
    <w:rsid w:val="00CD6DBC"/>
    <w:rsid w:val="00CE0533"/>
    <w:rsid w:val="00CE0D26"/>
    <w:rsid w:val="00CE2DDB"/>
    <w:rsid w:val="00CF110B"/>
    <w:rsid w:val="00CF3E8D"/>
    <w:rsid w:val="00CF47A1"/>
    <w:rsid w:val="00CF5765"/>
    <w:rsid w:val="00CF5F04"/>
    <w:rsid w:val="00D00053"/>
    <w:rsid w:val="00D01B1E"/>
    <w:rsid w:val="00D03390"/>
    <w:rsid w:val="00D04C4E"/>
    <w:rsid w:val="00D05632"/>
    <w:rsid w:val="00D15929"/>
    <w:rsid w:val="00D1687C"/>
    <w:rsid w:val="00D16975"/>
    <w:rsid w:val="00D17C7C"/>
    <w:rsid w:val="00D20754"/>
    <w:rsid w:val="00D21720"/>
    <w:rsid w:val="00D22271"/>
    <w:rsid w:val="00D2491A"/>
    <w:rsid w:val="00D266D6"/>
    <w:rsid w:val="00D279A2"/>
    <w:rsid w:val="00D27F27"/>
    <w:rsid w:val="00D3028A"/>
    <w:rsid w:val="00D320B8"/>
    <w:rsid w:val="00D46B0B"/>
    <w:rsid w:val="00D47724"/>
    <w:rsid w:val="00D512FD"/>
    <w:rsid w:val="00D53C46"/>
    <w:rsid w:val="00D544E1"/>
    <w:rsid w:val="00D54F95"/>
    <w:rsid w:val="00D55B27"/>
    <w:rsid w:val="00D56096"/>
    <w:rsid w:val="00D60B5D"/>
    <w:rsid w:val="00D647A4"/>
    <w:rsid w:val="00D67814"/>
    <w:rsid w:val="00D7302B"/>
    <w:rsid w:val="00D73D49"/>
    <w:rsid w:val="00D75929"/>
    <w:rsid w:val="00D775C2"/>
    <w:rsid w:val="00D83179"/>
    <w:rsid w:val="00D834A3"/>
    <w:rsid w:val="00D907C2"/>
    <w:rsid w:val="00D93962"/>
    <w:rsid w:val="00D96938"/>
    <w:rsid w:val="00DA1CCC"/>
    <w:rsid w:val="00DA3194"/>
    <w:rsid w:val="00DA333E"/>
    <w:rsid w:val="00DA4A4D"/>
    <w:rsid w:val="00DA64E7"/>
    <w:rsid w:val="00DB2A03"/>
    <w:rsid w:val="00DB3DCA"/>
    <w:rsid w:val="00DB4AEF"/>
    <w:rsid w:val="00DB7827"/>
    <w:rsid w:val="00DB799A"/>
    <w:rsid w:val="00DC454F"/>
    <w:rsid w:val="00DC4E00"/>
    <w:rsid w:val="00DD03F9"/>
    <w:rsid w:val="00DD1DCD"/>
    <w:rsid w:val="00DD26E6"/>
    <w:rsid w:val="00DD463B"/>
    <w:rsid w:val="00DD4DDD"/>
    <w:rsid w:val="00DE69FE"/>
    <w:rsid w:val="00DF0742"/>
    <w:rsid w:val="00DF0BC8"/>
    <w:rsid w:val="00DF19D9"/>
    <w:rsid w:val="00DF2204"/>
    <w:rsid w:val="00DF5E6C"/>
    <w:rsid w:val="00E0166A"/>
    <w:rsid w:val="00E065AC"/>
    <w:rsid w:val="00E065FE"/>
    <w:rsid w:val="00E0677A"/>
    <w:rsid w:val="00E07ED1"/>
    <w:rsid w:val="00E14E5F"/>
    <w:rsid w:val="00E161C7"/>
    <w:rsid w:val="00E21A8F"/>
    <w:rsid w:val="00E23B20"/>
    <w:rsid w:val="00E35601"/>
    <w:rsid w:val="00E406F6"/>
    <w:rsid w:val="00E4289A"/>
    <w:rsid w:val="00E43DC5"/>
    <w:rsid w:val="00E44DF5"/>
    <w:rsid w:val="00E45321"/>
    <w:rsid w:val="00E45A0A"/>
    <w:rsid w:val="00E476B5"/>
    <w:rsid w:val="00E56051"/>
    <w:rsid w:val="00E56ED0"/>
    <w:rsid w:val="00E60DFD"/>
    <w:rsid w:val="00E62767"/>
    <w:rsid w:val="00E64656"/>
    <w:rsid w:val="00E656EB"/>
    <w:rsid w:val="00E66609"/>
    <w:rsid w:val="00E66A89"/>
    <w:rsid w:val="00E7072B"/>
    <w:rsid w:val="00E770AB"/>
    <w:rsid w:val="00E77E35"/>
    <w:rsid w:val="00E80FE4"/>
    <w:rsid w:val="00E86E1E"/>
    <w:rsid w:val="00E87DEE"/>
    <w:rsid w:val="00E927FB"/>
    <w:rsid w:val="00E960A0"/>
    <w:rsid w:val="00EA12C4"/>
    <w:rsid w:val="00EA7739"/>
    <w:rsid w:val="00EB4E3E"/>
    <w:rsid w:val="00EB5BD8"/>
    <w:rsid w:val="00EB5FDA"/>
    <w:rsid w:val="00EB64EF"/>
    <w:rsid w:val="00EB74E6"/>
    <w:rsid w:val="00EC1A49"/>
    <w:rsid w:val="00EC43F4"/>
    <w:rsid w:val="00EC4671"/>
    <w:rsid w:val="00ED2E22"/>
    <w:rsid w:val="00ED2FC2"/>
    <w:rsid w:val="00ED3576"/>
    <w:rsid w:val="00ED3C0F"/>
    <w:rsid w:val="00EE29DC"/>
    <w:rsid w:val="00EE5E3F"/>
    <w:rsid w:val="00EE73D0"/>
    <w:rsid w:val="00F008C2"/>
    <w:rsid w:val="00F05215"/>
    <w:rsid w:val="00F0681A"/>
    <w:rsid w:val="00F07070"/>
    <w:rsid w:val="00F143C4"/>
    <w:rsid w:val="00F14ACB"/>
    <w:rsid w:val="00F20BED"/>
    <w:rsid w:val="00F20E90"/>
    <w:rsid w:val="00F21076"/>
    <w:rsid w:val="00F217DC"/>
    <w:rsid w:val="00F239A9"/>
    <w:rsid w:val="00F24D12"/>
    <w:rsid w:val="00F25D91"/>
    <w:rsid w:val="00F26543"/>
    <w:rsid w:val="00F27C51"/>
    <w:rsid w:val="00F30796"/>
    <w:rsid w:val="00F323C9"/>
    <w:rsid w:val="00F33AC4"/>
    <w:rsid w:val="00F34793"/>
    <w:rsid w:val="00F4072C"/>
    <w:rsid w:val="00F42D3D"/>
    <w:rsid w:val="00F43147"/>
    <w:rsid w:val="00F43262"/>
    <w:rsid w:val="00F45409"/>
    <w:rsid w:val="00F46401"/>
    <w:rsid w:val="00F468EF"/>
    <w:rsid w:val="00F46DB5"/>
    <w:rsid w:val="00F5009F"/>
    <w:rsid w:val="00F500D4"/>
    <w:rsid w:val="00F50843"/>
    <w:rsid w:val="00F512A8"/>
    <w:rsid w:val="00F54025"/>
    <w:rsid w:val="00F541C1"/>
    <w:rsid w:val="00F5757E"/>
    <w:rsid w:val="00F57A53"/>
    <w:rsid w:val="00F618A8"/>
    <w:rsid w:val="00F63203"/>
    <w:rsid w:val="00F649DF"/>
    <w:rsid w:val="00F64A8E"/>
    <w:rsid w:val="00F66C8D"/>
    <w:rsid w:val="00F67AA6"/>
    <w:rsid w:val="00F72505"/>
    <w:rsid w:val="00F7520D"/>
    <w:rsid w:val="00F7653E"/>
    <w:rsid w:val="00F77A58"/>
    <w:rsid w:val="00F81736"/>
    <w:rsid w:val="00F82A92"/>
    <w:rsid w:val="00F8410E"/>
    <w:rsid w:val="00F8469B"/>
    <w:rsid w:val="00F85332"/>
    <w:rsid w:val="00F85644"/>
    <w:rsid w:val="00F8653D"/>
    <w:rsid w:val="00F924F8"/>
    <w:rsid w:val="00F92EE2"/>
    <w:rsid w:val="00F93973"/>
    <w:rsid w:val="00F958CE"/>
    <w:rsid w:val="00F97C40"/>
    <w:rsid w:val="00FA0B5F"/>
    <w:rsid w:val="00FA6426"/>
    <w:rsid w:val="00FB2365"/>
    <w:rsid w:val="00FB630B"/>
    <w:rsid w:val="00FC078F"/>
    <w:rsid w:val="00FC1D32"/>
    <w:rsid w:val="00FC438B"/>
    <w:rsid w:val="00FC60DD"/>
    <w:rsid w:val="00FC689B"/>
    <w:rsid w:val="00FD2A75"/>
    <w:rsid w:val="00FD3D89"/>
    <w:rsid w:val="00FD5F79"/>
    <w:rsid w:val="00FE0090"/>
    <w:rsid w:val="00FE4030"/>
    <w:rsid w:val="00FE4109"/>
    <w:rsid w:val="00FE4703"/>
    <w:rsid w:val="00FF2E24"/>
    <w:rsid w:val="00FF40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8DCB"/>
  <w15:chartTrackingRefBased/>
  <w15:docId w15:val="{40DC4173-7657-49EF-907A-A054C5F1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4F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C34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4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34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34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34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34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4F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C34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34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34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34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34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34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3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4F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C34F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C34F3"/>
    <w:pPr>
      <w:spacing w:before="160"/>
      <w:jc w:val="center"/>
    </w:pPr>
    <w:rPr>
      <w:i/>
      <w:iCs/>
      <w:color w:val="404040" w:themeColor="text1" w:themeTint="BF"/>
    </w:rPr>
  </w:style>
  <w:style w:type="character" w:customStyle="1" w:styleId="QuoteChar">
    <w:name w:val="Quote Char"/>
    <w:basedOn w:val="DefaultParagraphFont"/>
    <w:link w:val="Quote"/>
    <w:uiPriority w:val="29"/>
    <w:rsid w:val="004C34F3"/>
    <w:rPr>
      <w:i/>
      <w:iCs/>
      <w:color w:val="404040" w:themeColor="text1" w:themeTint="BF"/>
    </w:rPr>
  </w:style>
  <w:style w:type="paragraph" w:styleId="ListParagraph">
    <w:name w:val="List Paragraph"/>
    <w:basedOn w:val="Normal"/>
    <w:uiPriority w:val="34"/>
    <w:qFormat/>
    <w:rsid w:val="004C34F3"/>
    <w:pPr>
      <w:ind w:left="720"/>
      <w:contextualSpacing/>
    </w:pPr>
  </w:style>
  <w:style w:type="character" w:styleId="IntenseEmphasis">
    <w:name w:val="Intense Emphasis"/>
    <w:basedOn w:val="DefaultParagraphFont"/>
    <w:uiPriority w:val="21"/>
    <w:qFormat/>
    <w:rsid w:val="004C34F3"/>
    <w:rPr>
      <w:i/>
      <w:iCs/>
      <w:color w:val="2F5496" w:themeColor="accent1" w:themeShade="BF"/>
    </w:rPr>
  </w:style>
  <w:style w:type="paragraph" w:styleId="IntenseQuote">
    <w:name w:val="Intense Quote"/>
    <w:basedOn w:val="Normal"/>
    <w:next w:val="Normal"/>
    <w:link w:val="IntenseQuoteChar"/>
    <w:uiPriority w:val="30"/>
    <w:qFormat/>
    <w:rsid w:val="004C3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4F3"/>
    <w:rPr>
      <w:i/>
      <w:iCs/>
      <w:color w:val="2F5496" w:themeColor="accent1" w:themeShade="BF"/>
    </w:rPr>
  </w:style>
  <w:style w:type="character" w:styleId="IntenseReference">
    <w:name w:val="Intense Reference"/>
    <w:basedOn w:val="DefaultParagraphFont"/>
    <w:uiPriority w:val="32"/>
    <w:qFormat/>
    <w:rsid w:val="004C34F3"/>
    <w:rPr>
      <w:b/>
      <w:bCs/>
      <w:smallCaps/>
      <w:color w:val="2F5496" w:themeColor="accent1" w:themeShade="BF"/>
      <w:spacing w:val="5"/>
    </w:rPr>
  </w:style>
  <w:style w:type="table" w:styleId="TableGrid">
    <w:name w:val="Table Grid"/>
    <w:basedOn w:val="TableNormal"/>
    <w:uiPriority w:val="39"/>
    <w:rsid w:val="0086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56F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4A19D3"/>
    <w:rPr>
      <w:color w:val="0563C1" w:themeColor="hyperlink"/>
      <w:u w:val="single"/>
    </w:rPr>
  </w:style>
  <w:style w:type="character" w:customStyle="1" w:styleId="UnresolvedMention1">
    <w:name w:val="Unresolved Mention1"/>
    <w:basedOn w:val="DefaultParagraphFont"/>
    <w:uiPriority w:val="99"/>
    <w:semiHidden/>
    <w:unhideWhenUsed/>
    <w:rsid w:val="004A19D3"/>
    <w:rPr>
      <w:color w:val="605E5C"/>
      <w:shd w:val="clear" w:color="auto" w:fill="E1DFDD"/>
    </w:rPr>
  </w:style>
  <w:style w:type="character" w:styleId="Strong">
    <w:name w:val="Strong"/>
    <w:basedOn w:val="DefaultParagraphFont"/>
    <w:uiPriority w:val="22"/>
    <w:qFormat/>
    <w:rsid w:val="007B3239"/>
    <w:rPr>
      <w:b/>
      <w:bCs/>
    </w:rPr>
  </w:style>
  <w:style w:type="character" w:styleId="Emphasis">
    <w:name w:val="Emphasis"/>
    <w:basedOn w:val="DefaultParagraphFont"/>
    <w:uiPriority w:val="20"/>
    <w:qFormat/>
    <w:rsid w:val="007B3239"/>
    <w:rPr>
      <w:i/>
      <w:iCs/>
    </w:rPr>
  </w:style>
  <w:style w:type="paragraph" w:styleId="Header">
    <w:name w:val="header"/>
    <w:basedOn w:val="Normal"/>
    <w:link w:val="HeaderChar"/>
    <w:uiPriority w:val="99"/>
    <w:unhideWhenUsed/>
    <w:rsid w:val="00B34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E2C"/>
  </w:style>
  <w:style w:type="paragraph" w:styleId="Footer">
    <w:name w:val="footer"/>
    <w:basedOn w:val="Normal"/>
    <w:link w:val="FooterChar"/>
    <w:uiPriority w:val="99"/>
    <w:unhideWhenUsed/>
    <w:rsid w:val="00B34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E2C"/>
  </w:style>
  <w:style w:type="character" w:styleId="LineNumber">
    <w:name w:val="line number"/>
    <w:basedOn w:val="DefaultParagraphFont"/>
    <w:uiPriority w:val="99"/>
    <w:semiHidden/>
    <w:unhideWhenUsed/>
    <w:rsid w:val="007B7C62"/>
  </w:style>
  <w:style w:type="table" w:styleId="GridTable2">
    <w:name w:val="Grid Table 2"/>
    <w:basedOn w:val="TableNormal"/>
    <w:uiPriority w:val="47"/>
    <w:rsid w:val="00C9174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FD2A7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217DCA"/>
    <w:pPr>
      <w:spacing w:before="100" w:beforeAutospacing="1" w:after="100" w:afterAutospacing="1" w:line="240" w:lineRule="auto"/>
    </w:pPr>
    <w:rPr>
      <w:rFonts w:eastAsia="Times New Roman" w:cs="Times New Roman"/>
      <w:kern w:val="0"/>
      <w:sz w:val="24"/>
      <w:szCs w:val="24"/>
      <w:lang w:eastAsia="en-IN"/>
      <w14:ligatures w14:val="none"/>
    </w:rPr>
  </w:style>
  <w:style w:type="table" w:styleId="TableGridLight">
    <w:name w:val="Grid Table Light"/>
    <w:basedOn w:val="TableNormal"/>
    <w:uiPriority w:val="40"/>
    <w:rsid w:val="00AB35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B35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C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853">
      <w:bodyDiv w:val="1"/>
      <w:marLeft w:val="0"/>
      <w:marRight w:val="0"/>
      <w:marTop w:val="0"/>
      <w:marBottom w:val="0"/>
      <w:divBdr>
        <w:top w:val="none" w:sz="0" w:space="0" w:color="auto"/>
        <w:left w:val="none" w:sz="0" w:space="0" w:color="auto"/>
        <w:bottom w:val="none" w:sz="0" w:space="0" w:color="auto"/>
        <w:right w:val="none" w:sz="0" w:space="0" w:color="auto"/>
      </w:divBdr>
    </w:div>
    <w:div w:id="20514775">
      <w:bodyDiv w:val="1"/>
      <w:marLeft w:val="0"/>
      <w:marRight w:val="0"/>
      <w:marTop w:val="0"/>
      <w:marBottom w:val="0"/>
      <w:divBdr>
        <w:top w:val="none" w:sz="0" w:space="0" w:color="auto"/>
        <w:left w:val="none" w:sz="0" w:space="0" w:color="auto"/>
        <w:bottom w:val="none" w:sz="0" w:space="0" w:color="auto"/>
        <w:right w:val="none" w:sz="0" w:space="0" w:color="auto"/>
      </w:divBdr>
    </w:div>
    <w:div w:id="28263635">
      <w:bodyDiv w:val="1"/>
      <w:marLeft w:val="0"/>
      <w:marRight w:val="0"/>
      <w:marTop w:val="0"/>
      <w:marBottom w:val="0"/>
      <w:divBdr>
        <w:top w:val="none" w:sz="0" w:space="0" w:color="auto"/>
        <w:left w:val="none" w:sz="0" w:space="0" w:color="auto"/>
        <w:bottom w:val="none" w:sz="0" w:space="0" w:color="auto"/>
        <w:right w:val="none" w:sz="0" w:space="0" w:color="auto"/>
      </w:divBdr>
    </w:div>
    <w:div w:id="82066482">
      <w:bodyDiv w:val="1"/>
      <w:marLeft w:val="0"/>
      <w:marRight w:val="0"/>
      <w:marTop w:val="0"/>
      <w:marBottom w:val="0"/>
      <w:divBdr>
        <w:top w:val="none" w:sz="0" w:space="0" w:color="auto"/>
        <w:left w:val="none" w:sz="0" w:space="0" w:color="auto"/>
        <w:bottom w:val="none" w:sz="0" w:space="0" w:color="auto"/>
        <w:right w:val="none" w:sz="0" w:space="0" w:color="auto"/>
      </w:divBdr>
    </w:div>
    <w:div w:id="139151112">
      <w:bodyDiv w:val="1"/>
      <w:marLeft w:val="0"/>
      <w:marRight w:val="0"/>
      <w:marTop w:val="0"/>
      <w:marBottom w:val="0"/>
      <w:divBdr>
        <w:top w:val="none" w:sz="0" w:space="0" w:color="auto"/>
        <w:left w:val="none" w:sz="0" w:space="0" w:color="auto"/>
        <w:bottom w:val="none" w:sz="0" w:space="0" w:color="auto"/>
        <w:right w:val="none" w:sz="0" w:space="0" w:color="auto"/>
      </w:divBdr>
    </w:div>
    <w:div w:id="148639890">
      <w:bodyDiv w:val="1"/>
      <w:marLeft w:val="0"/>
      <w:marRight w:val="0"/>
      <w:marTop w:val="0"/>
      <w:marBottom w:val="0"/>
      <w:divBdr>
        <w:top w:val="none" w:sz="0" w:space="0" w:color="auto"/>
        <w:left w:val="none" w:sz="0" w:space="0" w:color="auto"/>
        <w:bottom w:val="none" w:sz="0" w:space="0" w:color="auto"/>
        <w:right w:val="none" w:sz="0" w:space="0" w:color="auto"/>
      </w:divBdr>
    </w:div>
    <w:div w:id="189992426">
      <w:bodyDiv w:val="1"/>
      <w:marLeft w:val="0"/>
      <w:marRight w:val="0"/>
      <w:marTop w:val="0"/>
      <w:marBottom w:val="0"/>
      <w:divBdr>
        <w:top w:val="none" w:sz="0" w:space="0" w:color="auto"/>
        <w:left w:val="none" w:sz="0" w:space="0" w:color="auto"/>
        <w:bottom w:val="none" w:sz="0" w:space="0" w:color="auto"/>
        <w:right w:val="none" w:sz="0" w:space="0" w:color="auto"/>
      </w:divBdr>
    </w:div>
    <w:div w:id="191235630">
      <w:bodyDiv w:val="1"/>
      <w:marLeft w:val="0"/>
      <w:marRight w:val="0"/>
      <w:marTop w:val="0"/>
      <w:marBottom w:val="0"/>
      <w:divBdr>
        <w:top w:val="none" w:sz="0" w:space="0" w:color="auto"/>
        <w:left w:val="none" w:sz="0" w:space="0" w:color="auto"/>
        <w:bottom w:val="none" w:sz="0" w:space="0" w:color="auto"/>
        <w:right w:val="none" w:sz="0" w:space="0" w:color="auto"/>
      </w:divBdr>
    </w:div>
    <w:div w:id="231544346">
      <w:bodyDiv w:val="1"/>
      <w:marLeft w:val="0"/>
      <w:marRight w:val="0"/>
      <w:marTop w:val="0"/>
      <w:marBottom w:val="0"/>
      <w:divBdr>
        <w:top w:val="none" w:sz="0" w:space="0" w:color="auto"/>
        <w:left w:val="none" w:sz="0" w:space="0" w:color="auto"/>
        <w:bottom w:val="none" w:sz="0" w:space="0" w:color="auto"/>
        <w:right w:val="none" w:sz="0" w:space="0" w:color="auto"/>
      </w:divBdr>
    </w:div>
    <w:div w:id="363987037">
      <w:bodyDiv w:val="1"/>
      <w:marLeft w:val="0"/>
      <w:marRight w:val="0"/>
      <w:marTop w:val="0"/>
      <w:marBottom w:val="0"/>
      <w:divBdr>
        <w:top w:val="none" w:sz="0" w:space="0" w:color="auto"/>
        <w:left w:val="none" w:sz="0" w:space="0" w:color="auto"/>
        <w:bottom w:val="none" w:sz="0" w:space="0" w:color="auto"/>
        <w:right w:val="none" w:sz="0" w:space="0" w:color="auto"/>
      </w:divBdr>
    </w:div>
    <w:div w:id="387650338">
      <w:bodyDiv w:val="1"/>
      <w:marLeft w:val="0"/>
      <w:marRight w:val="0"/>
      <w:marTop w:val="0"/>
      <w:marBottom w:val="0"/>
      <w:divBdr>
        <w:top w:val="none" w:sz="0" w:space="0" w:color="auto"/>
        <w:left w:val="none" w:sz="0" w:space="0" w:color="auto"/>
        <w:bottom w:val="none" w:sz="0" w:space="0" w:color="auto"/>
        <w:right w:val="none" w:sz="0" w:space="0" w:color="auto"/>
      </w:divBdr>
    </w:div>
    <w:div w:id="411901953">
      <w:bodyDiv w:val="1"/>
      <w:marLeft w:val="0"/>
      <w:marRight w:val="0"/>
      <w:marTop w:val="0"/>
      <w:marBottom w:val="0"/>
      <w:divBdr>
        <w:top w:val="none" w:sz="0" w:space="0" w:color="auto"/>
        <w:left w:val="none" w:sz="0" w:space="0" w:color="auto"/>
        <w:bottom w:val="none" w:sz="0" w:space="0" w:color="auto"/>
        <w:right w:val="none" w:sz="0" w:space="0" w:color="auto"/>
      </w:divBdr>
    </w:div>
    <w:div w:id="583800910">
      <w:bodyDiv w:val="1"/>
      <w:marLeft w:val="0"/>
      <w:marRight w:val="0"/>
      <w:marTop w:val="0"/>
      <w:marBottom w:val="0"/>
      <w:divBdr>
        <w:top w:val="none" w:sz="0" w:space="0" w:color="auto"/>
        <w:left w:val="none" w:sz="0" w:space="0" w:color="auto"/>
        <w:bottom w:val="none" w:sz="0" w:space="0" w:color="auto"/>
        <w:right w:val="none" w:sz="0" w:space="0" w:color="auto"/>
      </w:divBdr>
    </w:div>
    <w:div w:id="662588129">
      <w:bodyDiv w:val="1"/>
      <w:marLeft w:val="0"/>
      <w:marRight w:val="0"/>
      <w:marTop w:val="0"/>
      <w:marBottom w:val="0"/>
      <w:divBdr>
        <w:top w:val="none" w:sz="0" w:space="0" w:color="auto"/>
        <w:left w:val="none" w:sz="0" w:space="0" w:color="auto"/>
        <w:bottom w:val="none" w:sz="0" w:space="0" w:color="auto"/>
        <w:right w:val="none" w:sz="0" w:space="0" w:color="auto"/>
      </w:divBdr>
    </w:div>
    <w:div w:id="665323848">
      <w:bodyDiv w:val="1"/>
      <w:marLeft w:val="0"/>
      <w:marRight w:val="0"/>
      <w:marTop w:val="0"/>
      <w:marBottom w:val="0"/>
      <w:divBdr>
        <w:top w:val="none" w:sz="0" w:space="0" w:color="auto"/>
        <w:left w:val="none" w:sz="0" w:space="0" w:color="auto"/>
        <w:bottom w:val="none" w:sz="0" w:space="0" w:color="auto"/>
        <w:right w:val="none" w:sz="0" w:space="0" w:color="auto"/>
      </w:divBdr>
    </w:div>
    <w:div w:id="676813030">
      <w:bodyDiv w:val="1"/>
      <w:marLeft w:val="0"/>
      <w:marRight w:val="0"/>
      <w:marTop w:val="0"/>
      <w:marBottom w:val="0"/>
      <w:divBdr>
        <w:top w:val="none" w:sz="0" w:space="0" w:color="auto"/>
        <w:left w:val="none" w:sz="0" w:space="0" w:color="auto"/>
        <w:bottom w:val="none" w:sz="0" w:space="0" w:color="auto"/>
        <w:right w:val="none" w:sz="0" w:space="0" w:color="auto"/>
      </w:divBdr>
    </w:div>
    <w:div w:id="723869545">
      <w:bodyDiv w:val="1"/>
      <w:marLeft w:val="0"/>
      <w:marRight w:val="0"/>
      <w:marTop w:val="0"/>
      <w:marBottom w:val="0"/>
      <w:divBdr>
        <w:top w:val="none" w:sz="0" w:space="0" w:color="auto"/>
        <w:left w:val="none" w:sz="0" w:space="0" w:color="auto"/>
        <w:bottom w:val="none" w:sz="0" w:space="0" w:color="auto"/>
        <w:right w:val="none" w:sz="0" w:space="0" w:color="auto"/>
      </w:divBdr>
    </w:div>
    <w:div w:id="729351144">
      <w:bodyDiv w:val="1"/>
      <w:marLeft w:val="0"/>
      <w:marRight w:val="0"/>
      <w:marTop w:val="0"/>
      <w:marBottom w:val="0"/>
      <w:divBdr>
        <w:top w:val="none" w:sz="0" w:space="0" w:color="auto"/>
        <w:left w:val="none" w:sz="0" w:space="0" w:color="auto"/>
        <w:bottom w:val="none" w:sz="0" w:space="0" w:color="auto"/>
        <w:right w:val="none" w:sz="0" w:space="0" w:color="auto"/>
      </w:divBdr>
    </w:div>
    <w:div w:id="745609950">
      <w:bodyDiv w:val="1"/>
      <w:marLeft w:val="0"/>
      <w:marRight w:val="0"/>
      <w:marTop w:val="0"/>
      <w:marBottom w:val="0"/>
      <w:divBdr>
        <w:top w:val="none" w:sz="0" w:space="0" w:color="auto"/>
        <w:left w:val="none" w:sz="0" w:space="0" w:color="auto"/>
        <w:bottom w:val="none" w:sz="0" w:space="0" w:color="auto"/>
        <w:right w:val="none" w:sz="0" w:space="0" w:color="auto"/>
      </w:divBdr>
    </w:div>
    <w:div w:id="881091718">
      <w:bodyDiv w:val="1"/>
      <w:marLeft w:val="0"/>
      <w:marRight w:val="0"/>
      <w:marTop w:val="0"/>
      <w:marBottom w:val="0"/>
      <w:divBdr>
        <w:top w:val="none" w:sz="0" w:space="0" w:color="auto"/>
        <w:left w:val="none" w:sz="0" w:space="0" w:color="auto"/>
        <w:bottom w:val="none" w:sz="0" w:space="0" w:color="auto"/>
        <w:right w:val="none" w:sz="0" w:space="0" w:color="auto"/>
      </w:divBdr>
    </w:div>
    <w:div w:id="897593594">
      <w:bodyDiv w:val="1"/>
      <w:marLeft w:val="0"/>
      <w:marRight w:val="0"/>
      <w:marTop w:val="0"/>
      <w:marBottom w:val="0"/>
      <w:divBdr>
        <w:top w:val="none" w:sz="0" w:space="0" w:color="auto"/>
        <w:left w:val="none" w:sz="0" w:space="0" w:color="auto"/>
        <w:bottom w:val="none" w:sz="0" w:space="0" w:color="auto"/>
        <w:right w:val="none" w:sz="0" w:space="0" w:color="auto"/>
      </w:divBdr>
    </w:div>
    <w:div w:id="960377189">
      <w:bodyDiv w:val="1"/>
      <w:marLeft w:val="0"/>
      <w:marRight w:val="0"/>
      <w:marTop w:val="0"/>
      <w:marBottom w:val="0"/>
      <w:divBdr>
        <w:top w:val="none" w:sz="0" w:space="0" w:color="auto"/>
        <w:left w:val="none" w:sz="0" w:space="0" w:color="auto"/>
        <w:bottom w:val="none" w:sz="0" w:space="0" w:color="auto"/>
        <w:right w:val="none" w:sz="0" w:space="0" w:color="auto"/>
      </w:divBdr>
    </w:div>
    <w:div w:id="968050864">
      <w:bodyDiv w:val="1"/>
      <w:marLeft w:val="0"/>
      <w:marRight w:val="0"/>
      <w:marTop w:val="0"/>
      <w:marBottom w:val="0"/>
      <w:divBdr>
        <w:top w:val="none" w:sz="0" w:space="0" w:color="auto"/>
        <w:left w:val="none" w:sz="0" w:space="0" w:color="auto"/>
        <w:bottom w:val="none" w:sz="0" w:space="0" w:color="auto"/>
        <w:right w:val="none" w:sz="0" w:space="0" w:color="auto"/>
      </w:divBdr>
    </w:div>
    <w:div w:id="974481300">
      <w:bodyDiv w:val="1"/>
      <w:marLeft w:val="0"/>
      <w:marRight w:val="0"/>
      <w:marTop w:val="0"/>
      <w:marBottom w:val="0"/>
      <w:divBdr>
        <w:top w:val="none" w:sz="0" w:space="0" w:color="auto"/>
        <w:left w:val="none" w:sz="0" w:space="0" w:color="auto"/>
        <w:bottom w:val="none" w:sz="0" w:space="0" w:color="auto"/>
        <w:right w:val="none" w:sz="0" w:space="0" w:color="auto"/>
      </w:divBdr>
    </w:div>
    <w:div w:id="1017971162">
      <w:bodyDiv w:val="1"/>
      <w:marLeft w:val="0"/>
      <w:marRight w:val="0"/>
      <w:marTop w:val="0"/>
      <w:marBottom w:val="0"/>
      <w:divBdr>
        <w:top w:val="none" w:sz="0" w:space="0" w:color="auto"/>
        <w:left w:val="none" w:sz="0" w:space="0" w:color="auto"/>
        <w:bottom w:val="none" w:sz="0" w:space="0" w:color="auto"/>
        <w:right w:val="none" w:sz="0" w:space="0" w:color="auto"/>
      </w:divBdr>
    </w:div>
    <w:div w:id="1067533152">
      <w:bodyDiv w:val="1"/>
      <w:marLeft w:val="0"/>
      <w:marRight w:val="0"/>
      <w:marTop w:val="0"/>
      <w:marBottom w:val="0"/>
      <w:divBdr>
        <w:top w:val="none" w:sz="0" w:space="0" w:color="auto"/>
        <w:left w:val="none" w:sz="0" w:space="0" w:color="auto"/>
        <w:bottom w:val="none" w:sz="0" w:space="0" w:color="auto"/>
        <w:right w:val="none" w:sz="0" w:space="0" w:color="auto"/>
      </w:divBdr>
    </w:div>
    <w:div w:id="1102460561">
      <w:bodyDiv w:val="1"/>
      <w:marLeft w:val="0"/>
      <w:marRight w:val="0"/>
      <w:marTop w:val="0"/>
      <w:marBottom w:val="0"/>
      <w:divBdr>
        <w:top w:val="none" w:sz="0" w:space="0" w:color="auto"/>
        <w:left w:val="none" w:sz="0" w:space="0" w:color="auto"/>
        <w:bottom w:val="none" w:sz="0" w:space="0" w:color="auto"/>
        <w:right w:val="none" w:sz="0" w:space="0" w:color="auto"/>
      </w:divBdr>
    </w:div>
    <w:div w:id="1106735430">
      <w:bodyDiv w:val="1"/>
      <w:marLeft w:val="0"/>
      <w:marRight w:val="0"/>
      <w:marTop w:val="0"/>
      <w:marBottom w:val="0"/>
      <w:divBdr>
        <w:top w:val="none" w:sz="0" w:space="0" w:color="auto"/>
        <w:left w:val="none" w:sz="0" w:space="0" w:color="auto"/>
        <w:bottom w:val="none" w:sz="0" w:space="0" w:color="auto"/>
        <w:right w:val="none" w:sz="0" w:space="0" w:color="auto"/>
      </w:divBdr>
    </w:div>
    <w:div w:id="1136027101">
      <w:bodyDiv w:val="1"/>
      <w:marLeft w:val="0"/>
      <w:marRight w:val="0"/>
      <w:marTop w:val="0"/>
      <w:marBottom w:val="0"/>
      <w:divBdr>
        <w:top w:val="none" w:sz="0" w:space="0" w:color="auto"/>
        <w:left w:val="none" w:sz="0" w:space="0" w:color="auto"/>
        <w:bottom w:val="none" w:sz="0" w:space="0" w:color="auto"/>
        <w:right w:val="none" w:sz="0" w:space="0" w:color="auto"/>
      </w:divBdr>
    </w:div>
    <w:div w:id="1140340210">
      <w:bodyDiv w:val="1"/>
      <w:marLeft w:val="0"/>
      <w:marRight w:val="0"/>
      <w:marTop w:val="0"/>
      <w:marBottom w:val="0"/>
      <w:divBdr>
        <w:top w:val="none" w:sz="0" w:space="0" w:color="auto"/>
        <w:left w:val="none" w:sz="0" w:space="0" w:color="auto"/>
        <w:bottom w:val="none" w:sz="0" w:space="0" w:color="auto"/>
        <w:right w:val="none" w:sz="0" w:space="0" w:color="auto"/>
      </w:divBdr>
    </w:div>
    <w:div w:id="1398554165">
      <w:bodyDiv w:val="1"/>
      <w:marLeft w:val="0"/>
      <w:marRight w:val="0"/>
      <w:marTop w:val="0"/>
      <w:marBottom w:val="0"/>
      <w:divBdr>
        <w:top w:val="none" w:sz="0" w:space="0" w:color="auto"/>
        <w:left w:val="none" w:sz="0" w:space="0" w:color="auto"/>
        <w:bottom w:val="none" w:sz="0" w:space="0" w:color="auto"/>
        <w:right w:val="none" w:sz="0" w:space="0" w:color="auto"/>
      </w:divBdr>
    </w:div>
    <w:div w:id="1407608321">
      <w:bodyDiv w:val="1"/>
      <w:marLeft w:val="0"/>
      <w:marRight w:val="0"/>
      <w:marTop w:val="0"/>
      <w:marBottom w:val="0"/>
      <w:divBdr>
        <w:top w:val="none" w:sz="0" w:space="0" w:color="auto"/>
        <w:left w:val="none" w:sz="0" w:space="0" w:color="auto"/>
        <w:bottom w:val="none" w:sz="0" w:space="0" w:color="auto"/>
        <w:right w:val="none" w:sz="0" w:space="0" w:color="auto"/>
      </w:divBdr>
    </w:div>
    <w:div w:id="1412385023">
      <w:bodyDiv w:val="1"/>
      <w:marLeft w:val="0"/>
      <w:marRight w:val="0"/>
      <w:marTop w:val="0"/>
      <w:marBottom w:val="0"/>
      <w:divBdr>
        <w:top w:val="none" w:sz="0" w:space="0" w:color="auto"/>
        <w:left w:val="none" w:sz="0" w:space="0" w:color="auto"/>
        <w:bottom w:val="none" w:sz="0" w:space="0" w:color="auto"/>
        <w:right w:val="none" w:sz="0" w:space="0" w:color="auto"/>
      </w:divBdr>
    </w:div>
    <w:div w:id="1481771167">
      <w:bodyDiv w:val="1"/>
      <w:marLeft w:val="0"/>
      <w:marRight w:val="0"/>
      <w:marTop w:val="0"/>
      <w:marBottom w:val="0"/>
      <w:divBdr>
        <w:top w:val="none" w:sz="0" w:space="0" w:color="auto"/>
        <w:left w:val="none" w:sz="0" w:space="0" w:color="auto"/>
        <w:bottom w:val="none" w:sz="0" w:space="0" w:color="auto"/>
        <w:right w:val="none" w:sz="0" w:space="0" w:color="auto"/>
      </w:divBdr>
    </w:div>
    <w:div w:id="1533612166">
      <w:bodyDiv w:val="1"/>
      <w:marLeft w:val="0"/>
      <w:marRight w:val="0"/>
      <w:marTop w:val="0"/>
      <w:marBottom w:val="0"/>
      <w:divBdr>
        <w:top w:val="none" w:sz="0" w:space="0" w:color="auto"/>
        <w:left w:val="none" w:sz="0" w:space="0" w:color="auto"/>
        <w:bottom w:val="none" w:sz="0" w:space="0" w:color="auto"/>
        <w:right w:val="none" w:sz="0" w:space="0" w:color="auto"/>
      </w:divBdr>
    </w:div>
    <w:div w:id="1611661853">
      <w:bodyDiv w:val="1"/>
      <w:marLeft w:val="0"/>
      <w:marRight w:val="0"/>
      <w:marTop w:val="0"/>
      <w:marBottom w:val="0"/>
      <w:divBdr>
        <w:top w:val="none" w:sz="0" w:space="0" w:color="auto"/>
        <w:left w:val="none" w:sz="0" w:space="0" w:color="auto"/>
        <w:bottom w:val="none" w:sz="0" w:space="0" w:color="auto"/>
        <w:right w:val="none" w:sz="0" w:space="0" w:color="auto"/>
      </w:divBdr>
    </w:div>
    <w:div w:id="1660772618">
      <w:bodyDiv w:val="1"/>
      <w:marLeft w:val="0"/>
      <w:marRight w:val="0"/>
      <w:marTop w:val="0"/>
      <w:marBottom w:val="0"/>
      <w:divBdr>
        <w:top w:val="none" w:sz="0" w:space="0" w:color="auto"/>
        <w:left w:val="none" w:sz="0" w:space="0" w:color="auto"/>
        <w:bottom w:val="none" w:sz="0" w:space="0" w:color="auto"/>
        <w:right w:val="none" w:sz="0" w:space="0" w:color="auto"/>
      </w:divBdr>
    </w:div>
    <w:div w:id="1669018874">
      <w:bodyDiv w:val="1"/>
      <w:marLeft w:val="0"/>
      <w:marRight w:val="0"/>
      <w:marTop w:val="0"/>
      <w:marBottom w:val="0"/>
      <w:divBdr>
        <w:top w:val="none" w:sz="0" w:space="0" w:color="auto"/>
        <w:left w:val="none" w:sz="0" w:space="0" w:color="auto"/>
        <w:bottom w:val="none" w:sz="0" w:space="0" w:color="auto"/>
        <w:right w:val="none" w:sz="0" w:space="0" w:color="auto"/>
      </w:divBdr>
    </w:div>
    <w:div w:id="1680883513">
      <w:bodyDiv w:val="1"/>
      <w:marLeft w:val="0"/>
      <w:marRight w:val="0"/>
      <w:marTop w:val="0"/>
      <w:marBottom w:val="0"/>
      <w:divBdr>
        <w:top w:val="none" w:sz="0" w:space="0" w:color="auto"/>
        <w:left w:val="none" w:sz="0" w:space="0" w:color="auto"/>
        <w:bottom w:val="none" w:sz="0" w:space="0" w:color="auto"/>
        <w:right w:val="none" w:sz="0" w:space="0" w:color="auto"/>
      </w:divBdr>
      <w:divsChild>
        <w:div w:id="1085303631">
          <w:marLeft w:val="0"/>
          <w:marRight w:val="0"/>
          <w:marTop w:val="0"/>
          <w:marBottom w:val="0"/>
          <w:divBdr>
            <w:top w:val="none" w:sz="0" w:space="0" w:color="auto"/>
            <w:left w:val="none" w:sz="0" w:space="0" w:color="auto"/>
            <w:bottom w:val="none" w:sz="0" w:space="0" w:color="auto"/>
            <w:right w:val="none" w:sz="0" w:space="0" w:color="auto"/>
          </w:divBdr>
        </w:div>
      </w:divsChild>
    </w:div>
    <w:div w:id="1724789013">
      <w:bodyDiv w:val="1"/>
      <w:marLeft w:val="0"/>
      <w:marRight w:val="0"/>
      <w:marTop w:val="0"/>
      <w:marBottom w:val="0"/>
      <w:divBdr>
        <w:top w:val="none" w:sz="0" w:space="0" w:color="auto"/>
        <w:left w:val="none" w:sz="0" w:space="0" w:color="auto"/>
        <w:bottom w:val="none" w:sz="0" w:space="0" w:color="auto"/>
        <w:right w:val="none" w:sz="0" w:space="0" w:color="auto"/>
      </w:divBdr>
    </w:div>
    <w:div w:id="1851791065">
      <w:bodyDiv w:val="1"/>
      <w:marLeft w:val="0"/>
      <w:marRight w:val="0"/>
      <w:marTop w:val="0"/>
      <w:marBottom w:val="0"/>
      <w:divBdr>
        <w:top w:val="none" w:sz="0" w:space="0" w:color="auto"/>
        <w:left w:val="none" w:sz="0" w:space="0" w:color="auto"/>
        <w:bottom w:val="none" w:sz="0" w:space="0" w:color="auto"/>
        <w:right w:val="none" w:sz="0" w:space="0" w:color="auto"/>
      </w:divBdr>
      <w:divsChild>
        <w:div w:id="839083341">
          <w:marLeft w:val="0"/>
          <w:marRight w:val="0"/>
          <w:marTop w:val="0"/>
          <w:marBottom w:val="0"/>
          <w:divBdr>
            <w:top w:val="none" w:sz="0" w:space="0" w:color="auto"/>
            <w:left w:val="none" w:sz="0" w:space="0" w:color="auto"/>
            <w:bottom w:val="none" w:sz="0" w:space="0" w:color="auto"/>
            <w:right w:val="none" w:sz="0" w:space="0" w:color="auto"/>
          </w:divBdr>
        </w:div>
      </w:divsChild>
    </w:div>
    <w:div w:id="1907495453">
      <w:bodyDiv w:val="1"/>
      <w:marLeft w:val="0"/>
      <w:marRight w:val="0"/>
      <w:marTop w:val="0"/>
      <w:marBottom w:val="0"/>
      <w:divBdr>
        <w:top w:val="none" w:sz="0" w:space="0" w:color="auto"/>
        <w:left w:val="none" w:sz="0" w:space="0" w:color="auto"/>
        <w:bottom w:val="none" w:sz="0" w:space="0" w:color="auto"/>
        <w:right w:val="none" w:sz="0" w:space="0" w:color="auto"/>
      </w:divBdr>
    </w:div>
    <w:div w:id="1932274582">
      <w:bodyDiv w:val="1"/>
      <w:marLeft w:val="0"/>
      <w:marRight w:val="0"/>
      <w:marTop w:val="0"/>
      <w:marBottom w:val="0"/>
      <w:divBdr>
        <w:top w:val="none" w:sz="0" w:space="0" w:color="auto"/>
        <w:left w:val="none" w:sz="0" w:space="0" w:color="auto"/>
        <w:bottom w:val="none" w:sz="0" w:space="0" w:color="auto"/>
        <w:right w:val="none" w:sz="0" w:space="0" w:color="auto"/>
      </w:divBdr>
    </w:div>
    <w:div w:id="2001540083">
      <w:bodyDiv w:val="1"/>
      <w:marLeft w:val="0"/>
      <w:marRight w:val="0"/>
      <w:marTop w:val="0"/>
      <w:marBottom w:val="0"/>
      <w:divBdr>
        <w:top w:val="none" w:sz="0" w:space="0" w:color="auto"/>
        <w:left w:val="none" w:sz="0" w:space="0" w:color="auto"/>
        <w:bottom w:val="none" w:sz="0" w:space="0" w:color="auto"/>
        <w:right w:val="none" w:sz="0" w:space="0" w:color="auto"/>
      </w:divBdr>
    </w:div>
    <w:div w:id="2015648872">
      <w:bodyDiv w:val="1"/>
      <w:marLeft w:val="0"/>
      <w:marRight w:val="0"/>
      <w:marTop w:val="0"/>
      <w:marBottom w:val="0"/>
      <w:divBdr>
        <w:top w:val="none" w:sz="0" w:space="0" w:color="auto"/>
        <w:left w:val="none" w:sz="0" w:space="0" w:color="auto"/>
        <w:bottom w:val="none" w:sz="0" w:space="0" w:color="auto"/>
        <w:right w:val="none" w:sz="0" w:space="0" w:color="auto"/>
      </w:divBdr>
    </w:div>
    <w:div w:id="210449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86/s12889-020-8283-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55/2014/96423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news-room/fact-sheets/detail/obesity-and-overweigh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mrv.2015.10.00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03/cmaj.051351"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38/s41746-022-00606-9"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Arial" panose="020B0604020202020204" pitchFamily="34" charset="0"/>
                <a:ea typeface="+mn-ea"/>
                <a:cs typeface="Arial" panose="020B0604020202020204" pitchFamily="34" charset="0"/>
              </a:defRPr>
            </a:pPr>
            <a:r>
              <a:rPr lang="en-IN" sz="1000">
                <a:solidFill>
                  <a:schemeClr val="tx1"/>
                </a:solidFill>
                <a:latin typeface="Arial" panose="020B0604020202020204" pitchFamily="34" charset="0"/>
                <a:cs typeface="Arial" panose="020B0604020202020204" pitchFamily="34" charset="0"/>
              </a:rPr>
              <a:t>% BMI</a:t>
            </a:r>
            <a:r>
              <a:rPr lang="en-IN" sz="1000" baseline="0">
                <a:solidFill>
                  <a:schemeClr val="tx1"/>
                </a:solidFill>
                <a:latin typeface="Arial" panose="020B0604020202020204" pitchFamily="34" charset="0"/>
                <a:cs typeface="Arial" panose="020B0604020202020204" pitchFamily="34" charset="0"/>
              </a:rPr>
              <a:t> of the patients</a:t>
            </a:r>
            <a:endParaRPr lang="en-IN" sz="100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IN"/>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Underweight</c:v>
                </c:pt>
                <c:pt idx="1">
                  <c:v>Normal Weight</c:v>
                </c:pt>
                <c:pt idx="2">
                  <c:v>Overweight</c:v>
                </c:pt>
                <c:pt idx="3">
                  <c:v>Obesity</c:v>
                </c:pt>
              </c:strCache>
            </c:strRef>
          </c:cat>
          <c:val>
            <c:numRef>
              <c:f>Sheet1!$B$2:$B$5</c:f>
              <c:numCache>
                <c:formatCode>General</c:formatCode>
                <c:ptCount val="4"/>
                <c:pt idx="0">
                  <c:v>0</c:v>
                </c:pt>
                <c:pt idx="1">
                  <c:v>29.2</c:v>
                </c:pt>
                <c:pt idx="2">
                  <c:v>63.8</c:v>
                </c:pt>
                <c:pt idx="3">
                  <c:v>7.7</c:v>
                </c:pt>
              </c:numCache>
            </c:numRef>
          </c:val>
          <c:extLst>
            <c:ext xmlns:c16="http://schemas.microsoft.com/office/drawing/2014/chart" uri="{C3380CC4-5D6E-409C-BE32-E72D297353CC}">
              <c16:uniqueId val="{00000000-147B-4E88-B4B2-36B8F4C6B3AD}"/>
            </c:ext>
          </c:extLst>
        </c:ser>
        <c:ser>
          <c:idx val="1"/>
          <c:order val="1"/>
          <c:tx>
            <c:strRef>
              <c:f>Sheet1!$C$1</c:f>
              <c:strCache>
                <c:ptCount val="1"/>
                <c:pt idx="0">
                  <c:v>Female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Underweight</c:v>
                </c:pt>
                <c:pt idx="1">
                  <c:v>Normal Weight</c:v>
                </c:pt>
                <c:pt idx="2">
                  <c:v>Overweight</c:v>
                </c:pt>
                <c:pt idx="3">
                  <c:v>Obesity</c:v>
                </c:pt>
              </c:strCache>
            </c:strRef>
          </c:cat>
          <c:val>
            <c:numRef>
              <c:f>Sheet1!$C$2:$C$5</c:f>
              <c:numCache>
                <c:formatCode>General</c:formatCode>
                <c:ptCount val="4"/>
                <c:pt idx="0">
                  <c:v>8.4</c:v>
                </c:pt>
                <c:pt idx="1">
                  <c:v>28.4</c:v>
                </c:pt>
                <c:pt idx="2">
                  <c:v>31.7</c:v>
                </c:pt>
                <c:pt idx="3">
                  <c:v>31.7</c:v>
                </c:pt>
              </c:numCache>
            </c:numRef>
          </c:val>
          <c:extLst>
            <c:ext xmlns:c16="http://schemas.microsoft.com/office/drawing/2014/chart" uri="{C3380CC4-5D6E-409C-BE32-E72D297353CC}">
              <c16:uniqueId val="{00000001-147B-4E88-B4B2-36B8F4C6B3AD}"/>
            </c:ext>
          </c:extLst>
        </c:ser>
        <c:ser>
          <c:idx val="2"/>
          <c:order val="2"/>
          <c:tx>
            <c:strRef>
              <c:f>Sheet1!$D$1</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Underweight</c:v>
                </c:pt>
                <c:pt idx="1">
                  <c:v>Normal Weight</c:v>
                </c:pt>
                <c:pt idx="2">
                  <c:v>Overweight</c:v>
                </c:pt>
                <c:pt idx="3">
                  <c:v>Obesity</c:v>
                </c:pt>
              </c:strCache>
            </c:strRef>
          </c:cat>
          <c:val>
            <c:numRef>
              <c:f>Sheet1!$D$2:$D$5</c:f>
              <c:numCache>
                <c:formatCode>General</c:formatCode>
                <c:ptCount val="4"/>
                <c:pt idx="0">
                  <c:v>4</c:v>
                </c:pt>
                <c:pt idx="1">
                  <c:v>28.8</c:v>
                </c:pt>
                <c:pt idx="2">
                  <c:v>48</c:v>
                </c:pt>
                <c:pt idx="3">
                  <c:v>19.2</c:v>
                </c:pt>
              </c:numCache>
            </c:numRef>
          </c:val>
          <c:extLst>
            <c:ext xmlns:c16="http://schemas.microsoft.com/office/drawing/2014/chart" uri="{C3380CC4-5D6E-409C-BE32-E72D297353CC}">
              <c16:uniqueId val="{00000002-147B-4E88-B4B2-36B8F4C6B3AD}"/>
            </c:ext>
          </c:extLst>
        </c:ser>
        <c:dLbls>
          <c:showLegendKey val="0"/>
          <c:showVal val="0"/>
          <c:showCatName val="0"/>
          <c:showSerName val="0"/>
          <c:showPercent val="0"/>
          <c:showBubbleSize val="0"/>
        </c:dLbls>
        <c:gapWidth val="219"/>
        <c:overlap val="-27"/>
        <c:axId val="633637048"/>
        <c:axId val="633631648"/>
      </c:barChart>
      <c:catAx>
        <c:axId val="633637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33631648"/>
        <c:crosses val="autoZero"/>
        <c:auto val="1"/>
        <c:lblAlgn val="ctr"/>
        <c:lblOffset val="100"/>
        <c:noMultiLvlLbl val="0"/>
      </c:catAx>
      <c:valAx>
        <c:axId val="63363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33637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50">
                <a:solidFill>
                  <a:schemeClr val="tx1"/>
                </a:solidFill>
                <a:latin typeface="Arial" panose="020B0604020202020204" pitchFamily="34" charset="0"/>
                <a:cs typeface="Arial" panose="020B0604020202020204" pitchFamily="34" charset="0"/>
              </a:rPr>
              <a:t>% of </a:t>
            </a:r>
            <a:r>
              <a:rPr lang="en-IN" sz="1050" b="0" i="0" u="none" strike="noStrike" kern="1200" spc="0" baseline="0">
                <a:solidFill>
                  <a:schemeClr val="tx1"/>
                </a:solidFill>
                <a:latin typeface="Arial" panose="020B0604020202020204" pitchFamily="34" charset="0"/>
                <a:cs typeface="Arial" panose="020B0604020202020204" pitchFamily="34" charset="0"/>
              </a:rPr>
              <a:t>Smoking</a:t>
            </a:r>
            <a:r>
              <a:rPr lang="en-IN" sz="1050">
                <a:solidFill>
                  <a:schemeClr val="tx1"/>
                </a:solidFill>
                <a:latin typeface="Arial" panose="020B0604020202020204" pitchFamily="34" charset="0"/>
                <a:cs typeface="Arial" panose="020B0604020202020204" pitchFamily="34" charset="0"/>
              </a:rPr>
              <a:t> Consumption</a:t>
            </a:r>
            <a:r>
              <a:rPr lang="en-IN" sz="1050" baseline="0">
                <a:solidFill>
                  <a:schemeClr val="tx1"/>
                </a:solidFill>
                <a:latin typeface="Arial" panose="020B0604020202020204" pitchFamily="34" charset="0"/>
                <a:cs typeface="Arial" panose="020B0604020202020204" pitchFamily="34" charset="0"/>
              </a:rPr>
              <a:t> of Tobacco and Alcohol</a:t>
            </a:r>
            <a:endParaRPr lang="en-IN" sz="105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N"/>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Smoking</c:v>
                </c:pt>
                <c:pt idx="1">
                  <c:v>Tobacco</c:v>
                </c:pt>
                <c:pt idx="2">
                  <c:v>Alcohol Occasionally</c:v>
                </c:pt>
              </c:strCache>
            </c:strRef>
          </c:cat>
          <c:val>
            <c:numRef>
              <c:f>Sheet1!$B$2:$B$4</c:f>
              <c:numCache>
                <c:formatCode>General</c:formatCode>
                <c:ptCount val="3"/>
                <c:pt idx="0">
                  <c:v>3.9</c:v>
                </c:pt>
                <c:pt idx="1">
                  <c:v>18.5</c:v>
                </c:pt>
                <c:pt idx="2">
                  <c:v>18.5</c:v>
                </c:pt>
              </c:numCache>
            </c:numRef>
          </c:val>
          <c:extLst>
            <c:ext xmlns:c16="http://schemas.microsoft.com/office/drawing/2014/chart" uri="{C3380CC4-5D6E-409C-BE32-E72D297353CC}">
              <c16:uniqueId val="{00000000-3E91-4CC4-8422-7393643484ED}"/>
            </c:ext>
          </c:extLst>
        </c:ser>
        <c:ser>
          <c:idx val="1"/>
          <c:order val="1"/>
          <c:tx>
            <c:strRef>
              <c:f>Sheet1!$C$1</c:f>
              <c:strCache>
                <c:ptCount val="1"/>
                <c:pt idx="0">
                  <c:v>Female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Smoking</c:v>
                </c:pt>
                <c:pt idx="1">
                  <c:v>Tobacco</c:v>
                </c:pt>
                <c:pt idx="2">
                  <c:v>Alcohol Occasionally</c:v>
                </c:pt>
              </c:strCache>
            </c:strRef>
          </c:cat>
          <c:val>
            <c:numRef>
              <c:f>Sheet1!$C$2:$C$4</c:f>
              <c:numCache>
                <c:formatCode>General</c:formatCode>
                <c:ptCount val="3"/>
                <c:pt idx="0">
                  <c:v>0</c:v>
                </c:pt>
                <c:pt idx="1">
                  <c:v>4</c:v>
                </c:pt>
                <c:pt idx="2">
                  <c:v>0</c:v>
                </c:pt>
              </c:numCache>
            </c:numRef>
          </c:val>
          <c:extLst>
            <c:ext xmlns:c16="http://schemas.microsoft.com/office/drawing/2014/chart" uri="{C3380CC4-5D6E-409C-BE32-E72D297353CC}">
              <c16:uniqueId val="{00000001-3E91-4CC4-8422-7393643484ED}"/>
            </c:ext>
          </c:extLst>
        </c:ser>
        <c:ser>
          <c:idx val="2"/>
          <c:order val="2"/>
          <c:tx>
            <c:strRef>
              <c:f>Sheet1!$D$1</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Smoking</c:v>
                </c:pt>
                <c:pt idx="1">
                  <c:v>Tobacco</c:v>
                </c:pt>
                <c:pt idx="2">
                  <c:v>Alcohol Occasionally</c:v>
                </c:pt>
              </c:strCache>
            </c:strRef>
          </c:cat>
          <c:val>
            <c:numRef>
              <c:f>Sheet1!$D$2:$D$4</c:f>
              <c:numCache>
                <c:formatCode>General</c:formatCode>
                <c:ptCount val="3"/>
                <c:pt idx="0">
                  <c:v>2</c:v>
                </c:pt>
                <c:pt idx="1">
                  <c:v>11.6</c:v>
                </c:pt>
                <c:pt idx="2">
                  <c:v>9.6</c:v>
                </c:pt>
              </c:numCache>
            </c:numRef>
          </c:val>
          <c:extLst>
            <c:ext xmlns:c16="http://schemas.microsoft.com/office/drawing/2014/chart" uri="{C3380CC4-5D6E-409C-BE32-E72D297353CC}">
              <c16:uniqueId val="{00000002-3E91-4CC4-8422-7393643484ED}"/>
            </c:ext>
          </c:extLst>
        </c:ser>
        <c:dLbls>
          <c:dLblPos val="outEnd"/>
          <c:showLegendKey val="0"/>
          <c:showVal val="1"/>
          <c:showCatName val="0"/>
          <c:showSerName val="0"/>
          <c:showPercent val="0"/>
          <c:showBubbleSize val="0"/>
        </c:dLbls>
        <c:gapWidth val="219"/>
        <c:overlap val="-27"/>
        <c:axId val="637216848"/>
        <c:axId val="637210008"/>
      </c:barChart>
      <c:catAx>
        <c:axId val="63721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37210008"/>
        <c:crosses val="autoZero"/>
        <c:auto val="1"/>
        <c:lblAlgn val="ctr"/>
        <c:lblOffset val="100"/>
        <c:noMultiLvlLbl val="0"/>
      </c:catAx>
      <c:valAx>
        <c:axId val="63721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3721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a:solidFill>
                  <a:schemeClr val="tx1"/>
                </a:solidFill>
                <a:latin typeface="Arial" panose="020B0604020202020204" pitchFamily="34" charset="0"/>
                <a:cs typeface="Arial" panose="020B0604020202020204" pitchFamily="34" charset="0"/>
              </a:rPr>
              <a:t>% of Physical Activity</a:t>
            </a:r>
          </a:p>
        </c:rich>
      </c:tx>
      <c:layout>
        <c:manualLayout>
          <c:xMode val="edge"/>
          <c:yMode val="edge"/>
          <c:x val="0.39911459931144977"/>
          <c:y val="3.6343043753194221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Sedentary</c:v>
                </c:pt>
                <c:pt idx="1">
                  <c:v>Moderate</c:v>
                </c:pt>
                <c:pt idx="2">
                  <c:v>Heavy</c:v>
                </c:pt>
              </c:strCache>
            </c:strRef>
          </c:cat>
          <c:val>
            <c:numRef>
              <c:f>Sheet1!$B$2:$B$4</c:f>
              <c:numCache>
                <c:formatCode>General</c:formatCode>
                <c:ptCount val="3"/>
                <c:pt idx="0">
                  <c:v>30</c:v>
                </c:pt>
                <c:pt idx="1">
                  <c:v>55.4</c:v>
                </c:pt>
                <c:pt idx="2">
                  <c:v>14.6</c:v>
                </c:pt>
              </c:numCache>
            </c:numRef>
          </c:val>
          <c:extLst>
            <c:ext xmlns:c16="http://schemas.microsoft.com/office/drawing/2014/chart" uri="{C3380CC4-5D6E-409C-BE32-E72D297353CC}">
              <c16:uniqueId val="{00000000-7BBC-4B05-8572-70DB16EC0D07}"/>
            </c:ext>
          </c:extLst>
        </c:ser>
        <c:ser>
          <c:idx val="1"/>
          <c:order val="1"/>
          <c:tx>
            <c:strRef>
              <c:f>Sheet1!$C$1</c:f>
              <c:strCache>
                <c:ptCount val="1"/>
                <c:pt idx="0">
                  <c:v>Female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Sedentary</c:v>
                </c:pt>
                <c:pt idx="1">
                  <c:v>Moderate</c:v>
                </c:pt>
                <c:pt idx="2">
                  <c:v>Heavy</c:v>
                </c:pt>
              </c:strCache>
            </c:strRef>
          </c:cat>
          <c:val>
            <c:numRef>
              <c:f>Sheet1!$C$2:$C$4</c:f>
              <c:numCache>
                <c:formatCode>General</c:formatCode>
                <c:ptCount val="3"/>
                <c:pt idx="0">
                  <c:v>27.5</c:v>
                </c:pt>
                <c:pt idx="1">
                  <c:v>54.2</c:v>
                </c:pt>
                <c:pt idx="2">
                  <c:v>18.3</c:v>
                </c:pt>
              </c:numCache>
            </c:numRef>
          </c:val>
          <c:extLst>
            <c:ext xmlns:c16="http://schemas.microsoft.com/office/drawing/2014/chart" uri="{C3380CC4-5D6E-409C-BE32-E72D297353CC}">
              <c16:uniqueId val="{00000001-7BBC-4B05-8572-70DB16EC0D07}"/>
            </c:ext>
          </c:extLst>
        </c:ser>
        <c:ser>
          <c:idx val="2"/>
          <c:order val="2"/>
          <c:tx>
            <c:strRef>
              <c:f>Sheet1!$D$1</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Sedentary</c:v>
                </c:pt>
                <c:pt idx="1">
                  <c:v>Moderate</c:v>
                </c:pt>
                <c:pt idx="2">
                  <c:v>Heavy</c:v>
                </c:pt>
              </c:strCache>
            </c:strRef>
          </c:cat>
          <c:val>
            <c:numRef>
              <c:f>Sheet1!$D$2:$D$4</c:f>
              <c:numCache>
                <c:formatCode>General</c:formatCode>
                <c:ptCount val="3"/>
                <c:pt idx="0">
                  <c:v>28.8</c:v>
                </c:pt>
                <c:pt idx="1">
                  <c:v>54.8</c:v>
                </c:pt>
                <c:pt idx="2">
                  <c:v>16.399999999999999</c:v>
                </c:pt>
              </c:numCache>
            </c:numRef>
          </c:val>
          <c:extLst>
            <c:ext xmlns:c16="http://schemas.microsoft.com/office/drawing/2014/chart" uri="{C3380CC4-5D6E-409C-BE32-E72D297353CC}">
              <c16:uniqueId val="{00000002-7BBC-4B05-8572-70DB16EC0D07}"/>
            </c:ext>
          </c:extLst>
        </c:ser>
        <c:dLbls>
          <c:dLblPos val="outEnd"/>
          <c:showLegendKey val="0"/>
          <c:showVal val="1"/>
          <c:showCatName val="0"/>
          <c:showSerName val="0"/>
          <c:showPercent val="0"/>
          <c:showBubbleSize val="0"/>
        </c:dLbls>
        <c:gapWidth val="219"/>
        <c:overlap val="-27"/>
        <c:axId val="547375712"/>
        <c:axId val="547380752"/>
      </c:barChart>
      <c:catAx>
        <c:axId val="54737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47380752"/>
        <c:crosses val="autoZero"/>
        <c:auto val="1"/>
        <c:lblAlgn val="ctr"/>
        <c:lblOffset val="100"/>
        <c:noMultiLvlLbl val="0"/>
      </c:catAx>
      <c:valAx>
        <c:axId val="54738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47375712"/>
        <c:crosses val="autoZero"/>
        <c:crossBetween val="between"/>
      </c:valAx>
      <c:spPr>
        <a:noFill/>
        <a:ln>
          <a:noFill/>
        </a:ln>
        <a:effectLst/>
      </c:spPr>
    </c:plotArea>
    <c:legend>
      <c:legendPos val="b"/>
      <c:layout>
        <c:manualLayout>
          <c:xMode val="edge"/>
          <c:yMode val="edge"/>
          <c:x val="0.30588122507413845"/>
          <c:y val="0.89072962414351664"/>
          <c:w val="0.38282629444046767"/>
          <c:h val="8.72681756364612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81E7-9F99-46A5-A3A2-3052C8AB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jahnvi sharma</dc:creator>
  <cp:keywords/>
  <dc:description/>
  <cp:lastModifiedBy>jahnvi sharma</cp:lastModifiedBy>
  <cp:revision>7</cp:revision>
  <dcterms:created xsi:type="dcterms:W3CDTF">2025-05-14T23:06:00Z</dcterms:created>
  <dcterms:modified xsi:type="dcterms:W3CDTF">2025-05-14T23:26:00Z</dcterms:modified>
</cp:coreProperties>
</file>