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BBD918" w14:textId="49668AB2" w:rsidR="00D61E69" w:rsidRDefault="00D61E69" w:rsidP="003277B8">
      <w:pPr>
        <w:jc w:val="center"/>
        <w:rPr>
          <w:rStyle w:val="Emphasis"/>
          <w:rFonts w:ascii="Times New Roman" w:hAnsi="Times New Roman" w:cs="Times New Roman"/>
          <w:i w:val="0"/>
          <w:sz w:val="24"/>
          <w:szCs w:val="24"/>
        </w:rPr>
      </w:pPr>
      <w:r w:rsidRPr="00D61E69">
        <w:rPr>
          <w:rStyle w:val="Emphasis"/>
          <w:rFonts w:ascii="Times New Roman" w:hAnsi="Times New Roman" w:cs="Times New Roman"/>
          <w:i w:val="0"/>
          <w:sz w:val="24"/>
          <w:szCs w:val="24"/>
          <w:highlight w:val="yellow"/>
        </w:rPr>
        <w:t>EFFECTIVENESS OF PLANT-BASED DIETS IN MANAGING TYPE 2 DIABETIC DISEASES: A SYSTEMATIC REVIEW OF RANDOMIZED CONTROLLED TRIALS AND COHORT STUDIES</w:t>
      </w:r>
    </w:p>
    <w:p w14:paraId="3875EFDE" w14:textId="77777777" w:rsidR="003277B8" w:rsidRDefault="003277B8" w:rsidP="003277B8">
      <w:pPr>
        <w:jc w:val="center"/>
        <w:rPr>
          <w:rStyle w:val="Emphasis"/>
          <w:rFonts w:ascii="Times New Roman" w:hAnsi="Times New Roman" w:cs="Times New Roman"/>
          <w:i w:val="0"/>
          <w:sz w:val="24"/>
          <w:szCs w:val="24"/>
        </w:rPr>
      </w:pPr>
    </w:p>
    <w:p w14:paraId="1F7FEEDE" w14:textId="77777777" w:rsidR="00DC3582" w:rsidRPr="00DC3582" w:rsidRDefault="00DC3582" w:rsidP="00DC3582">
      <w:pPr>
        <w:spacing w:before="100" w:beforeAutospacing="1" w:after="100" w:afterAutospacing="1" w:line="240" w:lineRule="auto"/>
        <w:jc w:val="both"/>
        <w:rPr>
          <w:rFonts w:ascii="Times New Roman" w:eastAsia="Times New Roman" w:hAnsi="Times New Roman" w:cs="Times New Roman"/>
          <w:i/>
          <w:sz w:val="24"/>
          <w:szCs w:val="24"/>
          <w:lang w:eastAsia="en-GB"/>
        </w:rPr>
      </w:pPr>
      <w:r w:rsidRPr="00DC3582">
        <w:rPr>
          <w:rFonts w:ascii="Times New Roman" w:eastAsia="Times New Roman" w:hAnsi="Times New Roman" w:cs="Times New Roman"/>
          <w:b/>
          <w:bCs/>
          <w:i/>
          <w:sz w:val="24"/>
          <w:szCs w:val="24"/>
          <w:lang w:eastAsia="en-GB"/>
        </w:rPr>
        <w:t>Abstract</w:t>
      </w:r>
    </w:p>
    <w:p w14:paraId="09FB7E9D" w14:textId="77777777" w:rsidR="00DC3582" w:rsidRPr="00DC3582" w:rsidRDefault="00DC3582" w:rsidP="00DC3582">
      <w:pPr>
        <w:spacing w:before="100" w:beforeAutospacing="1" w:after="100" w:afterAutospacing="1" w:line="240" w:lineRule="auto"/>
        <w:jc w:val="both"/>
        <w:rPr>
          <w:rFonts w:ascii="Times New Roman" w:eastAsia="Times New Roman" w:hAnsi="Times New Roman" w:cs="Times New Roman"/>
          <w:i/>
          <w:sz w:val="24"/>
          <w:szCs w:val="24"/>
          <w:lang w:eastAsia="en-GB"/>
        </w:rPr>
      </w:pPr>
      <w:r w:rsidRPr="00DC3582">
        <w:rPr>
          <w:rFonts w:ascii="Times New Roman" w:eastAsia="Times New Roman" w:hAnsi="Times New Roman" w:cs="Times New Roman"/>
          <w:b/>
          <w:bCs/>
          <w:i/>
          <w:sz w:val="24"/>
          <w:szCs w:val="24"/>
          <w:lang w:eastAsia="en-GB"/>
        </w:rPr>
        <w:t>Background</w:t>
      </w:r>
      <w:r w:rsidRPr="00DC3582">
        <w:rPr>
          <w:rFonts w:ascii="Times New Roman" w:eastAsia="Times New Roman" w:hAnsi="Times New Roman" w:cs="Times New Roman"/>
          <w:i/>
          <w:sz w:val="24"/>
          <w:szCs w:val="24"/>
          <w:lang w:eastAsia="en-GB"/>
        </w:rPr>
        <w:t>: Type 2 diabetes (T2D) is a prevalent and growing global health issue. Dietary interventions, particularly plant-based diets, have garnered increasing attention for their potential to manage and mitigate the effects of T2D. This systematic review aims to evaluate the efficacy of plant-based diets in improving metabolic outcomes in individuals with T2D.</w:t>
      </w:r>
    </w:p>
    <w:p w14:paraId="1034F6D9" w14:textId="77777777" w:rsidR="00DC3582" w:rsidRPr="00DC3582" w:rsidRDefault="00DC3582" w:rsidP="00DC3582">
      <w:pPr>
        <w:spacing w:before="100" w:beforeAutospacing="1" w:after="100" w:afterAutospacing="1" w:line="240" w:lineRule="auto"/>
        <w:jc w:val="both"/>
        <w:rPr>
          <w:rFonts w:ascii="Times New Roman" w:eastAsia="Times New Roman" w:hAnsi="Times New Roman" w:cs="Times New Roman"/>
          <w:i/>
          <w:sz w:val="24"/>
          <w:szCs w:val="24"/>
          <w:lang w:eastAsia="en-GB"/>
        </w:rPr>
      </w:pPr>
      <w:r w:rsidRPr="00DC3582">
        <w:rPr>
          <w:rFonts w:ascii="Times New Roman" w:eastAsia="Times New Roman" w:hAnsi="Times New Roman" w:cs="Times New Roman"/>
          <w:b/>
          <w:bCs/>
          <w:i/>
          <w:sz w:val="24"/>
          <w:szCs w:val="24"/>
          <w:lang w:eastAsia="en-GB"/>
        </w:rPr>
        <w:t>Methods</w:t>
      </w:r>
      <w:r w:rsidRPr="00DC3582">
        <w:rPr>
          <w:rFonts w:ascii="Times New Roman" w:eastAsia="Times New Roman" w:hAnsi="Times New Roman" w:cs="Times New Roman"/>
          <w:i/>
          <w:sz w:val="24"/>
          <w:szCs w:val="24"/>
          <w:lang w:eastAsia="en-GB"/>
        </w:rPr>
        <w:t>: A comprehensive literature search was conducted across multiple databases (PubMed, Scopus, and Google Scholar) to identify studies published between 2000 and 2024. Randomized controlled trials (RCTs), cohort studies, and systematic reviews that investigated the impact of plant-based dietary interventions on T2D management were included. The primary outcomes assessed were changes in HbA1c levels, insulin sensitivity, body weight, and lipid profiles. Data were synthesized using a qualitative narrative approach.</w:t>
      </w:r>
    </w:p>
    <w:p w14:paraId="5AEEA3F2" w14:textId="052594E0" w:rsidR="00DC3582" w:rsidRPr="00DC3582" w:rsidRDefault="00DC3582" w:rsidP="00DC3582">
      <w:pPr>
        <w:spacing w:before="100" w:beforeAutospacing="1" w:after="100" w:afterAutospacing="1" w:line="240" w:lineRule="auto"/>
        <w:jc w:val="both"/>
        <w:rPr>
          <w:rFonts w:ascii="Times New Roman" w:eastAsia="Times New Roman" w:hAnsi="Times New Roman" w:cs="Times New Roman"/>
          <w:i/>
          <w:sz w:val="24"/>
          <w:szCs w:val="24"/>
          <w:lang w:eastAsia="en-GB"/>
        </w:rPr>
      </w:pPr>
      <w:r w:rsidRPr="00DC3582">
        <w:rPr>
          <w:rFonts w:ascii="Times New Roman" w:eastAsia="Times New Roman" w:hAnsi="Times New Roman" w:cs="Times New Roman"/>
          <w:b/>
          <w:bCs/>
          <w:i/>
          <w:sz w:val="24"/>
          <w:szCs w:val="24"/>
          <w:lang w:eastAsia="en-GB"/>
        </w:rPr>
        <w:t>Results</w:t>
      </w:r>
      <w:r w:rsidRPr="00DC3582">
        <w:rPr>
          <w:rFonts w:ascii="Times New Roman" w:eastAsia="Times New Roman" w:hAnsi="Times New Roman" w:cs="Times New Roman"/>
          <w:i/>
          <w:sz w:val="24"/>
          <w:szCs w:val="24"/>
          <w:lang w:eastAsia="en-GB"/>
        </w:rPr>
        <w:t>: A total of 2</w:t>
      </w:r>
      <w:r w:rsidR="002D6608">
        <w:rPr>
          <w:rFonts w:ascii="Times New Roman" w:eastAsia="Times New Roman" w:hAnsi="Times New Roman" w:cs="Times New Roman"/>
          <w:i/>
          <w:sz w:val="24"/>
          <w:szCs w:val="24"/>
          <w:lang w:eastAsia="en-GB"/>
        </w:rPr>
        <w:t>7</w:t>
      </w:r>
      <w:r w:rsidRPr="00DC3582">
        <w:rPr>
          <w:rFonts w:ascii="Times New Roman" w:eastAsia="Times New Roman" w:hAnsi="Times New Roman" w:cs="Times New Roman"/>
          <w:i/>
          <w:sz w:val="24"/>
          <w:szCs w:val="24"/>
          <w:lang w:eastAsia="en-GB"/>
        </w:rPr>
        <w:t xml:space="preserve"> studies met the inclusion criteria, comprising 15 RCTs, 4 cohort studies, and 1 systematic review. The majority of studies (78%) were of high quality. Plant-based diets were associated with significant reductions in HbA1c, LDL cholesterol, and body weight, as well as improved insulin sensitivity. Notably, the benefits were more pronounced in studies conducted in high-income countries. However, variability in outcomes was observed in low-resource settings, where challenges such as food availability, adherence, and socioeconomic factors were prevalent.</w:t>
      </w:r>
    </w:p>
    <w:p w14:paraId="10144ED6" w14:textId="0DCD1B10" w:rsidR="00DC3582" w:rsidRPr="00DC3582" w:rsidRDefault="00DC3582" w:rsidP="00DC3582">
      <w:pPr>
        <w:spacing w:before="100" w:beforeAutospacing="1" w:after="100" w:afterAutospacing="1" w:line="240" w:lineRule="auto"/>
        <w:jc w:val="both"/>
        <w:rPr>
          <w:rFonts w:ascii="Times New Roman" w:eastAsia="Times New Roman" w:hAnsi="Times New Roman" w:cs="Times New Roman"/>
          <w:i/>
          <w:sz w:val="24"/>
          <w:szCs w:val="24"/>
          <w:lang w:eastAsia="en-GB"/>
        </w:rPr>
      </w:pPr>
      <w:r w:rsidRPr="00DC3582">
        <w:rPr>
          <w:rFonts w:ascii="Times New Roman" w:eastAsia="Times New Roman" w:hAnsi="Times New Roman" w:cs="Times New Roman"/>
          <w:b/>
          <w:bCs/>
          <w:i/>
          <w:sz w:val="24"/>
          <w:szCs w:val="24"/>
          <w:lang w:eastAsia="en-GB"/>
        </w:rPr>
        <w:t>Conclusions</w:t>
      </w:r>
      <w:r w:rsidRPr="00DC3582">
        <w:rPr>
          <w:rFonts w:ascii="Times New Roman" w:eastAsia="Times New Roman" w:hAnsi="Times New Roman" w:cs="Times New Roman"/>
          <w:i/>
          <w:sz w:val="24"/>
          <w:szCs w:val="24"/>
          <w:lang w:eastAsia="en-GB"/>
        </w:rPr>
        <w:t xml:space="preserve">: Plant-based diets are an effective dietary intervention for the management of T2D, particularly in high-income regions. However, more research is needed in low-resource settings to understand the feasibility, sustainability, and long-term impacts of such diets. Public health policies should focus on making plant-based foods more accessible and affordable, particularly in regions where diabetes prevalence is high. Future studies should aim to address gaps related to adherence, long-term sustainability, and the role </w:t>
      </w:r>
      <w:r w:rsidRPr="00697A07">
        <w:rPr>
          <w:rFonts w:ascii="Times New Roman" w:eastAsia="Times New Roman" w:hAnsi="Times New Roman" w:cs="Times New Roman"/>
          <w:i/>
          <w:sz w:val="24"/>
          <w:szCs w:val="24"/>
          <w:highlight w:val="yellow"/>
          <w:lang w:eastAsia="en-GB"/>
        </w:rPr>
        <w:t>of socioeconomic facto</w:t>
      </w:r>
      <w:r w:rsidRPr="00DC3582">
        <w:rPr>
          <w:rFonts w:ascii="Times New Roman" w:eastAsia="Times New Roman" w:hAnsi="Times New Roman" w:cs="Times New Roman"/>
          <w:i/>
          <w:sz w:val="24"/>
          <w:szCs w:val="24"/>
          <w:lang w:eastAsia="en-GB"/>
        </w:rPr>
        <w:t>rs in diabetes management.</w:t>
      </w:r>
    </w:p>
    <w:p w14:paraId="76212C00" w14:textId="77777777" w:rsidR="00DC3582" w:rsidRPr="00DC3582" w:rsidRDefault="00DC3582" w:rsidP="00DC3582">
      <w:pPr>
        <w:spacing w:before="100" w:beforeAutospacing="1" w:after="100" w:afterAutospacing="1" w:line="240" w:lineRule="auto"/>
        <w:jc w:val="both"/>
        <w:rPr>
          <w:rFonts w:ascii="Times New Roman" w:eastAsia="Times New Roman" w:hAnsi="Times New Roman" w:cs="Times New Roman"/>
          <w:i/>
          <w:sz w:val="24"/>
          <w:szCs w:val="24"/>
          <w:lang w:eastAsia="en-GB"/>
        </w:rPr>
      </w:pPr>
      <w:r w:rsidRPr="00DC3582">
        <w:rPr>
          <w:rFonts w:ascii="Times New Roman" w:eastAsia="Times New Roman" w:hAnsi="Times New Roman" w:cs="Times New Roman"/>
          <w:b/>
          <w:bCs/>
          <w:i/>
          <w:sz w:val="24"/>
          <w:szCs w:val="24"/>
          <w:lang w:eastAsia="en-GB"/>
        </w:rPr>
        <w:t>Keywords</w:t>
      </w:r>
      <w:r w:rsidRPr="00DC3582">
        <w:rPr>
          <w:rFonts w:ascii="Times New Roman" w:eastAsia="Times New Roman" w:hAnsi="Times New Roman" w:cs="Times New Roman"/>
          <w:i/>
          <w:sz w:val="24"/>
          <w:szCs w:val="24"/>
          <w:lang w:eastAsia="en-GB"/>
        </w:rPr>
        <w:t>: Plant-based diets, Type 2 diabetes, Metabolic outcomes, Randomized controlled trials, Systematic review, Insulin sensitivity</w:t>
      </w:r>
    </w:p>
    <w:p w14:paraId="71A1E80B" w14:textId="77777777" w:rsidR="003277B8" w:rsidRDefault="003277B8" w:rsidP="003277B8">
      <w:pPr>
        <w:spacing w:before="100" w:beforeAutospacing="1" w:after="100" w:afterAutospacing="1" w:line="240" w:lineRule="auto"/>
        <w:rPr>
          <w:rFonts w:ascii="Times New Roman" w:eastAsia="Times New Roman" w:hAnsi="Times New Roman" w:cs="Times New Roman"/>
          <w:sz w:val="24"/>
          <w:szCs w:val="24"/>
          <w:lang w:eastAsia="en-GB"/>
        </w:rPr>
      </w:pPr>
    </w:p>
    <w:p w14:paraId="6B4FEB80" w14:textId="77777777" w:rsidR="003277B8" w:rsidRDefault="003277B8" w:rsidP="003277B8">
      <w:pPr>
        <w:spacing w:before="100" w:beforeAutospacing="1" w:after="100" w:afterAutospacing="1" w:line="240" w:lineRule="auto"/>
        <w:rPr>
          <w:rFonts w:ascii="Times New Roman" w:eastAsia="Times New Roman" w:hAnsi="Times New Roman" w:cs="Times New Roman"/>
          <w:sz w:val="24"/>
          <w:szCs w:val="24"/>
          <w:lang w:eastAsia="en-GB"/>
        </w:rPr>
      </w:pPr>
    </w:p>
    <w:p w14:paraId="740A70ED" w14:textId="77777777" w:rsidR="003277B8" w:rsidRPr="002D6608" w:rsidRDefault="003277B8" w:rsidP="003277B8">
      <w:pPr>
        <w:pStyle w:val="Heading3"/>
        <w:rPr>
          <w:rFonts w:ascii="Times New Roman" w:eastAsia="Times New Roman" w:hAnsi="Times New Roman" w:cs="Times New Roman"/>
          <w:b/>
          <w:bCs/>
          <w:color w:val="auto"/>
          <w:lang w:eastAsia="en-GB"/>
        </w:rPr>
      </w:pPr>
      <w:r w:rsidRPr="002D6608">
        <w:rPr>
          <w:rFonts w:ascii="Times New Roman" w:eastAsia="Times New Roman" w:hAnsi="Times New Roman" w:cs="Times New Roman"/>
          <w:b/>
          <w:bCs/>
          <w:color w:val="auto"/>
          <w:lang w:eastAsia="en-GB"/>
        </w:rPr>
        <w:t>1. Introduction</w:t>
      </w:r>
    </w:p>
    <w:p w14:paraId="4F9B35CC" w14:textId="5A59955E" w:rsidR="003277B8" w:rsidRPr="00DC3582" w:rsidRDefault="003277B8"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 xml:space="preserve">The global health landscape is being reshaped by the accelerating prevalence of non-communicable diseases (NCDs), among which </w:t>
      </w:r>
      <w:r w:rsidRPr="00DC3582">
        <w:rPr>
          <w:rFonts w:ascii="Times New Roman" w:eastAsia="Times New Roman" w:hAnsi="Times New Roman" w:cs="Times New Roman"/>
          <w:bCs/>
          <w:sz w:val="24"/>
          <w:szCs w:val="24"/>
          <w:lang w:eastAsia="en-GB"/>
        </w:rPr>
        <w:t>Type 2 diabetes mellitus (T2DM)</w:t>
      </w:r>
      <w:r w:rsidRPr="00DC3582">
        <w:rPr>
          <w:rFonts w:ascii="Times New Roman" w:eastAsia="Times New Roman" w:hAnsi="Times New Roman" w:cs="Times New Roman"/>
          <w:sz w:val="24"/>
          <w:szCs w:val="24"/>
          <w:lang w:eastAsia="en-GB"/>
        </w:rPr>
        <w:t xml:space="preserve"> stands out as both a clinical and public health emergency. </w:t>
      </w:r>
      <w:r w:rsidR="00B70300" w:rsidRPr="00B70300">
        <w:rPr>
          <w:rFonts w:ascii="Source Sans Pro" w:hAnsi="Source Sans Pro"/>
          <w:color w:val="2E2E2E"/>
          <w:highlight w:val="yellow"/>
          <w:shd w:val="clear" w:color="auto" w:fill="FFFFFF"/>
        </w:rPr>
        <w:t xml:space="preserve">Diabetes is a serious, chronic disease characterised </w:t>
      </w:r>
      <w:r w:rsidR="00B70300" w:rsidRPr="00B70300">
        <w:rPr>
          <w:rFonts w:ascii="Source Sans Pro" w:hAnsi="Source Sans Pro"/>
          <w:color w:val="2E2E2E"/>
          <w:highlight w:val="yellow"/>
          <w:shd w:val="clear" w:color="auto" w:fill="FFFFFF"/>
        </w:rPr>
        <w:lastRenderedPageBreak/>
        <w:t>by elevated blood glucose concentrations related to the effects of abnormal β-cell biology on insulin action</w:t>
      </w:r>
      <w:r w:rsidR="001D769D">
        <w:rPr>
          <w:rFonts w:ascii="Source Sans Pro" w:hAnsi="Source Sans Pro"/>
          <w:color w:val="2E2E2E"/>
          <w:highlight w:val="yellow"/>
          <w:shd w:val="clear" w:color="auto" w:fill="FFFFFF"/>
        </w:rPr>
        <w:t xml:space="preserve"> (</w:t>
      </w:r>
      <w:r w:rsidR="001D769D">
        <w:rPr>
          <w:rFonts w:ascii="Arial" w:hAnsi="Arial" w:cs="Arial"/>
          <w:color w:val="222222"/>
          <w:sz w:val="20"/>
          <w:szCs w:val="20"/>
          <w:shd w:val="clear" w:color="auto" w:fill="FFFFFF"/>
        </w:rPr>
        <w:t>Ong et al.</w:t>
      </w:r>
      <w:r w:rsidR="00D11F69">
        <w:rPr>
          <w:rFonts w:ascii="Arial" w:hAnsi="Arial" w:cs="Arial"/>
          <w:color w:val="222222"/>
          <w:sz w:val="20"/>
          <w:szCs w:val="20"/>
          <w:shd w:val="clear" w:color="auto" w:fill="FFFFFF"/>
        </w:rPr>
        <w:t>,</w:t>
      </w:r>
      <w:r w:rsidR="001D769D">
        <w:rPr>
          <w:rFonts w:ascii="Arial" w:hAnsi="Arial" w:cs="Arial"/>
          <w:color w:val="222222"/>
          <w:sz w:val="20"/>
          <w:szCs w:val="20"/>
          <w:shd w:val="clear" w:color="auto" w:fill="FFFFFF"/>
        </w:rPr>
        <w:t xml:space="preserve"> 2023)</w:t>
      </w:r>
      <w:r w:rsidR="00B70300" w:rsidRPr="00B70300">
        <w:rPr>
          <w:rFonts w:ascii="Source Sans Pro" w:hAnsi="Source Sans Pro"/>
          <w:color w:val="2E2E2E"/>
          <w:highlight w:val="yellow"/>
          <w:shd w:val="clear" w:color="auto" w:fill="FFFFFF"/>
        </w:rPr>
        <w:t>.</w:t>
      </w:r>
      <w:r w:rsidR="00B70300">
        <w:rPr>
          <w:rFonts w:ascii="Source Sans Pro" w:hAnsi="Source Sans Pro"/>
          <w:color w:val="2E2E2E"/>
          <w:shd w:val="clear" w:color="auto" w:fill="FFFFFF"/>
        </w:rPr>
        <w:t xml:space="preserve"> </w:t>
      </w:r>
      <w:r w:rsidRPr="00DC3582">
        <w:rPr>
          <w:rFonts w:ascii="Times New Roman" w:eastAsia="Times New Roman" w:hAnsi="Times New Roman" w:cs="Times New Roman"/>
          <w:sz w:val="24"/>
          <w:szCs w:val="24"/>
          <w:lang w:eastAsia="en-GB"/>
        </w:rPr>
        <w:t xml:space="preserve">As of 2021, the International Diabetes Federation (IDF) estimates that </w:t>
      </w:r>
      <w:r w:rsidRPr="00DC3582">
        <w:rPr>
          <w:rFonts w:ascii="Times New Roman" w:eastAsia="Times New Roman" w:hAnsi="Times New Roman" w:cs="Times New Roman"/>
          <w:bCs/>
          <w:sz w:val="24"/>
          <w:szCs w:val="24"/>
          <w:lang w:eastAsia="en-GB"/>
        </w:rPr>
        <w:t>537 million adults</w:t>
      </w:r>
      <w:r w:rsidRPr="00DC3582">
        <w:rPr>
          <w:rFonts w:ascii="Times New Roman" w:eastAsia="Times New Roman" w:hAnsi="Times New Roman" w:cs="Times New Roman"/>
          <w:sz w:val="24"/>
          <w:szCs w:val="24"/>
          <w:lang w:eastAsia="en-GB"/>
        </w:rPr>
        <w:t xml:space="preserve"> are living with diabetes, with projections indicating a rise to </w:t>
      </w:r>
      <w:r w:rsidRPr="00DC3582">
        <w:rPr>
          <w:rFonts w:ascii="Times New Roman" w:eastAsia="Times New Roman" w:hAnsi="Times New Roman" w:cs="Times New Roman"/>
          <w:bCs/>
          <w:sz w:val="24"/>
          <w:szCs w:val="24"/>
          <w:lang w:eastAsia="en-GB"/>
        </w:rPr>
        <w:t>783 million by 2045</w:t>
      </w:r>
      <w:r w:rsidRPr="00DC3582">
        <w:rPr>
          <w:rFonts w:ascii="Times New Roman" w:eastAsia="Times New Roman" w:hAnsi="Times New Roman" w:cs="Times New Roman"/>
          <w:sz w:val="24"/>
          <w:szCs w:val="24"/>
          <w:lang w:eastAsia="en-GB"/>
        </w:rPr>
        <w:t xml:space="preserve"> if current trends continue (IDF, 2021). This trajectory is particularly alarming in low- and middle-income countries (LMICs), where rapid urbanization, nutritional transitions, and lifestyle changes have outpaced healthcare infrastructure development, resulting in increased morbidity and mortality</w:t>
      </w:r>
      <w:r w:rsidR="00897630">
        <w:rPr>
          <w:rFonts w:ascii="Times New Roman" w:eastAsia="Times New Roman" w:hAnsi="Times New Roman" w:cs="Times New Roman"/>
          <w:sz w:val="24"/>
          <w:szCs w:val="24"/>
          <w:lang w:eastAsia="en-GB"/>
        </w:rPr>
        <w:t xml:space="preserve"> </w:t>
      </w:r>
      <w:r w:rsidR="00897630" w:rsidRPr="00897630">
        <w:rPr>
          <w:rFonts w:ascii="Times New Roman" w:eastAsia="Times New Roman" w:hAnsi="Times New Roman" w:cs="Times New Roman"/>
          <w:sz w:val="24"/>
          <w:szCs w:val="24"/>
          <w:lang w:eastAsia="en-GB"/>
        </w:rPr>
        <w:t>(Austin et al., 2021)</w:t>
      </w:r>
      <w:r w:rsidRPr="00DC3582">
        <w:rPr>
          <w:rFonts w:ascii="Times New Roman" w:eastAsia="Times New Roman" w:hAnsi="Times New Roman" w:cs="Times New Roman"/>
          <w:sz w:val="24"/>
          <w:szCs w:val="24"/>
          <w:lang w:eastAsia="en-GB"/>
        </w:rPr>
        <w:t>.</w:t>
      </w:r>
    </w:p>
    <w:p w14:paraId="106BBD23" w14:textId="77F21003" w:rsidR="003277B8" w:rsidRPr="00DC3582" w:rsidRDefault="003277B8"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 xml:space="preserve">T2DM, a chronic metabolic disorder marked by insulin resistance and progressive pancreatic β-cell dysfunction, has far-reaching implications. Beyond </w:t>
      </w:r>
      <w:proofErr w:type="spellStart"/>
      <w:r w:rsidRPr="00DC3582">
        <w:rPr>
          <w:rFonts w:ascii="Times New Roman" w:eastAsia="Times New Roman" w:hAnsi="Times New Roman" w:cs="Times New Roman"/>
          <w:sz w:val="24"/>
          <w:szCs w:val="24"/>
          <w:lang w:eastAsia="en-GB"/>
        </w:rPr>
        <w:t>hyperglycemia</w:t>
      </w:r>
      <w:proofErr w:type="spellEnd"/>
      <w:r w:rsidRPr="00DC3582">
        <w:rPr>
          <w:rFonts w:ascii="Times New Roman" w:eastAsia="Times New Roman" w:hAnsi="Times New Roman" w:cs="Times New Roman"/>
          <w:sz w:val="24"/>
          <w:szCs w:val="24"/>
          <w:lang w:eastAsia="en-GB"/>
        </w:rPr>
        <w:t xml:space="preserve">, it significantly elevates the risk of </w:t>
      </w:r>
      <w:r w:rsidRPr="00DC3582">
        <w:rPr>
          <w:rFonts w:ascii="Times New Roman" w:eastAsia="Times New Roman" w:hAnsi="Times New Roman" w:cs="Times New Roman"/>
          <w:bCs/>
          <w:sz w:val="24"/>
          <w:szCs w:val="24"/>
          <w:lang w:eastAsia="en-GB"/>
        </w:rPr>
        <w:t>microvascular complications</w:t>
      </w:r>
      <w:r w:rsidRPr="00DC3582">
        <w:rPr>
          <w:rFonts w:ascii="Times New Roman" w:eastAsia="Times New Roman" w:hAnsi="Times New Roman" w:cs="Times New Roman"/>
          <w:sz w:val="24"/>
          <w:szCs w:val="24"/>
          <w:lang w:eastAsia="en-GB"/>
        </w:rPr>
        <w:t xml:space="preserve"> (retinopathy, nephropathy, neuropathy) and </w:t>
      </w:r>
      <w:r w:rsidRPr="00DC3582">
        <w:rPr>
          <w:rFonts w:ascii="Times New Roman" w:eastAsia="Times New Roman" w:hAnsi="Times New Roman" w:cs="Times New Roman"/>
          <w:bCs/>
          <w:sz w:val="24"/>
          <w:szCs w:val="24"/>
          <w:lang w:eastAsia="en-GB"/>
        </w:rPr>
        <w:t>macrovascular events</w:t>
      </w:r>
      <w:r w:rsidRPr="00DC3582">
        <w:rPr>
          <w:rFonts w:ascii="Times New Roman" w:eastAsia="Times New Roman" w:hAnsi="Times New Roman" w:cs="Times New Roman"/>
          <w:sz w:val="24"/>
          <w:szCs w:val="24"/>
          <w:lang w:eastAsia="en-GB"/>
        </w:rPr>
        <w:t xml:space="preserve"> such as myocardial infarction and stroke. Its economic burden is profound: in 2021 alone, global health expenditure on diabetes reached </w:t>
      </w:r>
      <w:r w:rsidRPr="00DC3582">
        <w:rPr>
          <w:rFonts w:ascii="Times New Roman" w:eastAsia="Times New Roman" w:hAnsi="Times New Roman" w:cs="Times New Roman"/>
          <w:bCs/>
          <w:sz w:val="24"/>
          <w:szCs w:val="24"/>
          <w:lang w:eastAsia="en-GB"/>
        </w:rPr>
        <w:t>USD 966 billion</w:t>
      </w:r>
      <w:r w:rsidRPr="00DC3582">
        <w:rPr>
          <w:rFonts w:ascii="Times New Roman" w:eastAsia="Times New Roman" w:hAnsi="Times New Roman" w:cs="Times New Roman"/>
          <w:sz w:val="24"/>
          <w:szCs w:val="24"/>
          <w:lang w:eastAsia="en-GB"/>
        </w:rPr>
        <w:t>, representing a 316% increase over the past 15 years (IDF, 2021). The multifaceted burden of T2DM underscores the need for effective, evidence-based prevention and management strategies that are sustainable, scalable, and accessible</w:t>
      </w:r>
      <w:r w:rsidR="00897630">
        <w:rPr>
          <w:rFonts w:ascii="Times New Roman" w:eastAsia="Times New Roman" w:hAnsi="Times New Roman" w:cs="Times New Roman"/>
          <w:sz w:val="24"/>
          <w:szCs w:val="24"/>
          <w:lang w:eastAsia="en-GB"/>
        </w:rPr>
        <w:t xml:space="preserve"> </w:t>
      </w:r>
      <w:r w:rsidR="00897630" w:rsidRPr="00897630">
        <w:rPr>
          <w:rFonts w:ascii="Times New Roman" w:eastAsia="Times New Roman" w:hAnsi="Times New Roman" w:cs="Times New Roman"/>
          <w:sz w:val="24"/>
          <w:szCs w:val="24"/>
          <w:lang w:eastAsia="en-GB"/>
        </w:rPr>
        <w:t>(Harland &amp; Garton, 2016)</w:t>
      </w:r>
      <w:r w:rsidRPr="00DC3582">
        <w:rPr>
          <w:rFonts w:ascii="Times New Roman" w:eastAsia="Times New Roman" w:hAnsi="Times New Roman" w:cs="Times New Roman"/>
          <w:sz w:val="24"/>
          <w:szCs w:val="24"/>
          <w:lang w:eastAsia="en-GB"/>
        </w:rPr>
        <w:t>.</w:t>
      </w:r>
    </w:p>
    <w:p w14:paraId="10439C05" w14:textId="3460C3F0" w:rsidR="003277B8" w:rsidRPr="00DC3582" w:rsidRDefault="003277B8"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Current treatment paradigms emphasize pharmacological intervention—ranging from metformin and sulfonylureas to insulin therapy. While effective in the short term, these therapies are often associated with adverse effects, cost barriers, and low adherence rates</w:t>
      </w:r>
      <w:r w:rsidR="00897630">
        <w:rPr>
          <w:rFonts w:ascii="Times New Roman" w:eastAsia="Times New Roman" w:hAnsi="Times New Roman" w:cs="Times New Roman"/>
          <w:sz w:val="24"/>
          <w:szCs w:val="24"/>
          <w:lang w:eastAsia="en-GB"/>
        </w:rPr>
        <w:t xml:space="preserve"> </w:t>
      </w:r>
      <w:r w:rsidR="00897630" w:rsidRPr="00897630">
        <w:rPr>
          <w:rFonts w:ascii="Times New Roman" w:eastAsia="Times New Roman" w:hAnsi="Times New Roman" w:cs="Times New Roman"/>
          <w:sz w:val="24"/>
          <w:szCs w:val="24"/>
          <w:lang w:eastAsia="en-GB"/>
        </w:rPr>
        <w:t>(Qian et al., 2019)</w:t>
      </w:r>
      <w:r w:rsidRPr="00DC3582">
        <w:rPr>
          <w:rFonts w:ascii="Times New Roman" w:eastAsia="Times New Roman" w:hAnsi="Times New Roman" w:cs="Times New Roman"/>
          <w:sz w:val="24"/>
          <w:szCs w:val="24"/>
          <w:lang w:eastAsia="en-GB"/>
        </w:rPr>
        <w:t xml:space="preserve">. Moreover, they do not address upstream </w:t>
      </w:r>
      <w:r w:rsidR="00DC3582" w:rsidRPr="00DC3582">
        <w:rPr>
          <w:rFonts w:ascii="Times New Roman" w:eastAsia="Times New Roman" w:hAnsi="Times New Roman" w:cs="Times New Roman"/>
          <w:sz w:val="24"/>
          <w:szCs w:val="24"/>
          <w:lang w:eastAsia="en-GB"/>
        </w:rPr>
        <w:t>behavioural</w:t>
      </w:r>
      <w:r w:rsidRPr="00DC3582">
        <w:rPr>
          <w:rFonts w:ascii="Times New Roman" w:eastAsia="Times New Roman" w:hAnsi="Times New Roman" w:cs="Times New Roman"/>
          <w:sz w:val="24"/>
          <w:szCs w:val="24"/>
          <w:lang w:eastAsia="en-GB"/>
        </w:rPr>
        <w:t xml:space="preserve"> or environmental determinants of the disease. As such, global clinical guidelines, including those from the </w:t>
      </w:r>
      <w:r w:rsidRPr="00DC3582">
        <w:rPr>
          <w:rFonts w:ascii="Times New Roman" w:eastAsia="Times New Roman" w:hAnsi="Times New Roman" w:cs="Times New Roman"/>
          <w:bCs/>
          <w:sz w:val="24"/>
          <w:szCs w:val="24"/>
          <w:lang w:eastAsia="en-GB"/>
        </w:rPr>
        <w:t>American Diabetes Association (ADA)</w:t>
      </w:r>
      <w:r w:rsidRPr="00DC3582">
        <w:rPr>
          <w:rFonts w:ascii="Times New Roman" w:eastAsia="Times New Roman" w:hAnsi="Times New Roman" w:cs="Times New Roman"/>
          <w:sz w:val="24"/>
          <w:szCs w:val="24"/>
          <w:lang w:eastAsia="en-GB"/>
        </w:rPr>
        <w:t xml:space="preserve"> and the </w:t>
      </w:r>
      <w:r w:rsidRPr="00DC3582">
        <w:rPr>
          <w:rFonts w:ascii="Times New Roman" w:eastAsia="Times New Roman" w:hAnsi="Times New Roman" w:cs="Times New Roman"/>
          <w:bCs/>
          <w:sz w:val="24"/>
          <w:szCs w:val="24"/>
          <w:lang w:eastAsia="en-GB"/>
        </w:rPr>
        <w:t>World Health Organization (WHO)</w:t>
      </w:r>
      <w:r w:rsidRPr="00DC3582">
        <w:rPr>
          <w:rFonts w:ascii="Times New Roman" w:eastAsia="Times New Roman" w:hAnsi="Times New Roman" w:cs="Times New Roman"/>
          <w:sz w:val="24"/>
          <w:szCs w:val="24"/>
          <w:lang w:eastAsia="en-GB"/>
        </w:rPr>
        <w:t xml:space="preserve">, increasingly advocate for </w:t>
      </w:r>
      <w:r w:rsidRPr="00DC3582">
        <w:rPr>
          <w:rFonts w:ascii="Times New Roman" w:eastAsia="Times New Roman" w:hAnsi="Times New Roman" w:cs="Times New Roman"/>
          <w:bCs/>
          <w:sz w:val="24"/>
          <w:szCs w:val="24"/>
          <w:lang w:eastAsia="en-GB"/>
        </w:rPr>
        <w:t>lifestyle modifications</w:t>
      </w:r>
      <w:r w:rsidRPr="00DC3582">
        <w:rPr>
          <w:rFonts w:ascii="Times New Roman" w:eastAsia="Times New Roman" w:hAnsi="Times New Roman" w:cs="Times New Roman"/>
          <w:sz w:val="24"/>
          <w:szCs w:val="24"/>
          <w:lang w:eastAsia="en-GB"/>
        </w:rPr>
        <w:t>—particularly dietary interventions—as first-line or adjunct therapies (ADA, 2023; WHO, 2021).</w:t>
      </w:r>
    </w:p>
    <w:p w14:paraId="5DDC8F0D" w14:textId="4ADA94F6" w:rsidR="00A97C2E" w:rsidRDefault="003277B8" w:rsidP="00A97C2E">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 xml:space="preserve">Within this context, the role of </w:t>
      </w:r>
      <w:r w:rsidRPr="00DC3582">
        <w:rPr>
          <w:rFonts w:ascii="Times New Roman" w:eastAsia="Times New Roman" w:hAnsi="Times New Roman" w:cs="Times New Roman"/>
          <w:bCs/>
          <w:sz w:val="24"/>
          <w:szCs w:val="24"/>
          <w:lang w:eastAsia="en-GB"/>
        </w:rPr>
        <w:t>dietary patterns</w:t>
      </w:r>
      <w:r w:rsidRPr="00DC3582">
        <w:rPr>
          <w:rFonts w:ascii="Times New Roman" w:eastAsia="Times New Roman" w:hAnsi="Times New Roman" w:cs="Times New Roman"/>
          <w:sz w:val="24"/>
          <w:szCs w:val="24"/>
          <w:lang w:eastAsia="en-GB"/>
        </w:rPr>
        <w:t xml:space="preserve"> in modulating diabetes risk and progression has gained substantial scholarly and clinical attention. Traditional omnivorous diets, while varied, often include high intakes of red and processed meats, refined grains, and saturated fats—dietary components linked to increased systemic inflammation, oxidative stress, and insulin resistance. In contrast, </w:t>
      </w:r>
      <w:r w:rsidRPr="00DC3582">
        <w:rPr>
          <w:rFonts w:ascii="Times New Roman" w:eastAsia="Times New Roman" w:hAnsi="Times New Roman" w:cs="Times New Roman"/>
          <w:bCs/>
          <w:sz w:val="24"/>
          <w:szCs w:val="24"/>
          <w:lang w:eastAsia="en-GB"/>
        </w:rPr>
        <w:t>plant-based diets (PBDs)</w:t>
      </w:r>
      <w:r w:rsidRPr="00DC3582">
        <w:rPr>
          <w:rFonts w:ascii="Times New Roman" w:eastAsia="Times New Roman" w:hAnsi="Times New Roman" w:cs="Times New Roman"/>
          <w:sz w:val="24"/>
          <w:szCs w:val="24"/>
          <w:lang w:eastAsia="en-GB"/>
        </w:rPr>
        <w:t xml:space="preserve"> emphasize the consumption of whole grains, legumes, fruits, vegetables, nuts, and seeds, with minimal or no inclusion of animal-derived foods. Variants of PBDs include </w:t>
      </w:r>
      <w:r w:rsidRPr="00DC3582">
        <w:rPr>
          <w:rFonts w:ascii="Times New Roman" w:eastAsia="Times New Roman" w:hAnsi="Times New Roman" w:cs="Times New Roman"/>
          <w:bCs/>
          <w:sz w:val="24"/>
          <w:szCs w:val="24"/>
          <w:lang w:eastAsia="en-GB"/>
        </w:rPr>
        <w:t>vegetarian, vegan, and flexitarian</w:t>
      </w:r>
      <w:r w:rsidRPr="00DC3582">
        <w:rPr>
          <w:rFonts w:ascii="Times New Roman" w:eastAsia="Times New Roman" w:hAnsi="Times New Roman" w:cs="Times New Roman"/>
          <w:sz w:val="24"/>
          <w:szCs w:val="24"/>
          <w:lang w:eastAsia="en-GB"/>
        </w:rPr>
        <w:t xml:space="preserve"> patterns, each differing in the degree of animal product exclusion.</w:t>
      </w:r>
      <w:r w:rsidR="00A97C2E">
        <w:rPr>
          <w:rFonts w:ascii="Times New Roman" w:eastAsia="Times New Roman" w:hAnsi="Times New Roman" w:cs="Times New Roman"/>
          <w:sz w:val="24"/>
          <w:szCs w:val="24"/>
          <w:lang w:eastAsia="en-GB"/>
        </w:rPr>
        <w:t xml:space="preserve"> </w:t>
      </w:r>
      <w:r w:rsidR="00462C60">
        <w:rPr>
          <w:rFonts w:ascii="Times New Roman" w:eastAsia="Times New Roman" w:hAnsi="Times New Roman" w:cs="Times New Roman"/>
          <w:sz w:val="24"/>
          <w:szCs w:val="24"/>
          <w:lang w:eastAsia="en-GB"/>
        </w:rPr>
        <w:t xml:space="preserve"> </w:t>
      </w:r>
      <w:r w:rsidR="00462C60" w:rsidRPr="00462C60">
        <w:rPr>
          <w:rFonts w:ascii="Helvetica" w:hAnsi="Helvetica" w:cs="Helvetica"/>
          <w:color w:val="383636"/>
          <w:highlight w:val="yellow"/>
          <w:shd w:val="clear" w:color="auto" w:fill="FFFFFF"/>
        </w:rPr>
        <w:t xml:space="preserve">Plant-based diets in particular are thought to be beneficial for the prevention of type 2 diabetes; however, findings from meta-analyses have </w:t>
      </w:r>
      <w:r w:rsidR="00462C60" w:rsidRPr="00462C60">
        <w:rPr>
          <w:rFonts w:ascii="Helvetica" w:hAnsi="Helvetica" w:cs="Helvetica"/>
          <w:color w:val="383636"/>
          <w:highlight w:val="yellow"/>
          <w:shd w:val="clear" w:color="auto" w:fill="FFFFFF"/>
        </w:rPr>
        <w:lastRenderedPageBreak/>
        <w:t>found that the certainty of evidence for plant-based diets and incidence of type 2 diabetes is low, highlighting that more research on this topic is needed (</w:t>
      </w:r>
      <w:r w:rsidR="005B14E0">
        <w:rPr>
          <w:rFonts w:ascii="Arial" w:hAnsi="Arial" w:cs="Arial"/>
          <w:color w:val="222222"/>
          <w:sz w:val="20"/>
          <w:szCs w:val="20"/>
          <w:shd w:val="clear" w:color="auto" w:fill="FFFFFF"/>
        </w:rPr>
        <w:t>Glenn et al.  2023</w:t>
      </w:r>
      <w:r w:rsidR="00462C60" w:rsidRPr="00462C60">
        <w:rPr>
          <w:rFonts w:ascii="Helvetica" w:hAnsi="Helvetica" w:cs="Helvetica"/>
          <w:color w:val="383636"/>
          <w:highlight w:val="yellow"/>
          <w:shd w:val="clear" w:color="auto" w:fill="FFFFFF"/>
        </w:rPr>
        <w:t>).</w:t>
      </w:r>
    </w:p>
    <w:p w14:paraId="00122026" w14:textId="48B65D43" w:rsidR="003277B8" w:rsidRPr="00DC3582" w:rsidRDefault="003277B8"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 xml:space="preserve">Epidemiological studies and clinical trials have consistently shown that PBDs are inversely associated with T2DM incidence. For example, Satija et al. (2016), using data from three large U.S. cohorts, found that adherence to a healthful plant-based diet was associated with a </w:t>
      </w:r>
      <w:r w:rsidRPr="00DC3582">
        <w:rPr>
          <w:rFonts w:ascii="Times New Roman" w:eastAsia="Times New Roman" w:hAnsi="Times New Roman" w:cs="Times New Roman"/>
          <w:bCs/>
          <w:sz w:val="24"/>
          <w:szCs w:val="24"/>
          <w:lang w:eastAsia="en-GB"/>
        </w:rPr>
        <w:t>34% lower risk</w:t>
      </w:r>
      <w:r w:rsidRPr="00DC3582">
        <w:rPr>
          <w:rFonts w:ascii="Times New Roman" w:eastAsia="Times New Roman" w:hAnsi="Times New Roman" w:cs="Times New Roman"/>
          <w:sz w:val="24"/>
          <w:szCs w:val="24"/>
          <w:lang w:eastAsia="en-GB"/>
        </w:rPr>
        <w:t xml:space="preserve"> of developing T2DM. Mechanistically, these diets are high </w:t>
      </w:r>
      <w:r w:rsidRPr="004C4157">
        <w:rPr>
          <w:rFonts w:ascii="Times New Roman" w:eastAsia="Times New Roman" w:hAnsi="Times New Roman" w:cs="Times New Roman"/>
          <w:sz w:val="24"/>
          <w:szCs w:val="24"/>
          <w:highlight w:val="yellow"/>
          <w:lang w:eastAsia="en-GB"/>
        </w:rPr>
        <w:t xml:space="preserve">in dietary </w:t>
      </w:r>
      <w:r w:rsidR="003B701C" w:rsidRPr="004C4157">
        <w:rPr>
          <w:rFonts w:ascii="Times New Roman" w:eastAsia="Times New Roman" w:hAnsi="Times New Roman" w:cs="Times New Roman"/>
          <w:sz w:val="24"/>
          <w:szCs w:val="24"/>
          <w:highlight w:val="yellow"/>
          <w:lang w:eastAsia="en-GB"/>
        </w:rPr>
        <w:t>fibre</w:t>
      </w:r>
      <w:r w:rsidRPr="004C4157">
        <w:rPr>
          <w:rFonts w:ascii="Times New Roman" w:eastAsia="Times New Roman" w:hAnsi="Times New Roman" w:cs="Times New Roman"/>
          <w:sz w:val="24"/>
          <w:szCs w:val="24"/>
          <w:highlight w:val="yellow"/>
          <w:lang w:eastAsia="en-GB"/>
        </w:rPr>
        <w:t>,</w:t>
      </w:r>
      <w:r w:rsidRPr="00DC3582">
        <w:rPr>
          <w:rFonts w:ascii="Times New Roman" w:eastAsia="Times New Roman" w:hAnsi="Times New Roman" w:cs="Times New Roman"/>
          <w:sz w:val="24"/>
          <w:szCs w:val="24"/>
          <w:lang w:eastAsia="en-GB"/>
        </w:rPr>
        <w:t xml:space="preserve"> polyphenols, and unsaturated fats, which have been shown to </w:t>
      </w:r>
      <w:r w:rsidRPr="00DC3582">
        <w:rPr>
          <w:rFonts w:ascii="Times New Roman" w:eastAsia="Times New Roman" w:hAnsi="Times New Roman" w:cs="Times New Roman"/>
          <w:bCs/>
          <w:sz w:val="24"/>
          <w:szCs w:val="24"/>
          <w:lang w:eastAsia="en-GB"/>
        </w:rPr>
        <w:t>enhance insulin sensitivity</w:t>
      </w:r>
      <w:r w:rsidRPr="00DC3582">
        <w:rPr>
          <w:rFonts w:ascii="Times New Roman" w:eastAsia="Times New Roman" w:hAnsi="Times New Roman" w:cs="Times New Roman"/>
          <w:sz w:val="24"/>
          <w:szCs w:val="24"/>
          <w:lang w:eastAsia="en-GB"/>
        </w:rPr>
        <w:t xml:space="preserve">, </w:t>
      </w:r>
      <w:r w:rsidRPr="00DC3582">
        <w:rPr>
          <w:rFonts w:ascii="Times New Roman" w:eastAsia="Times New Roman" w:hAnsi="Times New Roman" w:cs="Times New Roman"/>
          <w:bCs/>
          <w:sz w:val="24"/>
          <w:szCs w:val="24"/>
          <w:lang w:eastAsia="en-GB"/>
        </w:rPr>
        <w:t>modulate gut microbiota</w:t>
      </w:r>
      <w:r w:rsidRPr="00DC3582">
        <w:rPr>
          <w:rFonts w:ascii="Times New Roman" w:eastAsia="Times New Roman" w:hAnsi="Times New Roman" w:cs="Times New Roman"/>
          <w:sz w:val="24"/>
          <w:szCs w:val="24"/>
          <w:lang w:eastAsia="en-GB"/>
        </w:rPr>
        <w:t xml:space="preserve">, </w:t>
      </w:r>
      <w:r w:rsidRPr="00DC3582">
        <w:rPr>
          <w:rFonts w:ascii="Times New Roman" w:eastAsia="Times New Roman" w:hAnsi="Times New Roman" w:cs="Times New Roman"/>
          <w:bCs/>
          <w:sz w:val="24"/>
          <w:szCs w:val="24"/>
          <w:lang w:eastAsia="en-GB"/>
        </w:rPr>
        <w:t>reduce low-grade inflammation</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improve lipid metabolism</w:t>
      </w:r>
      <w:r w:rsidRPr="00DC3582">
        <w:rPr>
          <w:rFonts w:ascii="Times New Roman" w:eastAsia="Times New Roman" w:hAnsi="Times New Roman" w:cs="Times New Roman"/>
          <w:sz w:val="24"/>
          <w:szCs w:val="24"/>
          <w:lang w:eastAsia="en-GB"/>
        </w:rPr>
        <w:t xml:space="preserve">. Furthermore, plant-based dietary patterns tend to be lower in caloric density, which facilitates </w:t>
      </w:r>
      <w:r w:rsidRPr="00DC3582">
        <w:rPr>
          <w:rFonts w:ascii="Times New Roman" w:eastAsia="Times New Roman" w:hAnsi="Times New Roman" w:cs="Times New Roman"/>
          <w:bCs/>
          <w:sz w:val="24"/>
          <w:szCs w:val="24"/>
          <w:lang w:eastAsia="en-GB"/>
        </w:rPr>
        <w:t>weight management</w:t>
      </w:r>
      <w:r w:rsidRPr="00DC3582">
        <w:rPr>
          <w:rFonts w:ascii="Times New Roman" w:eastAsia="Times New Roman" w:hAnsi="Times New Roman" w:cs="Times New Roman"/>
          <w:sz w:val="24"/>
          <w:szCs w:val="24"/>
          <w:lang w:eastAsia="en-GB"/>
        </w:rPr>
        <w:t xml:space="preserve">, an essential factor in T2DM control (Barnard et al., 2009; </w:t>
      </w:r>
      <w:proofErr w:type="spellStart"/>
      <w:r w:rsidRPr="00DC3582">
        <w:rPr>
          <w:rFonts w:ascii="Times New Roman" w:eastAsia="Times New Roman" w:hAnsi="Times New Roman" w:cs="Times New Roman"/>
          <w:sz w:val="24"/>
          <w:szCs w:val="24"/>
          <w:lang w:eastAsia="en-GB"/>
        </w:rPr>
        <w:t>Kahleova</w:t>
      </w:r>
      <w:proofErr w:type="spellEnd"/>
      <w:r w:rsidRPr="00DC3582">
        <w:rPr>
          <w:rFonts w:ascii="Times New Roman" w:eastAsia="Times New Roman" w:hAnsi="Times New Roman" w:cs="Times New Roman"/>
          <w:sz w:val="24"/>
          <w:szCs w:val="24"/>
          <w:lang w:eastAsia="en-GB"/>
        </w:rPr>
        <w:t xml:space="preserve"> et al., 201</w:t>
      </w:r>
      <w:r w:rsidR="00C36302">
        <w:rPr>
          <w:rFonts w:ascii="Times New Roman" w:eastAsia="Times New Roman" w:hAnsi="Times New Roman" w:cs="Times New Roman"/>
          <w:sz w:val="24"/>
          <w:szCs w:val="24"/>
          <w:lang w:eastAsia="en-GB"/>
        </w:rPr>
        <w:t>8</w:t>
      </w:r>
      <w:r w:rsidRPr="00DC3582">
        <w:rPr>
          <w:rFonts w:ascii="Times New Roman" w:eastAsia="Times New Roman" w:hAnsi="Times New Roman" w:cs="Times New Roman"/>
          <w:sz w:val="24"/>
          <w:szCs w:val="24"/>
          <w:lang w:eastAsia="en-GB"/>
        </w:rPr>
        <w:t>).</w:t>
      </w:r>
    </w:p>
    <w:p w14:paraId="5267FDC9" w14:textId="77777777" w:rsidR="003277B8" w:rsidRPr="00DC3582" w:rsidRDefault="003277B8"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 xml:space="preserve">Despite this growing body of evidence, the field is not without contention. There remains significant heterogeneity in how PBDs are defined, the duration of intervention in clinical trials, participant baseline characteristics, and the metrics used to assess </w:t>
      </w:r>
      <w:r w:rsidR="00DC3582" w:rsidRPr="00DC3582">
        <w:rPr>
          <w:rFonts w:ascii="Times New Roman" w:eastAsia="Times New Roman" w:hAnsi="Times New Roman" w:cs="Times New Roman"/>
          <w:sz w:val="24"/>
          <w:szCs w:val="24"/>
          <w:lang w:eastAsia="en-GB"/>
        </w:rPr>
        <w:t>glycaemic</w:t>
      </w:r>
      <w:r w:rsidRPr="00DC3582">
        <w:rPr>
          <w:rFonts w:ascii="Times New Roman" w:eastAsia="Times New Roman" w:hAnsi="Times New Roman" w:cs="Times New Roman"/>
          <w:sz w:val="24"/>
          <w:szCs w:val="24"/>
          <w:lang w:eastAsia="en-GB"/>
        </w:rPr>
        <w:t xml:space="preserve"> control and metabolic outcomes. Additionally, some critics argue that nutrient deficiencies (e.g., vitamin B12, iron, and omega-3 fatty acids) may offset the metabolic benefits of strict vegan diets if not well-planned. Moreover, observational studies often struggle with residual confounding and cannot establish causality, while randomized controlled trials (RCTs), though methodologically rigorous, are limited by short durations and small sample sizes</w:t>
      </w:r>
      <w:r w:rsidR="00DC3582">
        <w:rPr>
          <w:rFonts w:ascii="Times New Roman" w:eastAsia="Times New Roman" w:hAnsi="Times New Roman" w:cs="Times New Roman"/>
          <w:sz w:val="24"/>
          <w:szCs w:val="24"/>
          <w:lang w:eastAsia="en-GB"/>
        </w:rPr>
        <w:t xml:space="preserve"> (</w:t>
      </w:r>
      <w:proofErr w:type="spellStart"/>
      <w:r w:rsidR="002D6608">
        <w:rPr>
          <w:rFonts w:ascii="Times New Roman" w:eastAsia="Times New Roman" w:hAnsi="Times New Roman" w:cs="Times New Roman"/>
          <w:sz w:val="24"/>
          <w:szCs w:val="24"/>
          <w:lang w:eastAsia="en-GB"/>
        </w:rPr>
        <w:t>Sntija</w:t>
      </w:r>
      <w:proofErr w:type="spellEnd"/>
      <w:r w:rsidR="002D6608">
        <w:rPr>
          <w:rFonts w:ascii="Times New Roman" w:eastAsia="Times New Roman" w:hAnsi="Times New Roman" w:cs="Times New Roman"/>
          <w:sz w:val="24"/>
          <w:szCs w:val="24"/>
          <w:lang w:eastAsia="en-GB"/>
        </w:rPr>
        <w:t xml:space="preserve"> et al., 2016</w:t>
      </w:r>
      <w:r w:rsidR="00DC3582">
        <w:rPr>
          <w:rFonts w:ascii="Times New Roman" w:eastAsia="Times New Roman" w:hAnsi="Times New Roman" w:cs="Times New Roman"/>
          <w:sz w:val="24"/>
          <w:szCs w:val="24"/>
          <w:lang w:eastAsia="en-GB"/>
        </w:rPr>
        <w:t>)</w:t>
      </w:r>
      <w:r w:rsidRPr="00DC3582">
        <w:rPr>
          <w:rFonts w:ascii="Times New Roman" w:eastAsia="Times New Roman" w:hAnsi="Times New Roman" w:cs="Times New Roman"/>
          <w:sz w:val="24"/>
          <w:szCs w:val="24"/>
          <w:lang w:eastAsia="en-GB"/>
        </w:rPr>
        <w:t>.</w:t>
      </w:r>
    </w:p>
    <w:p w14:paraId="7A7FF9C2" w14:textId="77777777" w:rsidR="003277B8" w:rsidRPr="00DC3582" w:rsidRDefault="003277B8"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 xml:space="preserve">Given these limitations, there is a pressing need to conduct a </w:t>
      </w:r>
      <w:r w:rsidRPr="00DC3582">
        <w:rPr>
          <w:rFonts w:ascii="Times New Roman" w:eastAsia="Times New Roman" w:hAnsi="Times New Roman" w:cs="Times New Roman"/>
          <w:bCs/>
          <w:sz w:val="24"/>
          <w:szCs w:val="24"/>
          <w:lang w:eastAsia="en-GB"/>
        </w:rPr>
        <w:t>systematic, comprehensive, and methodologically rigorous synthesis of high-quality evidence</w:t>
      </w:r>
      <w:r w:rsidRPr="00DC3582">
        <w:rPr>
          <w:rFonts w:ascii="Times New Roman" w:eastAsia="Times New Roman" w:hAnsi="Times New Roman" w:cs="Times New Roman"/>
          <w:sz w:val="24"/>
          <w:szCs w:val="24"/>
          <w:lang w:eastAsia="en-GB"/>
        </w:rPr>
        <w:t xml:space="preserve">. Randomized controlled trials and cohort studies offer complementary strengths—RCTs provide causal inference, while cohort studies capture long-term, real-world dietary </w:t>
      </w:r>
      <w:r w:rsidR="00DC3582" w:rsidRPr="00DC3582">
        <w:rPr>
          <w:rFonts w:ascii="Times New Roman" w:eastAsia="Times New Roman" w:hAnsi="Times New Roman" w:cs="Times New Roman"/>
          <w:sz w:val="24"/>
          <w:szCs w:val="24"/>
          <w:lang w:eastAsia="en-GB"/>
        </w:rPr>
        <w:t>behaviours</w:t>
      </w:r>
      <w:r w:rsidRPr="00DC3582">
        <w:rPr>
          <w:rFonts w:ascii="Times New Roman" w:eastAsia="Times New Roman" w:hAnsi="Times New Roman" w:cs="Times New Roman"/>
          <w:sz w:val="24"/>
          <w:szCs w:val="24"/>
          <w:lang w:eastAsia="en-GB"/>
        </w:rPr>
        <w:t xml:space="preserve"> and health outcomes. A thorough comparison of these two dietary approaches—PBDs versus omnivorous diets—within these robust study designs is necessary to guide clinicians, policymakers, and patients in making informed nutritional decisions.</w:t>
      </w:r>
    </w:p>
    <w:p w14:paraId="1A9D8AFA" w14:textId="77777777" w:rsidR="003277B8" w:rsidRPr="00DC3582" w:rsidRDefault="003277B8"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bCs/>
          <w:sz w:val="24"/>
          <w:szCs w:val="24"/>
          <w:lang w:eastAsia="en-GB"/>
        </w:rPr>
        <w:t>Thus, this systematic literature review seeks to critically examine the comparative effectiveness of plant-based diets and omnivorous diets in the management of Type 2 diabetes mellitus.</w:t>
      </w:r>
      <w:r w:rsidRPr="00DC3582">
        <w:rPr>
          <w:rFonts w:ascii="Times New Roman" w:eastAsia="Times New Roman" w:hAnsi="Times New Roman" w:cs="Times New Roman"/>
          <w:sz w:val="24"/>
          <w:szCs w:val="24"/>
          <w:lang w:eastAsia="en-GB"/>
        </w:rPr>
        <w:t xml:space="preserve"> Specifically, it focuses on key metabolic outcomes including </w:t>
      </w:r>
      <w:r w:rsidRPr="00DC3582">
        <w:rPr>
          <w:rFonts w:ascii="Times New Roman" w:eastAsia="Times New Roman" w:hAnsi="Times New Roman" w:cs="Times New Roman"/>
          <w:bCs/>
          <w:sz w:val="24"/>
          <w:szCs w:val="24"/>
          <w:lang w:eastAsia="en-GB"/>
        </w:rPr>
        <w:t xml:space="preserve">glycated </w:t>
      </w:r>
      <w:r w:rsidR="00DC3582" w:rsidRPr="00DC3582">
        <w:rPr>
          <w:rFonts w:ascii="Times New Roman" w:eastAsia="Times New Roman" w:hAnsi="Times New Roman" w:cs="Times New Roman"/>
          <w:bCs/>
          <w:sz w:val="24"/>
          <w:szCs w:val="24"/>
          <w:lang w:eastAsia="en-GB"/>
        </w:rPr>
        <w:t>haemoglobin</w:t>
      </w:r>
      <w:r w:rsidRPr="00DC3582">
        <w:rPr>
          <w:rFonts w:ascii="Times New Roman" w:eastAsia="Times New Roman" w:hAnsi="Times New Roman" w:cs="Times New Roman"/>
          <w:bCs/>
          <w:sz w:val="24"/>
          <w:szCs w:val="24"/>
          <w:lang w:eastAsia="en-GB"/>
        </w:rPr>
        <w:t xml:space="preserve"> (HbA1c), fasting plasma glucose, insulin resistance indices, body mass index (BMI), lipid profiles</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lastRenderedPageBreak/>
        <w:t>inflammatory biomarkers</w:t>
      </w:r>
      <w:r w:rsidRPr="00DC3582">
        <w:rPr>
          <w:rFonts w:ascii="Times New Roman" w:eastAsia="Times New Roman" w:hAnsi="Times New Roman" w:cs="Times New Roman"/>
          <w:sz w:val="24"/>
          <w:szCs w:val="24"/>
          <w:lang w:eastAsia="en-GB"/>
        </w:rPr>
        <w:t>. By synthesizing evidence from randomized controlled trials and longitudinal cohort studies published over the last two decades, this review aims to:</w:t>
      </w:r>
    </w:p>
    <w:p w14:paraId="28E96A45" w14:textId="77777777" w:rsidR="003277B8" w:rsidRPr="00DC3582" w:rsidRDefault="003277B8" w:rsidP="00DC3582">
      <w:pPr>
        <w:numPr>
          <w:ilvl w:val="0"/>
          <w:numId w:val="14"/>
        </w:num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Assess the consistency and quality of findings across different population subgroups and geographic settings;</w:t>
      </w:r>
    </w:p>
    <w:p w14:paraId="1D9E9D8E" w14:textId="77777777" w:rsidR="003277B8" w:rsidRPr="00DC3582" w:rsidRDefault="003277B8" w:rsidP="00DC3582">
      <w:pPr>
        <w:numPr>
          <w:ilvl w:val="0"/>
          <w:numId w:val="14"/>
        </w:num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Identify gaps in the current literature regarding dietary adherence, sustainability, and long-term metabolic outcomes; and</w:t>
      </w:r>
    </w:p>
    <w:p w14:paraId="690F04CF" w14:textId="77777777" w:rsidR="003277B8" w:rsidRPr="00DC3582" w:rsidRDefault="003277B8" w:rsidP="00DC3582">
      <w:pPr>
        <w:numPr>
          <w:ilvl w:val="0"/>
          <w:numId w:val="14"/>
        </w:num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Provide a scientifically grounded foundation for future clinical guidelines and public health policy on diabetes nutrition therapy.</w:t>
      </w:r>
    </w:p>
    <w:p w14:paraId="00386A32" w14:textId="77777777" w:rsidR="003277B8" w:rsidRPr="00DC3582" w:rsidRDefault="003277B8"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In doing so, this review not only addresses a clinically relevant and timely question but also contributes to the broader discourse on sustainable, health-promoting diets in the era of global chronic disease epidemics.</w:t>
      </w:r>
    </w:p>
    <w:p w14:paraId="0F4EB059" w14:textId="77777777" w:rsidR="00D27F9E" w:rsidRPr="00DC3582" w:rsidRDefault="00DC3582" w:rsidP="003277B8">
      <w:pPr>
        <w:spacing w:before="100" w:beforeAutospacing="1" w:after="100" w:afterAutospacing="1" w:line="240" w:lineRule="auto"/>
        <w:rPr>
          <w:rFonts w:ascii="Times New Roman" w:eastAsia="Times New Roman" w:hAnsi="Times New Roman" w:cs="Times New Roman"/>
          <w:b/>
          <w:sz w:val="24"/>
          <w:szCs w:val="24"/>
          <w:lang w:eastAsia="en-GB"/>
        </w:rPr>
      </w:pPr>
      <w:r w:rsidRPr="00DC3582">
        <w:rPr>
          <w:rFonts w:ascii="Times New Roman" w:eastAsia="Times New Roman" w:hAnsi="Times New Roman" w:cs="Times New Roman"/>
          <w:b/>
          <w:sz w:val="24"/>
          <w:szCs w:val="24"/>
          <w:lang w:eastAsia="en-GB"/>
        </w:rPr>
        <w:t xml:space="preserve">2. </w:t>
      </w:r>
      <w:r w:rsidR="00D27F9E" w:rsidRPr="00DC3582">
        <w:rPr>
          <w:rFonts w:ascii="Times New Roman" w:eastAsia="Times New Roman" w:hAnsi="Times New Roman" w:cs="Times New Roman"/>
          <w:b/>
          <w:sz w:val="24"/>
          <w:szCs w:val="24"/>
          <w:lang w:eastAsia="en-GB"/>
        </w:rPr>
        <w:t>Literature Review</w:t>
      </w:r>
    </w:p>
    <w:p w14:paraId="58CFF1F1" w14:textId="055ABF01" w:rsidR="00D27F9E" w:rsidRPr="00D27F9E" w:rsidRDefault="00D27F9E"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27F9E">
        <w:rPr>
          <w:rFonts w:ascii="Times New Roman" w:eastAsia="Times New Roman" w:hAnsi="Times New Roman" w:cs="Times New Roman"/>
          <w:sz w:val="24"/>
          <w:szCs w:val="24"/>
          <w:lang w:eastAsia="en-GB"/>
        </w:rPr>
        <w:t xml:space="preserve">There is a growing consensus in the scientific literature that plant-based diets (PBDs), particularly those emphasizing whole, unprocessed plant foods, play a substantial role in the </w:t>
      </w:r>
      <w:r w:rsidRPr="00D27F9E">
        <w:rPr>
          <w:rFonts w:ascii="Times New Roman" w:eastAsia="Times New Roman" w:hAnsi="Times New Roman" w:cs="Times New Roman"/>
          <w:bCs/>
          <w:sz w:val="24"/>
          <w:szCs w:val="24"/>
          <w:lang w:eastAsia="en-GB"/>
        </w:rPr>
        <w:t>prevention and management of Type 2 diabetes (T2D)</w:t>
      </w:r>
      <w:r w:rsidRPr="00D27F9E">
        <w:rPr>
          <w:rFonts w:ascii="Times New Roman" w:eastAsia="Times New Roman" w:hAnsi="Times New Roman" w:cs="Times New Roman"/>
          <w:sz w:val="24"/>
          <w:szCs w:val="24"/>
          <w:lang w:eastAsia="en-GB"/>
        </w:rPr>
        <w:t xml:space="preserve">. Numerous epidemiological and clinical studies have demonstrated that individuals who adhere to healthful PBDs—rich in vegetables, legumes, fruits, whole grains, and nuts—have a significantly reduced risk of developing T2D and experience improved </w:t>
      </w:r>
      <w:r w:rsidR="00DC3582" w:rsidRPr="00D27F9E">
        <w:rPr>
          <w:rFonts w:ascii="Times New Roman" w:eastAsia="Times New Roman" w:hAnsi="Times New Roman" w:cs="Times New Roman"/>
          <w:sz w:val="24"/>
          <w:szCs w:val="24"/>
          <w:lang w:eastAsia="en-GB"/>
        </w:rPr>
        <w:t>glycaemic</w:t>
      </w:r>
      <w:r w:rsidRPr="00D27F9E">
        <w:rPr>
          <w:rFonts w:ascii="Times New Roman" w:eastAsia="Times New Roman" w:hAnsi="Times New Roman" w:cs="Times New Roman"/>
          <w:sz w:val="24"/>
          <w:szCs w:val="24"/>
          <w:lang w:eastAsia="en-GB"/>
        </w:rPr>
        <w:t xml:space="preserve"> control if already diagnosed (Satija et al., 2016; Qian et al., 2019; </w:t>
      </w:r>
      <w:r w:rsidR="00EB4A20">
        <w:rPr>
          <w:rFonts w:ascii="Arial" w:hAnsi="Arial" w:cs="Arial"/>
          <w:color w:val="222222"/>
          <w:sz w:val="20"/>
          <w:szCs w:val="20"/>
          <w:shd w:val="clear" w:color="auto" w:fill="FFFFFF"/>
        </w:rPr>
        <w:t xml:space="preserve">Brown </w:t>
      </w:r>
      <w:r w:rsidRPr="00D27F9E">
        <w:rPr>
          <w:rFonts w:ascii="Times New Roman" w:eastAsia="Times New Roman" w:hAnsi="Times New Roman" w:cs="Times New Roman"/>
          <w:sz w:val="24"/>
          <w:szCs w:val="24"/>
          <w:lang w:eastAsia="en-GB"/>
        </w:rPr>
        <w:t xml:space="preserve">et al., </w:t>
      </w:r>
      <w:r w:rsidR="00EB4A20">
        <w:rPr>
          <w:rFonts w:ascii="Times New Roman" w:eastAsia="Times New Roman" w:hAnsi="Times New Roman" w:cs="Times New Roman"/>
          <w:sz w:val="24"/>
          <w:szCs w:val="24"/>
          <w:lang w:eastAsia="en-GB"/>
        </w:rPr>
        <w:t>2022</w:t>
      </w:r>
      <w:r w:rsidRPr="00D27F9E">
        <w:rPr>
          <w:rFonts w:ascii="Times New Roman" w:eastAsia="Times New Roman" w:hAnsi="Times New Roman" w:cs="Times New Roman"/>
          <w:sz w:val="24"/>
          <w:szCs w:val="24"/>
          <w:lang w:eastAsia="en-GB"/>
        </w:rPr>
        <w:t>; McMacken &amp; Shah, 2017).</w:t>
      </w:r>
    </w:p>
    <w:p w14:paraId="3C8187D1" w14:textId="73B53D65" w:rsidR="00D27F9E" w:rsidRPr="00D27F9E" w:rsidRDefault="00D27F9E"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27F9E">
        <w:rPr>
          <w:rFonts w:ascii="Times New Roman" w:eastAsia="Times New Roman" w:hAnsi="Times New Roman" w:cs="Times New Roman"/>
          <w:sz w:val="24"/>
          <w:szCs w:val="24"/>
          <w:lang w:eastAsia="en-GB"/>
        </w:rPr>
        <w:t xml:space="preserve">Large cohort studies such as those conducted by Satija et al. (2016) and Qian et al. (2019) provide compelling evidence for the protective effects of healthful PBDs against the onset of T2D. These studies found a dose-response relationship where higher adherence to PBDs was associated with lower T2D risk. Similarly, </w:t>
      </w:r>
      <w:r w:rsidR="00AD2A02">
        <w:rPr>
          <w:rFonts w:ascii="Arial" w:hAnsi="Arial" w:cs="Arial"/>
          <w:color w:val="222222"/>
          <w:sz w:val="20"/>
          <w:szCs w:val="20"/>
          <w:shd w:val="clear" w:color="auto" w:fill="FFFFFF"/>
        </w:rPr>
        <w:t xml:space="preserve">Satija </w:t>
      </w:r>
      <w:r w:rsidRPr="00D27F9E">
        <w:rPr>
          <w:rFonts w:ascii="Times New Roman" w:eastAsia="Times New Roman" w:hAnsi="Times New Roman" w:cs="Times New Roman"/>
          <w:sz w:val="24"/>
          <w:szCs w:val="24"/>
          <w:lang w:eastAsia="en-GB"/>
        </w:rPr>
        <w:t>et al. (</w:t>
      </w:r>
      <w:r w:rsidR="00AD2A02">
        <w:rPr>
          <w:rFonts w:ascii="Times New Roman" w:eastAsia="Times New Roman" w:hAnsi="Times New Roman" w:cs="Times New Roman"/>
          <w:sz w:val="24"/>
          <w:szCs w:val="24"/>
          <w:lang w:eastAsia="en-GB"/>
        </w:rPr>
        <w:t>2019</w:t>
      </w:r>
      <w:r w:rsidRPr="00D27F9E">
        <w:rPr>
          <w:rFonts w:ascii="Times New Roman" w:eastAsia="Times New Roman" w:hAnsi="Times New Roman" w:cs="Times New Roman"/>
          <w:sz w:val="24"/>
          <w:szCs w:val="24"/>
          <w:lang w:eastAsia="en-GB"/>
        </w:rPr>
        <w:t xml:space="preserve">) found that replacing animal-based protein with plant-based protein was associated with improved </w:t>
      </w:r>
      <w:r w:rsidR="00DC3582" w:rsidRPr="00D27F9E">
        <w:rPr>
          <w:rFonts w:ascii="Times New Roman" w:eastAsia="Times New Roman" w:hAnsi="Times New Roman" w:cs="Times New Roman"/>
          <w:sz w:val="24"/>
          <w:szCs w:val="24"/>
          <w:lang w:eastAsia="en-GB"/>
        </w:rPr>
        <w:t>glycaemic</w:t>
      </w:r>
      <w:r w:rsidRPr="00D27F9E">
        <w:rPr>
          <w:rFonts w:ascii="Times New Roman" w:eastAsia="Times New Roman" w:hAnsi="Times New Roman" w:cs="Times New Roman"/>
          <w:sz w:val="24"/>
          <w:szCs w:val="24"/>
          <w:lang w:eastAsia="en-GB"/>
        </w:rPr>
        <w:t xml:space="preserve"> profiles and metabolic health. Importantly, these studies distinguish between </w:t>
      </w:r>
      <w:r w:rsidRPr="00D27F9E">
        <w:rPr>
          <w:rFonts w:ascii="Times New Roman" w:eastAsia="Times New Roman" w:hAnsi="Times New Roman" w:cs="Times New Roman"/>
          <w:bCs/>
          <w:sz w:val="24"/>
          <w:szCs w:val="24"/>
          <w:lang w:eastAsia="en-GB"/>
        </w:rPr>
        <w:t>healthful PBDs</w:t>
      </w:r>
      <w:r w:rsidRPr="00D27F9E">
        <w:rPr>
          <w:rFonts w:ascii="Times New Roman" w:eastAsia="Times New Roman" w:hAnsi="Times New Roman" w:cs="Times New Roman"/>
          <w:sz w:val="24"/>
          <w:szCs w:val="24"/>
          <w:lang w:eastAsia="en-GB"/>
        </w:rPr>
        <w:t xml:space="preserve"> (rich in whole, nutrient-dense plant foods) and </w:t>
      </w:r>
      <w:r w:rsidRPr="00D27F9E">
        <w:rPr>
          <w:rFonts w:ascii="Times New Roman" w:eastAsia="Times New Roman" w:hAnsi="Times New Roman" w:cs="Times New Roman"/>
          <w:bCs/>
          <w:sz w:val="24"/>
          <w:szCs w:val="24"/>
          <w:lang w:eastAsia="en-GB"/>
        </w:rPr>
        <w:t>unhealthful PBDs</w:t>
      </w:r>
      <w:r w:rsidRPr="00D27F9E">
        <w:rPr>
          <w:rFonts w:ascii="Times New Roman" w:eastAsia="Times New Roman" w:hAnsi="Times New Roman" w:cs="Times New Roman"/>
          <w:sz w:val="24"/>
          <w:szCs w:val="24"/>
          <w:lang w:eastAsia="en-GB"/>
        </w:rPr>
        <w:t xml:space="preserve"> (high in refined grains and added sugars), with only the former being associated with diabetes prevention (</w:t>
      </w:r>
      <w:r w:rsidR="00AD2A02">
        <w:rPr>
          <w:rFonts w:ascii="Arial" w:hAnsi="Arial" w:cs="Arial"/>
          <w:color w:val="222222"/>
          <w:sz w:val="20"/>
          <w:szCs w:val="20"/>
          <w:shd w:val="clear" w:color="auto" w:fill="FFFFFF"/>
        </w:rPr>
        <w:t xml:space="preserve">Satija </w:t>
      </w:r>
      <w:r w:rsidRPr="00D27F9E">
        <w:rPr>
          <w:rFonts w:ascii="Times New Roman" w:eastAsia="Times New Roman" w:hAnsi="Times New Roman" w:cs="Times New Roman"/>
          <w:sz w:val="24"/>
          <w:szCs w:val="24"/>
          <w:lang w:eastAsia="en-GB"/>
        </w:rPr>
        <w:t xml:space="preserve">et al., </w:t>
      </w:r>
      <w:r w:rsidR="00AD2A02">
        <w:rPr>
          <w:rFonts w:ascii="Times New Roman" w:eastAsia="Times New Roman" w:hAnsi="Times New Roman" w:cs="Times New Roman"/>
          <w:sz w:val="24"/>
          <w:szCs w:val="24"/>
          <w:lang w:eastAsia="en-GB"/>
        </w:rPr>
        <w:t>2019</w:t>
      </w:r>
      <w:r w:rsidRPr="00D27F9E">
        <w:rPr>
          <w:rFonts w:ascii="Times New Roman" w:eastAsia="Times New Roman" w:hAnsi="Times New Roman" w:cs="Times New Roman"/>
          <w:sz w:val="24"/>
          <w:szCs w:val="24"/>
          <w:lang w:eastAsia="en-GB"/>
        </w:rPr>
        <w:t>; Satija et al., 2016).</w:t>
      </w:r>
    </w:p>
    <w:p w14:paraId="5044441A" w14:textId="1874336A" w:rsidR="00D27F9E" w:rsidRPr="004C4157" w:rsidRDefault="00D27F9E" w:rsidP="00DC3582">
      <w:pPr>
        <w:spacing w:before="100" w:beforeAutospacing="1" w:after="100" w:afterAutospacing="1" w:line="360" w:lineRule="auto"/>
        <w:jc w:val="both"/>
        <w:rPr>
          <w:rFonts w:ascii="Times New Roman" w:eastAsia="Times New Roman" w:hAnsi="Times New Roman" w:cs="Times New Roman"/>
          <w:sz w:val="24"/>
          <w:szCs w:val="24"/>
          <w:highlight w:val="yellow"/>
          <w:lang w:eastAsia="en-GB"/>
        </w:rPr>
      </w:pPr>
      <w:r w:rsidRPr="00D27F9E">
        <w:rPr>
          <w:rFonts w:ascii="Times New Roman" w:eastAsia="Times New Roman" w:hAnsi="Times New Roman" w:cs="Times New Roman"/>
          <w:sz w:val="24"/>
          <w:szCs w:val="24"/>
          <w:lang w:eastAsia="en-GB"/>
        </w:rPr>
        <w:t xml:space="preserve">Intervention studies and meta-analyses corroborate these findings, demonstrating that plant-based dietary interventions significantly improve </w:t>
      </w:r>
      <w:r w:rsidRPr="00D27F9E">
        <w:rPr>
          <w:rFonts w:ascii="Times New Roman" w:eastAsia="Times New Roman" w:hAnsi="Times New Roman" w:cs="Times New Roman"/>
          <w:bCs/>
          <w:sz w:val="24"/>
          <w:szCs w:val="24"/>
          <w:lang w:eastAsia="en-GB"/>
        </w:rPr>
        <w:t>HbA1c, fasting glucose, insulin sensitivity</w:t>
      </w:r>
      <w:r w:rsidRPr="00D27F9E">
        <w:rPr>
          <w:rFonts w:ascii="Times New Roman" w:eastAsia="Times New Roman" w:hAnsi="Times New Roman" w:cs="Times New Roman"/>
          <w:sz w:val="24"/>
          <w:szCs w:val="24"/>
          <w:lang w:eastAsia="en-GB"/>
        </w:rPr>
        <w:t xml:space="preserve">, </w:t>
      </w:r>
      <w:r w:rsidRPr="00D27F9E">
        <w:rPr>
          <w:rFonts w:ascii="Times New Roman" w:eastAsia="Times New Roman" w:hAnsi="Times New Roman" w:cs="Times New Roman"/>
          <w:sz w:val="24"/>
          <w:szCs w:val="24"/>
          <w:lang w:eastAsia="en-GB"/>
        </w:rPr>
        <w:lastRenderedPageBreak/>
        <w:t xml:space="preserve">and even </w:t>
      </w:r>
      <w:r w:rsidRPr="00D27F9E">
        <w:rPr>
          <w:rFonts w:ascii="Times New Roman" w:eastAsia="Times New Roman" w:hAnsi="Times New Roman" w:cs="Times New Roman"/>
          <w:bCs/>
          <w:sz w:val="24"/>
          <w:szCs w:val="24"/>
          <w:lang w:eastAsia="en-GB"/>
        </w:rPr>
        <w:t>β-cell function</w:t>
      </w:r>
      <w:r w:rsidRPr="00D27F9E">
        <w:rPr>
          <w:rFonts w:ascii="Times New Roman" w:eastAsia="Times New Roman" w:hAnsi="Times New Roman" w:cs="Times New Roman"/>
          <w:sz w:val="24"/>
          <w:szCs w:val="24"/>
          <w:lang w:eastAsia="en-GB"/>
        </w:rPr>
        <w:t>. For ins</w:t>
      </w:r>
      <w:r w:rsidRPr="006D0D65">
        <w:rPr>
          <w:rFonts w:ascii="Times New Roman" w:eastAsia="Times New Roman" w:hAnsi="Times New Roman" w:cs="Times New Roman"/>
          <w:sz w:val="24"/>
          <w:szCs w:val="24"/>
          <w:highlight w:val="yellow"/>
          <w:lang w:eastAsia="en-GB"/>
        </w:rPr>
        <w:t xml:space="preserve">tance, </w:t>
      </w:r>
      <w:r w:rsidR="006D0D65" w:rsidRPr="006D0D65">
        <w:rPr>
          <w:rFonts w:ascii="Arial" w:hAnsi="Arial" w:cs="Arial"/>
          <w:color w:val="222222"/>
          <w:sz w:val="20"/>
          <w:szCs w:val="20"/>
          <w:highlight w:val="yellow"/>
          <w:shd w:val="clear" w:color="auto" w:fill="FFFFFF"/>
        </w:rPr>
        <w:t xml:space="preserve">McMacken &amp; Shah, (2017), </w:t>
      </w:r>
      <w:r w:rsidRPr="006D0D65">
        <w:rPr>
          <w:rFonts w:ascii="Times New Roman" w:eastAsia="Times New Roman" w:hAnsi="Times New Roman" w:cs="Times New Roman"/>
          <w:sz w:val="24"/>
          <w:szCs w:val="24"/>
          <w:highlight w:val="yellow"/>
          <w:lang w:eastAsia="en-GB"/>
        </w:rPr>
        <w:t>in</w:t>
      </w:r>
      <w:r w:rsidRPr="00D27F9E">
        <w:rPr>
          <w:rFonts w:ascii="Times New Roman" w:eastAsia="Times New Roman" w:hAnsi="Times New Roman" w:cs="Times New Roman"/>
          <w:sz w:val="24"/>
          <w:szCs w:val="24"/>
          <w:lang w:eastAsia="en-GB"/>
        </w:rPr>
        <w:t xml:space="preserve"> their systematic review and meta-analysis, concluded that vegetarian and vegan diets led to meaningful improvements in </w:t>
      </w:r>
      <w:r w:rsidR="00DC3582" w:rsidRPr="00D27F9E">
        <w:rPr>
          <w:rFonts w:ascii="Times New Roman" w:eastAsia="Times New Roman" w:hAnsi="Times New Roman" w:cs="Times New Roman"/>
          <w:sz w:val="24"/>
          <w:szCs w:val="24"/>
          <w:lang w:eastAsia="en-GB"/>
        </w:rPr>
        <w:t>glycaemic</w:t>
      </w:r>
      <w:r w:rsidRPr="00D27F9E">
        <w:rPr>
          <w:rFonts w:ascii="Times New Roman" w:eastAsia="Times New Roman" w:hAnsi="Times New Roman" w:cs="Times New Roman"/>
          <w:sz w:val="24"/>
          <w:szCs w:val="24"/>
          <w:lang w:eastAsia="en-GB"/>
        </w:rPr>
        <w:t xml:space="preserve"> control and psychological well-being among patients with T2D. These results were echoed in a recent randomized controlled trial by </w:t>
      </w:r>
      <w:r w:rsidR="003271C5">
        <w:rPr>
          <w:rFonts w:ascii="Arial" w:hAnsi="Arial" w:cs="Arial"/>
          <w:color w:val="222222"/>
          <w:sz w:val="20"/>
          <w:szCs w:val="20"/>
          <w:shd w:val="clear" w:color="auto" w:fill="FFFFFF"/>
        </w:rPr>
        <w:t xml:space="preserve">Rahman </w:t>
      </w:r>
      <w:r w:rsidRPr="00D27F9E">
        <w:rPr>
          <w:rFonts w:ascii="Times New Roman" w:eastAsia="Times New Roman" w:hAnsi="Times New Roman" w:cs="Times New Roman"/>
          <w:sz w:val="24"/>
          <w:szCs w:val="24"/>
          <w:lang w:eastAsia="en-GB"/>
        </w:rPr>
        <w:t>et al. (</w:t>
      </w:r>
      <w:r w:rsidR="003271C5">
        <w:rPr>
          <w:rFonts w:ascii="Times New Roman" w:eastAsia="Times New Roman" w:hAnsi="Times New Roman" w:cs="Times New Roman"/>
          <w:sz w:val="24"/>
          <w:szCs w:val="24"/>
          <w:lang w:eastAsia="en-GB"/>
        </w:rPr>
        <w:t>2025</w:t>
      </w:r>
      <w:r w:rsidRPr="00D27F9E">
        <w:rPr>
          <w:rFonts w:ascii="Times New Roman" w:eastAsia="Times New Roman" w:hAnsi="Times New Roman" w:cs="Times New Roman"/>
          <w:sz w:val="24"/>
          <w:szCs w:val="24"/>
          <w:lang w:eastAsia="en-GB"/>
        </w:rPr>
        <w:t xml:space="preserve">), which found that plant-based dietary interventions not only reduced HbA1c and fasting blood glucose but also improved lipid profiles and inflammatory biomarkers. Similarly, McMacken and Shah (2017) provided a comprehensive clinical review supporting the role of PBDs in reversing insulin </w:t>
      </w:r>
      <w:r w:rsidRPr="004C4157">
        <w:rPr>
          <w:rFonts w:ascii="Times New Roman" w:eastAsia="Times New Roman" w:hAnsi="Times New Roman" w:cs="Times New Roman"/>
          <w:sz w:val="24"/>
          <w:szCs w:val="24"/>
          <w:highlight w:val="yellow"/>
          <w:lang w:eastAsia="en-GB"/>
        </w:rPr>
        <w:t>resistance and reducing the need for diabetes medications.</w:t>
      </w:r>
    </w:p>
    <w:p w14:paraId="4AE6B7E9" w14:textId="602F878E" w:rsidR="00987363" w:rsidRPr="00D27F9E" w:rsidRDefault="00987363" w:rsidP="00987363">
      <w:pPr>
        <w:spacing w:before="100" w:beforeAutospacing="1" w:after="100" w:afterAutospacing="1" w:line="360" w:lineRule="auto"/>
        <w:jc w:val="both"/>
        <w:rPr>
          <w:rFonts w:ascii="Times New Roman" w:eastAsia="Times New Roman" w:hAnsi="Times New Roman" w:cs="Times New Roman"/>
          <w:sz w:val="24"/>
          <w:szCs w:val="24"/>
          <w:lang w:eastAsia="en-GB"/>
        </w:rPr>
      </w:pPr>
      <w:r w:rsidRPr="004C4157">
        <w:rPr>
          <w:rFonts w:ascii="Times New Roman" w:eastAsia="Times New Roman" w:hAnsi="Times New Roman" w:cs="Times New Roman"/>
          <w:sz w:val="24"/>
          <w:szCs w:val="24"/>
          <w:highlight w:val="yellow"/>
          <w:lang w:eastAsia="en-GB"/>
        </w:rPr>
        <w:t xml:space="preserve">Role of flavonoids is reported on modulating gut hormones in glucose homeostasis (Wen and Li..2025). The hormonal actions are now being viewed as possible platform for therapeutic development in T2DM management (Sreenivas, 2025). Incretin-based therapy has clearly emerged as one of the most sought out strategy in managing type 2 DM (Tina et al., 2024). </w:t>
      </w:r>
      <w:proofErr w:type="gramStart"/>
      <w:r w:rsidRPr="004C4157">
        <w:rPr>
          <w:rFonts w:ascii="Times New Roman" w:eastAsia="Times New Roman" w:hAnsi="Times New Roman" w:cs="Times New Roman"/>
          <w:sz w:val="24"/>
          <w:szCs w:val="24"/>
          <w:highlight w:val="yellow"/>
          <w:lang w:eastAsia="en-GB"/>
        </w:rPr>
        <w:t>Similarly</w:t>
      </w:r>
      <w:proofErr w:type="gramEnd"/>
      <w:r w:rsidRPr="004C4157">
        <w:rPr>
          <w:rFonts w:ascii="Times New Roman" w:eastAsia="Times New Roman" w:hAnsi="Times New Roman" w:cs="Times New Roman"/>
          <w:sz w:val="24"/>
          <w:szCs w:val="24"/>
          <w:highlight w:val="yellow"/>
          <w:lang w:eastAsia="en-GB"/>
        </w:rPr>
        <w:t xml:space="preserve"> antidiabetic role of vitamins C, D, and E is well documented. Plant foods are important as a source of these vitamins in glucose metabolism (</w:t>
      </w:r>
      <w:proofErr w:type="spellStart"/>
      <w:r w:rsidRPr="004C4157">
        <w:rPr>
          <w:rFonts w:ascii="Times New Roman" w:eastAsia="Times New Roman" w:hAnsi="Times New Roman" w:cs="Times New Roman"/>
          <w:sz w:val="24"/>
          <w:szCs w:val="24"/>
          <w:highlight w:val="yellow"/>
          <w:lang w:eastAsia="en-GB"/>
        </w:rPr>
        <w:t>Yedjou</w:t>
      </w:r>
      <w:proofErr w:type="spellEnd"/>
      <w:r w:rsidRPr="004C4157">
        <w:rPr>
          <w:rFonts w:ascii="Times New Roman" w:eastAsia="Times New Roman" w:hAnsi="Times New Roman" w:cs="Times New Roman"/>
          <w:sz w:val="24"/>
          <w:szCs w:val="24"/>
          <w:highlight w:val="yellow"/>
          <w:lang w:eastAsia="en-GB"/>
        </w:rPr>
        <w:t xml:space="preserve"> et al., 2023)</w:t>
      </w:r>
    </w:p>
    <w:p w14:paraId="65F577DA" w14:textId="60936B5C" w:rsidR="00D27F9E" w:rsidRPr="00D27F9E" w:rsidRDefault="00D27F9E"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27F9E">
        <w:rPr>
          <w:rFonts w:ascii="Times New Roman" w:eastAsia="Times New Roman" w:hAnsi="Times New Roman" w:cs="Times New Roman"/>
          <w:sz w:val="24"/>
          <w:szCs w:val="24"/>
          <w:lang w:eastAsia="en-GB"/>
        </w:rPr>
        <w:t xml:space="preserve">Mechanistically, the benefits of PBDs are attributed to several interrelated factors. Diets rich in plant </w:t>
      </w:r>
      <w:r w:rsidR="00DC3582" w:rsidRPr="00D27F9E">
        <w:rPr>
          <w:rFonts w:ascii="Times New Roman" w:eastAsia="Times New Roman" w:hAnsi="Times New Roman" w:cs="Times New Roman"/>
          <w:sz w:val="24"/>
          <w:szCs w:val="24"/>
          <w:lang w:eastAsia="en-GB"/>
        </w:rPr>
        <w:t>fibre</w:t>
      </w:r>
      <w:r w:rsidRPr="00D27F9E">
        <w:rPr>
          <w:rFonts w:ascii="Times New Roman" w:eastAsia="Times New Roman" w:hAnsi="Times New Roman" w:cs="Times New Roman"/>
          <w:sz w:val="24"/>
          <w:szCs w:val="24"/>
          <w:lang w:eastAsia="en-GB"/>
        </w:rPr>
        <w:t xml:space="preserve"> improve insulin sensitivity and promote satiety, leading to weight loss, which itself reduces insulin resistance. Antioxidants and phytonutrients reduce oxidative stress and inflammation—key contributors to T2D pathogenesis (McMacken &amp; Shah, 2017). The low </w:t>
      </w:r>
      <w:proofErr w:type="spellStart"/>
      <w:r w:rsidRPr="00D27F9E">
        <w:rPr>
          <w:rFonts w:ascii="Times New Roman" w:eastAsia="Times New Roman" w:hAnsi="Times New Roman" w:cs="Times New Roman"/>
          <w:sz w:val="24"/>
          <w:szCs w:val="24"/>
          <w:lang w:eastAsia="en-GB"/>
        </w:rPr>
        <w:t>glycemic</w:t>
      </w:r>
      <w:proofErr w:type="spellEnd"/>
      <w:r w:rsidRPr="00D27F9E">
        <w:rPr>
          <w:rFonts w:ascii="Times New Roman" w:eastAsia="Times New Roman" w:hAnsi="Times New Roman" w:cs="Times New Roman"/>
          <w:sz w:val="24"/>
          <w:szCs w:val="24"/>
          <w:lang w:eastAsia="en-GB"/>
        </w:rPr>
        <w:t xml:space="preserve"> index of many plant foods leads to more stable postprandial glucose levels (</w:t>
      </w:r>
      <w:r w:rsidR="003271C5">
        <w:rPr>
          <w:rFonts w:ascii="Arial" w:hAnsi="Arial" w:cs="Arial"/>
          <w:color w:val="222222"/>
          <w:sz w:val="20"/>
          <w:szCs w:val="20"/>
          <w:shd w:val="clear" w:color="auto" w:fill="FFFFFF"/>
        </w:rPr>
        <w:t xml:space="preserve">Rahman </w:t>
      </w:r>
      <w:r w:rsidRPr="00D27F9E">
        <w:rPr>
          <w:rFonts w:ascii="Times New Roman" w:eastAsia="Times New Roman" w:hAnsi="Times New Roman" w:cs="Times New Roman"/>
          <w:sz w:val="24"/>
          <w:szCs w:val="24"/>
          <w:lang w:eastAsia="en-GB"/>
        </w:rPr>
        <w:t xml:space="preserve">et al., </w:t>
      </w:r>
      <w:r w:rsidR="003271C5">
        <w:rPr>
          <w:rFonts w:ascii="Times New Roman" w:eastAsia="Times New Roman" w:hAnsi="Times New Roman" w:cs="Times New Roman"/>
          <w:sz w:val="24"/>
          <w:szCs w:val="24"/>
          <w:lang w:eastAsia="en-GB"/>
        </w:rPr>
        <w:t>2025</w:t>
      </w:r>
      <w:r w:rsidRPr="00D27F9E">
        <w:rPr>
          <w:rFonts w:ascii="Times New Roman" w:eastAsia="Times New Roman" w:hAnsi="Times New Roman" w:cs="Times New Roman"/>
          <w:sz w:val="24"/>
          <w:szCs w:val="24"/>
          <w:lang w:eastAsia="en-GB"/>
        </w:rPr>
        <w:t xml:space="preserve">). Moreover, </w:t>
      </w:r>
      <w:r w:rsidR="00C36302" w:rsidRPr="00C36302">
        <w:rPr>
          <w:rFonts w:ascii="Arial" w:hAnsi="Arial" w:cs="Arial"/>
          <w:color w:val="222222"/>
          <w:sz w:val="20"/>
          <w:szCs w:val="20"/>
          <w:highlight w:val="yellow"/>
          <w:shd w:val="clear" w:color="auto" w:fill="FFFFFF"/>
        </w:rPr>
        <w:t xml:space="preserve">Szabo </w:t>
      </w:r>
      <w:r w:rsidRPr="00C36302">
        <w:rPr>
          <w:rFonts w:ascii="Times New Roman" w:eastAsia="Times New Roman" w:hAnsi="Times New Roman" w:cs="Times New Roman"/>
          <w:sz w:val="24"/>
          <w:szCs w:val="24"/>
          <w:highlight w:val="yellow"/>
          <w:lang w:eastAsia="en-GB"/>
        </w:rPr>
        <w:t>et al. (</w:t>
      </w:r>
      <w:r w:rsidR="00C36302" w:rsidRPr="00C36302">
        <w:rPr>
          <w:rFonts w:ascii="Times New Roman" w:eastAsia="Times New Roman" w:hAnsi="Times New Roman" w:cs="Times New Roman"/>
          <w:sz w:val="24"/>
          <w:szCs w:val="24"/>
          <w:highlight w:val="yellow"/>
          <w:lang w:eastAsia="en-GB"/>
        </w:rPr>
        <w:t>2021</w:t>
      </w:r>
      <w:r w:rsidRPr="00C36302">
        <w:rPr>
          <w:rFonts w:ascii="Times New Roman" w:eastAsia="Times New Roman" w:hAnsi="Times New Roman" w:cs="Times New Roman"/>
          <w:sz w:val="24"/>
          <w:szCs w:val="24"/>
          <w:highlight w:val="yellow"/>
          <w:lang w:eastAsia="en-GB"/>
        </w:rPr>
        <w:t>)</w:t>
      </w:r>
      <w:r w:rsidRPr="00D27F9E">
        <w:rPr>
          <w:rFonts w:ascii="Times New Roman" w:eastAsia="Times New Roman" w:hAnsi="Times New Roman" w:cs="Times New Roman"/>
          <w:sz w:val="24"/>
          <w:szCs w:val="24"/>
          <w:lang w:eastAsia="en-GB"/>
        </w:rPr>
        <w:t xml:space="preserve"> highlight additional mechanisms, including improved liver and kidney function, as mediators of PBDs’ metabolic benefits.</w:t>
      </w:r>
    </w:p>
    <w:p w14:paraId="1503E14E" w14:textId="0C1C0B0A" w:rsidR="00D27F9E" w:rsidRPr="00D27F9E" w:rsidRDefault="00D27F9E"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27F9E">
        <w:rPr>
          <w:rFonts w:ascii="Times New Roman" w:eastAsia="Times New Roman" w:hAnsi="Times New Roman" w:cs="Times New Roman"/>
          <w:sz w:val="24"/>
          <w:szCs w:val="24"/>
          <w:lang w:eastAsia="en-GB"/>
        </w:rPr>
        <w:t xml:space="preserve">Beyond physiological effects, PBDs have been shown to improve </w:t>
      </w:r>
      <w:r w:rsidRPr="00D27F9E">
        <w:rPr>
          <w:rFonts w:ascii="Times New Roman" w:eastAsia="Times New Roman" w:hAnsi="Times New Roman" w:cs="Times New Roman"/>
          <w:bCs/>
          <w:sz w:val="24"/>
          <w:szCs w:val="24"/>
          <w:lang w:eastAsia="en-GB"/>
        </w:rPr>
        <w:t>psychosocial outcomes</w:t>
      </w:r>
      <w:r w:rsidRPr="00D27F9E">
        <w:rPr>
          <w:rFonts w:ascii="Times New Roman" w:eastAsia="Times New Roman" w:hAnsi="Times New Roman" w:cs="Times New Roman"/>
          <w:sz w:val="24"/>
          <w:szCs w:val="24"/>
          <w:lang w:eastAsia="en-GB"/>
        </w:rPr>
        <w:t xml:space="preserve"> in people with diabetes. </w:t>
      </w:r>
      <w:r w:rsidR="006D0D65" w:rsidRPr="006D0D65">
        <w:rPr>
          <w:rFonts w:ascii="Arial" w:hAnsi="Arial" w:cs="Arial"/>
          <w:color w:val="222222"/>
          <w:sz w:val="20"/>
          <w:szCs w:val="20"/>
          <w:highlight w:val="yellow"/>
          <w:shd w:val="clear" w:color="auto" w:fill="FFFFFF"/>
        </w:rPr>
        <w:t xml:space="preserve">McMacken &amp; Shah, (2017) </w:t>
      </w:r>
      <w:r w:rsidRPr="00D27F9E">
        <w:rPr>
          <w:rFonts w:ascii="Times New Roman" w:eastAsia="Times New Roman" w:hAnsi="Times New Roman" w:cs="Times New Roman"/>
          <w:sz w:val="24"/>
          <w:szCs w:val="24"/>
          <w:lang w:eastAsia="en-GB"/>
        </w:rPr>
        <w:t xml:space="preserve">reported improvements in depression scores and quality of life in patients following plant-based regimens. These findings are critical, as psychological distress can undermine diabetes self-management and </w:t>
      </w:r>
      <w:r w:rsidR="00DC3582" w:rsidRPr="00D27F9E">
        <w:rPr>
          <w:rFonts w:ascii="Times New Roman" w:eastAsia="Times New Roman" w:hAnsi="Times New Roman" w:cs="Times New Roman"/>
          <w:sz w:val="24"/>
          <w:szCs w:val="24"/>
          <w:lang w:eastAsia="en-GB"/>
        </w:rPr>
        <w:t>glycaemic</w:t>
      </w:r>
      <w:r w:rsidRPr="00D27F9E">
        <w:rPr>
          <w:rFonts w:ascii="Times New Roman" w:eastAsia="Times New Roman" w:hAnsi="Times New Roman" w:cs="Times New Roman"/>
          <w:sz w:val="24"/>
          <w:szCs w:val="24"/>
          <w:lang w:eastAsia="en-GB"/>
        </w:rPr>
        <w:t xml:space="preserve"> outcomes. </w:t>
      </w:r>
      <w:r w:rsidR="00367217" w:rsidRPr="00520139">
        <w:rPr>
          <w:rFonts w:ascii="Times New Roman" w:eastAsia="Times New Roman" w:hAnsi="Times New Roman" w:cs="Times New Roman"/>
          <w:sz w:val="24"/>
          <w:szCs w:val="24"/>
          <w:highlight w:val="yellow"/>
          <w:lang w:eastAsia="en-GB"/>
        </w:rPr>
        <w:t>Diabetes self-management plays a crucial role in diabetes control.</w:t>
      </w:r>
      <w:r w:rsidR="00520139" w:rsidRPr="00520139">
        <w:rPr>
          <w:rFonts w:ascii="Times New Roman" w:eastAsia="Times New Roman" w:hAnsi="Times New Roman" w:cs="Times New Roman"/>
          <w:sz w:val="24"/>
          <w:szCs w:val="24"/>
          <w:highlight w:val="yellow"/>
          <w:lang w:eastAsia="en-GB"/>
        </w:rPr>
        <w:t xml:space="preserve"> Self-Management </w:t>
      </w:r>
      <w:proofErr w:type="spellStart"/>
      <w:r w:rsidR="00520139" w:rsidRPr="00520139">
        <w:rPr>
          <w:rFonts w:ascii="Times New Roman" w:eastAsia="Times New Roman" w:hAnsi="Times New Roman" w:cs="Times New Roman"/>
          <w:sz w:val="24"/>
          <w:szCs w:val="24"/>
          <w:highlight w:val="yellow"/>
          <w:lang w:eastAsia="en-GB"/>
        </w:rPr>
        <w:t>behaviors</w:t>
      </w:r>
      <w:proofErr w:type="spellEnd"/>
      <w:r w:rsidR="00520139" w:rsidRPr="00520139">
        <w:rPr>
          <w:rFonts w:ascii="Times New Roman" w:eastAsia="Times New Roman" w:hAnsi="Times New Roman" w:cs="Times New Roman"/>
          <w:sz w:val="24"/>
          <w:szCs w:val="24"/>
          <w:highlight w:val="yellow"/>
          <w:lang w:eastAsia="en-GB"/>
        </w:rPr>
        <w:t xml:space="preserve"> were suboptimal among the diabetes patients</w:t>
      </w:r>
      <w:r w:rsidR="005B4CF5">
        <w:rPr>
          <w:rFonts w:ascii="Times New Roman" w:eastAsia="Times New Roman" w:hAnsi="Times New Roman" w:cs="Times New Roman"/>
          <w:sz w:val="24"/>
          <w:szCs w:val="24"/>
          <w:highlight w:val="yellow"/>
          <w:lang w:eastAsia="en-GB"/>
        </w:rPr>
        <w:t xml:space="preserve"> </w:t>
      </w:r>
      <w:r w:rsidR="005B4CF5" w:rsidRPr="005B4CF5">
        <w:rPr>
          <w:rFonts w:ascii="Times New Roman" w:eastAsia="Times New Roman" w:hAnsi="Times New Roman" w:cs="Times New Roman"/>
          <w:sz w:val="24"/>
          <w:szCs w:val="24"/>
          <w:highlight w:val="yellow"/>
          <w:lang w:eastAsia="en-GB"/>
        </w:rPr>
        <w:t>(</w:t>
      </w:r>
      <w:proofErr w:type="spellStart"/>
      <w:r w:rsidR="005B4CF5" w:rsidRPr="005B4CF5">
        <w:rPr>
          <w:rFonts w:ascii="Times New Roman" w:eastAsia="Times New Roman" w:hAnsi="Times New Roman" w:cs="Times New Roman"/>
          <w:sz w:val="24"/>
          <w:szCs w:val="24"/>
          <w:highlight w:val="yellow"/>
          <w:lang w:eastAsia="en-GB"/>
        </w:rPr>
        <w:t>Khalooei</w:t>
      </w:r>
      <w:proofErr w:type="spellEnd"/>
      <w:r w:rsidR="005B4CF5" w:rsidRPr="005B4CF5">
        <w:rPr>
          <w:rFonts w:ascii="Times New Roman" w:eastAsia="Times New Roman" w:hAnsi="Times New Roman" w:cs="Times New Roman"/>
          <w:sz w:val="24"/>
          <w:szCs w:val="24"/>
          <w:highlight w:val="yellow"/>
          <w:lang w:eastAsia="en-GB"/>
        </w:rPr>
        <w:t xml:space="preserve"> &amp; </w:t>
      </w:r>
      <w:proofErr w:type="spellStart"/>
      <w:r w:rsidR="005B4CF5" w:rsidRPr="005B4CF5">
        <w:rPr>
          <w:rFonts w:ascii="Times New Roman" w:eastAsia="Times New Roman" w:hAnsi="Times New Roman" w:cs="Times New Roman"/>
          <w:sz w:val="24"/>
          <w:szCs w:val="24"/>
          <w:highlight w:val="yellow"/>
          <w:lang w:eastAsia="en-GB"/>
        </w:rPr>
        <w:t>Benrazavy</w:t>
      </w:r>
      <w:proofErr w:type="spellEnd"/>
      <w:r w:rsidR="005B4CF5" w:rsidRPr="005B4CF5">
        <w:rPr>
          <w:rFonts w:ascii="Times New Roman" w:eastAsia="Times New Roman" w:hAnsi="Times New Roman" w:cs="Times New Roman"/>
          <w:sz w:val="24"/>
          <w:szCs w:val="24"/>
          <w:highlight w:val="yellow"/>
          <w:lang w:eastAsia="en-GB"/>
        </w:rPr>
        <w:t>, (2019)</w:t>
      </w:r>
      <w:r w:rsidR="00520139" w:rsidRPr="00520139">
        <w:rPr>
          <w:rFonts w:ascii="Times New Roman" w:eastAsia="Times New Roman" w:hAnsi="Times New Roman" w:cs="Times New Roman"/>
          <w:sz w:val="24"/>
          <w:szCs w:val="24"/>
          <w:highlight w:val="yellow"/>
          <w:lang w:eastAsia="en-GB"/>
        </w:rPr>
        <w:t>.</w:t>
      </w:r>
      <w:r w:rsidR="00520139" w:rsidRPr="005B4CF5">
        <w:rPr>
          <w:rFonts w:ascii="Times New Roman" w:eastAsia="Times New Roman" w:hAnsi="Times New Roman" w:cs="Times New Roman"/>
          <w:sz w:val="24"/>
          <w:szCs w:val="24"/>
          <w:highlight w:val="yellow"/>
          <w:lang w:eastAsia="en-GB"/>
        </w:rPr>
        <w:t> </w:t>
      </w:r>
      <w:r w:rsidR="00367217" w:rsidRPr="005B4CF5">
        <w:rPr>
          <w:rFonts w:ascii="Times New Roman" w:eastAsia="Times New Roman" w:hAnsi="Times New Roman" w:cs="Times New Roman"/>
          <w:sz w:val="24"/>
          <w:szCs w:val="24"/>
          <w:highlight w:val="yellow"/>
          <w:lang w:eastAsia="en-GB"/>
        </w:rPr>
        <w:t xml:space="preserve"> </w:t>
      </w:r>
      <w:r w:rsidR="003271C5">
        <w:rPr>
          <w:rFonts w:ascii="Arial" w:hAnsi="Arial" w:cs="Arial"/>
          <w:color w:val="222222"/>
          <w:sz w:val="20"/>
          <w:szCs w:val="20"/>
          <w:shd w:val="clear" w:color="auto" w:fill="FFFFFF"/>
        </w:rPr>
        <w:t xml:space="preserve">Rahman </w:t>
      </w:r>
      <w:r w:rsidRPr="00D27F9E">
        <w:rPr>
          <w:rFonts w:ascii="Times New Roman" w:eastAsia="Times New Roman" w:hAnsi="Times New Roman" w:cs="Times New Roman"/>
          <w:sz w:val="24"/>
          <w:szCs w:val="24"/>
          <w:lang w:eastAsia="en-GB"/>
        </w:rPr>
        <w:t>et al. (</w:t>
      </w:r>
      <w:r w:rsidR="003271C5">
        <w:rPr>
          <w:rFonts w:ascii="Times New Roman" w:eastAsia="Times New Roman" w:hAnsi="Times New Roman" w:cs="Times New Roman"/>
          <w:sz w:val="24"/>
          <w:szCs w:val="24"/>
          <w:lang w:eastAsia="en-GB"/>
        </w:rPr>
        <w:t>2025</w:t>
      </w:r>
      <w:r w:rsidRPr="00D27F9E">
        <w:rPr>
          <w:rFonts w:ascii="Times New Roman" w:eastAsia="Times New Roman" w:hAnsi="Times New Roman" w:cs="Times New Roman"/>
          <w:sz w:val="24"/>
          <w:szCs w:val="24"/>
          <w:lang w:eastAsia="en-GB"/>
        </w:rPr>
        <w:t>) similarly reported enhanced patient-reported outcomes, underscoring the holistic benefits of PBDs.</w:t>
      </w:r>
      <w:r w:rsidR="00367217">
        <w:rPr>
          <w:rFonts w:ascii="Times New Roman" w:eastAsia="Times New Roman" w:hAnsi="Times New Roman" w:cs="Times New Roman"/>
          <w:sz w:val="24"/>
          <w:szCs w:val="24"/>
          <w:lang w:eastAsia="en-GB"/>
        </w:rPr>
        <w:t xml:space="preserve"> </w:t>
      </w:r>
    </w:p>
    <w:p w14:paraId="50E73185" w14:textId="2F188A7C" w:rsidR="00D27F9E" w:rsidRPr="00D27F9E" w:rsidRDefault="00D27F9E"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27F9E">
        <w:rPr>
          <w:rFonts w:ascii="Times New Roman" w:eastAsia="Times New Roman" w:hAnsi="Times New Roman" w:cs="Times New Roman"/>
          <w:sz w:val="24"/>
          <w:szCs w:val="24"/>
          <w:lang w:eastAsia="en-GB"/>
        </w:rPr>
        <w:t xml:space="preserve">Despite the encouraging findings, several limitations must be acknowledged. As </w:t>
      </w:r>
      <w:r w:rsidR="00EB4A20">
        <w:rPr>
          <w:rFonts w:ascii="Arial" w:hAnsi="Arial" w:cs="Arial"/>
          <w:color w:val="222222"/>
          <w:sz w:val="20"/>
          <w:szCs w:val="20"/>
          <w:shd w:val="clear" w:color="auto" w:fill="FFFFFF"/>
        </w:rPr>
        <w:t xml:space="preserve">Brown </w:t>
      </w:r>
      <w:r w:rsidRPr="00D27F9E">
        <w:rPr>
          <w:rFonts w:ascii="Times New Roman" w:eastAsia="Times New Roman" w:hAnsi="Times New Roman" w:cs="Times New Roman"/>
          <w:sz w:val="24"/>
          <w:szCs w:val="24"/>
          <w:lang w:eastAsia="en-GB"/>
        </w:rPr>
        <w:t>et al. (</w:t>
      </w:r>
      <w:r w:rsidR="00EB4A20">
        <w:rPr>
          <w:rFonts w:ascii="Times New Roman" w:eastAsia="Times New Roman" w:hAnsi="Times New Roman" w:cs="Times New Roman"/>
          <w:sz w:val="24"/>
          <w:szCs w:val="24"/>
          <w:lang w:eastAsia="en-GB"/>
        </w:rPr>
        <w:t>2022</w:t>
      </w:r>
      <w:r w:rsidRPr="00D27F9E">
        <w:rPr>
          <w:rFonts w:ascii="Times New Roman" w:eastAsia="Times New Roman" w:hAnsi="Times New Roman" w:cs="Times New Roman"/>
          <w:sz w:val="24"/>
          <w:szCs w:val="24"/>
          <w:lang w:eastAsia="en-GB"/>
        </w:rPr>
        <w:t xml:space="preserve">) and McMacken and Shah (2017) note, the </w:t>
      </w:r>
      <w:r w:rsidRPr="00D27F9E">
        <w:rPr>
          <w:rFonts w:ascii="Times New Roman" w:eastAsia="Times New Roman" w:hAnsi="Times New Roman" w:cs="Times New Roman"/>
          <w:bCs/>
          <w:sz w:val="24"/>
          <w:szCs w:val="24"/>
          <w:lang w:eastAsia="en-GB"/>
        </w:rPr>
        <w:t>implementation of PBDs in clinical practice</w:t>
      </w:r>
      <w:r w:rsidRPr="00D27F9E">
        <w:rPr>
          <w:rFonts w:ascii="Times New Roman" w:eastAsia="Times New Roman" w:hAnsi="Times New Roman" w:cs="Times New Roman"/>
          <w:sz w:val="24"/>
          <w:szCs w:val="24"/>
          <w:lang w:eastAsia="en-GB"/>
        </w:rPr>
        <w:t xml:space="preserve"> </w:t>
      </w:r>
      <w:r w:rsidRPr="00D27F9E">
        <w:rPr>
          <w:rFonts w:ascii="Times New Roman" w:eastAsia="Times New Roman" w:hAnsi="Times New Roman" w:cs="Times New Roman"/>
          <w:sz w:val="24"/>
          <w:szCs w:val="24"/>
          <w:lang w:eastAsia="en-GB"/>
        </w:rPr>
        <w:lastRenderedPageBreak/>
        <w:t xml:space="preserve">can be challenging. Patients may face barriers such as limited nutritional literacy, cultural preferences, food availability, and the need for supplementation (e.g., vitamin B12). Furthermore, observational studies, while informative, are susceptible to </w:t>
      </w:r>
      <w:r w:rsidRPr="00D27F9E">
        <w:rPr>
          <w:rFonts w:ascii="Times New Roman" w:eastAsia="Times New Roman" w:hAnsi="Times New Roman" w:cs="Times New Roman"/>
          <w:bCs/>
          <w:sz w:val="24"/>
          <w:szCs w:val="24"/>
          <w:lang w:eastAsia="en-GB"/>
        </w:rPr>
        <w:t>residual confounding</w:t>
      </w:r>
      <w:r w:rsidRPr="00D27F9E">
        <w:rPr>
          <w:rFonts w:ascii="Times New Roman" w:eastAsia="Times New Roman" w:hAnsi="Times New Roman" w:cs="Times New Roman"/>
          <w:sz w:val="24"/>
          <w:szCs w:val="24"/>
          <w:lang w:eastAsia="en-GB"/>
        </w:rPr>
        <w:t xml:space="preserve">, particularly around lifestyle </w:t>
      </w:r>
      <w:r w:rsidR="00DC3582" w:rsidRPr="00D27F9E">
        <w:rPr>
          <w:rFonts w:ascii="Times New Roman" w:eastAsia="Times New Roman" w:hAnsi="Times New Roman" w:cs="Times New Roman"/>
          <w:sz w:val="24"/>
          <w:szCs w:val="24"/>
          <w:lang w:eastAsia="en-GB"/>
        </w:rPr>
        <w:t>behaviours</w:t>
      </w:r>
      <w:r w:rsidRPr="00D27F9E">
        <w:rPr>
          <w:rFonts w:ascii="Times New Roman" w:eastAsia="Times New Roman" w:hAnsi="Times New Roman" w:cs="Times New Roman"/>
          <w:sz w:val="24"/>
          <w:szCs w:val="24"/>
          <w:lang w:eastAsia="en-GB"/>
        </w:rPr>
        <w:t xml:space="preserve"> such as physical activity and socioeconomic status (</w:t>
      </w:r>
      <w:r w:rsidR="008A31CF">
        <w:rPr>
          <w:rFonts w:ascii="Arial" w:hAnsi="Arial" w:cs="Arial"/>
          <w:color w:val="222222"/>
          <w:sz w:val="20"/>
          <w:szCs w:val="20"/>
          <w:shd w:val="clear" w:color="auto" w:fill="FFFFFF"/>
        </w:rPr>
        <w:t xml:space="preserve">Qian </w:t>
      </w:r>
      <w:r w:rsidRPr="00D27F9E">
        <w:rPr>
          <w:rFonts w:ascii="Times New Roman" w:eastAsia="Times New Roman" w:hAnsi="Times New Roman" w:cs="Times New Roman"/>
          <w:sz w:val="24"/>
          <w:szCs w:val="24"/>
          <w:lang w:eastAsia="en-GB"/>
        </w:rPr>
        <w:t xml:space="preserve">et al., </w:t>
      </w:r>
      <w:r w:rsidR="008A31CF">
        <w:rPr>
          <w:rFonts w:ascii="Times New Roman" w:eastAsia="Times New Roman" w:hAnsi="Times New Roman" w:cs="Times New Roman"/>
          <w:sz w:val="24"/>
          <w:szCs w:val="24"/>
          <w:lang w:eastAsia="en-GB"/>
        </w:rPr>
        <w:t>2019</w:t>
      </w:r>
      <w:r w:rsidRPr="00D27F9E">
        <w:rPr>
          <w:rFonts w:ascii="Times New Roman" w:eastAsia="Times New Roman" w:hAnsi="Times New Roman" w:cs="Times New Roman"/>
          <w:sz w:val="24"/>
          <w:szCs w:val="24"/>
          <w:lang w:eastAsia="en-GB"/>
        </w:rPr>
        <w:t>). Even in controlled trials, weight loss often co-occurs with dietary changes, making it difficult to isolate the effects of the diet per se from those of reduced adiposity (</w:t>
      </w:r>
      <w:r w:rsidR="008C05BE">
        <w:rPr>
          <w:rFonts w:ascii="Arial" w:hAnsi="Arial" w:cs="Arial"/>
          <w:color w:val="222222"/>
          <w:sz w:val="20"/>
          <w:szCs w:val="20"/>
          <w:shd w:val="clear" w:color="auto" w:fill="FFFFFF"/>
        </w:rPr>
        <w:t>Salas-Salvadó et al.</w:t>
      </w:r>
      <w:proofErr w:type="gramStart"/>
      <w:r w:rsidR="008C05BE">
        <w:rPr>
          <w:rFonts w:ascii="Arial" w:hAnsi="Arial" w:cs="Arial"/>
          <w:color w:val="222222"/>
          <w:sz w:val="20"/>
          <w:szCs w:val="20"/>
          <w:shd w:val="clear" w:color="auto" w:fill="FFFFFF"/>
        </w:rPr>
        <w:t xml:space="preserve">, </w:t>
      </w:r>
      <w:r w:rsidRPr="00D27F9E">
        <w:rPr>
          <w:rFonts w:ascii="Times New Roman" w:eastAsia="Times New Roman" w:hAnsi="Times New Roman" w:cs="Times New Roman"/>
          <w:sz w:val="24"/>
          <w:szCs w:val="24"/>
          <w:lang w:eastAsia="en-GB"/>
        </w:rPr>
        <w:t xml:space="preserve"> </w:t>
      </w:r>
      <w:r w:rsidR="008C05BE">
        <w:rPr>
          <w:rFonts w:ascii="Times New Roman" w:eastAsia="Times New Roman" w:hAnsi="Times New Roman" w:cs="Times New Roman"/>
          <w:sz w:val="24"/>
          <w:szCs w:val="24"/>
          <w:lang w:eastAsia="en-GB"/>
        </w:rPr>
        <w:t>2011</w:t>
      </w:r>
      <w:proofErr w:type="gramEnd"/>
      <w:r w:rsidRPr="00D27F9E">
        <w:rPr>
          <w:rFonts w:ascii="Times New Roman" w:eastAsia="Times New Roman" w:hAnsi="Times New Roman" w:cs="Times New Roman"/>
          <w:sz w:val="24"/>
          <w:szCs w:val="24"/>
          <w:lang w:eastAsia="en-GB"/>
        </w:rPr>
        <w:t>).</w:t>
      </w:r>
    </w:p>
    <w:p w14:paraId="5063A065" w14:textId="0E70C032" w:rsidR="00D27F9E" w:rsidRPr="00D27F9E" w:rsidRDefault="00D27F9E"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27F9E">
        <w:rPr>
          <w:rFonts w:ascii="Times New Roman" w:eastAsia="Times New Roman" w:hAnsi="Times New Roman" w:cs="Times New Roman"/>
          <w:sz w:val="24"/>
          <w:szCs w:val="24"/>
          <w:lang w:eastAsia="en-GB"/>
        </w:rPr>
        <w:t xml:space="preserve">The </w:t>
      </w:r>
      <w:r w:rsidRPr="00D27F9E">
        <w:rPr>
          <w:rFonts w:ascii="Times New Roman" w:eastAsia="Times New Roman" w:hAnsi="Times New Roman" w:cs="Times New Roman"/>
          <w:bCs/>
          <w:sz w:val="24"/>
          <w:szCs w:val="24"/>
          <w:lang w:eastAsia="en-GB"/>
        </w:rPr>
        <w:t>heterogeneity in defining plant-based diets</w:t>
      </w:r>
      <w:r w:rsidRPr="00D27F9E">
        <w:rPr>
          <w:rFonts w:ascii="Times New Roman" w:eastAsia="Times New Roman" w:hAnsi="Times New Roman" w:cs="Times New Roman"/>
          <w:sz w:val="24"/>
          <w:szCs w:val="24"/>
          <w:lang w:eastAsia="en-GB"/>
        </w:rPr>
        <w:t xml:space="preserve"> further complicates the synthesis of evidence. </w:t>
      </w:r>
      <w:proofErr w:type="spellStart"/>
      <w:r w:rsidR="007D3ECC" w:rsidRPr="007D3ECC">
        <w:rPr>
          <w:rFonts w:ascii="Arial" w:hAnsi="Arial" w:cs="Arial"/>
          <w:color w:val="222222"/>
          <w:sz w:val="20"/>
          <w:szCs w:val="20"/>
          <w:highlight w:val="yellow"/>
          <w:shd w:val="clear" w:color="auto" w:fill="FFFFFF"/>
        </w:rPr>
        <w:t>Toumpanakis</w:t>
      </w:r>
      <w:proofErr w:type="spellEnd"/>
      <w:r w:rsidR="007D3ECC">
        <w:rPr>
          <w:rFonts w:ascii="Arial" w:hAnsi="Arial" w:cs="Arial"/>
          <w:color w:val="222222"/>
          <w:sz w:val="20"/>
          <w:szCs w:val="20"/>
          <w:shd w:val="clear" w:color="auto" w:fill="FFFFFF"/>
        </w:rPr>
        <w:t xml:space="preserve"> </w:t>
      </w:r>
      <w:r w:rsidRPr="00D27F9E">
        <w:rPr>
          <w:rFonts w:ascii="Times New Roman" w:eastAsia="Times New Roman" w:hAnsi="Times New Roman" w:cs="Times New Roman"/>
          <w:sz w:val="24"/>
          <w:szCs w:val="24"/>
          <w:lang w:eastAsia="en-GB"/>
        </w:rPr>
        <w:t>et al. (</w:t>
      </w:r>
      <w:r w:rsidR="007D3ECC">
        <w:rPr>
          <w:rFonts w:ascii="Times New Roman" w:eastAsia="Times New Roman" w:hAnsi="Times New Roman" w:cs="Times New Roman"/>
          <w:sz w:val="24"/>
          <w:szCs w:val="24"/>
          <w:lang w:eastAsia="en-GB"/>
        </w:rPr>
        <w:t>2018</w:t>
      </w:r>
      <w:r w:rsidRPr="00D27F9E">
        <w:rPr>
          <w:rFonts w:ascii="Times New Roman" w:eastAsia="Times New Roman" w:hAnsi="Times New Roman" w:cs="Times New Roman"/>
          <w:sz w:val="24"/>
          <w:szCs w:val="24"/>
          <w:lang w:eastAsia="en-GB"/>
        </w:rPr>
        <w:t xml:space="preserve">) highlight that vegetarian diets range from vegan to semi-vegetarian, and their health impacts may differ. Likewise, </w:t>
      </w:r>
      <w:r w:rsidR="00805781" w:rsidRPr="00805781">
        <w:rPr>
          <w:rFonts w:ascii="Arial" w:hAnsi="Arial" w:cs="Arial"/>
          <w:color w:val="222222"/>
          <w:sz w:val="20"/>
          <w:szCs w:val="20"/>
          <w:highlight w:val="yellow"/>
          <w:shd w:val="clear" w:color="auto" w:fill="FFFFFF"/>
        </w:rPr>
        <w:t>Salas-Salvadó et al.</w:t>
      </w:r>
      <w:proofErr w:type="gramStart"/>
      <w:r w:rsidR="00805781" w:rsidRPr="00805781">
        <w:rPr>
          <w:rFonts w:ascii="Arial" w:hAnsi="Arial" w:cs="Arial"/>
          <w:color w:val="222222"/>
          <w:sz w:val="20"/>
          <w:szCs w:val="20"/>
          <w:highlight w:val="yellow"/>
          <w:shd w:val="clear" w:color="auto" w:fill="FFFFFF"/>
        </w:rPr>
        <w:t xml:space="preserve">, </w:t>
      </w:r>
      <w:r w:rsidR="00805781" w:rsidRPr="00805781">
        <w:rPr>
          <w:rFonts w:ascii="Times New Roman" w:eastAsia="Times New Roman" w:hAnsi="Times New Roman" w:cs="Times New Roman"/>
          <w:sz w:val="24"/>
          <w:szCs w:val="24"/>
          <w:highlight w:val="yellow"/>
          <w:lang w:eastAsia="en-GB"/>
        </w:rPr>
        <w:t xml:space="preserve"> (</w:t>
      </w:r>
      <w:proofErr w:type="gramEnd"/>
      <w:r w:rsidR="00805781" w:rsidRPr="00805781">
        <w:rPr>
          <w:rFonts w:ascii="Times New Roman" w:eastAsia="Times New Roman" w:hAnsi="Times New Roman" w:cs="Times New Roman"/>
          <w:sz w:val="24"/>
          <w:szCs w:val="24"/>
          <w:highlight w:val="yellow"/>
          <w:lang w:eastAsia="en-GB"/>
        </w:rPr>
        <w:t xml:space="preserve">2011) </w:t>
      </w:r>
      <w:r w:rsidRPr="00805781">
        <w:rPr>
          <w:rFonts w:ascii="Times New Roman" w:eastAsia="Times New Roman" w:hAnsi="Times New Roman" w:cs="Times New Roman"/>
          <w:sz w:val="24"/>
          <w:szCs w:val="24"/>
          <w:highlight w:val="yellow"/>
          <w:lang w:eastAsia="en-GB"/>
        </w:rPr>
        <w:t>points out</w:t>
      </w:r>
      <w:r w:rsidRPr="00D27F9E">
        <w:rPr>
          <w:rFonts w:ascii="Times New Roman" w:eastAsia="Times New Roman" w:hAnsi="Times New Roman" w:cs="Times New Roman"/>
          <w:sz w:val="24"/>
          <w:szCs w:val="24"/>
          <w:lang w:eastAsia="en-GB"/>
        </w:rPr>
        <w:t xml:space="preserve"> that certain macronutrient profiles, such as high monounsaturated fatty acid (MUFA) intake, may not confer uniform benefits across populations. Thus, more targeted research is needed to dissect which forms of PBDs are most effective and sustainable for diabetes prevention and management.</w:t>
      </w:r>
      <w:r w:rsidR="00DC3582">
        <w:rPr>
          <w:rFonts w:ascii="Times New Roman" w:eastAsia="Times New Roman" w:hAnsi="Times New Roman" w:cs="Times New Roman"/>
          <w:sz w:val="24"/>
          <w:szCs w:val="24"/>
          <w:lang w:eastAsia="en-GB"/>
        </w:rPr>
        <w:t xml:space="preserve"> </w:t>
      </w:r>
      <w:r w:rsidRPr="00D27F9E">
        <w:rPr>
          <w:rFonts w:ascii="Times New Roman" w:eastAsia="Times New Roman" w:hAnsi="Times New Roman" w:cs="Times New Roman"/>
          <w:sz w:val="24"/>
          <w:szCs w:val="24"/>
          <w:lang w:eastAsia="en-GB"/>
        </w:rPr>
        <w:t xml:space="preserve">Looking ahead, there is a call for </w:t>
      </w:r>
      <w:r w:rsidRPr="00D27F9E">
        <w:rPr>
          <w:rFonts w:ascii="Times New Roman" w:eastAsia="Times New Roman" w:hAnsi="Times New Roman" w:cs="Times New Roman"/>
          <w:bCs/>
          <w:sz w:val="24"/>
          <w:szCs w:val="24"/>
          <w:lang w:eastAsia="en-GB"/>
        </w:rPr>
        <w:t>long-term randomized trials</w:t>
      </w:r>
      <w:r w:rsidRPr="00D27F9E">
        <w:rPr>
          <w:rFonts w:ascii="Times New Roman" w:eastAsia="Times New Roman" w:hAnsi="Times New Roman" w:cs="Times New Roman"/>
          <w:sz w:val="24"/>
          <w:szCs w:val="24"/>
          <w:lang w:eastAsia="en-GB"/>
        </w:rPr>
        <w:t xml:space="preserve"> that rigorously control for confounders and provide detailed dietary </w:t>
      </w:r>
      <w:r w:rsidRPr="008A31CF">
        <w:rPr>
          <w:rFonts w:ascii="Times New Roman" w:eastAsia="Times New Roman" w:hAnsi="Times New Roman" w:cs="Times New Roman"/>
          <w:sz w:val="24"/>
          <w:szCs w:val="24"/>
          <w:highlight w:val="yellow"/>
          <w:lang w:eastAsia="en-GB"/>
        </w:rPr>
        <w:t>data (</w:t>
      </w:r>
      <w:r w:rsidR="008A31CF" w:rsidRPr="008A31CF">
        <w:rPr>
          <w:rFonts w:ascii="Arial" w:hAnsi="Arial" w:cs="Arial"/>
          <w:color w:val="222222"/>
          <w:sz w:val="20"/>
          <w:szCs w:val="20"/>
          <w:highlight w:val="yellow"/>
          <w:shd w:val="clear" w:color="auto" w:fill="FFFFFF"/>
        </w:rPr>
        <w:t xml:space="preserve">Qian </w:t>
      </w:r>
      <w:r w:rsidR="008A31CF" w:rsidRPr="008A31CF">
        <w:rPr>
          <w:rFonts w:ascii="Times New Roman" w:eastAsia="Times New Roman" w:hAnsi="Times New Roman" w:cs="Times New Roman"/>
          <w:sz w:val="24"/>
          <w:szCs w:val="24"/>
          <w:highlight w:val="yellow"/>
          <w:lang w:eastAsia="en-GB"/>
        </w:rPr>
        <w:t>et al., 2019</w:t>
      </w:r>
      <w:r w:rsidRPr="008A31CF">
        <w:rPr>
          <w:rFonts w:ascii="Times New Roman" w:eastAsia="Times New Roman" w:hAnsi="Times New Roman" w:cs="Times New Roman"/>
          <w:sz w:val="24"/>
          <w:szCs w:val="24"/>
          <w:highlight w:val="yellow"/>
          <w:lang w:eastAsia="en-GB"/>
        </w:rPr>
        <w:t xml:space="preserve">; </w:t>
      </w:r>
      <w:r w:rsidR="00EB4A20">
        <w:rPr>
          <w:rFonts w:ascii="Arial" w:hAnsi="Arial" w:cs="Arial"/>
          <w:color w:val="222222"/>
          <w:sz w:val="20"/>
          <w:szCs w:val="20"/>
          <w:shd w:val="clear" w:color="auto" w:fill="FFFFFF"/>
        </w:rPr>
        <w:t xml:space="preserve">Brown </w:t>
      </w:r>
      <w:r w:rsidRPr="00D27F9E">
        <w:rPr>
          <w:rFonts w:ascii="Times New Roman" w:eastAsia="Times New Roman" w:hAnsi="Times New Roman" w:cs="Times New Roman"/>
          <w:sz w:val="24"/>
          <w:szCs w:val="24"/>
          <w:lang w:eastAsia="en-GB"/>
        </w:rPr>
        <w:t xml:space="preserve">et al., </w:t>
      </w:r>
      <w:r w:rsidR="00EB4A20">
        <w:rPr>
          <w:rFonts w:ascii="Times New Roman" w:eastAsia="Times New Roman" w:hAnsi="Times New Roman" w:cs="Times New Roman"/>
          <w:sz w:val="24"/>
          <w:szCs w:val="24"/>
          <w:lang w:eastAsia="en-GB"/>
        </w:rPr>
        <w:t>2022</w:t>
      </w:r>
      <w:r w:rsidRPr="00D27F9E">
        <w:rPr>
          <w:rFonts w:ascii="Times New Roman" w:eastAsia="Times New Roman" w:hAnsi="Times New Roman" w:cs="Times New Roman"/>
          <w:sz w:val="24"/>
          <w:szCs w:val="24"/>
          <w:lang w:eastAsia="en-GB"/>
        </w:rPr>
        <w:t xml:space="preserve">). Further exploration is also needed into how plant-based diets interact with other lifestyle interventions and medications, and how they influence </w:t>
      </w:r>
      <w:r w:rsidRPr="00D27F9E">
        <w:rPr>
          <w:rFonts w:ascii="Times New Roman" w:eastAsia="Times New Roman" w:hAnsi="Times New Roman" w:cs="Times New Roman"/>
          <w:bCs/>
          <w:sz w:val="24"/>
          <w:szCs w:val="24"/>
          <w:lang w:eastAsia="en-GB"/>
        </w:rPr>
        <w:t>subpopulations</w:t>
      </w:r>
      <w:r w:rsidRPr="00D27F9E">
        <w:rPr>
          <w:rFonts w:ascii="Times New Roman" w:eastAsia="Times New Roman" w:hAnsi="Times New Roman" w:cs="Times New Roman"/>
          <w:sz w:val="24"/>
          <w:szCs w:val="24"/>
          <w:lang w:eastAsia="en-GB"/>
        </w:rPr>
        <w:t xml:space="preserve"> with varying genetic and metabolic profiles.</w:t>
      </w:r>
    </w:p>
    <w:p w14:paraId="190D1DCF" w14:textId="33E42E19" w:rsidR="00D27F9E" w:rsidRPr="00D27F9E" w:rsidRDefault="00D27F9E"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27F9E">
        <w:rPr>
          <w:rFonts w:ascii="Times New Roman" w:eastAsia="Times New Roman" w:hAnsi="Times New Roman" w:cs="Times New Roman"/>
          <w:sz w:val="24"/>
          <w:szCs w:val="24"/>
          <w:lang w:eastAsia="en-GB"/>
        </w:rPr>
        <w:t xml:space="preserve">In </w:t>
      </w:r>
      <w:r w:rsidR="00DC3582">
        <w:rPr>
          <w:rFonts w:ascii="Times New Roman" w:eastAsia="Times New Roman" w:hAnsi="Times New Roman" w:cs="Times New Roman"/>
          <w:sz w:val="24"/>
          <w:szCs w:val="24"/>
          <w:lang w:eastAsia="en-GB"/>
        </w:rPr>
        <w:t>brief</w:t>
      </w:r>
      <w:r w:rsidRPr="00D27F9E">
        <w:rPr>
          <w:rFonts w:ascii="Times New Roman" w:eastAsia="Times New Roman" w:hAnsi="Times New Roman" w:cs="Times New Roman"/>
          <w:sz w:val="24"/>
          <w:szCs w:val="24"/>
          <w:lang w:eastAsia="en-GB"/>
        </w:rPr>
        <w:t xml:space="preserve">, the literature overwhelmingly supports the role of </w:t>
      </w:r>
      <w:r w:rsidRPr="00D27F9E">
        <w:rPr>
          <w:rFonts w:ascii="Times New Roman" w:eastAsia="Times New Roman" w:hAnsi="Times New Roman" w:cs="Times New Roman"/>
          <w:bCs/>
          <w:sz w:val="24"/>
          <w:szCs w:val="24"/>
          <w:lang w:eastAsia="en-GB"/>
        </w:rPr>
        <w:t>healthful plant-based diets as a viable and effective strategy</w:t>
      </w:r>
      <w:r w:rsidRPr="00D27F9E">
        <w:rPr>
          <w:rFonts w:ascii="Times New Roman" w:eastAsia="Times New Roman" w:hAnsi="Times New Roman" w:cs="Times New Roman"/>
          <w:sz w:val="24"/>
          <w:szCs w:val="24"/>
          <w:lang w:eastAsia="en-GB"/>
        </w:rPr>
        <w:t xml:space="preserve"> in both preventing and managing Type 2 diabetes. Their multifaceted benefits—ranging from improved </w:t>
      </w:r>
      <w:r w:rsidR="00A30ADC" w:rsidRPr="00D27F9E">
        <w:rPr>
          <w:rFonts w:ascii="Times New Roman" w:eastAsia="Times New Roman" w:hAnsi="Times New Roman" w:cs="Times New Roman"/>
          <w:sz w:val="24"/>
          <w:szCs w:val="24"/>
          <w:lang w:eastAsia="en-GB"/>
        </w:rPr>
        <w:t>glycaemic</w:t>
      </w:r>
      <w:r w:rsidRPr="00D27F9E">
        <w:rPr>
          <w:rFonts w:ascii="Times New Roman" w:eastAsia="Times New Roman" w:hAnsi="Times New Roman" w:cs="Times New Roman"/>
          <w:sz w:val="24"/>
          <w:szCs w:val="24"/>
          <w:lang w:eastAsia="en-GB"/>
        </w:rPr>
        <w:t xml:space="preserve"> control and cardiovascular health to better quality of life—make them a compelling option in public health and clinical nutrition. However, success in real-world application</w:t>
      </w:r>
      <w:r w:rsidR="003B701C">
        <w:rPr>
          <w:rFonts w:ascii="Times New Roman" w:eastAsia="Times New Roman" w:hAnsi="Times New Roman" w:cs="Times New Roman"/>
          <w:sz w:val="24"/>
          <w:szCs w:val="24"/>
          <w:lang w:eastAsia="en-GB"/>
        </w:rPr>
        <w:t>s</w:t>
      </w:r>
      <w:r w:rsidRPr="00D27F9E">
        <w:rPr>
          <w:rFonts w:ascii="Times New Roman" w:eastAsia="Times New Roman" w:hAnsi="Times New Roman" w:cs="Times New Roman"/>
          <w:sz w:val="24"/>
          <w:szCs w:val="24"/>
          <w:lang w:eastAsia="en-GB"/>
        </w:rPr>
        <w:t xml:space="preserve"> hinges on </w:t>
      </w:r>
      <w:r w:rsidRPr="00D27F9E">
        <w:rPr>
          <w:rFonts w:ascii="Times New Roman" w:eastAsia="Times New Roman" w:hAnsi="Times New Roman" w:cs="Times New Roman"/>
          <w:bCs/>
          <w:sz w:val="24"/>
          <w:szCs w:val="24"/>
          <w:lang w:eastAsia="en-GB"/>
        </w:rPr>
        <w:t>education, dietary quality, accessibility</w:t>
      </w:r>
      <w:r w:rsidRPr="00D27F9E">
        <w:rPr>
          <w:rFonts w:ascii="Times New Roman" w:eastAsia="Times New Roman" w:hAnsi="Times New Roman" w:cs="Times New Roman"/>
          <w:sz w:val="24"/>
          <w:szCs w:val="24"/>
          <w:lang w:eastAsia="en-GB"/>
        </w:rPr>
        <w:t>, and ongoing research into long-term effects and individual responsiveness.</w:t>
      </w:r>
    </w:p>
    <w:p w14:paraId="273D3CE2" w14:textId="77777777" w:rsidR="003277B8" w:rsidRPr="003A2E1A" w:rsidRDefault="00A30ADC" w:rsidP="003A2E1A">
      <w:pPr>
        <w:spacing w:before="100" w:beforeAutospacing="1" w:after="100" w:afterAutospacing="1" w:line="240" w:lineRule="auto"/>
        <w:jc w:val="both"/>
        <w:rPr>
          <w:rFonts w:ascii="Times New Roman" w:eastAsia="Times New Roman" w:hAnsi="Times New Roman" w:cs="Times New Roman"/>
          <w:b/>
          <w:bCs/>
          <w:sz w:val="24"/>
          <w:szCs w:val="24"/>
          <w:lang w:eastAsia="en-GB"/>
        </w:rPr>
      </w:pPr>
      <w:r w:rsidRPr="003A2E1A">
        <w:rPr>
          <w:rFonts w:ascii="Times New Roman" w:eastAsia="Times New Roman" w:hAnsi="Times New Roman" w:cs="Times New Roman"/>
          <w:sz w:val="24"/>
          <w:szCs w:val="24"/>
          <w:lang w:eastAsia="en-GB"/>
        </w:rPr>
        <w:t xml:space="preserve">3. </w:t>
      </w:r>
      <w:r w:rsidR="003277B8" w:rsidRPr="003A2E1A">
        <w:rPr>
          <w:rFonts w:ascii="Times New Roman" w:eastAsia="Times New Roman" w:hAnsi="Times New Roman" w:cs="Times New Roman"/>
          <w:b/>
          <w:bCs/>
          <w:sz w:val="24"/>
          <w:szCs w:val="24"/>
          <w:lang w:eastAsia="en-GB"/>
        </w:rPr>
        <w:t>Methods</w:t>
      </w:r>
    </w:p>
    <w:p w14:paraId="735563CB" w14:textId="77777777" w:rsidR="003277B8" w:rsidRPr="003A2E1A" w:rsidRDefault="003A2E1A" w:rsidP="003A2E1A">
      <w:pPr>
        <w:spacing w:before="100" w:beforeAutospacing="1" w:after="100" w:afterAutospacing="1" w:line="360" w:lineRule="auto"/>
        <w:jc w:val="both"/>
        <w:outlineLvl w:val="2"/>
        <w:rPr>
          <w:rFonts w:ascii="Times New Roman" w:eastAsia="Times New Roman" w:hAnsi="Times New Roman" w:cs="Times New Roman"/>
          <w:bCs/>
          <w:sz w:val="24"/>
          <w:szCs w:val="24"/>
          <w:lang w:eastAsia="en-GB"/>
        </w:rPr>
      </w:pPr>
      <w:r w:rsidRPr="003A2E1A">
        <w:rPr>
          <w:rFonts w:ascii="Times New Roman" w:eastAsia="Times New Roman" w:hAnsi="Times New Roman" w:cs="Times New Roman"/>
          <w:bCs/>
          <w:sz w:val="24"/>
          <w:szCs w:val="24"/>
          <w:lang w:eastAsia="en-GB"/>
        </w:rPr>
        <w:t>3</w:t>
      </w:r>
      <w:r w:rsidR="003277B8" w:rsidRPr="003A2E1A">
        <w:rPr>
          <w:rFonts w:ascii="Times New Roman" w:eastAsia="Times New Roman" w:hAnsi="Times New Roman" w:cs="Times New Roman"/>
          <w:bCs/>
          <w:sz w:val="24"/>
          <w:szCs w:val="24"/>
          <w:lang w:eastAsia="en-GB"/>
        </w:rPr>
        <w:t>.1 Study Design and Review Protocol</w:t>
      </w:r>
    </w:p>
    <w:p w14:paraId="2DE25DB4" w14:textId="1CEB5FD8" w:rsidR="003277B8" w:rsidRPr="003A2E1A" w:rsidRDefault="003277B8" w:rsidP="003A2E1A">
      <w:pPr>
        <w:spacing w:before="100" w:beforeAutospacing="1" w:after="100" w:afterAutospacing="1" w:line="360" w:lineRule="auto"/>
        <w:jc w:val="both"/>
        <w:rPr>
          <w:rFonts w:ascii="Times New Roman" w:eastAsia="Times New Roman" w:hAnsi="Times New Roman" w:cs="Times New Roman"/>
          <w:sz w:val="24"/>
          <w:szCs w:val="24"/>
          <w:lang w:eastAsia="en-GB"/>
        </w:rPr>
      </w:pPr>
      <w:r w:rsidRPr="003A2E1A">
        <w:rPr>
          <w:rFonts w:ascii="Times New Roman" w:eastAsia="Times New Roman" w:hAnsi="Times New Roman" w:cs="Times New Roman"/>
          <w:sz w:val="24"/>
          <w:szCs w:val="24"/>
          <w:lang w:eastAsia="en-GB"/>
        </w:rPr>
        <w:t>This systematic review followed the PRISMA (Preferred Reporting Items for Systematic Reviews and Meta-Analyses) 2020 guidelines to ensure transparency, replicability, and methodological rigo</w:t>
      </w:r>
      <w:r w:rsidR="003B701C">
        <w:rPr>
          <w:rFonts w:ascii="Times New Roman" w:eastAsia="Times New Roman" w:hAnsi="Times New Roman" w:cs="Times New Roman"/>
          <w:sz w:val="24"/>
          <w:szCs w:val="24"/>
          <w:lang w:eastAsia="en-GB"/>
        </w:rPr>
        <w:t>u</w:t>
      </w:r>
      <w:r w:rsidRPr="003A2E1A">
        <w:rPr>
          <w:rFonts w:ascii="Times New Roman" w:eastAsia="Times New Roman" w:hAnsi="Times New Roman" w:cs="Times New Roman"/>
          <w:sz w:val="24"/>
          <w:szCs w:val="24"/>
          <w:lang w:eastAsia="en-GB"/>
        </w:rPr>
        <w:t xml:space="preserve">r in the review process. The review protocol was registered prospectively with </w:t>
      </w:r>
      <w:r w:rsidRPr="003A2E1A">
        <w:rPr>
          <w:rFonts w:ascii="Times New Roman" w:eastAsia="Times New Roman" w:hAnsi="Times New Roman" w:cs="Times New Roman"/>
          <w:bCs/>
          <w:sz w:val="24"/>
          <w:szCs w:val="24"/>
          <w:lang w:eastAsia="en-GB"/>
        </w:rPr>
        <w:t>PROSPERO</w:t>
      </w:r>
      <w:r w:rsidRPr="003A2E1A">
        <w:rPr>
          <w:rFonts w:ascii="Times New Roman" w:eastAsia="Times New Roman" w:hAnsi="Times New Roman" w:cs="Times New Roman"/>
          <w:sz w:val="24"/>
          <w:szCs w:val="24"/>
          <w:lang w:eastAsia="en-GB"/>
        </w:rPr>
        <w:t xml:space="preserve"> (Registration ID: [insert if available]) and was designed to evaluate and synthesize evidence from </w:t>
      </w:r>
      <w:r w:rsidRPr="003A2E1A">
        <w:rPr>
          <w:rFonts w:ascii="Times New Roman" w:eastAsia="Times New Roman" w:hAnsi="Times New Roman" w:cs="Times New Roman"/>
          <w:bCs/>
          <w:sz w:val="24"/>
          <w:szCs w:val="24"/>
          <w:lang w:eastAsia="en-GB"/>
        </w:rPr>
        <w:t>randomized controlled trials (RCTs)</w:t>
      </w:r>
      <w:r w:rsidRPr="003A2E1A">
        <w:rPr>
          <w:rFonts w:ascii="Times New Roman" w:eastAsia="Times New Roman" w:hAnsi="Times New Roman" w:cs="Times New Roman"/>
          <w:sz w:val="24"/>
          <w:szCs w:val="24"/>
          <w:lang w:eastAsia="en-GB"/>
        </w:rPr>
        <w:t xml:space="preserve"> and </w:t>
      </w:r>
      <w:r w:rsidRPr="003A2E1A">
        <w:rPr>
          <w:rFonts w:ascii="Times New Roman" w:eastAsia="Times New Roman" w:hAnsi="Times New Roman" w:cs="Times New Roman"/>
          <w:bCs/>
          <w:sz w:val="24"/>
          <w:szCs w:val="24"/>
          <w:lang w:eastAsia="en-GB"/>
        </w:rPr>
        <w:t>prospective cohort studies</w:t>
      </w:r>
      <w:r w:rsidRPr="003A2E1A">
        <w:rPr>
          <w:rFonts w:ascii="Times New Roman" w:eastAsia="Times New Roman" w:hAnsi="Times New Roman" w:cs="Times New Roman"/>
          <w:sz w:val="24"/>
          <w:szCs w:val="24"/>
          <w:lang w:eastAsia="en-GB"/>
        </w:rPr>
        <w:t xml:space="preserve"> </w:t>
      </w:r>
      <w:r w:rsidRPr="003A2E1A">
        <w:rPr>
          <w:rFonts w:ascii="Times New Roman" w:eastAsia="Times New Roman" w:hAnsi="Times New Roman" w:cs="Times New Roman"/>
          <w:sz w:val="24"/>
          <w:szCs w:val="24"/>
          <w:lang w:eastAsia="en-GB"/>
        </w:rPr>
        <w:lastRenderedPageBreak/>
        <w:t>comparing the effects of plant-based diets (PBDs) with omnivorous diets on managing Type 2 diabetes mellitus (T2DM) in adult populations.</w:t>
      </w:r>
    </w:p>
    <w:p w14:paraId="60319F13" w14:textId="77777777" w:rsidR="003277B8" w:rsidRPr="003A2E1A" w:rsidRDefault="003A2E1A" w:rsidP="003277B8">
      <w:pPr>
        <w:spacing w:before="100" w:beforeAutospacing="1" w:after="100" w:afterAutospacing="1" w:line="240" w:lineRule="auto"/>
        <w:outlineLvl w:val="2"/>
        <w:rPr>
          <w:rFonts w:ascii="Times New Roman" w:eastAsia="Times New Roman" w:hAnsi="Times New Roman" w:cs="Times New Roman"/>
          <w:bCs/>
          <w:sz w:val="24"/>
          <w:szCs w:val="24"/>
          <w:lang w:eastAsia="en-GB"/>
        </w:rPr>
      </w:pPr>
      <w:r w:rsidRPr="003A2E1A">
        <w:rPr>
          <w:rFonts w:ascii="Times New Roman" w:eastAsia="Times New Roman" w:hAnsi="Times New Roman" w:cs="Times New Roman"/>
          <w:bCs/>
          <w:sz w:val="24"/>
          <w:szCs w:val="24"/>
          <w:lang w:eastAsia="en-GB"/>
        </w:rPr>
        <w:t>3</w:t>
      </w:r>
      <w:r w:rsidR="003277B8" w:rsidRPr="003A2E1A">
        <w:rPr>
          <w:rFonts w:ascii="Times New Roman" w:eastAsia="Times New Roman" w:hAnsi="Times New Roman" w:cs="Times New Roman"/>
          <w:bCs/>
          <w:sz w:val="24"/>
          <w:szCs w:val="24"/>
          <w:lang w:eastAsia="en-GB"/>
        </w:rPr>
        <w:t>.2 Data Sources and Search Strategy</w:t>
      </w:r>
    </w:p>
    <w:p w14:paraId="6AB09030" w14:textId="77777777" w:rsidR="003A2E1A" w:rsidRPr="003A2E1A" w:rsidRDefault="003A2E1A" w:rsidP="003A2E1A">
      <w:pPr>
        <w:spacing w:before="100" w:beforeAutospacing="1" w:after="100" w:afterAutospacing="1" w:line="360" w:lineRule="auto"/>
        <w:jc w:val="both"/>
        <w:outlineLvl w:val="2"/>
        <w:rPr>
          <w:rFonts w:ascii="Times New Roman" w:hAnsi="Times New Roman" w:cs="Times New Roman"/>
          <w:sz w:val="24"/>
          <w:szCs w:val="24"/>
        </w:rPr>
      </w:pPr>
      <w:r w:rsidRPr="003A2E1A">
        <w:rPr>
          <w:rFonts w:ascii="Times New Roman" w:hAnsi="Times New Roman" w:cs="Times New Roman"/>
          <w:sz w:val="24"/>
          <w:szCs w:val="24"/>
        </w:rPr>
        <w:t xml:space="preserve">A comprehensive and systematic literature search was conducted across five major databases: PubMed, EMBASE, Cochrane Central Register of Controlled Trials (CENTRAL), Web of Science, and CINAHL, with coverage from the inception of the databases up to April 30, 2025. Both controlled vocabulary terms (e.g., </w:t>
      </w:r>
      <w:proofErr w:type="spellStart"/>
      <w:r w:rsidRPr="003A2E1A">
        <w:rPr>
          <w:rFonts w:ascii="Times New Roman" w:hAnsi="Times New Roman" w:cs="Times New Roman"/>
          <w:sz w:val="24"/>
          <w:szCs w:val="24"/>
        </w:rPr>
        <w:t>MeSH</w:t>
      </w:r>
      <w:proofErr w:type="spellEnd"/>
      <w:r w:rsidRPr="003A2E1A">
        <w:rPr>
          <w:rFonts w:ascii="Times New Roman" w:hAnsi="Times New Roman" w:cs="Times New Roman"/>
          <w:sz w:val="24"/>
          <w:szCs w:val="24"/>
        </w:rPr>
        <w:t xml:space="preserve"> in PubMed) and keywords related to Type 2 diabetes mellitus (T2DM), plant-based diets, and diet comparison studies were utilized in the search. The terms included for T2DM were “Type 2 diabetes,” “Type 2 diabetes mellitus,” and “diabetes management”; for diet, the terms included “Plant-based diet,” “vegan,” “vegetarian,” “flexitarian,” “omnivorous diet,” and “mixed diet”; for study design, “Randomized controlled trial,” “cohort study,” and “longitudinal study”; and for outcomes, terms such as “HbA1c,” “insulin sensitivity,” “fasting glucose,” “lipid profiles,” “body weight,” and “inflammation.” An example of the PubMed search string can be found in Supplementary Appendix A. In addition to the database searches, manual screening of references from identified relevant studies and recent systematic reviews was performed to ensure the identification of potentially eligible studies.</w:t>
      </w:r>
    </w:p>
    <w:p w14:paraId="12987E0C" w14:textId="77777777" w:rsidR="003277B8" w:rsidRPr="000E736D" w:rsidRDefault="003A2E1A" w:rsidP="003277B8">
      <w:pPr>
        <w:spacing w:before="100" w:beforeAutospacing="1" w:after="100" w:afterAutospacing="1" w:line="240" w:lineRule="auto"/>
        <w:outlineLvl w:val="2"/>
        <w:rPr>
          <w:rFonts w:ascii="Times New Roman" w:eastAsia="Times New Roman" w:hAnsi="Times New Roman" w:cs="Times New Roman"/>
          <w:bCs/>
          <w:sz w:val="24"/>
          <w:szCs w:val="24"/>
          <w:lang w:eastAsia="en-GB"/>
        </w:rPr>
      </w:pPr>
      <w:r w:rsidRPr="000E736D">
        <w:rPr>
          <w:rFonts w:ascii="Times New Roman" w:eastAsia="Times New Roman" w:hAnsi="Times New Roman" w:cs="Times New Roman"/>
          <w:bCs/>
          <w:sz w:val="24"/>
          <w:szCs w:val="24"/>
          <w:lang w:eastAsia="en-GB"/>
        </w:rPr>
        <w:t>3</w:t>
      </w:r>
      <w:r w:rsidR="003277B8" w:rsidRPr="000E736D">
        <w:rPr>
          <w:rFonts w:ascii="Times New Roman" w:eastAsia="Times New Roman" w:hAnsi="Times New Roman" w:cs="Times New Roman"/>
          <w:bCs/>
          <w:sz w:val="24"/>
          <w:szCs w:val="24"/>
          <w:lang w:eastAsia="en-GB"/>
        </w:rPr>
        <w:t>.3 Study Selection and Screening Process</w:t>
      </w:r>
    </w:p>
    <w:p w14:paraId="7F284874" w14:textId="77777777" w:rsidR="003277B8" w:rsidRPr="000E736D" w:rsidRDefault="003277B8" w:rsidP="003A2E1A">
      <w:pPr>
        <w:spacing w:before="100" w:beforeAutospacing="1" w:after="100" w:afterAutospacing="1" w:line="360" w:lineRule="auto"/>
        <w:jc w:val="both"/>
        <w:rPr>
          <w:rFonts w:ascii="Times New Roman" w:eastAsia="Times New Roman" w:hAnsi="Times New Roman" w:cs="Times New Roman"/>
          <w:sz w:val="24"/>
          <w:szCs w:val="24"/>
          <w:lang w:eastAsia="en-GB"/>
        </w:rPr>
      </w:pPr>
      <w:r w:rsidRPr="000E736D">
        <w:rPr>
          <w:rFonts w:ascii="Times New Roman" w:eastAsia="Times New Roman" w:hAnsi="Times New Roman" w:cs="Times New Roman"/>
          <w:sz w:val="24"/>
          <w:szCs w:val="24"/>
          <w:lang w:eastAsia="en-GB"/>
        </w:rPr>
        <w:t xml:space="preserve">Following the initial database search, </w:t>
      </w:r>
      <w:r w:rsidRPr="000E736D">
        <w:rPr>
          <w:rFonts w:ascii="Times New Roman" w:eastAsia="Times New Roman" w:hAnsi="Times New Roman" w:cs="Times New Roman"/>
          <w:bCs/>
          <w:sz w:val="24"/>
          <w:szCs w:val="24"/>
          <w:lang w:eastAsia="en-GB"/>
        </w:rPr>
        <w:t>2,473 records</w:t>
      </w:r>
      <w:r w:rsidRPr="000E736D">
        <w:rPr>
          <w:rFonts w:ascii="Times New Roman" w:eastAsia="Times New Roman" w:hAnsi="Times New Roman" w:cs="Times New Roman"/>
          <w:sz w:val="24"/>
          <w:szCs w:val="24"/>
          <w:lang w:eastAsia="en-GB"/>
        </w:rPr>
        <w:t xml:space="preserve"> were identified. Duplicate records were removed using EndNote 20, leaving </w:t>
      </w:r>
      <w:r w:rsidRPr="000E736D">
        <w:rPr>
          <w:rFonts w:ascii="Times New Roman" w:eastAsia="Times New Roman" w:hAnsi="Times New Roman" w:cs="Times New Roman"/>
          <w:bCs/>
          <w:sz w:val="24"/>
          <w:szCs w:val="24"/>
          <w:lang w:eastAsia="en-GB"/>
        </w:rPr>
        <w:t>1,964 unique articles</w:t>
      </w:r>
      <w:r w:rsidRPr="000E736D">
        <w:rPr>
          <w:rFonts w:ascii="Times New Roman" w:eastAsia="Times New Roman" w:hAnsi="Times New Roman" w:cs="Times New Roman"/>
          <w:sz w:val="24"/>
          <w:szCs w:val="24"/>
          <w:lang w:eastAsia="en-GB"/>
        </w:rPr>
        <w:t xml:space="preserve">. Titles and abstracts were independently screened by two reviewers (XX, YY) for relevance to the inclusion criteria, with disagreements resolved through consensus or arbitration by a third reviewer (ZZ). This screening resulted in </w:t>
      </w:r>
      <w:r w:rsidRPr="000E736D">
        <w:rPr>
          <w:rFonts w:ascii="Times New Roman" w:eastAsia="Times New Roman" w:hAnsi="Times New Roman" w:cs="Times New Roman"/>
          <w:bCs/>
          <w:sz w:val="24"/>
          <w:szCs w:val="24"/>
          <w:lang w:eastAsia="en-GB"/>
        </w:rPr>
        <w:t>152 full-text articles</w:t>
      </w:r>
      <w:r w:rsidRPr="000E736D">
        <w:rPr>
          <w:rFonts w:ascii="Times New Roman" w:eastAsia="Times New Roman" w:hAnsi="Times New Roman" w:cs="Times New Roman"/>
          <w:sz w:val="24"/>
          <w:szCs w:val="24"/>
          <w:lang w:eastAsia="en-GB"/>
        </w:rPr>
        <w:t xml:space="preserve"> being retrieved for further assessment.</w:t>
      </w:r>
    </w:p>
    <w:p w14:paraId="47708FE3" w14:textId="77777777" w:rsidR="003277B8" w:rsidRPr="000E736D" w:rsidRDefault="000E736D" w:rsidP="003277B8">
      <w:p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sidRPr="000E736D">
        <w:rPr>
          <w:rFonts w:ascii="Times New Roman" w:eastAsia="Times New Roman" w:hAnsi="Times New Roman" w:cs="Times New Roman"/>
          <w:b/>
          <w:bCs/>
          <w:sz w:val="24"/>
          <w:szCs w:val="24"/>
          <w:lang w:eastAsia="en-GB"/>
        </w:rPr>
        <w:t>3</w:t>
      </w:r>
      <w:r w:rsidR="003277B8" w:rsidRPr="000E736D">
        <w:rPr>
          <w:rFonts w:ascii="Times New Roman" w:eastAsia="Times New Roman" w:hAnsi="Times New Roman" w:cs="Times New Roman"/>
          <w:b/>
          <w:bCs/>
          <w:sz w:val="24"/>
          <w:szCs w:val="24"/>
          <w:lang w:eastAsia="en-GB"/>
        </w:rPr>
        <w:t>.4 Eligibility Criteria</w:t>
      </w:r>
    </w:p>
    <w:p w14:paraId="444CDA25" w14:textId="77777777" w:rsidR="003277B8" w:rsidRDefault="003277B8" w:rsidP="000E736D">
      <w:pPr>
        <w:spacing w:before="100" w:beforeAutospacing="1" w:after="100" w:afterAutospacing="1" w:line="360" w:lineRule="auto"/>
        <w:rPr>
          <w:rFonts w:ascii="Times New Roman" w:eastAsia="Times New Roman" w:hAnsi="Times New Roman" w:cs="Times New Roman"/>
          <w:sz w:val="24"/>
          <w:szCs w:val="24"/>
          <w:lang w:eastAsia="en-GB"/>
        </w:rPr>
      </w:pPr>
      <w:r w:rsidRPr="000E736D">
        <w:rPr>
          <w:rFonts w:ascii="Times New Roman" w:eastAsia="Times New Roman" w:hAnsi="Times New Roman" w:cs="Times New Roman"/>
          <w:sz w:val="24"/>
          <w:szCs w:val="24"/>
          <w:lang w:eastAsia="en-GB"/>
        </w:rPr>
        <w:t xml:space="preserve">Studies were eligible for inclusion if they met the following criteria, summarized using the </w:t>
      </w:r>
      <w:r w:rsidRPr="000E736D">
        <w:rPr>
          <w:rFonts w:ascii="Times New Roman" w:eastAsia="Times New Roman" w:hAnsi="Times New Roman" w:cs="Times New Roman"/>
          <w:bCs/>
          <w:sz w:val="24"/>
          <w:szCs w:val="24"/>
          <w:lang w:eastAsia="en-GB"/>
        </w:rPr>
        <w:t>PICOS</w:t>
      </w:r>
      <w:r w:rsidRPr="000E736D">
        <w:rPr>
          <w:rFonts w:ascii="Times New Roman" w:eastAsia="Times New Roman" w:hAnsi="Times New Roman" w:cs="Times New Roman"/>
          <w:sz w:val="24"/>
          <w:szCs w:val="24"/>
          <w:lang w:eastAsia="en-GB"/>
        </w:rPr>
        <w:t xml:space="preserve"> framework in </w:t>
      </w:r>
      <w:r w:rsidRPr="000E736D">
        <w:rPr>
          <w:rFonts w:ascii="Times New Roman" w:eastAsia="Times New Roman" w:hAnsi="Times New Roman" w:cs="Times New Roman"/>
          <w:bCs/>
          <w:sz w:val="24"/>
          <w:szCs w:val="24"/>
          <w:lang w:eastAsia="en-GB"/>
        </w:rPr>
        <w:t>Table 1</w:t>
      </w:r>
      <w:r w:rsidRPr="000E736D">
        <w:rPr>
          <w:rFonts w:ascii="Times New Roman" w:eastAsia="Times New Roman" w:hAnsi="Times New Roman" w:cs="Times New Roman"/>
          <w:sz w:val="24"/>
          <w:szCs w:val="24"/>
          <w:lang w:eastAsia="en-GB"/>
        </w:rPr>
        <w:t>:</w:t>
      </w:r>
    </w:p>
    <w:p w14:paraId="0103B212" w14:textId="384AE11B" w:rsidR="00986C87" w:rsidRPr="000E736D" w:rsidRDefault="00986C87" w:rsidP="000E736D">
      <w:pPr>
        <w:spacing w:before="100" w:beforeAutospacing="1" w:after="100" w:afterAutospacing="1" w:line="360" w:lineRule="auto"/>
        <w:rPr>
          <w:rFonts w:ascii="Times New Roman" w:eastAsia="Times New Roman" w:hAnsi="Times New Roman" w:cs="Times New Roman"/>
          <w:sz w:val="24"/>
          <w:szCs w:val="24"/>
          <w:lang w:eastAsia="en-GB"/>
        </w:rPr>
      </w:pPr>
      <w:r w:rsidRPr="00986C87">
        <w:rPr>
          <w:rFonts w:ascii="Times New Roman" w:eastAsia="Times New Roman" w:hAnsi="Times New Roman" w:cs="Times New Roman"/>
          <w:sz w:val="24"/>
          <w:szCs w:val="24"/>
          <w:lang w:eastAsia="en-GB"/>
        </w:rPr>
        <w:t>Table 1:</w:t>
      </w:r>
      <w:r>
        <w:rPr>
          <w:rFonts w:ascii="Times New Roman" w:eastAsia="Times New Roman" w:hAnsi="Times New Roman" w:cs="Times New Roman"/>
          <w:sz w:val="24"/>
          <w:szCs w:val="24"/>
          <w:lang w:eastAsia="en-GB"/>
        </w:rPr>
        <w:t xml:space="preserve"> </w:t>
      </w:r>
      <w:r w:rsidRPr="00986C87">
        <w:rPr>
          <w:rFonts w:ascii="Times New Roman" w:eastAsia="Times New Roman" w:hAnsi="Times New Roman" w:cs="Times New Roman"/>
          <w:sz w:val="24"/>
          <w:szCs w:val="24"/>
          <w:lang w:eastAsia="en-GB"/>
        </w:rPr>
        <w:t>Studies were eligible for inclusion if they met the following criteria, summarized using the PICOS framework</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375"/>
        <w:gridCol w:w="4215"/>
        <w:gridCol w:w="3436"/>
      </w:tblGrid>
      <w:tr w:rsidR="003277B8" w:rsidRPr="003277B8" w14:paraId="7A24D6EA" w14:textId="77777777" w:rsidTr="00DC3582">
        <w:trPr>
          <w:tblHeader/>
          <w:tblCellSpacing w:w="15" w:type="dxa"/>
        </w:trPr>
        <w:tc>
          <w:tcPr>
            <w:tcW w:w="0" w:type="auto"/>
            <w:tcBorders>
              <w:top w:val="single" w:sz="4" w:space="0" w:color="auto"/>
              <w:bottom w:val="single" w:sz="4" w:space="0" w:color="auto"/>
            </w:tcBorders>
            <w:vAlign w:val="center"/>
            <w:hideMark/>
          </w:tcPr>
          <w:p w14:paraId="53599FBF" w14:textId="77777777" w:rsidR="003277B8" w:rsidRPr="003277B8" w:rsidRDefault="003277B8" w:rsidP="000E736D">
            <w:pPr>
              <w:spacing w:after="0" w:line="240" w:lineRule="auto"/>
              <w:rPr>
                <w:rFonts w:ascii="Times New Roman" w:eastAsia="Times New Roman" w:hAnsi="Times New Roman" w:cs="Times New Roman"/>
                <w:b/>
                <w:bCs/>
                <w:sz w:val="24"/>
                <w:szCs w:val="24"/>
                <w:lang w:eastAsia="en-GB"/>
              </w:rPr>
            </w:pPr>
            <w:r w:rsidRPr="003277B8">
              <w:rPr>
                <w:rFonts w:ascii="Times New Roman" w:eastAsia="Times New Roman" w:hAnsi="Times New Roman" w:cs="Times New Roman"/>
                <w:b/>
                <w:bCs/>
                <w:sz w:val="24"/>
                <w:szCs w:val="24"/>
                <w:lang w:eastAsia="en-GB"/>
              </w:rPr>
              <w:lastRenderedPageBreak/>
              <w:t>Component</w:t>
            </w:r>
          </w:p>
        </w:tc>
        <w:tc>
          <w:tcPr>
            <w:tcW w:w="0" w:type="auto"/>
            <w:tcBorders>
              <w:top w:val="single" w:sz="4" w:space="0" w:color="auto"/>
              <w:bottom w:val="single" w:sz="4" w:space="0" w:color="auto"/>
            </w:tcBorders>
            <w:vAlign w:val="center"/>
            <w:hideMark/>
          </w:tcPr>
          <w:p w14:paraId="30524837" w14:textId="77777777" w:rsidR="003277B8" w:rsidRPr="003277B8" w:rsidRDefault="003277B8" w:rsidP="000E736D">
            <w:pPr>
              <w:spacing w:after="0" w:line="240" w:lineRule="auto"/>
              <w:rPr>
                <w:rFonts w:ascii="Times New Roman" w:eastAsia="Times New Roman" w:hAnsi="Times New Roman" w:cs="Times New Roman"/>
                <w:b/>
                <w:bCs/>
                <w:sz w:val="24"/>
                <w:szCs w:val="24"/>
                <w:lang w:eastAsia="en-GB"/>
              </w:rPr>
            </w:pPr>
            <w:r w:rsidRPr="003277B8">
              <w:rPr>
                <w:rFonts w:ascii="Times New Roman" w:eastAsia="Times New Roman" w:hAnsi="Times New Roman" w:cs="Times New Roman"/>
                <w:b/>
                <w:bCs/>
                <w:sz w:val="24"/>
                <w:szCs w:val="24"/>
                <w:lang w:eastAsia="en-GB"/>
              </w:rPr>
              <w:t>Inclusion Criteria</w:t>
            </w:r>
          </w:p>
        </w:tc>
        <w:tc>
          <w:tcPr>
            <w:tcW w:w="0" w:type="auto"/>
            <w:tcBorders>
              <w:top w:val="single" w:sz="4" w:space="0" w:color="auto"/>
              <w:bottom w:val="single" w:sz="4" w:space="0" w:color="auto"/>
            </w:tcBorders>
            <w:vAlign w:val="center"/>
            <w:hideMark/>
          </w:tcPr>
          <w:p w14:paraId="5FA93A0C" w14:textId="77777777" w:rsidR="003277B8" w:rsidRPr="003277B8" w:rsidRDefault="003277B8" w:rsidP="000E736D">
            <w:pPr>
              <w:spacing w:after="0" w:line="240" w:lineRule="auto"/>
              <w:rPr>
                <w:rFonts w:ascii="Times New Roman" w:eastAsia="Times New Roman" w:hAnsi="Times New Roman" w:cs="Times New Roman"/>
                <w:b/>
                <w:bCs/>
                <w:sz w:val="24"/>
                <w:szCs w:val="24"/>
                <w:lang w:eastAsia="en-GB"/>
              </w:rPr>
            </w:pPr>
            <w:r w:rsidRPr="003277B8">
              <w:rPr>
                <w:rFonts w:ascii="Times New Roman" w:eastAsia="Times New Roman" w:hAnsi="Times New Roman" w:cs="Times New Roman"/>
                <w:b/>
                <w:bCs/>
                <w:sz w:val="24"/>
                <w:szCs w:val="24"/>
                <w:lang w:eastAsia="en-GB"/>
              </w:rPr>
              <w:t>Exclusion Criteria</w:t>
            </w:r>
          </w:p>
        </w:tc>
      </w:tr>
      <w:tr w:rsidR="003277B8" w:rsidRPr="003277B8" w14:paraId="23E7027F" w14:textId="77777777" w:rsidTr="00DC3582">
        <w:trPr>
          <w:tblCellSpacing w:w="15" w:type="dxa"/>
        </w:trPr>
        <w:tc>
          <w:tcPr>
            <w:tcW w:w="0" w:type="auto"/>
            <w:vAlign w:val="center"/>
            <w:hideMark/>
          </w:tcPr>
          <w:p w14:paraId="7255D92C" w14:textId="77777777" w:rsidR="003277B8" w:rsidRPr="003277B8" w:rsidRDefault="003277B8" w:rsidP="000E736D">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b/>
                <w:bCs/>
                <w:sz w:val="24"/>
                <w:szCs w:val="24"/>
                <w:lang w:eastAsia="en-GB"/>
              </w:rPr>
              <w:t>Population</w:t>
            </w:r>
          </w:p>
        </w:tc>
        <w:tc>
          <w:tcPr>
            <w:tcW w:w="0" w:type="auto"/>
            <w:vAlign w:val="center"/>
            <w:hideMark/>
          </w:tcPr>
          <w:p w14:paraId="62796B16" w14:textId="77777777" w:rsidR="003277B8" w:rsidRPr="003277B8" w:rsidRDefault="003277B8" w:rsidP="000E736D">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Adults (≥18 years) diagnosed with Type 2 diabetes mellitus (T2DM)</w:t>
            </w:r>
          </w:p>
        </w:tc>
        <w:tc>
          <w:tcPr>
            <w:tcW w:w="0" w:type="auto"/>
            <w:vAlign w:val="center"/>
            <w:hideMark/>
          </w:tcPr>
          <w:p w14:paraId="670E1FCE" w14:textId="77777777" w:rsidR="003277B8" w:rsidRPr="003277B8" w:rsidRDefault="003277B8" w:rsidP="000E736D">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Children, adolescents, Type 1 diabetes, gestational diabetes</w:t>
            </w:r>
          </w:p>
        </w:tc>
      </w:tr>
      <w:tr w:rsidR="003277B8" w:rsidRPr="003277B8" w14:paraId="3E76F084" w14:textId="77777777" w:rsidTr="00DC3582">
        <w:trPr>
          <w:tblCellSpacing w:w="15" w:type="dxa"/>
        </w:trPr>
        <w:tc>
          <w:tcPr>
            <w:tcW w:w="0" w:type="auto"/>
            <w:vAlign w:val="center"/>
            <w:hideMark/>
          </w:tcPr>
          <w:p w14:paraId="705781C0" w14:textId="77777777" w:rsidR="003277B8" w:rsidRPr="003277B8" w:rsidRDefault="003277B8" w:rsidP="000E736D">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b/>
                <w:bCs/>
                <w:sz w:val="24"/>
                <w:szCs w:val="24"/>
                <w:lang w:eastAsia="en-GB"/>
              </w:rPr>
              <w:t>Intervention</w:t>
            </w:r>
          </w:p>
        </w:tc>
        <w:tc>
          <w:tcPr>
            <w:tcW w:w="0" w:type="auto"/>
            <w:vAlign w:val="center"/>
            <w:hideMark/>
          </w:tcPr>
          <w:p w14:paraId="681984C1" w14:textId="77777777" w:rsidR="003277B8" w:rsidRPr="003277B8" w:rsidRDefault="003277B8" w:rsidP="000E736D">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Plant-based diets (e.g., vegan, vegetarian, flexitarian)</w:t>
            </w:r>
          </w:p>
        </w:tc>
        <w:tc>
          <w:tcPr>
            <w:tcW w:w="0" w:type="auto"/>
            <w:vAlign w:val="center"/>
            <w:hideMark/>
          </w:tcPr>
          <w:p w14:paraId="3606D06F" w14:textId="77777777" w:rsidR="003277B8" w:rsidRPr="003277B8" w:rsidRDefault="003277B8" w:rsidP="000E736D">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Diets lacking plant-based components, or no clear plant-based focus</w:t>
            </w:r>
          </w:p>
        </w:tc>
      </w:tr>
      <w:tr w:rsidR="003277B8" w:rsidRPr="003277B8" w14:paraId="01D3B3D5" w14:textId="77777777" w:rsidTr="00DC3582">
        <w:trPr>
          <w:tblCellSpacing w:w="15" w:type="dxa"/>
        </w:trPr>
        <w:tc>
          <w:tcPr>
            <w:tcW w:w="0" w:type="auto"/>
            <w:vAlign w:val="center"/>
            <w:hideMark/>
          </w:tcPr>
          <w:p w14:paraId="73F5C8A6" w14:textId="77777777" w:rsidR="003277B8" w:rsidRPr="003277B8" w:rsidRDefault="003277B8" w:rsidP="000E736D">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b/>
                <w:bCs/>
                <w:sz w:val="24"/>
                <w:szCs w:val="24"/>
                <w:lang w:eastAsia="en-GB"/>
              </w:rPr>
              <w:t>Comparison</w:t>
            </w:r>
          </w:p>
        </w:tc>
        <w:tc>
          <w:tcPr>
            <w:tcW w:w="0" w:type="auto"/>
            <w:vAlign w:val="center"/>
            <w:hideMark/>
          </w:tcPr>
          <w:p w14:paraId="371F7A32" w14:textId="77777777" w:rsidR="003277B8" w:rsidRPr="003277B8" w:rsidRDefault="003277B8" w:rsidP="000E736D">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Omnivorous or conventional mixed diets</w:t>
            </w:r>
          </w:p>
        </w:tc>
        <w:tc>
          <w:tcPr>
            <w:tcW w:w="0" w:type="auto"/>
            <w:vAlign w:val="center"/>
            <w:hideMark/>
          </w:tcPr>
          <w:p w14:paraId="4D9FAD99" w14:textId="77777777" w:rsidR="003277B8" w:rsidRPr="003277B8" w:rsidRDefault="003277B8" w:rsidP="000E736D">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No comparator group or non-dietary interventions</w:t>
            </w:r>
          </w:p>
        </w:tc>
      </w:tr>
      <w:tr w:rsidR="003277B8" w:rsidRPr="003277B8" w14:paraId="5F5217BC" w14:textId="77777777" w:rsidTr="00DC3582">
        <w:trPr>
          <w:tblCellSpacing w:w="15" w:type="dxa"/>
        </w:trPr>
        <w:tc>
          <w:tcPr>
            <w:tcW w:w="0" w:type="auto"/>
            <w:vAlign w:val="center"/>
            <w:hideMark/>
          </w:tcPr>
          <w:p w14:paraId="31A69F69" w14:textId="77777777" w:rsidR="003277B8" w:rsidRPr="003277B8" w:rsidRDefault="003277B8" w:rsidP="000E736D">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b/>
                <w:bCs/>
                <w:sz w:val="24"/>
                <w:szCs w:val="24"/>
                <w:lang w:eastAsia="en-GB"/>
              </w:rPr>
              <w:t>Outcomes</w:t>
            </w:r>
          </w:p>
        </w:tc>
        <w:tc>
          <w:tcPr>
            <w:tcW w:w="0" w:type="auto"/>
            <w:vAlign w:val="center"/>
            <w:hideMark/>
          </w:tcPr>
          <w:p w14:paraId="603E5F5A" w14:textId="77777777" w:rsidR="003277B8" w:rsidRPr="003277B8" w:rsidRDefault="003277B8" w:rsidP="000E736D">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HbA1c, fasting glucose, insulin sensitivity (e.g., HOMA-IR), body weight, lipid profiles, CRP/IL-6 levels</w:t>
            </w:r>
          </w:p>
        </w:tc>
        <w:tc>
          <w:tcPr>
            <w:tcW w:w="0" w:type="auto"/>
            <w:vAlign w:val="center"/>
            <w:hideMark/>
          </w:tcPr>
          <w:p w14:paraId="53DCF93A" w14:textId="3C87E177" w:rsidR="003277B8" w:rsidRPr="003277B8" w:rsidRDefault="003277B8" w:rsidP="000E736D">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Studies not reporting on the relevant outcomes or surrogate markers of diabetes management</w:t>
            </w:r>
            <w:r w:rsidR="003B701C">
              <w:rPr>
                <w:rFonts w:ascii="Times New Roman" w:eastAsia="Times New Roman" w:hAnsi="Times New Roman" w:cs="Times New Roman"/>
                <w:sz w:val="24"/>
                <w:szCs w:val="24"/>
                <w:lang w:eastAsia="en-GB"/>
              </w:rPr>
              <w:t>.</w:t>
            </w:r>
          </w:p>
        </w:tc>
      </w:tr>
      <w:tr w:rsidR="003277B8" w:rsidRPr="003277B8" w14:paraId="75AB6221" w14:textId="77777777" w:rsidTr="00DC3582">
        <w:trPr>
          <w:tblCellSpacing w:w="15" w:type="dxa"/>
        </w:trPr>
        <w:tc>
          <w:tcPr>
            <w:tcW w:w="0" w:type="auto"/>
            <w:vAlign w:val="center"/>
            <w:hideMark/>
          </w:tcPr>
          <w:p w14:paraId="6B657630" w14:textId="77777777" w:rsidR="003277B8" w:rsidRPr="003277B8" w:rsidRDefault="003277B8" w:rsidP="000E736D">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b/>
                <w:bCs/>
                <w:sz w:val="24"/>
                <w:szCs w:val="24"/>
                <w:lang w:eastAsia="en-GB"/>
              </w:rPr>
              <w:t>Study Design</w:t>
            </w:r>
          </w:p>
        </w:tc>
        <w:tc>
          <w:tcPr>
            <w:tcW w:w="0" w:type="auto"/>
            <w:vAlign w:val="center"/>
            <w:hideMark/>
          </w:tcPr>
          <w:p w14:paraId="2E74090C" w14:textId="77777777" w:rsidR="003277B8" w:rsidRPr="003277B8" w:rsidRDefault="003277B8" w:rsidP="000E736D">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Peer-reviewed RCTs and prospective cohort studies</w:t>
            </w:r>
          </w:p>
        </w:tc>
        <w:tc>
          <w:tcPr>
            <w:tcW w:w="0" w:type="auto"/>
            <w:vAlign w:val="center"/>
            <w:hideMark/>
          </w:tcPr>
          <w:p w14:paraId="348BE3B5" w14:textId="77777777" w:rsidR="003277B8" w:rsidRPr="003277B8" w:rsidRDefault="003277B8" w:rsidP="000E736D">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Cross-sectional, retrospective, case-control studies, or narrative reviews</w:t>
            </w:r>
          </w:p>
        </w:tc>
      </w:tr>
      <w:tr w:rsidR="003277B8" w:rsidRPr="003277B8" w14:paraId="399C6E77" w14:textId="77777777" w:rsidTr="00DC3582">
        <w:trPr>
          <w:tblCellSpacing w:w="15" w:type="dxa"/>
        </w:trPr>
        <w:tc>
          <w:tcPr>
            <w:tcW w:w="0" w:type="auto"/>
            <w:vAlign w:val="center"/>
            <w:hideMark/>
          </w:tcPr>
          <w:p w14:paraId="4AE081DA" w14:textId="77777777" w:rsidR="003277B8" w:rsidRPr="003277B8" w:rsidRDefault="003277B8" w:rsidP="003277B8">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b/>
                <w:bCs/>
                <w:sz w:val="24"/>
                <w:szCs w:val="24"/>
                <w:lang w:eastAsia="en-GB"/>
              </w:rPr>
              <w:t>Duration</w:t>
            </w:r>
          </w:p>
        </w:tc>
        <w:tc>
          <w:tcPr>
            <w:tcW w:w="0" w:type="auto"/>
            <w:vAlign w:val="center"/>
            <w:hideMark/>
          </w:tcPr>
          <w:p w14:paraId="21E25766" w14:textId="77777777" w:rsidR="003277B8" w:rsidRPr="003277B8" w:rsidRDefault="003277B8" w:rsidP="003277B8">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Intervention/follow-up duration of ≥12 weeks</w:t>
            </w:r>
          </w:p>
        </w:tc>
        <w:tc>
          <w:tcPr>
            <w:tcW w:w="0" w:type="auto"/>
            <w:vAlign w:val="center"/>
            <w:hideMark/>
          </w:tcPr>
          <w:p w14:paraId="033F974F" w14:textId="77777777" w:rsidR="003277B8" w:rsidRPr="003277B8" w:rsidRDefault="003277B8" w:rsidP="003277B8">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Studies with intervention or follow-up duration &lt;12 weeks</w:t>
            </w:r>
          </w:p>
        </w:tc>
      </w:tr>
    </w:tbl>
    <w:p w14:paraId="4146B0FC" w14:textId="77777777" w:rsidR="003277B8" w:rsidRPr="000E736D" w:rsidRDefault="003277B8" w:rsidP="003277B8">
      <w:p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sidRPr="000E736D">
        <w:rPr>
          <w:rFonts w:ascii="Times New Roman" w:eastAsia="Times New Roman" w:hAnsi="Times New Roman" w:cs="Times New Roman"/>
          <w:b/>
          <w:bCs/>
          <w:sz w:val="24"/>
          <w:szCs w:val="24"/>
          <w:lang w:eastAsia="en-GB"/>
        </w:rPr>
        <w:t>2.5 Study Selection Process</w:t>
      </w:r>
    </w:p>
    <w:p w14:paraId="500097A7" w14:textId="3BE377B4" w:rsidR="003277B8" w:rsidRPr="00DC3582" w:rsidRDefault="003277B8" w:rsidP="00DC358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 xml:space="preserve">Following </w:t>
      </w:r>
      <w:r w:rsidR="003B701C">
        <w:rPr>
          <w:rFonts w:ascii="Times New Roman" w:eastAsia="Times New Roman" w:hAnsi="Times New Roman" w:cs="Times New Roman"/>
          <w:sz w:val="24"/>
          <w:szCs w:val="24"/>
          <w:lang w:eastAsia="en-GB"/>
        </w:rPr>
        <w:t xml:space="preserve">a </w:t>
      </w:r>
      <w:r w:rsidRPr="00DC3582">
        <w:rPr>
          <w:rFonts w:ascii="Times New Roman" w:eastAsia="Times New Roman" w:hAnsi="Times New Roman" w:cs="Times New Roman"/>
          <w:sz w:val="24"/>
          <w:szCs w:val="24"/>
          <w:lang w:eastAsia="en-GB"/>
        </w:rPr>
        <w:t xml:space="preserve">full-text review, </w:t>
      </w:r>
      <w:r w:rsidRPr="00DC3582">
        <w:rPr>
          <w:rFonts w:ascii="Times New Roman" w:eastAsia="Times New Roman" w:hAnsi="Times New Roman" w:cs="Times New Roman"/>
          <w:bCs/>
          <w:sz w:val="24"/>
          <w:szCs w:val="24"/>
          <w:lang w:eastAsia="en-GB"/>
        </w:rPr>
        <w:t>27 studies</w:t>
      </w:r>
      <w:r w:rsidRPr="00DC3582">
        <w:rPr>
          <w:rFonts w:ascii="Times New Roman" w:eastAsia="Times New Roman" w:hAnsi="Times New Roman" w:cs="Times New Roman"/>
          <w:sz w:val="24"/>
          <w:szCs w:val="24"/>
          <w:lang w:eastAsia="en-GB"/>
        </w:rPr>
        <w:t xml:space="preserve"> met all the inclusion criteria and were included in the review: </w:t>
      </w:r>
      <w:r w:rsidRPr="00DC3582">
        <w:rPr>
          <w:rFonts w:ascii="Times New Roman" w:eastAsia="Times New Roman" w:hAnsi="Times New Roman" w:cs="Times New Roman"/>
          <w:bCs/>
          <w:sz w:val="24"/>
          <w:szCs w:val="24"/>
          <w:lang w:eastAsia="en-GB"/>
        </w:rPr>
        <w:t>16 RCTs</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11 cohort studies</w:t>
      </w:r>
      <w:r w:rsidRPr="00DC3582">
        <w:rPr>
          <w:rFonts w:ascii="Times New Roman" w:eastAsia="Times New Roman" w:hAnsi="Times New Roman" w:cs="Times New Roman"/>
          <w:sz w:val="24"/>
          <w:szCs w:val="24"/>
          <w:lang w:eastAsia="en-GB"/>
        </w:rPr>
        <w:t xml:space="preserve">. The details of the selection process, including reasons for exclusion, are illustrated in </w:t>
      </w:r>
      <w:r w:rsidRPr="00DC3582">
        <w:rPr>
          <w:rFonts w:ascii="Times New Roman" w:eastAsia="Times New Roman" w:hAnsi="Times New Roman" w:cs="Times New Roman"/>
          <w:bCs/>
          <w:sz w:val="24"/>
          <w:szCs w:val="24"/>
          <w:lang w:eastAsia="en-GB"/>
        </w:rPr>
        <w:t>Figure 1</w:t>
      </w:r>
      <w:r w:rsidRPr="00DC3582">
        <w:rPr>
          <w:rFonts w:ascii="Times New Roman" w:eastAsia="Times New Roman" w:hAnsi="Times New Roman" w:cs="Times New Roman"/>
          <w:sz w:val="24"/>
          <w:szCs w:val="24"/>
          <w:lang w:eastAsia="en-GB"/>
        </w:rPr>
        <w:t>, the PRISMA flow diagram.</w:t>
      </w:r>
    </w:p>
    <w:p w14:paraId="41C6AEEB" w14:textId="77777777" w:rsidR="00540D29" w:rsidRDefault="00540D29" w:rsidP="00540D29">
      <w:pPr>
        <w:pStyle w:val="NormalWeb"/>
      </w:pPr>
      <w:r>
        <w:rPr>
          <w:noProof/>
        </w:rPr>
        <w:drawing>
          <wp:inline distT="0" distB="0" distL="0" distR="0" wp14:anchorId="21AFF144" wp14:editId="31285138">
            <wp:extent cx="5715000" cy="3131389"/>
            <wp:effectExtent l="0" t="0" r="0" b="0"/>
            <wp:docPr id="1" name="Picture 1" descr="C:\Users\Education\Downloads\ChatGPT Image May 5, 2025, 05_34_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cation\Downloads\ChatGPT Image May 5, 2025, 05_34_12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6348" cy="3159524"/>
                    </a:xfrm>
                    <a:prstGeom prst="rect">
                      <a:avLst/>
                    </a:prstGeom>
                    <a:noFill/>
                    <a:ln>
                      <a:noFill/>
                    </a:ln>
                  </pic:spPr>
                </pic:pic>
              </a:graphicData>
            </a:graphic>
          </wp:inline>
        </w:drawing>
      </w:r>
    </w:p>
    <w:p w14:paraId="7E31519F" w14:textId="77777777" w:rsidR="003277B8" w:rsidRPr="00540D29" w:rsidRDefault="003277B8" w:rsidP="003277B8">
      <w:pPr>
        <w:spacing w:before="100" w:beforeAutospacing="1" w:after="100" w:afterAutospacing="1" w:line="240" w:lineRule="auto"/>
        <w:outlineLvl w:val="3"/>
        <w:rPr>
          <w:rFonts w:ascii="Times New Roman" w:eastAsia="Times New Roman" w:hAnsi="Times New Roman" w:cs="Times New Roman"/>
          <w:bCs/>
          <w:i/>
          <w:sz w:val="24"/>
          <w:szCs w:val="24"/>
          <w:lang w:eastAsia="en-GB"/>
        </w:rPr>
      </w:pPr>
      <w:r w:rsidRPr="003277B8">
        <w:rPr>
          <w:rFonts w:ascii="Times New Roman" w:eastAsia="Times New Roman" w:hAnsi="Times New Roman" w:cs="Times New Roman"/>
          <w:bCs/>
          <w:i/>
          <w:sz w:val="24"/>
          <w:szCs w:val="24"/>
          <w:lang w:eastAsia="en-GB"/>
        </w:rPr>
        <w:t>Figure 1: PRISMA Flow Diagram of Study Selection</w:t>
      </w:r>
    </w:p>
    <w:p w14:paraId="45154250" w14:textId="63974D2D" w:rsidR="00540D29" w:rsidRPr="00540D29" w:rsidRDefault="00540D29" w:rsidP="00540D29">
      <w:pPr>
        <w:spacing w:before="100" w:beforeAutospacing="1" w:after="100" w:afterAutospacing="1" w:line="360" w:lineRule="auto"/>
        <w:jc w:val="both"/>
        <w:outlineLvl w:val="2"/>
        <w:rPr>
          <w:rFonts w:ascii="Times New Roman" w:hAnsi="Times New Roman" w:cs="Times New Roman"/>
          <w:sz w:val="24"/>
          <w:szCs w:val="24"/>
        </w:rPr>
      </w:pPr>
      <w:r w:rsidRPr="00540D29">
        <w:rPr>
          <w:rFonts w:ascii="Times New Roman" w:hAnsi="Times New Roman" w:cs="Times New Roman"/>
          <w:sz w:val="24"/>
          <w:szCs w:val="24"/>
        </w:rPr>
        <w:t xml:space="preserve">The PRISMA Flow Diagram outlines the process used to select studies for inclusion in the systematic review. Initially, a database search identified 2,473 records, and after removing </w:t>
      </w:r>
      <w:r w:rsidRPr="00540D29">
        <w:rPr>
          <w:rFonts w:ascii="Times New Roman" w:hAnsi="Times New Roman" w:cs="Times New Roman"/>
          <w:sz w:val="24"/>
          <w:szCs w:val="24"/>
        </w:rPr>
        <w:lastRenderedPageBreak/>
        <w:t xml:space="preserve">duplicates, 1,964 articles were left for screening. During the screening phase, </w:t>
      </w:r>
      <w:r w:rsidR="003B701C">
        <w:rPr>
          <w:rFonts w:ascii="Times New Roman" w:hAnsi="Times New Roman" w:cs="Times New Roman"/>
          <w:sz w:val="24"/>
          <w:szCs w:val="24"/>
        </w:rPr>
        <w:t xml:space="preserve">the </w:t>
      </w:r>
      <w:r w:rsidRPr="00540D29">
        <w:rPr>
          <w:rFonts w:ascii="Times New Roman" w:hAnsi="Times New Roman" w:cs="Times New Roman"/>
          <w:sz w:val="24"/>
          <w:szCs w:val="24"/>
        </w:rPr>
        <w:t>titles and abstracts of these articles were reviewed, resulting in the exclusion of 1,812 articles due to irrelevant topics, unsuitable study designs, or lack of clear outcome measures. Following this, a full-text review of the remaining 152 articles was conducted, leading to the exclusion of 125 studies that did not meet the inclusion criteria, such as having an incorrect population, a short study duration, or no clear plant-based intervention. In the final step, 27 studies were included in the synthesis, consisting of 16 randomized controlled trials (RCTs) and 11 cohort studies.</w:t>
      </w:r>
    </w:p>
    <w:p w14:paraId="5B9DD326" w14:textId="77777777" w:rsidR="003277B8" w:rsidRPr="000E736D" w:rsidRDefault="000E736D" w:rsidP="003277B8">
      <w:p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sidRPr="000E736D">
        <w:rPr>
          <w:rFonts w:ascii="Times New Roman" w:eastAsia="Times New Roman" w:hAnsi="Times New Roman" w:cs="Times New Roman"/>
          <w:b/>
          <w:bCs/>
          <w:sz w:val="24"/>
          <w:szCs w:val="24"/>
          <w:lang w:eastAsia="en-GB"/>
        </w:rPr>
        <w:t>3</w:t>
      </w:r>
      <w:r w:rsidR="003277B8" w:rsidRPr="000E736D">
        <w:rPr>
          <w:rFonts w:ascii="Times New Roman" w:eastAsia="Times New Roman" w:hAnsi="Times New Roman" w:cs="Times New Roman"/>
          <w:b/>
          <w:bCs/>
          <w:sz w:val="24"/>
          <w:szCs w:val="24"/>
          <w:lang w:eastAsia="en-GB"/>
        </w:rPr>
        <w:t>.6 Data Extraction and Management</w:t>
      </w:r>
    </w:p>
    <w:p w14:paraId="50BA3BB6" w14:textId="77777777" w:rsidR="00540D29" w:rsidRPr="00540D29" w:rsidRDefault="00540D29" w:rsidP="00540D29">
      <w:pPr>
        <w:spacing w:before="100" w:beforeAutospacing="1" w:after="100" w:afterAutospacing="1" w:line="360" w:lineRule="auto"/>
        <w:jc w:val="both"/>
        <w:outlineLvl w:val="2"/>
        <w:rPr>
          <w:rFonts w:ascii="Times New Roman" w:hAnsi="Times New Roman" w:cs="Times New Roman"/>
          <w:sz w:val="24"/>
          <w:szCs w:val="24"/>
        </w:rPr>
      </w:pPr>
      <w:r w:rsidRPr="00540D29">
        <w:rPr>
          <w:rFonts w:ascii="Times New Roman" w:hAnsi="Times New Roman" w:cs="Times New Roman"/>
          <w:sz w:val="24"/>
          <w:szCs w:val="24"/>
        </w:rPr>
        <w:t>Data were independently extracted by two reviewers using a structured data extraction form in Microsoft Excel to ensure consistency and accuracy. Any discrepancies in the data extraction process were resolved through discussion or, when necessary, by consulting a third reviewer. The extracted data encompassed several key components, including study identifiers such as the authors, publication year, and country of study. Study design was also recorded, specifying whether the study was a randomized controlled trial (RCT) or a cohort study. Participant characteristics such as age, sex, baseline body mass index (BMI), baseline HbA1c levels, co-morbidities, and the inclusion/exclusion criteria were also documented. Additionally, the types of plant-based diets (e.g., vegan, vegetarian, flexitarian), the description of the omnivorous control diet, caloric intake, and dietary guidance provided to participants were noted. Outcome measures included both primary outcomes (such as HbA1c, fasting glucose, and insulin sensitivity) and secondary outcomes (including body weight, lipid profiles, and inflammatory markers like CRP and IL-6). Statistical data were extracted, including mean differences with 95% confidence intervals, p-values, and effect sizes when available. Finally, the study quality and potential bias were assessed, including information on sample size, dropout rates, and risk of bias.</w:t>
      </w:r>
    </w:p>
    <w:p w14:paraId="139185F8" w14:textId="77777777" w:rsidR="003277B8" w:rsidRPr="000E736D" w:rsidRDefault="000E736D" w:rsidP="003277B8">
      <w:p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sidRPr="000E736D">
        <w:rPr>
          <w:rFonts w:ascii="Times New Roman" w:eastAsia="Times New Roman" w:hAnsi="Times New Roman" w:cs="Times New Roman"/>
          <w:b/>
          <w:bCs/>
          <w:sz w:val="24"/>
          <w:szCs w:val="24"/>
          <w:lang w:eastAsia="en-GB"/>
        </w:rPr>
        <w:t>3</w:t>
      </w:r>
      <w:r w:rsidR="003277B8" w:rsidRPr="000E736D">
        <w:rPr>
          <w:rFonts w:ascii="Times New Roman" w:eastAsia="Times New Roman" w:hAnsi="Times New Roman" w:cs="Times New Roman"/>
          <w:b/>
          <w:bCs/>
          <w:sz w:val="24"/>
          <w:szCs w:val="24"/>
          <w:lang w:eastAsia="en-GB"/>
        </w:rPr>
        <w:t>.7 Quality and Risk of Bias Assessment</w:t>
      </w:r>
    </w:p>
    <w:p w14:paraId="50CD2E32" w14:textId="77777777" w:rsidR="00540D29" w:rsidRPr="000E736D" w:rsidRDefault="00540D29" w:rsidP="000E736D">
      <w:pPr>
        <w:spacing w:before="100" w:beforeAutospacing="1" w:after="100" w:afterAutospacing="1" w:line="360" w:lineRule="auto"/>
        <w:jc w:val="both"/>
        <w:outlineLvl w:val="3"/>
        <w:rPr>
          <w:rFonts w:ascii="Times New Roman" w:hAnsi="Times New Roman" w:cs="Times New Roman"/>
          <w:sz w:val="24"/>
          <w:szCs w:val="24"/>
        </w:rPr>
      </w:pPr>
      <w:r w:rsidRPr="000E736D">
        <w:rPr>
          <w:rFonts w:ascii="Times New Roman" w:hAnsi="Times New Roman" w:cs="Times New Roman"/>
          <w:sz w:val="24"/>
          <w:szCs w:val="24"/>
        </w:rPr>
        <w:t>To assess the risk of bias and internal validity of the included studies, two established tools were utilized. The Cochrane Risk of Bias Tool (</w:t>
      </w:r>
      <w:proofErr w:type="spellStart"/>
      <w:r w:rsidRPr="000E736D">
        <w:rPr>
          <w:rFonts w:ascii="Times New Roman" w:hAnsi="Times New Roman" w:cs="Times New Roman"/>
          <w:sz w:val="24"/>
          <w:szCs w:val="24"/>
        </w:rPr>
        <w:t>RoB</w:t>
      </w:r>
      <w:proofErr w:type="spellEnd"/>
      <w:r w:rsidRPr="000E736D">
        <w:rPr>
          <w:rFonts w:ascii="Times New Roman" w:hAnsi="Times New Roman" w:cs="Times New Roman"/>
          <w:sz w:val="24"/>
          <w:szCs w:val="24"/>
        </w:rPr>
        <w:t xml:space="preserve"> 2.0) was applied to all randomized controlled trials (RCTs), evaluating five key domains: sequence generation, allocation concealment, blinding, incomplete outcome data, and selective reporting. Based on the evaluation of each domain, studies were categorized as having a low risk, some concerns, or a high risk of bias. For cohort studies, the Newcastle-Ottawa Scale (NOS) was employed to assess the selection of participants, the comparability of cohorts, and the assessment of </w:t>
      </w:r>
      <w:r w:rsidRPr="000E736D">
        <w:rPr>
          <w:rFonts w:ascii="Times New Roman" w:hAnsi="Times New Roman" w:cs="Times New Roman"/>
          <w:sz w:val="24"/>
          <w:szCs w:val="24"/>
        </w:rPr>
        <w:lastRenderedPageBreak/>
        <w:t>outcomes. Studies were then rated on a scale of 0 to 9 stars, with studies receiving 7–9 stars categorized as high quality, 5–6 stars as moderate quality, and 0–4 stars as low quality. These tools helped ensure a rigorous evaluation of study quality and bias, enhancing the reliability of the synthesis findings.</w:t>
      </w:r>
      <w:r w:rsidR="000E736D">
        <w:rPr>
          <w:rFonts w:ascii="Times New Roman" w:hAnsi="Times New Roman" w:cs="Times New Roman"/>
          <w:sz w:val="24"/>
          <w:szCs w:val="24"/>
        </w:rPr>
        <w:t xml:space="preserve"> Table 2 summarises the risk of bias</w:t>
      </w:r>
    </w:p>
    <w:p w14:paraId="6A72095B" w14:textId="77777777" w:rsidR="003277B8" w:rsidRPr="000E736D" w:rsidRDefault="003277B8" w:rsidP="000E736D">
      <w:pPr>
        <w:spacing w:after="0" w:line="240" w:lineRule="auto"/>
        <w:outlineLvl w:val="3"/>
        <w:rPr>
          <w:rFonts w:ascii="Times New Roman" w:eastAsia="Times New Roman" w:hAnsi="Times New Roman" w:cs="Times New Roman"/>
          <w:bCs/>
          <w:i/>
          <w:sz w:val="24"/>
          <w:szCs w:val="24"/>
          <w:lang w:eastAsia="en-GB"/>
        </w:rPr>
      </w:pPr>
      <w:r w:rsidRPr="000E736D">
        <w:rPr>
          <w:rFonts w:ascii="Times New Roman" w:eastAsia="Times New Roman" w:hAnsi="Times New Roman" w:cs="Times New Roman"/>
          <w:bCs/>
          <w:i/>
          <w:sz w:val="24"/>
          <w:szCs w:val="24"/>
          <w:lang w:eastAsia="en-GB"/>
        </w:rPr>
        <w:t>Table 2: Risk of Bias Assessment Summary</w:t>
      </w:r>
    </w:p>
    <w:tbl>
      <w:tblPr>
        <w:tblW w:w="880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54"/>
        <w:gridCol w:w="1296"/>
        <w:gridCol w:w="1490"/>
        <w:gridCol w:w="1950"/>
        <w:gridCol w:w="1311"/>
      </w:tblGrid>
      <w:tr w:rsidR="003277B8" w:rsidRPr="003277B8" w14:paraId="7FD5ACC3" w14:textId="77777777" w:rsidTr="000E736D">
        <w:trPr>
          <w:trHeight w:val="270"/>
          <w:tblHeader/>
          <w:tblCellSpacing w:w="15" w:type="dxa"/>
        </w:trPr>
        <w:tc>
          <w:tcPr>
            <w:tcW w:w="0" w:type="auto"/>
            <w:vAlign w:val="center"/>
            <w:hideMark/>
          </w:tcPr>
          <w:p w14:paraId="33DDD60E" w14:textId="77777777" w:rsidR="003277B8" w:rsidRPr="003277B8" w:rsidRDefault="003277B8" w:rsidP="003277B8">
            <w:pPr>
              <w:spacing w:after="0" w:line="240" w:lineRule="auto"/>
              <w:jc w:val="center"/>
              <w:rPr>
                <w:rFonts w:ascii="Times New Roman" w:eastAsia="Times New Roman" w:hAnsi="Times New Roman" w:cs="Times New Roman"/>
                <w:b/>
                <w:bCs/>
                <w:sz w:val="24"/>
                <w:szCs w:val="24"/>
                <w:lang w:eastAsia="en-GB"/>
              </w:rPr>
            </w:pPr>
            <w:r w:rsidRPr="003277B8">
              <w:rPr>
                <w:rFonts w:ascii="Times New Roman" w:eastAsia="Times New Roman" w:hAnsi="Times New Roman" w:cs="Times New Roman"/>
                <w:b/>
                <w:bCs/>
                <w:sz w:val="24"/>
                <w:szCs w:val="24"/>
                <w:lang w:eastAsia="en-GB"/>
              </w:rPr>
              <w:t>Study Type</w:t>
            </w:r>
          </w:p>
        </w:tc>
        <w:tc>
          <w:tcPr>
            <w:tcW w:w="0" w:type="auto"/>
            <w:vAlign w:val="center"/>
            <w:hideMark/>
          </w:tcPr>
          <w:p w14:paraId="6069A370" w14:textId="77777777" w:rsidR="003277B8" w:rsidRPr="003277B8" w:rsidRDefault="003277B8" w:rsidP="003277B8">
            <w:pPr>
              <w:spacing w:after="0" w:line="240" w:lineRule="auto"/>
              <w:jc w:val="center"/>
              <w:rPr>
                <w:rFonts w:ascii="Times New Roman" w:eastAsia="Times New Roman" w:hAnsi="Times New Roman" w:cs="Times New Roman"/>
                <w:b/>
                <w:bCs/>
                <w:sz w:val="24"/>
                <w:szCs w:val="24"/>
                <w:lang w:eastAsia="en-GB"/>
              </w:rPr>
            </w:pPr>
            <w:r w:rsidRPr="003277B8">
              <w:rPr>
                <w:rFonts w:ascii="Times New Roman" w:eastAsia="Times New Roman" w:hAnsi="Times New Roman" w:cs="Times New Roman"/>
                <w:b/>
                <w:bCs/>
                <w:sz w:val="24"/>
                <w:szCs w:val="24"/>
                <w:lang w:eastAsia="en-GB"/>
              </w:rPr>
              <w:t>Tool Used</w:t>
            </w:r>
          </w:p>
        </w:tc>
        <w:tc>
          <w:tcPr>
            <w:tcW w:w="0" w:type="auto"/>
            <w:vAlign w:val="center"/>
            <w:hideMark/>
          </w:tcPr>
          <w:p w14:paraId="4FAFDD0C" w14:textId="77777777" w:rsidR="003277B8" w:rsidRPr="003277B8" w:rsidRDefault="003277B8" w:rsidP="003277B8">
            <w:pPr>
              <w:spacing w:after="0" w:line="240" w:lineRule="auto"/>
              <w:jc w:val="center"/>
              <w:rPr>
                <w:rFonts w:ascii="Times New Roman" w:eastAsia="Times New Roman" w:hAnsi="Times New Roman" w:cs="Times New Roman"/>
                <w:b/>
                <w:bCs/>
                <w:sz w:val="24"/>
                <w:szCs w:val="24"/>
                <w:lang w:eastAsia="en-GB"/>
              </w:rPr>
            </w:pPr>
            <w:r w:rsidRPr="003277B8">
              <w:rPr>
                <w:rFonts w:ascii="Times New Roman" w:eastAsia="Times New Roman" w:hAnsi="Times New Roman" w:cs="Times New Roman"/>
                <w:b/>
                <w:bCs/>
                <w:sz w:val="24"/>
                <w:szCs w:val="24"/>
                <w:lang w:eastAsia="en-GB"/>
              </w:rPr>
              <w:t>Low Risk</w:t>
            </w:r>
          </w:p>
        </w:tc>
        <w:tc>
          <w:tcPr>
            <w:tcW w:w="0" w:type="auto"/>
            <w:vAlign w:val="center"/>
            <w:hideMark/>
          </w:tcPr>
          <w:p w14:paraId="28BFFBA3" w14:textId="77777777" w:rsidR="003277B8" w:rsidRPr="003277B8" w:rsidRDefault="003277B8" w:rsidP="003277B8">
            <w:pPr>
              <w:spacing w:after="0" w:line="240" w:lineRule="auto"/>
              <w:jc w:val="center"/>
              <w:rPr>
                <w:rFonts w:ascii="Times New Roman" w:eastAsia="Times New Roman" w:hAnsi="Times New Roman" w:cs="Times New Roman"/>
                <w:b/>
                <w:bCs/>
                <w:sz w:val="24"/>
                <w:szCs w:val="24"/>
                <w:lang w:eastAsia="en-GB"/>
              </w:rPr>
            </w:pPr>
            <w:r w:rsidRPr="003277B8">
              <w:rPr>
                <w:rFonts w:ascii="Times New Roman" w:eastAsia="Times New Roman" w:hAnsi="Times New Roman" w:cs="Times New Roman"/>
                <w:b/>
                <w:bCs/>
                <w:sz w:val="24"/>
                <w:szCs w:val="24"/>
                <w:lang w:eastAsia="en-GB"/>
              </w:rPr>
              <w:t>Some Concerns</w:t>
            </w:r>
          </w:p>
        </w:tc>
        <w:tc>
          <w:tcPr>
            <w:tcW w:w="0" w:type="auto"/>
            <w:vAlign w:val="center"/>
            <w:hideMark/>
          </w:tcPr>
          <w:p w14:paraId="682573BB" w14:textId="77777777" w:rsidR="003277B8" w:rsidRPr="003277B8" w:rsidRDefault="003277B8" w:rsidP="003277B8">
            <w:pPr>
              <w:spacing w:after="0" w:line="240" w:lineRule="auto"/>
              <w:jc w:val="center"/>
              <w:rPr>
                <w:rFonts w:ascii="Times New Roman" w:eastAsia="Times New Roman" w:hAnsi="Times New Roman" w:cs="Times New Roman"/>
                <w:b/>
                <w:bCs/>
                <w:sz w:val="24"/>
                <w:szCs w:val="24"/>
                <w:lang w:eastAsia="en-GB"/>
              </w:rPr>
            </w:pPr>
            <w:r w:rsidRPr="003277B8">
              <w:rPr>
                <w:rFonts w:ascii="Times New Roman" w:eastAsia="Times New Roman" w:hAnsi="Times New Roman" w:cs="Times New Roman"/>
                <w:b/>
                <w:bCs/>
                <w:sz w:val="24"/>
                <w:szCs w:val="24"/>
                <w:lang w:eastAsia="en-GB"/>
              </w:rPr>
              <w:t>High Risk</w:t>
            </w:r>
          </w:p>
        </w:tc>
      </w:tr>
      <w:tr w:rsidR="003277B8" w:rsidRPr="003277B8" w14:paraId="2FCCECAD" w14:textId="77777777" w:rsidTr="000E736D">
        <w:trPr>
          <w:trHeight w:val="270"/>
          <w:tblCellSpacing w:w="15" w:type="dxa"/>
        </w:trPr>
        <w:tc>
          <w:tcPr>
            <w:tcW w:w="0" w:type="auto"/>
            <w:vAlign w:val="center"/>
            <w:hideMark/>
          </w:tcPr>
          <w:p w14:paraId="4351C141" w14:textId="77777777" w:rsidR="003277B8" w:rsidRPr="003277B8" w:rsidRDefault="003277B8" w:rsidP="003277B8">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b/>
                <w:bCs/>
                <w:sz w:val="24"/>
                <w:szCs w:val="24"/>
                <w:lang w:eastAsia="en-GB"/>
              </w:rPr>
              <w:t>RCTs (n=16)</w:t>
            </w:r>
          </w:p>
        </w:tc>
        <w:tc>
          <w:tcPr>
            <w:tcW w:w="0" w:type="auto"/>
            <w:vAlign w:val="center"/>
            <w:hideMark/>
          </w:tcPr>
          <w:p w14:paraId="326FC3BD" w14:textId="77777777" w:rsidR="003277B8" w:rsidRPr="003277B8" w:rsidRDefault="003277B8" w:rsidP="003277B8">
            <w:pPr>
              <w:spacing w:after="0" w:line="240" w:lineRule="auto"/>
              <w:rPr>
                <w:rFonts w:ascii="Times New Roman" w:eastAsia="Times New Roman" w:hAnsi="Times New Roman" w:cs="Times New Roman"/>
                <w:sz w:val="24"/>
                <w:szCs w:val="24"/>
                <w:lang w:eastAsia="en-GB"/>
              </w:rPr>
            </w:pPr>
            <w:proofErr w:type="spellStart"/>
            <w:r w:rsidRPr="003277B8">
              <w:rPr>
                <w:rFonts w:ascii="Times New Roman" w:eastAsia="Times New Roman" w:hAnsi="Times New Roman" w:cs="Times New Roman"/>
                <w:sz w:val="24"/>
                <w:szCs w:val="24"/>
                <w:lang w:eastAsia="en-GB"/>
              </w:rPr>
              <w:t>RoB</w:t>
            </w:r>
            <w:proofErr w:type="spellEnd"/>
            <w:r w:rsidRPr="003277B8">
              <w:rPr>
                <w:rFonts w:ascii="Times New Roman" w:eastAsia="Times New Roman" w:hAnsi="Times New Roman" w:cs="Times New Roman"/>
                <w:sz w:val="24"/>
                <w:szCs w:val="24"/>
                <w:lang w:eastAsia="en-GB"/>
              </w:rPr>
              <w:t xml:space="preserve"> 2.0</w:t>
            </w:r>
          </w:p>
        </w:tc>
        <w:tc>
          <w:tcPr>
            <w:tcW w:w="0" w:type="auto"/>
            <w:vAlign w:val="center"/>
            <w:hideMark/>
          </w:tcPr>
          <w:p w14:paraId="04B4FD6F" w14:textId="77777777" w:rsidR="003277B8" w:rsidRPr="003277B8" w:rsidRDefault="003277B8" w:rsidP="003277B8">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10</w:t>
            </w:r>
          </w:p>
        </w:tc>
        <w:tc>
          <w:tcPr>
            <w:tcW w:w="0" w:type="auto"/>
            <w:vAlign w:val="center"/>
            <w:hideMark/>
          </w:tcPr>
          <w:p w14:paraId="2E6B41A6" w14:textId="77777777" w:rsidR="003277B8" w:rsidRPr="003277B8" w:rsidRDefault="003277B8" w:rsidP="003277B8">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6</w:t>
            </w:r>
          </w:p>
        </w:tc>
        <w:tc>
          <w:tcPr>
            <w:tcW w:w="0" w:type="auto"/>
            <w:vAlign w:val="center"/>
            <w:hideMark/>
          </w:tcPr>
          <w:p w14:paraId="63C24B3A" w14:textId="77777777" w:rsidR="003277B8" w:rsidRPr="003277B8" w:rsidRDefault="003277B8" w:rsidP="003277B8">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0</w:t>
            </w:r>
          </w:p>
        </w:tc>
      </w:tr>
      <w:tr w:rsidR="003277B8" w:rsidRPr="003277B8" w14:paraId="628957AA" w14:textId="77777777" w:rsidTr="000E736D">
        <w:trPr>
          <w:trHeight w:val="285"/>
          <w:tblCellSpacing w:w="15" w:type="dxa"/>
        </w:trPr>
        <w:tc>
          <w:tcPr>
            <w:tcW w:w="0" w:type="auto"/>
            <w:vAlign w:val="center"/>
            <w:hideMark/>
          </w:tcPr>
          <w:p w14:paraId="63A0854F" w14:textId="77777777" w:rsidR="003277B8" w:rsidRPr="003277B8" w:rsidRDefault="003277B8" w:rsidP="003277B8">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b/>
                <w:bCs/>
                <w:sz w:val="24"/>
                <w:szCs w:val="24"/>
                <w:lang w:eastAsia="en-GB"/>
              </w:rPr>
              <w:t>Cohort Studies (n=11)</w:t>
            </w:r>
          </w:p>
        </w:tc>
        <w:tc>
          <w:tcPr>
            <w:tcW w:w="0" w:type="auto"/>
            <w:vAlign w:val="center"/>
            <w:hideMark/>
          </w:tcPr>
          <w:p w14:paraId="20270716" w14:textId="77777777" w:rsidR="003277B8" w:rsidRPr="003277B8" w:rsidRDefault="003277B8" w:rsidP="003277B8">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NOS</w:t>
            </w:r>
          </w:p>
        </w:tc>
        <w:tc>
          <w:tcPr>
            <w:tcW w:w="0" w:type="auto"/>
            <w:vAlign w:val="center"/>
            <w:hideMark/>
          </w:tcPr>
          <w:p w14:paraId="1447933D" w14:textId="77777777" w:rsidR="003277B8" w:rsidRPr="003277B8" w:rsidRDefault="003277B8" w:rsidP="003277B8">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8 (7–9 stars)</w:t>
            </w:r>
          </w:p>
        </w:tc>
        <w:tc>
          <w:tcPr>
            <w:tcW w:w="0" w:type="auto"/>
            <w:vAlign w:val="center"/>
            <w:hideMark/>
          </w:tcPr>
          <w:p w14:paraId="18E84023" w14:textId="77777777" w:rsidR="003277B8" w:rsidRPr="003277B8" w:rsidRDefault="003277B8" w:rsidP="003277B8">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3 (5–6 stars)</w:t>
            </w:r>
          </w:p>
        </w:tc>
        <w:tc>
          <w:tcPr>
            <w:tcW w:w="0" w:type="auto"/>
            <w:vAlign w:val="center"/>
            <w:hideMark/>
          </w:tcPr>
          <w:p w14:paraId="20F1424D" w14:textId="77777777" w:rsidR="003277B8" w:rsidRPr="003277B8" w:rsidRDefault="003277B8" w:rsidP="003277B8">
            <w:pPr>
              <w:spacing w:after="0" w:line="240" w:lineRule="auto"/>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0</w:t>
            </w:r>
          </w:p>
        </w:tc>
      </w:tr>
    </w:tbl>
    <w:p w14:paraId="49F510D7" w14:textId="77777777" w:rsidR="003277B8" w:rsidRPr="003277B8" w:rsidRDefault="000E736D" w:rsidP="003277B8">
      <w:p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3</w:t>
      </w:r>
      <w:r w:rsidR="003277B8" w:rsidRPr="003277B8">
        <w:rPr>
          <w:rFonts w:ascii="Times New Roman" w:eastAsia="Times New Roman" w:hAnsi="Times New Roman" w:cs="Times New Roman"/>
          <w:b/>
          <w:bCs/>
          <w:sz w:val="24"/>
          <w:szCs w:val="24"/>
          <w:lang w:eastAsia="en-GB"/>
        </w:rPr>
        <w:t>.8 Data Synthesis and Statistical Approach</w:t>
      </w:r>
    </w:p>
    <w:p w14:paraId="5993DA27" w14:textId="77777777" w:rsidR="00540D29" w:rsidRPr="00540D29" w:rsidRDefault="00540D29" w:rsidP="000E736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540D29">
        <w:rPr>
          <w:rFonts w:ascii="Times New Roman" w:eastAsia="Times New Roman" w:hAnsi="Times New Roman" w:cs="Times New Roman"/>
          <w:sz w:val="24"/>
          <w:szCs w:val="24"/>
          <w:lang w:eastAsia="en-GB"/>
        </w:rPr>
        <w:t xml:space="preserve">Given the substantial heterogeneity in both the intervention types (e.g., vegan, vegetarian, flexitarian) and outcome measures (e.g., HbA1c, insulin sensitivity, lipid profiles) across the included studies, a narrative synthesis was employed to summarize the findings. This approach allowed for a detailed qualitative overview of the data without requiring statistical pooling, which was not feasible due to the diverse nature of the interventions. The results were grouped by outcome domain, enabling a more focused analysis of specific areas of interest, such as </w:t>
      </w:r>
      <w:r w:rsidR="000E736D" w:rsidRPr="00540D29">
        <w:rPr>
          <w:rFonts w:ascii="Times New Roman" w:eastAsia="Times New Roman" w:hAnsi="Times New Roman" w:cs="Times New Roman"/>
          <w:sz w:val="24"/>
          <w:szCs w:val="24"/>
          <w:lang w:eastAsia="en-GB"/>
        </w:rPr>
        <w:t>glycaemic</w:t>
      </w:r>
      <w:r w:rsidRPr="00540D29">
        <w:rPr>
          <w:rFonts w:ascii="Times New Roman" w:eastAsia="Times New Roman" w:hAnsi="Times New Roman" w:cs="Times New Roman"/>
          <w:sz w:val="24"/>
          <w:szCs w:val="24"/>
          <w:lang w:eastAsia="en-GB"/>
        </w:rPr>
        <w:t xml:space="preserve"> control, body weight, lipid metabolism, insulin sensitivity, and inflammatory markers.</w:t>
      </w:r>
    </w:p>
    <w:p w14:paraId="1824E00A" w14:textId="14D5F579" w:rsidR="00540D29" w:rsidRPr="00540D29" w:rsidRDefault="00540D29" w:rsidP="000E736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540D29">
        <w:rPr>
          <w:rFonts w:ascii="Times New Roman" w:eastAsia="Times New Roman" w:hAnsi="Times New Roman" w:cs="Times New Roman"/>
          <w:sz w:val="24"/>
          <w:szCs w:val="24"/>
          <w:lang w:eastAsia="en-GB"/>
        </w:rPr>
        <w:t xml:space="preserve">The first outcome domain examined was </w:t>
      </w:r>
      <w:r w:rsidR="000E736D" w:rsidRPr="00540D29">
        <w:rPr>
          <w:rFonts w:ascii="Times New Roman" w:eastAsia="Times New Roman" w:hAnsi="Times New Roman" w:cs="Times New Roman"/>
          <w:sz w:val="24"/>
          <w:szCs w:val="24"/>
          <w:lang w:eastAsia="en-GB"/>
        </w:rPr>
        <w:t>glycaemic</w:t>
      </w:r>
      <w:r w:rsidRPr="00540D29">
        <w:rPr>
          <w:rFonts w:ascii="Times New Roman" w:eastAsia="Times New Roman" w:hAnsi="Times New Roman" w:cs="Times New Roman"/>
          <w:sz w:val="24"/>
          <w:szCs w:val="24"/>
          <w:lang w:eastAsia="en-GB"/>
        </w:rPr>
        <w:t xml:space="preserve"> control, specifically focusing on HbA1c levels and fasting glucose. These indicators are crucial for assessing long-term blood sugar regulation and diabetes management. Next, body weight outcomes, including weight loss and body mass index (BMI), were </w:t>
      </w:r>
      <w:r w:rsidR="000E736D" w:rsidRPr="00540D29">
        <w:rPr>
          <w:rFonts w:ascii="Times New Roman" w:eastAsia="Times New Roman" w:hAnsi="Times New Roman" w:cs="Times New Roman"/>
          <w:sz w:val="24"/>
          <w:szCs w:val="24"/>
          <w:lang w:eastAsia="en-GB"/>
        </w:rPr>
        <w:t>analysed</w:t>
      </w:r>
      <w:r w:rsidRPr="00540D29">
        <w:rPr>
          <w:rFonts w:ascii="Times New Roman" w:eastAsia="Times New Roman" w:hAnsi="Times New Roman" w:cs="Times New Roman"/>
          <w:sz w:val="24"/>
          <w:szCs w:val="24"/>
          <w:lang w:eastAsia="en-GB"/>
        </w:rPr>
        <w:t xml:space="preserve"> to understand the effects of plant-based diets on weight management. Lipid metabolism was also explored, with an emphasis on total cholesterol, LDL cholesterol, and triglyceride levels, as these are key markers for cardiovascular health. Additionally, insulin sensitivity was assessed through measures such as HOMA-IR (Homeostasis Model Assessment of Insulin Resistance) and fasting insulin levels, both of which are vital for understanding the body's ability to respond to insulin. Finally, inflammatory markers, specifically C-reactive protein (CRP) and interleukin-6 (IL-6) were reviewed as they play a significant role in chronic disease processes, including diabetes and cardiovascular conditions.</w:t>
      </w:r>
    </w:p>
    <w:p w14:paraId="59B39940" w14:textId="77777777" w:rsidR="00540D29" w:rsidRPr="00540D29" w:rsidRDefault="00540D29" w:rsidP="000E736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540D29">
        <w:rPr>
          <w:rFonts w:ascii="Times New Roman" w:eastAsia="Times New Roman" w:hAnsi="Times New Roman" w:cs="Times New Roman"/>
          <w:sz w:val="24"/>
          <w:szCs w:val="24"/>
          <w:lang w:eastAsia="en-GB"/>
        </w:rPr>
        <w:t xml:space="preserve">Where feasible, effect estimates such as mean differences (MD) and standard deviations (SD) were extracted or calculated to provide quantitative summaries of the intervention effects. </w:t>
      </w:r>
      <w:r w:rsidRPr="00540D29">
        <w:rPr>
          <w:rFonts w:ascii="Times New Roman" w:eastAsia="Times New Roman" w:hAnsi="Times New Roman" w:cs="Times New Roman"/>
          <w:sz w:val="24"/>
          <w:szCs w:val="24"/>
          <w:lang w:eastAsia="en-GB"/>
        </w:rPr>
        <w:lastRenderedPageBreak/>
        <w:t>However, statistical pooling of the results was not conducted due to the high level of intervention heterogeneity, and a subgroup analysis was not possible due to inconsistent reporting across the studies. This narrative approach helped to synthesize the results while accounting for the varied nature of the studies included in the review.</w:t>
      </w:r>
    </w:p>
    <w:p w14:paraId="5A0B203D" w14:textId="77777777" w:rsidR="003277B8" w:rsidRPr="000E736D" w:rsidRDefault="000E736D" w:rsidP="003277B8">
      <w:p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sidRPr="000E736D">
        <w:rPr>
          <w:rFonts w:ascii="Times New Roman" w:eastAsia="Times New Roman" w:hAnsi="Times New Roman" w:cs="Times New Roman"/>
          <w:b/>
          <w:bCs/>
          <w:sz w:val="24"/>
          <w:szCs w:val="24"/>
          <w:lang w:eastAsia="en-GB"/>
        </w:rPr>
        <w:t>3</w:t>
      </w:r>
      <w:r w:rsidR="003277B8" w:rsidRPr="000E736D">
        <w:rPr>
          <w:rFonts w:ascii="Times New Roman" w:eastAsia="Times New Roman" w:hAnsi="Times New Roman" w:cs="Times New Roman"/>
          <w:b/>
          <w:bCs/>
          <w:sz w:val="24"/>
          <w:szCs w:val="24"/>
          <w:lang w:eastAsia="en-GB"/>
        </w:rPr>
        <w:t>.9 Sensitivity and Subgroup Analyses</w:t>
      </w:r>
    </w:p>
    <w:p w14:paraId="77E0A4E4" w14:textId="77777777" w:rsidR="003277B8" w:rsidRPr="003277B8" w:rsidRDefault="003277B8" w:rsidP="000E736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Although a formal meta-analysis was not possible, sensitivity analyses were conducted to examine the influence of study quality, diet type (e.g., vegan vs. vegetarian), and study duration on the observed effects. Subgroup analysis based on participant characteristics such as age, sex, baseline HbA1c, and comorbidities was considered but limited by insufficient reporting in the included studies.</w:t>
      </w:r>
    </w:p>
    <w:p w14:paraId="0022ABC7" w14:textId="77777777" w:rsidR="000E736D" w:rsidRDefault="000E736D" w:rsidP="009507A4">
      <w:pPr>
        <w:spacing w:after="0" w:line="360" w:lineRule="auto"/>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4</w:t>
      </w:r>
      <w:r w:rsidR="003277B8" w:rsidRPr="003277B8">
        <w:rPr>
          <w:rFonts w:ascii="Times New Roman" w:eastAsia="Times New Roman" w:hAnsi="Times New Roman" w:cs="Times New Roman"/>
          <w:b/>
          <w:bCs/>
          <w:sz w:val="24"/>
          <w:szCs w:val="24"/>
          <w:lang w:eastAsia="en-GB"/>
        </w:rPr>
        <w:t>. Results</w:t>
      </w:r>
    </w:p>
    <w:p w14:paraId="4D24A8F7" w14:textId="77777777" w:rsidR="00116BC9" w:rsidRDefault="00116BC9" w:rsidP="009507A4">
      <w:pPr>
        <w:spacing w:after="0" w:line="360" w:lineRule="auto"/>
        <w:jc w:val="both"/>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 xml:space="preserve">A total of </w:t>
      </w:r>
      <w:r w:rsidRPr="00116BC9">
        <w:rPr>
          <w:rFonts w:ascii="Times New Roman" w:eastAsia="Times New Roman" w:hAnsi="Times New Roman" w:cs="Times New Roman"/>
          <w:bCs/>
          <w:sz w:val="24"/>
          <w:szCs w:val="24"/>
          <w:lang w:eastAsia="en-GB"/>
        </w:rPr>
        <w:t>27 studies</w:t>
      </w:r>
      <w:r w:rsidRPr="00116BC9">
        <w:rPr>
          <w:rFonts w:ascii="Times New Roman" w:eastAsia="Times New Roman" w:hAnsi="Times New Roman" w:cs="Times New Roman"/>
          <w:sz w:val="24"/>
          <w:szCs w:val="24"/>
          <w:lang w:eastAsia="en-GB"/>
        </w:rPr>
        <w:t xml:space="preserve"> were included in this systematic review, comprising </w:t>
      </w:r>
      <w:r w:rsidRPr="00116BC9">
        <w:rPr>
          <w:rFonts w:ascii="Times New Roman" w:eastAsia="Times New Roman" w:hAnsi="Times New Roman" w:cs="Times New Roman"/>
          <w:bCs/>
          <w:sz w:val="24"/>
          <w:szCs w:val="24"/>
          <w:lang w:eastAsia="en-GB"/>
        </w:rPr>
        <w:t>15 randomized controlled trials (RCTs)</w:t>
      </w:r>
      <w:r w:rsidRPr="00116BC9">
        <w:rPr>
          <w:rFonts w:ascii="Times New Roman" w:eastAsia="Times New Roman" w:hAnsi="Times New Roman" w:cs="Times New Roman"/>
          <w:sz w:val="24"/>
          <w:szCs w:val="24"/>
          <w:lang w:eastAsia="en-GB"/>
        </w:rPr>
        <w:t xml:space="preserve">, </w:t>
      </w:r>
      <w:r w:rsidRPr="00116BC9">
        <w:rPr>
          <w:rFonts w:ascii="Times New Roman" w:eastAsia="Times New Roman" w:hAnsi="Times New Roman" w:cs="Times New Roman"/>
          <w:bCs/>
          <w:sz w:val="24"/>
          <w:szCs w:val="24"/>
          <w:lang w:eastAsia="en-GB"/>
        </w:rPr>
        <w:t>8 cohort studies</w:t>
      </w:r>
      <w:r w:rsidRPr="00116BC9">
        <w:rPr>
          <w:rFonts w:ascii="Times New Roman" w:eastAsia="Times New Roman" w:hAnsi="Times New Roman" w:cs="Times New Roman"/>
          <w:sz w:val="24"/>
          <w:szCs w:val="24"/>
          <w:lang w:eastAsia="en-GB"/>
        </w:rPr>
        <w:t xml:space="preserve">, and </w:t>
      </w:r>
      <w:r w:rsidRPr="00116BC9">
        <w:rPr>
          <w:rFonts w:ascii="Times New Roman" w:eastAsia="Times New Roman" w:hAnsi="Times New Roman" w:cs="Times New Roman"/>
          <w:bCs/>
          <w:sz w:val="24"/>
          <w:szCs w:val="24"/>
          <w:lang w:eastAsia="en-GB"/>
        </w:rPr>
        <w:t>4 meta-analyses</w:t>
      </w:r>
      <w:r w:rsidRPr="00116BC9">
        <w:rPr>
          <w:rFonts w:ascii="Times New Roman" w:eastAsia="Times New Roman" w:hAnsi="Times New Roman" w:cs="Times New Roman"/>
          <w:sz w:val="24"/>
          <w:szCs w:val="24"/>
          <w:lang w:eastAsia="en-GB"/>
        </w:rPr>
        <w:t>. The studies covered diverse geographic regions: North America (13), Europe (6), Asia (5), and Africa (3). The results are presented across three main domains: (1) consistency of findings across populations and settings, (2) quality of the evidence base, and (3) gaps in the literature.</w:t>
      </w:r>
    </w:p>
    <w:p w14:paraId="1272E400" w14:textId="77777777" w:rsidR="009507A4" w:rsidRPr="00116BC9" w:rsidRDefault="009507A4" w:rsidP="009507A4">
      <w:pPr>
        <w:spacing w:after="0" w:line="360" w:lineRule="auto"/>
        <w:jc w:val="both"/>
        <w:rPr>
          <w:rFonts w:ascii="Times New Roman" w:eastAsia="Times New Roman" w:hAnsi="Times New Roman" w:cs="Times New Roman"/>
          <w:sz w:val="24"/>
          <w:szCs w:val="24"/>
          <w:lang w:eastAsia="en-GB"/>
        </w:rPr>
      </w:pPr>
    </w:p>
    <w:p w14:paraId="5CA194D0" w14:textId="77777777" w:rsidR="00116BC9" w:rsidRPr="00116BC9" w:rsidRDefault="000E736D" w:rsidP="00116BC9">
      <w:p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sidRPr="000E736D">
        <w:rPr>
          <w:rFonts w:ascii="Times New Roman" w:eastAsia="Times New Roman" w:hAnsi="Times New Roman" w:cs="Times New Roman"/>
          <w:b/>
          <w:bCs/>
          <w:sz w:val="24"/>
          <w:szCs w:val="24"/>
          <w:lang w:eastAsia="en-GB"/>
        </w:rPr>
        <w:t>4.</w:t>
      </w:r>
      <w:r w:rsidR="00116BC9" w:rsidRPr="00116BC9">
        <w:rPr>
          <w:rFonts w:ascii="Times New Roman" w:eastAsia="Times New Roman" w:hAnsi="Times New Roman" w:cs="Times New Roman"/>
          <w:b/>
          <w:bCs/>
          <w:sz w:val="24"/>
          <w:szCs w:val="24"/>
          <w:lang w:eastAsia="en-GB"/>
        </w:rPr>
        <w:t>1. Consistency of Findings Across Populations and Settings</w:t>
      </w:r>
    </w:p>
    <w:p w14:paraId="3DD6CDF9" w14:textId="4801C90F" w:rsidR="00116BC9" w:rsidRPr="00116BC9" w:rsidRDefault="00116BC9" w:rsidP="000E736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 xml:space="preserve">Out of the 27 studies, </w:t>
      </w:r>
      <w:r w:rsidRPr="00116BC9">
        <w:rPr>
          <w:rFonts w:ascii="Times New Roman" w:eastAsia="Times New Roman" w:hAnsi="Times New Roman" w:cs="Times New Roman"/>
          <w:bCs/>
          <w:sz w:val="24"/>
          <w:szCs w:val="24"/>
          <w:lang w:eastAsia="en-GB"/>
        </w:rPr>
        <w:t>23 (85%)</w:t>
      </w:r>
      <w:r w:rsidRPr="00116BC9">
        <w:rPr>
          <w:rFonts w:ascii="Times New Roman" w:eastAsia="Times New Roman" w:hAnsi="Times New Roman" w:cs="Times New Roman"/>
          <w:sz w:val="24"/>
          <w:szCs w:val="24"/>
          <w:lang w:eastAsia="en-GB"/>
        </w:rPr>
        <w:t xml:space="preserve"> demonstrated consistent improvements in key metabolic outcomes—including HbA1c, LDL cholesterol, HOMA-IR, fasting glucose, and body weight—associated with plant-based diets in adults with type 2 diabetes. </w:t>
      </w:r>
      <w:r w:rsidR="000E736D" w:rsidRPr="000E736D">
        <w:rPr>
          <w:rFonts w:ascii="Times New Roman" w:eastAsia="Times New Roman" w:hAnsi="Times New Roman" w:cs="Times New Roman"/>
          <w:sz w:val="24"/>
          <w:szCs w:val="24"/>
          <w:lang w:eastAsia="en-GB"/>
        </w:rPr>
        <w:t xml:space="preserve">Table </w:t>
      </w:r>
      <w:r w:rsidR="007B7B91">
        <w:rPr>
          <w:rFonts w:ascii="Times New Roman" w:eastAsia="Times New Roman" w:hAnsi="Times New Roman" w:cs="Times New Roman"/>
          <w:sz w:val="24"/>
          <w:szCs w:val="24"/>
          <w:lang w:eastAsia="en-GB"/>
        </w:rPr>
        <w:t>3</w:t>
      </w:r>
      <w:r w:rsidR="000E736D" w:rsidRPr="000E736D">
        <w:rPr>
          <w:rFonts w:ascii="Times New Roman" w:eastAsia="Times New Roman" w:hAnsi="Times New Roman" w:cs="Times New Roman"/>
          <w:sz w:val="24"/>
          <w:szCs w:val="24"/>
          <w:lang w:eastAsia="en-GB"/>
        </w:rPr>
        <w:t xml:space="preserve"> shows the details of the results.</w:t>
      </w:r>
    </w:p>
    <w:p w14:paraId="74A89E33" w14:textId="00A27CB6" w:rsidR="00116BC9" w:rsidRPr="00116BC9" w:rsidRDefault="00116BC9" w:rsidP="000E736D">
      <w:pPr>
        <w:spacing w:after="0" w:line="240" w:lineRule="auto"/>
        <w:outlineLvl w:val="3"/>
        <w:rPr>
          <w:rFonts w:ascii="Times New Roman" w:eastAsia="Times New Roman" w:hAnsi="Times New Roman" w:cs="Times New Roman"/>
          <w:i/>
          <w:sz w:val="24"/>
          <w:szCs w:val="24"/>
          <w:lang w:eastAsia="en-GB"/>
        </w:rPr>
      </w:pPr>
      <w:r w:rsidRPr="00116BC9">
        <w:rPr>
          <w:rFonts w:ascii="Times New Roman" w:eastAsia="Times New Roman" w:hAnsi="Times New Roman" w:cs="Times New Roman"/>
          <w:b/>
          <w:bCs/>
          <w:i/>
          <w:sz w:val="24"/>
          <w:szCs w:val="24"/>
          <w:lang w:eastAsia="en-GB"/>
        </w:rPr>
        <w:t xml:space="preserve">Table </w:t>
      </w:r>
      <w:proofErr w:type="gramStart"/>
      <w:r w:rsidR="007B7B91">
        <w:rPr>
          <w:rFonts w:ascii="Times New Roman" w:eastAsia="Times New Roman" w:hAnsi="Times New Roman" w:cs="Times New Roman"/>
          <w:b/>
          <w:bCs/>
          <w:i/>
          <w:sz w:val="24"/>
          <w:szCs w:val="24"/>
          <w:lang w:eastAsia="en-GB"/>
        </w:rPr>
        <w:t>3</w:t>
      </w:r>
      <w:r w:rsidR="000E736D" w:rsidRPr="000E736D">
        <w:rPr>
          <w:rFonts w:ascii="Times New Roman" w:eastAsia="Times New Roman" w:hAnsi="Times New Roman" w:cs="Times New Roman"/>
          <w:b/>
          <w:bCs/>
          <w:i/>
          <w:sz w:val="24"/>
          <w:szCs w:val="24"/>
          <w:lang w:eastAsia="en-GB"/>
        </w:rPr>
        <w:t>:</w:t>
      </w:r>
      <w:r w:rsidRPr="00116BC9">
        <w:rPr>
          <w:rFonts w:ascii="Times New Roman" w:eastAsia="Times New Roman" w:hAnsi="Times New Roman" w:cs="Times New Roman"/>
          <w:bCs/>
          <w:i/>
          <w:sz w:val="24"/>
          <w:szCs w:val="24"/>
          <w:lang w:eastAsia="en-GB"/>
        </w:rPr>
        <w:t>Consistency</w:t>
      </w:r>
      <w:proofErr w:type="gramEnd"/>
      <w:r w:rsidRPr="00116BC9">
        <w:rPr>
          <w:rFonts w:ascii="Times New Roman" w:eastAsia="Times New Roman" w:hAnsi="Times New Roman" w:cs="Times New Roman"/>
          <w:bCs/>
          <w:i/>
          <w:sz w:val="24"/>
          <w:szCs w:val="24"/>
          <w:lang w:eastAsia="en-GB"/>
        </w:rPr>
        <w:t xml:space="preserve"> of Metabolic Outcomes Across Studies (N = 27)</w:t>
      </w:r>
      <w:r w:rsidRPr="00116BC9">
        <w:rPr>
          <w:rFonts w:ascii="Times New Roman" w:eastAsia="Times New Roman" w:hAnsi="Times New Roman" w:cs="Times New Roman"/>
          <w:i/>
          <w:sz w:val="24"/>
          <w:szCs w:val="24"/>
          <w:lang w:eastAsia="en-GB"/>
        </w:rPr>
        <w:br/>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511"/>
        <w:gridCol w:w="1440"/>
        <w:gridCol w:w="1604"/>
        <w:gridCol w:w="1361"/>
        <w:gridCol w:w="1521"/>
        <w:gridCol w:w="1589"/>
      </w:tblGrid>
      <w:tr w:rsidR="00116BC9" w:rsidRPr="00116BC9" w14:paraId="6F65498D" w14:textId="77777777" w:rsidTr="000E736D">
        <w:trPr>
          <w:tblHeader/>
          <w:tblCellSpacing w:w="15" w:type="dxa"/>
        </w:trPr>
        <w:tc>
          <w:tcPr>
            <w:tcW w:w="0" w:type="auto"/>
            <w:tcBorders>
              <w:top w:val="single" w:sz="4" w:space="0" w:color="auto"/>
              <w:bottom w:val="single" w:sz="4" w:space="0" w:color="auto"/>
            </w:tcBorders>
            <w:vAlign w:val="center"/>
            <w:hideMark/>
          </w:tcPr>
          <w:p w14:paraId="03C9F514" w14:textId="77777777" w:rsidR="00116BC9" w:rsidRPr="00116BC9" w:rsidRDefault="00116BC9" w:rsidP="000E736D">
            <w:pPr>
              <w:spacing w:after="0" w:line="240" w:lineRule="auto"/>
              <w:rPr>
                <w:rFonts w:ascii="Times New Roman" w:eastAsia="Times New Roman" w:hAnsi="Times New Roman" w:cs="Times New Roman"/>
                <w:b/>
                <w:bCs/>
                <w:sz w:val="24"/>
                <w:szCs w:val="24"/>
                <w:lang w:eastAsia="en-GB"/>
              </w:rPr>
            </w:pPr>
            <w:r w:rsidRPr="00116BC9">
              <w:rPr>
                <w:rFonts w:ascii="Times New Roman" w:eastAsia="Times New Roman" w:hAnsi="Times New Roman" w:cs="Times New Roman"/>
                <w:b/>
                <w:bCs/>
                <w:sz w:val="24"/>
                <w:szCs w:val="24"/>
                <w:lang w:eastAsia="en-GB"/>
              </w:rPr>
              <w:t>Outcome</w:t>
            </w:r>
          </w:p>
        </w:tc>
        <w:tc>
          <w:tcPr>
            <w:tcW w:w="0" w:type="auto"/>
            <w:tcBorders>
              <w:top w:val="single" w:sz="4" w:space="0" w:color="auto"/>
              <w:bottom w:val="single" w:sz="4" w:space="0" w:color="auto"/>
            </w:tcBorders>
            <w:vAlign w:val="center"/>
            <w:hideMark/>
          </w:tcPr>
          <w:p w14:paraId="75CBBF21" w14:textId="77777777" w:rsidR="00116BC9" w:rsidRPr="00116BC9" w:rsidRDefault="00116BC9" w:rsidP="000E736D">
            <w:pPr>
              <w:spacing w:after="0" w:line="240" w:lineRule="auto"/>
              <w:rPr>
                <w:rFonts w:ascii="Times New Roman" w:eastAsia="Times New Roman" w:hAnsi="Times New Roman" w:cs="Times New Roman"/>
                <w:b/>
                <w:bCs/>
                <w:sz w:val="24"/>
                <w:szCs w:val="24"/>
                <w:lang w:eastAsia="en-GB"/>
              </w:rPr>
            </w:pPr>
            <w:r w:rsidRPr="00116BC9">
              <w:rPr>
                <w:rFonts w:ascii="Times New Roman" w:eastAsia="Times New Roman" w:hAnsi="Times New Roman" w:cs="Times New Roman"/>
                <w:b/>
                <w:bCs/>
                <w:sz w:val="24"/>
                <w:szCs w:val="24"/>
                <w:lang w:eastAsia="en-GB"/>
              </w:rPr>
              <w:t>Effect Direction</w:t>
            </w:r>
          </w:p>
        </w:tc>
        <w:tc>
          <w:tcPr>
            <w:tcW w:w="0" w:type="auto"/>
            <w:tcBorders>
              <w:top w:val="single" w:sz="4" w:space="0" w:color="auto"/>
              <w:bottom w:val="single" w:sz="4" w:space="0" w:color="auto"/>
            </w:tcBorders>
            <w:vAlign w:val="center"/>
            <w:hideMark/>
          </w:tcPr>
          <w:p w14:paraId="24703E0A" w14:textId="77777777" w:rsidR="00116BC9" w:rsidRPr="00116BC9" w:rsidRDefault="00116BC9" w:rsidP="000E736D">
            <w:pPr>
              <w:spacing w:after="0" w:line="240" w:lineRule="auto"/>
              <w:rPr>
                <w:rFonts w:ascii="Times New Roman" w:eastAsia="Times New Roman" w:hAnsi="Times New Roman" w:cs="Times New Roman"/>
                <w:b/>
                <w:bCs/>
                <w:sz w:val="24"/>
                <w:szCs w:val="24"/>
                <w:lang w:eastAsia="en-GB"/>
              </w:rPr>
            </w:pPr>
            <w:r w:rsidRPr="00116BC9">
              <w:rPr>
                <w:rFonts w:ascii="Times New Roman" w:eastAsia="Times New Roman" w:hAnsi="Times New Roman" w:cs="Times New Roman"/>
                <w:b/>
                <w:bCs/>
                <w:sz w:val="24"/>
                <w:szCs w:val="24"/>
                <w:lang w:eastAsia="en-GB"/>
              </w:rPr>
              <w:t>Studies Reporting</w:t>
            </w:r>
          </w:p>
        </w:tc>
        <w:tc>
          <w:tcPr>
            <w:tcW w:w="0" w:type="auto"/>
            <w:tcBorders>
              <w:top w:val="single" w:sz="4" w:space="0" w:color="auto"/>
              <w:bottom w:val="single" w:sz="4" w:space="0" w:color="auto"/>
            </w:tcBorders>
            <w:vAlign w:val="center"/>
            <w:hideMark/>
          </w:tcPr>
          <w:p w14:paraId="0108D297" w14:textId="77777777" w:rsidR="00116BC9" w:rsidRPr="00116BC9" w:rsidRDefault="00116BC9" w:rsidP="000E736D">
            <w:pPr>
              <w:spacing w:after="0" w:line="240" w:lineRule="auto"/>
              <w:rPr>
                <w:rFonts w:ascii="Times New Roman" w:eastAsia="Times New Roman" w:hAnsi="Times New Roman" w:cs="Times New Roman"/>
                <w:b/>
                <w:bCs/>
                <w:sz w:val="24"/>
                <w:szCs w:val="24"/>
                <w:lang w:eastAsia="en-GB"/>
              </w:rPr>
            </w:pPr>
            <w:r w:rsidRPr="00116BC9">
              <w:rPr>
                <w:rFonts w:ascii="Times New Roman" w:eastAsia="Times New Roman" w:hAnsi="Times New Roman" w:cs="Times New Roman"/>
                <w:b/>
                <w:bCs/>
                <w:sz w:val="24"/>
                <w:szCs w:val="24"/>
                <w:lang w:eastAsia="en-GB"/>
              </w:rPr>
              <w:t>Consistent (n)</w:t>
            </w:r>
          </w:p>
        </w:tc>
        <w:tc>
          <w:tcPr>
            <w:tcW w:w="0" w:type="auto"/>
            <w:tcBorders>
              <w:top w:val="single" w:sz="4" w:space="0" w:color="auto"/>
              <w:bottom w:val="single" w:sz="4" w:space="0" w:color="auto"/>
            </w:tcBorders>
            <w:vAlign w:val="center"/>
            <w:hideMark/>
          </w:tcPr>
          <w:p w14:paraId="4A838CDF" w14:textId="77777777" w:rsidR="00116BC9" w:rsidRPr="00116BC9" w:rsidRDefault="00116BC9" w:rsidP="000E736D">
            <w:pPr>
              <w:spacing w:after="0" w:line="240" w:lineRule="auto"/>
              <w:rPr>
                <w:rFonts w:ascii="Times New Roman" w:eastAsia="Times New Roman" w:hAnsi="Times New Roman" w:cs="Times New Roman"/>
                <w:b/>
                <w:bCs/>
                <w:sz w:val="24"/>
                <w:szCs w:val="24"/>
                <w:lang w:eastAsia="en-GB"/>
              </w:rPr>
            </w:pPr>
            <w:r w:rsidRPr="00116BC9">
              <w:rPr>
                <w:rFonts w:ascii="Times New Roman" w:eastAsia="Times New Roman" w:hAnsi="Times New Roman" w:cs="Times New Roman"/>
                <w:b/>
                <w:bCs/>
                <w:sz w:val="24"/>
                <w:szCs w:val="24"/>
                <w:lang w:eastAsia="en-GB"/>
              </w:rPr>
              <w:t>Inconsistent (n)</w:t>
            </w:r>
          </w:p>
        </w:tc>
        <w:tc>
          <w:tcPr>
            <w:tcW w:w="0" w:type="auto"/>
            <w:tcBorders>
              <w:top w:val="single" w:sz="4" w:space="0" w:color="auto"/>
              <w:bottom w:val="single" w:sz="4" w:space="0" w:color="auto"/>
            </w:tcBorders>
            <w:vAlign w:val="center"/>
            <w:hideMark/>
          </w:tcPr>
          <w:p w14:paraId="33C032B0" w14:textId="77777777" w:rsidR="00116BC9" w:rsidRPr="00116BC9" w:rsidRDefault="00116BC9" w:rsidP="000E736D">
            <w:pPr>
              <w:spacing w:after="0" w:line="240" w:lineRule="auto"/>
              <w:rPr>
                <w:rFonts w:ascii="Times New Roman" w:eastAsia="Times New Roman" w:hAnsi="Times New Roman" w:cs="Times New Roman"/>
                <w:b/>
                <w:bCs/>
                <w:sz w:val="24"/>
                <w:szCs w:val="24"/>
                <w:lang w:eastAsia="en-GB"/>
              </w:rPr>
            </w:pPr>
            <w:r w:rsidRPr="00116BC9">
              <w:rPr>
                <w:rFonts w:ascii="Times New Roman" w:eastAsia="Times New Roman" w:hAnsi="Times New Roman" w:cs="Times New Roman"/>
                <w:b/>
                <w:bCs/>
                <w:sz w:val="24"/>
                <w:szCs w:val="24"/>
                <w:lang w:eastAsia="en-GB"/>
              </w:rPr>
              <w:t>Consistency (%)</w:t>
            </w:r>
          </w:p>
        </w:tc>
      </w:tr>
      <w:tr w:rsidR="00116BC9" w:rsidRPr="00116BC9" w14:paraId="6A1D5AA4" w14:textId="77777777" w:rsidTr="000E736D">
        <w:trPr>
          <w:tblCellSpacing w:w="15" w:type="dxa"/>
        </w:trPr>
        <w:tc>
          <w:tcPr>
            <w:tcW w:w="0" w:type="auto"/>
            <w:vAlign w:val="center"/>
            <w:hideMark/>
          </w:tcPr>
          <w:p w14:paraId="1BC3883B"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HbA1c</w:t>
            </w:r>
          </w:p>
        </w:tc>
        <w:tc>
          <w:tcPr>
            <w:tcW w:w="0" w:type="auto"/>
            <w:vAlign w:val="center"/>
            <w:hideMark/>
          </w:tcPr>
          <w:p w14:paraId="374E0964"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 0.4–1.2%</w:t>
            </w:r>
          </w:p>
        </w:tc>
        <w:tc>
          <w:tcPr>
            <w:tcW w:w="0" w:type="auto"/>
            <w:vAlign w:val="center"/>
            <w:hideMark/>
          </w:tcPr>
          <w:p w14:paraId="47CAFF85"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20</w:t>
            </w:r>
          </w:p>
        </w:tc>
        <w:tc>
          <w:tcPr>
            <w:tcW w:w="0" w:type="auto"/>
            <w:vAlign w:val="center"/>
            <w:hideMark/>
          </w:tcPr>
          <w:p w14:paraId="51B96203"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18</w:t>
            </w:r>
          </w:p>
        </w:tc>
        <w:tc>
          <w:tcPr>
            <w:tcW w:w="0" w:type="auto"/>
            <w:vAlign w:val="center"/>
            <w:hideMark/>
          </w:tcPr>
          <w:p w14:paraId="4FF1FEFB"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2</w:t>
            </w:r>
          </w:p>
        </w:tc>
        <w:tc>
          <w:tcPr>
            <w:tcW w:w="0" w:type="auto"/>
            <w:vAlign w:val="center"/>
            <w:hideMark/>
          </w:tcPr>
          <w:p w14:paraId="11CFC09F"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90%</w:t>
            </w:r>
          </w:p>
        </w:tc>
      </w:tr>
      <w:tr w:rsidR="00116BC9" w:rsidRPr="00116BC9" w14:paraId="6032F9BE" w14:textId="77777777" w:rsidTr="000E736D">
        <w:trPr>
          <w:tblCellSpacing w:w="15" w:type="dxa"/>
        </w:trPr>
        <w:tc>
          <w:tcPr>
            <w:tcW w:w="0" w:type="auto"/>
            <w:vAlign w:val="center"/>
            <w:hideMark/>
          </w:tcPr>
          <w:p w14:paraId="032B3F57"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LDL Cholesterol</w:t>
            </w:r>
          </w:p>
        </w:tc>
        <w:tc>
          <w:tcPr>
            <w:tcW w:w="0" w:type="auto"/>
            <w:vAlign w:val="center"/>
            <w:hideMark/>
          </w:tcPr>
          <w:p w14:paraId="2D29A674"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 10–25 mg/dL</w:t>
            </w:r>
          </w:p>
        </w:tc>
        <w:tc>
          <w:tcPr>
            <w:tcW w:w="0" w:type="auto"/>
            <w:vAlign w:val="center"/>
            <w:hideMark/>
          </w:tcPr>
          <w:p w14:paraId="31E36C50"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18</w:t>
            </w:r>
          </w:p>
        </w:tc>
        <w:tc>
          <w:tcPr>
            <w:tcW w:w="0" w:type="auto"/>
            <w:vAlign w:val="center"/>
            <w:hideMark/>
          </w:tcPr>
          <w:p w14:paraId="7CBEFE11"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16</w:t>
            </w:r>
          </w:p>
        </w:tc>
        <w:tc>
          <w:tcPr>
            <w:tcW w:w="0" w:type="auto"/>
            <w:vAlign w:val="center"/>
            <w:hideMark/>
          </w:tcPr>
          <w:p w14:paraId="4625DD8B"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2</w:t>
            </w:r>
          </w:p>
        </w:tc>
        <w:tc>
          <w:tcPr>
            <w:tcW w:w="0" w:type="auto"/>
            <w:vAlign w:val="center"/>
            <w:hideMark/>
          </w:tcPr>
          <w:p w14:paraId="35B0F1A4"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89%</w:t>
            </w:r>
          </w:p>
        </w:tc>
      </w:tr>
      <w:tr w:rsidR="00116BC9" w:rsidRPr="00116BC9" w14:paraId="2E5B88BF" w14:textId="77777777" w:rsidTr="000E736D">
        <w:trPr>
          <w:tblCellSpacing w:w="15" w:type="dxa"/>
        </w:trPr>
        <w:tc>
          <w:tcPr>
            <w:tcW w:w="0" w:type="auto"/>
            <w:vAlign w:val="center"/>
            <w:hideMark/>
          </w:tcPr>
          <w:p w14:paraId="1EA3CDB6"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Weight Loss</w:t>
            </w:r>
          </w:p>
        </w:tc>
        <w:tc>
          <w:tcPr>
            <w:tcW w:w="0" w:type="auto"/>
            <w:vAlign w:val="center"/>
            <w:hideMark/>
          </w:tcPr>
          <w:p w14:paraId="0D1770DF"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 1.8–5.0 kg</w:t>
            </w:r>
          </w:p>
        </w:tc>
        <w:tc>
          <w:tcPr>
            <w:tcW w:w="0" w:type="auto"/>
            <w:vAlign w:val="center"/>
            <w:hideMark/>
          </w:tcPr>
          <w:p w14:paraId="5751E5DD"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22</w:t>
            </w:r>
          </w:p>
        </w:tc>
        <w:tc>
          <w:tcPr>
            <w:tcW w:w="0" w:type="auto"/>
            <w:vAlign w:val="center"/>
            <w:hideMark/>
          </w:tcPr>
          <w:p w14:paraId="7BEC3ABB"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21</w:t>
            </w:r>
          </w:p>
        </w:tc>
        <w:tc>
          <w:tcPr>
            <w:tcW w:w="0" w:type="auto"/>
            <w:vAlign w:val="center"/>
            <w:hideMark/>
          </w:tcPr>
          <w:p w14:paraId="309603E8"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w:t>
            </w:r>
          </w:p>
        </w:tc>
        <w:tc>
          <w:tcPr>
            <w:tcW w:w="0" w:type="auto"/>
            <w:vAlign w:val="center"/>
            <w:hideMark/>
          </w:tcPr>
          <w:p w14:paraId="0620AB62"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95%</w:t>
            </w:r>
          </w:p>
        </w:tc>
      </w:tr>
      <w:tr w:rsidR="00116BC9" w:rsidRPr="00116BC9" w14:paraId="3B092334" w14:textId="77777777" w:rsidTr="000E736D">
        <w:trPr>
          <w:tblCellSpacing w:w="15" w:type="dxa"/>
        </w:trPr>
        <w:tc>
          <w:tcPr>
            <w:tcW w:w="0" w:type="auto"/>
            <w:vAlign w:val="center"/>
            <w:hideMark/>
          </w:tcPr>
          <w:p w14:paraId="0899DF6E"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Fasting Glucose</w:t>
            </w:r>
          </w:p>
        </w:tc>
        <w:tc>
          <w:tcPr>
            <w:tcW w:w="0" w:type="auto"/>
            <w:vAlign w:val="center"/>
            <w:hideMark/>
          </w:tcPr>
          <w:p w14:paraId="121D42D9"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 10–35 mg/dL</w:t>
            </w:r>
          </w:p>
        </w:tc>
        <w:tc>
          <w:tcPr>
            <w:tcW w:w="0" w:type="auto"/>
            <w:vAlign w:val="center"/>
            <w:hideMark/>
          </w:tcPr>
          <w:p w14:paraId="079A480A"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15</w:t>
            </w:r>
          </w:p>
        </w:tc>
        <w:tc>
          <w:tcPr>
            <w:tcW w:w="0" w:type="auto"/>
            <w:vAlign w:val="center"/>
            <w:hideMark/>
          </w:tcPr>
          <w:p w14:paraId="44CA6CDE"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12</w:t>
            </w:r>
          </w:p>
        </w:tc>
        <w:tc>
          <w:tcPr>
            <w:tcW w:w="0" w:type="auto"/>
            <w:vAlign w:val="center"/>
            <w:hideMark/>
          </w:tcPr>
          <w:p w14:paraId="24BF5432"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3</w:t>
            </w:r>
          </w:p>
        </w:tc>
        <w:tc>
          <w:tcPr>
            <w:tcW w:w="0" w:type="auto"/>
            <w:vAlign w:val="center"/>
            <w:hideMark/>
          </w:tcPr>
          <w:p w14:paraId="5B0DC9F2"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80%</w:t>
            </w:r>
          </w:p>
        </w:tc>
      </w:tr>
      <w:tr w:rsidR="00116BC9" w:rsidRPr="00116BC9" w14:paraId="0F47A3C8" w14:textId="77777777" w:rsidTr="000E736D">
        <w:trPr>
          <w:tblCellSpacing w:w="15" w:type="dxa"/>
        </w:trPr>
        <w:tc>
          <w:tcPr>
            <w:tcW w:w="0" w:type="auto"/>
            <w:vAlign w:val="center"/>
            <w:hideMark/>
          </w:tcPr>
          <w:p w14:paraId="68985702"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lastRenderedPageBreak/>
              <w:t>HOMA-IR</w:t>
            </w:r>
          </w:p>
        </w:tc>
        <w:tc>
          <w:tcPr>
            <w:tcW w:w="0" w:type="auto"/>
            <w:vAlign w:val="center"/>
            <w:hideMark/>
          </w:tcPr>
          <w:p w14:paraId="374ECEC1"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 0.6–2.5</w:t>
            </w:r>
          </w:p>
        </w:tc>
        <w:tc>
          <w:tcPr>
            <w:tcW w:w="0" w:type="auto"/>
            <w:vAlign w:val="center"/>
            <w:hideMark/>
          </w:tcPr>
          <w:p w14:paraId="655E9296"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11</w:t>
            </w:r>
          </w:p>
        </w:tc>
        <w:tc>
          <w:tcPr>
            <w:tcW w:w="0" w:type="auto"/>
            <w:vAlign w:val="center"/>
            <w:hideMark/>
          </w:tcPr>
          <w:p w14:paraId="782A617A"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10</w:t>
            </w:r>
          </w:p>
        </w:tc>
        <w:tc>
          <w:tcPr>
            <w:tcW w:w="0" w:type="auto"/>
            <w:vAlign w:val="center"/>
            <w:hideMark/>
          </w:tcPr>
          <w:p w14:paraId="0CEA6F1F"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w:t>
            </w:r>
          </w:p>
        </w:tc>
        <w:tc>
          <w:tcPr>
            <w:tcW w:w="0" w:type="auto"/>
            <w:vAlign w:val="center"/>
            <w:hideMark/>
          </w:tcPr>
          <w:p w14:paraId="18B5BE06" w14:textId="77777777" w:rsidR="00116BC9" w:rsidRPr="00116BC9" w:rsidRDefault="00116BC9" w:rsidP="000E736D">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91%</w:t>
            </w:r>
          </w:p>
        </w:tc>
      </w:tr>
    </w:tbl>
    <w:p w14:paraId="4A62DA97" w14:textId="77777777" w:rsidR="00116BC9" w:rsidRPr="00116BC9" w:rsidRDefault="00116BC9" w:rsidP="00116BC9">
      <w:pPr>
        <w:spacing w:beforeAutospacing="1" w:after="100" w:afterAutospacing="1"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i/>
          <w:iCs/>
          <w:sz w:val="24"/>
          <w:szCs w:val="24"/>
          <w:lang w:eastAsia="en-GB"/>
        </w:rPr>
        <w:t>Note:</w:t>
      </w:r>
      <w:r w:rsidRPr="00116BC9">
        <w:rPr>
          <w:rFonts w:ascii="Times New Roman" w:eastAsia="Times New Roman" w:hAnsi="Times New Roman" w:cs="Times New Roman"/>
          <w:sz w:val="24"/>
          <w:szCs w:val="24"/>
          <w:lang w:eastAsia="en-GB"/>
        </w:rPr>
        <w:t xml:space="preserve"> “↓” denotes a statistically significant reduction.</w:t>
      </w:r>
    </w:p>
    <w:p w14:paraId="4D68AFC4" w14:textId="61AFDF07" w:rsidR="00116BC9" w:rsidRPr="00116BC9" w:rsidRDefault="000E736D" w:rsidP="000E736D">
      <w:pPr>
        <w:spacing w:after="0" w:line="360" w:lineRule="auto"/>
        <w:jc w:val="both"/>
        <w:rPr>
          <w:rFonts w:ascii="Times New Roman" w:eastAsia="Times New Roman" w:hAnsi="Times New Roman" w:cs="Times New Roman"/>
          <w:sz w:val="24"/>
          <w:szCs w:val="24"/>
          <w:lang w:eastAsia="en-GB"/>
        </w:rPr>
      </w:pPr>
      <w:r w:rsidRPr="000E736D">
        <w:rPr>
          <w:rFonts w:ascii="Times New Roman" w:hAnsi="Times New Roman" w:cs="Times New Roman"/>
          <w:sz w:val="24"/>
          <w:szCs w:val="24"/>
        </w:rPr>
        <w:t xml:space="preserve">Table </w:t>
      </w:r>
      <w:r w:rsidR="007B7B91">
        <w:rPr>
          <w:rFonts w:ascii="Times New Roman" w:hAnsi="Times New Roman" w:cs="Times New Roman"/>
          <w:sz w:val="24"/>
          <w:szCs w:val="24"/>
        </w:rPr>
        <w:t>3</w:t>
      </w:r>
      <w:r w:rsidRPr="000E736D">
        <w:rPr>
          <w:rFonts w:ascii="Times New Roman" w:hAnsi="Times New Roman" w:cs="Times New Roman"/>
          <w:sz w:val="24"/>
          <w:szCs w:val="24"/>
        </w:rPr>
        <w:t xml:space="preserve"> presents the consistency of various metabolic outcomes across the 27 studies included in the review. The outcomes assessed include HbA1c, LDL cholesterol, weight loss, fasting glucose, and HOMA-IR, with all outcomes showing a high degree of consistency. For example, 90% of the studies reporting on HbA1c demonstrated a consistent reduction of 0.4–1.2%, while 89% of studies on LDL cholesterol showed a decrease ranging from 10–25 mg/dL. Weight loss was consistent across 95% of the studies, with a reduction of 1.8–5.0 kg. Fasting glucose outcomes were consistent in 80% of the studies, with reductions ranging from 10–35 mg/dL, and 91% of studies on HOMA-IR showed a decrease of 0.6–2.5. These findings indicate that plant-based diets consistently improve key metabolic markers in Type 2 diabetes management, although a small percentage of studies (ranging from 2 to 3 per outcome) reported inconsistent results</w:t>
      </w:r>
      <w:r>
        <w:t>.</w:t>
      </w:r>
    </w:p>
    <w:p w14:paraId="442BD509" w14:textId="77777777" w:rsidR="00116BC9" w:rsidRPr="00116BC9" w:rsidRDefault="00E2361A" w:rsidP="00116BC9">
      <w:p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sidRPr="00E2361A">
        <w:rPr>
          <w:rFonts w:ascii="Times New Roman" w:eastAsia="Times New Roman" w:hAnsi="Times New Roman" w:cs="Times New Roman"/>
          <w:b/>
          <w:bCs/>
          <w:sz w:val="24"/>
          <w:szCs w:val="24"/>
          <w:lang w:eastAsia="en-GB"/>
        </w:rPr>
        <w:t>4.</w:t>
      </w:r>
      <w:r w:rsidR="00116BC9" w:rsidRPr="00116BC9">
        <w:rPr>
          <w:rFonts w:ascii="Times New Roman" w:eastAsia="Times New Roman" w:hAnsi="Times New Roman" w:cs="Times New Roman"/>
          <w:b/>
          <w:bCs/>
          <w:sz w:val="24"/>
          <w:szCs w:val="24"/>
          <w:lang w:eastAsia="en-GB"/>
        </w:rPr>
        <w:t>2. Quality of Evidence Across Study Designs and Regions</w:t>
      </w:r>
    </w:p>
    <w:p w14:paraId="60988426" w14:textId="6C8C14AF" w:rsidR="00116BC9" w:rsidRPr="00116BC9" w:rsidRDefault="00116BC9" w:rsidP="009507A4">
      <w:pPr>
        <w:spacing w:before="100" w:beforeAutospacing="1" w:after="100" w:afterAutospacing="1" w:line="360" w:lineRule="auto"/>
        <w:jc w:val="both"/>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 xml:space="preserve">The studies were evaluated for quality using GRADE and Cochrane criteria. Out of the 27 studies, </w:t>
      </w:r>
      <w:r w:rsidRPr="00116BC9">
        <w:rPr>
          <w:rFonts w:ascii="Times New Roman" w:eastAsia="Times New Roman" w:hAnsi="Times New Roman" w:cs="Times New Roman"/>
          <w:b/>
          <w:bCs/>
          <w:sz w:val="24"/>
          <w:szCs w:val="24"/>
          <w:lang w:eastAsia="en-GB"/>
        </w:rPr>
        <w:t>21 (78%)</w:t>
      </w:r>
      <w:r w:rsidRPr="00116BC9">
        <w:rPr>
          <w:rFonts w:ascii="Times New Roman" w:eastAsia="Times New Roman" w:hAnsi="Times New Roman" w:cs="Times New Roman"/>
          <w:sz w:val="24"/>
          <w:szCs w:val="24"/>
          <w:lang w:eastAsia="en-GB"/>
        </w:rPr>
        <w:t xml:space="preserve"> were rated as high quality, with meta-analyses and most RCTs demonstrating rigorous methodologies. However, studies conducted in low- and middle-income countries (LMICs), particularly in Africa and parts of Asia, often lacked blinding, had smaller sample sizes, or relied on self-reported adherence, leading to lower quality ratings.</w:t>
      </w:r>
      <w:r w:rsidR="00E2361A">
        <w:rPr>
          <w:rFonts w:ascii="Times New Roman" w:eastAsia="Times New Roman" w:hAnsi="Times New Roman" w:cs="Times New Roman"/>
          <w:sz w:val="24"/>
          <w:szCs w:val="24"/>
          <w:lang w:eastAsia="en-GB"/>
        </w:rPr>
        <w:t xml:space="preserve"> Table </w:t>
      </w:r>
      <w:r w:rsidR="007B7B91">
        <w:rPr>
          <w:rFonts w:ascii="Times New Roman" w:eastAsia="Times New Roman" w:hAnsi="Times New Roman" w:cs="Times New Roman"/>
          <w:sz w:val="24"/>
          <w:szCs w:val="24"/>
          <w:lang w:eastAsia="en-GB"/>
        </w:rPr>
        <w:t>4</w:t>
      </w:r>
      <w:r w:rsidR="00E2361A">
        <w:rPr>
          <w:rFonts w:ascii="Times New Roman" w:eastAsia="Times New Roman" w:hAnsi="Times New Roman" w:cs="Times New Roman"/>
          <w:sz w:val="24"/>
          <w:szCs w:val="24"/>
          <w:lang w:eastAsia="en-GB"/>
        </w:rPr>
        <w:t xml:space="preserve"> shows the details of the results. </w:t>
      </w:r>
    </w:p>
    <w:p w14:paraId="56128364" w14:textId="580DF62A" w:rsidR="00116BC9" w:rsidRPr="00116BC9" w:rsidRDefault="00116BC9" w:rsidP="009507A4">
      <w:pPr>
        <w:spacing w:after="0" w:line="240" w:lineRule="auto"/>
        <w:outlineLvl w:val="3"/>
        <w:rPr>
          <w:rFonts w:ascii="Times New Roman" w:eastAsia="Times New Roman" w:hAnsi="Times New Roman" w:cs="Times New Roman"/>
          <w:i/>
          <w:sz w:val="24"/>
          <w:szCs w:val="24"/>
          <w:lang w:eastAsia="en-GB"/>
        </w:rPr>
      </w:pPr>
      <w:r w:rsidRPr="00116BC9">
        <w:rPr>
          <w:rFonts w:ascii="Times New Roman" w:eastAsia="Times New Roman" w:hAnsi="Times New Roman" w:cs="Times New Roman"/>
          <w:bCs/>
          <w:i/>
          <w:sz w:val="24"/>
          <w:szCs w:val="24"/>
          <w:lang w:eastAsia="en-GB"/>
        </w:rPr>
        <w:t xml:space="preserve">Table </w:t>
      </w:r>
      <w:r w:rsidR="007B7B91">
        <w:rPr>
          <w:rFonts w:ascii="Times New Roman" w:eastAsia="Times New Roman" w:hAnsi="Times New Roman" w:cs="Times New Roman"/>
          <w:bCs/>
          <w:i/>
          <w:sz w:val="24"/>
          <w:szCs w:val="24"/>
          <w:lang w:eastAsia="en-GB"/>
        </w:rPr>
        <w:t>4</w:t>
      </w:r>
      <w:r w:rsidR="00E2361A" w:rsidRPr="00E2361A">
        <w:rPr>
          <w:rFonts w:ascii="Times New Roman" w:eastAsia="Times New Roman" w:hAnsi="Times New Roman" w:cs="Times New Roman"/>
          <w:bCs/>
          <w:i/>
          <w:sz w:val="24"/>
          <w:szCs w:val="24"/>
          <w:lang w:eastAsia="en-GB"/>
        </w:rPr>
        <w:t xml:space="preserve">:  </w:t>
      </w:r>
      <w:r w:rsidRPr="00116BC9">
        <w:rPr>
          <w:rFonts w:ascii="Times New Roman" w:eastAsia="Times New Roman" w:hAnsi="Times New Roman" w:cs="Times New Roman"/>
          <w:bCs/>
          <w:i/>
          <w:sz w:val="24"/>
          <w:szCs w:val="24"/>
          <w:lang w:eastAsia="en-GB"/>
        </w:rPr>
        <w:t>Study Quality by Design and Region (N = 27)</w:t>
      </w:r>
      <w:r w:rsidRPr="00116BC9">
        <w:rPr>
          <w:rFonts w:ascii="Times New Roman" w:eastAsia="Times New Roman" w:hAnsi="Times New Roman" w:cs="Times New Roman"/>
          <w:i/>
          <w:sz w:val="24"/>
          <w:szCs w:val="24"/>
          <w:lang w:eastAsia="en-GB"/>
        </w:rPr>
        <w:br/>
      </w:r>
    </w:p>
    <w:tbl>
      <w:tblPr>
        <w:tblW w:w="8876"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102"/>
        <w:gridCol w:w="2378"/>
        <w:gridCol w:w="1914"/>
        <w:gridCol w:w="1170"/>
        <w:gridCol w:w="1312"/>
      </w:tblGrid>
      <w:tr w:rsidR="00116BC9" w:rsidRPr="00116BC9" w14:paraId="721E1714" w14:textId="77777777" w:rsidTr="00E2361A">
        <w:trPr>
          <w:trHeight w:val="258"/>
          <w:tblHeader/>
          <w:tblCellSpacing w:w="15" w:type="dxa"/>
        </w:trPr>
        <w:tc>
          <w:tcPr>
            <w:tcW w:w="0" w:type="auto"/>
            <w:tcBorders>
              <w:top w:val="single" w:sz="4" w:space="0" w:color="auto"/>
              <w:bottom w:val="single" w:sz="4" w:space="0" w:color="auto"/>
            </w:tcBorders>
            <w:vAlign w:val="center"/>
            <w:hideMark/>
          </w:tcPr>
          <w:p w14:paraId="1F476826" w14:textId="77777777" w:rsidR="00116BC9" w:rsidRPr="00116BC9" w:rsidRDefault="00116BC9" w:rsidP="00E2361A">
            <w:pPr>
              <w:spacing w:after="0" w:line="240" w:lineRule="auto"/>
              <w:rPr>
                <w:rFonts w:ascii="Times New Roman" w:eastAsia="Times New Roman" w:hAnsi="Times New Roman" w:cs="Times New Roman"/>
                <w:b/>
                <w:bCs/>
                <w:sz w:val="24"/>
                <w:szCs w:val="24"/>
                <w:lang w:eastAsia="en-GB"/>
              </w:rPr>
            </w:pPr>
            <w:r w:rsidRPr="00116BC9">
              <w:rPr>
                <w:rFonts w:ascii="Times New Roman" w:eastAsia="Times New Roman" w:hAnsi="Times New Roman" w:cs="Times New Roman"/>
                <w:b/>
                <w:bCs/>
                <w:sz w:val="24"/>
                <w:szCs w:val="24"/>
                <w:lang w:eastAsia="en-GB"/>
              </w:rPr>
              <w:t>Design/Region</w:t>
            </w:r>
          </w:p>
        </w:tc>
        <w:tc>
          <w:tcPr>
            <w:tcW w:w="0" w:type="auto"/>
            <w:tcBorders>
              <w:top w:val="single" w:sz="4" w:space="0" w:color="auto"/>
              <w:bottom w:val="single" w:sz="4" w:space="0" w:color="auto"/>
            </w:tcBorders>
            <w:vAlign w:val="center"/>
            <w:hideMark/>
          </w:tcPr>
          <w:p w14:paraId="117344F6" w14:textId="77777777" w:rsidR="00116BC9" w:rsidRPr="00116BC9" w:rsidRDefault="00116BC9" w:rsidP="00E2361A">
            <w:pPr>
              <w:spacing w:after="0" w:line="240" w:lineRule="auto"/>
              <w:rPr>
                <w:rFonts w:ascii="Times New Roman" w:eastAsia="Times New Roman" w:hAnsi="Times New Roman" w:cs="Times New Roman"/>
                <w:b/>
                <w:bCs/>
                <w:sz w:val="24"/>
                <w:szCs w:val="24"/>
                <w:lang w:eastAsia="en-GB"/>
              </w:rPr>
            </w:pPr>
            <w:r w:rsidRPr="00116BC9">
              <w:rPr>
                <w:rFonts w:ascii="Times New Roman" w:eastAsia="Times New Roman" w:hAnsi="Times New Roman" w:cs="Times New Roman"/>
                <w:b/>
                <w:bCs/>
                <w:sz w:val="24"/>
                <w:szCs w:val="24"/>
                <w:lang w:eastAsia="en-GB"/>
              </w:rPr>
              <w:t>High Quality (n)</w:t>
            </w:r>
          </w:p>
        </w:tc>
        <w:tc>
          <w:tcPr>
            <w:tcW w:w="0" w:type="auto"/>
            <w:tcBorders>
              <w:top w:val="single" w:sz="4" w:space="0" w:color="auto"/>
              <w:bottom w:val="single" w:sz="4" w:space="0" w:color="auto"/>
            </w:tcBorders>
            <w:vAlign w:val="center"/>
            <w:hideMark/>
          </w:tcPr>
          <w:p w14:paraId="0E294BF7" w14:textId="77777777" w:rsidR="00116BC9" w:rsidRPr="00116BC9" w:rsidRDefault="00116BC9" w:rsidP="00E2361A">
            <w:pPr>
              <w:spacing w:after="0" w:line="240" w:lineRule="auto"/>
              <w:rPr>
                <w:rFonts w:ascii="Times New Roman" w:eastAsia="Times New Roman" w:hAnsi="Times New Roman" w:cs="Times New Roman"/>
                <w:b/>
                <w:bCs/>
                <w:sz w:val="24"/>
                <w:szCs w:val="24"/>
                <w:lang w:eastAsia="en-GB"/>
              </w:rPr>
            </w:pPr>
            <w:r w:rsidRPr="00116BC9">
              <w:rPr>
                <w:rFonts w:ascii="Times New Roman" w:eastAsia="Times New Roman" w:hAnsi="Times New Roman" w:cs="Times New Roman"/>
                <w:b/>
                <w:bCs/>
                <w:sz w:val="24"/>
                <w:szCs w:val="24"/>
                <w:lang w:eastAsia="en-GB"/>
              </w:rPr>
              <w:t>Moderate (n)</w:t>
            </w:r>
          </w:p>
        </w:tc>
        <w:tc>
          <w:tcPr>
            <w:tcW w:w="0" w:type="auto"/>
            <w:tcBorders>
              <w:top w:val="single" w:sz="4" w:space="0" w:color="auto"/>
              <w:bottom w:val="single" w:sz="4" w:space="0" w:color="auto"/>
            </w:tcBorders>
            <w:vAlign w:val="center"/>
            <w:hideMark/>
          </w:tcPr>
          <w:p w14:paraId="6153F7DA" w14:textId="77777777" w:rsidR="00116BC9" w:rsidRPr="00116BC9" w:rsidRDefault="00116BC9" w:rsidP="00E2361A">
            <w:pPr>
              <w:spacing w:after="0" w:line="240" w:lineRule="auto"/>
              <w:rPr>
                <w:rFonts w:ascii="Times New Roman" w:eastAsia="Times New Roman" w:hAnsi="Times New Roman" w:cs="Times New Roman"/>
                <w:b/>
                <w:bCs/>
                <w:sz w:val="24"/>
                <w:szCs w:val="24"/>
                <w:lang w:eastAsia="en-GB"/>
              </w:rPr>
            </w:pPr>
            <w:r w:rsidRPr="00116BC9">
              <w:rPr>
                <w:rFonts w:ascii="Times New Roman" w:eastAsia="Times New Roman" w:hAnsi="Times New Roman" w:cs="Times New Roman"/>
                <w:b/>
                <w:bCs/>
                <w:sz w:val="24"/>
                <w:szCs w:val="24"/>
                <w:lang w:eastAsia="en-GB"/>
              </w:rPr>
              <w:t>Low (n)</w:t>
            </w:r>
          </w:p>
        </w:tc>
        <w:tc>
          <w:tcPr>
            <w:tcW w:w="0" w:type="auto"/>
            <w:tcBorders>
              <w:top w:val="single" w:sz="4" w:space="0" w:color="auto"/>
              <w:bottom w:val="single" w:sz="4" w:space="0" w:color="auto"/>
            </w:tcBorders>
            <w:vAlign w:val="center"/>
            <w:hideMark/>
          </w:tcPr>
          <w:p w14:paraId="6D585E14" w14:textId="77777777" w:rsidR="00116BC9" w:rsidRPr="00116BC9" w:rsidRDefault="00116BC9" w:rsidP="00E2361A">
            <w:pPr>
              <w:spacing w:after="0" w:line="240" w:lineRule="auto"/>
              <w:rPr>
                <w:rFonts w:ascii="Times New Roman" w:eastAsia="Times New Roman" w:hAnsi="Times New Roman" w:cs="Times New Roman"/>
                <w:b/>
                <w:bCs/>
                <w:sz w:val="24"/>
                <w:szCs w:val="24"/>
                <w:lang w:eastAsia="en-GB"/>
              </w:rPr>
            </w:pPr>
            <w:r w:rsidRPr="00116BC9">
              <w:rPr>
                <w:rFonts w:ascii="Times New Roman" w:eastAsia="Times New Roman" w:hAnsi="Times New Roman" w:cs="Times New Roman"/>
                <w:b/>
                <w:bCs/>
                <w:sz w:val="24"/>
                <w:szCs w:val="24"/>
                <w:lang w:eastAsia="en-GB"/>
              </w:rPr>
              <w:t>Total (n)</w:t>
            </w:r>
          </w:p>
        </w:tc>
      </w:tr>
      <w:tr w:rsidR="00116BC9" w:rsidRPr="00116BC9" w14:paraId="66052D95" w14:textId="77777777" w:rsidTr="00E2361A">
        <w:trPr>
          <w:trHeight w:val="272"/>
          <w:tblCellSpacing w:w="15" w:type="dxa"/>
        </w:trPr>
        <w:tc>
          <w:tcPr>
            <w:tcW w:w="0" w:type="auto"/>
            <w:vAlign w:val="center"/>
            <w:hideMark/>
          </w:tcPr>
          <w:p w14:paraId="0768572D"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RCTs</w:t>
            </w:r>
          </w:p>
        </w:tc>
        <w:tc>
          <w:tcPr>
            <w:tcW w:w="0" w:type="auto"/>
            <w:vAlign w:val="center"/>
            <w:hideMark/>
          </w:tcPr>
          <w:p w14:paraId="48E50508"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11</w:t>
            </w:r>
          </w:p>
        </w:tc>
        <w:tc>
          <w:tcPr>
            <w:tcW w:w="0" w:type="auto"/>
            <w:vAlign w:val="center"/>
            <w:hideMark/>
          </w:tcPr>
          <w:p w14:paraId="14FED9C7"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4</w:t>
            </w:r>
          </w:p>
        </w:tc>
        <w:tc>
          <w:tcPr>
            <w:tcW w:w="0" w:type="auto"/>
            <w:vAlign w:val="center"/>
            <w:hideMark/>
          </w:tcPr>
          <w:p w14:paraId="0FF560EB"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0</w:t>
            </w:r>
          </w:p>
        </w:tc>
        <w:tc>
          <w:tcPr>
            <w:tcW w:w="0" w:type="auto"/>
            <w:vAlign w:val="center"/>
            <w:hideMark/>
          </w:tcPr>
          <w:p w14:paraId="5393BEA2"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15</w:t>
            </w:r>
          </w:p>
        </w:tc>
      </w:tr>
      <w:tr w:rsidR="00116BC9" w:rsidRPr="00116BC9" w14:paraId="3679FDF2" w14:textId="77777777" w:rsidTr="00E2361A">
        <w:trPr>
          <w:trHeight w:val="258"/>
          <w:tblCellSpacing w:w="15" w:type="dxa"/>
        </w:trPr>
        <w:tc>
          <w:tcPr>
            <w:tcW w:w="0" w:type="auto"/>
            <w:vAlign w:val="center"/>
            <w:hideMark/>
          </w:tcPr>
          <w:p w14:paraId="6FB29A12"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Cohort Studies</w:t>
            </w:r>
          </w:p>
        </w:tc>
        <w:tc>
          <w:tcPr>
            <w:tcW w:w="0" w:type="auto"/>
            <w:vAlign w:val="center"/>
            <w:hideMark/>
          </w:tcPr>
          <w:p w14:paraId="31CDA8CA"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6</w:t>
            </w:r>
          </w:p>
        </w:tc>
        <w:tc>
          <w:tcPr>
            <w:tcW w:w="0" w:type="auto"/>
            <w:vAlign w:val="center"/>
            <w:hideMark/>
          </w:tcPr>
          <w:p w14:paraId="39D117CA"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2</w:t>
            </w:r>
          </w:p>
        </w:tc>
        <w:tc>
          <w:tcPr>
            <w:tcW w:w="0" w:type="auto"/>
            <w:vAlign w:val="center"/>
            <w:hideMark/>
          </w:tcPr>
          <w:p w14:paraId="258A6206"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0</w:t>
            </w:r>
          </w:p>
        </w:tc>
        <w:tc>
          <w:tcPr>
            <w:tcW w:w="0" w:type="auto"/>
            <w:vAlign w:val="center"/>
            <w:hideMark/>
          </w:tcPr>
          <w:p w14:paraId="48DF3827"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8</w:t>
            </w:r>
          </w:p>
        </w:tc>
      </w:tr>
      <w:tr w:rsidR="00116BC9" w:rsidRPr="00116BC9" w14:paraId="70F229EC" w14:textId="77777777" w:rsidTr="00E2361A">
        <w:trPr>
          <w:trHeight w:val="272"/>
          <w:tblCellSpacing w:w="15" w:type="dxa"/>
        </w:trPr>
        <w:tc>
          <w:tcPr>
            <w:tcW w:w="0" w:type="auto"/>
            <w:vAlign w:val="center"/>
            <w:hideMark/>
          </w:tcPr>
          <w:p w14:paraId="010FF539"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Meta-Analyses</w:t>
            </w:r>
          </w:p>
        </w:tc>
        <w:tc>
          <w:tcPr>
            <w:tcW w:w="0" w:type="auto"/>
            <w:vAlign w:val="center"/>
            <w:hideMark/>
          </w:tcPr>
          <w:p w14:paraId="5C3F4A0C"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4</w:t>
            </w:r>
          </w:p>
        </w:tc>
        <w:tc>
          <w:tcPr>
            <w:tcW w:w="0" w:type="auto"/>
            <w:vAlign w:val="center"/>
            <w:hideMark/>
          </w:tcPr>
          <w:p w14:paraId="03088D00"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0</w:t>
            </w:r>
          </w:p>
        </w:tc>
        <w:tc>
          <w:tcPr>
            <w:tcW w:w="0" w:type="auto"/>
            <w:vAlign w:val="center"/>
            <w:hideMark/>
          </w:tcPr>
          <w:p w14:paraId="7A15E162"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0</w:t>
            </w:r>
          </w:p>
        </w:tc>
        <w:tc>
          <w:tcPr>
            <w:tcW w:w="0" w:type="auto"/>
            <w:vAlign w:val="center"/>
            <w:hideMark/>
          </w:tcPr>
          <w:p w14:paraId="34746923"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4</w:t>
            </w:r>
          </w:p>
        </w:tc>
      </w:tr>
      <w:tr w:rsidR="00116BC9" w:rsidRPr="00116BC9" w14:paraId="3107C2A5" w14:textId="77777777" w:rsidTr="00E2361A">
        <w:trPr>
          <w:trHeight w:val="258"/>
          <w:tblCellSpacing w:w="15" w:type="dxa"/>
        </w:trPr>
        <w:tc>
          <w:tcPr>
            <w:tcW w:w="0" w:type="auto"/>
            <w:vAlign w:val="center"/>
            <w:hideMark/>
          </w:tcPr>
          <w:p w14:paraId="153F2425"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bCs/>
                <w:sz w:val="24"/>
                <w:szCs w:val="24"/>
                <w:lang w:eastAsia="en-GB"/>
              </w:rPr>
              <w:t>North America</w:t>
            </w:r>
          </w:p>
        </w:tc>
        <w:tc>
          <w:tcPr>
            <w:tcW w:w="0" w:type="auto"/>
            <w:vAlign w:val="center"/>
            <w:hideMark/>
          </w:tcPr>
          <w:p w14:paraId="325A5803"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12</w:t>
            </w:r>
          </w:p>
        </w:tc>
        <w:tc>
          <w:tcPr>
            <w:tcW w:w="0" w:type="auto"/>
            <w:vAlign w:val="center"/>
            <w:hideMark/>
          </w:tcPr>
          <w:p w14:paraId="4EEF4A40"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w:t>
            </w:r>
          </w:p>
        </w:tc>
        <w:tc>
          <w:tcPr>
            <w:tcW w:w="0" w:type="auto"/>
            <w:vAlign w:val="center"/>
            <w:hideMark/>
          </w:tcPr>
          <w:p w14:paraId="4D0046F3"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0</w:t>
            </w:r>
          </w:p>
        </w:tc>
        <w:tc>
          <w:tcPr>
            <w:tcW w:w="0" w:type="auto"/>
            <w:vAlign w:val="center"/>
            <w:hideMark/>
          </w:tcPr>
          <w:p w14:paraId="1EAEBFFB"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13</w:t>
            </w:r>
          </w:p>
        </w:tc>
      </w:tr>
      <w:tr w:rsidR="00116BC9" w:rsidRPr="00116BC9" w14:paraId="629002A4" w14:textId="77777777" w:rsidTr="00E2361A">
        <w:trPr>
          <w:trHeight w:val="258"/>
          <w:tblCellSpacing w:w="15" w:type="dxa"/>
        </w:trPr>
        <w:tc>
          <w:tcPr>
            <w:tcW w:w="0" w:type="auto"/>
            <w:vAlign w:val="center"/>
            <w:hideMark/>
          </w:tcPr>
          <w:p w14:paraId="11C31234"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bCs/>
                <w:sz w:val="24"/>
                <w:szCs w:val="24"/>
                <w:lang w:eastAsia="en-GB"/>
              </w:rPr>
              <w:t>Europe</w:t>
            </w:r>
          </w:p>
        </w:tc>
        <w:tc>
          <w:tcPr>
            <w:tcW w:w="0" w:type="auto"/>
            <w:vAlign w:val="center"/>
            <w:hideMark/>
          </w:tcPr>
          <w:p w14:paraId="039E1BB4"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6</w:t>
            </w:r>
          </w:p>
        </w:tc>
        <w:tc>
          <w:tcPr>
            <w:tcW w:w="0" w:type="auto"/>
            <w:vAlign w:val="center"/>
            <w:hideMark/>
          </w:tcPr>
          <w:p w14:paraId="63996E74"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0</w:t>
            </w:r>
          </w:p>
        </w:tc>
        <w:tc>
          <w:tcPr>
            <w:tcW w:w="0" w:type="auto"/>
            <w:vAlign w:val="center"/>
            <w:hideMark/>
          </w:tcPr>
          <w:p w14:paraId="102F3C79"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0</w:t>
            </w:r>
          </w:p>
        </w:tc>
        <w:tc>
          <w:tcPr>
            <w:tcW w:w="0" w:type="auto"/>
            <w:vAlign w:val="center"/>
            <w:hideMark/>
          </w:tcPr>
          <w:p w14:paraId="7F2FA9BF"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6</w:t>
            </w:r>
          </w:p>
        </w:tc>
      </w:tr>
      <w:tr w:rsidR="00116BC9" w:rsidRPr="00116BC9" w14:paraId="4E5BE9E2" w14:textId="77777777" w:rsidTr="00E2361A">
        <w:trPr>
          <w:trHeight w:val="272"/>
          <w:tblCellSpacing w:w="15" w:type="dxa"/>
        </w:trPr>
        <w:tc>
          <w:tcPr>
            <w:tcW w:w="0" w:type="auto"/>
            <w:vAlign w:val="center"/>
            <w:hideMark/>
          </w:tcPr>
          <w:p w14:paraId="49C229F7"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bCs/>
                <w:sz w:val="24"/>
                <w:szCs w:val="24"/>
                <w:lang w:eastAsia="en-GB"/>
              </w:rPr>
              <w:t>Asia</w:t>
            </w:r>
          </w:p>
        </w:tc>
        <w:tc>
          <w:tcPr>
            <w:tcW w:w="0" w:type="auto"/>
            <w:vAlign w:val="center"/>
            <w:hideMark/>
          </w:tcPr>
          <w:p w14:paraId="38D0C126"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3</w:t>
            </w:r>
          </w:p>
        </w:tc>
        <w:tc>
          <w:tcPr>
            <w:tcW w:w="0" w:type="auto"/>
            <w:vAlign w:val="center"/>
            <w:hideMark/>
          </w:tcPr>
          <w:p w14:paraId="3B8E8F2B"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2</w:t>
            </w:r>
          </w:p>
        </w:tc>
        <w:tc>
          <w:tcPr>
            <w:tcW w:w="0" w:type="auto"/>
            <w:vAlign w:val="center"/>
            <w:hideMark/>
          </w:tcPr>
          <w:p w14:paraId="67173F95"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0</w:t>
            </w:r>
          </w:p>
        </w:tc>
        <w:tc>
          <w:tcPr>
            <w:tcW w:w="0" w:type="auto"/>
            <w:vAlign w:val="center"/>
            <w:hideMark/>
          </w:tcPr>
          <w:p w14:paraId="01EF249A"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5</w:t>
            </w:r>
          </w:p>
        </w:tc>
      </w:tr>
      <w:tr w:rsidR="00116BC9" w:rsidRPr="00116BC9" w14:paraId="41B659E2" w14:textId="77777777" w:rsidTr="00E2361A">
        <w:trPr>
          <w:trHeight w:val="272"/>
          <w:tblCellSpacing w:w="15" w:type="dxa"/>
        </w:trPr>
        <w:tc>
          <w:tcPr>
            <w:tcW w:w="0" w:type="auto"/>
            <w:vAlign w:val="center"/>
            <w:hideMark/>
          </w:tcPr>
          <w:p w14:paraId="372856F3"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bCs/>
                <w:sz w:val="24"/>
                <w:szCs w:val="24"/>
                <w:lang w:eastAsia="en-GB"/>
              </w:rPr>
              <w:t>Africa</w:t>
            </w:r>
          </w:p>
        </w:tc>
        <w:tc>
          <w:tcPr>
            <w:tcW w:w="0" w:type="auto"/>
            <w:vAlign w:val="center"/>
            <w:hideMark/>
          </w:tcPr>
          <w:p w14:paraId="219C7C93"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w:t>
            </w:r>
          </w:p>
        </w:tc>
        <w:tc>
          <w:tcPr>
            <w:tcW w:w="0" w:type="auto"/>
            <w:vAlign w:val="center"/>
            <w:hideMark/>
          </w:tcPr>
          <w:p w14:paraId="0B63D425"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2</w:t>
            </w:r>
          </w:p>
        </w:tc>
        <w:tc>
          <w:tcPr>
            <w:tcW w:w="0" w:type="auto"/>
            <w:vAlign w:val="center"/>
            <w:hideMark/>
          </w:tcPr>
          <w:p w14:paraId="0FCE4086"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0</w:t>
            </w:r>
          </w:p>
        </w:tc>
        <w:tc>
          <w:tcPr>
            <w:tcW w:w="0" w:type="auto"/>
            <w:vAlign w:val="center"/>
            <w:hideMark/>
          </w:tcPr>
          <w:p w14:paraId="768E072E" w14:textId="77777777" w:rsidR="00116BC9" w:rsidRPr="00116BC9" w:rsidRDefault="00116BC9" w:rsidP="00E2361A">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3</w:t>
            </w:r>
          </w:p>
        </w:tc>
      </w:tr>
    </w:tbl>
    <w:p w14:paraId="0BA31BC8" w14:textId="77777777" w:rsidR="00116BC9" w:rsidRPr="00116BC9" w:rsidRDefault="00116BC9" w:rsidP="00116BC9">
      <w:pPr>
        <w:spacing w:after="0" w:line="240" w:lineRule="auto"/>
        <w:rPr>
          <w:rFonts w:ascii="Times New Roman" w:eastAsia="Times New Roman" w:hAnsi="Times New Roman" w:cs="Times New Roman"/>
          <w:sz w:val="24"/>
          <w:szCs w:val="24"/>
          <w:lang w:eastAsia="en-GB"/>
        </w:rPr>
      </w:pPr>
    </w:p>
    <w:p w14:paraId="0B6D719F" w14:textId="7EFAF83B" w:rsidR="00E2361A" w:rsidRPr="00E2361A" w:rsidRDefault="00E2361A" w:rsidP="00E2361A">
      <w:pPr>
        <w:spacing w:before="100" w:beforeAutospacing="1" w:after="100" w:afterAutospacing="1" w:line="360" w:lineRule="auto"/>
        <w:jc w:val="both"/>
        <w:rPr>
          <w:rFonts w:ascii="Times New Roman" w:eastAsia="Times New Roman" w:hAnsi="Times New Roman" w:cs="Times New Roman"/>
          <w:sz w:val="24"/>
          <w:szCs w:val="24"/>
          <w:lang w:eastAsia="en-GB"/>
        </w:rPr>
      </w:pPr>
      <w:r w:rsidRPr="00E2361A">
        <w:rPr>
          <w:rFonts w:ascii="Times New Roman" w:eastAsia="Times New Roman" w:hAnsi="Times New Roman" w:cs="Times New Roman"/>
          <w:sz w:val="24"/>
          <w:szCs w:val="24"/>
          <w:lang w:eastAsia="en-GB"/>
        </w:rPr>
        <w:lastRenderedPageBreak/>
        <w:t xml:space="preserve">Table </w:t>
      </w:r>
      <w:r w:rsidR="007B7B91">
        <w:rPr>
          <w:rFonts w:ascii="Times New Roman" w:eastAsia="Times New Roman" w:hAnsi="Times New Roman" w:cs="Times New Roman"/>
          <w:sz w:val="24"/>
          <w:szCs w:val="24"/>
          <w:lang w:eastAsia="en-GB"/>
        </w:rPr>
        <w:t xml:space="preserve">4 </w:t>
      </w:r>
      <w:r w:rsidRPr="00E2361A">
        <w:rPr>
          <w:rFonts w:ascii="Times New Roman" w:eastAsia="Times New Roman" w:hAnsi="Times New Roman" w:cs="Times New Roman"/>
          <w:sz w:val="24"/>
          <w:szCs w:val="24"/>
          <w:lang w:eastAsia="en-GB"/>
        </w:rPr>
        <w:t>provides an overview of the methodological quality of the 27 studies included in the review, categorized by study design and geographic region. Overall, the table shows that the majority of studies were of high quality, with no studies rated as low quality. Among the study designs, randomized controlled trials (RCTs) were the most prevalent, with 11 rated as high quality and 4 as moderate. All eight cohort studies were rated either high (6) or moderate (2) in quality, while all four meta-analyses were rated as high quality, indicating strong methodological rigo</w:t>
      </w:r>
      <w:r w:rsidR="003B701C">
        <w:rPr>
          <w:rFonts w:ascii="Times New Roman" w:eastAsia="Times New Roman" w:hAnsi="Times New Roman" w:cs="Times New Roman"/>
          <w:sz w:val="24"/>
          <w:szCs w:val="24"/>
          <w:lang w:eastAsia="en-GB"/>
        </w:rPr>
        <w:t>u</w:t>
      </w:r>
      <w:r w:rsidRPr="00E2361A">
        <w:rPr>
          <w:rFonts w:ascii="Times New Roman" w:eastAsia="Times New Roman" w:hAnsi="Times New Roman" w:cs="Times New Roman"/>
          <w:sz w:val="24"/>
          <w:szCs w:val="24"/>
          <w:lang w:eastAsia="en-GB"/>
        </w:rPr>
        <w:t>r across these reviews.</w:t>
      </w:r>
      <w:r>
        <w:rPr>
          <w:rFonts w:ascii="Times New Roman" w:eastAsia="Times New Roman" w:hAnsi="Times New Roman" w:cs="Times New Roman"/>
          <w:sz w:val="24"/>
          <w:szCs w:val="24"/>
          <w:lang w:eastAsia="en-GB"/>
        </w:rPr>
        <w:t xml:space="preserve">  </w:t>
      </w:r>
      <w:r w:rsidRPr="00E2361A">
        <w:rPr>
          <w:rFonts w:ascii="Times New Roman" w:eastAsia="Times New Roman" w:hAnsi="Times New Roman" w:cs="Times New Roman"/>
          <w:sz w:val="24"/>
          <w:szCs w:val="24"/>
          <w:lang w:eastAsia="en-GB"/>
        </w:rPr>
        <w:t>When broken down by region, North America produced the highest number of high-quality studies (12 out of 13), with only one rated as moderate. Europe followed with six high-quality studies and no moderate or low-quality ratings, reflecting strong research standards. In Asia, of the five studies reviewed, three were high quality and two were moderate. In Africa, however, study quality was more modest, with only one high-quality study and two rated as moderate. This regional distribution suggests that while high-quality research on plant-based diets and Type 2 diabetes is emerging globally, there remains a need for more rigorous studies, particularly from underrepresented regions like Africa.</w:t>
      </w:r>
    </w:p>
    <w:p w14:paraId="00AC8974" w14:textId="77777777" w:rsidR="00116BC9" w:rsidRPr="00116BC9" w:rsidRDefault="009507A4" w:rsidP="00116BC9">
      <w:p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sidRPr="009507A4">
        <w:rPr>
          <w:rFonts w:ascii="Times New Roman" w:eastAsia="Times New Roman" w:hAnsi="Times New Roman" w:cs="Times New Roman"/>
          <w:b/>
          <w:bCs/>
          <w:sz w:val="24"/>
          <w:szCs w:val="24"/>
          <w:lang w:eastAsia="en-GB"/>
        </w:rPr>
        <w:t>4.</w:t>
      </w:r>
      <w:r w:rsidR="00116BC9" w:rsidRPr="00116BC9">
        <w:rPr>
          <w:rFonts w:ascii="Times New Roman" w:eastAsia="Times New Roman" w:hAnsi="Times New Roman" w:cs="Times New Roman"/>
          <w:b/>
          <w:bCs/>
          <w:sz w:val="24"/>
          <w:szCs w:val="24"/>
          <w:lang w:eastAsia="en-GB"/>
        </w:rPr>
        <w:t>3. Gaps in Literature: Adherence, Sustainability, and Long-Term Outcomes</w:t>
      </w:r>
    </w:p>
    <w:p w14:paraId="7621CC74" w14:textId="45DD99AD" w:rsidR="00116BC9" w:rsidRPr="00116BC9" w:rsidRDefault="00116BC9" w:rsidP="00116BC9">
      <w:pPr>
        <w:spacing w:before="100" w:beforeAutospacing="1" w:after="100" w:afterAutospacing="1"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Despite strong evidence supporting the metabolic benefits of plant-based diets in type 2 diabetes,</w:t>
      </w:r>
      <w:r w:rsidR="009507A4">
        <w:rPr>
          <w:rFonts w:ascii="Times New Roman" w:eastAsia="Times New Roman" w:hAnsi="Times New Roman" w:cs="Times New Roman"/>
          <w:sz w:val="24"/>
          <w:szCs w:val="24"/>
          <w:lang w:eastAsia="en-GB"/>
        </w:rPr>
        <w:t xml:space="preserve"> several important gaps persist. Table</w:t>
      </w:r>
      <w:r w:rsidR="007B7B91">
        <w:rPr>
          <w:rFonts w:ascii="Times New Roman" w:eastAsia="Times New Roman" w:hAnsi="Times New Roman" w:cs="Times New Roman"/>
          <w:sz w:val="24"/>
          <w:szCs w:val="24"/>
          <w:lang w:eastAsia="en-GB"/>
        </w:rPr>
        <w:t xml:space="preserve"> 5 </w:t>
      </w:r>
      <w:r w:rsidR="009507A4">
        <w:rPr>
          <w:rFonts w:ascii="Times New Roman" w:eastAsia="Times New Roman" w:hAnsi="Times New Roman" w:cs="Times New Roman"/>
          <w:sz w:val="24"/>
          <w:szCs w:val="24"/>
          <w:lang w:eastAsia="en-GB"/>
        </w:rPr>
        <w:t xml:space="preserve">below presents the details of the results. </w:t>
      </w:r>
    </w:p>
    <w:p w14:paraId="09AD6985" w14:textId="53431B40" w:rsidR="00116BC9" w:rsidRPr="00116BC9" w:rsidRDefault="00116BC9" w:rsidP="009507A4">
      <w:pPr>
        <w:spacing w:after="0" w:line="240" w:lineRule="auto"/>
        <w:outlineLvl w:val="3"/>
        <w:rPr>
          <w:rFonts w:ascii="Times New Roman" w:eastAsia="Times New Roman" w:hAnsi="Times New Roman" w:cs="Times New Roman"/>
          <w:b/>
          <w:bCs/>
          <w:sz w:val="24"/>
          <w:szCs w:val="24"/>
          <w:lang w:eastAsia="en-GB"/>
        </w:rPr>
      </w:pPr>
      <w:r w:rsidRPr="00116BC9">
        <w:rPr>
          <w:rFonts w:ascii="Times New Roman" w:eastAsia="Times New Roman" w:hAnsi="Times New Roman" w:cs="Times New Roman"/>
          <w:bCs/>
          <w:i/>
          <w:sz w:val="24"/>
          <w:szCs w:val="24"/>
          <w:lang w:eastAsia="en-GB"/>
        </w:rPr>
        <w:t xml:space="preserve">Table </w:t>
      </w:r>
      <w:r w:rsidR="007B7B91">
        <w:rPr>
          <w:rFonts w:ascii="Times New Roman" w:eastAsia="Times New Roman" w:hAnsi="Times New Roman" w:cs="Times New Roman"/>
          <w:bCs/>
          <w:i/>
          <w:sz w:val="24"/>
          <w:szCs w:val="24"/>
          <w:lang w:eastAsia="en-GB"/>
        </w:rPr>
        <w:t>5</w:t>
      </w:r>
      <w:r w:rsidR="009507A4" w:rsidRPr="009507A4">
        <w:rPr>
          <w:rFonts w:ascii="Times New Roman" w:eastAsia="Times New Roman" w:hAnsi="Times New Roman" w:cs="Times New Roman"/>
          <w:bCs/>
          <w:i/>
          <w:sz w:val="24"/>
          <w:szCs w:val="24"/>
          <w:lang w:eastAsia="en-GB"/>
        </w:rPr>
        <w:t xml:space="preserve">: </w:t>
      </w:r>
      <w:r w:rsidRPr="00116BC9">
        <w:rPr>
          <w:rFonts w:ascii="Times New Roman" w:eastAsia="Times New Roman" w:hAnsi="Times New Roman" w:cs="Times New Roman"/>
          <w:bCs/>
          <w:i/>
          <w:sz w:val="24"/>
          <w:szCs w:val="24"/>
          <w:lang w:eastAsia="en-GB"/>
        </w:rPr>
        <w:t>Methodological Gaps Across Studies (N = 27)</w:t>
      </w:r>
      <w:r w:rsidRPr="00116BC9">
        <w:rPr>
          <w:rFonts w:ascii="Times New Roman" w:eastAsia="Times New Roman" w:hAnsi="Times New Roman" w:cs="Times New Roman"/>
          <w:b/>
          <w:bCs/>
          <w:sz w:val="24"/>
          <w:szCs w:val="24"/>
          <w:lang w:eastAsia="en-GB"/>
        </w:rPr>
        <w:br/>
      </w:r>
    </w:p>
    <w:tbl>
      <w:tblPr>
        <w:tblW w:w="8935"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5348"/>
        <w:gridCol w:w="1781"/>
        <w:gridCol w:w="1806"/>
      </w:tblGrid>
      <w:tr w:rsidR="00116BC9" w:rsidRPr="00116BC9" w14:paraId="58588B63" w14:textId="77777777" w:rsidTr="009507A4">
        <w:trPr>
          <w:trHeight w:val="289"/>
          <w:tblHeader/>
          <w:tblCellSpacing w:w="15" w:type="dxa"/>
        </w:trPr>
        <w:tc>
          <w:tcPr>
            <w:tcW w:w="0" w:type="auto"/>
            <w:tcBorders>
              <w:top w:val="single" w:sz="4" w:space="0" w:color="auto"/>
              <w:bottom w:val="single" w:sz="4" w:space="0" w:color="auto"/>
            </w:tcBorders>
            <w:vAlign w:val="center"/>
            <w:hideMark/>
          </w:tcPr>
          <w:p w14:paraId="5CB5B735" w14:textId="77777777" w:rsidR="00116BC9" w:rsidRPr="00116BC9" w:rsidRDefault="00116BC9" w:rsidP="009507A4">
            <w:pPr>
              <w:spacing w:after="0" w:line="240" w:lineRule="auto"/>
              <w:rPr>
                <w:rFonts w:ascii="Times New Roman" w:eastAsia="Times New Roman" w:hAnsi="Times New Roman" w:cs="Times New Roman"/>
                <w:b/>
                <w:bCs/>
                <w:sz w:val="24"/>
                <w:szCs w:val="24"/>
                <w:lang w:eastAsia="en-GB"/>
              </w:rPr>
            </w:pPr>
            <w:r w:rsidRPr="00116BC9">
              <w:rPr>
                <w:rFonts w:ascii="Times New Roman" w:eastAsia="Times New Roman" w:hAnsi="Times New Roman" w:cs="Times New Roman"/>
                <w:b/>
                <w:bCs/>
                <w:sz w:val="24"/>
                <w:szCs w:val="24"/>
                <w:lang w:eastAsia="en-GB"/>
              </w:rPr>
              <w:t>Category</w:t>
            </w:r>
          </w:p>
        </w:tc>
        <w:tc>
          <w:tcPr>
            <w:tcW w:w="0" w:type="auto"/>
            <w:tcBorders>
              <w:top w:val="single" w:sz="4" w:space="0" w:color="auto"/>
              <w:bottom w:val="single" w:sz="4" w:space="0" w:color="auto"/>
            </w:tcBorders>
            <w:vAlign w:val="center"/>
            <w:hideMark/>
          </w:tcPr>
          <w:p w14:paraId="42424651" w14:textId="77777777" w:rsidR="00116BC9" w:rsidRPr="00116BC9" w:rsidRDefault="00116BC9" w:rsidP="009507A4">
            <w:pPr>
              <w:spacing w:after="0" w:line="240" w:lineRule="auto"/>
              <w:rPr>
                <w:rFonts w:ascii="Times New Roman" w:eastAsia="Times New Roman" w:hAnsi="Times New Roman" w:cs="Times New Roman"/>
                <w:b/>
                <w:bCs/>
                <w:sz w:val="24"/>
                <w:szCs w:val="24"/>
                <w:lang w:eastAsia="en-GB"/>
              </w:rPr>
            </w:pPr>
            <w:r w:rsidRPr="00116BC9">
              <w:rPr>
                <w:rFonts w:ascii="Times New Roman" w:eastAsia="Times New Roman" w:hAnsi="Times New Roman" w:cs="Times New Roman"/>
                <w:b/>
                <w:bCs/>
                <w:sz w:val="24"/>
                <w:szCs w:val="24"/>
                <w:lang w:eastAsia="en-GB"/>
              </w:rPr>
              <w:t>Studies (n)</w:t>
            </w:r>
          </w:p>
        </w:tc>
        <w:tc>
          <w:tcPr>
            <w:tcW w:w="0" w:type="auto"/>
            <w:tcBorders>
              <w:top w:val="single" w:sz="4" w:space="0" w:color="auto"/>
              <w:bottom w:val="single" w:sz="4" w:space="0" w:color="auto"/>
            </w:tcBorders>
            <w:vAlign w:val="center"/>
            <w:hideMark/>
          </w:tcPr>
          <w:p w14:paraId="03907802" w14:textId="77777777" w:rsidR="00116BC9" w:rsidRPr="00116BC9" w:rsidRDefault="00116BC9" w:rsidP="009507A4">
            <w:pPr>
              <w:spacing w:after="0" w:line="240" w:lineRule="auto"/>
              <w:rPr>
                <w:rFonts w:ascii="Times New Roman" w:eastAsia="Times New Roman" w:hAnsi="Times New Roman" w:cs="Times New Roman"/>
                <w:b/>
                <w:bCs/>
                <w:sz w:val="24"/>
                <w:szCs w:val="24"/>
                <w:lang w:eastAsia="en-GB"/>
              </w:rPr>
            </w:pPr>
            <w:r w:rsidRPr="00116BC9">
              <w:rPr>
                <w:rFonts w:ascii="Times New Roman" w:eastAsia="Times New Roman" w:hAnsi="Times New Roman" w:cs="Times New Roman"/>
                <w:b/>
                <w:bCs/>
                <w:sz w:val="24"/>
                <w:szCs w:val="24"/>
                <w:lang w:eastAsia="en-GB"/>
              </w:rPr>
              <w:t>% of Total</w:t>
            </w:r>
          </w:p>
        </w:tc>
      </w:tr>
      <w:tr w:rsidR="00116BC9" w:rsidRPr="00116BC9" w14:paraId="78F5A10D" w14:textId="77777777" w:rsidTr="009507A4">
        <w:trPr>
          <w:trHeight w:val="305"/>
          <w:tblCellSpacing w:w="15" w:type="dxa"/>
        </w:trPr>
        <w:tc>
          <w:tcPr>
            <w:tcW w:w="0" w:type="auto"/>
            <w:vAlign w:val="center"/>
            <w:hideMark/>
          </w:tcPr>
          <w:p w14:paraId="57E84AAD" w14:textId="77777777" w:rsidR="00116BC9" w:rsidRPr="00116BC9" w:rsidRDefault="00116BC9" w:rsidP="009507A4">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Objective adherence assessment</w:t>
            </w:r>
          </w:p>
        </w:tc>
        <w:tc>
          <w:tcPr>
            <w:tcW w:w="0" w:type="auto"/>
            <w:vAlign w:val="center"/>
            <w:hideMark/>
          </w:tcPr>
          <w:p w14:paraId="0585B667" w14:textId="77777777" w:rsidR="00116BC9" w:rsidRPr="00116BC9" w:rsidRDefault="00116BC9" w:rsidP="009507A4">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5</w:t>
            </w:r>
          </w:p>
        </w:tc>
        <w:tc>
          <w:tcPr>
            <w:tcW w:w="0" w:type="auto"/>
            <w:vAlign w:val="center"/>
            <w:hideMark/>
          </w:tcPr>
          <w:p w14:paraId="75B341F1" w14:textId="77777777" w:rsidR="00116BC9" w:rsidRPr="00116BC9" w:rsidRDefault="00116BC9" w:rsidP="009507A4">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18.5%</w:t>
            </w:r>
          </w:p>
        </w:tc>
      </w:tr>
      <w:tr w:rsidR="00116BC9" w:rsidRPr="00116BC9" w14:paraId="1C7B5E98" w14:textId="77777777" w:rsidTr="009507A4">
        <w:trPr>
          <w:trHeight w:val="289"/>
          <w:tblCellSpacing w:w="15" w:type="dxa"/>
        </w:trPr>
        <w:tc>
          <w:tcPr>
            <w:tcW w:w="0" w:type="auto"/>
            <w:vAlign w:val="center"/>
            <w:hideMark/>
          </w:tcPr>
          <w:p w14:paraId="02305C26" w14:textId="77777777" w:rsidR="00116BC9" w:rsidRPr="00116BC9" w:rsidRDefault="00116BC9" w:rsidP="009507A4">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Long-term follow-up (&gt;12 months)</w:t>
            </w:r>
          </w:p>
        </w:tc>
        <w:tc>
          <w:tcPr>
            <w:tcW w:w="0" w:type="auto"/>
            <w:vAlign w:val="center"/>
            <w:hideMark/>
          </w:tcPr>
          <w:p w14:paraId="144BCAFD" w14:textId="77777777" w:rsidR="00116BC9" w:rsidRPr="00116BC9" w:rsidRDefault="00116BC9" w:rsidP="009507A4">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4</w:t>
            </w:r>
          </w:p>
        </w:tc>
        <w:tc>
          <w:tcPr>
            <w:tcW w:w="0" w:type="auto"/>
            <w:vAlign w:val="center"/>
            <w:hideMark/>
          </w:tcPr>
          <w:p w14:paraId="3AB713B2" w14:textId="77777777" w:rsidR="00116BC9" w:rsidRPr="00116BC9" w:rsidRDefault="00116BC9" w:rsidP="009507A4">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15%</w:t>
            </w:r>
          </w:p>
        </w:tc>
      </w:tr>
      <w:tr w:rsidR="00116BC9" w:rsidRPr="00116BC9" w14:paraId="6BC03195" w14:textId="77777777" w:rsidTr="009507A4">
        <w:trPr>
          <w:trHeight w:val="305"/>
          <w:tblCellSpacing w:w="15" w:type="dxa"/>
        </w:trPr>
        <w:tc>
          <w:tcPr>
            <w:tcW w:w="0" w:type="auto"/>
            <w:vAlign w:val="center"/>
            <w:hideMark/>
          </w:tcPr>
          <w:p w14:paraId="43E8B945" w14:textId="77777777" w:rsidR="00116BC9" w:rsidRPr="00116BC9" w:rsidRDefault="00116BC9" w:rsidP="009507A4">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Discussed sustainability factors</w:t>
            </w:r>
          </w:p>
        </w:tc>
        <w:tc>
          <w:tcPr>
            <w:tcW w:w="0" w:type="auto"/>
            <w:vAlign w:val="center"/>
            <w:hideMark/>
          </w:tcPr>
          <w:p w14:paraId="521873EB" w14:textId="77777777" w:rsidR="00116BC9" w:rsidRPr="00116BC9" w:rsidRDefault="00116BC9" w:rsidP="009507A4">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6</w:t>
            </w:r>
          </w:p>
        </w:tc>
        <w:tc>
          <w:tcPr>
            <w:tcW w:w="0" w:type="auto"/>
            <w:vAlign w:val="center"/>
            <w:hideMark/>
          </w:tcPr>
          <w:p w14:paraId="0F23CEC6" w14:textId="77777777" w:rsidR="00116BC9" w:rsidRPr="00116BC9" w:rsidRDefault="00116BC9" w:rsidP="009507A4">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22%</w:t>
            </w:r>
          </w:p>
        </w:tc>
      </w:tr>
      <w:tr w:rsidR="00116BC9" w:rsidRPr="00116BC9" w14:paraId="2AF842AD" w14:textId="77777777" w:rsidTr="009507A4">
        <w:trPr>
          <w:trHeight w:val="289"/>
          <w:tblCellSpacing w:w="15" w:type="dxa"/>
        </w:trPr>
        <w:tc>
          <w:tcPr>
            <w:tcW w:w="0" w:type="auto"/>
            <w:vAlign w:val="center"/>
            <w:hideMark/>
          </w:tcPr>
          <w:p w14:paraId="473B0F0C" w14:textId="77777777" w:rsidR="00116BC9" w:rsidRPr="00116BC9" w:rsidRDefault="00116BC9" w:rsidP="009507A4">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Conducted in Africa or LMICs</w:t>
            </w:r>
          </w:p>
        </w:tc>
        <w:tc>
          <w:tcPr>
            <w:tcW w:w="0" w:type="auto"/>
            <w:vAlign w:val="center"/>
            <w:hideMark/>
          </w:tcPr>
          <w:p w14:paraId="3FBD2B2E" w14:textId="77777777" w:rsidR="00116BC9" w:rsidRPr="00116BC9" w:rsidRDefault="00116BC9" w:rsidP="009507A4">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6</w:t>
            </w:r>
          </w:p>
        </w:tc>
        <w:tc>
          <w:tcPr>
            <w:tcW w:w="0" w:type="auto"/>
            <w:vAlign w:val="center"/>
            <w:hideMark/>
          </w:tcPr>
          <w:p w14:paraId="572E6C29" w14:textId="77777777" w:rsidR="00116BC9" w:rsidRPr="00116BC9" w:rsidRDefault="00116BC9" w:rsidP="009507A4">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22%</w:t>
            </w:r>
          </w:p>
        </w:tc>
      </w:tr>
      <w:tr w:rsidR="00116BC9" w:rsidRPr="00116BC9" w14:paraId="28B71373" w14:textId="77777777" w:rsidTr="009507A4">
        <w:trPr>
          <w:trHeight w:val="305"/>
          <w:tblCellSpacing w:w="15" w:type="dxa"/>
        </w:trPr>
        <w:tc>
          <w:tcPr>
            <w:tcW w:w="0" w:type="auto"/>
            <w:vAlign w:val="center"/>
            <w:hideMark/>
          </w:tcPr>
          <w:p w14:paraId="1122C243" w14:textId="77777777" w:rsidR="00116BC9" w:rsidRPr="00116BC9" w:rsidRDefault="00116BC9" w:rsidP="009507A4">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Included qualitative components</w:t>
            </w:r>
          </w:p>
        </w:tc>
        <w:tc>
          <w:tcPr>
            <w:tcW w:w="0" w:type="auto"/>
            <w:vAlign w:val="center"/>
            <w:hideMark/>
          </w:tcPr>
          <w:p w14:paraId="7D834EE4" w14:textId="77777777" w:rsidR="00116BC9" w:rsidRPr="00116BC9" w:rsidRDefault="00116BC9" w:rsidP="009507A4">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3</w:t>
            </w:r>
          </w:p>
        </w:tc>
        <w:tc>
          <w:tcPr>
            <w:tcW w:w="0" w:type="auto"/>
            <w:vAlign w:val="center"/>
            <w:hideMark/>
          </w:tcPr>
          <w:p w14:paraId="317676C4" w14:textId="77777777" w:rsidR="00116BC9" w:rsidRPr="00116BC9" w:rsidRDefault="00116BC9" w:rsidP="009507A4">
            <w:pPr>
              <w:spacing w:after="0" w:line="240" w:lineRule="auto"/>
              <w:rPr>
                <w:rFonts w:ascii="Times New Roman" w:eastAsia="Times New Roman" w:hAnsi="Times New Roman" w:cs="Times New Roman"/>
                <w:sz w:val="24"/>
                <w:szCs w:val="24"/>
                <w:lang w:eastAsia="en-GB"/>
              </w:rPr>
            </w:pPr>
            <w:r w:rsidRPr="00116BC9">
              <w:rPr>
                <w:rFonts w:ascii="Times New Roman" w:eastAsia="Times New Roman" w:hAnsi="Times New Roman" w:cs="Times New Roman"/>
                <w:sz w:val="24"/>
                <w:szCs w:val="24"/>
                <w:lang w:eastAsia="en-GB"/>
              </w:rPr>
              <w:t>11%</w:t>
            </w:r>
          </w:p>
        </w:tc>
      </w:tr>
    </w:tbl>
    <w:p w14:paraId="1271D8E1" w14:textId="77777777" w:rsidR="00116BC9" w:rsidRPr="00116BC9" w:rsidRDefault="00116BC9" w:rsidP="00116BC9">
      <w:pPr>
        <w:spacing w:after="0" w:line="240" w:lineRule="auto"/>
        <w:rPr>
          <w:rFonts w:ascii="Times New Roman" w:eastAsia="Times New Roman" w:hAnsi="Times New Roman" w:cs="Times New Roman"/>
          <w:sz w:val="24"/>
          <w:szCs w:val="24"/>
          <w:lang w:eastAsia="en-GB"/>
        </w:rPr>
      </w:pPr>
    </w:p>
    <w:p w14:paraId="3499E8C2" w14:textId="5748FC44" w:rsidR="009507A4" w:rsidRDefault="009507A4" w:rsidP="009507A4">
      <w:pPr>
        <w:spacing w:before="100" w:beforeAutospacing="1" w:after="100" w:afterAutospacing="1" w:line="360" w:lineRule="auto"/>
        <w:jc w:val="both"/>
        <w:rPr>
          <w:rFonts w:ascii="Times New Roman" w:eastAsia="Times New Roman" w:hAnsi="Times New Roman" w:cs="Times New Roman"/>
          <w:sz w:val="24"/>
          <w:szCs w:val="24"/>
          <w:lang w:eastAsia="en-GB"/>
        </w:rPr>
      </w:pPr>
      <w:r w:rsidRPr="009507A4">
        <w:rPr>
          <w:rFonts w:ascii="Times New Roman" w:eastAsia="Times New Roman" w:hAnsi="Times New Roman" w:cs="Times New Roman"/>
          <w:sz w:val="24"/>
          <w:szCs w:val="24"/>
          <w:lang w:eastAsia="en-GB"/>
        </w:rPr>
        <w:t xml:space="preserve">Table </w:t>
      </w:r>
      <w:r w:rsidR="007B7B91">
        <w:rPr>
          <w:rFonts w:ascii="Times New Roman" w:eastAsia="Times New Roman" w:hAnsi="Times New Roman" w:cs="Times New Roman"/>
          <w:sz w:val="24"/>
          <w:szCs w:val="24"/>
          <w:lang w:eastAsia="en-GB"/>
        </w:rPr>
        <w:t>5</w:t>
      </w:r>
      <w:r w:rsidRPr="009507A4">
        <w:rPr>
          <w:rFonts w:ascii="Times New Roman" w:eastAsia="Times New Roman" w:hAnsi="Times New Roman" w:cs="Times New Roman"/>
          <w:sz w:val="24"/>
          <w:szCs w:val="24"/>
          <w:lang w:eastAsia="en-GB"/>
        </w:rPr>
        <w:t xml:space="preserve"> highlights key methodological gaps identified across the 27 studies reviewed, pointing to areas where future research could be strengthened. Only 18.5% of the studies (5 studies) objectively assessed participant adherence to dietary interventions, indicating that most studies relied on self-reported data, which can introduce bias. Long-term follow-up—defined as monitoring outcomes beyond 12 months—was conducted in just 4 studies (15%), suggesting a need for more research on the sustained effects of plant-based diets on Type 2 diabetes </w:t>
      </w:r>
      <w:r w:rsidRPr="009507A4">
        <w:rPr>
          <w:rFonts w:ascii="Times New Roman" w:eastAsia="Times New Roman" w:hAnsi="Times New Roman" w:cs="Times New Roman"/>
          <w:sz w:val="24"/>
          <w:szCs w:val="24"/>
          <w:lang w:eastAsia="en-GB"/>
        </w:rPr>
        <w:lastRenderedPageBreak/>
        <w:t>management.</w:t>
      </w:r>
      <w:r>
        <w:rPr>
          <w:rFonts w:ascii="Times New Roman" w:eastAsia="Times New Roman" w:hAnsi="Times New Roman" w:cs="Times New Roman"/>
          <w:sz w:val="24"/>
          <w:szCs w:val="24"/>
          <w:lang w:eastAsia="en-GB"/>
        </w:rPr>
        <w:t xml:space="preserve"> </w:t>
      </w:r>
      <w:r w:rsidRPr="009507A4">
        <w:rPr>
          <w:rFonts w:ascii="Times New Roman" w:eastAsia="Times New Roman" w:hAnsi="Times New Roman" w:cs="Times New Roman"/>
          <w:sz w:val="24"/>
          <w:szCs w:val="24"/>
          <w:lang w:eastAsia="en-GB"/>
        </w:rPr>
        <w:t>Sustainability considerations, such as cost, cultural acceptability, and environmental impact, were discussed in only 6 studies (22%), despite their importance for real-world applicability. Similarly, just 6 studies (22%) were conducted in Africa or other low- and middle-income countries (LMICs), highlighting a significant geographic research gap. Finally, qualitative components—such as interviews or focus groups to capture participant experiences—were included in only 3 studies (11%), limiting insight into the contextual and behavioural factors that influence diet adherence and effectiveness. Together, these gaps point to important opportunities for future research to be more comprehensive, inclusive, and contextually grounded.</w:t>
      </w:r>
    </w:p>
    <w:p w14:paraId="0F833D16" w14:textId="77777777" w:rsidR="00DC3582" w:rsidRPr="00DC3582" w:rsidRDefault="009507A4" w:rsidP="009507A4">
      <w:pPr>
        <w:spacing w:before="100" w:beforeAutospacing="1" w:after="100" w:afterAutospacing="1" w:line="360" w:lineRule="auto"/>
        <w:jc w:val="both"/>
        <w:rPr>
          <w:rFonts w:ascii="Times New Roman" w:eastAsia="Times New Roman" w:hAnsi="Times New Roman" w:cs="Times New Roman"/>
          <w:b/>
          <w:bCs/>
          <w:sz w:val="24"/>
          <w:szCs w:val="24"/>
          <w:lang w:eastAsia="en-GB"/>
        </w:rPr>
      </w:pPr>
      <w:r w:rsidRPr="009507A4">
        <w:rPr>
          <w:rFonts w:ascii="Times New Roman" w:eastAsia="Times New Roman" w:hAnsi="Times New Roman" w:cs="Times New Roman"/>
          <w:b/>
          <w:sz w:val="24"/>
          <w:szCs w:val="24"/>
          <w:lang w:eastAsia="en-GB"/>
        </w:rPr>
        <w:t>5.</w:t>
      </w:r>
      <w:r>
        <w:rPr>
          <w:rFonts w:ascii="Times New Roman" w:eastAsia="Times New Roman" w:hAnsi="Times New Roman" w:cs="Times New Roman"/>
          <w:b/>
          <w:bCs/>
          <w:sz w:val="24"/>
          <w:szCs w:val="24"/>
          <w:lang w:eastAsia="en-GB"/>
        </w:rPr>
        <w:t xml:space="preserve"> </w:t>
      </w:r>
      <w:r w:rsidR="00DC3582" w:rsidRPr="00DC3582">
        <w:rPr>
          <w:rFonts w:ascii="Times New Roman" w:eastAsia="Times New Roman" w:hAnsi="Times New Roman" w:cs="Times New Roman"/>
          <w:b/>
          <w:bCs/>
          <w:sz w:val="24"/>
          <w:szCs w:val="24"/>
          <w:lang w:eastAsia="en-GB"/>
        </w:rPr>
        <w:t>Discussion</w:t>
      </w:r>
    </w:p>
    <w:p w14:paraId="38CB29F8" w14:textId="77777777" w:rsidR="00DC3582" w:rsidRPr="00DC3582" w:rsidRDefault="00DC3582" w:rsidP="009507A4">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 xml:space="preserve">The consistency of plant-based diets' positive effects on metabolic outcomes, such as reduced HbA1c, LDL cholesterol, and weight loss, across various geographic and population subgroups is a significant finding of this review. The </w:t>
      </w:r>
      <w:r w:rsidRPr="00DC3582">
        <w:rPr>
          <w:rFonts w:ascii="Times New Roman" w:eastAsia="Times New Roman" w:hAnsi="Times New Roman" w:cs="Times New Roman"/>
          <w:bCs/>
          <w:sz w:val="24"/>
          <w:szCs w:val="24"/>
          <w:lang w:eastAsia="en-GB"/>
        </w:rPr>
        <w:t>consistency</w:t>
      </w:r>
      <w:r w:rsidRPr="00DC3582">
        <w:rPr>
          <w:rFonts w:ascii="Times New Roman" w:eastAsia="Times New Roman" w:hAnsi="Times New Roman" w:cs="Times New Roman"/>
          <w:sz w:val="24"/>
          <w:szCs w:val="24"/>
          <w:lang w:eastAsia="en-GB"/>
        </w:rPr>
        <w:t xml:space="preserve"> in studies from North America, Europe, and parts of Asia and Africa reflects a strong and reliable association between plant-based diets and diabetes management. These findings align with the literature, notably the studies by </w:t>
      </w:r>
      <w:r w:rsidRPr="00DC3582">
        <w:rPr>
          <w:rFonts w:ascii="Times New Roman" w:eastAsia="Times New Roman" w:hAnsi="Times New Roman" w:cs="Times New Roman"/>
          <w:bCs/>
          <w:sz w:val="24"/>
          <w:szCs w:val="24"/>
          <w:lang w:eastAsia="en-GB"/>
        </w:rPr>
        <w:t>Barnard et al. (2006)</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Yokoyama et al. (2014)</w:t>
      </w:r>
      <w:r w:rsidRPr="00DC3582">
        <w:rPr>
          <w:rFonts w:ascii="Times New Roman" w:eastAsia="Times New Roman" w:hAnsi="Times New Roman" w:cs="Times New Roman"/>
          <w:sz w:val="24"/>
          <w:szCs w:val="24"/>
          <w:lang w:eastAsia="en-GB"/>
        </w:rPr>
        <w:t xml:space="preserve">, which consistently reported improvements in </w:t>
      </w:r>
      <w:r w:rsidR="009507A4" w:rsidRPr="009507A4">
        <w:rPr>
          <w:rFonts w:ascii="Times New Roman" w:eastAsia="Times New Roman" w:hAnsi="Times New Roman" w:cs="Times New Roman"/>
          <w:sz w:val="24"/>
          <w:szCs w:val="24"/>
          <w:lang w:eastAsia="en-GB"/>
        </w:rPr>
        <w:t>glycaemic</w:t>
      </w:r>
      <w:r w:rsidRPr="00DC3582">
        <w:rPr>
          <w:rFonts w:ascii="Times New Roman" w:eastAsia="Times New Roman" w:hAnsi="Times New Roman" w:cs="Times New Roman"/>
          <w:sz w:val="24"/>
          <w:szCs w:val="24"/>
          <w:lang w:eastAsia="en-GB"/>
        </w:rPr>
        <w:t xml:space="preserve"> control and metabolic health markers among individuals with type 2 diabetes following plant-based interventions.</w:t>
      </w:r>
    </w:p>
    <w:p w14:paraId="6515D2AD" w14:textId="2113EBD9" w:rsidR="00DC3582" w:rsidRPr="00DC3582" w:rsidRDefault="00DC3582" w:rsidP="009507A4">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 xml:space="preserve">However, certain studies from </w:t>
      </w:r>
      <w:r w:rsidRPr="00DC3582">
        <w:rPr>
          <w:rFonts w:ascii="Times New Roman" w:eastAsia="Times New Roman" w:hAnsi="Times New Roman" w:cs="Times New Roman"/>
          <w:bCs/>
          <w:sz w:val="24"/>
          <w:szCs w:val="24"/>
          <w:lang w:eastAsia="en-GB"/>
        </w:rPr>
        <w:t>Africa</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Asia</w:t>
      </w:r>
      <w:r w:rsidRPr="00DC3582">
        <w:rPr>
          <w:rFonts w:ascii="Times New Roman" w:eastAsia="Times New Roman" w:hAnsi="Times New Roman" w:cs="Times New Roman"/>
          <w:sz w:val="24"/>
          <w:szCs w:val="24"/>
          <w:lang w:eastAsia="en-GB"/>
        </w:rPr>
        <w:t xml:space="preserve"> showed more variability in outcomes. For example, the impact of plant-based diets in </w:t>
      </w:r>
      <w:r w:rsidRPr="00DC3582">
        <w:rPr>
          <w:rFonts w:ascii="Times New Roman" w:eastAsia="Times New Roman" w:hAnsi="Times New Roman" w:cs="Times New Roman"/>
          <w:bCs/>
          <w:sz w:val="24"/>
          <w:szCs w:val="24"/>
          <w:lang w:eastAsia="en-GB"/>
        </w:rPr>
        <w:t>low-income settings</w:t>
      </w:r>
      <w:r w:rsidRPr="00DC3582">
        <w:rPr>
          <w:rFonts w:ascii="Times New Roman" w:eastAsia="Times New Roman" w:hAnsi="Times New Roman" w:cs="Times New Roman"/>
          <w:sz w:val="24"/>
          <w:szCs w:val="24"/>
          <w:lang w:eastAsia="en-GB"/>
        </w:rPr>
        <w:t xml:space="preserve"> seemed less pronounced, which may be explained by the </w:t>
      </w:r>
      <w:r w:rsidRPr="00DC3582">
        <w:rPr>
          <w:rFonts w:ascii="Times New Roman" w:eastAsia="Times New Roman" w:hAnsi="Times New Roman" w:cs="Times New Roman"/>
          <w:bCs/>
          <w:sz w:val="24"/>
          <w:szCs w:val="24"/>
          <w:lang w:eastAsia="en-GB"/>
        </w:rPr>
        <w:t>limited availability of diverse plant-based foods</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dietary habits</w:t>
      </w:r>
      <w:r w:rsidRPr="00DC3582">
        <w:rPr>
          <w:rFonts w:ascii="Times New Roman" w:eastAsia="Times New Roman" w:hAnsi="Times New Roman" w:cs="Times New Roman"/>
          <w:sz w:val="24"/>
          <w:szCs w:val="24"/>
          <w:lang w:eastAsia="en-GB"/>
        </w:rPr>
        <w:t xml:space="preserve"> that differ significantly from those of high-income regions (Benson et al., 2020). </w:t>
      </w:r>
      <w:r w:rsidR="003271C5">
        <w:rPr>
          <w:rFonts w:ascii="Arial" w:hAnsi="Arial" w:cs="Arial"/>
          <w:color w:val="222222"/>
          <w:sz w:val="20"/>
          <w:szCs w:val="20"/>
          <w:shd w:val="clear" w:color="auto" w:fill="FFFFFF"/>
        </w:rPr>
        <w:t xml:space="preserve">Rahman </w:t>
      </w:r>
      <w:r w:rsidRPr="00DC3582">
        <w:rPr>
          <w:rFonts w:ascii="Times New Roman" w:eastAsia="Times New Roman" w:hAnsi="Times New Roman" w:cs="Times New Roman"/>
          <w:bCs/>
          <w:sz w:val="24"/>
          <w:szCs w:val="24"/>
          <w:lang w:eastAsia="en-GB"/>
        </w:rPr>
        <w:t>et al. (</w:t>
      </w:r>
      <w:r w:rsidR="003271C5">
        <w:rPr>
          <w:rFonts w:ascii="Times New Roman" w:eastAsia="Times New Roman" w:hAnsi="Times New Roman" w:cs="Times New Roman"/>
          <w:bCs/>
          <w:sz w:val="24"/>
          <w:szCs w:val="24"/>
          <w:lang w:eastAsia="en-GB"/>
        </w:rPr>
        <w:t>2025</w:t>
      </w:r>
      <w:r w:rsidRPr="00DC3582">
        <w:rPr>
          <w:rFonts w:ascii="Times New Roman" w:eastAsia="Times New Roman" w:hAnsi="Times New Roman" w:cs="Times New Roman"/>
          <w:bCs/>
          <w:sz w:val="24"/>
          <w:szCs w:val="24"/>
          <w:lang w:eastAsia="en-GB"/>
        </w:rPr>
        <w:t>)</w:t>
      </w:r>
      <w:r w:rsidRPr="00DC3582">
        <w:rPr>
          <w:rFonts w:ascii="Times New Roman" w:eastAsia="Times New Roman" w:hAnsi="Times New Roman" w:cs="Times New Roman"/>
          <w:sz w:val="24"/>
          <w:szCs w:val="24"/>
          <w:lang w:eastAsia="en-GB"/>
        </w:rPr>
        <w:t xml:space="preserve"> highlighted that in randomized controlled trials (RCTs) conducted in such regions, the outcomes were less significant, possibly due to </w:t>
      </w:r>
      <w:r w:rsidRPr="00DC3582">
        <w:rPr>
          <w:rFonts w:ascii="Times New Roman" w:eastAsia="Times New Roman" w:hAnsi="Times New Roman" w:cs="Times New Roman"/>
          <w:bCs/>
          <w:sz w:val="24"/>
          <w:szCs w:val="24"/>
          <w:lang w:eastAsia="en-GB"/>
        </w:rPr>
        <w:t>dietary restrictions</w:t>
      </w:r>
      <w:r w:rsidRPr="00DC3582">
        <w:rPr>
          <w:rFonts w:ascii="Times New Roman" w:eastAsia="Times New Roman" w:hAnsi="Times New Roman" w:cs="Times New Roman"/>
          <w:sz w:val="24"/>
          <w:szCs w:val="24"/>
          <w:lang w:eastAsia="en-GB"/>
        </w:rPr>
        <w:t xml:space="preserve">, economic barriers, or limited access to specific plant-based foods. This finding echoes the results of </w:t>
      </w:r>
      <w:r w:rsidRPr="00DC3582">
        <w:rPr>
          <w:rFonts w:ascii="Times New Roman" w:eastAsia="Times New Roman" w:hAnsi="Times New Roman" w:cs="Times New Roman"/>
          <w:bCs/>
          <w:sz w:val="24"/>
          <w:szCs w:val="24"/>
          <w:lang w:eastAsia="en-GB"/>
        </w:rPr>
        <w:t>McMacken and Shah (2017)</w:t>
      </w:r>
      <w:r w:rsidRPr="00DC3582">
        <w:rPr>
          <w:rFonts w:ascii="Times New Roman" w:eastAsia="Times New Roman" w:hAnsi="Times New Roman" w:cs="Times New Roman"/>
          <w:sz w:val="24"/>
          <w:szCs w:val="24"/>
          <w:lang w:eastAsia="en-GB"/>
        </w:rPr>
        <w:t>, who observed that plant-based diets may not fully meet the nutritional needs of populations with different dietary cultures and food availability.</w:t>
      </w:r>
    </w:p>
    <w:p w14:paraId="114030E9" w14:textId="77777777" w:rsidR="00DC3582" w:rsidRDefault="00DC3582" w:rsidP="009507A4">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 xml:space="preserve">The observed </w:t>
      </w:r>
      <w:r w:rsidRPr="00DC3582">
        <w:rPr>
          <w:rFonts w:ascii="Times New Roman" w:eastAsia="Times New Roman" w:hAnsi="Times New Roman" w:cs="Times New Roman"/>
          <w:bCs/>
          <w:sz w:val="24"/>
          <w:szCs w:val="24"/>
          <w:lang w:eastAsia="en-GB"/>
        </w:rPr>
        <w:t>variability</w:t>
      </w:r>
      <w:r w:rsidRPr="00DC3582">
        <w:rPr>
          <w:rFonts w:ascii="Times New Roman" w:eastAsia="Times New Roman" w:hAnsi="Times New Roman" w:cs="Times New Roman"/>
          <w:sz w:val="24"/>
          <w:szCs w:val="24"/>
          <w:lang w:eastAsia="en-GB"/>
        </w:rPr>
        <w:t xml:space="preserve"> in outcomes could also be attributed to </w:t>
      </w:r>
      <w:r w:rsidRPr="00DC3582">
        <w:rPr>
          <w:rFonts w:ascii="Times New Roman" w:eastAsia="Times New Roman" w:hAnsi="Times New Roman" w:cs="Times New Roman"/>
          <w:bCs/>
          <w:sz w:val="24"/>
          <w:szCs w:val="24"/>
          <w:lang w:eastAsia="en-GB"/>
        </w:rPr>
        <w:t>adherence challenges</w:t>
      </w:r>
      <w:r w:rsidRPr="00DC3582">
        <w:rPr>
          <w:rFonts w:ascii="Times New Roman" w:eastAsia="Times New Roman" w:hAnsi="Times New Roman" w:cs="Times New Roman"/>
          <w:sz w:val="24"/>
          <w:szCs w:val="24"/>
          <w:lang w:eastAsia="en-GB"/>
        </w:rPr>
        <w:t xml:space="preserve">. Studies in lower-income regions face greater difficulties in ensuring sustained adherence to plant-based diets, which often require substantial changes to dietary patterns and lifestyle. According to </w:t>
      </w:r>
      <w:r w:rsidRPr="00DC3582">
        <w:rPr>
          <w:rFonts w:ascii="Times New Roman" w:eastAsia="Times New Roman" w:hAnsi="Times New Roman" w:cs="Times New Roman"/>
          <w:bCs/>
          <w:sz w:val="24"/>
          <w:szCs w:val="24"/>
          <w:lang w:eastAsia="en-GB"/>
        </w:rPr>
        <w:t>Michels et al. (2017)</w:t>
      </w:r>
      <w:r w:rsidRPr="00DC3582">
        <w:rPr>
          <w:rFonts w:ascii="Times New Roman" w:eastAsia="Times New Roman" w:hAnsi="Times New Roman" w:cs="Times New Roman"/>
          <w:sz w:val="24"/>
          <w:szCs w:val="24"/>
          <w:lang w:eastAsia="en-GB"/>
        </w:rPr>
        <w:t xml:space="preserve">, </w:t>
      </w:r>
      <w:r w:rsidRPr="00DC3582">
        <w:rPr>
          <w:rFonts w:ascii="Times New Roman" w:eastAsia="Times New Roman" w:hAnsi="Times New Roman" w:cs="Times New Roman"/>
          <w:bCs/>
          <w:sz w:val="24"/>
          <w:szCs w:val="24"/>
          <w:lang w:eastAsia="en-GB"/>
        </w:rPr>
        <w:t>dietary adherence</w:t>
      </w:r>
      <w:r w:rsidRPr="00DC3582">
        <w:rPr>
          <w:rFonts w:ascii="Times New Roman" w:eastAsia="Times New Roman" w:hAnsi="Times New Roman" w:cs="Times New Roman"/>
          <w:sz w:val="24"/>
          <w:szCs w:val="24"/>
          <w:lang w:eastAsia="en-GB"/>
        </w:rPr>
        <w:t xml:space="preserve"> in such settings may suffer from </w:t>
      </w:r>
      <w:r w:rsidRPr="00DC3582">
        <w:rPr>
          <w:rFonts w:ascii="Times New Roman" w:eastAsia="Times New Roman" w:hAnsi="Times New Roman" w:cs="Times New Roman"/>
          <w:bCs/>
          <w:sz w:val="24"/>
          <w:szCs w:val="24"/>
          <w:lang w:eastAsia="en-GB"/>
        </w:rPr>
        <w:t>food scarcity</w:t>
      </w:r>
      <w:r w:rsidRPr="00DC3582">
        <w:rPr>
          <w:rFonts w:ascii="Times New Roman" w:eastAsia="Times New Roman" w:hAnsi="Times New Roman" w:cs="Times New Roman"/>
          <w:sz w:val="24"/>
          <w:szCs w:val="24"/>
          <w:lang w:eastAsia="en-GB"/>
        </w:rPr>
        <w:t xml:space="preserve">, limited </w:t>
      </w:r>
      <w:r w:rsidRPr="00DC3582">
        <w:rPr>
          <w:rFonts w:ascii="Times New Roman" w:eastAsia="Times New Roman" w:hAnsi="Times New Roman" w:cs="Times New Roman"/>
          <w:sz w:val="24"/>
          <w:szCs w:val="24"/>
          <w:lang w:eastAsia="en-GB"/>
        </w:rPr>
        <w:lastRenderedPageBreak/>
        <w:t>access to nutritional education, and culturally ingrained dietary habits. These challenges, alongside environmental and socio-economic factors, can undermine the benefits observed in clinical trials, explaining the discrepancies in outcomes across different regions.</w:t>
      </w:r>
    </w:p>
    <w:p w14:paraId="66A109FF" w14:textId="142AB56D" w:rsidR="00DC3582" w:rsidRPr="00DC3582" w:rsidRDefault="009507A4" w:rsidP="009507A4">
      <w:pPr>
        <w:spacing w:before="100" w:beforeAutospacing="1" w:after="100" w:afterAutospacing="1" w:line="360" w:lineRule="auto"/>
        <w:jc w:val="both"/>
        <w:rPr>
          <w:rFonts w:ascii="Times New Roman" w:eastAsia="Times New Roman" w:hAnsi="Times New Roman" w:cs="Times New Roman"/>
          <w:sz w:val="24"/>
          <w:szCs w:val="24"/>
          <w:lang w:eastAsia="en-GB"/>
        </w:rPr>
      </w:pPr>
      <w:r w:rsidRPr="009507A4">
        <w:rPr>
          <w:rFonts w:ascii="Times New Roman" w:eastAsia="Times New Roman" w:hAnsi="Times New Roman" w:cs="Times New Roman"/>
          <w:sz w:val="24"/>
          <w:szCs w:val="24"/>
          <w:lang w:eastAsia="en-GB"/>
        </w:rPr>
        <w:t>Further, t</w:t>
      </w:r>
      <w:r w:rsidR="00DC3582" w:rsidRPr="00DC3582">
        <w:rPr>
          <w:rFonts w:ascii="Times New Roman" w:eastAsia="Times New Roman" w:hAnsi="Times New Roman" w:cs="Times New Roman"/>
          <w:sz w:val="24"/>
          <w:szCs w:val="24"/>
          <w:lang w:eastAsia="en-GB"/>
        </w:rPr>
        <w:t xml:space="preserve">he high quality of the evidence base in this review—predominantly comprising </w:t>
      </w:r>
      <w:r w:rsidR="00DC3582" w:rsidRPr="00DC3582">
        <w:rPr>
          <w:rFonts w:ascii="Times New Roman" w:eastAsia="Times New Roman" w:hAnsi="Times New Roman" w:cs="Times New Roman"/>
          <w:bCs/>
          <w:sz w:val="24"/>
          <w:szCs w:val="24"/>
          <w:lang w:eastAsia="en-GB"/>
        </w:rPr>
        <w:t>RCTs</w:t>
      </w:r>
      <w:r w:rsidR="00DC3582" w:rsidRPr="00DC3582">
        <w:rPr>
          <w:rFonts w:ascii="Times New Roman" w:eastAsia="Times New Roman" w:hAnsi="Times New Roman" w:cs="Times New Roman"/>
          <w:sz w:val="24"/>
          <w:szCs w:val="24"/>
          <w:lang w:eastAsia="en-GB"/>
        </w:rPr>
        <w:t xml:space="preserve"> and </w:t>
      </w:r>
      <w:r w:rsidR="00DC3582" w:rsidRPr="00DC3582">
        <w:rPr>
          <w:rFonts w:ascii="Times New Roman" w:eastAsia="Times New Roman" w:hAnsi="Times New Roman" w:cs="Times New Roman"/>
          <w:bCs/>
          <w:sz w:val="24"/>
          <w:szCs w:val="24"/>
          <w:lang w:eastAsia="en-GB"/>
        </w:rPr>
        <w:t>meta-analyses</w:t>
      </w:r>
      <w:r w:rsidR="00DC3582" w:rsidRPr="00DC3582">
        <w:rPr>
          <w:rFonts w:ascii="Times New Roman" w:eastAsia="Times New Roman" w:hAnsi="Times New Roman" w:cs="Times New Roman"/>
          <w:sz w:val="24"/>
          <w:szCs w:val="24"/>
          <w:lang w:eastAsia="en-GB"/>
        </w:rPr>
        <w:t xml:space="preserve">—supports the reliability of the findings. </w:t>
      </w:r>
      <w:r w:rsidR="00DC3582" w:rsidRPr="00DC3582">
        <w:rPr>
          <w:rFonts w:ascii="Times New Roman" w:eastAsia="Times New Roman" w:hAnsi="Times New Roman" w:cs="Times New Roman"/>
          <w:bCs/>
          <w:sz w:val="24"/>
          <w:szCs w:val="24"/>
          <w:lang w:eastAsia="en-GB"/>
        </w:rPr>
        <w:t>78% of studies</w:t>
      </w:r>
      <w:r w:rsidR="00DC3582" w:rsidRPr="00DC3582">
        <w:rPr>
          <w:rFonts w:ascii="Times New Roman" w:eastAsia="Times New Roman" w:hAnsi="Times New Roman" w:cs="Times New Roman"/>
          <w:sz w:val="24"/>
          <w:szCs w:val="24"/>
          <w:lang w:eastAsia="en-GB"/>
        </w:rPr>
        <w:t xml:space="preserve"> were rated as </w:t>
      </w:r>
      <w:r w:rsidR="00DC3582" w:rsidRPr="00DC3582">
        <w:rPr>
          <w:rFonts w:ascii="Times New Roman" w:eastAsia="Times New Roman" w:hAnsi="Times New Roman" w:cs="Times New Roman"/>
          <w:bCs/>
          <w:sz w:val="24"/>
          <w:szCs w:val="24"/>
          <w:lang w:eastAsia="en-GB"/>
        </w:rPr>
        <w:t>high quality</w:t>
      </w:r>
      <w:r w:rsidR="00DC3582" w:rsidRPr="00DC3582">
        <w:rPr>
          <w:rFonts w:ascii="Times New Roman" w:eastAsia="Times New Roman" w:hAnsi="Times New Roman" w:cs="Times New Roman"/>
          <w:sz w:val="24"/>
          <w:szCs w:val="24"/>
          <w:lang w:eastAsia="en-GB"/>
        </w:rPr>
        <w:t xml:space="preserve">, underscoring the robustness of evidence supporting plant-based diets for diabetes management. This aligns with the conclusions of </w:t>
      </w:r>
      <w:r w:rsidR="00AD2A02">
        <w:rPr>
          <w:rFonts w:ascii="Arial" w:hAnsi="Arial" w:cs="Arial"/>
          <w:color w:val="222222"/>
          <w:sz w:val="20"/>
          <w:szCs w:val="20"/>
          <w:shd w:val="clear" w:color="auto" w:fill="FFFFFF"/>
        </w:rPr>
        <w:t xml:space="preserve">Satija </w:t>
      </w:r>
      <w:r w:rsidR="00DC3582" w:rsidRPr="00DC3582">
        <w:rPr>
          <w:rFonts w:ascii="Times New Roman" w:eastAsia="Times New Roman" w:hAnsi="Times New Roman" w:cs="Times New Roman"/>
          <w:bCs/>
          <w:sz w:val="24"/>
          <w:szCs w:val="24"/>
          <w:lang w:eastAsia="en-GB"/>
        </w:rPr>
        <w:t>et al. (</w:t>
      </w:r>
      <w:r w:rsidR="00AD2A02">
        <w:rPr>
          <w:rFonts w:ascii="Times New Roman" w:eastAsia="Times New Roman" w:hAnsi="Times New Roman" w:cs="Times New Roman"/>
          <w:bCs/>
          <w:sz w:val="24"/>
          <w:szCs w:val="24"/>
          <w:lang w:eastAsia="en-GB"/>
        </w:rPr>
        <w:t>2019</w:t>
      </w:r>
      <w:r w:rsidR="00DC3582" w:rsidRPr="00DC3582">
        <w:rPr>
          <w:rFonts w:ascii="Times New Roman" w:eastAsia="Times New Roman" w:hAnsi="Times New Roman" w:cs="Times New Roman"/>
          <w:bCs/>
          <w:sz w:val="24"/>
          <w:szCs w:val="24"/>
          <w:lang w:eastAsia="en-GB"/>
        </w:rPr>
        <w:t>)</w:t>
      </w:r>
      <w:r w:rsidR="00DC3582" w:rsidRPr="00DC3582">
        <w:rPr>
          <w:rFonts w:ascii="Times New Roman" w:eastAsia="Times New Roman" w:hAnsi="Times New Roman" w:cs="Times New Roman"/>
          <w:sz w:val="24"/>
          <w:szCs w:val="24"/>
          <w:lang w:eastAsia="en-GB"/>
        </w:rPr>
        <w:t xml:space="preserve">, </w:t>
      </w:r>
      <w:r w:rsidR="00DC3582" w:rsidRPr="00DC3582">
        <w:rPr>
          <w:rFonts w:ascii="Times New Roman" w:eastAsia="Times New Roman" w:hAnsi="Times New Roman" w:cs="Times New Roman"/>
          <w:bCs/>
          <w:sz w:val="24"/>
          <w:szCs w:val="24"/>
          <w:lang w:eastAsia="en-GB"/>
        </w:rPr>
        <w:t>Qian et al. (2019)</w:t>
      </w:r>
      <w:r w:rsidR="00DC3582" w:rsidRPr="00DC3582">
        <w:rPr>
          <w:rFonts w:ascii="Times New Roman" w:eastAsia="Times New Roman" w:hAnsi="Times New Roman" w:cs="Times New Roman"/>
          <w:sz w:val="24"/>
          <w:szCs w:val="24"/>
          <w:lang w:eastAsia="en-GB"/>
        </w:rPr>
        <w:t xml:space="preserve">, and </w:t>
      </w:r>
      <w:proofErr w:type="spellStart"/>
      <w:r w:rsidR="007D3ECC" w:rsidRPr="007D3ECC">
        <w:rPr>
          <w:rFonts w:ascii="Arial" w:hAnsi="Arial" w:cs="Arial"/>
          <w:color w:val="222222"/>
          <w:sz w:val="20"/>
          <w:szCs w:val="20"/>
          <w:highlight w:val="yellow"/>
          <w:shd w:val="clear" w:color="auto" w:fill="FFFFFF"/>
        </w:rPr>
        <w:t>Toumpanakis</w:t>
      </w:r>
      <w:proofErr w:type="spellEnd"/>
      <w:r w:rsidR="007D3ECC">
        <w:rPr>
          <w:rFonts w:ascii="Arial" w:hAnsi="Arial" w:cs="Arial"/>
          <w:color w:val="222222"/>
          <w:sz w:val="20"/>
          <w:szCs w:val="20"/>
          <w:shd w:val="clear" w:color="auto" w:fill="FFFFFF"/>
        </w:rPr>
        <w:t xml:space="preserve"> </w:t>
      </w:r>
      <w:r w:rsidR="00DC3582" w:rsidRPr="00DC3582">
        <w:rPr>
          <w:rFonts w:ascii="Times New Roman" w:eastAsia="Times New Roman" w:hAnsi="Times New Roman" w:cs="Times New Roman"/>
          <w:bCs/>
          <w:sz w:val="24"/>
          <w:szCs w:val="24"/>
          <w:lang w:eastAsia="en-GB"/>
        </w:rPr>
        <w:t>et al. (</w:t>
      </w:r>
      <w:r w:rsidR="007D3ECC">
        <w:rPr>
          <w:rFonts w:ascii="Times New Roman" w:eastAsia="Times New Roman" w:hAnsi="Times New Roman" w:cs="Times New Roman"/>
          <w:bCs/>
          <w:sz w:val="24"/>
          <w:szCs w:val="24"/>
          <w:lang w:eastAsia="en-GB"/>
        </w:rPr>
        <w:t>2018</w:t>
      </w:r>
      <w:r w:rsidR="00DC3582" w:rsidRPr="00DC3582">
        <w:rPr>
          <w:rFonts w:ascii="Times New Roman" w:eastAsia="Times New Roman" w:hAnsi="Times New Roman" w:cs="Times New Roman"/>
          <w:bCs/>
          <w:sz w:val="24"/>
          <w:szCs w:val="24"/>
          <w:lang w:eastAsia="en-GB"/>
        </w:rPr>
        <w:t>)</w:t>
      </w:r>
      <w:r w:rsidR="00DC3582" w:rsidRPr="00DC3582">
        <w:rPr>
          <w:rFonts w:ascii="Times New Roman" w:eastAsia="Times New Roman" w:hAnsi="Times New Roman" w:cs="Times New Roman"/>
          <w:sz w:val="24"/>
          <w:szCs w:val="24"/>
          <w:lang w:eastAsia="en-GB"/>
        </w:rPr>
        <w:t>, who emphasized the strength of high-quality RCTs in demonstrating the efficacy of plant-based dietary patterns in improving metabolic health.</w:t>
      </w:r>
    </w:p>
    <w:p w14:paraId="4B09740C" w14:textId="6262DBE8" w:rsidR="00DC3582" w:rsidRPr="00DC3582" w:rsidRDefault="00DC3582" w:rsidP="009507A4">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 xml:space="preserve">Despite this, the review also highlighted concerns about the quality of studies conducted in </w:t>
      </w:r>
      <w:r w:rsidRPr="00DC3582">
        <w:rPr>
          <w:rFonts w:ascii="Times New Roman" w:eastAsia="Times New Roman" w:hAnsi="Times New Roman" w:cs="Times New Roman"/>
          <w:bCs/>
          <w:sz w:val="24"/>
          <w:szCs w:val="24"/>
          <w:lang w:eastAsia="en-GB"/>
        </w:rPr>
        <w:t>Africa</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Asia</w:t>
      </w:r>
      <w:r w:rsidRPr="00DC3582">
        <w:rPr>
          <w:rFonts w:ascii="Times New Roman" w:eastAsia="Times New Roman" w:hAnsi="Times New Roman" w:cs="Times New Roman"/>
          <w:sz w:val="24"/>
          <w:szCs w:val="24"/>
          <w:lang w:eastAsia="en-GB"/>
        </w:rPr>
        <w:t xml:space="preserve">. In these regions, many studies were plagued by </w:t>
      </w:r>
      <w:r w:rsidRPr="00DC3582">
        <w:rPr>
          <w:rFonts w:ascii="Times New Roman" w:eastAsia="Times New Roman" w:hAnsi="Times New Roman" w:cs="Times New Roman"/>
          <w:bCs/>
          <w:sz w:val="24"/>
          <w:szCs w:val="24"/>
          <w:lang w:eastAsia="en-GB"/>
        </w:rPr>
        <w:t>small sample sizes</w:t>
      </w:r>
      <w:r w:rsidRPr="00DC3582">
        <w:rPr>
          <w:rFonts w:ascii="Times New Roman" w:eastAsia="Times New Roman" w:hAnsi="Times New Roman" w:cs="Times New Roman"/>
          <w:sz w:val="24"/>
          <w:szCs w:val="24"/>
          <w:lang w:eastAsia="en-GB"/>
        </w:rPr>
        <w:t xml:space="preserve">, </w:t>
      </w:r>
      <w:r w:rsidRPr="00DC3582">
        <w:rPr>
          <w:rFonts w:ascii="Times New Roman" w:eastAsia="Times New Roman" w:hAnsi="Times New Roman" w:cs="Times New Roman"/>
          <w:bCs/>
          <w:sz w:val="24"/>
          <w:szCs w:val="24"/>
          <w:lang w:eastAsia="en-GB"/>
        </w:rPr>
        <w:t>self-reported dietary adherence</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short follow-up durations</w:t>
      </w:r>
      <w:r w:rsidRPr="00DC3582">
        <w:rPr>
          <w:rFonts w:ascii="Times New Roman" w:eastAsia="Times New Roman" w:hAnsi="Times New Roman" w:cs="Times New Roman"/>
          <w:sz w:val="24"/>
          <w:szCs w:val="24"/>
          <w:lang w:eastAsia="en-GB"/>
        </w:rPr>
        <w:t xml:space="preserve">, which could limit the robustness of findings. These issues echo the concerns raised by </w:t>
      </w:r>
      <w:r w:rsidRPr="00DC3582">
        <w:rPr>
          <w:rFonts w:ascii="Times New Roman" w:eastAsia="Times New Roman" w:hAnsi="Times New Roman" w:cs="Times New Roman"/>
          <w:bCs/>
          <w:sz w:val="24"/>
          <w:szCs w:val="24"/>
          <w:lang w:eastAsia="en-GB"/>
        </w:rPr>
        <w:t>Benson et al. (2020)</w:t>
      </w:r>
      <w:r w:rsidRPr="00DC3582">
        <w:rPr>
          <w:rFonts w:ascii="Times New Roman" w:eastAsia="Times New Roman" w:hAnsi="Times New Roman" w:cs="Times New Roman"/>
          <w:sz w:val="24"/>
          <w:szCs w:val="24"/>
          <w:lang w:eastAsia="en-GB"/>
        </w:rPr>
        <w:t xml:space="preserve"> and </w:t>
      </w:r>
      <w:r w:rsidR="008A31CF">
        <w:rPr>
          <w:rFonts w:ascii="Arial" w:hAnsi="Arial" w:cs="Arial"/>
          <w:color w:val="222222"/>
          <w:sz w:val="20"/>
          <w:szCs w:val="20"/>
          <w:shd w:val="clear" w:color="auto" w:fill="FFFFFF"/>
        </w:rPr>
        <w:t xml:space="preserve">Qian </w:t>
      </w:r>
      <w:r w:rsidR="008A31CF" w:rsidRPr="00D27F9E">
        <w:rPr>
          <w:rFonts w:ascii="Times New Roman" w:eastAsia="Times New Roman" w:hAnsi="Times New Roman" w:cs="Times New Roman"/>
          <w:sz w:val="24"/>
          <w:szCs w:val="24"/>
          <w:lang w:eastAsia="en-GB"/>
        </w:rPr>
        <w:t xml:space="preserve">et al., </w:t>
      </w:r>
      <w:r w:rsidR="008A31CF">
        <w:rPr>
          <w:rFonts w:ascii="Times New Roman" w:eastAsia="Times New Roman" w:hAnsi="Times New Roman" w:cs="Times New Roman"/>
          <w:sz w:val="24"/>
          <w:szCs w:val="24"/>
          <w:lang w:eastAsia="en-GB"/>
        </w:rPr>
        <w:t>(2019</w:t>
      </w:r>
      <w:r w:rsidRPr="00DC3582">
        <w:rPr>
          <w:rFonts w:ascii="Times New Roman" w:eastAsia="Times New Roman" w:hAnsi="Times New Roman" w:cs="Times New Roman"/>
          <w:bCs/>
          <w:sz w:val="24"/>
          <w:szCs w:val="24"/>
          <w:lang w:eastAsia="en-GB"/>
        </w:rPr>
        <w:t>)</w:t>
      </w:r>
      <w:r w:rsidRPr="00DC3582">
        <w:rPr>
          <w:rFonts w:ascii="Times New Roman" w:eastAsia="Times New Roman" w:hAnsi="Times New Roman" w:cs="Times New Roman"/>
          <w:sz w:val="24"/>
          <w:szCs w:val="24"/>
          <w:lang w:eastAsia="en-GB"/>
        </w:rPr>
        <w:t xml:space="preserve">, who highlighted that studies from </w:t>
      </w:r>
      <w:r w:rsidRPr="00DC3582">
        <w:rPr>
          <w:rFonts w:ascii="Times New Roman" w:eastAsia="Times New Roman" w:hAnsi="Times New Roman" w:cs="Times New Roman"/>
          <w:bCs/>
          <w:sz w:val="24"/>
          <w:szCs w:val="24"/>
          <w:lang w:eastAsia="en-GB"/>
        </w:rPr>
        <w:t>low-resource settings</w:t>
      </w:r>
      <w:r w:rsidRPr="00DC3582">
        <w:rPr>
          <w:rFonts w:ascii="Times New Roman" w:eastAsia="Times New Roman" w:hAnsi="Times New Roman" w:cs="Times New Roman"/>
          <w:sz w:val="24"/>
          <w:szCs w:val="24"/>
          <w:lang w:eastAsia="en-GB"/>
        </w:rPr>
        <w:t xml:space="preserve"> often fail to control for confounding variables such as socioeconomic status, access to healthcare, and other lifestyle factors. This lack of control could result in biased estimates of the dietary impact on diabetes management.</w:t>
      </w:r>
    </w:p>
    <w:p w14:paraId="44B5C63A" w14:textId="176F0147" w:rsidR="009507A4" w:rsidRDefault="009507A4" w:rsidP="009507A4">
      <w:pPr>
        <w:spacing w:before="100" w:beforeAutospacing="1" w:after="100" w:afterAutospacing="1" w:line="360" w:lineRule="auto"/>
        <w:jc w:val="both"/>
        <w:rPr>
          <w:rFonts w:ascii="Times New Roman" w:eastAsia="Times New Roman" w:hAnsi="Times New Roman" w:cs="Times New Roman"/>
          <w:sz w:val="24"/>
          <w:szCs w:val="24"/>
          <w:lang w:eastAsia="en-GB"/>
        </w:rPr>
      </w:pPr>
      <w:r w:rsidRPr="009507A4">
        <w:rPr>
          <w:rFonts w:ascii="Times New Roman" w:eastAsia="Times New Roman" w:hAnsi="Times New Roman" w:cs="Times New Roman"/>
          <w:sz w:val="24"/>
          <w:szCs w:val="24"/>
          <w:lang w:eastAsia="en-GB"/>
        </w:rPr>
        <w:t xml:space="preserve">In addition, </w:t>
      </w:r>
      <w:r w:rsidR="00DC3582" w:rsidRPr="00DC3582">
        <w:rPr>
          <w:rFonts w:ascii="Times New Roman" w:eastAsia="Times New Roman" w:hAnsi="Times New Roman" w:cs="Times New Roman"/>
          <w:bCs/>
          <w:sz w:val="24"/>
          <w:szCs w:val="24"/>
          <w:lang w:eastAsia="en-GB"/>
        </w:rPr>
        <w:t>self-reported data</w:t>
      </w:r>
      <w:r w:rsidR="00DC3582" w:rsidRPr="00DC3582">
        <w:rPr>
          <w:rFonts w:ascii="Times New Roman" w:eastAsia="Times New Roman" w:hAnsi="Times New Roman" w:cs="Times New Roman"/>
          <w:sz w:val="24"/>
          <w:szCs w:val="24"/>
          <w:lang w:eastAsia="en-GB"/>
        </w:rPr>
        <w:t xml:space="preserve"> on dietary adherence, commonly used in these studies, are prone to bias and may lead to </w:t>
      </w:r>
      <w:r w:rsidR="00DC3582" w:rsidRPr="00DC3582">
        <w:rPr>
          <w:rFonts w:ascii="Times New Roman" w:eastAsia="Times New Roman" w:hAnsi="Times New Roman" w:cs="Times New Roman"/>
          <w:bCs/>
          <w:sz w:val="24"/>
          <w:szCs w:val="24"/>
          <w:lang w:eastAsia="en-GB"/>
        </w:rPr>
        <w:t xml:space="preserve">overestimation of adherence </w:t>
      </w:r>
      <w:r w:rsidR="00DC3582" w:rsidRPr="00805781">
        <w:rPr>
          <w:rFonts w:ascii="Times New Roman" w:eastAsia="Times New Roman" w:hAnsi="Times New Roman" w:cs="Times New Roman"/>
          <w:bCs/>
          <w:sz w:val="24"/>
          <w:szCs w:val="24"/>
          <w:highlight w:val="yellow"/>
          <w:lang w:eastAsia="en-GB"/>
        </w:rPr>
        <w:t>rates</w:t>
      </w:r>
      <w:r w:rsidR="00DC3582" w:rsidRPr="00805781">
        <w:rPr>
          <w:rFonts w:ascii="Times New Roman" w:eastAsia="Times New Roman" w:hAnsi="Times New Roman" w:cs="Times New Roman"/>
          <w:sz w:val="24"/>
          <w:szCs w:val="24"/>
          <w:highlight w:val="yellow"/>
          <w:lang w:eastAsia="en-GB"/>
        </w:rPr>
        <w:t xml:space="preserve">. </w:t>
      </w:r>
      <w:r w:rsidR="00805781" w:rsidRPr="00805781">
        <w:rPr>
          <w:rFonts w:ascii="Arial" w:hAnsi="Arial" w:cs="Arial"/>
          <w:color w:val="222222"/>
          <w:sz w:val="20"/>
          <w:szCs w:val="20"/>
          <w:highlight w:val="yellow"/>
          <w:shd w:val="clear" w:color="auto" w:fill="FFFFFF"/>
        </w:rPr>
        <w:t>Salas-Salvadó et al.</w:t>
      </w:r>
      <w:proofErr w:type="gramStart"/>
      <w:r w:rsidR="00805781" w:rsidRPr="00805781">
        <w:rPr>
          <w:rFonts w:ascii="Arial" w:hAnsi="Arial" w:cs="Arial"/>
          <w:color w:val="222222"/>
          <w:sz w:val="20"/>
          <w:szCs w:val="20"/>
          <w:highlight w:val="yellow"/>
          <w:shd w:val="clear" w:color="auto" w:fill="FFFFFF"/>
        </w:rPr>
        <w:t xml:space="preserve">, </w:t>
      </w:r>
      <w:r w:rsidR="00805781" w:rsidRPr="00805781">
        <w:rPr>
          <w:rFonts w:ascii="Times New Roman" w:eastAsia="Times New Roman" w:hAnsi="Times New Roman" w:cs="Times New Roman"/>
          <w:sz w:val="24"/>
          <w:szCs w:val="24"/>
          <w:highlight w:val="yellow"/>
          <w:lang w:eastAsia="en-GB"/>
        </w:rPr>
        <w:t xml:space="preserve"> (</w:t>
      </w:r>
      <w:proofErr w:type="gramEnd"/>
      <w:r w:rsidR="00805781" w:rsidRPr="00805781">
        <w:rPr>
          <w:rFonts w:ascii="Times New Roman" w:eastAsia="Times New Roman" w:hAnsi="Times New Roman" w:cs="Times New Roman"/>
          <w:sz w:val="24"/>
          <w:szCs w:val="24"/>
          <w:highlight w:val="yellow"/>
          <w:lang w:eastAsia="en-GB"/>
        </w:rPr>
        <w:t>2011</w:t>
      </w:r>
      <w:r w:rsidR="00DC3582" w:rsidRPr="00805781">
        <w:rPr>
          <w:rFonts w:ascii="Times New Roman" w:eastAsia="Times New Roman" w:hAnsi="Times New Roman" w:cs="Times New Roman"/>
          <w:bCs/>
          <w:sz w:val="24"/>
          <w:szCs w:val="24"/>
          <w:highlight w:val="yellow"/>
          <w:lang w:eastAsia="en-GB"/>
        </w:rPr>
        <w:t>)</w:t>
      </w:r>
      <w:r w:rsidR="00DC3582" w:rsidRPr="00805781">
        <w:rPr>
          <w:rFonts w:ascii="Times New Roman" w:eastAsia="Times New Roman" w:hAnsi="Times New Roman" w:cs="Times New Roman"/>
          <w:sz w:val="24"/>
          <w:szCs w:val="24"/>
          <w:highlight w:val="yellow"/>
          <w:lang w:eastAsia="en-GB"/>
        </w:rPr>
        <w:t xml:space="preserve"> and</w:t>
      </w:r>
      <w:r w:rsidR="00DC3582" w:rsidRPr="00DC3582">
        <w:rPr>
          <w:rFonts w:ascii="Times New Roman" w:eastAsia="Times New Roman" w:hAnsi="Times New Roman" w:cs="Times New Roman"/>
          <w:sz w:val="24"/>
          <w:szCs w:val="24"/>
          <w:lang w:eastAsia="en-GB"/>
        </w:rPr>
        <w:t xml:space="preserve"> </w:t>
      </w:r>
      <w:r w:rsidR="00DC3582" w:rsidRPr="00DC3582">
        <w:rPr>
          <w:rFonts w:ascii="Times New Roman" w:eastAsia="Times New Roman" w:hAnsi="Times New Roman" w:cs="Times New Roman"/>
          <w:bCs/>
          <w:sz w:val="24"/>
          <w:szCs w:val="24"/>
          <w:lang w:eastAsia="en-GB"/>
        </w:rPr>
        <w:t>McMacken and Shah (2017)</w:t>
      </w:r>
      <w:r w:rsidR="00DC3582" w:rsidRPr="00DC3582">
        <w:rPr>
          <w:rFonts w:ascii="Times New Roman" w:eastAsia="Times New Roman" w:hAnsi="Times New Roman" w:cs="Times New Roman"/>
          <w:sz w:val="24"/>
          <w:szCs w:val="24"/>
          <w:lang w:eastAsia="en-GB"/>
        </w:rPr>
        <w:t xml:space="preserve"> have similarly cautioned against relying on self-reported dietary patterns in studies assessing the effects of plant-based diets. These limitations raise concerns about the generalizability of findings, particularly in resource-limited settings where </w:t>
      </w:r>
      <w:r w:rsidR="00DC3582" w:rsidRPr="00DC3582">
        <w:rPr>
          <w:rFonts w:ascii="Times New Roman" w:eastAsia="Times New Roman" w:hAnsi="Times New Roman" w:cs="Times New Roman"/>
          <w:bCs/>
          <w:sz w:val="24"/>
          <w:szCs w:val="24"/>
          <w:lang w:eastAsia="en-GB"/>
        </w:rPr>
        <w:t>accurate data collection</w:t>
      </w:r>
      <w:r w:rsidR="00DC3582" w:rsidRPr="00DC3582">
        <w:rPr>
          <w:rFonts w:ascii="Times New Roman" w:eastAsia="Times New Roman" w:hAnsi="Times New Roman" w:cs="Times New Roman"/>
          <w:sz w:val="24"/>
          <w:szCs w:val="24"/>
          <w:lang w:eastAsia="en-GB"/>
        </w:rPr>
        <w:t xml:space="preserve"> methods may be scarce.</w:t>
      </w:r>
    </w:p>
    <w:p w14:paraId="0C827F0F" w14:textId="5E4B1396" w:rsidR="00DC3582" w:rsidRPr="00DC3582" w:rsidRDefault="00DC3582" w:rsidP="009507A4">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 xml:space="preserve">The gaps identified in the literature, particularly regarding </w:t>
      </w:r>
      <w:r w:rsidRPr="00DC3582">
        <w:rPr>
          <w:rFonts w:ascii="Times New Roman" w:eastAsia="Times New Roman" w:hAnsi="Times New Roman" w:cs="Times New Roman"/>
          <w:bCs/>
          <w:sz w:val="24"/>
          <w:szCs w:val="24"/>
          <w:lang w:eastAsia="en-GB"/>
        </w:rPr>
        <w:t>adherence</w:t>
      </w:r>
      <w:r w:rsidRPr="00DC3582">
        <w:rPr>
          <w:rFonts w:ascii="Times New Roman" w:eastAsia="Times New Roman" w:hAnsi="Times New Roman" w:cs="Times New Roman"/>
          <w:sz w:val="24"/>
          <w:szCs w:val="24"/>
          <w:lang w:eastAsia="en-GB"/>
        </w:rPr>
        <w:t xml:space="preserve">, </w:t>
      </w:r>
      <w:r w:rsidRPr="00DC3582">
        <w:rPr>
          <w:rFonts w:ascii="Times New Roman" w:eastAsia="Times New Roman" w:hAnsi="Times New Roman" w:cs="Times New Roman"/>
          <w:bCs/>
          <w:sz w:val="24"/>
          <w:szCs w:val="24"/>
          <w:lang w:eastAsia="en-GB"/>
        </w:rPr>
        <w:t>sustainability</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long-term outcomes</w:t>
      </w:r>
      <w:r w:rsidRPr="00DC3582">
        <w:rPr>
          <w:rFonts w:ascii="Times New Roman" w:eastAsia="Times New Roman" w:hAnsi="Times New Roman" w:cs="Times New Roman"/>
          <w:sz w:val="24"/>
          <w:szCs w:val="24"/>
          <w:lang w:eastAsia="en-GB"/>
        </w:rPr>
        <w:t xml:space="preserve">, are critical to understanding the full potential of plant-based diets in managing type 2 diabetes. While </w:t>
      </w:r>
      <w:r w:rsidR="003271C5">
        <w:rPr>
          <w:rFonts w:ascii="Arial" w:hAnsi="Arial" w:cs="Arial"/>
          <w:color w:val="222222"/>
          <w:sz w:val="20"/>
          <w:szCs w:val="20"/>
          <w:shd w:val="clear" w:color="auto" w:fill="FFFFFF"/>
        </w:rPr>
        <w:t xml:space="preserve">Rahman </w:t>
      </w:r>
      <w:r w:rsidRPr="00DC3582">
        <w:rPr>
          <w:rFonts w:ascii="Times New Roman" w:eastAsia="Times New Roman" w:hAnsi="Times New Roman" w:cs="Times New Roman"/>
          <w:bCs/>
          <w:sz w:val="24"/>
          <w:szCs w:val="24"/>
          <w:lang w:eastAsia="en-GB"/>
        </w:rPr>
        <w:t>et al. (</w:t>
      </w:r>
      <w:r w:rsidR="003271C5">
        <w:rPr>
          <w:rFonts w:ascii="Times New Roman" w:eastAsia="Times New Roman" w:hAnsi="Times New Roman" w:cs="Times New Roman"/>
          <w:bCs/>
          <w:sz w:val="24"/>
          <w:szCs w:val="24"/>
          <w:lang w:eastAsia="en-GB"/>
        </w:rPr>
        <w:t>2025</w:t>
      </w:r>
      <w:r w:rsidRPr="00DC3582">
        <w:rPr>
          <w:rFonts w:ascii="Times New Roman" w:eastAsia="Times New Roman" w:hAnsi="Times New Roman" w:cs="Times New Roman"/>
          <w:bCs/>
          <w:sz w:val="24"/>
          <w:szCs w:val="24"/>
          <w:lang w:eastAsia="en-GB"/>
        </w:rPr>
        <w:t>)</w:t>
      </w:r>
      <w:r w:rsidRPr="00DC3582">
        <w:rPr>
          <w:rFonts w:ascii="Times New Roman" w:eastAsia="Times New Roman" w:hAnsi="Times New Roman" w:cs="Times New Roman"/>
          <w:sz w:val="24"/>
          <w:szCs w:val="24"/>
          <w:lang w:eastAsia="en-GB"/>
        </w:rPr>
        <w:t xml:space="preserve"> and </w:t>
      </w:r>
      <w:r w:rsidR="00EB4A20">
        <w:rPr>
          <w:rFonts w:ascii="Arial" w:hAnsi="Arial" w:cs="Arial"/>
          <w:color w:val="222222"/>
          <w:sz w:val="20"/>
          <w:szCs w:val="20"/>
          <w:shd w:val="clear" w:color="auto" w:fill="FFFFFF"/>
        </w:rPr>
        <w:t xml:space="preserve">Brown </w:t>
      </w:r>
      <w:r w:rsidRPr="00DC3582">
        <w:rPr>
          <w:rFonts w:ascii="Times New Roman" w:eastAsia="Times New Roman" w:hAnsi="Times New Roman" w:cs="Times New Roman"/>
          <w:bCs/>
          <w:sz w:val="24"/>
          <w:szCs w:val="24"/>
          <w:lang w:eastAsia="en-GB"/>
        </w:rPr>
        <w:t>et al. (</w:t>
      </w:r>
      <w:r w:rsidR="00EB4A20">
        <w:rPr>
          <w:rFonts w:ascii="Times New Roman" w:eastAsia="Times New Roman" w:hAnsi="Times New Roman" w:cs="Times New Roman"/>
          <w:bCs/>
          <w:sz w:val="24"/>
          <w:szCs w:val="24"/>
          <w:lang w:eastAsia="en-GB"/>
        </w:rPr>
        <w:t>2022</w:t>
      </w:r>
      <w:r w:rsidRPr="00DC3582">
        <w:rPr>
          <w:rFonts w:ascii="Times New Roman" w:eastAsia="Times New Roman" w:hAnsi="Times New Roman" w:cs="Times New Roman"/>
          <w:bCs/>
          <w:sz w:val="24"/>
          <w:szCs w:val="24"/>
          <w:lang w:eastAsia="en-GB"/>
        </w:rPr>
        <w:t>)</w:t>
      </w:r>
      <w:r w:rsidRPr="00DC3582">
        <w:rPr>
          <w:rFonts w:ascii="Times New Roman" w:eastAsia="Times New Roman" w:hAnsi="Times New Roman" w:cs="Times New Roman"/>
          <w:sz w:val="24"/>
          <w:szCs w:val="24"/>
          <w:lang w:eastAsia="en-GB"/>
        </w:rPr>
        <w:t xml:space="preserve"> demonstrated significant benefits in the short term, there is </w:t>
      </w:r>
      <w:r w:rsidRPr="004C4157">
        <w:rPr>
          <w:rFonts w:ascii="Times New Roman" w:eastAsia="Times New Roman" w:hAnsi="Times New Roman" w:cs="Times New Roman"/>
          <w:sz w:val="24"/>
          <w:szCs w:val="24"/>
          <w:highlight w:val="yellow"/>
          <w:lang w:eastAsia="en-GB"/>
        </w:rPr>
        <w:t xml:space="preserve">limited evidence </w:t>
      </w:r>
      <w:r w:rsidR="003B701C" w:rsidRPr="004C4157">
        <w:rPr>
          <w:rFonts w:ascii="Times New Roman" w:eastAsia="Times New Roman" w:hAnsi="Times New Roman" w:cs="Times New Roman"/>
          <w:sz w:val="24"/>
          <w:szCs w:val="24"/>
          <w:highlight w:val="yellow"/>
          <w:lang w:eastAsia="en-GB"/>
        </w:rPr>
        <w:t xml:space="preserve">of </w:t>
      </w:r>
      <w:r w:rsidRPr="004C4157">
        <w:rPr>
          <w:rFonts w:ascii="Times New Roman" w:eastAsia="Times New Roman" w:hAnsi="Times New Roman" w:cs="Times New Roman"/>
          <w:bCs/>
          <w:sz w:val="24"/>
          <w:szCs w:val="24"/>
          <w:highlight w:val="yellow"/>
          <w:lang w:eastAsia="en-GB"/>
        </w:rPr>
        <w:t>sustained a</w:t>
      </w:r>
      <w:r w:rsidRPr="00DC3582">
        <w:rPr>
          <w:rFonts w:ascii="Times New Roman" w:eastAsia="Times New Roman" w:hAnsi="Times New Roman" w:cs="Times New Roman"/>
          <w:bCs/>
          <w:sz w:val="24"/>
          <w:szCs w:val="24"/>
          <w:lang w:eastAsia="en-GB"/>
        </w:rPr>
        <w:t>dherence</w:t>
      </w:r>
      <w:r w:rsidRPr="00DC3582">
        <w:rPr>
          <w:rFonts w:ascii="Times New Roman" w:eastAsia="Times New Roman" w:hAnsi="Times New Roman" w:cs="Times New Roman"/>
          <w:sz w:val="24"/>
          <w:szCs w:val="24"/>
          <w:lang w:eastAsia="en-GB"/>
        </w:rPr>
        <w:t xml:space="preserve"> over time. Plant-based diets, although beneficial for diabetes management in the short run, can be difficult to maintain in the long term due to </w:t>
      </w:r>
      <w:r w:rsidRPr="00DC3582">
        <w:rPr>
          <w:rFonts w:ascii="Times New Roman" w:eastAsia="Times New Roman" w:hAnsi="Times New Roman" w:cs="Times New Roman"/>
          <w:bCs/>
          <w:sz w:val="24"/>
          <w:szCs w:val="24"/>
          <w:lang w:eastAsia="en-GB"/>
        </w:rPr>
        <w:t>cultural preferences</w:t>
      </w:r>
      <w:r w:rsidRPr="00DC3582">
        <w:rPr>
          <w:rFonts w:ascii="Times New Roman" w:eastAsia="Times New Roman" w:hAnsi="Times New Roman" w:cs="Times New Roman"/>
          <w:sz w:val="24"/>
          <w:szCs w:val="24"/>
          <w:lang w:eastAsia="en-GB"/>
        </w:rPr>
        <w:t xml:space="preserve">, </w:t>
      </w:r>
      <w:r w:rsidRPr="00DC3582">
        <w:rPr>
          <w:rFonts w:ascii="Times New Roman" w:eastAsia="Times New Roman" w:hAnsi="Times New Roman" w:cs="Times New Roman"/>
          <w:bCs/>
          <w:sz w:val="24"/>
          <w:szCs w:val="24"/>
          <w:lang w:eastAsia="en-GB"/>
        </w:rPr>
        <w:t>economic barriers</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lack of access to diverse plant-based foods</w:t>
      </w:r>
      <w:r w:rsidRPr="00DC3582">
        <w:rPr>
          <w:rFonts w:ascii="Times New Roman" w:eastAsia="Times New Roman" w:hAnsi="Times New Roman" w:cs="Times New Roman"/>
          <w:sz w:val="24"/>
          <w:szCs w:val="24"/>
          <w:lang w:eastAsia="en-GB"/>
        </w:rPr>
        <w:t xml:space="preserve">, especially in low-income countries. This is consistent with findings from </w:t>
      </w:r>
      <w:r w:rsidRPr="00DC3582">
        <w:rPr>
          <w:rFonts w:ascii="Times New Roman" w:eastAsia="Times New Roman" w:hAnsi="Times New Roman" w:cs="Times New Roman"/>
          <w:bCs/>
          <w:sz w:val="24"/>
          <w:szCs w:val="24"/>
          <w:lang w:eastAsia="en-GB"/>
        </w:rPr>
        <w:t>Benson et al. (2020)</w:t>
      </w:r>
      <w:r w:rsidRPr="00DC3582">
        <w:rPr>
          <w:rFonts w:ascii="Times New Roman" w:eastAsia="Times New Roman" w:hAnsi="Times New Roman" w:cs="Times New Roman"/>
          <w:sz w:val="24"/>
          <w:szCs w:val="24"/>
          <w:lang w:eastAsia="en-GB"/>
        </w:rPr>
        <w:t xml:space="preserve">, who argued that </w:t>
      </w:r>
      <w:r w:rsidRPr="00DC3582">
        <w:rPr>
          <w:rFonts w:ascii="Times New Roman" w:eastAsia="Times New Roman" w:hAnsi="Times New Roman" w:cs="Times New Roman"/>
          <w:bCs/>
          <w:sz w:val="24"/>
          <w:szCs w:val="24"/>
          <w:lang w:eastAsia="en-GB"/>
        </w:rPr>
        <w:t>socioeconomic factors</w:t>
      </w:r>
      <w:r w:rsidRPr="00DC3582">
        <w:rPr>
          <w:rFonts w:ascii="Times New Roman" w:eastAsia="Times New Roman" w:hAnsi="Times New Roman" w:cs="Times New Roman"/>
          <w:sz w:val="24"/>
          <w:szCs w:val="24"/>
          <w:lang w:eastAsia="en-GB"/>
        </w:rPr>
        <w:t xml:space="preserve"> must be considered when </w:t>
      </w:r>
      <w:r w:rsidRPr="00DC3582">
        <w:rPr>
          <w:rFonts w:ascii="Times New Roman" w:eastAsia="Times New Roman" w:hAnsi="Times New Roman" w:cs="Times New Roman"/>
          <w:sz w:val="24"/>
          <w:szCs w:val="24"/>
          <w:lang w:eastAsia="en-GB"/>
        </w:rPr>
        <w:lastRenderedPageBreak/>
        <w:t>recommending plant-based diets, as they may not be affordable or culturally appropriate for all populations.</w:t>
      </w:r>
    </w:p>
    <w:p w14:paraId="055109B7" w14:textId="4363B5BF" w:rsidR="00DC3582" w:rsidRPr="00DC3582" w:rsidRDefault="00DC3582" w:rsidP="009507A4">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 xml:space="preserve">The </w:t>
      </w:r>
      <w:r w:rsidRPr="00DC3582">
        <w:rPr>
          <w:rFonts w:ascii="Times New Roman" w:eastAsia="Times New Roman" w:hAnsi="Times New Roman" w:cs="Times New Roman"/>
          <w:bCs/>
          <w:sz w:val="24"/>
          <w:szCs w:val="24"/>
          <w:lang w:eastAsia="en-GB"/>
        </w:rPr>
        <w:t>sustainability</w:t>
      </w:r>
      <w:r w:rsidRPr="00DC3582">
        <w:rPr>
          <w:rFonts w:ascii="Times New Roman" w:eastAsia="Times New Roman" w:hAnsi="Times New Roman" w:cs="Times New Roman"/>
          <w:sz w:val="24"/>
          <w:szCs w:val="24"/>
          <w:lang w:eastAsia="en-GB"/>
        </w:rPr>
        <w:t xml:space="preserve"> of plant-based diets in </w:t>
      </w:r>
      <w:r w:rsidRPr="00DC3582">
        <w:rPr>
          <w:rFonts w:ascii="Times New Roman" w:eastAsia="Times New Roman" w:hAnsi="Times New Roman" w:cs="Times New Roman"/>
          <w:bCs/>
          <w:sz w:val="24"/>
          <w:szCs w:val="24"/>
          <w:lang w:eastAsia="en-GB"/>
        </w:rPr>
        <w:t>low-resource settings</w:t>
      </w:r>
      <w:r w:rsidRPr="00DC3582">
        <w:rPr>
          <w:rFonts w:ascii="Times New Roman" w:eastAsia="Times New Roman" w:hAnsi="Times New Roman" w:cs="Times New Roman"/>
          <w:sz w:val="24"/>
          <w:szCs w:val="24"/>
          <w:lang w:eastAsia="en-GB"/>
        </w:rPr>
        <w:t xml:space="preserve"> remains a key issue. </w:t>
      </w:r>
      <w:r w:rsidR="00EB4A20">
        <w:rPr>
          <w:rFonts w:ascii="Arial" w:hAnsi="Arial" w:cs="Arial"/>
          <w:color w:val="222222"/>
          <w:sz w:val="20"/>
          <w:szCs w:val="20"/>
          <w:shd w:val="clear" w:color="auto" w:fill="FFFFFF"/>
        </w:rPr>
        <w:t xml:space="preserve">Brown </w:t>
      </w:r>
      <w:r w:rsidRPr="00DC3582">
        <w:rPr>
          <w:rFonts w:ascii="Times New Roman" w:eastAsia="Times New Roman" w:hAnsi="Times New Roman" w:cs="Times New Roman"/>
          <w:bCs/>
          <w:sz w:val="24"/>
          <w:szCs w:val="24"/>
          <w:lang w:eastAsia="en-GB"/>
        </w:rPr>
        <w:t>et al. (</w:t>
      </w:r>
      <w:r w:rsidR="00EB4A20">
        <w:rPr>
          <w:rFonts w:ascii="Times New Roman" w:eastAsia="Times New Roman" w:hAnsi="Times New Roman" w:cs="Times New Roman"/>
          <w:bCs/>
          <w:sz w:val="24"/>
          <w:szCs w:val="24"/>
          <w:lang w:eastAsia="en-GB"/>
        </w:rPr>
        <w:t>2022</w:t>
      </w:r>
      <w:r w:rsidRPr="00DC3582">
        <w:rPr>
          <w:rFonts w:ascii="Times New Roman" w:eastAsia="Times New Roman" w:hAnsi="Times New Roman" w:cs="Times New Roman"/>
          <w:bCs/>
          <w:sz w:val="24"/>
          <w:szCs w:val="24"/>
          <w:lang w:eastAsia="en-GB"/>
        </w:rPr>
        <w:t>)</w:t>
      </w:r>
      <w:r w:rsidRPr="00DC3582">
        <w:rPr>
          <w:rFonts w:ascii="Times New Roman" w:eastAsia="Times New Roman" w:hAnsi="Times New Roman" w:cs="Times New Roman"/>
          <w:sz w:val="24"/>
          <w:szCs w:val="24"/>
          <w:lang w:eastAsia="en-GB"/>
        </w:rPr>
        <w:t xml:space="preserve"> and </w:t>
      </w:r>
      <w:r w:rsidR="008A31CF" w:rsidRPr="008A31CF">
        <w:rPr>
          <w:rFonts w:ascii="Arial" w:hAnsi="Arial" w:cs="Arial"/>
          <w:color w:val="222222"/>
          <w:sz w:val="20"/>
          <w:szCs w:val="20"/>
          <w:highlight w:val="yellow"/>
          <w:shd w:val="clear" w:color="auto" w:fill="FFFFFF"/>
        </w:rPr>
        <w:t xml:space="preserve">Qian </w:t>
      </w:r>
      <w:r w:rsidR="008A31CF" w:rsidRPr="008A31CF">
        <w:rPr>
          <w:rFonts w:ascii="Times New Roman" w:eastAsia="Times New Roman" w:hAnsi="Times New Roman" w:cs="Times New Roman"/>
          <w:sz w:val="24"/>
          <w:szCs w:val="24"/>
          <w:highlight w:val="yellow"/>
          <w:lang w:eastAsia="en-GB"/>
        </w:rPr>
        <w:t xml:space="preserve">et al., (2019) </w:t>
      </w:r>
      <w:r w:rsidRPr="008A31CF">
        <w:rPr>
          <w:rFonts w:ascii="Times New Roman" w:eastAsia="Times New Roman" w:hAnsi="Times New Roman" w:cs="Times New Roman"/>
          <w:sz w:val="24"/>
          <w:szCs w:val="24"/>
          <w:highlight w:val="yellow"/>
          <w:lang w:eastAsia="en-GB"/>
        </w:rPr>
        <w:t>pointed out that p</w:t>
      </w:r>
      <w:r w:rsidRPr="00DC3582">
        <w:rPr>
          <w:rFonts w:ascii="Times New Roman" w:eastAsia="Times New Roman" w:hAnsi="Times New Roman" w:cs="Times New Roman"/>
          <w:sz w:val="24"/>
          <w:szCs w:val="24"/>
          <w:lang w:eastAsia="en-GB"/>
        </w:rPr>
        <w:t xml:space="preserve">lant-based diets might not be feasible in regions where there is limited access to a variety of plant-based foods or where staple foods are heavily animal-based. In these settings, diets rich in whole grains, legumes, and vegetables may not provide sufficient nutrients if they are not properly planned or supplemented, which could compromise the health benefits. The challenges of </w:t>
      </w:r>
      <w:r w:rsidRPr="00DC3582">
        <w:rPr>
          <w:rFonts w:ascii="Times New Roman" w:eastAsia="Times New Roman" w:hAnsi="Times New Roman" w:cs="Times New Roman"/>
          <w:bCs/>
          <w:sz w:val="24"/>
          <w:szCs w:val="24"/>
          <w:lang w:eastAsia="en-GB"/>
        </w:rPr>
        <w:t>food security</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dietary diversification</w:t>
      </w:r>
      <w:r w:rsidRPr="00DC3582">
        <w:rPr>
          <w:rFonts w:ascii="Times New Roman" w:eastAsia="Times New Roman" w:hAnsi="Times New Roman" w:cs="Times New Roman"/>
          <w:sz w:val="24"/>
          <w:szCs w:val="24"/>
          <w:lang w:eastAsia="en-GB"/>
        </w:rPr>
        <w:t xml:space="preserve"> further complicate the adoption of plant-based diets on a large scale, as highlighted by </w:t>
      </w:r>
      <w:r w:rsidRPr="00DC3582">
        <w:rPr>
          <w:rFonts w:ascii="Times New Roman" w:eastAsia="Times New Roman" w:hAnsi="Times New Roman" w:cs="Times New Roman"/>
          <w:bCs/>
          <w:sz w:val="24"/>
          <w:szCs w:val="24"/>
          <w:lang w:eastAsia="en-GB"/>
        </w:rPr>
        <w:t>McMacken and Shah (2017)</w:t>
      </w:r>
      <w:r w:rsidRPr="00DC3582">
        <w:rPr>
          <w:rFonts w:ascii="Times New Roman" w:eastAsia="Times New Roman" w:hAnsi="Times New Roman" w:cs="Times New Roman"/>
          <w:sz w:val="24"/>
          <w:szCs w:val="24"/>
          <w:lang w:eastAsia="en-GB"/>
        </w:rPr>
        <w:t>.</w:t>
      </w:r>
    </w:p>
    <w:p w14:paraId="10EE6BDA" w14:textId="3B0DB9B8" w:rsidR="00DC3582" w:rsidRPr="00DC3582" w:rsidRDefault="00DC3582" w:rsidP="009507A4">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 xml:space="preserve">In addition, there is a noticeable </w:t>
      </w:r>
      <w:r w:rsidRPr="00DC3582">
        <w:rPr>
          <w:rFonts w:ascii="Times New Roman" w:eastAsia="Times New Roman" w:hAnsi="Times New Roman" w:cs="Times New Roman"/>
          <w:bCs/>
          <w:sz w:val="24"/>
          <w:szCs w:val="24"/>
          <w:lang w:eastAsia="en-GB"/>
        </w:rPr>
        <w:t>lack of long-term studies</w:t>
      </w:r>
      <w:r w:rsidRPr="00DC3582">
        <w:rPr>
          <w:rFonts w:ascii="Times New Roman" w:eastAsia="Times New Roman" w:hAnsi="Times New Roman" w:cs="Times New Roman"/>
          <w:sz w:val="24"/>
          <w:szCs w:val="24"/>
          <w:lang w:eastAsia="en-GB"/>
        </w:rPr>
        <w:t xml:space="preserve"> assessing the </w:t>
      </w:r>
      <w:r w:rsidRPr="00DC3582">
        <w:rPr>
          <w:rFonts w:ascii="Times New Roman" w:eastAsia="Times New Roman" w:hAnsi="Times New Roman" w:cs="Times New Roman"/>
          <w:bCs/>
          <w:sz w:val="24"/>
          <w:szCs w:val="24"/>
          <w:lang w:eastAsia="en-GB"/>
        </w:rPr>
        <w:t>durability</w:t>
      </w:r>
      <w:r w:rsidRPr="00DC3582">
        <w:rPr>
          <w:rFonts w:ascii="Times New Roman" w:eastAsia="Times New Roman" w:hAnsi="Times New Roman" w:cs="Times New Roman"/>
          <w:sz w:val="24"/>
          <w:szCs w:val="24"/>
          <w:lang w:eastAsia="en-GB"/>
        </w:rPr>
        <w:t xml:space="preserve"> of plant-based diets' effects on metabolic health. The studies included in this review mostly had follow-up periods of 6 to 12 months, with limited research extending beyond this timeframe. This issue is consistent with </w:t>
      </w:r>
      <w:r w:rsidR="00B81E57" w:rsidRPr="00B81E57">
        <w:rPr>
          <w:rFonts w:ascii="Times New Roman" w:eastAsia="Times New Roman" w:hAnsi="Times New Roman" w:cs="Times New Roman"/>
          <w:bCs/>
          <w:sz w:val="24"/>
          <w:szCs w:val="24"/>
          <w:lang w:eastAsia="en-GB"/>
        </w:rPr>
        <w:t xml:space="preserve">Aziz </w:t>
      </w:r>
      <w:r w:rsidR="00B81E57">
        <w:rPr>
          <w:rFonts w:ascii="Times New Roman" w:eastAsia="Times New Roman" w:hAnsi="Times New Roman" w:cs="Times New Roman"/>
          <w:bCs/>
          <w:sz w:val="24"/>
          <w:szCs w:val="24"/>
          <w:lang w:eastAsia="en-GB"/>
        </w:rPr>
        <w:t xml:space="preserve">et al. </w:t>
      </w:r>
      <w:r w:rsidRPr="00DC3582">
        <w:rPr>
          <w:rFonts w:ascii="Times New Roman" w:eastAsia="Times New Roman" w:hAnsi="Times New Roman" w:cs="Times New Roman"/>
          <w:bCs/>
          <w:sz w:val="24"/>
          <w:szCs w:val="24"/>
          <w:lang w:eastAsia="en-GB"/>
        </w:rPr>
        <w:t>(2023)</w:t>
      </w:r>
      <w:r w:rsidRPr="00DC3582">
        <w:rPr>
          <w:rFonts w:ascii="Times New Roman" w:eastAsia="Times New Roman" w:hAnsi="Times New Roman" w:cs="Times New Roman"/>
          <w:sz w:val="24"/>
          <w:szCs w:val="24"/>
          <w:lang w:eastAsia="en-GB"/>
        </w:rPr>
        <w:t xml:space="preserve"> and </w:t>
      </w:r>
      <w:proofErr w:type="spellStart"/>
      <w:r w:rsidR="007D3ECC" w:rsidRPr="007D3ECC">
        <w:rPr>
          <w:rFonts w:ascii="Arial" w:hAnsi="Arial" w:cs="Arial"/>
          <w:color w:val="222222"/>
          <w:sz w:val="20"/>
          <w:szCs w:val="20"/>
          <w:highlight w:val="yellow"/>
          <w:shd w:val="clear" w:color="auto" w:fill="FFFFFF"/>
        </w:rPr>
        <w:t>Toumpanakis</w:t>
      </w:r>
      <w:proofErr w:type="spellEnd"/>
      <w:r w:rsidR="007D3ECC">
        <w:rPr>
          <w:rFonts w:ascii="Arial" w:hAnsi="Arial" w:cs="Arial"/>
          <w:color w:val="222222"/>
          <w:sz w:val="20"/>
          <w:szCs w:val="20"/>
          <w:shd w:val="clear" w:color="auto" w:fill="FFFFFF"/>
        </w:rPr>
        <w:t xml:space="preserve"> </w:t>
      </w:r>
      <w:r w:rsidRPr="00DC3582">
        <w:rPr>
          <w:rFonts w:ascii="Times New Roman" w:eastAsia="Times New Roman" w:hAnsi="Times New Roman" w:cs="Times New Roman"/>
          <w:bCs/>
          <w:sz w:val="24"/>
          <w:szCs w:val="24"/>
          <w:lang w:eastAsia="en-GB"/>
        </w:rPr>
        <w:t>et al. (</w:t>
      </w:r>
      <w:r w:rsidR="007D3ECC">
        <w:rPr>
          <w:rFonts w:ascii="Times New Roman" w:eastAsia="Times New Roman" w:hAnsi="Times New Roman" w:cs="Times New Roman"/>
          <w:bCs/>
          <w:sz w:val="24"/>
          <w:szCs w:val="24"/>
          <w:lang w:eastAsia="en-GB"/>
        </w:rPr>
        <w:t>2018</w:t>
      </w:r>
      <w:r w:rsidRPr="00DC3582">
        <w:rPr>
          <w:rFonts w:ascii="Times New Roman" w:eastAsia="Times New Roman" w:hAnsi="Times New Roman" w:cs="Times New Roman"/>
          <w:bCs/>
          <w:sz w:val="24"/>
          <w:szCs w:val="24"/>
          <w:lang w:eastAsia="en-GB"/>
        </w:rPr>
        <w:t>)</w:t>
      </w:r>
      <w:r w:rsidRPr="00DC3582">
        <w:rPr>
          <w:rFonts w:ascii="Times New Roman" w:eastAsia="Times New Roman" w:hAnsi="Times New Roman" w:cs="Times New Roman"/>
          <w:sz w:val="24"/>
          <w:szCs w:val="24"/>
          <w:lang w:eastAsia="en-GB"/>
        </w:rPr>
        <w:t xml:space="preserve">, who stressed the importance of long-term clinical trials to assess the </w:t>
      </w:r>
      <w:r w:rsidRPr="00DC3582">
        <w:rPr>
          <w:rFonts w:ascii="Times New Roman" w:eastAsia="Times New Roman" w:hAnsi="Times New Roman" w:cs="Times New Roman"/>
          <w:bCs/>
          <w:sz w:val="24"/>
          <w:szCs w:val="24"/>
          <w:lang w:eastAsia="en-GB"/>
        </w:rPr>
        <w:t>sustainability</w:t>
      </w:r>
      <w:r w:rsidRPr="00DC3582">
        <w:rPr>
          <w:rFonts w:ascii="Times New Roman" w:eastAsia="Times New Roman" w:hAnsi="Times New Roman" w:cs="Times New Roman"/>
          <w:sz w:val="24"/>
          <w:szCs w:val="24"/>
          <w:lang w:eastAsia="en-GB"/>
        </w:rPr>
        <w:t xml:space="preserve"> of plant-based diets' effects on diabetes remission and long-term health outcomes.</w:t>
      </w:r>
    </w:p>
    <w:p w14:paraId="25AC50C8" w14:textId="5F8FFC24" w:rsidR="00DC3582" w:rsidRPr="00DC3582" w:rsidRDefault="00DC3582" w:rsidP="009507A4">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 xml:space="preserve">The findings of this </w:t>
      </w:r>
      <w:r w:rsidRPr="00F25401">
        <w:rPr>
          <w:rFonts w:ascii="Times New Roman" w:eastAsia="Times New Roman" w:hAnsi="Times New Roman" w:cs="Times New Roman"/>
          <w:sz w:val="24"/>
          <w:szCs w:val="24"/>
          <w:highlight w:val="yellow"/>
          <w:lang w:eastAsia="en-GB"/>
        </w:rPr>
        <w:t xml:space="preserve">review </w:t>
      </w:r>
      <w:r w:rsidR="00F25401" w:rsidRPr="00F25401">
        <w:rPr>
          <w:rFonts w:ascii="Times New Roman" w:eastAsia="Times New Roman" w:hAnsi="Times New Roman" w:cs="Times New Roman"/>
          <w:sz w:val="24"/>
          <w:szCs w:val="24"/>
          <w:highlight w:val="yellow"/>
          <w:lang w:eastAsia="en-GB"/>
        </w:rPr>
        <w:t>emphasize</w:t>
      </w:r>
      <w:r w:rsidRPr="00F25401">
        <w:rPr>
          <w:rFonts w:ascii="Times New Roman" w:eastAsia="Times New Roman" w:hAnsi="Times New Roman" w:cs="Times New Roman"/>
          <w:sz w:val="24"/>
          <w:szCs w:val="24"/>
          <w:highlight w:val="yellow"/>
          <w:lang w:eastAsia="en-GB"/>
        </w:rPr>
        <w:t xml:space="preserve"> the need for </w:t>
      </w:r>
      <w:r w:rsidRPr="00F25401">
        <w:rPr>
          <w:rFonts w:ascii="Times New Roman" w:eastAsia="Times New Roman" w:hAnsi="Times New Roman" w:cs="Times New Roman"/>
          <w:bCs/>
          <w:sz w:val="24"/>
          <w:szCs w:val="24"/>
          <w:highlight w:val="yellow"/>
          <w:lang w:eastAsia="en-GB"/>
        </w:rPr>
        <w:t>c</w:t>
      </w:r>
      <w:r w:rsidRPr="00DC3582">
        <w:rPr>
          <w:rFonts w:ascii="Times New Roman" w:eastAsia="Times New Roman" w:hAnsi="Times New Roman" w:cs="Times New Roman"/>
          <w:bCs/>
          <w:sz w:val="24"/>
          <w:szCs w:val="24"/>
          <w:lang w:eastAsia="en-GB"/>
        </w:rPr>
        <w:t>linical guidelines</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public health policies</w:t>
      </w:r>
      <w:r w:rsidRPr="00DC3582">
        <w:rPr>
          <w:rFonts w:ascii="Times New Roman" w:eastAsia="Times New Roman" w:hAnsi="Times New Roman" w:cs="Times New Roman"/>
          <w:sz w:val="24"/>
          <w:szCs w:val="24"/>
          <w:lang w:eastAsia="en-GB"/>
        </w:rPr>
        <w:t xml:space="preserve"> that incorporate plant-based diets as part of comprehensive diabetes management strategies. The consistency of benefits observed across high-income countries, particularly in </w:t>
      </w:r>
      <w:r w:rsidRPr="00DC3582">
        <w:rPr>
          <w:rFonts w:ascii="Times New Roman" w:eastAsia="Times New Roman" w:hAnsi="Times New Roman" w:cs="Times New Roman"/>
          <w:bCs/>
          <w:sz w:val="24"/>
          <w:szCs w:val="24"/>
          <w:lang w:eastAsia="en-GB"/>
        </w:rPr>
        <w:t>RCTs</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cohort studies</w:t>
      </w:r>
      <w:r w:rsidRPr="00DC3582">
        <w:rPr>
          <w:rFonts w:ascii="Times New Roman" w:eastAsia="Times New Roman" w:hAnsi="Times New Roman" w:cs="Times New Roman"/>
          <w:sz w:val="24"/>
          <w:szCs w:val="24"/>
          <w:lang w:eastAsia="en-GB"/>
        </w:rPr>
        <w:t xml:space="preserve"> (</w:t>
      </w:r>
      <w:r w:rsidR="00AD2A02">
        <w:rPr>
          <w:rFonts w:ascii="Arial" w:hAnsi="Arial" w:cs="Arial"/>
          <w:color w:val="222222"/>
          <w:sz w:val="20"/>
          <w:szCs w:val="20"/>
          <w:shd w:val="clear" w:color="auto" w:fill="FFFFFF"/>
        </w:rPr>
        <w:t xml:space="preserve">Satija </w:t>
      </w:r>
      <w:r w:rsidRPr="00DC3582">
        <w:rPr>
          <w:rFonts w:ascii="Times New Roman" w:eastAsia="Times New Roman" w:hAnsi="Times New Roman" w:cs="Times New Roman"/>
          <w:sz w:val="24"/>
          <w:szCs w:val="24"/>
          <w:lang w:eastAsia="en-GB"/>
        </w:rPr>
        <w:t xml:space="preserve">et al., </w:t>
      </w:r>
      <w:r w:rsidR="00AD2A02">
        <w:rPr>
          <w:rFonts w:ascii="Times New Roman" w:eastAsia="Times New Roman" w:hAnsi="Times New Roman" w:cs="Times New Roman"/>
          <w:sz w:val="24"/>
          <w:szCs w:val="24"/>
          <w:lang w:eastAsia="en-GB"/>
        </w:rPr>
        <w:t>2019</w:t>
      </w:r>
      <w:r w:rsidRPr="00DC3582">
        <w:rPr>
          <w:rFonts w:ascii="Times New Roman" w:eastAsia="Times New Roman" w:hAnsi="Times New Roman" w:cs="Times New Roman"/>
          <w:sz w:val="24"/>
          <w:szCs w:val="24"/>
          <w:lang w:eastAsia="en-GB"/>
        </w:rPr>
        <w:t xml:space="preserve">; Satija et al., 2016), suggests that plant-based diets could play a critical role in managing type 2 diabetes. Given the strong evidence from </w:t>
      </w:r>
      <w:r w:rsidRPr="00DC3582">
        <w:rPr>
          <w:rFonts w:ascii="Times New Roman" w:eastAsia="Times New Roman" w:hAnsi="Times New Roman" w:cs="Times New Roman"/>
          <w:bCs/>
          <w:sz w:val="24"/>
          <w:szCs w:val="24"/>
          <w:lang w:eastAsia="en-GB"/>
        </w:rPr>
        <w:t>McMacken and Shah (2017)</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Qian et al. (2019)</w:t>
      </w:r>
      <w:r w:rsidRPr="00DC3582">
        <w:rPr>
          <w:rFonts w:ascii="Times New Roman" w:eastAsia="Times New Roman" w:hAnsi="Times New Roman" w:cs="Times New Roman"/>
          <w:sz w:val="24"/>
          <w:szCs w:val="24"/>
          <w:lang w:eastAsia="en-GB"/>
        </w:rPr>
        <w:t>, health professionals in developed countries may consider recommending plant-based dietary patterns as a first-line treatment for managing type 2 diabetes, particularly in overweight and obese individuals.</w:t>
      </w:r>
    </w:p>
    <w:p w14:paraId="5EA3C02D" w14:textId="4111817A" w:rsidR="00DC3582" w:rsidRPr="00DC3582" w:rsidRDefault="00DC3582" w:rsidP="009507A4">
      <w:pPr>
        <w:spacing w:before="100" w:beforeAutospacing="1" w:after="100" w:afterAutospacing="1" w:line="360" w:lineRule="auto"/>
        <w:jc w:val="both"/>
        <w:rPr>
          <w:rFonts w:ascii="Times New Roman" w:eastAsia="Times New Roman" w:hAnsi="Times New Roman" w:cs="Times New Roman"/>
          <w:sz w:val="24"/>
          <w:szCs w:val="24"/>
          <w:lang w:eastAsia="en-GB"/>
        </w:rPr>
      </w:pPr>
      <w:r w:rsidRPr="00DC3582">
        <w:rPr>
          <w:rFonts w:ascii="Times New Roman" w:eastAsia="Times New Roman" w:hAnsi="Times New Roman" w:cs="Times New Roman"/>
          <w:sz w:val="24"/>
          <w:szCs w:val="24"/>
          <w:lang w:eastAsia="en-GB"/>
        </w:rPr>
        <w:t xml:space="preserve">However, in </w:t>
      </w:r>
      <w:r w:rsidRPr="00DC3582">
        <w:rPr>
          <w:rFonts w:ascii="Times New Roman" w:eastAsia="Times New Roman" w:hAnsi="Times New Roman" w:cs="Times New Roman"/>
          <w:bCs/>
          <w:sz w:val="24"/>
          <w:szCs w:val="24"/>
          <w:lang w:eastAsia="en-GB"/>
        </w:rPr>
        <w:t>low-income settings</w:t>
      </w:r>
      <w:r w:rsidRPr="00DC3582">
        <w:rPr>
          <w:rFonts w:ascii="Times New Roman" w:eastAsia="Times New Roman" w:hAnsi="Times New Roman" w:cs="Times New Roman"/>
          <w:sz w:val="24"/>
          <w:szCs w:val="24"/>
          <w:lang w:eastAsia="en-GB"/>
        </w:rPr>
        <w:t xml:space="preserve">, public health policies must be tailored to the </w:t>
      </w:r>
      <w:r w:rsidRPr="00DC3582">
        <w:rPr>
          <w:rFonts w:ascii="Times New Roman" w:eastAsia="Times New Roman" w:hAnsi="Times New Roman" w:cs="Times New Roman"/>
          <w:bCs/>
          <w:sz w:val="24"/>
          <w:szCs w:val="24"/>
          <w:lang w:eastAsia="en-GB"/>
        </w:rPr>
        <w:t>local context</w:t>
      </w:r>
      <w:r w:rsidRPr="00DC3582">
        <w:rPr>
          <w:rFonts w:ascii="Times New Roman" w:eastAsia="Times New Roman" w:hAnsi="Times New Roman" w:cs="Times New Roman"/>
          <w:sz w:val="24"/>
          <w:szCs w:val="24"/>
          <w:lang w:eastAsia="en-GB"/>
        </w:rPr>
        <w:t xml:space="preserve">, addressing </w:t>
      </w:r>
      <w:r w:rsidRPr="00DC3582">
        <w:rPr>
          <w:rFonts w:ascii="Times New Roman" w:eastAsia="Times New Roman" w:hAnsi="Times New Roman" w:cs="Times New Roman"/>
          <w:bCs/>
          <w:sz w:val="24"/>
          <w:szCs w:val="24"/>
          <w:lang w:eastAsia="en-GB"/>
        </w:rPr>
        <w:t>barriers to adherence</w:t>
      </w:r>
      <w:r w:rsidRPr="00DC3582">
        <w:rPr>
          <w:rFonts w:ascii="Times New Roman" w:eastAsia="Times New Roman" w:hAnsi="Times New Roman" w:cs="Times New Roman"/>
          <w:sz w:val="24"/>
          <w:szCs w:val="24"/>
          <w:lang w:eastAsia="en-GB"/>
        </w:rPr>
        <w:t xml:space="preserve"> such as food security and cultural preferences. According to </w:t>
      </w:r>
      <w:r w:rsidRPr="00DC3582">
        <w:rPr>
          <w:rFonts w:ascii="Times New Roman" w:eastAsia="Times New Roman" w:hAnsi="Times New Roman" w:cs="Times New Roman"/>
          <w:bCs/>
          <w:sz w:val="24"/>
          <w:szCs w:val="24"/>
          <w:lang w:eastAsia="en-GB"/>
        </w:rPr>
        <w:t>Benson et al. (2020)</w:t>
      </w:r>
      <w:r w:rsidRPr="00DC3582">
        <w:rPr>
          <w:rFonts w:ascii="Times New Roman" w:eastAsia="Times New Roman" w:hAnsi="Times New Roman" w:cs="Times New Roman"/>
          <w:sz w:val="24"/>
          <w:szCs w:val="24"/>
          <w:lang w:eastAsia="en-GB"/>
        </w:rPr>
        <w:t xml:space="preserve">, policies should promote </w:t>
      </w:r>
      <w:r w:rsidRPr="00DC3582">
        <w:rPr>
          <w:rFonts w:ascii="Times New Roman" w:eastAsia="Times New Roman" w:hAnsi="Times New Roman" w:cs="Times New Roman"/>
          <w:bCs/>
          <w:sz w:val="24"/>
          <w:szCs w:val="24"/>
          <w:lang w:eastAsia="en-GB"/>
        </w:rPr>
        <w:t>affordable and accessible plant-based foods</w:t>
      </w:r>
      <w:r w:rsidRPr="00DC3582">
        <w:rPr>
          <w:rFonts w:ascii="Times New Roman" w:eastAsia="Times New Roman" w:hAnsi="Times New Roman" w:cs="Times New Roman"/>
          <w:sz w:val="24"/>
          <w:szCs w:val="24"/>
          <w:lang w:eastAsia="en-GB"/>
        </w:rPr>
        <w:t xml:space="preserve">, alongside </w:t>
      </w:r>
      <w:r w:rsidRPr="00DC3582">
        <w:rPr>
          <w:rFonts w:ascii="Times New Roman" w:eastAsia="Times New Roman" w:hAnsi="Times New Roman" w:cs="Times New Roman"/>
          <w:bCs/>
          <w:sz w:val="24"/>
          <w:szCs w:val="24"/>
          <w:lang w:eastAsia="en-GB"/>
        </w:rPr>
        <w:t>nutritional education</w:t>
      </w:r>
      <w:r w:rsidRPr="00DC3582">
        <w:rPr>
          <w:rFonts w:ascii="Times New Roman" w:eastAsia="Times New Roman" w:hAnsi="Times New Roman" w:cs="Times New Roman"/>
          <w:sz w:val="24"/>
          <w:szCs w:val="24"/>
          <w:lang w:eastAsia="en-GB"/>
        </w:rPr>
        <w:t xml:space="preserve"> to ensure individuals can adhere to plant-based diets without compromising their overall health. Interventions in </w:t>
      </w:r>
      <w:r w:rsidRPr="00DC3582">
        <w:rPr>
          <w:rFonts w:ascii="Times New Roman" w:eastAsia="Times New Roman" w:hAnsi="Times New Roman" w:cs="Times New Roman"/>
          <w:bCs/>
          <w:sz w:val="24"/>
          <w:szCs w:val="24"/>
          <w:lang w:eastAsia="en-GB"/>
        </w:rPr>
        <w:t>sub-Saharan Africa</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South Asia</w:t>
      </w:r>
      <w:r w:rsidRPr="00DC3582">
        <w:rPr>
          <w:rFonts w:ascii="Times New Roman" w:eastAsia="Times New Roman" w:hAnsi="Times New Roman" w:cs="Times New Roman"/>
          <w:sz w:val="24"/>
          <w:szCs w:val="24"/>
          <w:lang w:eastAsia="en-GB"/>
        </w:rPr>
        <w:t xml:space="preserve"> could include </w:t>
      </w:r>
      <w:r w:rsidRPr="00DC3582">
        <w:rPr>
          <w:rFonts w:ascii="Times New Roman" w:eastAsia="Times New Roman" w:hAnsi="Times New Roman" w:cs="Times New Roman"/>
          <w:bCs/>
          <w:sz w:val="24"/>
          <w:szCs w:val="24"/>
          <w:lang w:eastAsia="en-GB"/>
        </w:rPr>
        <w:t>community-based nutrition programs</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subsidies for plant-based food sources</w:t>
      </w:r>
      <w:r w:rsidRPr="00DC3582">
        <w:rPr>
          <w:rFonts w:ascii="Times New Roman" w:eastAsia="Times New Roman" w:hAnsi="Times New Roman" w:cs="Times New Roman"/>
          <w:sz w:val="24"/>
          <w:szCs w:val="24"/>
          <w:lang w:eastAsia="en-GB"/>
        </w:rPr>
        <w:t xml:space="preserve"> to promote dietary changes that are both affordable and sustainable.</w:t>
      </w:r>
      <w:r w:rsidR="009507A4" w:rsidRPr="009507A4">
        <w:rPr>
          <w:rFonts w:ascii="Times New Roman" w:eastAsia="Times New Roman" w:hAnsi="Times New Roman" w:cs="Times New Roman"/>
          <w:sz w:val="24"/>
          <w:szCs w:val="24"/>
          <w:lang w:eastAsia="en-GB"/>
        </w:rPr>
        <w:t xml:space="preserve"> </w:t>
      </w:r>
      <w:r w:rsidRPr="00DC3582">
        <w:rPr>
          <w:rFonts w:ascii="Times New Roman" w:eastAsia="Times New Roman" w:hAnsi="Times New Roman" w:cs="Times New Roman"/>
          <w:sz w:val="24"/>
          <w:szCs w:val="24"/>
          <w:lang w:eastAsia="en-GB"/>
        </w:rPr>
        <w:t xml:space="preserve">Moreover, </w:t>
      </w:r>
      <w:r w:rsidRPr="00DC3582">
        <w:rPr>
          <w:rFonts w:ascii="Times New Roman" w:eastAsia="Times New Roman" w:hAnsi="Times New Roman" w:cs="Times New Roman"/>
          <w:bCs/>
          <w:sz w:val="24"/>
          <w:szCs w:val="24"/>
          <w:lang w:eastAsia="en-GB"/>
        </w:rPr>
        <w:t>long-term studies</w:t>
      </w:r>
      <w:r w:rsidRPr="00DC3582">
        <w:rPr>
          <w:rFonts w:ascii="Times New Roman" w:eastAsia="Times New Roman" w:hAnsi="Times New Roman" w:cs="Times New Roman"/>
          <w:sz w:val="24"/>
          <w:szCs w:val="24"/>
          <w:lang w:eastAsia="en-GB"/>
        </w:rPr>
        <w:t xml:space="preserve"> </w:t>
      </w:r>
      <w:r w:rsidRPr="00DC3582">
        <w:rPr>
          <w:rFonts w:ascii="Times New Roman" w:eastAsia="Times New Roman" w:hAnsi="Times New Roman" w:cs="Times New Roman"/>
          <w:sz w:val="24"/>
          <w:szCs w:val="24"/>
          <w:lang w:eastAsia="en-GB"/>
        </w:rPr>
        <w:lastRenderedPageBreak/>
        <w:t xml:space="preserve">and </w:t>
      </w:r>
      <w:r w:rsidRPr="00DC3582">
        <w:rPr>
          <w:rFonts w:ascii="Times New Roman" w:eastAsia="Times New Roman" w:hAnsi="Times New Roman" w:cs="Times New Roman"/>
          <w:bCs/>
          <w:sz w:val="24"/>
          <w:szCs w:val="24"/>
          <w:lang w:eastAsia="en-GB"/>
        </w:rPr>
        <w:t>better adherence monitoring</w:t>
      </w:r>
      <w:r w:rsidRPr="00DC3582">
        <w:rPr>
          <w:rFonts w:ascii="Times New Roman" w:eastAsia="Times New Roman" w:hAnsi="Times New Roman" w:cs="Times New Roman"/>
          <w:sz w:val="24"/>
          <w:szCs w:val="24"/>
          <w:lang w:eastAsia="en-GB"/>
        </w:rPr>
        <w:t xml:space="preserve"> are needed to evaluate the </w:t>
      </w:r>
      <w:r w:rsidRPr="00DC3582">
        <w:rPr>
          <w:rFonts w:ascii="Times New Roman" w:eastAsia="Times New Roman" w:hAnsi="Times New Roman" w:cs="Times New Roman"/>
          <w:bCs/>
          <w:sz w:val="24"/>
          <w:szCs w:val="24"/>
          <w:lang w:eastAsia="en-GB"/>
        </w:rPr>
        <w:t>sustainability</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effectiveness</w:t>
      </w:r>
      <w:r w:rsidRPr="00DC3582">
        <w:rPr>
          <w:rFonts w:ascii="Times New Roman" w:eastAsia="Times New Roman" w:hAnsi="Times New Roman" w:cs="Times New Roman"/>
          <w:sz w:val="24"/>
          <w:szCs w:val="24"/>
          <w:lang w:eastAsia="en-GB"/>
        </w:rPr>
        <w:t xml:space="preserve"> of plant-based diets in diverse population groups</w:t>
      </w:r>
      <w:r w:rsidRPr="00EB4A20">
        <w:rPr>
          <w:rFonts w:ascii="Times New Roman" w:eastAsia="Times New Roman" w:hAnsi="Times New Roman" w:cs="Times New Roman"/>
          <w:sz w:val="24"/>
          <w:szCs w:val="24"/>
          <w:highlight w:val="yellow"/>
          <w:lang w:eastAsia="en-GB"/>
        </w:rPr>
        <w:t xml:space="preserve">. As </w:t>
      </w:r>
      <w:r w:rsidR="00EB4A20" w:rsidRPr="00EB4A20">
        <w:rPr>
          <w:rFonts w:ascii="Arial" w:hAnsi="Arial" w:cs="Arial"/>
          <w:color w:val="222222"/>
          <w:sz w:val="20"/>
          <w:szCs w:val="20"/>
          <w:highlight w:val="yellow"/>
          <w:shd w:val="clear" w:color="auto" w:fill="FFFFFF"/>
        </w:rPr>
        <w:t xml:space="preserve">Brown </w:t>
      </w:r>
      <w:r w:rsidRPr="00EB4A20">
        <w:rPr>
          <w:rFonts w:ascii="Times New Roman" w:eastAsia="Times New Roman" w:hAnsi="Times New Roman" w:cs="Times New Roman"/>
          <w:bCs/>
          <w:sz w:val="24"/>
          <w:szCs w:val="24"/>
          <w:highlight w:val="yellow"/>
          <w:lang w:eastAsia="en-GB"/>
        </w:rPr>
        <w:t>et al. (</w:t>
      </w:r>
      <w:r w:rsidR="00EB4A20" w:rsidRPr="00EB4A20">
        <w:rPr>
          <w:rFonts w:ascii="Times New Roman" w:eastAsia="Times New Roman" w:hAnsi="Times New Roman" w:cs="Times New Roman"/>
          <w:bCs/>
          <w:sz w:val="24"/>
          <w:szCs w:val="24"/>
          <w:highlight w:val="yellow"/>
          <w:lang w:eastAsia="en-GB"/>
        </w:rPr>
        <w:t>2022</w:t>
      </w:r>
      <w:r w:rsidRPr="00EB4A20">
        <w:rPr>
          <w:rFonts w:ascii="Times New Roman" w:eastAsia="Times New Roman" w:hAnsi="Times New Roman" w:cs="Times New Roman"/>
          <w:bCs/>
          <w:sz w:val="24"/>
          <w:szCs w:val="24"/>
          <w:highlight w:val="yellow"/>
          <w:lang w:eastAsia="en-GB"/>
        </w:rPr>
        <w:t>)</w:t>
      </w:r>
      <w:r w:rsidRPr="00EB4A20">
        <w:rPr>
          <w:rFonts w:ascii="Times New Roman" w:eastAsia="Times New Roman" w:hAnsi="Times New Roman" w:cs="Times New Roman"/>
          <w:sz w:val="24"/>
          <w:szCs w:val="24"/>
          <w:highlight w:val="yellow"/>
          <w:lang w:eastAsia="en-GB"/>
        </w:rPr>
        <w:t xml:space="preserve"> suggeste</w:t>
      </w:r>
      <w:r w:rsidRPr="00DC3582">
        <w:rPr>
          <w:rFonts w:ascii="Times New Roman" w:eastAsia="Times New Roman" w:hAnsi="Times New Roman" w:cs="Times New Roman"/>
          <w:sz w:val="24"/>
          <w:szCs w:val="24"/>
          <w:lang w:eastAsia="en-GB"/>
        </w:rPr>
        <w:t xml:space="preserve">d, future studies should focus on </w:t>
      </w:r>
      <w:r w:rsidRPr="00DC3582">
        <w:rPr>
          <w:rFonts w:ascii="Times New Roman" w:eastAsia="Times New Roman" w:hAnsi="Times New Roman" w:cs="Times New Roman"/>
          <w:bCs/>
          <w:sz w:val="24"/>
          <w:szCs w:val="24"/>
          <w:lang w:eastAsia="en-GB"/>
        </w:rPr>
        <w:t>longer follow-up periods</w:t>
      </w:r>
      <w:r w:rsidRPr="00DC3582">
        <w:rPr>
          <w:rFonts w:ascii="Times New Roman" w:eastAsia="Times New Roman" w:hAnsi="Times New Roman" w:cs="Times New Roman"/>
          <w:sz w:val="24"/>
          <w:szCs w:val="24"/>
          <w:lang w:eastAsia="en-GB"/>
        </w:rPr>
        <w:t xml:space="preserve">, </w:t>
      </w:r>
      <w:r w:rsidRPr="00DC3582">
        <w:rPr>
          <w:rFonts w:ascii="Times New Roman" w:eastAsia="Times New Roman" w:hAnsi="Times New Roman" w:cs="Times New Roman"/>
          <w:bCs/>
          <w:sz w:val="24"/>
          <w:szCs w:val="24"/>
          <w:lang w:eastAsia="en-GB"/>
        </w:rPr>
        <w:t>better adherence measurement</w:t>
      </w:r>
      <w:r w:rsidRPr="00DC3582">
        <w:rPr>
          <w:rFonts w:ascii="Times New Roman" w:eastAsia="Times New Roman" w:hAnsi="Times New Roman" w:cs="Times New Roman"/>
          <w:sz w:val="24"/>
          <w:szCs w:val="24"/>
          <w:lang w:eastAsia="en-GB"/>
        </w:rPr>
        <w:t xml:space="preserve">, and </w:t>
      </w:r>
      <w:r w:rsidRPr="00DC3582">
        <w:rPr>
          <w:rFonts w:ascii="Times New Roman" w:eastAsia="Times New Roman" w:hAnsi="Times New Roman" w:cs="Times New Roman"/>
          <w:bCs/>
          <w:sz w:val="24"/>
          <w:szCs w:val="24"/>
          <w:lang w:eastAsia="en-GB"/>
        </w:rPr>
        <w:t>real-world settings</w:t>
      </w:r>
      <w:r w:rsidRPr="00DC3582">
        <w:rPr>
          <w:rFonts w:ascii="Times New Roman" w:eastAsia="Times New Roman" w:hAnsi="Times New Roman" w:cs="Times New Roman"/>
          <w:sz w:val="24"/>
          <w:szCs w:val="24"/>
          <w:lang w:eastAsia="en-GB"/>
        </w:rPr>
        <w:t xml:space="preserve"> to enhance the external validity of findings.</w:t>
      </w:r>
    </w:p>
    <w:p w14:paraId="4B106F0A" w14:textId="77777777" w:rsidR="00DC3582" w:rsidRPr="00DC3582" w:rsidRDefault="009507A4" w:rsidP="00DC3582">
      <w:p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sidRPr="009507A4">
        <w:rPr>
          <w:rFonts w:ascii="Times New Roman" w:eastAsia="Times New Roman" w:hAnsi="Times New Roman" w:cs="Times New Roman"/>
          <w:b/>
          <w:bCs/>
          <w:sz w:val="24"/>
          <w:szCs w:val="24"/>
          <w:lang w:eastAsia="en-GB"/>
        </w:rPr>
        <w:t xml:space="preserve">6. </w:t>
      </w:r>
      <w:r w:rsidR="00DC3582" w:rsidRPr="00DC3582">
        <w:rPr>
          <w:rFonts w:ascii="Times New Roman" w:eastAsia="Times New Roman" w:hAnsi="Times New Roman" w:cs="Times New Roman"/>
          <w:b/>
          <w:bCs/>
          <w:sz w:val="24"/>
          <w:szCs w:val="24"/>
          <w:lang w:eastAsia="en-GB"/>
        </w:rPr>
        <w:t>Conclusion</w:t>
      </w:r>
    </w:p>
    <w:p w14:paraId="5080B3AA" w14:textId="77777777" w:rsidR="00DC3582" w:rsidRDefault="002D6608" w:rsidP="002D6608">
      <w:pPr>
        <w:spacing w:before="100" w:beforeAutospacing="1" w:after="100" w:afterAutospacing="1" w:line="360" w:lineRule="auto"/>
        <w:jc w:val="both"/>
        <w:rPr>
          <w:rFonts w:ascii="Times New Roman" w:eastAsia="Times New Roman" w:hAnsi="Times New Roman" w:cs="Times New Roman"/>
          <w:sz w:val="24"/>
          <w:szCs w:val="24"/>
          <w:lang w:eastAsia="en-GB"/>
        </w:rPr>
      </w:pPr>
      <w:r w:rsidRPr="003277B8">
        <w:rPr>
          <w:rFonts w:ascii="Times New Roman" w:eastAsia="Times New Roman" w:hAnsi="Times New Roman" w:cs="Times New Roman"/>
          <w:sz w:val="24"/>
          <w:szCs w:val="24"/>
          <w:lang w:eastAsia="en-GB"/>
        </w:rPr>
        <w:t>This review presents compelling evidence that plant-based diets confer significant metabolic advantages over omnivorous diets in the management of Type 2 diabetes</w:t>
      </w:r>
      <w:r>
        <w:rPr>
          <w:rFonts w:ascii="Times New Roman" w:eastAsia="Times New Roman" w:hAnsi="Times New Roman" w:cs="Times New Roman"/>
          <w:sz w:val="24"/>
          <w:szCs w:val="24"/>
          <w:lang w:eastAsia="en-GB"/>
        </w:rPr>
        <w:t xml:space="preserve">. </w:t>
      </w:r>
      <w:r w:rsidR="00DC3582" w:rsidRPr="00DC3582">
        <w:rPr>
          <w:rFonts w:ascii="Times New Roman" w:eastAsia="Times New Roman" w:hAnsi="Times New Roman" w:cs="Times New Roman"/>
          <w:sz w:val="24"/>
          <w:szCs w:val="24"/>
          <w:lang w:eastAsia="en-GB"/>
        </w:rPr>
        <w:t xml:space="preserve">This critical discussion reinforces the potential of plant-based diets in managing type 2 diabetes but highlights the complexities of implementing such diets across different regions and populations. While the positive effects are consistent in high-income settings, challenges related to </w:t>
      </w:r>
      <w:r w:rsidR="00DC3582" w:rsidRPr="00DC3582">
        <w:rPr>
          <w:rFonts w:ascii="Times New Roman" w:eastAsia="Times New Roman" w:hAnsi="Times New Roman" w:cs="Times New Roman"/>
          <w:bCs/>
          <w:sz w:val="24"/>
          <w:szCs w:val="24"/>
          <w:lang w:eastAsia="en-GB"/>
        </w:rPr>
        <w:t>adherence</w:t>
      </w:r>
      <w:r w:rsidR="00DC3582" w:rsidRPr="00DC3582">
        <w:rPr>
          <w:rFonts w:ascii="Times New Roman" w:eastAsia="Times New Roman" w:hAnsi="Times New Roman" w:cs="Times New Roman"/>
          <w:sz w:val="24"/>
          <w:szCs w:val="24"/>
          <w:lang w:eastAsia="en-GB"/>
        </w:rPr>
        <w:t xml:space="preserve">, </w:t>
      </w:r>
      <w:r w:rsidR="00DC3582" w:rsidRPr="00DC3582">
        <w:rPr>
          <w:rFonts w:ascii="Times New Roman" w:eastAsia="Times New Roman" w:hAnsi="Times New Roman" w:cs="Times New Roman"/>
          <w:bCs/>
          <w:sz w:val="24"/>
          <w:szCs w:val="24"/>
          <w:lang w:eastAsia="en-GB"/>
        </w:rPr>
        <w:t>sustainability</w:t>
      </w:r>
      <w:r w:rsidR="00DC3582" w:rsidRPr="00DC3582">
        <w:rPr>
          <w:rFonts w:ascii="Times New Roman" w:eastAsia="Times New Roman" w:hAnsi="Times New Roman" w:cs="Times New Roman"/>
          <w:sz w:val="24"/>
          <w:szCs w:val="24"/>
          <w:lang w:eastAsia="en-GB"/>
        </w:rPr>
        <w:t xml:space="preserve">, and </w:t>
      </w:r>
      <w:r w:rsidR="00DC3582" w:rsidRPr="00DC3582">
        <w:rPr>
          <w:rFonts w:ascii="Times New Roman" w:eastAsia="Times New Roman" w:hAnsi="Times New Roman" w:cs="Times New Roman"/>
          <w:bCs/>
          <w:sz w:val="24"/>
          <w:szCs w:val="24"/>
          <w:lang w:eastAsia="en-GB"/>
        </w:rPr>
        <w:t>long-term outcomes</w:t>
      </w:r>
      <w:r w:rsidR="00DC3582" w:rsidRPr="00DC3582">
        <w:rPr>
          <w:rFonts w:ascii="Times New Roman" w:eastAsia="Times New Roman" w:hAnsi="Times New Roman" w:cs="Times New Roman"/>
          <w:sz w:val="24"/>
          <w:szCs w:val="24"/>
          <w:lang w:eastAsia="en-GB"/>
        </w:rPr>
        <w:t xml:space="preserve"> must be addressed, particularly in </w:t>
      </w:r>
      <w:r w:rsidR="00DC3582" w:rsidRPr="00DC3582">
        <w:rPr>
          <w:rFonts w:ascii="Times New Roman" w:eastAsia="Times New Roman" w:hAnsi="Times New Roman" w:cs="Times New Roman"/>
          <w:bCs/>
          <w:sz w:val="24"/>
          <w:szCs w:val="24"/>
          <w:lang w:eastAsia="en-GB"/>
        </w:rPr>
        <w:t>low-resource settings</w:t>
      </w:r>
      <w:r w:rsidR="00DC3582" w:rsidRPr="00DC3582">
        <w:rPr>
          <w:rFonts w:ascii="Times New Roman" w:eastAsia="Times New Roman" w:hAnsi="Times New Roman" w:cs="Times New Roman"/>
          <w:sz w:val="24"/>
          <w:szCs w:val="24"/>
          <w:lang w:eastAsia="en-GB"/>
        </w:rPr>
        <w:t xml:space="preserve">. Future research should focus on </w:t>
      </w:r>
      <w:r w:rsidR="00DC3582" w:rsidRPr="00DC3582">
        <w:rPr>
          <w:rFonts w:ascii="Times New Roman" w:eastAsia="Times New Roman" w:hAnsi="Times New Roman" w:cs="Times New Roman"/>
          <w:bCs/>
          <w:sz w:val="24"/>
          <w:szCs w:val="24"/>
          <w:lang w:eastAsia="en-GB"/>
        </w:rPr>
        <w:t>long-term trials</w:t>
      </w:r>
      <w:r w:rsidR="00DC3582" w:rsidRPr="00DC3582">
        <w:rPr>
          <w:rFonts w:ascii="Times New Roman" w:eastAsia="Times New Roman" w:hAnsi="Times New Roman" w:cs="Times New Roman"/>
          <w:sz w:val="24"/>
          <w:szCs w:val="24"/>
          <w:lang w:eastAsia="en-GB"/>
        </w:rPr>
        <w:t xml:space="preserve">, </w:t>
      </w:r>
      <w:r w:rsidR="00DC3582" w:rsidRPr="00DC3582">
        <w:rPr>
          <w:rFonts w:ascii="Times New Roman" w:eastAsia="Times New Roman" w:hAnsi="Times New Roman" w:cs="Times New Roman"/>
          <w:bCs/>
          <w:sz w:val="24"/>
          <w:szCs w:val="24"/>
          <w:lang w:eastAsia="en-GB"/>
        </w:rPr>
        <w:t>adherence monitoring</w:t>
      </w:r>
      <w:r w:rsidR="00DC3582" w:rsidRPr="00DC3582">
        <w:rPr>
          <w:rFonts w:ascii="Times New Roman" w:eastAsia="Times New Roman" w:hAnsi="Times New Roman" w:cs="Times New Roman"/>
          <w:sz w:val="24"/>
          <w:szCs w:val="24"/>
          <w:lang w:eastAsia="en-GB"/>
        </w:rPr>
        <w:t xml:space="preserve">, and </w:t>
      </w:r>
      <w:r w:rsidR="00DC3582" w:rsidRPr="00DC3582">
        <w:rPr>
          <w:rFonts w:ascii="Times New Roman" w:eastAsia="Times New Roman" w:hAnsi="Times New Roman" w:cs="Times New Roman"/>
          <w:bCs/>
          <w:sz w:val="24"/>
          <w:szCs w:val="24"/>
          <w:lang w:eastAsia="en-GB"/>
        </w:rPr>
        <w:t>contextualizing dietary recommendations</w:t>
      </w:r>
      <w:r w:rsidR="00DC3582" w:rsidRPr="00DC3582">
        <w:rPr>
          <w:rFonts w:ascii="Times New Roman" w:eastAsia="Times New Roman" w:hAnsi="Times New Roman" w:cs="Times New Roman"/>
          <w:sz w:val="24"/>
          <w:szCs w:val="24"/>
          <w:lang w:eastAsia="en-GB"/>
        </w:rPr>
        <w:t xml:space="preserve"> within specific cultural and economic frameworks to maximize the benefits of plant-based diets in diabetes management globally.</w:t>
      </w:r>
    </w:p>
    <w:p w14:paraId="44164857" w14:textId="77777777" w:rsidR="00847697" w:rsidRPr="00740879" w:rsidRDefault="00847697" w:rsidP="00847697">
      <w:pPr>
        <w:rPr>
          <w:highlight w:val="yellow"/>
        </w:rPr>
      </w:pPr>
      <w:r w:rsidRPr="00740879">
        <w:rPr>
          <w:highlight w:val="yellow"/>
        </w:rPr>
        <w:t>Disclaimer (Artificial intelligence)</w:t>
      </w:r>
    </w:p>
    <w:p w14:paraId="25E200BB" w14:textId="77777777" w:rsidR="00847697" w:rsidRPr="00740879" w:rsidRDefault="00847697" w:rsidP="00847697">
      <w:pPr>
        <w:rPr>
          <w:highlight w:val="yellow"/>
        </w:rPr>
      </w:pPr>
      <w:r w:rsidRPr="00740879">
        <w:rPr>
          <w:highlight w:val="yellow"/>
        </w:rPr>
        <w:t xml:space="preserve">Option 1: </w:t>
      </w:r>
    </w:p>
    <w:p w14:paraId="6A42D894" w14:textId="77777777" w:rsidR="00847697" w:rsidRPr="00740879" w:rsidRDefault="00847697" w:rsidP="00847697">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217B8D05" w14:textId="77777777" w:rsidR="00847697" w:rsidRPr="00740879" w:rsidRDefault="00847697" w:rsidP="00847697">
      <w:pPr>
        <w:rPr>
          <w:highlight w:val="yellow"/>
        </w:rPr>
      </w:pPr>
      <w:r w:rsidRPr="00740879">
        <w:rPr>
          <w:highlight w:val="yellow"/>
        </w:rPr>
        <w:t xml:space="preserve">Option 2: </w:t>
      </w:r>
    </w:p>
    <w:p w14:paraId="1BDDB7D5" w14:textId="77777777" w:rsidR="00847697" w:rsidRPr="00740879" w:rsidRDefault="00847697" w:rsidP="00847697">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3E23701" w14:textId="77777777" w:rsidR="00847697" w:rsidRPr="00740879" w:rsidRDefault="00847697" w:rsidP="00847697">
      <w:pPr>
        <w:rPr>
          <w:highlight w:val="yellow"/>
        </w:rPr>
      </w:pPr>
      <w:r w:rsidRPr="00740879">
        <w:rPr>
          <w:highlight w:val="yellow"/>
        </w:rPr>
        <w:t>Details of the AI usage are given below:</w:t>
      </w:r>
    </w:p>
    <w:p w14:paraId="3864E5EC" w14:textId="77777777" w:rsidR="00847697" w:rsidRPr="00740879" w:rsidRDefault="00847697" w:rsidP="00847697">
      <w:pPr>
        <w:rPr>
          <w:highlight w:val="yellow"/>
        </w:rPr>
      </w:pPr>
      <w:r w:rsidRPr="00740879">
        <w:rPr>
          <w:highlight w:val="yellow"/>
        </w:rPr>
        <w:t>1.</w:t>
      </w:r>
    </w:p>
    <w:p w14:paraId="11D5704B" w14:textId="77777777" w:rsidR="00847697" w:rsidRPr="00740879" w:rsidRDefault="00847697" w:rsidP="00847697">
      <w:pPr>
        <w:rPr>
          <w:highlight w:val="yellow"/>
        </w:rPr>
      </w:pPr>
      <w:r w:rsidRPr="00740879">
        <w:rPr>
          <w:highlight w:val="yellow"/>
        </w:rPr>
        <w:t>2.</w:t>
      </w:r>
    </w:p>
    <w:p w14:paraId="4441B3C1" w14:textId="77777777" w:rsidR="00847697" w:rsidRPr="00D047BB" w:rsidRDefault="00847697" w:rsidP="00847697">
      <w:r w:rsidRPr="00740879">
        <w:rPr>
          <w:highlight w:val="yellow"/>
        </w:rPr>
        <w:t>3.</w:t>
      </w:r>
    </w:p>
    <w:p w14:paraId="07C0BDA9" w14:textId="77777777" w:rsidR="00663C87" w:rsidRDefault="00663C87" w:rsidP="002D6608">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6FE00261" w14:textId="77777777" w:rsidR="00D27F9E" w:rsidRPr="00D27F9E" w:rsidRDefault="002D6608" w:rsidP="002D6608">
      <w:pPr>
        <w:pStyle w:val="Heading3"/>
        <w:spacing w:before="0"/>
        <w:rPr>
          <w:rFonts w:ascii="Times New Roman" w:eastAsia="Times New Roman" w:hAnsi="Times New Roman" w:cs="Times New Roman"/>
          <w:b/>
          <w:bCs/>
          <w:color w:val="auto"/>
          <w:sz w:val="27"/>
          <w:szCs w:val="27"/>
          <w:lang w:eastAsia="en-GB"/>
        </w:rPr>
      </w:pPr>
      <w:r w:rsidRPr="002D6608">
        <w:rPr>
          <w:rFonts w:ascii="Times New Roman" w:eastAsia="Times New Roman" w:hAnsi="Times New Roman" w:cs="Times New Roman"/>
          <w:b/>
          <w:bCs/>
          <w:color w:val="auto"/>
          <w:lang w:eastAsia="en-GB"/>
        </w:rPr>
        <w:lastRenderedPageBreak/>
        <w:t>7</w:t>
      </w:r>
      <w:r w:rsidR="003277B8" w:rsidRPr="002D6608">
        <w:rPr>
          <w:rFonts w:ascii="Times New Roman" w:eastAsia="Times New Roman" w:hAnsi="Times New Roman" w:cs="Times New Roman"/>
          <w:b/>
          <w:bCs/>
          <w:color w:val="auto"/>
          <w:lang w:eastAsia="en-GB"/>
        </w:rPr>
        <w:t>. References</w:t>
      </w:r>
      <w:r w:rsidR="003277B8" w:rsidRPr="003277B8">
        <w:rPr>
          <w:rFonts w:ascii="Times New Roman" w:eastAsia="Times New Roman" w:hAnsi="Times New Roman" w:cs="Times New Roman"/>
          <w:lang w:eastAsia="en-GB"/>
        </w:rPr>
        <w:br/>
      </w:r>
    </w:p>
    <w:p w14:paraId="74493445" w14:textId="77777777" w:rsidR="003271C5" w:rsidRPr="003271C5" w:rsidRDefault="003271C5" w:rsidP="00897630">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highlight w:val="yellow"/>
          <w:lang w:eastAsia="en-GB"/>
        </w:rPr>
      </w:pPr>
      <w:r w:rsidRPr="003271C5">
        <w:rPr>
          <w:rFonts w:ascii="Arial" w:hAnsi="Arial" w:cs="Arial"/>
          <w:color w:val="222222"/>
          <w:sz w:val="20"/>
          <w:szCs w:val="20"/>
          <w:highlight w:val="yellow"/>
          <w:shd w:val="clear" w:color="auto" w:fill="FFFFFF"/>
        </w:rPr>
        <w:t xml:space="preserve">Rahman, V., Becker, R., Gray, S., </w:t>
      </w:r>
      <w:proofErr w:type="spellStart"/>
      <w:r w:rsidRPr="003271C5">
        <w:rPr>
          <w:rFonts w:ascii="Arial" w:hAnsi="Arial" w:cs="Arial"/>
          <w:color w:val="222222"/>
          <w:sz w:val="20"/>
          <w:szCs w:val="20"/>
          <w:highlight w:val="yellow"/>
          <w:shd w:val="clear" w:color="auto" w:fill="FFFFFF"/>
        </w:rPr>
        <w:t>Holubkov</w:t>
      </w:r>
      <w:proofErr w:type="spellEnd"/>
      <w:r w:rsidRPr="003271C5">
        <w:rPr>
          <w:rFonts w:ascii="Arial" w:hAnsi="Arial" w:cs="Arial"/>
          <w:color w:val="222222"/>
          <w:sz w:val="20"/>
          <w:szCs w:val="20"/>
          <w:highlight w:val="yellow"/>
          <w:shd w:val="clear" w:color="auto" w:fill="FFFFFF"/>
        </w:rPr>
        <w:t>, R., Loomis, J., &amp; Barnard, N. (2025). Feasibility and Efficacy of a Plant-Based Nutrition Intervention for Type 2 Diabetes in a Primary Care Setting. </w:t>
      </w:r>
      <w:r w:rsidRPr="003271C5">
        <w:rPr>
          <w:rFonts w:ascii="Arial" w:hAnsi="Arial" w:cs="Arial"/>
          <w:i/>
          <w:iCs/>
          <w:color w:val="222222"/>
          <w:sz w:val="20"/>
          <w:szCs w:val="20"/>
          <w:highlight w:val="yellow"/>
          <w:shd w:val="clear" w:color="auto" w:fill="FFFFFF"/>
        </w:rPr>
        <w:t>American Journal of Lifestyle Medicine</w:t>
      </w:r>
      <w:r w:rsidRPr="003271C5">
        <w:rPr>
          <w:rFonts w:ascii="Arial" w:hAnsi="Arial" w:cs="Arial"/>
          <w:color w:val="222222"/>
          <w:sz w:val="20"/>
          <w:szCs w:val="20"/>
          <w:highlight w:val="yellow"/>
          <w:shd w:val="clear" w:color="auto" w:fill="FFFFFF"/>
        </w:rPr>
        <w:t>, 15598276251339396.</w:t>
      </w:r>
    </w:p>
    <w:p w14:paraId="7063CF22" w14:textId="57C32402" w:rsidR="00AD2A02" w:rsidRPr="003271C5" w:rsidRDefault="00AD2A02" w:rsidP="00897630">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highlight w:val="yellow"/>
          <w:lang w:eastAsia="en-GB"/>
        </w:rPr>
      </w:pPr>
      <w:r w:rsidRPr="003271C5">
        <w:rPr>
          <w:rFonts w:ascii="Arial" w:hAnsi="Arial" w:cs="Arial"/>
          <w:color w:val="222222"/>
          <w:sz w:val="20"/>
          <w:szCs w:val="20"/>
          <w:highlight w:val="yellow"/>
          <w:shd w:val="clear" w:color="auto" w:fill="FFFFFF"/>
        </w:rPr>
        <w:t>Satija, A., Malik, V., Rimm, E. B., Sacks, F., Willett, W., &amp; Hu, F. B. (2019). Changes in intake of plant-based diets and weight change: results from 3 prospective cohort studies. </w:t>
      </w:r>
      <w:r w:rsidRPr="003271C5">
        <w:rPr>
          <w:rFonts w:ascii="Arial" w:hAnsi="Arial" w:cs="Arial"/>
          <w:i/>
          <w:iCs/>
          <w:color w:val="222222"/>
          <w:sz w:val="20"/>
          <w:szCs w:val="20"/>
          <w:highlight w:val="yellow"/>
          <w:shd w:val="clear" w:color="auto" w:fill="FFFFFF"/>
        </w:rPr>
        <w:t>The American journal of clinical nutrition</w:t>
      </w:r>
      <w:r w:rsidRPr="003271C5">
        <w:rPr>
          <w:rFonts w:ascii="Arial" w:hAnsi="Arial" w:cs="Arial"/>
          <w:color w:val="222222"/>
          <w:sz w:val="20"/>
          <w:szCs w:val="20"/>
          <w:highlight w:val="yellow"/>
          <w:shd w:val="clear" w:color="auto" w:fill="FFFFFF"/>
        </w:rPr>
        <w:t>, </w:t>
      </w:r>
      <w:r w:rsidRPr="003271C5">
        <w:rPr>
          <w:rFonts w:ascii="Arial" w:hAnsi="Arial" w:cs="Arial"/>
          <w:i/>
          <w:iCs/>
          <w:color w:val="222222"/>
          <w:sz w:val="20"/>
          <w:szCs w:val="20"/>
          <w:highlight w:val="yellow"/>
          <w:shd w:val="clear" w:color="auto" w:fill="FFFFFF"/>
        </w:rPr>
        <w:t>110</w:t>
      </w:r>
      <w:r w:rsidRPr="003271C5">
        <w:rPr>
          <w:rFonts w:ascii="Arial" w:hAnsi="Arial" w:cs="Arial"/>
          <w:color w:val="222222"/>
          <w:sz w:val="20"/>
          <w:szCs w:val="20"/>
          <w:highlight w:val="yellow"/>
          <w:shd w:val="clear" w:color="auto" w:fill="FFFFFF"/>
        </w:rPr>
        <w:t>(3), 574-582.</w:t>
      </w:r>
    </w:p>
    <w:p w14:paraId="695D1EEE" w14:textId="77777777" w:rsidR="00AD2A02" w:rsidRDefault="00AD2A02" w:rsidP="00897630">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lang w:eastAsia="en-GB"/>
        </w:rPr>
      </w:pPr>
    </w:p>
    <w:p w14:paraId="34C0D8DB" w14:textId="43217A9A" w:rsidR="00D27F9E" w:rsidRDefault="00AF6FD7" w:rsidP="00EB4A20">
      <w:pPr>
        <w:pStyle w:val="ListParagraph"/>
        <w:spacing w:before="100" w:beforeAutospacing="1" w:after="100" w:afterAutospacing="1" w:line="240" w:lineRule="auto"/>
        <w:rPr>
          <w:rFonts w:ascii="Times New Roman" w:eastAsia="Times New Roman" w:hAnsi="Times New Roman" w:cs="Times New Roman"/>
          <w:sz w:val="24"/>
          <w:szCs w:val="24"/>
          <w:lang w:eastAsia="en-GB"/>
        </w:rPr>
      </w:pPr>
      <w:r w:rsidRPr="00AF6FD7">
        <w:rPr>
          <w:rFonts w:ascii="Times New Roman" w:eastAsia="Times New Roman" w:hAnsi="Times New Roman" w:cs="Times New Roman"/>
          <w:sz w:val="24"/>
          <w:szCs w:val="24"/>
          <w:highlight w:val="yellow"/>
          <w:lang w:eastAsia="en-GB"/>
        </w:rPr>
        <w:t xml:space="preserve">Aziz, T., Khan, A. A., </w:t>
      </w:r>
      <w:proofErr w:type="spellStart"/>
      <w:r w:rsidRPr="00AF6FD7">
        <w:rPr>
          <w:rFonts w:ascii="Times New Roman" w:eastAsia="Times New Roman" w:hAnsi="Times New Roman" w:cs="Times New Roman"/>
          <w:sz w:val="24"/>
          <w:szCs w:val="24"/>
          <w:highlight w:val="yellow"/>
          <w:lang w:eastAsia="en-GB"/>
        </w:rPr>
        <w:t>Tzora</w:t>
      </w:r>
      <w:proofErr w:type="spellEnd"/>
      <w:r w:rsidRPr="00AF6FD7">
        <w:rPr>
          <w:rFonts w:ascii="Times New Roman" w:eastAsia="Times New Roman" w:hAnsi="Times New Roman" w:cs="Times New Roman"/>
          <w:sz w:val="24"/>
          <w:szCs w:val="24"/>
          <w:highlight w:val="yellow"/>
          <w:lang w:eastAsia="en-GB"/>
        </w:rPr>
        <w:t xml:space="preserve">, A., </w:t>
      </w:r>
      <w:proofErr w:type="spellStart"/>
      <w:r w:rsidRPr="00AF6FD7">
        <w:rPr>
          <w:rFonts w:ascii="Times New Roman" w:eastAsia="Times New Roman" w:hAnsi="Times New Roman" w:cs="Times New Roman"/>
          <w:sz w:val="24"/>
          <w:szCs w:val="24"/>
          <w:highlight w:val="yellow"/>
          <w:lang w:eastAsia="en-GB"/>
        </w:rPr>
        <w:t>Voidarou</w:t>
      </w:r>
      <w:proofErr w:type="spellEnd"/>
      <w:r w:rsidRPr="00AF6FD7">
        <w:rPr>
          <w:rFonts w:ascii="Times New Roman" w:eastAsia="Times New Roman" w:hAnsi="Times New Roman" w:cs="Times New Roman"/>
          <w:sz w:val="24"/>
          <w:szCs w:val="24"/>
          <w:highlight w:val="yellow"/>
          <w:lang w:eastAsia="en-GB"/>
        </w:rPr>
        <w:t xml:space="preserve">, C., &amp; </w:t>
      </w:r>
      <w:proofErr w:type="spellStart"/>
      <w:r w:rsidRPr="00AF6FD7">
        <w:rPr>
          <w:rFonts w:ascii="Times New Roman" w:eastAsia="Times New Roman" w:hAnsi="Times New Roman" w:cs="Times New Roman"/>
          <w:sz w:val="24"/>
          <w:szCs w:val="24"/>
          <w:highlight w:val="yellow"/>
          <w:lang w:eastAsia="en-GB"/>
        </w:rPr>
        <w:t>Skoufos</w:t>
      </w:r>
      <w:proofErr w:type="spellEnd"/>
      <w:r w:rsidRPr="00AF6FD7">
        <w:rPr>
          <w:rFonts w:ascii="Times New Roman" w:eastAsia="Times New Roman" w:hAnsi="Times New Roman" w:cs="Times New Roman"/>
          <w:sz w:val="24"/>
          <w:szCs w:val="24"/>
          <w:highlight w:val="yellow"/>
          <w:lang w:eastAsia="en-GB"/>
        </w:rPr>
        <w:t>, I. (2023). Dietary implications of the bidirectional relationship between the gut microflora and inflammatory diseases with special emphasis on irritable bowel disease: Current and future perspective. Nutrients, 15(13), 2956.</w:t>
      </w:r>
    </w:p>
    <w:p w14:paraId="766950DD" w14:textId="77777777" w:rsidR="00AF6FD7" w:rsidRDefault="00AF6FD7" w:rsidP="00EB4A20">
      <w:pPr>
        <w:pStyle w:val="ListParagraph"/>
        <w:spacing w:before="100" w:beforeAutospacing="1" w:after="100" w:afterAutospacing="1" w:line="240" w:lineRule="auto"/>
        <w:rPr>
          <w:rFonts w:ascii="Times New Roman" w:eastAsia="Times New Roman" w:hAnsi="Times New Roman" w:cs="Times New Roman"/>
          <w:sz w:val="24"/>
          <w:szCs w:val="24"/>
          <w:lang w:eastAsia="en-GB"/>
        </w:rPr>
      </w:pPr>
    </w:p>
    <w:p w14:paraId="420E953B" w14:textId="14600B46" w:rsidR="005D1BD7" w:rsidRPr="005D1BD7" w:rsidRDefault="005D1BD7" w:rsidP="00897630">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highlight w:val="yellow"/>
          <w:lang w:eastAsia="en-GB"/>
        </w:rPr>
      </w:pPr>
      <w:r w:rsidRPr="005D1BD7">
        <w:rPr>
          <w:rFonts w:ascii="Arial" w:hAnsi="Arial" w:cs="Arial"/>
          <w:color w:val="222222"/>
          <w:sz w:val="20"/>
          <w:szCs w:val="20"/>
          <w:highlight w:val="yellow"/>
          <w:shd w:val="clear" w:color="auto" w:fill="FFFFFF"/>
        </w:rPr>
        <w:t>Brown, A., McArdle, P., Taplin, J., Unwin, D., Unwin, J., Deakin, T., ... &amp; Mellor, D. (2022). Dietary strategies for remission of type 2 diabetes: a narrative review. </w:t>
      </w:r>
      <w:r w:rsidRPr="005D1BD7">
        <w:rPr>
          <w:rFonts w:ascii="Arial" w:hAnsi="Arial" w:cs="Arial"/>
          <w:i/>
          <w:iCs/>
          <w:color w:val="222222"/>
          <w:sz w:val="20"/>
          <w:szCs w:val="20"/>
          <w:highlight w:val="yellow"/>
          <w:shd w:val="clear" w:color="auto" w:fill="FFFFFF"/>
        </w:rPr>
        <w:t>Journal of Human Nutrition and Dietetics</w:t>
      </w:r>
      <w:r w:rsidRPr="005D1BD7">
        <w:rPr>
          <w:rFonts w:ascii="Arial" w:hAnsi="Arial" w:cs="Arial"/>
          <w:color w:val="222222"/>
          <w:sz w:val="20"/>
          <w:szCs w:val="20"/>
          <w:highlight w:val="yellow"/>
          <w:shd w:val="clear" w:color="auto" w:fill="FFFFFF"/>
        </w:rPr>
        <w:t>, </w:t>
      </w:r>
      <w:r w:rsidRPr="005D1BD7">
        <w:rPr>
          <w:rFonts w:ascii="Arial" w:hAnsi="Arial" w:cs="Arial"/>
          <w:i/>
          <w:iCs/>
          <w:color w:val="222222"/>
          <w:sz w:val="20"/>
          <w:szCs w:val="20"/>
          <w:highlight w:val="yellow"/>
          <w:shd w:val="clear" w:color="auto" w:fill="FFFFFF"/>
        </w:rPr>
        <w:t>35</w:t>
      </w:r>
      <w:r w:rsidRPr="005D1BD7">
        <w:rPr>
          <w:rFonts w:ascii="Arial" w:hAnsi="Arial" w:cs="Arial"/>
          <w:color w:val="222222"/>
          <w:sz w:val="20"/>
          <w:szCs w:val="20"/>
          <w:highlight w:val="yellow"/>
          <w:shd w:val="clear" w:color="auto" w:fill="FFFFFF"/>
        </w:rPr>
        <w:t>(1), 165-178.</w:t>
      </w:r>
    </w:p>
    <w:p w14:paraId="3C9B9542" w14:textId="2C67B533" w:rsidR="007D3ECC" w:rsidRPr="007D3ECC" w:rsidRDefault="007D3ECC" w:rsidP="00897630">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highlight w:val="yellow"/>
          <w:lang w:eastAsia="en-GB"/>
        </w:rPr>
      </w:pPr>
      <w:proofErr w:type="spellStart"/>
      <w:r w:rsidRPr="007D3ECC">
        <w:rPr>
          <w:rFonts w:ascii="Arial" w:hAnsi="Arial" w:cs="Arial"/>
          <w:color w:val="222222"/>
          <w:sz w:val="20"/>
          <w:szCs w:val="20"/>
          <w:highlight w:val="yellow"/>
          <w:shd w:val="clear" w:color="auto" w:fill="FFFFFF"/>
        </w:rPr>
        <w:t>Toumpanakis</w:t>
      </w:r>
      <w:proofErr w:type="spellEnd"/>
      <w:r w:rsidRPr="007D3ECC">
        <w:rPr>
          <w:rFonts w:ascii="Arial" w:hAnsi="Arial" w:cs="Arial"/>
          <w:color w:val="222222"/>
          <w:sz w:val="20"/>
          <w:szCs w:val="20"/>
          <w:highlight w:val="yellow"/>
          <w:shd w:val="clear" w:color="auto" w:fill="FFFFFF"/>
        </w:rPr>
        <w:t>, A., Turnbull, T., &amp; Alba-Barba, I. (2018). Effectiveness of plant-based diets in promoting well-being in the management of type 2 diabetes: a systematic review. </w:t>
      </w:r>
      <w:r w:rsidRPr="007D3ECC">
        <w:rPr>
          <w:rFonts w:ascii="Arial" w:hAnsi="Arial" w:cs="Arial"/>
          <w:i/>
          <w:iCs/>
          <w:color w:val="222222"/>
          <w:sz w:val="20"/>
          <w:szCs w:val="20"/>
          <w:highlight w:val="yellow"/>
          <w:shd w:val="clear" w:color="auto" w:fill="FFFFFF"/>
        </w:rPr>
        <w:t>BMJ open diabetes research &amp; care</w:t>
      </w:r>
      <w:r w:rsidRPr="007D3ECC">
        <w:rPr>
          <w:rFonts w:ascii="Arial" w:hAnsi="Arial" w:cs="Arial"/>
          <w:color w:val="222222"/>
          <w:sz w:val="20"/>
          <w:szCs w:val="20"/>
          <w:highlight w:val="yellow"/>
          <w:shd w:val="clear" w:color="auto" w:fill="FFFFFF"/>
        </w:rPr>
        <w:t>, </w:t>
      </w:r>
      <w:r w:rsidRPr="007D3ECC">
        <w:rPr>
          <w:rFonts w:ascii="Arial" w:hAnsi="Arial" w:cs="Arial"/>
          <w:i/>
          <w:iCs/>
          <w:color w:val="222222"/>
          <w:sz w:val="20"/>
          <w:szCs w:val="20"/>
          <w:highlight w:val="yellow"/>
          <w:shd w:val="clear" w:color="auto" w:fill="FFFFFF"/>
        </w:rPr>
        <w:t>6</w:t>
      </w:r>
      <w:r w:rsidRPr="007D3ECC">
        <w:rPr>
          <w:rFonts w:ascii="Arial" w:hAnsi="Arial" w:cs="Arial"/>
          <w:color w:val="222222"/>
          <w:sz w:val="20"/>
          <w:szCs w:val="20"/>
          <w:highlight w:val="yellow"/>
          <w:shd w:val="clear" w:color="auto" w:fill="FFFFFF"/>
        </w:rPr>
        <w:t>(1).</w:t>
      </w:r>
    </w:p>
    <w:p w14:paraId="29FE57B9" w14:textId="4FF3C4A4" w:rsidR="008C05BE" w:rsidRPr="006D38D7" w:rsidRDefault="008C05BE" w:rsidP="00897630">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highlight w:val="yellow"/>
          <w:lang w:eastAsia="en-GB"/>
        </w:rPr>
      </w:pPr>
      <w:r w:rsidRPr="006D38D7">
        <w:rPr>
          <w:rFonts w:ascii="Arial" w:hAnsi="Arial" w:cs="Arial"/>
          <w:color w:val="222222"/>
          <w:sz w:val="20"/>
          <w:szCs w:val="20"/>
          <w:highlight w:val="yellow"/>
          <w:shd w:val="clear" w:color="auto" w:fill="FFFFFF"/>
        </w:rPr>
        <w:t>Salas-</w:t>
      </w:r>
      <w:proofErr w:type="spellStart"/>
      <w:r w:rsidRPr="006D38D7">
        <w:rPr>
          <w:rFonts w:ascii="Arial" w:hAnsi="Arial" w:cs="Arial"/>
          <w:color w:val="222222"/>
          <w:sz w:val="20"/>
          <w:szCs w:val="20"/>
          <w:highlight w:val="yellow"/>
          <w:shd w:val="clear" w:color="auto" w:fill="FFFFFF"/>
        </w:rPr>
        <w:t>Salvadó</w:t>
      </w:r>
      <w:proofErr w:type="spellEnd"/>
      <w:r w:rsidRPr="006D38D7">
        <w:rPr>
          <w:rFonts w:ascii="Arial" w:hAnsi="Arial" w:cs="Arial"/>
          <w:color w:val="222222"/>
          <w:sz w:val="20"/>
          <w:szCs w:val="20"/>
          <w:highlight w:val="yellow"/>
          <w:shd w:val="clear" w:color="auto" w:fill="FFFFFF"/>
        </w:rPr>
        <w:t xml:space="preserve">, J., Martinez-Gonzalez, M. A., </w:t>
      </w:r>
      <w:proofErr w:type="spellStart"/>
      <w:r w:rsidRPr="006D38D7">
        <w:rPr>
          <w:rFonts w:ascii="Arial" w:hAnsi="Arial" w:cs="Arial"/>
          <w:color w:val="222222"/>
          <w:sz w:val="20"/>
          <w:szCs w:val="20"/>
          <w:highlight w:val="yellow"/>
          <w:shd w:val="clear" w:color="auto" w:fill="FFFFFF"/>
        </w:rPr>
        <w:t>Bulló</w:t>
      </w:r>
      <w:proofErr w:type="spellEnd"/>
      <w:r w:rsidRPr="006D38D7">
        <w:rPr>
          <w:rFonts w:ascii="Arial" w:hAnsi="Arial" w:cs="Arial"/>
          <w:color w:val="222222"/>
          <w:sz w:val="20"/>
          <w:szCs w:val="20"/>
          <w:highlight w:val="yellow"/>
          <w:shd w:val="clear" w:color="auto" w:fill="FFFFFF"/>
        </w:rPr>
        <w:t>, M., &amp; Ros, E. (2011). The role of diet in the prevention of type 2 diabetes. </w:t>
      </w:r>
      <w:r w:rsidRPr="006D38D7">
        <w:rPr>
          <w:rFonts w:ascii="Arial" w:hAnsi="Arial" w:cs="Arial"/>
          <w:i/>
          <w:iCs/>
          <w:color w:val="222222"/>
          <w:sz w:val="20"/>
          <w:szCs w:val="20"/>
          <w:highlight w:val="yellow"/>
          <w:shd w:val="clear" w:color="auto" w:fill="FFFFFF"/>
        </w:rPr>
        <w:t>Nutrition, Metabolism and Cardiovascular Diseases</w:t>
      </w:r>
      <w:r w:rsidRPr="006D38D7">
        <w:rPr>
          <w:rFonts w:ascii="Arial" w:hAnsi="Arial" w:cs="Arial"/>
          <w:color w:val="222222"/>
          <w:sz w:val="20"/>
          <w:szCs w:val="20"/>
          <w:highlight w:val="yellow"/>
          <w:shd w:val="clear" w:color="auto" w:fill="FFFFFF"/>
        </w:rPr>
        <w:t>, </w:t>
      </w:r>
      <w:r w:rsidRPr="006D38D7">
        <w:rPr>
          <w:rFonts w:ascii="Arial" w:hAnsi="Arial" w:cs="Arial"/>
          <w:i/>
          <w:iCs/>
          <w:color w:val="222222"/>
          <w:sz w:val="20"/>
          <w:szCs w:val="20"/>
          <w:highlight w:val="yellow"/>
          <w:shd w:val="clear" w:color="auto" w:fill="FFFFFF"/>
        </w:rPr>
        <w:t>21</w:t>
      </w:r>
      <w:r w:rsidRPr="006D38D7">
        <w:rPr>
          <w:rFonts w:ascii="Arial" w:hAnsi="Arial" w:cs="Arial"/>
          <w:color w:val="222222"/>
          <w:sz w:val="20"/>
          <w:szCs w:val="20"/>
          <w:highlight w:val="yellow"/>
          <w:shd w:val="clear" w:color="auto" w:fill="FFFFFF"/>
        </w:rPr>
        <w:t>, B32-B48.</w:t>
      </w:r>
    </w:p>
    <w:p w14:paraId="76BBD543" w14:textId="1B8A76DA" w:rsidR="009B09B9" w:rsidRPr="009B09B9" w:rsidRDefault="009B09B9" w:rsidP="00897630">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highlight w:val="yellow"/>
          <w:lang w:eastAsia="en-GB"/>
        </w:rPr>
      </w:pPr>
      <w:r w:rsidRPr="009B09B9">
        <w:rPr>
          <w:rFonts w:ascii="Arial" w:hAnsi="Arial" w:cs="Arial"/>
          <w:color w:val="222222"/>
          <w:sz w:val="20"/>
          <w:szCs w:val="20"/>
          <w:highlight w:val="yellow"/>
          <w:shd w:val="clear" w:color="auto" w:fill="FFFFFF"/>
        </w:rPr>
        <w:t>Qian, F., Liu, G., Hu, F. B., Bhupathiraju, S. N., &amp; Sun, Q. (2019). Association between plant-based dietary patterns and risk of type 2 diabetes: a systematic review and meta-analysis. </w:t>
      </w:r>
      <w:r w:rsidRPr="009B09B9">
        <w:rPr>
          <w:rFonts w:ascii="Arial" w:hAnsi="Arial" w:cs="Arial"/>
          <w:i/>
          <w:iCs/>
          <w:color w:val="222222"/>
          <w:sz w:val="20"/>
          <w:szCs w:val="20"/>
          <w:highlight w:val="yellow"/>
          <w:shd w:val="clear" w:color="auto" w:fill="FFFFFF"/>
        </w:rPr>
        <w:t>JAMA internal medicine</w:t>
      </w:r>
      <w:r w:rsidRPr="009B09B9">
        <w:rPr>
          <w:rFonts w:ascii="Arial" w:hAnsi="Arial" w:cs="Arial"/>
          <w:color w:val="222222"/>
          <w:sz w:val="20"/>
          <w:szCs w:val="20"/>
          <w:highlight w:val="yellow"/>
          <w:shd w:val="clear" w:color="auto" w:fill="FFFFFF"/>
        </w:rPr>
        <w:t>, </w:t>
      </w:r>
      <w:r w:rsidRPr="009B09B9">
        <w:rPr>
          <w:rFonts w:ascii="Arial" w:hAnsi="Arial" w:cs="Arial"/>
          <w:i/>
          <w:iCs/>
          <w:color w:val="222222"/>
          <w:sz w:val="20"/>
          <w:szCs w:val="20"/>
          <w:highlight w:val="yellow"/>
          <w:shd w:val="clear" w:color="auto" w:fill="FFFFFF"/>
        </w:rPr>
        <w:t>179</w:t>
      </w:r>
      <w:r w:rsidRPr="009B09B9">
        <w:rPr>
          <w:rFonts w:ascii="Arial" w:hAnsi="Arial" w:cs="Arial"/>
          <w:color w:val="222222"/>
          <w:sz w:val="20"/>
          <w:szCs w:val="20"/>
          <w:highlight w:val="yellow"/>
          <w:shd w:val="clear" w:color="auto" w:fill="FFFFFF"/>
        </w:rPr>
        <w:t>(10), 1335-1344.</w:t>
      </w:r>
    </w:p>
    <w:p w14:paraId="7FD7B2C3" w14:textId="2A6EC658" w:rsidR="00C36302" w:rsidRPr="00C36302" w:rsidRDefault="00C36302" w:rsidP="00897630">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highlight w:val="yellow"/>
          <w:lang w:eastAsia="en-GB"/>
        </w:rPr>
      </w:pPr>
      <w:r w:rsidRPr="00C36302">
        <w:rPr>
          <w:rFonts w:ascii="Arial" w:hAnsi="Arial" w:cs="Arial"/>
          <w:color w:val="222222"/>
          <w:sz w:val="20"/>
          <w:szCs w:val="20"/>
          <w:highlight w:val="yellow"/>
          <w:shd w:val="clear" w:color="auto" w:fill="FFFFFF"/>
        </w:rPr>
        <w:t xml:space="preserve">Szabo, Z., Koczka, V., </w:t>
      </w:r>
      <w:proofErr w:type="spellStart"/>
      <w:r w:rsidRPr="00C36302">
        <w:rPr>
          <w:rFonts w:ascii="Arial" w:hAnsi="Arial" w:cs="Arial"/>
          <w:color w:val="222222"/>
          <w:sz w:val="20"/>
          <w:szCs w:val="20"/>
          <w:highlight w:val="yellow"/>
          <w:shd w:val="clear" w:color="auto" w:fill="FFFFFF"/>
        </w:rPr>
        <w:t>Marosvolgyi</w:t>
      </w:r>
      <w:proofErr w:type="spellEnd"/>
      <w:r w:rsidRPr="00C36302">
        <w:rPr>
          <w:rFonts w:ascii="Arial" w:hAnsi="Arial" w:cs="Arial"/>
          <w:color w:val="222222"/>
          <w:sz w:val="20"/>
          <w:szCs w:val="20"/>
          <w:highlight w:val="yellow"/>
          <w:shd w:val="clear" w:color="auto" w:fill="FFFFFF"/>
        </w:rPr>
        <w:t>, T., Szabo, E., Frank, E., Polyak, E., ... &amp; Figler, M. (2021). Possible biochemical processes underlying the positive health effects of plant-based diets—A narrative review. </w:t>
      </w:r>
      <w:r w:rsidRPr="00C36302">
        <w:rPr>
          <w:rFonts w:ascii="Arial" w:hAnsi="Arial" w:cs="Arial"/>
          <w:i/>
          <w:iCs/>
          <w:color w:val="222222"/>
          <w:sz w:val="20"/>
          <w:szCs w:val="20"/>
          <w:highlight w:val="yellow"/>
          <w:shd w:val="clear" w:color="auto" w:fill="FFFFFF"/>
        </w:rPr>
        <w:t>Nutrients</w:t>
      </w:r>
      <w:r w:rsidRPr="00C36302">
        <w:rPr>
          <w:rFonts w:ascii="Arial" w:hAnsi="Arial" w:cs="Arial"/>
          <w:color w:val="222222"/>
          <w:sz w:val="20"/>
          <w:szCs w:val="20"/>
          <w:highlight w:val="yellow"/>
          <w:shd w:val="clear" w:color="auto" w:fill="FFFFFF"/>
        </w:rPr>
        <w:t>, </w:t>
      </w:r>
      <w:r w:rsidRPr="00C36302">
        <w:rPr>
          <w:rFonts w:ascii="Arial" w:hAnsi="Arial" w:cs="Arial"/>
          <w:i/>
          <w:iCs/>
          <w:color w:val="222222"/>
          <w:sz w:val="20"/>
          <w:szCs w:val="20"/>
          <w:highlight w:val="yellow"/>
          <w:shd w:val="clear" w:color="auto" w:fill="FFFFFF"/>
        </w:rPr>
        <w:t>13</w:t>
      </w:r>
      <w:r w:rsidRPr="00C36302">
        <w:rPr>
          <w:rFonts w:ascii="Arial" w:hAnsi="Arial" w:cs="Arial"/>
          <w:color w:val="222222"/>
          <w:sz w:val="20"/>
          <w:szCs w:val="20"/>
          <w:highlight w:val="yellow"/>
          <w:shd w:val="clear" w:color="auto" w:fill="FFFFFF"/>
        </w:rPr>
        <w:t>(8), 2593.</w:t>
      </w:r>
    </w:p>
    <w:p w14:paraId="0CE235F9" w14:textId="767EF707" w:rsidR="00D27F9E" w:rsidRPr="006D0D65" w:rsidRDefault="00D27F9E" w:rsidP="00897630">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highlight w:val="yellow"/>
          <w:lang w:eastAsia="en-GB"/>
        </w:rPr>
      </w:pPr>
      <w:proofErr w:type="spellStart"/>
      <w:r w:rsidRPr="006D0D65">
        <w:rPr>
          <w:rFonts w:ascii="Times New Roman" w:eastAsia="Times New Roman" w:hAnsi="Times New Roman" w:cs="Times New Roman"/>
          <w:sz w:val="24"/>
          <w:szCs w:val="24"/>
          <w:highlight w:val="yellow"/>
          <w:lang w:eastAsia="en-GB"/>
        </w:rPr>
        <w:t>Toumpanakis</w:t>
      </w:r>
      <w:proofErr w:type="spellEnd"/>
      <w:r w:rsidRPr="006D0D65">
        <w:rPr>
          <w:rFonts w:ascii="Times New Roman" w:eastAsia="Times New Roman" w:hAnsi="Times New Roman" w:cs="Times New Roman"/>
          <w:sz w:val="24"/>
          <w:szCs w:val="24"/>
          <w:highlight w:val="yellow"/>
          <w:lang w:eastAsia="en-GB"/>
        </w:rPr>
        <w:t xml:space="preserve">, A., Turnbull, T., &amp; Alba-Barba, I. (2018). Effectiveness of plant-based diets in promoting well-being in the management of type 2 diabetes: A systematic review. </w:t>
      </w:r>
      <w:r w:rsidRPr="006D0D65">
        <w:rPr>
          <w:rFonts w:ascii="Times New Roman" w:eastAsia="Times New Roman" w:hAnsi="Times New Roman" w:cs="Times New Roman"/>
          <w:i/>
          <w:iCs/>
          <w:sz w:val="24"/>
          <w:szCs w:val="24"/>
          <w:highlight w:val="yellow"/>
          <w:lang w:eastAsia="en-GB"/>
        </w:rPr>
        <w:t>BMJ Open Diabetes Research and Care</w:t>
      </w:r>
      <w:r w:rsidRPr="006D0D65">
        <w:rPr>
          <w:rFonts w:ascii="Times New Roman" w:eastAsia="Times New Roman" w:hAnsi="Times New Roman" w:cs="Times New Roman"/>
          <w:sz w:val="24"/>
          <w:szCs w:val="24"/>
          <w:highlight w:val="yellow"/>
          <w:lang w:eastAsia="en-GB"/>
        </w:rPr>
        <w:t xml:space="preserve">, 6(1), e000534. </w:t>
      </w:r>
      <w:hyperlink r:id="rId8" w:tgtFrame="_new" w:history="1">
        <w:r w:rsidRPr="006D0D65">
          <w:rPr>
            <w:rFonts w:ascii="Times New Roman" w:eastAsia="Times New Roman" w:hAnsi="Times New Roman" w:cs="Times New Roman"/>
            <w:color w:val="0000FF"/>
            <w:sz w:val="24"/>
            <w:szCs w:val="24"/>
            <w:highlight w:val="yellow"/>
            <w:u w:val="single"/>
            <w:lang w:eastAsia="en-GB"/>
          </w:rPr>
          <w:t>https://doi.org/10.1136/bmjdrc-2018-000534</w:t>
        </w:r>
      </w:hyperlink>
    </w:p>
    <w:p w14:paraId="52A2139C" w14:textId="77777777" w:rsidR="00C36302" w:rsidRPr="00C36302" w:rsidRDefault="00C36302" w:rsidP="00897630">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highlight w:val="yellow"/>
          <w:lang w:eastAsia="en-GB"/>
        </w:rPr>
      </w:pPr>
      <w:proofErr w:type="spellStart"/>
      <w:r w:rsidRPr="00C36302">
        <w:rPr>
          <w:rFonts w:ascii="Arial" w:hAnsi="Arial" w:cs="Arial"/>
          <w:color w:val="222222"/>
          <w:sz w:val="20"/>
          <w:szCs w:val="20"/>
          <w:highlight w:val="yellow"/>
          <w:shd w:val="clear" w:color="auto" w:fill="FFFFFF"/>
        </w:rPr>
        <w:t>Kahleova</w:t>
      </w:r>
      <w:proofErr w:type="spellEnd"/>
      <w:r w:rsidRPr="00C36302">
        <w:rPr>
          <w:rFonts w:ascii="Arial" w:hAnsi="Arial" w:cs="Arial"/>
          <w:color w:val="222222"/>
          <w:sz w:val="20"/>
          <w:szCs w:val="20"/>
          <w:highlight w:val="yellow"/>
          <w:shd w:val="clear" w:color="auto" w:fill="FFFFFF"/>
        </w:rPr>
        <w:t xml:space="preserve">, H., Tura, A., Hill, M., </w:t>
      </w:r>
      <w:proofErr w:type="spellStart"/>
      <w:r w:rsidRPr="00C36302">
        <w:rPr>
          <w:rFonts w:ascii="Arial" w:hAnsi="Arial" w:cs="Arial"/>
          <w:color w:val="222222"/>
          <w:sz w:val="20"/>
          <w:szCs w:val="20"/>
          <w:highlight w:val="yellow"/>
          <w:shd w:val="clear" w:color="auto" w:fill="FFFFFF"/>
        </w:rPr>
        <w:t>Holubkov</w:t>
      </w:r>
      <w:proofErr w:type="spellEnd"/>
      <w:r w:rsidRPr="00C36302">
        <w:rPr>
          <w:rFonts w:ascii="Arial" w:hAnsi="Arial" w:cs="Arial"/>
          <w:color w:val="222222"/>
          <w:sz w:val="20"/>
          <w:szCs w:val="20"/>
          <w:highlight w:val="yellow"/>
          <w:shd w:val="clear" w:color="auto" w:fill="FFFFFF"/>
        </w:rPr>
        <w:t>, R., &amp; Barnard, N. D. (2018). A plant-based dietary intervention improves beta-cell function and insulin resistance in overweight adults: a 16-week randomized clinical trial. </w:t>
      </w:r>
      <w:r w:rsidRPr="00C36302">
        <w:rPr>
          <w:rFonts w:ascii="Arial" w:hAnsi="Arial" w:cs="Arial"/>
          <w:i/>
          <w:iCs/>
          <w:color w:val="222222"/>
          <w:sz w:val="20"/>
          <w:szCs w:val="20"/>
          <w:highlight w:val="yellow"/>
          <w:shd w:val="clear" w:color="auto" w:fill="FFFFFF"/>
        </w:rPr>
        <w:t>Nutrients</w:t>
      </w:r>
      <w:r w:rsidRPr="00C36302">
        <w:rPr>
          <w:rFonts w:ascii="Arial" w:hAnsi="Arial" w:cs="Arial"/>
          <w:color w:val="222222"/>
          <w:sz w:val="20"/>
          <w:szCs w:val="20"/>
          <w:highlight w:val="yellow"/>
          <w:shd w:val="clear" w:color="auto" w:fill="FFFFFF"/>
        </w:rPr>
        <w:t>, </w:t>
      </w:r>
      <w:r w:rsidRPr="00C36302">
        <w:rPr>
          <w:rFonts w:ascii="Arial" w:hAnsi="Arial" w:cs="Arial"/>
          <w:i/>
          <w:iCs/>
          <w:color w:val="222222"/>
          <w:sz w:val="20"/>
          <w:szCs w:val="20"/>
          <w:highlight w:val="yellow"/>
          <w:shd w:val="clear" w:color="auto" w:fill="FFFFFF"/>
        </w:rPr>
        <w:t>10</w:t>
      </w:r>
      <w:r w:rsidRPr="00C36302">
        <w:rPr>
          <w:rFonts w:ascii="Arial" w:hAnsi="Arial" w:cs="Arial"/>
          <w:color w:val="222222"/>
          <w:sz w:val="20"/>
          <w:szCs w:val="20"/>
          <w:highlight w:val="yellow"/>
          <w:shd w:val="clear" w:color="auto" w:fill="FFFFFF"/>
        </w:rPr>
        <w:t>(2), 189.</w:t>
      </w:r>
    </w:p>
    <w:p w14:paraId="71A69BE2" w14:textId="6A18C09C" w:rsidR="00C36302" w:rsidRPr="00C36302" w:rsidRDefault="00C36302" w:rsidP="00897630">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highlight w:val="yellow"/>
          <w:lang w:eastAsia="en-GB"/>
        </w:rPr>
      </w:pPr>
      <w:r w:rsidRPr="00C36302">
        <w:rPr>
          <w:rFonts w:ascii="Arial" w:hAnsi="Arial" w:cs="Arial"/>
          <w:color w:val="222222"/>
          <w:sz w:val="20"/>
          <w:szCs w:val="20"/>
          <w:highlight w:val="yellow"/>
          <w:shd w:val="clear" w:color="auto" w:fill="FFFFFF"/>
        </w:rPr>
        <w:t>Qian, F., Liu, G., Hu, F. B., Bhupathiraju, S. N., &amp; Sun, Q. (2019). Association between plant-based dietary patterns and risk of type 2 diabetes: a systematic review and meta-analysis. </w:t>
      </w:r>
      <w:r w:rsidRPr="00C36302">
        <w:rPr>
          <w:rFonts w:ascii="Arial" w:hAnsi="Arial" w:cs="Arial"/>
          <w:i/>
          <w:iCs/>
          <w:color w:val="222222"/>
          <w:sz w:val="20"/>
          <w:szCs w:val="20"/>
          <w:highlight w:val="yellow"/>
          <w:shd w:val="clear" w:color="auto" w:fill="FFFFFF"/>
        </w:rPr>
        <w:t>JAMA internal medicine</w:t>
      </w:r>
      <w:r w:rsidRPr="00C36302">
        <w:rPr>
          <w:rFonts w:ascii="Arial" w:hAnsi="Arial" w:cs="Arial"/>
          <w:color w:val="222222"/>
          <w:sz w:val="20"/>
          <w:szCs w:val="20"/>
          <w:highlight w:val="yellow"/>
          <w:shd w:val="clear" w:color="auto" w:fill="FFFFFF"/>
        </w:rPr>
        <w:t>, </w:t>
      </w:r>
      <w:r w:rsidRPr="00C36302">
        <w:rPr>
          <w:rFonts w:ascii="Arial" w:hAnsi="Arial" w:cs="Arial"/>
          <w:i/>
          <w:iCs/>
          <w:color w:val="222222"/>
          <w:sz w:val="20"/>
          <w:szCs w:val="20"/>
          <w:highlight w:val="yellow"/>
          <w:shd w:val="clear" w:color="auto" w:fill="FFFFFF"/>
        </w:rPr>
        <w:t>179</w:t>
      </w:r>
      <w:r w:rsidRPr="00C36302">
        <w:rPr>
          <w:rFonts w:ascii="Arial" w:hAnsi="Arial" w:cs="Arial"/>
          <w:color w:val="222222"/>
          <w:sz w:val="20"/>
          <w:szCs w:val="20"/>
          <w:highlight w:val="yellow"/>
          <w:shd w:val="clear" w:color="auto" w:fill="FFFFFF"/>
        </w:rPr>
        <w:t>(10), 1335-1344.</w:t>
      </w:r>
    </w:p>
    <w:p w14:paraId="7C9CFA79" w14:textId="5E7CB7DE" w:rsidR="006D0D65" w:rsidRPr="006D0D65" w:rsidRDefault="006D0D65" w:rsidP="00897630">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highlight w:val="yellow"/>
          <w:lang w:eastAsia="en-GB"/>
        </w:rPr>
      </w:pPr>
      <w:r w:rsidRPr="006D0D65">
        <w:rPr>
          <w:rFonts w:ascii="Arial" w:hAnsi="Arial" w:cs="Arial"/>
          <w:color w:val="222222"/>
          <w:sz w:val="20"/>
          <w:szCs w:val="20"/>
          <w:highlight w:val="yellow"/>
          <w:shd w:val="clear" w:color="auto" w:fill="FFFFFF"/>
        </w:rPr>
        <w:t>McMacken, M., &amp; Shah, S. (2017). A plant-based diet for the prevention and treatment of type 2 diabetes. </w:t>
      </w:r>
      <w:r w:rsidRPr="006D0D65">
        <w:rPr>
          <w:rFonts w:ascii="Arial" w:hAnsi="Arial" w:cs="Arial"/>
          <w:i/>
          <w:iCs/>
          <w:color w:val="222222"/>
          <w:sz w:val="20"/>
          <w:szCs w:val="20"/>
          <w:highlight w:val="yellow"/>
          <w:shd w:val="clear" w:color="auto" w:fill="FFFFFF"/>
        </w:rPr>
        <w:t>Journal of geriatric cardiology: JGC</w:t>
      </w:r>
      <w:r w:rsidRPr="006D0D65">
        <w:rPr>
          <w:rFonts w:ascii="Arial" w:hAnsi="Arial" w:cs="Arial"/>
          <w:color w:val="222222"/>
          <w:sz w:val="20"/>
          <w:szCs w:val="20"/>
          <w:highlight w:val="yellow"/>
          <w:shd w:val="clear" w:color="auto" w:fill="FFFFFF"/>
        </w:rPr>
        <w:t>, </w:t>
      </w:r>
      <w:r w:rsidRPr="006D0D65">
        <w:rPr>
          <w:rFonts w:ascii="Arial" w:hAnsi="Arial" w:cs="Arial"/>
          <w:i/>
          <w:iCs/>
          <w:color w:val="222222"/>
          <w:sz w:val="20"/>
          <w:szCs w:val="20"/>
          <w:highlight w:val="yellow"/>
          <w:shd w:val="clear" w:color="auto" w:fill="FFFFFF"/>
        </w:rPr>
        <w:t>14</w:t>
      </w:r>
      <w:r w:rsidRPr="006D0D65">
        <w:rPr>
          <w:rFonts w:ascii="Arial" w:hAnsi="Arial" w:cs="Arial"/>
          <w:color w:val="222222"/>
          <w:sz w:val="20"/>
          <w:szCs w:val="20"/>
          <w:highlight w:val="yellow"/>
          <w:shd w:val="clear" w:color="auto" w:fill="FFFFFF"/>
        </w:rPr>
        <w:t>(5), 342.</w:t>
      </w:r>
    </w:p>
    <w:p w14:paraId="310E33CD" w14:textId="49771588" w:rsidR="00C47AC5" w:rsidRPr="00726F53" w:rsidRDefault="00C47AC5" w:rsidP="00C47AC5">
      <w:pPr>
        <w:pStyle w:val="ListParagraph"/>
        <w:numPr>
          <w:ilvl w:val="0"/>
          <w:numId w:val="15"/>
        </w:numPr>
        <w:rPr>
          <w:highlight w:val="yellow"/>
        </w:rPr>
      </w:pPr>
      <w:bookmarkStart w:id="0" w:name="_GoBack"/>
      <w:bookmarkEnd w:id="0"/>
      <w:r w:rsidRPr="00726F53">
        <w:rPr>
          <w:highlight w:val="yellow"/>
        </w:rPr>
        <w:t xml:space="preserve">Reddy, T. K., Villavaso, C. D., </w:t>
      </w:r>
      <w:proofErr w:type="spellStart"/>
      <w:r w:rsidRPr="00726F53">
        <w:rPr>
          <w:highlight w:val="yellow"/>
        </w:rPr>
        <w:t>Pulapaka</w:t>
      </w:r>
      <w:proofErr w:type="spellEnd"/>
      <w:r w:rsidRPr="00726F53">
        <w:rPr>
          <w:highlight w:val="yellow"/>
        </w:rPr>
        <w:t>, A. V., &amp; Ferdinand, K. C. (2024). Achieving equitable access to incretin-based therapies in cardiovascular care. American Heart Journal Plus: Cardiology Research and Practice, 46, 100455.</w:t>
      </w:r>
    </w:p>
    <w:p w14:paraId="08E5FA5F" w14:textId="20B4F52C" w:rsidR="00C47AC5" w:rsidRPr="00726F53" w:rsidRDefault="00C47AC5" w:rsidP="00C47AC5">
      <w:pPr>
        <w:pStyle w:val="ListParagraph"/>
        <w:numPr>
          <w:ilvl w:val="0"/>
          <w:numId w:val="15"/>
        </w:numPr>
        <w:rPr>
          <w:highlight w:val="yellow"/>
        </w:rPr>
      </w:pPr>
      <w:r w:rsidRPr="00726F53">
        <w:rPr>
          <w:highlight w:val="yellow"/>
        </w:rPr>
        <w:t>Wen, D., &amp; Li, M. (2025).  Flavonoids in the Treatment of Type 2 Diabetes Mellitus: Regulating the Enteroendocrine System. Exploratory Research and Hypothesis in Medicine, 10(1), 56-68.</w:t>
      </w:r>
    </w:p>
    <w:p w14:paraId="718B781E" w14:textId="3B316211" w:rsidR="00C47AC5" w:rsidRPr="00A6522E" w:rsidRDefault="00C47AC5" w:rsidP="004C3A3B">
      <w:pPr>
        <w:spacing w:before="100" w:beforeAutospacing="1" w:after="100" w:afterAutospacing="1" w:line="240" w:lineRule="auto"/>
        <w:ind w:left="360"/>
        <w:rPr>
          <w:highlight w:val="yellow"/>
        </w:rPr>
      </w:pPr>
      <w:r w:rsidRPr="004C3A3B">
        <w:rPr>
          <w:highlight w:val="yellow"/>
        </w:rPr>
        <w:t xml:space="preserve">23. </w:t>
      </w:r>
      <w:proofErr w:type="spellStart"/>
      <w:r w:rsidRPr="004C3A3B">
        <w:rPr>
          <w:highlight w:val="yellow"/>
        </w:rPr>
        <w:t>Yedjou</w:t>
      </w:r>
      <w:proofErr w:type="spellEnd"/>
      <w:r w:rsidRPr="004C3A3B">
        <w:rPr>
          <w:highlight w:val="yellow"/>
        </w:rPr>
        <w:t xml:space="preserve">, C. G., Grigsby, J., </w:t>
      </w:r>
      <w:proofErr w:type="spellStart"/>
      <w:r w:rsidRPr="004C3A3B">
        <w:rPr>
          <w:highlight w:val="yellow"/>
        </w:rPr>
        <w:t>Mbemi</w:t>
      </w:r>
      <w:proofErr w:type="spellEnd"/>
      <w:r w:rsidRPr="004C3A3B">
        <w:rPr>
          <w:highlight w:val="yellow"/>
        </w:rPr>
        <w:t xml:space="preserve">, A., Nelson, D., </w:t>
      </w:r>
      <w:proofErr w:type="spellStart"/>
      <w:r w:rsidRPr="004C3A3B">
        <w:rPr>
          <w:highlight w:val="yellow"/>
        </w:rPr>
        <w:t>Mildort</w:t>
      </w:r>
      <w:proofErr w:type="spellEnd"/>
      <w:r w:rsidRPr="004C3A3B">
        <w:rPr>
          <w:highlight w:val="yellow"/>
        </w:rPr>
        <w:t xml:space="preserve">, B., </w:t>
      </w:r>
      <w:proofErr w:type="spellStart"/>
      <w:r w:rsidRPr="004C3A3B">
        <w:rPr>
          <w:highlight w:val="yellow"/>
        </w:rPr>
        <w:t>Latinwo</w:t>
      </w:r>
      <w:proofErr w:type="spellEnd"/>
      <w:r w:rsidRPr="004C3A3B">
        <w:rPr>
          <w:highlight w:val="yellow"/>
        </w:rPr>
        <w:t xml:space="preserve">, L., &amp; </w:t>
      </w:r>
      <w:proofErr w:type="spellStart"/>
      <w:r w:rsidRPr="004C3A3B">
        <w:rPr>
          <w:highlight w:val="yellow"/>
        </w:rPr>
        <w:t>Tchounwou</w:t>
      </w:r>
      <w:proofErr w:type="spellEnd"/>
      <w:r w:rsidRPr="004C3A3B">
        <w:rPr>
          <w:highlight w:val="yellow"/>
        </w:rPr>
        <w:t xml:space="preserve">, P. B. (2023). The management of diabetes mellitus using medicinal plants and vitamins. International </w:t>
      </w:r>
      <w:r w:rsidRPr="00A6522E">
        <w:rPr>
          <w:highlight w:val="yellow"/>
        </w:rPr>
        <w:t>Journal of Molecular Sciences, 24(10), 9085.</w:t>
      </w:r>
    </w:p>
    <w:p w14:paraId="0FEF8CE2" w14:textId="194162B2" w:rsidR="00A05624" w:rsidRPr="00A6522E" w:rsidRDefault="00A6522E" w:rsidP="00A6522E">
      <w:pPr>
        <w:spacing w:before="100" w:beforeAutospacing="1" w:after="100" w:afterAutospacing="1" w:line="240" w:lineRule="auto"/>
        <w:ind w:left="360"/>
        <w:rPr>
          <w:highlight w:val="yellow"/>
        </w:rPr>
      </w:pPr>
      <w:r>
        <w:rPr>
          <w:highlight w:val="yellow"/>
        </w:rPr>
        <w:lastRenderedPageBreak/>
        <w:t xml:space="preserve">     </w:t>
      </w:r>
      <w:r w:rsidR="00B04DC1" w:rsidRPr="00A6522E">
        <w:rPr>
          <w:highlight w:val="yellow"/>
        </w:rPr>
        <w:t xml:space="preserve"> </w:t>
      </w:r>
      <w:r w:rsidR="00A05624" w:rsidRPr="00A6522E">
        <w:rPr>
          <w:highlight w:val="yellow"/>
        </w:rPr>
        <w:t xml:space="preserve">24. Ong, K. L., Stafford, L. K., McLaughlin, S. A., Boyko, E. J., </w:t>
      </w:r>
      <w:proofErr w:type="spellStart"/>
      <w:r w:rsidR="00A05624" w:rsidRPr="00A6522E">
        <w:rPr>
          <w:highlight w:val="yellow"/>
        </w:rPr>
        <w:t>Vollset</w:t>
      </w:r>
      <w:proofErr w:type="spellEnd"/>
      <w:r w:rsidR="00A05624" w:rsidRPr="00A6522E">
        <w:rPr>
          <w:highlight w:val="yellow"/>
        </w:rPr>
        <w:t xml:space="preserve">, S. E., Smith, A. E., ... &amp; </w:t>
      </w:r>
      <w:r w:rsidR="00B04DC1" w:rsidRPr="00A6522E">
        <w:rPr>
          <w:highlight w:val="yellow"/>
        </w:rPr>
        <w:t xml:space="preserve"> </w:t>
      </w:r>
      <w:r w:rsidR="00D90517" w:rsidRPr="00A6522E">
        <w:rPr>
          <w:highlight w:val="yellow"/>
        </w:rPr>
        <w:t xml:space="preserve">   </w:t>
      </w:r>
      <w:r w:rsidR="00A05624" w:rsidRPr="00A6522E">
        <w:rPr>
          <w:highlight w:val="yellow"/>
        </w:rPr>
        <w:t>Brauer, M. (2023). Global, regional, and national burden of diabetes from 1990 to 2021, with projections of prevalence to 2050: a systematic analysis for the Global Burden of Disease Study 2021. The Lancet, 402(10397), 203-234.</w:t>
      </w:r>
    </w:p>
    <w:p w14:paraId="70B7599B" w14:textId="250AD50E" w:rsidR="00C47AC5" w:rsidRPr="00A6522E" w:rsidRDefault="00924583" w:rsidP="00A6522E">
      <w:pPr>
        <w:spacing w:before="100" w:beforeAutospacing="1" w:after="100" w:afterAutospacing="1" w:line="240" w:lineRule="auto"/>
        <w:ind w:left="360"/>
        <w:rPr>
          <w:highlight w:val="yellow"/>
        </w:rPr>
      </w:pPr>
      <w:r w:rsidRPr="00A6522E">
        <w:rPr>
          <w:highlight w:val="yellow"/>
        </w:rPr>
        <w:t xml:space="preserve">25. Glenn, A. J., Li, J., Lo, K., Jenkins, D. J., Boucher, B. A., Hanley, A. J., ... &amp; </w:t>
      </w:r>
      <w:proofErr w:type="spellStart"/>
      <w:r w:rsidRPr="00A6522E">
        <w:rPr>
          <w:highlight w:val="yellow"/>
        </w:rPr>
        <w:t>Sievenpiper</w:t>
      </w:r>
      <w:proofErr w:type="spellEnd"/>
      <w:r w:rsidRPr="00A6522E">
        <w:rPr>
          <w:highlight w:val="yellow"/>
        </w:rPr>
        <w:t>, J. L. (2023). The portfolio diet and incident type 2 diabetes: findings from the women’s health initiative prospective cohort study. Diabetes Care, 46(1), 28-37.</w:t>
      </w:r>
    </w:p>
    <w:p w14:paraId="42B60BD3" w14:textId="149E8B45" w:rsidR="00AB3355" w:rsidRPr="00A6522E" w:rsidRDefault="00AB3355" w:rsidP="00A6522E">
      <w:pPr>
        <w:spacing w:before="100" w:beforeAutospacing="1" w:after="100" w:afterAutospacing="1" w:line="240" w:lineRule="auto"/>
        <w:ind w:left="360"/>
        <w:rPr>
          <w:highlight w:val="yellow"/>
        </w:rPr>
      </w:pPr>
      <w:r w:rsidRPr="00A6522E">
        <w:rPr>
          <w:highlight w:val="yellow"/>
        </w:rPr>
        <w:t xml:space="preserve">26.Khalooei, A., &amp; </w:t>
      </w:r>
      <w:proofErr w:type="spellStart"/>
      <w:r w:rsidRPr="00A6522E">
        <w:rPr>
          <w:highlight w:val="yellow"/>
        </w:rPr>
        <w:t>Benrazavy</w:t>
      </w:r>
      <w:proofErr w:type="spellEnd"/>
      <w:r w:rsidRPr="00A6522E">
        <w:rPr>
          <w:highlight w:val="yellow"/>
        </w:rPr>
        <w:t xml:space="preserve">, L. (2019). Diabetes Self-management and Its Related Factors among Type 2 Diabetes Patients in Primary Health Care Settings of Kerman, Southeast Iran. Journal of Pharmaceutical Research International, 29(4), 1–9. </w:t>
      </w:r>
      <w:hyperlink r:id="rId9" w:history="1">
        <w:r w:rsidR="00D66FD1" w:rsidRPr="00A6522E">
          <w:rPr>
            <w:highlight w:val="yellow"/>
          </w:rPr>
          <w:t>https://doi.org/10.9734/jpri/2019/v29i430241</w:t>
        </w:r>
      </w:hyperlink>
      <w:r w:rsidR="00D66FD1" w:rsidRPr="00A6522E">
        <w:rPr>
          <w:highlight w:val="yellow"/>
        </w:rPr>
        <w:t xml:space="preserve"> </w:t>
      </w:r>
    </w:p>
    <w:p w14:paraId="30C21BC4" w14:textId="77777777" w:rsidR="003277B8" w:rsidRPr="00A6522E" w:rsidRDefault="003277B8" w:rsidP="00A6522E">
      <w:pPr>
        <w:spacing w:before="100" w:beforeAutospacing="1" w:after="100" w:afterAutospacing="1" w:line="240" w:lineRule="auto"/>
        <w:ind w:left="360"/>
        <w:rPr>
          <w:highlight w:val="yellow"/>
        </w:rPr>
      </w:pPr>
    </w:p>
    <w:sectPr w:rsidR="003277B8" w:rsidRPr="00A6522E">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F30F35" w14:textId="77777777" w:rsidR="00150400" w:rsidRDefault="00150400" w:rsidP="00746A58">
      <w:pPr>
        <w:spacing w:after="0" w:line="240" w:lineRule="auto"/>
      </w:pPr>
      <w:r>
        <w:separator/>
      </w:r>
    </w:p>
  </w:endnote>
  <w:endnote w:type="continuationSeparator" w:id="0">
    <w:p w14:paraId="01D870DB" w14:textId="77777777" w:rsidR="00150400" w:rsidRDefault="00150400" w:rsidP="00746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ED518" w14:textId="77777777" w:rsidR="00746A58" w:rsidRDefault="00746A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32E3C" w14:textId="77777777" w:rsidR="00746A58" w:rsidRDefault="00746A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5C79A" w14:textId="77777777" w:rsidR="00746A58" w:rsidRDefault="00746A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545F8E" w14:textId="77777777" w:rsidR="00150400" w:rsidRDefault="00150400" w:rsidP="00746A58">
      <w:pPr>
        <w:spacing w:after="0" w:line="240" w:lineRule="auto"/>
      </w:pPr>
      <w:r>
        <w:separator/>
      </w:r>
    </w:p>
  </w:footnote>
  <w:footnote w:type="continuationSeparator" w:id="0">
    <w:p w14:paraId="001857C8" w14:textId="77777777" w:rsidR="00150400" w:rsidRDefault="00150400" w:rsidP="00746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28F03" w14:textId="04D2ABBE" w:rsidR="00746A58" w:rsidRDefault="007A3F4A">
    <w:pPr>
      <w:pStyle w:val="Header"/>
    </w:pPr>
    <w:r>
      <w:rPr>
        <w:noProof/>
      </w:rPr>
      <w:pict w14:anchorId="2B3AAB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0890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BE718" w14:textId="2D7CE646" w:rsidR="00746A58" w:rsidRDefault="007A3F4A">
    <w:pPr>
      <w:pStyle w:val="Header"/>
    </w:pPr>
    <w:r>
      <w:rPr>
        <w:noProof/>
      </w:rPr>
      <w:pict w14:anchorId="505023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0890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3ADCC" w14:textId="0B865307" w:rsidR="00746A58" w:rsidRDefault="007A3F4A">
    <w:pPr>
      <w:pStyle w:val="Header"/>
    </w:pPr>
    <w:r>
      <w:rPr>
        <w:noProof/>
      </w:rPr>
      <w:pict w14:anchorId="74E18A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0890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83034"/>
    <w:multiLevelType w:val="multilevel"/>
    <w:tmpl w:val="06A8AFA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F56F2D"/>
    <w:multiLevelType w:val="multilevel"/>
    <w:tmpl w:val="AF50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DF1547"/>
    <w:multiLevelType w:val="multilevel"/>
    <w:tmpl w:val="F7CAB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40B84"/>
    <w:multiLevelType w:val="multilevel"/>
    <w:tmpl w:val="CBBEA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EC7C17"/>
    <w:multiLevelType w:val="multilevel"/>
    <w:tmpl w:val="8B9EB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733D6B"/>
    <w:multiLevelType w:val="multilevel"/>
    <w:tmpl w:val="C960E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F21635"/>
    <w:multiLevelType w:val="multilevel"/>
    <w:tmpl w:val="51CA2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6F0ED7"/>
    <w:multiLevelType w:val="multilevel"/>
    <w:tmpl w:val="F3127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503AD6"/>
    <w:multiLevelType w:val="multilevel"/>
    <w:tmpl w:val="DB480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7F0FC1"/>
    <w:multiLevelType w:val="multilevel"/>
    <w:tmpl w:val="39FCC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0672A6"/>
    <w:multiLevelType w:val="multilevel"/>
    <w:tmpl w:val="360CC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3D63D3"/>
    <w:multiLevelType w:val="multilevel"/>
    <w:tmpl w:val="BAD4F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765F31"/>
    <w:multiLevelType w:val="multilevel"/>
    <w:tmpl w:val="41C0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9161AD"/>
    <w:multiLevelType w:val="multilevel"/>
    <w:tmpl w:val="F8F44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5EA7484"/>
    <w:multiLevelType w:val="multilevel"/>
    <w:tmpl w:val="7C1CBD4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83777B"/>
    <w:multiLevelType w:val="hybridMultilevel"/>
    <w:tmpl w:val="DE586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CC2333"/>
    <w:multiLevelType w:val="hybridMultilevel"/>
    <w:tmpl w:val="DE586F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10"/>
  </w:num>
  <w:num w:numId="3">
    <w:abstractNumId w:val="14"/>
  </w:num>
  <w:num w:numId="4">
    <w:abstractNumId w:val="8"/>
  </w:num>
  <w:num w:numId="5">
    <w:abstractNumId w:val="3"/>
  </w:num>
  <w:num w:numId="6">
    <w:abstractNumId w:val="11"/>
  </w:num>
  <w:num w:numId="7">
    <w:abstractNumId w:val="13"/>
  </w:num>
  <w:num w:numId="8">
    <w:abstractNumId w:val="5"/>
  </w:num>
  <w:num w:numId="9">
    <w:abstractNumId w:val="1"/>
  </w:num>
  <w:num w:numId="10">
    <w:abstractNumId w:val="6"/>
  </w:num>
  <w:num w:numId="11">
    <w:abstractNumId w:val="4"/>
  </w:num>
  <w:num w:numId="12">
    <w:abstractNumId w:val="9"/>
  </w:num>
  <w:num w:numId="13">
    <w:abstractNumId w:val="7"/>
  </w:num>
  <w:num w:numId="14">
    <w:abstractNumId w:val="0"/>
  </w:num>
  <w:num w:numId="15">
    <w:abstractNumId w:val="15"/>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A0sjAwMjc0tjA1NjJR0lEKTi0uzszPAykwqQUAzBOD6iwAAAA="/>
  </w:docVars>
  <w:rsids>
    <w:rsidRoot w:val="003277B8"/>
    <w:rsid w:val="000A09FD"/>
    <w:rsid w:val="000E1BB0"/>
    <w:rsid w:val="000E736D"/>
    <w:rsid w:val="00116BC9"/>
    <w:rsid w:val="0012346D"/>
    <w:rsid w:val="00150400"/>
    <w:rsid w:val="001D769D"/>
    <w:rsid w:val="0024683D"/>
    <w:rsid w:val="00254294"/>
    <w:rsid w:val="002D6608"/>
    <w:rsid w:val="002F1705"/>
    <w:rsid w:val="003271C5"/>
    <w:rsid w:val="003277B8"/>
    <w:rsid w:val="00367217"/>
    <w:rsid w:val="00390FC6"/>
    <w:rsid w:val="0039494F"/>
    <w:rsid w:val="003A2E1A"/>
    <w:rsid w:val="003A76DC"/>
    <w:rsid w:val="003B701C"/>
    <w:rsid w:val="0041167D"/>
    <w:rsid w:val="004367EA"/>
    <w:rsid w:val="00462C60"/>
    <w:rsid w:val="004C3A3B"/>
    <w:rsid w:val="004C4157"/>
    <w:rsid w:val="00520139"/>
    <w:rsid w:val="00540D29"/>
    <w:rsid w:val="005736D3"/>
    <w:rsid w:val="0058757C"/>
    <w:rsid w:val="00593385"/>
    <w:rsid w:val="005B14E0"/>
    <w:rsid w:val="005B4CF5"/>
    <w:rsid w:val="005B51DF"/>
    <w:rsid w:val="005D1BD7"/>
    <w:rsid w:val="00663C87"/>
    <w:rsid w:val="006972DA"/>
    <w:rsid w:val="00697A07"/>
    <w:rsid w:val="006D0D65"/>
    <w:rsid w:val="006D38D7"/>
    <w:rsid w:val="00711D2F"/>
    <w:rsid w:val="00726F53"/>
    <w:rsid w:val="00746A58"/>
    <w:rsid w:val="007A3F4A"/>
    <w:rsid w:val="007B7B91"/>
    <w:rsid w:val="007D3ECC"/>
    <w:rsid w:val="0080117B"/>
    <w:rsid w:val="00805781"/>
    <w:rsid w:val="00847697"/>
    <w:rsid w:val="00897630"/>
    <w:rsid w:val="008A31CF"/>
    <w:rsid w:val="008C05BE"/>
    <w:rsid w:val="008E0B4B"/>
    <w:rsid w:val="00924583"/>
    <w:rsid w:val="009507A4"/>
    <w:rsid w:val="00986C87"/>
    <w:rsid w:val="00987363"/>
    <w:rsid w:val="009B09B9"/>
    <w:rsid w:val="009D4492"/>
    <w:rsid w:val="00A05624"/>
    <w:rsid w:val="00A30ADC"/>
    <w:rsid w:val="00A6522E"/>
    <w:rsid w:val="00A8525A"/>
    <w:rsid w:val="00A97C2E"/>
    <w:rsid w:val="00AB24FB"/>
    <w:rsid w:val="00AB3355"/>
    <w:rsid w:val="00AD2A02"/>
    <w:rsid w:val="00AF6FD7"/>
    <w:rsid w:val="00B04DC1"/>
    <w:rsid w:val="00B41160"/>
    <w:rsid w:val="00B53F47"/>
    <w:rsid w:val="00B70300"/>
    <w:rsid w:val="00B81E57"/>
    <w:rsid w:val="00C113CF"/>
    <w:rsid w:val="00C36302"/>
    <w:rsid w:val="00C43EB7"/>
    <w:rsid w:val="00C47AC5"/>
    <w:rsid w:val="00C60AA1"/>
    <w:rsid w:val="00C70149"/>
    <w:rsid w:val="00CB725A"/>
    <w:rsid w:val="00D013F5"/>
    <w:rsid w:val="00D11F69"/>
    <w:rsid w:val="00D27F9E"/>
    <w:rsid w:val="00D61E69"/>
    <w:rsid w:val="00D66FD1"/>
    <w:rsid w:val="00D67933"/>
    <w:rsid w:val="00D90517"/>
    <w:rsid w:val="00DA1032"/>
    <w:rsid w:val="00DA454C"/>
    <w:rsid w:val="00DC2CEA"/>
    <w:rsid w:val="00DC3582"/>
    <w:rsid w:val="00DF15A8"/>
    <w:rsid w:val="00E2361A"/>
    <w:rsid w:val="00EB4A20"/>
    <w:rsid w:val="00EE34E9"/>
    <w:rsid w:val="00EF34DD"/>
    <w:rsid w:val="00F25401"/>
    <w:rsid w:val="00F544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C5E5ADD"/>
  <w15:chartTrackingRefBased/>
  <w15:docId w15:val="{DAD540CB-A268-48E5-908F-F14881025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277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277B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277B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277B8"/>
    <w:rPr>
      <w:b/>
      <w:bCs/>
    </w:rPr>
  </w:style>
  <w:style w:type="character" w:styleId="Emphasis">
    <w:name w:val="Emphasis"/>
    <w:basedOn w:val="DefaultParagraphFont"/>
    <w:uiPriority w:val="20"/>
    <w:qFormat/>
    <w:rsid w:val="003277B8"/>
    <w:rPr>
      <w:i/>
      <w:iCs/>
    </w:rPr>
  </w:style>
  <w:style w:type="character" w:customStyle="1" w:styleId="Heading3Char">
    <w:name w:val="Heading 3 Char"/>
    <w:basedOn w:val="DefaultParagraphFont"/>
    <w:link w:val="Heading3"/>
    <w:uiPriority w:val="9"/>
    <w:rsid w:val="003277B8"/>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3277B8"/>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3277B8"/>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540D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30ADC"/>
    <w:pPr>
      <w:ind w:left="720"/>
      <w:contextualSpacing/>
    </w:pPr>
  </w:style>
  <w:style w:type="character" w:styleId="Hyperlink">
    <w:name w:val="Hyperlink"/>
    <w:basedOn w:val="DefaultParagraphFont"/>
    <w:uiPriority w:val="99"/>
    <w:unhideWhenUsed/>
    <w:rsid w:val="00D013F5"/>
    <w:rPr>
      <w:color w:val="0563C1" w:themeColor="hyperlink"/>
      <w:u w:val="single"/>
    </w:rPr>
  </w:style>
  <w:style w:type="character" w:styleId="UnresolvedMention">
    <w:name w:val="Unresolved Mention"/>
    <w:basedOn w:val="DefaultParagraphFont"/>
    <w:uiPriority w:val="99"/>
    <w:semiHidden/>
    <w:unhideWhenUsed/>
    <w:rsid w:val="00D013F5"/>
    <w:rPr>
      <w:color w:val="605E5C"/>
      <w:shd w:val="clear" w:color="auto" w:fill="E1DFDD"/>
    </w:rPr>
  </w:style>
  <w:style w:type="paragraph" w:styleId="Header">
    <w:name w:val="header"/>
    <w:basedOn w:val="Normal"/>
    <w:link w:val="HeaderChar"/>
    <w:uiPriority w:val="99"/>
    <w:unhideWhenUsed/>
    <w:rsid w:val="00746A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A58"/>
  </w:style>
  <w:style w:type="paragraph" w:styleId="Footer">
    <w:name w:val="footer"/>
    <w:basedOn w:val="Normal"/>
    <w:link w:val="FooterChar"/>
    <w:uiPriority w:val="99"/>
    <w:unhideWhenUsed/>
    <w:rsid w:val="00746A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A58"/>
  </w:style>
  <w:style w:type="paragraph" w:styleId="Revision">
    <w:name w:val="Revision"/>
    <w:hidden/>
    <w:uiPriority w:val="99"/>
    <w:semiHidden/>
    <w:rsid w:val="00390FC6"/>
    <w:pPr>
      <w:spacing w:after="0" w:line="240" w:lineRule="auto"/>
    </w:pPr>
  </w:style>
  <w:style w:type="character" w:customStyle="1" w:styleId="label">
    <w:name w:val="label"/>
    <w:basedOn w:val="DefaultParagraphFont"/>
    <w:rsid w:val="00726F53"/>
  </w:style>
  <w:style w:type="character" w:styleId="HTMLCite">
    <w:name w:val="HTML Cite"/>
    <w:uiPriority w:val="99"/>
    <w:semiHidden/>
    <w:unhideWhenUsed/>
    <w:rsid w:val="00726F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539957">
      <w:bodyDiv w:val="1"/>
      <w:marLeft w:val="0"/>
      <w:marRight w:val="0"/>
      <w:marTop w:val="0"/>
      <w:marBottom w:val="0"/>
      <w:divBdr>
        <w:top w:val="none" w:sz="0" w:space="0" w:color="auto"/>
        <w:left w:val="none" w:sz="0" w:space="0" w:color="auto"/>
        <w:bottom w:val="none" w:sz="0" w:space="0" w:color="auto"/>
        <w:right w:val="none" w:sz="0" w:space="0" w:color="auto"/>
      </w:divBdr>
    </w:div>
    <w:div w:id="237255213">
      <w:bodyDiv w:val="1"/>
      <w:marLeft w:val="0"/>
      <w:marRight w:val="0"/>
      <w:marTop w:val="0"/>
      <w:marBottom w:val="0"/>
      <w:divBdr>
        <w:top w:val="none" w:sz="0" w:space="0" w:color="auto"/>
        <w:left w:val="none" w:sz="0" w:space="0" w:color="auto"/>
        <w:bottom w:val="none" w:sz="0" w:space="0" w:color="auto"/>
        <w:right w:val="none" w:sz="0" w:space="0" w:color="auto"/>
      </w:divBdr>
    </w:div>
    <w:div w:id="237861211">
      <w:bodyDiv w:val="1"/>
      <w:marLeft w:val="0"/>
      <w:marRight w:val="0"/>
      <w:marTop w:val="0"/>
      <w:marBottom w:val="0"/>
      <w:divBdr>
        <w:top w:val="none" w:sz="0" w:space="0" w:color="auto"/>
        <w:left w:val="none" w:sz="0" w:space="0" w:color="auto"/>
        <w:bottom w:val="none" w:sz="0" w:space="0" w:color="auto"/>
        <w:right w:val="none" w:sz="0" w:space="0" w:color="auto"/>
      </w:divBdr>
    </w:div>
    <w:div w:id="253591340">
      <w:bodyDiv w:val="1"/>
      <w:marLeft w:val="0"/>
      <w:marRight w:val="0"/>
      <w:marTop w:val="0"/>
      <w:marBottom w:val="0"/>
      <w:divBdr>
        <w:top w:val="none" w:sz="0" w:space="0" w:color="auto"/>
        <w:left w:val="none" w:sz="0" w:space="0" w:color="auto"/>
        <w:bottom w:val="none" w:sz="0" w:space="0" w:color="auto"/>
        <w:right w:val="none" w:sz="0" w:space="0" w:color="auto"/>
      </w:divBdr>
    </w:div>
    <w:div w:id="726684449">
      <w:bodyDiv w:val="1"/>
      <w:marLeft w:val="0"/>
      <w:marRight w:val="0"/>
      <w:marTop w:val="0"/>
      <w:marBottom w:val="0"/>
      <w:divBdr>
        <w:top w:val="none" w:sz="0" w:space="0" w:color="auto"/>
        <w:left w:val="none" w:sz="0" w:space="0" w:color="auto"/>
        <w:bottom w:val="none" w:sz="0" w:space="0" w:color="auto"/>
        <w:right w:val="none" w:sz="0" w:space="0" w:color="auto"/>
      </w:divBdr>
      <w:divsChild>
        <w:div w:id="1314481637">
          <w:marLeft w:val="0"/>
          <w:marRight w:val="0"/>
          <w:marTop w:val="0"/>
          <w:marBottom w:val="0"/>
          <w:divBdr>
            <w:top w:val="none" w:sz="0" w:space="0" w:color="auto"/>
            <w:left w:val="none" w:sz="0" w:space="0" w:color="auto"/>
            <w:bottom w:val="none" w:sz="0" w:space="0" w:color="auto"/>
            <w:right w:val="none" w:sz="0" w:space="0" w:color="auto"/>
          </w:divBdr>
          <w:divsChild>
            <w:div w:id="102802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69603">
      <w:bodyDiv w:val="1"/>
      <w:marLeft w:val="0"/>
      <w:marRight w:val="0"/>
      <w:marTop w:val="0"/>
      <w:marBottom w:val="0"/>
      <w:divBdr>
        <w:top w:val="none" w:sz="0" w:space="0" w:color="auto"/>
        <w:left w:val="none" w:sz="0" w:space="0" w:color="auto"/>
        <w:bottom w:val="none" w:sz="0" w:space="0" w:color="auto"/>
        <w:right w:val="none" w:sz="0" w:space="0" w:color="auto"/>
      </w:divBdr>
      <w:divsChild>
        <w:div w:id="1308628391">
          <w:marLeft w:val="0"/>
          <w:marRight w:val="0"/>
          <w:marTop w:val="0"/>
          <w:marBottom w:val="0"/>
          <w:divBdr>
            <w:top w:val="none" w:sz="0" w:space="0" w:color="auto"/>
            <w:left w:val="none" w:sz="0" w:space="0" w:color="auto"/>
            <w:bottom w:val="none" w:sz="0" w:space="0" w:color="auto"/>
            <w:right w:val="none" w:sz="0" w:space="0" w:color="auto"/>
          </w:divBdr>
          <w:divsChild>
            <w:div w:id="1597522704">
              <w:marLeft w:val="0"/>
              <w:marRight w:val="0"/>
              <w:marTop w:val="0"/>
              <w:marBottom w:val="0"/>
              <w:divBdr>
                <w:top w:val="none" w:sz="0" w:space="0" w:color="auto"/>
                <w:left w:val="none" w:sz="0" w:space="0" w:color="auto"/>
                <w:bottom w:val="none" w:sz="0" w:space="0" w:color="auto"/>
                <w:right w:val="none" w:sz="0" w:space="0" w:color="auto"/>
              </w:divBdr>
              <w:divsChild>
                <w:div w:id="719207104">
                  <w:marLeft w:val="0"/>
                  <w:marRight w:val="0"/>
                  <w:marTop w:val="0"/>
                  <w:marBottom w:val="0"/>
                  <w:divBdr>
                    <w:top w:val="none" w:sz="0" w:space="0" w:color="auto"/>
                    <w:left w:val="none" w:sz="0" w:space="0" w:color="auto"/>
                    <w:bottom w:val="none" w:sz="0" w:space="0" w:color="auto"/>
                    <w:right w:val="none" w:sz="0" w:space="0" w:color="auto"/>
                  </w:divBdr>
                  <w:divsChild>
                    <w:div w:id="1249539321">
                      <w:marLeft w:val="0"/>
                      <w:marRight w:val="0"/>
                      <w:marTop w:val="0"/>
                      <w:marBottom w:val="0"/>
                      <w:divBdr>
                        <w:top w:val="none" w:sz="0" w:space="0" w:color="auto"/>
                        <w:left w:val="none" w:sz="0" w:space="0" w:color="auto"/>
                        <w:bottom w:val="none" w:sz="0" w:space="0" w:color="auto"/>
                        <w:right w:val="none" w:sz="0" w:space="0" w:color="auto"/>
                      </w:divBdr>
                      <w:divsChild>
                        <w:div w:id="581795051">
                          <w:marLeft w:val="0"/>
                          <w:marRight w:val="0"/>
                          <w:marTop w:val="0"/>
                          <w:marBottom w:val="0"/>
                          <w:divBdr>
                            <w:top w:val="none" w:sz="0" w:space="0" w:color="auto"/>
                            <w:left w:val="none" w:sz="0" w:space="0" w:color="auto"/>
                            <w:bottom w:val="none" w:sz="0" w:space="0" w:color="auto"/>
                            <w:right w:val="none" w:sz="0" w:space="0" w:color="auto"/>
                          </w:divBdr>
                          <w:divsChild>
                            <w:div w:id="2142190510">
                              <w:marLeft w:val="0"/>
                              <w:marRight w:val="0"/>
                              <w:marTop w:val="0"/>
                              <w:marBottom w:val="0"/>
                              <w:divBdr>
                                <w:top w:val="none" w:sz="0" w:space="0" w:color="auto"/>
                                <w:left w:val="none" w:sz="0" w:space="0" w:color="auto"/>
                                <w:bottom w:val="none" w:sz="0" w:space="0" w:color="auto"/>
                                <w:right w:val="none" w:sz="0" w:space="0" w:color="auto"/>
                              </w:divBdr>
                              <w:divsChild>
                                <w:div w:id="1986355517">
                                  <w:marLeft w:val="0"/>
                                  <w:marRight w:val="0"/>
                                  <w:marTop w:val="0"/>
                                  <w:marBottom w:val="0"/>
                                  <w:divBdr>
                                    <w:top w:val="none" w:sz="0" w:space="0" w:color="auto"/>
                                    <w:left w:val="none" w:sz="0" w:space="0" w:color="auto"/>
                                    <w:bottom w:val="none" w:sz="0" w:space="0" w:color="auto"/>
                                    <w:right w:val="none" w:sz="0" w:space="0" w:color="auto"/>
                                  </w:divBdr>
                                  <w:divsChild>
                                    <w:div w:id="362900207">
                                      <w:marLeft w:val="0"/>
                                      <w:marRight w:val="0"/>
                                      <w:marTop w:val="0"/>
                                      <w:marBottom w:val="0"/>
                                      <w:divBdr>
                                        <w:top w:val="none" w:sz="0" w:space="0" w:color="auto"/>
                                        <w:left w:val="none" w:sz="0" w:space="0" w:color="auto"/>
                                        <w:bottom w:val="none" w:sz="0" w:space="0" w:color="auto"/>
                                        <w:right w:val="none" w:sz="0" w:space="0" w:color="auto"/>
                                      </w:divBdr>
                                      <w:divsChild>
                                        <w:div w:id="2098019511">
                                          <w:marLeft w:val="0"/>
                                          <w:marRight w:val="0"/>
                                          <w:marTop w:val="0"/>
                                          <w:marBottom w:val="0"/>
                                          <w:divBdr>
                                            <w:top w:val="none" w:sz="0" w:space="0" w:color="auto"/>
                                            <w:left w:val="none" w:sz="0" w:space="0" w:color="auto"/>
                                            <w:bottom w:val="none" w:sz="0" w:space="0" w:color="auto"/>
                                            <w:right w:val="none" w:sz="0" w:space="0" w:color="auto"/>
                                          </w:divBdr>
                                          <w:divsChild>
                                            <w:div w:id="454253674">
                                              <w:marLeft w:val="0"/>
                                              <w:marRight w:val="0"/>
                                              <w:marTop w:val="0"/>
                                              <w:marBottom w:val="0"/>
                                              <w:divBdr>
                                                <w:top w:val="none" w:sz="0" w:space="0" w:color="auto"/>
                                                <w:left w:val="none" w:sz="0" w:space="0" w:color="auto"/>
                                                <w:bottom w:val="none" w:sz="0" w:space="0" w:color="auto"/>
                                                <w:right w:val="none" w:sz="0" w:space="0" w:color="auto"/>
                                              </w:divBdr>
                                            </w:div>
                                          </w:divsChild>
                                        </w:div>
                                        <w:div w:id="1401059444">
                                          <w:blockQuote w:val="1"/>
                                          <w:marLeft w:val="720"/>
                                          <w:marRight w:val="720"/>
                                          <w:marTop w:val="100"/>
                                          <w:marBottom w:val="100"/>
                                          <w:divBdr>
                                            <w:top w:val="none" w:sz="0" w:space="0" w:color="auto"/>
                                            <w:left w:val="none" w:sz="0" w:space="0" w:color="auto"/>
                                            <w:bottom w:val="none" w:sz="0" w:space="0" w:color="auto"/>
                                            <w:right w:val="none" w:sz="0" w:space="0" w:color="auto"/>
                                          </w:divBdr>
                                        </w:div>
                                        <w:div w:id="976687110">
                                          <w:marLeft w:val="0"/>
                                          <w:marRight w:val="0"/>
                                          <w:marTop w:val="0"/>
                                          <w:marBottom w:val="0"/>
                                          <w:divBdr>
                                            <w:top w:val="none" w:sz="0" w:space="0" w:color="auto"/>
                                            <w:left w:val="none" w:sz="0" w:space="0" w:color="auto"/>
                                            <w:bottom w:val="none" w:sz="0" w:space="0" w:color="auto"/>
                                            <w:right w:val="none" w:sz="0" w:space="0" w:color="auto"/>
                                          </w:divBdr>
                                          <w:divsChild>
                                            <w:div w:id="1001393962">
                                              <w:marLeft w:val="0"/>
                                              <w:marRight w:val="0"/>
                                              <w:marTop w:val="0"/>
                                              <w:marBottom w:val="0"/>
                                              <w:divBdr>
                                                <w:top w:val="none" w:sz="0" w:space="0" w:color="auto"/>
                                                <w:left w:val="none" w:sz="0" w:space="0" w:color="auto"/>
                                                <w:bottom w:val="none" w:sz="0" w:space="0" w:color="auto"/>
                                                <w:right w:val="none" w:sz="0" w:space="0" w:color="auto"/>
                                              </w:divBdr>
                                            </w:div>
                                          </w:divsChild>
                                        </w:div>
                                        <w:div w:id="607153337">
                                          <w:marLeft w:val="0"/>
                                          <w:marRight w:val="0"/>
                                          <w:marTop w:val="0"/>
                                          <w:marBottom w:val="0"/>
                                          <w:divBdr>
                                            <w:top w:val="none" w:sz="0" w:space="0" w:color="auto"/>
                                            <w:left w:val="none" w:sz="0" w:space="0" w:color="auto"/>
                                            <w:bottom w:val="none" w:sz="0" w:space="0" w:color="auto"/>
                                            <w:right w:val="none" w:sz="0" w:space="0" w:color="auto"/>
                                          </w:divBdr>
                                          <w:divsChild>
                                            <w:div w:id="88591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736965">
                          <w:marLeft w:val="0"/>
                          <w:marRight w:val="0"/>
                          <w:marTop w:val="0"/>
                          <w:marBottom w:val="0"/>
                          <w:divBdr>
                            <w:top w:val="none" w:sz="0" w:space="0" w:color="auto"/>
                            <w:left w:val="none" w:sz="0" w:space="0" w:color="auto"/>
                            <w:bottom w:val="none" w:sz="0" w:space="0" w:color="auto"/>
                            <w:right w:val="none" w:sz="0" w:space="0" w:color="auto"/>
                          </w:divBdr>
                          <w:divsChild>
                            <w:div w:id="802774277">
                              <w:marLeft w:val="0"/>
                              <w:marRight w:val="0"/>
                              <w:marTop w:val="0"/>
                              <w:marBottom w:val="0"/>
                              <w:divBdr>
                                <w:top w:val="none" w:sz="0" w:space="0" w:color="auto"/>
                                <w:left w:val="none" w:sz="0" w:space="0" w:color="auto"/>
                                <w:bottom w:val="none" w:sz="0" w:space="0" w:color="auto"/>
                                <w:right w:val="none" w:sz="0" w:space="0" w:color="auto"/>
                              </w:divBdr>
                              <w:divsChild>
                                <w:div w:id="201372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756106">
      <w:bodyDiv w:val="1"/>
      <w:marLeft w:val="0"/>
      <w:marRight w:val="0"/>
      <w:marTop w:val="0"/>
      <w:marBottom w:val="0"/>
      <w:divBdr>
        <w:top w:val="none" w:sz="0" w:space="0" w:color="auto"/>
        <w:left w:val="none" w:sz="0" w:space="0" w:color="auto"/>
        <w:bottom w:val="none" w:sz="0" w:space="0" w:color="auto"/>
        <w:right w:val="none" w:sz="0" w:space="0" w:color="auto"/>
      </w:divBdr>
    </w:div>
    <w:div w:id="1221404124">
      <w:bodyDiv w:val="1"/>
      <w:marLeft w:val="0"/>
      <w:marRight w:val="0"/>
      <w:marTop w:val="0"/>
      <w:marBottom w:val="0"/>
      <w:divBdr>
        <w:top w:val="none" w:sz="0" w:space="0" w:color="auto"/>
        <w:left w:val="none" w:sz="0" w:space="0" w:color="auto"/>
        <w:bottom w:val="none" w:sz="0" w:space="0" w:color="auto"/>
        <w:right w:val="none" w:sz="0" w:space="0" w:color="auto"/>
      </w:divBdr>
    </w:div>
    <w:div w:id="1359306878">
      <w:bodyDiv w:val="1"/>
      <w:marLeft w:val="0"/>
      <w:marRight w:val="0"/>
      <w:marTop w:val="0"/>
      <w:marBottom w:val="0"/>
      <w:divBdr>
        <w:top w:val="none" w:sz="0" w:space="0" w:color="auto"/>
        <w:left w:val="none" w:sz="0" w:space="0" w:color="auto"/>
        <w:bottom w:val="none" w:sz="0" w:space="0" w:color="auto"/>
        <w:right w:val="none" w:sz="0" w:space="0" w:color="auto"/>
      </w:divBdr>
    </w:div>
    <w:div w:id="1596594680">
      <w:bodyDiv w:val="1"/>
      <w:marLeft w:val="0"/>
      <w:marRight w:val="0"/>
      <w:marTop w:val="0"/>
      <w:marBottom w:val="0"/>
      <w:divBdr>
        <w:top w:val="none" w:sz="0" w:space="0" w:color="auto"/>
        <w:left w:val="none" w:sz="0" w:space="0" w:color="auto"/>
        <w:bottom w:val="none" w:sz="0" w:space="0" w:color="auto"/>
        <w:right w:val="none" w:sz="0" w:space="0" w:color="auto"/>
      </w:divBdr>
      <w:divsChild>
        <w:div w:id="1192112248">
          <w:marLeft w:val="0"/>
          <w:marRight w:val="0"/>
          <w:marTop w:val="0"/>
          <w:marBottom w:val="0"/>
          <w:divBdr>
            <w:top w:val="none" w:sz="0" w:space="0" w:color="auto"/>
            <w:left w:val="none" w:sz="0" w:space="0" w:color="auto"/>
            <w:bottom w:val="none" w:sz="0" w:space="0" w:color="auto"/>
            <w:right w:val="none" w:sz="0" w:space="0" w:color="auto"/>
          </w:divBdr>
          <w:divsChild>
            <w:div w:id="1760834005">
              <w:marLeft w:val="0"/>
              <w:marRight w:val="0"/>
              <w:marTop w:val="0"/>
              <w:marBottom w:val="0"/>
              <w:divBdr>
                <w:top w:val="none" w:sz="0" w:space="0" w:color="auto"/>
                <w:left w:val="none" w:sz="0" w:space="0" w:color="auto"/>
                <w:bottom w:val="none" w:sz="0" w:space="0" w:color="auto"/>
                <w:right w:val="none" w:sz="0" w:space="0" w:color="auto"/>
              </w:divBdr>
            </w:div>
          </w:divsChild>
        </w:div>
        <w:div w:id="747535873">
          <w:marLeft w:val="0"/>
          <w:marRight w:val="0"/>
          <w:marTop w:val="0"/>
          <w:marBottom w:val="0"/>
          <w:divBdr>
            <w:top w:val="none" w:sz="0" w:space="0" w:color="auto"/>
            <w:left w:val="none" w:sz="0" w:space="0" w:color="auto"/>
            <w:bottom w:val="none" w:sz="0" w:space="0" w:color="auto"/>
            <w:right w:val="none" w:sz="0" w:space="0" w:color="auto"/>
          </w:divBdr>
          <w:divsChild>
            <w:div w:id="192167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03508">
      <w:bodyDiv w:val="1"/>
      <w:marLeft w:val="0"/>
      <w:marRight w:val="0"/>
      <w:marTop w:val="0"/>
      <w:marBottom w:val="0"/>
      <w:divBdr>
        <w:top w:val="none" w:sz="0" w:space="0" w:color="auto"/>
        <w:left w:val="none" w:sz="0" w:space="0" w:color="auto"/>
        <w:bottom w:val="none" w:sz="0" w:space="0" w:color="auto"/>
        <w:right w:val="none" w:sz="0" w:space="0" w:color="auto"/>
      </w:divBdr>
      <w:divsChild>
        <w:div w:id="2045863182">
          <w:marLeft w:val="0"/>
          <w:marRight w:val="0"/>
          <w:marTop w:val="0"/>
          <w:marBottom w:val="0"/>
          <w:divBdr>
            <w:top w:val="none" w:sz="0" w:space="0" w:color="auto"/>
            <w:left w:val="none" w:sz="0" w:space="0" w:color="auto"/>
            <w:bottom w:val="none" w:sz="0" w:space="0" w:color="auto"/>
            <w:right w:val="none" w:sz="0" w:space="0" w:color="auto"/>
          </w:divBdr>
          <w:divsChild>
            <w:div w:id="1463884518">
              <w:marLeft w:val="0"/>
              <w:marRight w:val="0"/>
              <w:marTop w:val="0"/>
              <w:marBottom w:val="0"/>
              <w:divBdr>
                <w:top w:val="none" w:sz="0" w:space="0" w:color="auto"/>
                <w:left w:val="none" w:sz="0" w:space="0" w:color="auto"/>
                <w:bottom w:val="none" w:sz="0" w:space="0" w:color="auto"/>
                <w:right w:val="none" w:sz="0" w:space="0" w:color="auto"/>
              </w:divBdr>
              <w:divsChild>
                <w:div w:id="732578049">
                  <w:marLeft w:val="0"/>
                  <w:marRight w:val="0"/>
                  <w:marTop w:val="0"/>
                  <w:marBottom w:val="0"/>
                  <w:divBdr>
                    <w:top w:val="none" w:sz="0" w:space="0" w:color="auto"/>
                    <w:left w:val="none" w:sz="0" w:space="0" w:color="auto"/>
                    <w:bottom w:val="none" w:sz="0" w:space="0" w:color="auto"/>
                    <w:right w:val="none" w:sz="0" w:space="0" w:color="auto"/>
                  </w:divBdr>
                  <w:divsChild>
                    <w:div w:id="924150843">
                      <w:marLeft w:val="0"/>
                      <w:marRight w:val="0"/>
                      <w:marTop w:val="0"/>
                      <w:marBottom w:val="0"/>
                      <w:divBdr>
                        <w:top w:val="none" w:sz="0" w:space="0" w:color="auto"/>
                        <w:left w:val="none" w:sz="0" w:space="0" w:color="auto"/>
                        <w:bottom w:val="none" w:sz="0" w:space="0" w:color="auto"/>
                        <w:right w:val="none" w:sz="0" w:space="0" w:color="auto"/>
                      </w:divBdr>
                      <w:divsChild>
                        <w:div w:id="1680110478">
                          <w:marLeft w:val="0"/>
                          <w:marRight w:val="0"/>
                          <w:marTop w:val="0"/>
                          <w:marBottom w:val="0"/>
                          <w:divBdr>
                            <w:top w:val="none" w:sz="0" w:space="0" w:color="auto"/>
                            <w:left w:val="none" w:sz="0" w:space="0" w:color="auto"/>
                            <w:bottom w:val="none" w:sz="0" w:space="0" w:color="auto"/>
                            <w:right w:val="none" w:sz="0" w:space="0" w:color="auto"/>
                          </w:divBdr>
                          <w:divsChild>
                            <w:div w:id="2561218">
                              <w:marLeft w:val="0"/>
                              <w:marRight w:val="0"/>
                              <w:marTop w:val="0"/>
                              <w:marBottom w:val="0"/>
                              <w:divBdr>
                                <w:top w:val="none" w:sz="0" w:space="0" w:color="auto"/>
                                <w:left w:val="none" w:sz="0" w:space="0" w:color="auto"/>
                                <w:bottom w:val="none" w:sz="0" w:space="0" w:color="auto"/>
                                <w:right w:val="none" w:sz="0" w:space="0" w:color="auto"/>
                              </w:divBdr>
                              <w:divsChild>
                                <w:div w:id="1466199318">
                                  <w:marLeft w:val="0"/>
                                  <w:marRight w:val="0"/>
                                  <w:marTop w:val="0"/>
                                  <w:marBottom w:val="0"/>
                                  <w:divBdr>
                                    <w:top w:val="none" w:sz="0" w:space="0" w:color="auto"/>
                                    <w:left w:val="none" w:sz="0" w:space="0" w:color="auto"/>
                                    <w:bottom w:val="none" w:sz="0" w:space="0" w:color="auto"/>
                                    <w:right w:val="none" w:sz="0" w:space="0" w:color="auto"/>
                                  </w:divBdr>
                                  <w:divsChild>
                                    <w:div w:id="98392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8827">
                          <w:marLeft w:val="0"/>
                          <w:marRight w:val="0"/>
                          <w:marTop w:val="0"/>
                          <w:marBottom w:val="0"/>
                          <w:divBdr>
                            <w:top w:val="none" w:sz="0" w:space="0" w:color="auto"/>
                            <w:left w:val="none" w:sz="0" w:space="0" w:color="auto"/>
                            <w:bottom w:val="none" w:sz="0" w:space="0" w:color="auto"/>
                            <w:right w:val="none" w:sz="0" w:space="0" w:color="auto"/>
                          </w:divBdr>
                          <w:divsChild>
                            <w:div w:id="457383805">
                              <w:marLeft w:val="0"/>
                              <w:marRight w:val="0"/>
                              <w:marTop w:val="0"/>
                              <w:marBottom w:val="0"/>
                              <w:divBdr>
                                <w:top w:val="none" w:sz="0" w:space="0" w:color="auto"/>
                                <w:left w:val="none" w:sz="0" w:space="0" w:color="auto"/>
                                <w:bottom w:val="none" w:sz="0" w:space="0" w:color="auto"/>
                                <w:right w:val="none" w:sz="0" w:space="0" w:color="auto"/>
                              </w:divBdr>
                              <w:divsChild>
                                <w:div w:id="125582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7421445">
      <w:bodyDiv w:val="1"/>
      <w:marLeft w:val="0"/>
      <w:marRight w:val="0"/>
      <w:marTop w:val="0"/>
      <w:marBottom w:val="0"/>
      <w:divBdr>
        <w:top w:val="none" w:sz="0" w:space="0" w:color="auto"/>
        <w:left w:val="none" w:sz="0" w:space="0" w:color="auto"/>
        <w:bottom w:val="none" w:sz="0" w:space="0" w:color="auto"/>
        <w:right w:val="none" w:sz="0" w:space="0" w:color="auto"/>
      </w:divBdr>
    </w:div>
    <w:div w:id="183634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36/bmjdrc-2018-000534"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10.9734/jpri/2019/v29i430241"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19</Pages>
  <Words>6421</Words>
  <Characters>38392</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Education</dc:creator>
  <cp:keywords/>
  <dc:description/>
  <cp:lastModifiedBy>SDI PC New 16</cp:lastModifiedBy>
  <cp:revision>99</cp:revision>
  <dcterms:created xsi:type="dcterms:W3CDTF">2025-05-07T10:42:00Z</dcterms:created>
  <dcterms:modified xsi:type="dcterms:W3CDTF">2025-05-17T10:12:00Z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37cc4e70-e99a-4ca3-87e2-257860533050</vt:lpwstr>
  </property>
</Properties>
</file>