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F40" w:rsidRPr="00995960" w:rsidRDefault="00137F40" w:rsidP="00137F40">
      <w:pPr>
        <w:spacing w:line="240" w:lineRule="auto"/>
        <w:jc w:val="center"/>
        <w:rPr>
          <w:rFonts w:ascii="Times New Roman" w:hAnsi="Times New Roman" w:cs="Times New Roman"/>
          <w:b/>
          <w:bCs/>
          <w:sz w:val="24"/>
          <w:szCs w:val="24"/>
        </w:rPr>
      </w:pPr>
      <w:r w:rsidRPr="00995960">
        <w:rPr>
          <w:rFonts w:ascii="Times New Roman" w:hAnsi="Times New Roman" w:cs="Times New Roman"/>
          <w:b/>
          <w:bCs/>
          <w:sz w:val="24"/>
          <w:szCs w:val="24"/>
        </w:rPr>
        <w:t>INVESTIGATING TOTAL</w:t>
      </w:r>
      <w:r w:rsidRPr="00995960">
        <w:rPr>
          <w:rFonts w:ascii="Times New Roman" w:eastAsia="Times New Roman" w:hAnsi="Times New Roman" w:cs="Times New Roman"/>
          <w:b/>
          <w:bCs/>
          <w:kern w:val="0"/>
          <w:sz w:val="24"/>
          <w:szCs w:val="24"/>
        </w:rPr>
        <w:t xml:space="preserve"> PETROLEUM HYDROCARBON (TPH) LEVEL IN THE GILLS, TISSUES, AND CARAPACE OF BLUE CRAB (</w:t>
      </w:r>
      <w:r w:rsidRPr="00995960">
        <w:rPr>
          <w:rFonts w:ascii="Times New Roman" w:eastAsia="Times New Roman" w:hAnsi="Times New Roman" w:cs="Times New Roman"/>
          <w:b/>
          <w:bCs/>
          <w:i/>
          <w:iCs/>
          <w:kern w:val="0"/>
          <w:sz w:val="24"/>
          <w:szCs w:val="24"/>
        </w:rPr>
        <w:t>Callinectes sapidus</w:t>
      </w:r>
      <w:r w:rsidRPr="00995960">
        <w:rPr>
          <w:rFonts w:ascii="Times New Roman" w:eastAsia="Times New Roman" w:hAnsi="Times New Roman" w:cs="Times New Roman"/>
          <w:b/>
          <w:bCs/>
          <w:kern w:val="0"/>
          <w:sz w:val="24"/>
          <w:szCs w:val="24"/>
        </w:rPr>
        <w:t>): A STUDY IN THE NEW CALABAR RIVER, CHOBA, RIVERS STATE, NIGERIA</w:t>
      </w:r>
      <w:r w:rsidRPr="00995960">
        <w:rPr>
          <w:rFonts w:ascii="Times New Roman" w:hAnsi="Times New Roman" w:cs="Times New Roman"/>
          <w:b/>
          <w:bCs/>
          <w:sz w:val="24"/>
          <w:szCs w:val="24"/>
        </w:rPr>
        <w:t>.</w:t>
      </w:r>
    </w:p>
    <w:p w:rsidR="00137F40" w:rsidRPr="00995960" w:rsidRDefault="00137F40" w:rsidP="00137F40">
      <w:pPr>
        <w:spacing w:line="240" w:lineRule="auto"/>
        <w:jc w:val="both"/>
        <w:rPr>
          <w:rFonts w:ascii="Times New Roman" w:hAnsi="Times New Roman" w:cs="Times New Roman"/>
          <w:b/>
          <w:bCs/>
          <w:sz w:val="24"/>
          <w:szCs w:val="24"/>
        </w:rPr>
      </w:pPr>
    </w:p>
    <w:p w:rsidR="00137F40" w:rsidRPr="00995960" w:rsidRDefault="00137F40" w:rsidP="00137F40">
      <w:pPr>
        <w:spacing w:before="100" w:beforeAutospacing="1" w:after="100" w:afterAutospacing="1" w:line="240" w:lineRule="auto"/>
        <w:outlineLvl w:val="2"/>
        <w:rPr>
          <w:rFonts w:ascii="Times New Roman" w:eastAsia="Times New Roman" w:hAnsi="Times New Roman" w:cs="Times New Roman"/>
          <w:b/>
          <w:bCs/>
          <w:kern w:val="0"/>
          <w:sz w:val="24"/>
          <w:szCs w:val="24"/>
        </w:rPr>
      </w:pPr>
      <w:r w:rsidRPr="00995960">
        <w:rPr>
          <w:rFonts w:ascii="Times New Roman" w:eastAsia="Times New Roman" w:hAnsi="Times New Roman" w:cs="Times New Roman"/>
          <w:b/>
          <w:bCs/>
          <w:kern w:val="0"/>
          <w:sz w:val="24"/>
          <w:szCs w:val="24"/>
        </w:rPr>
        <w:t>Abstract</w:t>
      </w:r>
    </w:p>
    <w:p w:rsidR="00137F40" w:rsidRPr="00995960"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kern w:val="0"/>
          <w:sz w:val="24"/>
          <w:szCs w:val="24"/>
        </w:rPr>
        <w:t xml:space="preserve">This study investigated the </w:t>
      </w:r>
      <w:bookmarkStart w:id="0" w:name="_Hlk181158368"/>
      <w:r w:rsidRPr="00995960">
        <w:rPr>
          <w:rFonts w:ascii="Times New Roman" w:eastAsia="Times New Roman" w:hAnsi="Times New Roman" w:cs="Times New Roman"/>
          <w:kern w:val="0"/>
          <w:sz w:val="24"/>
          <w:szCs w:val="24"/>
        </w:rPr>
        <w:t xml:space="preserve">total petroleum hydrocarbon (TPH) concentrations in the gills, tissues, and carapace of </w:t>
      </w:r>
      <w:r w:rsidRPr="00995960">
        <w:rPr>
          <w:rFonts w:ascii="Times New Roman" w:eastAsia="Times New Roman" w:hAnsi="Times New Roman" w:cs="Times New Roman"/>
          <w:i/>
          <w:iCs/>
          <w:kern w:val="0"/>
          <w:sz w:val="24"/>
          <w:szCs w:val="24"/>
        </w:rPr>
        <w:t>Callinectes sapidus</w:t>
      </w:r>
      <w:r w:rsidRPr="00995960">
        <w:rPr>
          <w:rFonts w:ascii="Times New Roman" w:eastAsia="Times New Roman" w:hAnsi="Times New Roman" w:cs="Times New Roman"/>
          <w:kern w:val="0"/>
          <w:sz w:val="24"/>
          <w:szCs w:val="24"/>
        </w:rPr>
        <w:t xml:space="preserve"> collected from three stations (</w:t>
      </w:r>
      <w:proofErr w:type="spellStart"/>
      <w:r w:rsidRPr="00995960">
        <w:rPr>
          <w:rFonts w:ascii="Times New Roman" w:eastAsia="Times New Roman" w:hAnsi="Times New Roman" w:cs="Times New Roman"/>
          <w:kern w:val="0"/>
          <w:sz w:val="24"/>
          <w:szCs w:val="24"/>
        </w:rPr>
        <w:t>Choba</w:t>
      </w:r>
      <w:proofErr w:type="spellEnd"/>
      <w:r w:rsidRPr="00995960">
        <w:rPr>
          <w:rFonts w:ascii="Times New Roman" w:eastAsia="Times New Roman" w:hAnsi="Times New Roman" w:cs="Times New Roman"/>
          <w:kern w:val="0"/>
          <w:sz w:val="24"/>
          <w:szCs w:val="24"/>
        </w:rPr>
        <w:t xml:space="preserve">, </w:t>
      </w:r>
      <w:proofErr w:type="spellStart"/>
      <w:r w:rsidRPr="00995960">
        <w:rPr>
          <w:rFonts w:ascii="Times New Roman" w:eastAsia="Times New Roman" w:hAnsi="Times New Roman" w:cs="Times New Roman"/>
          <w:kern w:val="0"/>
          <w:sz w:val="24"/>
          <w:szCs w:val="24"/>
        </w:rPr>
        <w:t>Rumualogu</w:t>
      </w:r>
      <w:proofErr w:type="spellEnd"/>
      <w:r w:rsidRPr="00995960">
        <w:rPr>
          <w:rFonts w:ascii="Times New Roman" w:eastAsia="Times New Roman" w:hAnsi="Times New Roman" w:cs="Times New Roman"/>
          <w:kern w:val="0"/>
          <w:sz w:val="24"/>
          <w:szCs w:val="24"/>
        </w:rPr>
        <w:t xml:space="preserve"> and </w:t>
      </w:r>
      <w:proofErr w:type="spellStart"/>
      <w:r w:rsidRPr="00995960">
        <w:rPr>
          <w:rFonts w:ascii="Times New Roman" w:eastAsia="Times New Roman" w:hAnsi="Times New Roman" w:cs="Times New Roman"/>
          <w:kern w:val="0"/>
          <w:sz w:val="24"/>
          <w:szCs w:val="24"/>
        </w:rPr>
        <w:t>Ozuoba</w:t>
      </w:r>
      <w:proofErr w:type="spellEnd"/>
      <w:r w:rsidRPr="00995960">
        <w:rPr>
          <w:rFonts w:ascii="Times New Roman" w:eastAsia="Times New Roman" w:hAnsi="Times New Roman" w:cs="Times New Roman"/>
          <w:kern w:val="0"/>
          <w:sz w:val="24"/>
          <w:szCs w:val="24"/>
        </w:rPr>
        <w:t xml:space="preserve">) along the </w:t>
      </w:r>
      <w:proofErr w:type="spellStart"/>
      <w:r w:rsidRPr="00995960">
        <w:rPr>
          <w:rFonts w:ascii="Times New Roman" w:eastAsia="Times New Roman" w:hAnsi="Times New Roman" w:cs="Times New Roman"/>
          <w:kern w:val="0"/>
          <w:sz w:val="24"/>
          <w:szCs w:val="24"/>
        </w:rPr>
        <w:t>Choba</w:t>
      </w:r>
      <w:proofErr w:type="spellEnd"/>
      <w:r w:rsidRPr="00995960">
        <w:rPr>
          <w:rFonts w:ascii="Times New Roman" w:eastAsia="Times New Roman" w:hAnsi="Times New Roman" w:cs="Times New Roman"/>
          <w:kern w:val="0"/>
          <w:sz w:val="24"/>
          <w:szCs w:val="24"/>
        </w:rPr>
        <w:t xml:space="preserve"> axis of the New Calabar River. </w:t>
      </w:r>
      <w:bookmarkEnd w:id="0"/>
      <w:r w:rsidRPr="00995960">
        <w:rPr>
          <w:rFonts w:ascii="Times New Roman" w:eastAsia="Times New Roman" w:hAnsi="Times New Roman" w:cs="Times New Roman"/>
          <w:kern w:val="0"/>
          <w:sz w:val="24"/>
          <w:szCs w:val="24"/>
        </w:rPr>
        <w:t xml:space="preserve">Results reveal distinct spatial and temporal patterns in TPH distribution. Spatially, gill TPH levels ranged from 4.3 to 4.6 mg/kg, showing no significant differences among stations (p &gt; 0.05). Tissues exhibited slightly higher concentrations (5.6 to 5.8 mg/kg) with significant variation between specific stations (p &lt; 0.05), while carapace concentrations were the highest (9.1 to 9.4 mg/kg) but also stable across locations (p &gt; 0.05). These findings indicate that tissue concentrations may be more indicative of exposure levels. Comparisons with existing literature highlight variations in TPH levels among different marine organisms, with our results aligning with studies indicating lower concentrations in exoskeletal structures. Temporal analysis across June to August showed stable TPH levels (gills: 4.5 mg/kg; tissues: 5.7 mg/kg; carapace: 9.3 mg/kg) without significant monthly variation (p &gt; 0.05). This consistency suggests that environmental conditions and TPH sources remained relatively unchanged during the study period. Overall, while gills and tissues remained within WHO recommended limits for safe </w:t>
      </w:r>
      <w:r w:rsidR="00516E22" w:rsidRPr="00995960">
        <w:rPr>
          <w:rFonts w:ascii="Times New Roman" w:eastAsia="Times New Roman" w:hAnsi="Times New Roman" w:cs="Times New Roman"/>
          <w:kern w:val="0"/>
          <w:sz w:val="24"/>
          <w:szCs w:val="24"/>
        </w:rPr>
        <w:t>consumption;</w:t>
      </w:r>
      <w:r w:rsidRPr="00995960">
        <w:rPr>
          <w:rFonts w:ascii="Times New Roman" w:eastAsia="Times New Roman" w:hAnsi="Times New Roman" w:cs="Times New Roman"/>
          <w:kern w:val="0"/>
          <w:sz w:val="24"/>
          <w:szCs w:val="24"/>
        </w:rPr>
        <w:t xml:space="preserve"> caution is warranted regarding the carapace. Elevated levels may indicate potential bioaccumulation and associated ecological and health risks.</w:t>
      </w:r>
    </w:p>
    <w:p w:rsidR="00137F40" w:rsidRPr="00995960" w:rsidRDefault="00137F40" w:rsidP="00137F40">
      <w:pPr>
        <w:spacing w:before="100" w:beforeAutospacing="1" w:after="100" w:afterAutospacing="1" w:line="240" w:lineRule="auto"/>
        <w:jc w:val="both"/>
        <w:rPr>
          <w:rFonts w:ascii="Times New Roman" w:hAnsi="Times New Roman" w:cs="Times New Roman"/>
          <w:sz w:val="24"/>
          <w:szCs w:val="24"/>
        </w:rPr>
      </w:pPr>
      <w:r w:rsidRPr="00995960">
        <w:rPr>
          <w:rFonts w:ascii="Times New Roman" w:eastAsia="Times New Roman" w:hAnsi="Times New Roman" w:cs="Times New Roman"/>
          <w:b/>
          <w:bCs/>
          <w:kern w:val="0"/>
          <w:sz w:val="24"/>
          <w:szCs w:val="24"/>
        </w:rPr>
        <w:t>Keywords:</w:t>
      </w:r>
      <w:r w:rsidRPr="00995960">
        <w:rPr>
          <w:rFonts w:ascii="Times New Roman" w:eastAsia="Times New Roman" w:hAnsi="Times New Roman" w:cs="Times New Roman"/>
          <w:kern w:val="0"/>
          <w:sz w:val="24"/>
          <w:szCs w:val="24"/>
        </w:rPr>
        <w:t xml:space="preserve"> Blue Crab, New Calabar River, Total Petroleum Hydrocarbon, Bioaccumulation and Water Quality Monitoring</w:t>
      </w:r>
    </w:p>
    <w:p w:rsidR="00137F40" w:rsidRPr="00995960" w:rsidRDefault="00137F40" w:rsidP="00137F40">
      <w:pPr>
        <w:spacing w:line="240" w:lineRule="auto"/>
        <w:jc w:val="center"/>
        <w:rPr>
          <w:rFonts w:ascii="Times New Roman" w:eastAsia="Times New Roman" w:hAnsi="Times New Roman" w:cs="Times New Roman"/>
          <w:kern w:val="0"/>
          <w:sz w:val="24"/>
          <w:szCs w:val="24"/>
        </w:rPr>
      </w:pPr>
      <w:r w:rsidRPr="00995960">
        <w:rPr>
          <w:rFonts w:ascii="Times New Roman" w:eastAsia="Times New Roman" w:hAnsi="Times New Roman" w:cs="Times New Roman"/>
          <w:b/>
          <w:bCs/>
          <w:color w:val="000000"/>
          <w:kern w:val="0"/>
          <w:sz w:val="24"/>
          <w:szCs w:val="24"/>
        </w:rPr>
        <w:t>INTRODUCTION</w:t>
      </w:r>
    </w:p>
    <w:p w:rsidR="00137F40" w:rsidRPr="00995960" w:rsidRDefault="00137F40" w:rsidP="00137F40">
      <w:pPr>
        <w:spacing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color w:val="000000"/>
          <w:kern w:val="0"/>
          <w:sz w:val="24"/>
          <w:szCs w:val="24"/>
        </w:rPr>
        <w:t xml:space="preserve">Rivers provide goods and services ranging from provisioning, regulating, cultural and supporting; however, the sustainability of this system is been impacted by human activities. Human activities threatening this system have been on an increase since industrialization primarily, in the form of pollution. In fact, environmental pollution as a whole is typically caused by anthropogenic activities and to la lesser extent natural effects (Izah and </w:t>
      </w:r>
      <w:proofErr w:type="spellStart"/>
      <w:r w:rsidRPr="00995960">
        <w:rPr>
          <w:rFonts w:ascii="Times New Roman" w:eastAsia="Times New Roman" w:hAnsi="Times New Roman" w:cs="Times New Roman"/>
          <w:color w:val="000000"/>
          <w:kern w:val="0"/>
          <w:sz w:val="24"/>
          <w:szCs w:val="24"/>
        </w:rPr>
        <w:t>Angaye</w:t>
      </w:r>
      <w:proofErr w:type="spellEnd"/>
      <w:r w:rsidRPr="00995960">
        <w:rPr>
          <w:rFonts w:ascii="Times New Roman" w:eastAsia="Times New Roman" w:hAnsi="Times New Roman" w:cs="Times New Roman"/>
          <w:color w:val="000000"/>
          <w:kern w:val="0"/>
          <w:sz w:val="24"/>
          <w:szCs w:val="24"/>
        </w:rPr>
        <w:t xml:space="preserve">, 2015; Izah </w:t>
      </w:r>
      <w:r w:rsidRPr="00995960">
        <w:rPr>
          <w:rFonts w:ascii="Times New Roman" w:eastAsia="Times New Roman" w:hAnsi="Times New Roman" w:cs="Times New Roman"/>
          <w:i/>
          <w:iCs/>
          <w:color w:val="000000"/>
          <w:kern w:val="0"/>
          <w:sz w:val="24"/>
          <w:szCs w:val="24"/>
        </w:rPr>
        <w:t xml:space="preserve">et al., </w:t>
      </w:r>
      <w:r w:rsidRPr="00995960">
        <w:rPr>
          <w:rFonts w:ascii="Times New Roman" w:eastAsia="Times New Roman" w:hAnsi="Times New Roman" w:cs="Times New Roman"/>
          <w:color w:val="000000"/>
          <w:kern w:val="0"/>
          <w:sz w:val="24"/>
          <w:szCs w:val="24"/>
        </w:rPr>
        <w:t xml:space="preserve">2016; </w:t>
      </w:r>
      <w:proofErr w:type="spellStart"/>
      <w:r w:rsidRPr="00995960">
        <w:rPr>
          <w:rFonts w:ascii="Times New Roman" w:eastAsia="Times New Roman" w:hAnsi="Times New Roman" w:cs="Times New Roman"/>
          <w:color w:val="000000"/>
          <w:kern w:val="0"/>
          <w:sz w:val="24"/>
          <w:szCs w:val="24"/>
        </w:rPr>
        <w:t>Aigberua</w:t>
      </w:r>
      <w:proofErr w:type="spellEnd"/>
      <w:r w:rsidRPr="00995960">
        <w:rPr>
          <w:rFonts w:ascii="Times New Roman" w:eastAsia="Times New Roman" w:hAnsi="Times New Roman" w:cs="Times New Roman"/>
          <w:color w:val="000000"/>
          <w:kern w:val="0"/>
          <w:sz w:val="24"/>
          <w:szCs w:val="24"/>
        </w:rPr>
        <w:t xml:space="preserve"> </w:t>
      </w:r>
      <w:r w:rsidRPr="00995960">
        <w:rPr>
          <w:rFonts w:ascii="Times New Roman" w:eastAsia="Times New Roman" w:hAnsi="Times New Roman" w:cs="Times New Roman"/>
          <w:i/>
          <w:iCs/>
          <w:color w:val="000000"/>
          <w:kern w:val="0"/>
          <w:sz w:val="24"/>
          <w:szCs w:val="24"/>
        </w:rPr>
        <w:t>et al</w:t>
      </w:r>
      <w:r w:rsidRPr="00995960">
        <w:rPr>
          <w:rFonts w:ascii="Times New Roman" w:eastAsia="Times New Roman" w:hAnsi="Times New Roman" w:cs="Times New Roman"/>
          <w:color w:val="000000"/>
          <w:kern w:val="0"/>
          <w:sz w:val="24"/>
          <w:szCs w:val="24"/>
        </w:rPr>
        <w:t>., 2016a). </w:t>
      </w:r>
    </w:p>
    <w:p w:rsidR="00137F40" w:rsidRPr="006F7F22" w:rsidRDefault="00137F40" w:rsidP="00137F40">
      <w:pPr>
        <w:spacing w:line="240" w:lineRule="auto"/>
        <w:jc w:val="both"/>
        <w:rPr>
          <w:rFonts w:ascii="Times New Roman" w:eastAsia="Times New Roman" w:hAnsi="Times New Roman" w:cs="Times New Roman"/>
          <w:color w:val="000000"/>
          <w:kern w:val="0"/>
          <w:sz w:val="24"/>
          <w:szCs w:val="24"/>
        </w:rPr>
      </w:pPr>
      <w:r w:rsidRPr="00995960">
        <w:rPr>
          <w:rFonts w:ascii="Times New Roman" w:eastAsia="Times New Roman" w:hAnsi="Times New Roman" w:cs="Times New Roman"/>
          <w:color w:val="000000"/>
          <w:kern w:val="0"/>
          <w:sz w:val="24"/>
          <w:szCs w:val="24"/>
        </w:rPr>
        <w:t>In the Niger Delta, oil exploration and exploitation are a major pollution source in aquatic systems (Godwin and Joshua, 2021). The Niger Delta is home to a large number of crude oil, ranking 6th in the world (</w:t>
      </w:r>
      <w:proofErr w:type="spellStart"/>
      <w:r w:rsidRPr="00995960">
        <w:rPr>
          <w:rFonts w:ascii="Times New Roman" w:eastAsia="Times New Roman" w:hAnsi="Times New Roman" w:cs="Times New Roman"/>
          <w:color w:val="000000"/>
          <w:kern w:val="0"/>
          <w:sz w:val="24"/>
          <w:szCs w:val="24"/>
        </w:rPr>
        <w:t>Ohimain</w:t>
      </w:r>
      <w:proofErr w:type="spellEnd"/>
      <w:r w:rsidRPr="00995960">
        <w:rPr>
          <w:rFonts w:ascii="Times New Roman" w:eastAsia="Times New Roman" w:hAnsi="Times New Roman" w:cs="Times New Roman"/>
          <w:color w:val="000000"/>
          <w:kern w:val="0"/>
          <w:sz w:val="24"/>
          <w:szCs w:val="24"/>
        </w:rPr>
        <w:t xml:space="preserve"> 2013a; </w:t>
      </w:r>
      <w:proofErr w:type="spellStart"/>
      <w:r w:rsidRPr="00995960">
        <w:rPr>
          <w:rFonts w:ascii="Times New Roman" w:eastAsia="Times New Roman" w:hAnsi="Times New Roman" w:cs="Times New Roman"/>
          <w:color w:val="000000"/>
          <w:kern w:val="0"/>
          <w:sz w:val="24"/>
          <w:szCs w:val="24"/>
        </w:rPr>
        <w:t>Olaji</w:t>
      </w:r>
      <w:proofErr w:type="spellEnd"/>
      <w:r w:rsidRPr="00995960">
        <w:rPr>
          <w:rFonts w:ascii="Times New Roman" w:eastAsia="Times New Roman" w:hAnsi="Times New Roman" w:cs="Times New Roman"/>
          <w:color w:val="000000"/>
          <w:kern w:val="0"/>
          <w:sz w:val="24"/>
          <w:szCs w:val="24"/>
        </w:rPr>
        <w:t xml:space="preserve"> </w:t>
      </w:r>
      <w:r w:rsidRPr="00995960">
        <w:rPr>
          <w:rFonts w:ascii="Times New Roman" w:eastAsia="Times New Roman" w:hAnsi="Times New Roman" w:cs="Times New Roman"/>
          <w:i/>
          <w:iCs/>
          <w:color w:val="000000"/>
          <w:kern w:val="0"/>
          <w:sz w:val="24"/>
          <w:szCs w:val="24"/>
        </w:rPr>
        <w:t>et al</w:t>
      </w:r>
      <w:r w:rsidRPr="00995960">
        <w:rPr>
          <w:rFonts w:ascii="Times New Roman" w:eastAsia="Times New Roman" w:hAnsi="Times New Roman" w:cs="Times New Roman"/>
          <w:color w:val="000000"/>
          <w:kern w:val="0"/>
          <w:sz w:val="24"/>
          <w:szCs w:val="24"/>
        </w:rPr>
        <w:t xml:space="preserve">. 2014; </w:t>
      </w:r>
      <w:proofErr w:type="spellStart"/>
      <w:r w:rsidRPr="00995960">
        <w:rPr>
          <w:rFonts w:ascii="Times New Roman" w:eastAsia="Times New Roman" w:hAnsi="Times New Roman" w:cs="Times New Roman"/>
          <w:color w:val="000000"/>
          <w:kern w:val="0"/>
          <w:sz w:val="24"/>
          <w:szCs w:val="24"/>
        </w:rPr>
        <w:t>Aigberua</w:t>
      </w:r>
      <w:proofErr w:type="spellEnd"/>
      <w:r w:rsidRPr="00995960">
        <w:rPr>
          <w:rFonts w:ascii="Times New Roman" w:eastAsia="Times New Roman" w:hAnsi="Times New Roman" w:cs="Times New Roman"/>
          <w:color w:val="000000"/>
          <w:kern w:val="0"/>
          <w:sz w:val="24"/>
          <w:szCs w:val="24"/>
        </w:rPr>
        <w:t xml:space="preserve"> </w:t>
      </w:r>
      <w:r w:rsidRPr="00995960">
        <w:rPr>
          <w:rFonts w:ascii="Times New Roman" w:eastAsia="Times New Roman" w:hAnsi="Times New Roman" w:cs="Times New Roman"/>
          <w:i/>
          <w:iCs/>
          <w:color w:val="000000"/>
          <w:kern w:val="0"/>
          <w:sz w:val="24"/>
          <w:szCs w:val="24"/>
        </w:rPr>
        <w:t>et al</w:t>
      </w:r>
      <w:r w:rsidRPr="00995960">
        <w:rPr>
          <w:rFonts w:ascii="Times New Roman" w:eastAsia="Times New Roman" w:hAnsi="Times New Roman" w:cs="Times New Roman"/>
          <w:color w:val="000000"/>
          <w:kern w:val="0"/>
          <w:sz w:val="24"/>
          <w:szCs w:val="24"/>
        </w:rPr>
        <w:t xml:space="preserve">. 2017). Legal and illegal refining in oil-producing communities have led to the release of toxic chemicals into water bodies. </w:t>
      </w:r>
      <w:r w:rsidR="006F7F22" w:rsidRPr="006F7F22">
        <w:rPr>
          <w:rFonts w:ascii="Times New Roman" w:hAnsi="Times New Roman" w:cs="Times New Roman"/>
          <w:sz w:val="24"/>
          <w:szCs w:val="24"/>
        </w:rPr>
        <w:t>All fish ingest petroleum hydrocarbons directly or indirectly from contaminated water as food and sediments leading to massive destruction of aquatic biota (Asuquo and Ewa-</w:t>
      </w:r>
      <w:proofErr w:type="spellStart"/>
      <w:r w:rsidR="006F7F22" w:rsidRPr="006F7F22">
        <w:rPr>
          <w:rFonts w:ascii="Times New Roman" w:hAnsi="Times New Roman" w:cs="Times New Roman"/>
          <w:sz w:val="24"/>
          <w:szCs w:val="24"/>
        </w:rPr>
        <w:t>Oboho</w:t>
      </w:r>
      <w:proofErr w:type="spellEnd"/>
      <w:r w:rsidR="006F7F22" w:rsidRPr="006F7F22">
        <w:rPr>
          <w:rFonts w:ascii="Times New Roman" w:hAnsi="Times New Roman" w:cs="Times New Roman"/>
          <w:sz w:val="24"/>
          <w:szCs w:val="24"/>
        </w:rPr>
        <w:t>, 2004)</w:t>
      </w:r>
    </w:p>
    <w:p w:rsidR="00137F40" w:rsidRPr="00995960"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color w:val="000000"/>
          <w:kern w:val="0"/>
          <w:sz w:val="24"/>
          <w:szCs w:val="24"/>
        </w:rPr>
        <w:t>Fish are able to take up hydrocarbons dissolved in water through their gills and store it in their liver, stomach and gall bladder, thereby making them unfit for human consumption (</w:t>
      </w:r>
      <w:hyperlink r:id="rId4" w:anchor="bookmark=id.30j0zll" w:history="1">
        <w:r w:rsidRPr="00995960">
          <w:rPr>
            <w:rStyle w:val="Hyperlink"/>
            <w:rFonts w:ascii="Times New Roman" w:eastAsia="Times New Roman" w:hAnsi="Times New Roman" w:cs="Times New Roman"/>
            <w:color w:val="000000"/>
            <w:kern w:val="0"/>
            <w:sz w:val="24"/>
            <w:szCs w:val="24"/>
            <w:u w:val="none"/>
          </w:rPr>
          <w:t xml:space="preserve">USFWS, </w:t>
        </w:r>
        <w:r w:rsidRPr="00995960">
          <w:rPr>
            <w:rStyle w:val="Hyperlink"/>
            <w:rFonts w:ascii="Times New Roman" w:eastAsia="Times New Roman" w:hAnsi="Times New Roman" w:cs="Times New Roman"/>
            <w:color w:val="000000"/>
            <w:kern w:val="0"/>
            <w:sz w:val="24"/>
            <w:szCs w:val="24"/>
            <w:u w:val="none"/>
          </w:rPr>
          <w:lastRenderedPageBreak/>
          <w:t>2004</w:t>
        </w:r>
      </w:hyperlink>
      <w:r w:rsidRPr="00995960">
        <w:rPr>
          <w:rFonts w:ascii="Times New Roman" w:eastAsia="Times New Roman" w:hAnsi="Times New Roman" w:cs="Times New Roman"/>
          <w:color w:val="000000"/>
          <w:kern w:val="0"/>
          <w:sz w:val="24"/>
          <w:szCs w:val="24"/>
          <w:u w:val="single"/>
        </w:rPr>
        <w:t>;</w:t>
      </w:r>
      <w:r w:rsidRPr="00995960">
        <w:rPr>
          <w:rFonts w:ascii="Times New Roman" w:eastAsia="Times New Roman" w:hAnsi="Times New Roman" w:cs="Times New Roman"/>
          <w:color w:val="000000"/>
          <w:kern w:val="0"/>
          <w:sz w:val="24"/>
          <w:szCs w:val="24"/>
        </w:rPr>
        <w:t xml:space="preserve"> Ayoola </w:t>
      </w:r>
      <w:r w:rsidRPr="00995960">
        <w:rPr>
          <w:rFonts w:ascii="Times New Roman" w:eastAsia="Times New Roman" w:hAnsi="Times New Roman" w:cs="Times New Roman"/>
          <w:i/>
          <w:iCs/>
          <w:color w:val="000000"/>
          <w:kern w:val="0"/>
          <w:sz w:val="24"/>
          <w:szCs w:val="24"/>
        </w:rPr>
        <w:t>et al</w:t>
      </w:r>
      <w:r w:rsidRPr="00995960">
        <w:rPr>
          <w:rFonts w:ascii="Times New Roman" w:eastAsia="Times New Roman" w:hAnsi="Times New Roman" w:cs="Times New Roman"/>
          <w:color w:val="000000"/>
          <w:kern w:val="0"/>
          <w:sz w:val="24"/>
          <w:szCs w:val="24"/>
        </w:rPr>
        <w:t xml:space="preserve">., 2017). Sediment serves as sinks in oil contaminated water systems which is detrimental to benthic organisms (Partin, 1999). Bioaccumulation by fish and these benthic organisms lead to biomagnification along the food chain with significant impact on the final consumers, humans (Birge </w:t>
      </w:r>
      <w:r w:rsidRPr="00995960">
        <w:rPr>
          <w:rFonts w:ascii="Times New Roman" w:eastAsia="Times New Roman" w:hAnsi="Times New Roman" w:cs="Times New Roman"/>
          <w:i/>
          <w:iCs/>
          <w:color w:val="000000"/>
          <w:kern w:val="0"/>
          <w:sz w:val="24"/>
          <w:szCs w:val="24"/>
        </w:rPr>
        <w:t>et al</w:t>
      </w:r>
      <w:r w:rsidRPr="00995960">
        <w:rPr>
          <w:rFonts w:ascii="Times New Roman" w:eastAsia="Times New Roman" w:hAnsi="Times New Roman" w:cs="Times New Roman"/>
          <w:color w:val="000000"/>
          <w:kern w:val="0"/>
          <w:sz w:val="24"/>
          <w:szCs w:val="24"/>
        </w:rPr>
        <w:t xml:space="preserve">. 2000; </w:t>
      </w:r>
      <w:proofErr w:type="spellStart"/>
      <w:r w:rsidRPr="00995960">
        <w:rPr>
          <w:rFonts w:ascii="Times New Roman" w:eastAsia="Times New Roman" w:hAnsi="Times New Roman" w:cs="Times New Roman"/>
          <w:color w:val="000000"/>
          <w:kern w:val="0"/>
          <w:sz w:val="24"/>
          <w:szCs w:val="24"/>
        </w:rPr>
        <w:t>Olaifa</w:t>
      </w:r>
      <w:proofErr w:type="spellEnd"/>
      <w:r w:rsidRPr="00995960">
        <w:rPr>
          <w:rFonts w:ascii="Times New Roman" w:eastAsia="Times New Roman" w:hAnsi="Times New Roman" w:cs="Times New Roman"/>
          <w:color w:val="000000"/>
          <w:kern w:val="0"/>
          <w:sz w:val="24"/>
          <w:szCs w:val="24"/>
        </w:rPr>
        <w:t xml:space="preserve"> </w:t>
      </w:r>
      <w:r w:rsidRPr="00995960">
        <w:rPr>
          <w:rFonts w:ascii="Times New Roman" w:eastAsia="Times New Roman" w:hAnsi="Times New Roman" w:cs="Times New Roman"/>
          <w:i/>
          <w:iCs/>
          <w:color w:val="000000"/>
          <w:kern w:val="0"/>
          <w:sz w:val="24"/>
          <w:szCs w:val="24"/>
        </w:rPr>
        <w:t>et al</w:t>
      </w:r>
      <w:r w:rsidRPr="00995960">
        <w:rPr>
          <w:rFonts w:ascii="Times New Roman" w:eastAsia="Times New Roman" w:hAnsi="Times New Roman" w:cs="Times New Roman"/>
          <w:color w:val="000000"/>
          <w:kern w:val="0"/>
          <w:sz w:val="24"/>
          <w:szCs w:val="24"/>
        </w:rPr>
        <w:t>. 2004).The management and observation of the aquatic ecosystem depend on the knowledge of the physicochemical and biological properties of the water body and it is therefore necessary for periodic analysis of the systems. </w:t>
      </w:r>
      <w:r w:rsidRPr="00995960">
        <w:rPr>
          <w:rFonts w:ascii="Times New Roman" w:eastAsia="Times New Roman" w:hAnsi="Times New Roman" w:cs="Times New Roman"/>
          <w:kern w:val="0"/>
          <w:sz w:val="24"/>
          <w:szCs w:val="24"/>
        </w:rPr>
        <w:t>This research will offer valuable insights into the background levels of TPH in the biota of the New Calabar River, aiding in effective water quality monitoring for the benefit of aquatic life and local communities.</w:t>
      </w:r>
    </w:p>
    <w:p w:rsidR="00137F40" w:rsidRPr="00995960" w:rsidRDefault="00137F40" w:rsidP="00137F40">
      <w:pPr>
        <w:spacing w:after="280" w:line="240" w:lineRule="auto"/>
        <w:jc w:val="both"/>
        <w:rPr>
          <w:rFonts w:ascii="Times New Roman" w:eastAsia="Times New Roman" w:hAnsi="Times New Roman" w:cs="Times New Roman"/>
          <w:kern w:val="0"/>
          <w:sz w:val="24"/>
          <w:szCs w:val="24"/>
        </w:rPr>
      </w:pPr>
    </w:p>
    <w:p w:rsidR="00137F40" w:rsidRPr="00995960" w:rsidRDefault="00137F40" w:rsidP="00137F40">
      <w:pPr>
        <w:pStyle w:val="Body"/>
        <w:jc w:val="center"/>
        <w:rPr>
          <w:rFonts w:ascii="Times New Roman" w:eastAsia="Times New Roman" w:hAnsi="Times New Roman" w:cs="Times New Roman"/>
          <w:b/>
          <w:bCs/>
          <w:sz w:val="24"/>
          <w:szCs w:val="24"/>
        </w:rPr>
      </w:pPr>
      <w:r w:rsidRPr="00995960">
        <w:rPr>
          <w:rFonts w:ascii="Times New Roman" w:hAnsi="Times New Roman" w:cs="Times New Roman"/>
          <w:b/>
          <w:bCs/>
          <w:sz w:val="24"/>
          <w:szCs w:val="24"/>
        </w:rPr>
        <w:t>MATERIALS AND METHODS</w:t>
      </w:r>
    </w:p>
    <w:p w:rsidR="00137F40" w:rsidRPr="00995960" w:rsidRDefault="00137F40" w:rsidP="00137F40">
      <w:pPr>
        <w:pStyle w:val="Body"/>
        <w:jc w:val="both"/>
        <w:rPr>
          <w:rFonts w:ascii="Times New Roman" w:hAnsi="Times New Roman" w:cs="Times New Roman"/>
          <w:b/>
          <w:bCs/>
          <w:sz w:val="24"/>
          <w:szCs w:val="24"/>
        </w:rPr>
      </w:pPr>
      <w:r w:rsidRPr="00995960">
        <w:rPr>
          <w:rFonts w:ascii="Times New Roman" w:hAnsi="Times New Roman" w:cs="Times New Roman"/>
          <w:b/>
          <w:bCs/>
          <w:sz w:val="24"/>
          <w:szCs w:val="24"/>
        </w:rPr>
        <w:t xml:space="preserve">Description of Study Area </w:t>
      </w:r>
    </w:p>
    <w:p w:rsidR="00137F40" w:rsidRPr="00995960" w:rsidRDefault="00137F40" w:rsidP="00137F40">
      <w:pPr>
        <w:pStyle w:val="NormalWeb"/>
        <w:jc w:val="both"/>
      </w:pPr>
      <w:r w:rsidRPr="00995960">
        <w:t xml:space="preserve">The study area is situated at coordinates 4.0893610N and 6.9286670E, along the New Calabar River, </w:t>
      </w:r>
      <w:proofErr w:type="spellStart"/>
      <w:r w:rsidRPr="00995960">
        <w:t>Choba</w:t>
      </w:r>
      <w:proofErr w:type="spellEnd"/>
      <w:r w:rsidRPr="00995960">
        <w:t>, Port Harcourt, which is significantly impacted by extensive human activities such as sand mining and industrial effluent. The effluent load in this region is further increased by fishermen who employ illegal methods, such as using dynamite, to catch fish. Additionally, the area is linked to an underground drainage system that transports wastewater, sewage, sludge, and human waste from nearby communities.</w:t>
      </w:r>
    </w:p>
    <w:p w:rsidR="00137F40" w:rsidRPr="00995960" w:rsidRDefault="00137F40" w:rsidP="00137F40">
      <w:pPr>
        <w:spacing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b/>
          <w:bCs/>
          <w:color w:val="000000"/>
          <w:kern w:val="0"/>
          <w:sz w:val="24"/>
          <w:szCs w:val="24"/>
        </w:rPr>
        <w:t>Research Design</w:t>
      </w:r>
    </w:p>
    <w:p w:rsidR="00137F40" w:rsidRPr="00995960" w:rsidRDefault="00137F40" w:rsidP="00137F40">
      <w:pPr>
        <w:pStyle w:val="NormalWeb"/>
        <w:jc w:val="both"/>
      </w:pPr>
      <w:r w:rsidRPr="00995960">
        <w:rPr>
          <w:color w:val="000000"/>
        </w:rPr>
        <w:t xml:space="preserve">This study was carried out for three months </w:t>
      </w:r>
      <w:r w:rsidRPr="00995960">
        <w:t>and three</w:t>
      </w:r>
      <w:r w:rsidRPr="00995960">
        <w:rPr>
          <w:color w:val="000000"/>
        </w:rPr>
        <w:t xml:space="preserve"> stations (</w:t>
      </w:r>
      <w:proofErr w:type="spellStart"/>
      <w:r w:rsidRPr="00995960">
        <w:rPr>
          <w:color w:val="000000"/>
        </w:rPr>
        <w:t>Choba</w:t>
      </w:r>
      <w:proofErr w:type="spellEnd"/>
      <w:r w:rsidRPr="00995960">
        <w:rPr>
          <w:color w:val="000000"/>
        </w:rPr>
        <w:t xml:space="preserve">, </w:t>
      </w:r>
      <w:proofErr w:type="spellStart"/>
      <w:r w:rsidRPr="00995960">
        <w:rPr>
          <w:color w:val="000000"/>
        </w:rPr>
        <w:t>Rumualogu</w:t>
      </w:r>
      <w:proofErr w:type="spellEnd"/>
      <w:r w:rsidRPr="00995960">
        <w:rPr>
          <w:color w:val="000000"/>
        </w:rPr>
        <w:t xml:space="preserve"> and </w:t>
      </w:r>
      <w:proofErr w:type="spellStart"/>
      <w:r w:rsidRPr="00995960">
        <w:rPr>
          <w:color w:val="000000"/>
        </w:rPr>
        <w:t>Ozuoba</w:t>
      </w:r>
      <w:proofErr w:type="spellEnd"/>
      <w:r w:rsidRPr="00995960">
        <w:rPr>
          <w:color w:val="000000"/>
        </w:rPr>
        <w:t xml:space="preserve">) sampled and in determination of the levels of TPH in Blue Crab, collected from New Calabar River. The area of study was chosen based on the daily use by or/and contact with humans and presence of draggers on the water ways and industries in the community while sampling stations were chosen based on the width and length of the river. </w:t>
      </w:r>
    </w:p>
    <w:p w:rsidR="00137F40" w:rsidRPr="00995960" w:rsidRDefault="00137F40" w:rsidP="00137F40">
      <w:pPr>
        <w:pStyle w:val="Body"/>
        <w:jc w:val="both"/>
        <w:rPr>
          <w:rFonts w:ascii="Times New Roman" w:eastAsia="Times New Roman" w:hAnsi="Times New Roman" w:cs="Times New Roman"/>
          <w:b/>
          <w:bCs/>
          <w:sz w:val="24"/>
          <w:szCs w:val="24"/>
        </w:rPr>
      </w:pPr>
      <w:r w:rsidRPr="00995960">
        <w:rPr>
          <w:rFonts w:ascii="Times New Roman" w:hAnsi="Times New Roman" w:cs="Times New Roman"/>
          <w:b/>
          <w:bCs/>
          <w:sz w:val="24"/>
          <w:szCs w:val="24"/>
        </w:rPr>
        <w:t xml:space="preserve">Field Sampling Stations and Operation </w:t>
      </w:r>
    </w:p>
    <w:p w:rsidR="00137F40" w:rsidRPr="00995960" w:rsidRDefault="00137F40" w:rsidP="00137F40">
      <w:pPr>
        <w:spacing w:line="240" w:lineRule="auto"/>
        <w:jc w:val="both"/>
        <w:rPr>
          <w:rFonts w:ascii="Times New Roman" w:eastAsia="Times New Roman" w:hAnsi="Times New Roman" w:cs="Times New Roman"/>
          <w:kern w:val="0"/>
          <w:sz w:val="24"/>
          <w:szCs w:val="24"/>
        </w:rPr>
      </w:pPr>
      <w:r w:rsidRPr="00995960">
        <w:rPr>
          <w:rFonts w:ascii="Times New Roman" w:hAnsi="Times New Roman" w:cs="Times New Roman"/>
          <w:sz w:val="24"/>
          <w:szCs w:val="24"/>
        </w:rPr>
        <w:t>The Blue Crab (</w:t>
      </w:r>
      <w:r w:rsidRPr="00995960">
        <w:rPr>
          <w:rFonts w:ascii="Times New Roman" w:hAnsi="Times New Roman" w:cs="Times New Roman"/>
          <w:i/>
          <w:iCs/>
          <w:sz w:val="24"/>
          <w:szCs w:val="24"/>
        </w:rPr>
        <w:t>Callinectes sapidus</w:t>
      </w:r>
      <w:r w:rsidRPr="00995960">
        <w:rPr>
          <w:rFonts w:ascii="Times New Roman" w:hAnsi="Times New Roman" w:cs="Times New Roman"/>
          <w:sz w:val="24"/>
          <w:szCs w:val="24"/>
        </w:rPr>
        <w:t>) samples of marketable sizes</w:t>
      </w:r>
      <w:r w:rsidRPr="00995960">
        <w:rPr>
          <w:rFonts w:ascii="Times New Roman" w:eastAsia="Times New Roman" w:hAnsi="Times New Roman" w:cs="Times New Roman"/>
          <w:color w:val="000000"/>
          <w:kern w:val="0"/>
          <w:sz w:val="24"/>
          <w:szCs w:val="24"/>
        </w:rPr>
        <w:t xml:space="preserve"> were collected on purchase from fishermen and were stored in an icebox. All samples were transported to the Ignatius </w:t>
      </w:r>
      <w:proofErr w:type="spellStart"/>
      <w:r w:rsidRPr="00995960">
        <w:rPr>
          <w:rFonts w:ascii="Times New Roman" w:eastAsia="Times New Roman" w:hAnsi="Times New Roman" w:cs="Times New Roman"/>
          <w:color w:val="000000"/>
          <w:kern w:val="0"/>
          <w:sz w:val="24"/>
          <w:szCs w:val="24"/>
        </w:rPr>
        <w:t>Ajuru</w:t>
      </w:r>
      <w:proofErr w:type="spellEnd"/>
      <w:r w:rsidRPr="00995960">
        <w:rPr>
          <w:rFonts w:ascii="Times New Roman" w:eastAsia="Times New Roman" w:hAnsi="Times New Roman" w:cs="Times New Roman"/>
          <w:color w:val="000000"/>
          <w:kern w:val="0"/>
          <w:sz w:val="24"/>
          <w:szCs w:val="24"/>
        </w:rPr>
        <w:t xml:space="preserve"> University of Education laboratory for extraction and analyses.</w:t>
      </w:r>
    </w:p>
    <w:p w:rsidR="00137F40" w:rsidRPr="00995960" w:rsidRDefault="00137F40" w:rsidP="00137F40">
      <w:pPr>
        <w:spacing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b/>
          <w:bCs/>
          <w:color w:val="000000"/>
          <w:kern w:val="0"/>
          <w:sz w:val="24"/>
          <w:szCs w:val="24"/>
        </w:rPr>
        <w:t>TPH Analysis</w:t>
      </w:r>
    </w:p>
    <w:p w:rsidR="00137F40" w:rsidRPr="00995960" w:rsidRDefault="00137F40" w:rsidP="00137F40">
      <w:pPr>
        <w:spacing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color w:val="000000"/>
          <w:kern w:val="0"/>
          <w:sz w:val="24"/>
          <w:szCs w:val="24"/>
        </w:rPr>
        <w:t>The tissue sample (fish) was grounded with a blender, 5g of the grounded using 25ml of n-hexane. This was accomplished by shaking vigorously in a mechanical shaker for 2 hours. The extract was filtered through Whatman filter paper into a 25ml standard flask.</w:t>
      </w:r>
    </w:p>
    <w:p w:rsidR="00137F40" w:rsidRPr="00995960" w:rsidRDefault="00137F40" w:rsidP="00137F40">
      <w:pPr>
        <w:spacing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color w:val="000000"/>
          <w:kern w:val="0"/>
          <w:sz w:val="24"/>
          <w:szCs w:val="24"/>
        </w:rPr>
        <w:t>A simple cuvette was first filled with n-hexane as the blank solutions and it was placed in the sample holder of the Genesis 10 UV spectrophotometer. The wavelength was set at 425 nm and the transmittance adjusted to 100 percent that is, zero absorbance. The absorbance of the extracted oil was taken. From the gradient of the calibration curve, the total hydrocarbon content was calculated using the formula;</w:t>
      </w:r>
    </w:p>
    <w:p w:rsidR="00137F40" w:rsidRPr="00995960" w:rsidRDefault="00137F40" w:rsidP="00137F40">
      <w:pPr>
        <w:spacing w:after="0" w:line="240" w:lineRule="auto"/>
        <w:rPr>
          <w:rFonts w:ascii="Times New Roman" w:eastAsia="Times New Roman" w:hAnsi="Times New Roman" w:cs="Times New Roman"/>
          <w:kern w:val="0"/>
          <w:sz w:val="24"/>
          <w:szCs w:val="24"/>
        </w:rPr>
      </w:pPr>
    </w:p>
    <w:p w:rsidR="00137F40" w:rsidRPr="00995960" w:rsidRDefault="00137F40" w:rsidP="00137F40">
      <w:pPr>
        <w:spacing w:line="240" w:lineRule="auto"/>
        <w:jc w:val="center"/>
        <w:rPr>
          <w:rFonts w:ascii="Times New Roman" w:eastAsia="Times New Roman" w:hAnsi="Times New Roman" w:cs="Times New Roman"/>
          <w:b/>
          <w:kern w:val="0"/>
          <w:sz w:val="24"/>
          <w:szCs w:val="24"/>
        </w:rPr>
      </w:pPr>
      <w:r w:rsidRPr="00995960">
        <w:rPr>
          <w:rFonts w:ascii="Times New Roman" w:eastAsia="Times New Roman" w:hAnsi="Times New Roman" w:cs="Times New Roman"/>
          <w:color w:val="000000"/>
          <w:kern w:val="0"/>
          <w:sz w:val="24"/>
          <w:szCs w:val="24"/>
        </w:rPr>
        <w:lastRenderedPageBreak/>
        <w:t xml:space="preserve">THC in mg/kg = </w:t>
      </w:r>
      <w:r w:rsidRPr="00995960">
        <w:rPr>
          <w:rFonts w:ascii="Times New Roman" w:eastAsia="Times New Roman" w:hAnsi="Times New Roman" w:cs="Times New Roman"/>
          <w:color w:val="000000"/>
          <w:kern w:val="0"/>
          <w:sz w:val="24"/>
          <w:szCs w:val="24"/>
          <w:u w:val="single"/>
        </w:rPr>
        <w:t xml:space="preserve">Absorbance × Volume of n-hexane × Gradient × 100    </w:t>
      </w:r>
      <w:r w:rsidRPr="00995960">
        <w:rPr>
          <w:rFonts w:ascii="Times New Roman" w:eastAsia="Times New Roman" w:hAnsi="Times New Roman" w:cs="Times New Roman"/>
          <w:color w:val="000000"/>
          <w:kern w:val="0"/>
          <w:sz w:val="24"/>
          <w:szCs w:val="24"/>
        </w:rPr>
        <w:t xml:space="preserve">    </w:t>
      </w:r>
      <w:r w:rsidRPr="00995960">
        <w:rPr>
          <w:rFonts w:ascii="Times New Roman" w:eastAsia="Times New Roman" w:hAnsi="Times New Roman" w:cs="Times New Roman"/>
          <w:b/>
          <w:color w:val="000000"/>
          <w:kern w:val="0"/>
          <w:sz w:val="24"/>
          <w:szCs w:val="24"/>
        </w:rPr>
        <w:t>Equation 1</w:t>
      </w:r>
    </w:p>
    <w:p w:rsidR="00137F40" w:rsidRPr="00995960" w:rsidRDefault="00137F40" w:rsidP="00137F40">
      <w:pPr>
        <w:spacing w:line="240" w:lineRule="auto"/>
        <w:jc w:val="both"/>
        <w:rPr>
          <w:rFonts w:ascii="Times New Roman" w:eastAsia="Times New Roman" w:hAnsi="Times New Roman" w:cs="Times New Roman"/>
          <w:color w:val="000000"/>
          <w:kern w:val="0"/>
          <w:sz w:val="24"/>
          <w:szCs w:val="24"/>
        </w:rPr>
      </w:pPr>
      <w:r w:rsidRPr="00995960">
        <w:rPr>
          <w:rFonts w:ascii="Times New Roman" w:eastAsia="Times New Roman" w:hAnsi="Times New Roman" w:cs="Times New Roman"/>
          <w:color w:val="000000"/>
          <w:kern w:val="0"/>
          <w:sz w:val="24"/>
          <w:szCs w:val="24"/>
        </w:rPr>
        <w:t>                                                            Weight of sample used</w:t>
      </w:r>
    </w:p>
    <w:p w:rsidR="00137F40" w:rsidRPr="00995960" w:rsidRDefault="00137F40" w:rsidP="00137F40">
      <w:pPr>
        <w:spacing w:after="0" w:line="240" w:lineRule="auto"/>
        <w:rPr>
          <w:rFonts w:ascii="Times New Roman" w:eastAsia="Times New Roman" w:hAnsi="Times New Roman" w:cs="Times New Roman"/>
          <w:kern w:val="0"/>
          <w:sz w:val="24"/>
          <w:szCs w:val="24"/>
        </w:rPr>
      </w:pPr>
    </w:p>
    <w:p w:rsidR="00137F40" w:rsidRPr="00995960" w:rsidRDefault="00137F40" w:rsidP="00137F40">
      <w:pPr>
        <w:spacing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b/>
          <w:bCs/>
          <w:color w:val="000000"/>
          <w:kern w:val="0"/>
          <w:sz w:val="24"/>
          <w:szCs w:val="24"/>
        </w:rPr>
        <w:t>Methods of Data Analysis</w:t>
      </w:r>
    </w:p>
    <w:p w:rsidR="00137F40" w:rsidRPr="00995960" w:rsidRDefault="00137F40" w:rsidP="00137F40">
      <w:pPr>
        <w:spacing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color w:val="000000"/>
          <w:kern w:val="0"/>
          <w:sz w:val="24"/>
          <w:szCs w:val="24"/>
        </w:rPr>
        <w:t>The SPSS version 22 and IBM 2013 statistical analysis software program was used for the statistical analysis of data. Turkey HSD was used for multiple comparison of means for significant difference. Results were regarded significantly different at a significant level below p≤0.05.</w:t>
      </w:r>
    </w:p>
    <w:p w:rsidR="00137F40" w:rsidRPr="00995960" w:rsidRDefault="00137F40" w:rsidP="00137F40">
      <w:pPr>
        <w:spacing w:after="0" w:line="240" w:lineRule="auto"/>
        <w:jc w:val="center"/>
        <w:rPr>
          <w:rFonts w:ascii="Times New Roman" w:hAnsi="Times New Roman" w:cs="Times New Roman"/>
          <w:b/>
          <w:bCs/>
          <w:sz w:val="24"/>
          <w:szCs w:val="24"/>
        </w:rPr>
      </w:pPr>
      <w:r w:rsidRPr="00995960">
        <w:rPr>
          <w:rFonts w:ascii="Times New Roman" w:hAnsi="Times New Roman" w:cs="Times New Roman"/>
          <w:b/>
          <w:bCs/>
          <w:sz w:val="24"/>
          <w:szCs w:val="24"/>
        </w:rPr>
        <w:t>RESULTS AND DISCUSSION</w:t>
      </w:r>
    </w:p>
    <w:p w:rsidR="00137F40" w:rsidRPr="00995960" w:rsidRDefault="00137F40" w:rsidP="00137F40">
      <w:pPr>
        <w:spacing w:line="240" w:lineRule="auto"/>
        <w:rPr>
          <w:rFonts w:ascii="Times New Roman" w:hAnsi="Times New Roman" w:cs="Times New Roman"/>
          <w:b/>
          <w:bCs/>
          <w:sz w:val="24"/>
          <w:szCs w:val="24"/>
        </w:rPr>
      </w:pPr>
      <w:r w:rsidRPr="00995960">
        <w:rPr>
          <w:rFonts w:ascii="Times New Roman" w:hAnsi="Times New Roman" w:cs="Times New Roman"/>
          <w:b/>
          <w:bCs/>
          <w:sz w:val="24"/>
          <w:szCs w:val="24"/>
        </w:rPr>
        <w:t xml:space="preserve">Table 1: Spatial distribution of Total Petroleum Hydrocarbon contents in gills, tissue and carapace of </w:t>
      </w:r>
      <w:proofErr w:type="spellStart"/>
      <w:r w:rsidRPr="00995960">
        <w:rPr>
          <w:rFonts w:ascii="Times New Roman" w:hAnsi="Times New Roman" w:cs="Times New Roman"/>
          <w:b/>
          <w:bCs/>
          <w:i/>
          <w:iCs/>
          <w:sz w:val="24"/>
          <w:szCs w:val="24"/>
        </w:rPr>
        <w:t>Callinectus</w:t>
      </w:r>
      <w:proofErr w:type="spellEnd"/>
      <w:r w:rsidRPr="00995960">
        <w:rPr>
          <w:rFonts w:ascii="Times New Roman" w:hAnsi="Times New Roman" w:cs="Times New Roman"/>
          <w:b/>
          <w:bCs/>
          <w:i/>
          <w:iCs/>
          <w:sz w:val="24"/>
          <w:szCs w:val="24"/>
        </w:rPr>
        <w:t xml:space="preserve"> sapidus</w:t>
      </w:r>
      <w:r w:rsidRPr="00995960">
        <w:rPr>
          <w:rFonts w:ascii="Times New Roman" w:hAnsi="Times New Roman" w:cs="Times New Roman"/>
          <w:b/>
          <w:bCs/>
          <w:sz w:val="24"/>
          <w:szCs w:val="24"/>
        </w:rPr>
        <w:t xml:space="preserve"> in </w:t>
      </w:r>
      <w:proofErr w:type="spellStart"/>
      <w:r w:rsidRPr="00995960">
        <w:rPr>
          <w:rFonts w:ascii="Times New Roman" w:hAnsi="Times New Roman" w:cs="Times New Roman"/>
          <w:b/>
          <w:bCs/>
          <w:sz w:val="24"/>
          <w:szCs w:val="24"/>
        </w:rPr>
        <w:t>Choba</w:t>
      </w:r>
      <w:proofErr w:type="spellEnd"/>
      <w:r w:rsidRPr="00995960">
        <w:rPr>
          <w:rFonts w:ascii="Times New Roman" w:hAnsi="Times New Roman" w:cs="Times New Roman"/>
          <w:b/>
          <w:bCs/>
          <w:sz w:val="24"/>
          <w:szCs w:val="24"/>
        </w:rPr>
        <w:t xml:space="preserve"> axis of New Calabar River, Rivers State</w:t>
      </w:r>
    </w:p>
    <w:tbl>
      <w:tblPr>
        <w:tblStyle w:val="PlainTable21"/>
        <w:tblW w:w="0" w:type="auto"/>
        <w:tblLook w:val="07A0" w:firstRow="1" w:lastRow="0" w:firstColumn="1" w:lastColumn="1" w:noHBand="1" w:noVBand="1"/>
      </w:tblPr>
      <w:tblGrid>
        <w:gridCol w:w="2337"/>
        <w:gridCol w:w="2337"/>
        <w:gridCol w:w="2338"/>
        <w:gridCol w:w="2338"/>
      </w:tblGrid>
      <w:tr w:rsidR="00137F40" w:rsidRPr="00995960" w:rsidTr="005B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7F7F7F" w:themeColor="text1" w:themeTint="80"/>
              <w:left w:val="nil"/>
              <w:right w:val="nil"/>
            </w:tcBorders>
            <w:hideMark/>
          </w:tcPr>
          <w:p w:rsidR="00137F40" w:rsidRPr="00995960" w:rsidRDefault="00137F40" w:rsidP="005B63A2">
            <w:pPr>
              <w:spacing w:line="240" w:lineRule="auto"/>
              <w:rPr>
                <w:rFonts w:ascii="Times New Roman" w:hAnsi="Times New Roman" w:cs="Times New Roman"/>
                <w:sz w:val="24"/>
                <w:szCs w:val="24"/>
              </w:rPr>
            </w:pPr>
            <w:r w:rsidRPr="00995960">
              <w:rPr>
                <w:rFonts w:ascii="Times New Roman" w:hAnsi="Times New Roman" w:cs="Times New Roman"/>
                <w:sz w:val="24"/>
                <w:szCs w:val="24"/>
              </w:rPr>
              <w:t>Stations</w:t>
            </w:r>
          </w:p>
        </w:tc>
        <w:tc>
          <w:tcPr>
            <w:tcW w:w="2337" w:type="dxa"/>
            <w:tcBorders>
              <w:top w:val="single" w:sz="4" w:space="0" w:color="7F7F7F" w:themeColor="text1" w:themeTint="80"/>
              <w:left w:val="nil"/>
              <w:right w:val="nil"/>
            </w:tcBorders>
            <w:hideMark/>
          </w:tcPr>
          <w:p w:rsidR="00137F40" w:rsidRPr="00995960" w:rsidRDefault="00137F40" w:rsidP="005B63A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 xml:space="preserve">Gills </w:t>
            </w:r>
          </w:p>
        </w:tc>
        <w:tc>
          <w:tcPr>
            <w:tcW w:w="2338" w:type="dxa"/>
            <w:tcBorders>
              <w:top w:val="single" w:sz="4" w:space="0" w:color="7F7F7F" w:themeColor="text1" w:themeTint="80"/>
              <w:left w:val="nil"/>
              <w:right w:val="nil"/>
            </w:tcBorders>
            <w:hideMark/>
          </w:tcPr>
          <w:p w:rsidR="00137F40" w:rsidRPr="00995960" w:rsidRDefault="00137F40" w:rsidP="005B63A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 xml:space="preserve">Tissues </w:t>
            </w:r>
          </w:p>
        </w:tc>
        <w:tc>
          <w:tcPr>
            <w:cnfStyle w:val="000100000000" w:firstRow="0" w:lastRow="0" w:firstColumn="0" w:lastColumn="1" w:oddVBand="0" w:evenVBand="0" w:oddHBand="0" w:evenHBand="0" w:firstRowFirstColumn="0" w:firstRowLastColumn="0" w:lastRowFirstColumn="0" w:lastRowLastColumn="0"/>
            <w:tcW w:w="2338" w:type="dxa"/>
            <w:tcBorders>
              <w:top w:val="single" w:sz="4" w:space="0" w:color="7F7F7F" w:themeColor="text1" w:themeTint="80"/>
              <w:left w:val="nil"/>
              <w:right w:val="nil"/>
            </w:tcBorders>
            <w:hideMark/>
          </w:tcPr>
          <w:p w:rsidR="00137F40" w:rsidRPr="00995960" w:rsidRDefault="00137F40" w:rsidP="005B63A2">
            <w:pPr>
              <w:spacing w:line="240" w:lineRule="auto"/>
              <w:rPr>
                <w:rFonts w:ascii="Times New Roman" w:hAnsi="Times New Roman" w:cs="Times New Roman"/>
                <w:sz w:val="24"/>
                <w:szCs w:val="24"/>
              </w:rPr>
            </w:pPr>
            <w:r w:rsidRPr="00995960">
              <w:rPr>
                <w:rFonts w:ascii="Times New Roman" w:hAnsi="Times New Roman" w:cs="Times New Roman"/>
                <w:sz w:val="24"/>
                <w:szCs w:val="24"/>
              </w:rPr>
              <w:t xml:space="preserve">Carapace </w:t>
            </w:r>
          </w:p>
        </w:tc>
      </w:tr>
      <w:tr w:rsidR="00137F40" w:rsidRPr="00995960" w:rsidTr="005B63A2">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rsidR="00137F40" w:rsidRPr="00995960" w:rsidRDefault="00137F40" w:rsidP="005B63A2">
            <w:pPr>
              <w:spacing w:line="240" w:lineRule="auto"/>
              <w:rPr>
                <w:rFonts w:ascii="Times New Roman" w:hAnsi="Times New Roman" w:cs="Times New Roman"/>
                <w:b w:val="0"/>
                <w:bCs w:val="0"/>
                <w:sz w:val="24"/>
                <w:szCs w:val="24"/>
              </w:rPr>
            </w:pPr>
            <w:r w:rsidRPr="00995960">
              <w:rPr>
                <w:rFonts w:ascii="Times New Roman" w:hAnsi="Times New Roman" w:cs="Times New Roman"/>
                <w:b w:val="0"/>
                <w:bCs w:val="0"/>
                <w:sz w:val="24"/>
                <w:szCs w:val="24"/>
              </w:rPr>
              <w:t>1</w:t>
            </w:r>
          </w:p>
        </w:tc>
        <w:tc>
          <w:tcPr>
            <w:tcW w:w="2337" w:type="dxa"/>
            <w:tcBorders>
              <w:top w:val="nil"/>
              <w:left w:val="nil"/>
              <w:bottom w:val="nil"/>
              <w:right w:val="nil"/>
            </w:tcBorders>
            <w:hideMark/>
          </w:tcPr>
          <w:p w:rsidR="00137F40" w:rsidRPr="00995960"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4.5</w:t>
            </w:r>
            <w:r w:rsidRPr="00995960">
              <w:rPr>
                <w:rFonts w:ascii="Times New Roman" w:hAnsi="Times New Roman" w:cs="Times New Roman"/>
                <w:sz w:val="24"/>
                <w:szCs w:val="24"/>
                <w:vertAlign w:val="superscript"/>
              </w:rPr>
              <w:t>a</w:t>
            </w:r>
            <w:r w:rsidRPr="00995960">
              <w:rPr>
                <w:rFonts w:ascii="Times New Roman" w:hAnsi="Times New Roman" w:cs="Times New Roman"/>
                <w:sz w:val="24"/>
                <w:szCs w:val="24"/>
              </w:rPr>
              <w:t xml:space="preserve"> ± 0.02</w:t>
            </w:r>
          </w:p>
        </w:tc>
        <w:tc>
          <w:tcPr>
            <w:tcW w:w="2338" w:type="dxa"/>
            <w:tcBorders>
              <w:top w:val="nil"/>
              <w:left w:val="nil"/>
              <w:bottom w:val="nil"/>
              <w:right w:val="nil"/>
            </w:tcBorders>
            <w:hideMark/>
          </w:tcPr>
          <w:p w:rsidR="00137F40" w:rsidRPr="00995960"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5.7</w:t>
            </w:r>
            <w:r w:rsidRPr="00995960">
              <w:rPr>
                <w:rFonts w:ascii="Times New Roman" w:hAnsi="Times New Roman" w:cs="Times New Roman"/>
                <w:sz w:val="24"/>
                <w:szCs w:val="24"/>
                <w:vertAlign w:val="superscript"/>
              </w:rPr>
              <w:t>a</w:t>
            </w:r>
            <w:r w:rsidRPr="00995960">
              <w:rPr>
                <w:rFonts w:ascii="Times New Roman" w:hAnsi="Times New Roman" w:cs="Times New Roman"/>
                <w:sz w:val="24"/>
                <w:szCs w:val="24"/>
              </w:rPr>
              <w:t xml:space="preserve"> ± 0.03</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nil"/>
              <w:right w:val="nil"/>
            </w:tcBorders>
            <w:hideMark/>
          </w:tcPr>
          <w:p w:rsidR="00137F40" w:rsidRPr="00995960" w:rsidRDefault="00137F40" w:rsidP="005B63A2">
            <w:pPr>
              <w:spacing w:line="240" w:lineRule="auto"/>
              <w:rPr>
                <w:rFonts w:ascii="Times New Roman" w:hAnsi="Times New Roman" w:cs="Times New Roman"/>
                <w:b w:val="0"/>
                <w:bCs w:val="0"/>
                <w:sz w:val="24"/>
                <w:szCs w:val="24"/>
              </w:rPr>
            </w:pPr>
            <w:r w:rsidRPr="00995960">
              <w:rPr>
                <w:rFonts w:ascii="Times New Roman" w:hAnsi="Times New Roman" w:cs="Times New Roman"/>
                <w:b w:val="0"/>
                <w:bCs w:val="0"/>
                <w:sz w:val="24"/>
                <w:szCs w:val="24"/>
              </w:rPr>
              <w:t>9.4</w:t>
            </w:r>
            <w:r w:rsidRPr="00995960">
              <w:rPr>
                <w:rFonts w:ascii="Times New Roman" w:hAnsi="Times New Roman" w:cs="Times New Roman"/>
                <w:b w:val="0"/>
                <w:bCs w:val="0"/>
                <w:sz w:val="24"/>
                <w:szCs w:val="24"/>
                <w:vertAlign w:val="superscript"/>
              </w:rPr>
              <w:t>a</w:t>
            </w:r>
            <w:r w:rsidRPr="00995960">
              <w:rPr>
                <w:rFonts w:ascii="Times New Roman" w:hAnsi="Times New Roman" w:cs="Times New Roman"/>
                <w:b w:val="0"/>
                <w:bCs w:val="0"/>
                <w:sz w:val="24"/>
                <w:szCs w:val="24"/>
              </w:rPr>
              <w:t xml:space="preserve"> ± 0.08</w:t>
            </w:r>
          </w:p>
        </w:tc>
      </w:tr>
      <w:tr w:rsidR="00137F40" w:rsidRPr="00995960" w:rsidTr="005B63A2">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rsidR="00137F40" w:rsidRPr="00995960" w:rsidRDefault="00137F40" w:rsidP="005B63A2">
            <w:pPr>
              <w:spacing w:line="240" w:lineRule="auto"/>
              <w:rPr>
                <w:rFonts w:ascii="Times New Roman" w:hAnsi="Times New Roman" w:cs="Times New Roman"/>
                <w:b w:val="0"/>
                <w:bCs w:val="0"/>
                <w:sz w:val="24"/>
                <w:szCs w:val="24"/>
              </w:rPr>
            </w:pPr>
            <w:r w:rsidRPr="00995960">
              <w:rPr>
                <w:rFonts w:ascii="Times New Roman" w:hAnsi="Times New Roman" w:cs="Times New Roman"/>
                <w:b w:val="0"/>
                <w:bCs w:val="0"/>
                <w:sz w:val="24"/>
                <w:szCs w:val="24"/>
              </w:rPr>
              <w:t>2</w:t>
            </w:r>
          </w:p>
        </w:tc>
        <w:tc>
          <w:tcPr>
            <w:tcW w:w="2337" w:type="dxa"/>
            <w:tcBorders>
              <w:top w:val="nil"/>
              <w:left w:val="nil"/>
              <w:bottom w:val="nil"/>
              <w:right w:val="nil"/>
            </w:tcBorders>
            <w:hideMark/>
          </w:tcPr>
          <w:p w:rsidR="00137F40" w:rsidRPr="00995960"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4.6</w:t>
            </w:r>
            <w:r w:rsidRPr="00995960">
              <w:rPr>
                <w:rFonts w:ascii="Times New Roman" w:hAnsi="Times New Roman" w:cs="Times New Roman"/>
                <w:sz w:val="24"/>
                <w:szCs w:val="24"/>
                <w:vertAlign w:val="superscript"/>
              </w:rPr>
              <w:t>a</w:t>
            </w:r>
            <w:r w:rsidRPr="00995960">
              <w:rPr>
                <w:rFonts w:ascii="Times New Roman" w:hAnsi="Times New Roman" w:cs="Times New Roman"/>
                <w:sz w:val="24"/>
                <w:szCs w:val="24"/>
              </w:rPr>
              <w:t xml:space="preserve"> ± 0.03</w:t>
            </w:r>
          </w:p>
        </w:tc>
        <w:tc>
          <w:tcPr>
            <w:tcW w:w="2338" w:type="dxa"/>
            <w:tcBorders>
              <w:top w:val="nil"/>
              <w:left w:val="nil"/>
              <w:bottom w:val="nil"/>
              <w:right w:val="nil"/>
            </w:tcBorders>
            <w:hideMark/>
          </w:tcPr>
          <w:p w:rsidR="00137F40" w:rsidRPr="00995960"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5.6</w:t>
            </w:r>
            <w:r w:rsidRPr="00995960">
              <w:rPr>
                <w:rFonts w:ascii="Times New Roman" w:hAnsi="Times New Roman" w:cs="Times New Roman"/>
                <w:sz w:val="24"/>
                <w:szCs w:val="24"/>
                <w:vertAlign w:val="superscript"/>
              </w:rPr>
              <w:t>b</w:t>
            </w:r>
            <w:r w:rsidRPr="00995960">
              <w:rPr>
                <w:rFonts w:ascii="Times New Roman" w:hAnsi="Times New Roman" w:cs="Times New Roman"/>
                <w:sz w:val="24"/>
                <w:szCs w:val="24"/>
              </w:rPr>
              <w:t xml:space="preserve"> ± 0.03</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nil"/>
              <w:right w:val="nil"/>
            </w:tcBorders>
            <w:hideMark/>
          </w:tcPr>
          <w:p w:rsidR="00137F40" w:rsidRPr="00995960" w:rsidRDefault="00137F40" w:rsidP="005B63A2">
            <w:pPr>
              <w:spacing w:line="240" w:lineRule="auto"/>
              <w:rPr>
                <w:rFonts w:ascii="Times New Roman" w:hAnsi="Times New Roman" w:cs="Times New Roman"/>
                <w:b w:val="0"/>
                <w:bCs w:val="0"/>
                <w:sz w:val="24"/>
                <w:szCs w:val="24"/>
              </w:rPr>
            </w:pPr>
            <w:r w:rsidRPr="00995960">
              <w:rPr>
                <w:rFonts w:ascii="Times New Roman" w:hAnsi="Times New Roman" w:cs="Times New Roman"/>
                <w:b w:val="0"/>
                <w:bCs w:val="0"/>
                <w:sz w:val="24"/>
                <w:szCs w:val="24"/>
              </w:rPr>
              <w:t>9.4</w:t>
            </w:r>
            <w:r w:rsidRPr="00995960">
              <w:rPr>
                <w:rFonts w:ascii="Times New Roman" w:hAnsi="Times New Roman" w:cs="Times New Roman"/>
                <w:b w:val="0"/>
                <w:bCs w:val="0"/>
                <w:sz w:val="24"/>
                <w:szCs w:val="24"/>
                <w:vertAlign w:val="superscript"/>
              </w:rPr>
              <w:t>a</w:t>
            </w:r>
            <w:r w:rsidRPr="00995960">
              <w:rPr>
                <w:rFonts w:ascii="Times New Roman" w:hAnsi="Times New Roman" w:cs="Times New Roman"/>
                <w:b w:val="0"/>
                <w:bCs w:val="0"/>
                <w:sz w:val="24"/>
                <w:szCs w:val="24"/>
              </w:rPr>
              <w:t xml:space="preserve"> ± 0.01</w:t>
            </w:r>
          </w:p>
        </w:tc>
      </w:tr>
      <w:tr w:rsidR="00137F40" w:rsidRPr="00995960" w:rsidTr="005B63A2">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single" w:sz="4" w:space="0" w:color="7F7F7F" w:themeColor="text1" w:themeTint="80"/>
              <w:right w:val="nil"/>
            </w:tcBorders>
            <w:hideMark/>
          </w:tcPr>
          <w:p w:rsidR="00137F40" w:rsidRPr="00995960" w:rsidRDefault="00137F40" w:rsidP="005B63A2">
            <w:pPr>
              <w:spacing w:line="240" w:lineRule="auto"/>
              <w:rPr>
                <w:rFonts w:ascii="Times New Roman" w:hAnsi="Times New Roman" w:cs="Times New Roman"/>
                <w:b w:val="0"/>
                <w:bCs w:val="0"/>
                <w:sz w:val="24"/>
                <w:szCs w:val="24"/>
              </w:rPr>
            </w:pPr>
            <w:r w:rsidRPr="00995960">
              <w:rPr>
                <w:rFonts w:ascii="Times New Roman" w:hAnsi="Times New Roman" w:cs="Times New Roman"/>
                <w:b w:val="0"/>
                <w:bCs w:val="0"/>
                <w:sz w:val="24"/>
                <w:szCs w:val="24"/>
              </w:rPr>
              <w:t>3</w:t>
            </w:r>
          </w:p>
        </w:tc>
        <w:tc>
          <w:tcPr>
            <w:tcW w:w="2337" w:type="dxa"/>
            <w:tcBorders>
              <w:top w:val="nil"/>
              <w:left w:val="nil"/>
              <w:bottom w:val="single" w:sz="4" w:space="0" w:color="7F7F7F" w:themeColor="text1" w:themeTint="80"/>
              <w:right w:val="nil"/>
            </w:tcBorders>
            <w:hideMark/>
          </w:tcPr>
          <w:p w:rsidR="00137F40" w:rsidRPr="00995960"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4.3</w:t>
            </w:r>
            <w:r w:rsidRPr="00995960">
              <w:rPr>
                <w:rFonts w:ascii="Times New Roman" w:hAnsi="Times New Roman" w:cs="Times New Roman"/>
                <w:sz w:val="24"/>
                <w:szCs w:val="24"/>
                <w:vertAlign w:val="superscript"/>
              </w:rPr>
              <w:t>b</w:t>
            </w:r>
            <w:r w:rsidRPr="00995960">
              <w:rPr>
                <w:rFonts w:ascii="Times New Roman" w:hAnsi="Times New Roman" w:cs="Times New Roman"/>
                <w:sz w:val="24"/>
                <w:szCs w:val="24"/>
              </w:rPr>
              <w:t xml:space="preserve"> ± 0.02</w:t>
            </w:r>
          </w:p>
        </w:tc>
        <w:tc>
          <w:tcPr>
            <w:tcW w:w="2338" w:type="dxa"/>
            <w:tcBorders>
              <w:top w:val="nil"/>
              <w:left w:val="nil"/>
              <w:bottom w:val="single" w:sz="4" w:space="0" w:color="7F7F7F" w:themeColor="text1" w:themeTint="80"/>
              <w:right w:val="nil"/>
            </w:tcBorders>
            <w:hideMark/>
          </w:tcPr>
          <w:p w:rsidR="00137F40" w:rsidRPr="00995960"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5.8</w:t>
            </w:r>
            <w:r w:rsidRPr="00995960">
              <w:rPr>
                <w:rFonts w:ascii="Times New Roman" w:hAnsi="Times New Roman" w:cs="Times New Roman"/>
                <w:sz w:val="24"/>
                <w:szCs w:val="24"/>
                <w:vertAlign w:val="superscript"/>
              </w:rPr>
              <w:t>a</w:t>
            </w:r>
            <w:r w:rsidRPr="00995960">
              <w:rPr>
                <w:rFonts w:ascii="Times New Roman" w:hAnsi="Times New Roman" w:cs="Times New Roman"/>
                <w:sz w:val="24"/>
                <w:szCs w:val="24"/>
              </w:rPr>
              <w:t xml:space="preserve"> ± 0.06</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single" w:sz="4" w:space="0" w:color="7F7F7F" w:themeColor="text1" w:themeTint="80"/>
              <w:right w:val="nil"/>
            </w:tcBorders>
            <w:hideMark/>
          </w:tcPr>
          <w:p w:rsidR="00137F40" w:rsidRPr="00995960" w:rsidRDefault="00137F40" w:rsidP="005B63A2">
            <w:pPr>
              <w:spacing w:line="240" w:lineRule="auto"/>
              <w:rPr>
                <w:rFonts w:ascii="Times New Roman" w:hAnsi="Times New Roman" w:cs="Times New Roman"/>
                <w:b w:val="0"/>
                <w:bCs w:val="0"/>
                <w:sz w:val="24"/>
                <w:szCs w:val="24"/>
              </w:rPr>
            </w:pPr>
            <w:r w:rsidRPr="00995960">
              <w:rPr>
                <w:rFonts w:ascii="Times New Roman" w:hAnsi="Times New Roman" w:cs="Times New Roman"/>
                <w:b w:val="0"/>
                <w:bCs w:val="0"/>
                <w:sz w:val="24"/>
                <w:szCs w:val="24"/>
              </w:rPr>
              <w:t>9.1</w:t>
            </w:r>
            <w:r w:rsidRPr="00995960">
              <w:rPr>
                <w:rFonts w:ascii="Times New Roman" w:hAnsi="Times New Roman" w:cs="Times New Roman"/>
                <w:b w:val="0"/>
                <w:bCs w:val="0"/>
                <w:sz w:val="24"/>
                <w:szCs w:val="24"/>
                <w:vertAlign w:val="superscript"/>
              </w:rPr>
              <w:t>b</w:t>
            </w:r>
            <w:r w:rsidRPr="00995960">
              <w:rPr>
                <w:rFonts w:ascii="Times New Roman" w:hAnsi="Times New Roman" w:cs="Times New Roman"/>
                <w:b w:val="0"/>
                <w:bCs w:val="0"/>
                <w:sz w:val="24"/>
                <w:szCs w:val="24"/>
              </w:rPr>
              <w:t xml:space="preserve"> ± 0.04</w:t>
            </w:r>
          </w:p>
        </w:tc>
      </w:tr>
    </w:tbl>
    <w:p w:rsidR="00137F40" w:rsidRPr="00995960" w:rsidRDefault="00137F40" w:rsidP="00137F40">
      <w:pPr>
        <w:spacing w:line="240" w:lineRule="auto"/>
        <w:rPr>
          <w:rFonts w:ascii="Times New Roman" w:hAnsi="Times New Roman" w:cs="Times New Roman"/>
          <w:sz w:val="24"/>
          <w:szCs w:val="24"/>
        </w:rPr>
      </w:pPr>
      <w:r w:rsidRPr="00995960">
        <w:rPr>
          <w:rFonts w:ascii="Times New Roman" w:hAnsi="Times New Roman" w:cs="Times New Roman"/>
          <w:sz w:val="24"/>
          <w:szCs w:val="24"/>
        </w:rPr>
        <w:t>*Means that share a letter down the column are not significantly different at 5% probability level</w:t>
      </w:r>
    </w:p>
    <w:p w:rsidR="00137F40" w:rsidRPr="00995960" w:rsidRDefault="00137F40" w:rsidP="00137F40">
      <w:pPr>
        <w:spacing w:line="240" w:lineRule="auto"/>
        <w:rPr>
          <w:rFonts w:ascii="Times New Roman" w:hAnsi="Times New Roman" w:cs="Times New Roman"/>
          <w:b/>
          <w:bCs/>
          <w:sz w:val="24"/>
          <w:szCs w:val="24"/>
        </w:rPr>
      </w:pPr>
      <w:r w:rsidRPr="00995960">
        <w:rPr>
          <w:rFonts w:ascii="Times New Roman" w:hAnsi="Times New Roman" w:cs="Times New Roman"/>
          <w:b/>
          <w:bCs/>
          <w:sz w:val="24"/>
          <w:szCs w:val="24"/>
        </w:rPr>
        <w:t xml:space="preserve">Table 2: Temporal distribution of Total Petroleum Hydrocarbon contents in gills, tissue and carapace of </w:t>
      </w:r>
      <w:proofErr w:type="spellStart"/>
      <w:r w:rsidRPr="00995960">
        <w:rPr>
          <w:rFonts w:ascii="Times New Roman" w:hAnsi="Times New Roman" w:cs="Times New Roman"/>
          <w:b/>
          <w:bCs/>
          <w:i/>
          <w:iCs/>
          <w:sz w:val="24"/>
          <w:szCs w:val="24"/>
        </w:rPr>
        <w:t>Callinectus</w:t>
      </w:r>
      <w:proofErr w:type="spellEnd"/>
      <w:r w:rsidRPr="00995960">
        <w:rPr>
          <w:rFonts w:ascii="Times New Roman" w:hAnsi="Times New Roman" w:cs="Times New Roman"/>
          <w:b/>
          <w:bCs/>
          <w:i/>
          <w:iCs/>
          <w:sz w:val="24"/>
          <w:szCs w:val="24"/>
        </w:rPr>
        <w:t xml:space="preserve"> sapidus</w:t>
      </w:r>
      <w:r w:rsidRPr="00995960">
        <w:rPr>
          <w:rFonts w:ascii="Times New Roman" w:hAnsi="Times New Roman" w:cs="Times New Roman"/>
          <w:b/>
          <w:bCs/>
          <w:sz w:val="24"/>
          <w:szCs w:val="24"/>
        </w:rPr>
        <w:t xml:space="preserve"> in New Calabar River, </w:t>
      </w:r>
      <w:proofErr w:type="spellStart"/>
      <w:r w:rsidRPr="00995960">
        <w:rPr>
          <w:rFonts w:ascii="Times New Roman" w:hAnsi="Times New Roman" w:cs="Times New Roman"/>
          <w:b/>
          <w:bCs/>
          <w:sz w:val="24"/>
          <w:szCs w:val="24"/>
        </w:rPr>
        <w:t>Choba</w:t>
      </w:r>
      <w:proofErr w:type="spellEnd"/>
      <w:r w:rsidRPr="00995960">
        <w:rPr>
          <w:rFonts w:ascii="Times New Roman" w:hAnsi="Times New Roman" w:cs="Times New Roman"/>
          <w:b/>
          <w:bCs/>
          <w:sz w:val="24"/>
          <w:szCs w:val="24"/>
        </w:rPr>
        <w:t xml:space="preserve"> axis of New Calabar River, Rivers State</w:t>
      </w:r>
    </w:p>
    <w:tbl>
      <w:tblPr>
        <w:tblStyle w:val="PlainTable21"/>
        <w:tblW w:w="0" w:type="auto"/>
        <w:tblLook w:val="07A0" w:firstRow="1" w:lastRow="0" w:firstColumn="1" w:lastColumn="1" w:noHBand="1" w:noVBand="1"/>
      </w:tblPr>
      <w:tblGrid>
        <w:gridCol w:w="2337"/>
        <w:gridCol w:w="2337"/>
        <w:gridCol w:w="2338"/>
        <w:gridCol w:w="2338"/>
      </w:tblGrid>
      <w:tr w:rsidR="00137F40" w:rsidRPr="00995960" w:rsidTr="005B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7F7F7F" w:themeColor="text1" w:themeTint="80"/>
              <w:left w:val="nil"/>
              <w:right w:val="nil"/>
            </w:tcBorders>
            <w:hideMark/>
          </w:tcPr>
          <w:p w:rsidR="00137F40" w:rsidRPr="00995960" w:rsidRDefault="00137F40" w:rsidP="005B63A2">
            <w:pPr>
              <w:spacing w:line="240" w:lineRule="auto"/>
              <w:rPr>
                <w:rFonts w:ascii="Times New Roman" w:hAnsi="Times New Roman" w:cs="Times New Roman"/>
                <w:sz w:val="24"/>
                <w:szCs w:val="24"/>
              </w:rPr>
            </w:pPr>
            <w:r w:rsidRPr="00995960">
              <w:rPr>
                <w:rFonts w:ascii="Times New Roman" w:hAnsi="Times New Roman" w:cs="Times New Roman"/>
                <w:sz w:val="24"/>
                <w:szCs w:val="24"/>
              </w:rPr>
              <w:t>Months</w:t>
            </w:r>
          </w:p>
        </w:tc>
        <w:tc>
          <w:tcPr>
            <w:tcW w:w="2337" w:type="dxa"/>
            <w:tcBorders>
              <w:top w:val="single" w:sz="4" w:space="0" w:color="7F7F7F" w:themeColor="text1" w:themeTint="80"/>
              <w:left w:val="nil"/>
              <w:right w:val="nil"/>
            </w:tcBorders>
            <w:hideMark/>
          </w:tcPr>
          <w:p w:rsidR="00137F40" w:rsidRPr="00995960" w:rsidRDefault="00137F40" w:rsidP="005B63A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 xml:space="preserve">Gills </w:t>
            </w:r>
          </w:p>
        </w:tc>
        <w:tc>
          <w:tcPr>
            <w:tcW w:w="2338" w:type="dxa"/>
            <w:tcBorders>
              <w:top w:val="single" w:sz="4" w:space="0" w:color="7F7F7F" w:themeColor="text1" w:themeTint="80"/>
              <w:left w:val="nil"/>
              <w:right w:val="nil"/>
            </w:tcBorders>
            <w:hideMark/>
          </w:tcPr>
          <w:p w:rsidR="00137F40" w:rsidRPr="00995960" w:rsidRDefault="00137F40" w:rsidP="005B63A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 xml:space="preserve">Tissues </w:t>
            </w:r>
          </w:p>
        </w:tc>
        <w:tc>
          <w:tcPr>
            <w:cnfStyle w:val="000100000000" w:firstRow="0" w:lastRow="0" w:firstColumn="0" w:lastColumn="1" w:oddVBand="0" w:evenVBand="0" w:oddHBand="0" w:evenHBand="0" w:firstRowFirstColumn="0" w:firstRowLastColumn="0" w:lastRowFirstColumn="0" w:lastRowLastColumn="0"/>
            <w:tcW w:w="2338" w:type="dxa"/>
            <w:tcBorders>
              <w:top w:val="single" w:sz="4" w:space="0" w:color="7F7F7F" w:themeColor="text1" w:themeTint="80"/>
              <w:left w:val="nil"/>
              <w:right w:val="nil"/>
            </w:tcBorders>
            <w:hideMark/>
          </w:tcPr>
          <w:p w:rsidR="00137F40" w:rsidRPr="00995960" w:rsidRDefault="00137F40" w:rsidP="005B63A2">
            <w:pPr>
              <w:spacing w:line="240" w:lineRule="auto"/>
              <w:rPr>
                <w:rFonts w:ascii="Times New Roman" w:hAnsi="Times New Roman" w:cs="Times New Roman"/>
                <w:sz w:val="24"/>
                <w:szCs w:val="24"/>
              </w:rPr>
            </w:pPr>
            <w:r w:rsidRPr="00995960">
              <w:rPr>
                <w:rFonts w:ascii="Times New Roman" w:hAnsi="Times New Roman" w:cs="Times New Roman"/>
                <w:sz w:val="24"/>
                <w:szCs w:val="24"/>
              </w:rPr>
              <w:t xml:space="preserve">Carapace </w:t>
            </w:r>
          </w:p>
        </w:tc>
      </w:tr>
      <w:tr w:rsidR="00137F40" w:rsidRPr="00995960" w:rsidTr="005B63A2">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rsidR="00137F40" w:rsidRPr="00995960" w:rsidRDefault="00137F40" w:rsidP="005B63A2">
            <w:pPr>
              <w:spacing w:line="240" w:lineRule="auto"/>
              <w:rPr>
                <w:rFonts w:ascii="Times New Roman" w:hAnsi="Times New Roman" w:cs="Times New Roman"/>
                <w:b w:val="0"/>
                <w:bCs w:val="0"/>
                <w:sz w:val="24"/>
                <w:szCs w:val="24"/>
              </w:rPr>
            </w:pPr>
            <w:r w:rsidRPr="00995960">
              <w:rPr>
                <w:rFonts w:ascii="Times New Roman" w:hAnsi="Times New Roman" w:cs="Times New Roman"/>
                <w:b w:val="0"/>
                <w:bCs w:val="0"/>
                <w:sz w:val="24"/>
                <w:szCs w:val="24"/>
              </w:rPr>
              <w:t>June</w:t>
            </w:r>
          </w:p>
        </w:tc>
        <w:tc>
          <w:tcPr>
            <w:tcW w:w="2337" w:type="dxa"/>
            <w:tcBorders>
              <w:top w:val="nil"/>
              <w:left w:val="nil"/>
              <w:bottom w:val="nil"/>
              <w:right w:val="nil"/>
            </w:tcBorders>
            <w:hideMark/>
          </w:tcPr>
          <w:p w:rsidR="00137F40" w:rsidRPr="00995960"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4.5</w:t>
            </w:r>
            <w:r w:rsidRPr="00995960">
              <w:rPr>
                <w:rFonts w:ascii="Times New Roman" w:hAnsi="Times New Roman" w:cs="Times New Roman"/>
                <w:sz w:val="24"/>
                <w:szCs w:val="24"/>
                <w:vertAlign w:val="superscript"/>
              </w:rPr>
              <w:t>a</w:t>
            </w:r>
            <w:r w:rsidRPr="00995960">
              <w:rPr>
                <w:rFonts w:ascii="Times New Roman" w:hAnsi="Times New Roman" w:cs="Times New Roman"/>
                <w:sz w:val="24"/>
                <w:szCs w:val="24"/>
              </w:rPr>
              <w:t xml:space="preserve"> ± 0.14</w:t>
            </w:r>
          </w:p>
        </w:tc>
        <w:tc>
          <w:tcPr>
            <w:tcW w:w="2338" w:type="dxa"/>
            <w:tcBorders>
              <w:top w:val="nil"/>
              <w:left w:val="nil"/>
              <w:bottom w:val="nil"/>
              <w:right w:val="nil"/>
            </w:tcBorders>
            <w:hideMark/>
          </w:tcPr>
          <w:p w:rsidR="00137F40" w:rsidRPr="00995960"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5.7</w:t>
            </w:r>
            <w:r w:rsidRPr="00995960">
              <w:rPr>
                <w:rFonts w:ascii="Times New Roman" w:hAnsi="Times New Roman" w:cs="Times New Roman"/>
                <w:sz w:val="24"/>
                <w:szCs w:val="24"/>
                <w:vertAlign w:val="superscript"/>
              </w:rPr>
              <w:t>a</w:t>
            </w:r>
            <w:r w:rsidRPr="00995960">
              <w:rPr>
                <w:rFonts w:ascii="Times New Roman" w:hAnsi="Times New Roman" w:cs="Times New Roman"/>
                <w:sz w:val="24"/>
                <w:szCs w:val="24"/>
              </w:rPr>
              <w:t xml:space="preserve"> ± 0.09</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nil"/>
              <w:right w:val="nil"/>
            </w:tcBorders>
            <w:hideMark/>
          </w:tcPr>
          <w:p w:rsidR="00137F40" w:rsidRPr="00995960" w:rsidRDefault="00137F40" w:rsidP="005B63A2">
            <w:pPr>
              <w:spacing w:line="240" w:lineRule="auto"/>
              <w:rPr>
                <w:rFonts w:ascii="Times New Roman" w:hAnsi="Times New Roman" w:cs="Times New Roman"/>
                <w:b w:val="0"/>
                <w:bCs w:val="0"/>
                <w:sz w:val="24"/>
                <w:szCs w:val="24"/>
              </w:rPr>
            </w:pPr>
            <w:r w:rsidRPr="00995960">
              <w:rPr>
                <w:rFonts w:ascii="Times New Roman" w:hAnsi="Times New Roman" w:cs="Times New Roman"/>
                <w:b w:val="0"/>
                <w:bCs w:val="0"/>
                <w:sz w:val="24"/>
                <w:szCs w:val="24"/>
              </w:rPr>
              <w:t>9.3</w:t>
            </w:r>
            <w:r w:rsidRPr="00995960">
              <w:rPr>
                <w:rFonts w:ascii="Times New Roman" w:hAnsi="Times New Roman" w:cs="Times New Roman"/>
                <w:b w:val="0"/>
                <w:bCs w:val="0"/>
                <w:sz w:val="24"/>
                <w:szCs w:val="24"/>
                <w:vertAlign w:val="superscript"/>
              </w:rPr>
              <w:t>a</w:t>
            </w:r>
            <w:r w:rsidRPr="00995960">
              <w:rPr>
                <w:rFonts w:ascii="Times New Roman" w:hAnsi="Times New Roman" w:cs="Times New Roman"/>
                <w:b w:val="0"/>
                <w:bCs w:val="0"/>
                <w:sz w:val="24"/>
                <w:szCs w:val="24"/>
              </w:rPr>
              <w:t xml:space="preserve"> ± 0.15</w:t>
            </w:r>
          </w:p>
        </w:tc>
      </w:tr>
      <w:tr w:rsidR="00137F40" w:rsidRPr="00995960" w:rsidTr="005B63A2">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rsidR="00137F40" w:rsidRPr="00995960" w:rsidRDefault="00137F40" w:rsidP="005B63A2">
            <w:pPr>
              <w:spacing w:line="240" w:lineRule="auto"/>
              <w:rPr>
                <w:rFonts w:ascii="Times New Roman" w:hAnsi="Times New Roman" w:cs="Times New Roman"/>
                <w:b w:val="0"/>
                <w:bCs w:val="0"/>
                <w:sz w:val="24"/>
                <w:szCs w:val="24"/>
              </w:rPr>
            </w:pPr>
            <w:r w:rsidRPr="00995960">
              <w:rPr>
                <w:rFonts w:ascii="Times New Roman" w:hAnsi="Times New Roman" w:cs="Times New Roman"/>
                <w:b w:val="0"/>
                <w:bCs w:val="0"/>
                <w:sz w:val="24"/>
                <w:szCs w:val="24"/>
              </w:rPr>
              <w:t>July</w:t>
            </w:r>
          </w:p>
        </w:tc>
        <w:tc>
          <w:tcPr>
            <w:tcW w:w="2337" w:type="dxa"/>
            <w:tcBorders>
              <w:top w:val="nil"/>
              <w:left w:val="nil"/>
              <w:bottom w:val="nil"/>
              <w:right w:val="nil"/>
            </w:tcBorders>
            <w:hideMark/>
          </w:tcPr>
          <w:p w:rsidR="00137F40" w:rsidRPr="00995960"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4.5</w:t>
            </w:r>
            <w:r w:rsidRPr="00995960">
              <w:rPr>
                <w:rFonts w:ascii="Times New Roman" w:hAnsi="Times New Roman" w:cs="Times New Roman"/>
                <w:sz w:val="24"/>
                <w:szCs w:val="24"/>
                <w:vertAlign w:val="superscript"/>
              </w:rPr>
              <w:t>a</w:t>
            </w:r>
            <w:r w:rsidRPr="00995960">
              <w:rPr>
                <w:rFonts w:ascii="Times New Roman" w:hAnsi="Times New Roman" w:cs="Times New Roman"/>
                <w:sz w:val="24"/>
                <w:szCs w:val="24"/>
              </w:rPr>
              <w:t xml:space="preserve"> ± 0.14</w:t>
            </w:r>
          </w:p>
        </w:tc>
        <w:tc>
          <w:tcPr>
            <w:tcW w:w="2338" w:type="dxa"/>
            <w:tcBorders>
              <w:top w:val="nil"/>
              <w:left w:val="nil"/>
              <w:bottom w:val="nil"/>
              <w:right w:val="nil"/>
            </w:tcBorders>
            <w:hideMark/>
          </w:tcPr>
          <w:p w:rsidR="00137F40" w:rsidRPr="00995960"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5.7</w:t>
            </w:r>
            <w:r w:rsidRPr="00995960">
              <w:rPr>
                <w:rFonts w:ascii="Times New Roman" w:hAnsi="Times New Roman" w:cs="Times New Roman"/>
                <w:sz w:val="24"/>
                <w:szCs w:val="24"/>
                <w:vertAlign w:val="superscript"/>
              </w:rPr>
              <w:t>a</w:t>
            </w:r>
            <w:r w:rsidRPr="00995960">
              <w:rPr>
                <w:rFonts w:ascii="Times New Roman" w:hAnsi="Times New Roman" w:cs="Times New Roman"/>
                <w:sz w:val="24"/>
                <w:szCs w:val="24"/>
              </w:rPr>
              <w:t xml:space="preserve"> ± 0.10</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nil"/>
              <w:right w:val="nil"/>
            </w:tcBorders>
            <w:hideMark/>
          </w:tcPr>
          <w:p w:rsidR="00137F40" w:rsidRPr="00995960" w:rsidRDefault="00137F40" w:rsidP="005B63A2">
            <w:pPr>
              <w:spacing w:line="240" w:lineRule="auto"/>
              <w:rPr>
                <w:rFonts w:ascii="Times New Roman" w:hAnsi="Times New Roman" w:cs="Times New Roman"/>
                <w:b w:val="0"/>
                <w:bCs w:val="0"/>
                <w:sz w:val="24"/>
                <w:szCs w:val="24"/>
              </w:rPr>
            </w:pPr>
            <w:r w:rsidRPr="00995960">
              <w:rPr>
                <w:rFonts w:ascii="Times New Roman" w:hAnsi="Times New Roman" w:cs="Times New Roman"/>
                <w:b w:val="0"/>
                <w:bCs w:val="0"/>
                <w:sz w:val="24"/>
                <w:szCs w:val="24"/>
              </w:rPr>
              <w:t>9.3</w:t>
            </w:r>
            <w:r w:rsidRPr="00995960">
              <w:rPr>
                <w:rFonts w:ascii="Times New Roman" w:hAnsi="Times New Roman" w:cs="Times New Roman"/>
                <w:b w:val="0"/>
                <w:bCs w:val="0"/>
                <w:sz w:val="24"/>
                <w:szCs w:val="24"/>
                <w:vertAlign w:val="superscript"/>
              </w:rPr>
              <w:t>a</w:t>
            </w:r>
            <w:r w:rsidRPr="00995960">
              <w:rPr>
                <w:rFonts w:ascii="Times New Roman" w:hAnsi="Times New Roman" w:cs="Times New Roman"/>
                <w:b w:val="0"/>
                <w:bCs w:val="0"/>
                <w:sz w:val="24"/>
                <w:szCs w:val="24"/>
              </w:rPr>
              <w:t xml:space="preserve"> ± 0.16</w:t>
            </w:r>
          </w:p>
        </w:tc>
      </w:tr>
      <w:tr w:rsidR="00137F40" w:rsidRPr="00995960" w:rsidTr="005B63A2">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single" w:sz="4" w:space="0" w:color="7F7F7F" w:themeColor="text1" w:themeTint="80"/>
              <w:right w:val="nil"/>
            </w:tcBorders>
            <w:hideMark/>
          </w:tcPr>
          <w:p w:rsidR="00137F40" w:rsidRPr="00995960" w:rsidRDefault="00137F40" w:rsidP="005B63A2">
            <w:pPr>
              <w:spacing w:line="240" w:lineRule="auto"/>
              <w:rPr>
                <w:rFonts w:ascii="Times New Roman" w:hAnsi="Times New Roman" w:cs="Times New Roman"/>
                <w:b w:val="0"/>
                <w:bCs w:val="0"/>
                <w:sz w:val="24"/>
                <w:szCs w:val="24"/>
              </w:rPr>
            </w:pPr>
            <w:r w:rsidRPr="00995960">
              <w:rPr>
                <w:rFonts w:ascii="Times New Roman" w:hAnsi="Times New Roman" w:cs="Times New Roman"/>
                <w:b w:val="0"/>
                <w:bCs w:val="0"/>
                <w:sz w:val="24"/>
                <w:szCs w:val="24"/>
              </w:rPr>
              <w:t>August</w:t>
            </w:r>
          </w:p>
        </w:tc>
        <w:tc>
          <w:tcPr>
            <w:tcW w:w="2337" w:type="dxa"/>
            <w:tcBorders>
              <w:top w:val="nil"/>
              <w:left w:val="nil"/>
              <w:bottom w:val="single" w:sz="4" w:space="0" w:color="7F7F7F" w:themeColor="text1" w:themeTint="80"/>
              <w:right w:val="nil"/>
            </w:tcBorders>
            <w:hideMark/>
          </w:tcPr>
          <w:p w:rsidR="00137F40" w:rsidRPr="00995960"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4.5</w:t>
            </w:r>
            <w:r w:rsidRPr="00995960">
              <w:rPr>
                <w:rFonts w:ascii="Times New Roman" w:hAnsi="Times New Roman" w:cs="Times New Roman"/>
                <w:sz w:val="24"/>
                <w:szCs w:val="24"/>
                <w:vertAlign w:val="superscript"/>
              </w:rPr>
              <w:t>a</w:t>
            </w:r>
            <w:r w:rsidRPr="00995960">
              <w:rPr>
                <w:rFonts w:ascii="Times New Roman" w:hAnsi="Times New Roman" w:cs="Times New Roman"/>
                <w:sz w:val="24"/>
                <w:szCs w:val="24"/>
              </w:rPr>
              <w:t xml:space="preserve"> ± 0.10</w:t>
            </w:r>
          </w:p>
        </w:tc>
        <w:tc>
          <w:tcPr>
            <w:tcW w:w="2338" w:type="dxa"/>
            <w:tcBorders>
              <w:top w:val="nil"/>
              <w:left w:val="nil"/>
              <w:bottom w:val="single" w:sz="4" w:space="0" w:color="7F7F7F" w:themeColor="text1" w:themeTint="80"/>
              <w:right w:val="nil"/>
            </w:tcBorders>
            <w:hideMark/>
          </w:tcPr>
          <w:p w:rsidR="00137F40" w:rsidRPr="00995960"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5960">
              <w:rPr>
                <w:rFonts w:ascii="Times New Roman" w:hAnsi="Times New Roman" w:cs="Times New Roman"/>
                <w:sz w:val="24"/>
                <w:szCs w:val="24"/>
              </w:rPr>
              <w:t>5.7</w:t>
            </w:r>
            <w:r w:rsidRPr="00995960">
              <w:rPr>
                <w:rFonts w:ascii="Times New Roman" w:hAnsi="Times New Roman" w:cs="Times New Roman"/>
                <w:sz w:val="24"/>
                <w:szCs w:val="24"/>
                <w:vertAlign w:val="superscript"/>
              </w:rPr>
              <w:t>a</w:t>
            </w:r>
            <w:r w:rsidRPr="00995960">
              <w:rPr>
                <w:rFonts w:ascii="Times New Roman" w:hAnsi="Times New Roman" w:cs="Times New Roman"/>
                <w:sz w:val="24"/>
                <w:szCs w:val="24"/>
              </w:rPr>
              <w:t xml:space="preserve"> ± 0.12</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single" w:sz="4" w:space="0" w:color="7F7F7F" w:themeColor="text1" w:themeTint="80"/>
              <w:right w:val="nil"/>
            </w:tcBorders>
            <w:hideMark/>
          </w:tcPr>
          <w:p w:rsidR="00137F40" w:rsidRPr="00995960" w:rsidRDefault="00137F40" w:rsidP="005B63A2">
            <w:pPr>
              <w:spacing w:line="240" w:lineRule="auto"/>
              <w:rPr>
                <w:rFonts w:ascii="Times New Roman" w:hAnsi="Times New Roman" w:cs="Times New Roman"/>
                <w:b w:val="0"/>
                <w:bCs w:val="0"/>
                <w:sz w:val="24"/>
                <w:szCs w:val="24"/>
              </w:rPr>
            </w:pPr>
            <w:r w:rsidRPr="00995960">
              <w:rPr>
                <w:rFonts w:ascii="Times New Roman" w:hAnsi="Times New Roman" w:cs="Times New Roman"/>
                <w:b w:val="0"/>
                <w:bCs w:val="0"/>
                <w:sz w:val="24"/>
                <w:szCs w:val="24"/>
              </w:rPr>
              <w:t>9.3</w:t>
            </w:r>
            <w:r w:rsidRPr="00995960">
              <w:rPr>
                <w:rFonts w:ascii="Times New Roman" w:hAnsi="Times New Roman" w:cs="Times New Roman"/>
                <w:b w:val="0"/>
                <w:bCs w:val="0"/>
                <w:sz w:val="24"/>
                <w:szCs w:val="24"/>
                <w:vertAlign w:val="superscript"/>
              </w:rPr>
              <w:t>a</w:t>
            </w:r>
            <w:r w:rsidRPr="00995960">
              <w:rPr>
                <w:rFonts w:ascii="Times New Roman" w:hAnsi="Times New Roman" w:cs="Times New Roman"/>
                <w:b w:val="0"/>
                <w:bCs w:val="0"/>
                <w:sz w:val="24"/>
                <w:szCs w:val="24"/>
              </w:rPr>
              <w:t xml:space="preserve"> ± 0.16</w:t>
            </w:r>
          </w:p>
        </w:tc>
      </w:tr>
    </w:tbl>
    <w:p w:rsidR="00137F40" w:rsidRPr="00995960" w:rsidRDefault="00137F40" w:rsidP="00137F40">
      <w:pPr>
        <w:spacing w:line="240" w:lineRule="auto"/>
        <w:rPr>
          <w:rFonts w:ascii="Times New Roman" w:hAnsi="Times New Roman" w:cs="Times New Roman"/>
          <w:sz w:val="24"/>
          <w:szCs w:val="24"/>
        </w:rPr>
      </w:pPr>
      <w:r w:rsidRPr="00995960">
        <w:rPr>
          <w:rFonts w:ascii="Times New Roman" w:hAnsi="Times New Roman" w:cs="Times New Roman"/>
          <w:sz w:val="24"/>
          <w:szCs w:val="24"/>
        </w:rPr>
        <w:t>*Means that share a letter down the column are not significantly different at 5% probability level</w:t>
      </w:r>
    </w:p>
    <w:p w:rsidR="00137F40" w:rsidRPr="00995960" w:rsidRDefault="00137F40" w:rsidP="00137F40">
      <w:pPr>
        <w:spacing w:line="240" w:lineRule="auto"/>
        <w:rPr>
          <w:rFonts w:ascii="Times New Roman" w:hAnsi="Times New Roman" w:cs="Times New Roman"/>
          <w:sz w:val="24"/>
          <w:szCs w:val="24"/>
        </w:rPr>
      </w:pPr>
    </w:p>
    <w:p w:rsidR="00137F40" w:rsidRPr="00995960" w:rsidRDefault="00137F40" w:rsidP="00137F40">
      <w:pPr>
        <w:spacing w:line="240" w:lineRule="auto"/>
        <w:rPr>
          <w:rFonts w:ascii="Times New Roman" w:hAnsi="Times New Roman" w:cs="Times New Roman"/>
          <w:sz w:val="24"/>
          <w:szCs w:val="24"/>
        </w:rPr>
      </w:pPr>
      <w:r w:rsidRPr="00995960">
        <w:rPr>
          <w:rFonts w:ascii="Times New Roman" w:hAnsi="Times New Roman" w:cs="Times New Roman"/>
          <w:noProof/>
          <w:sz w:val="24"/>
          <w:szCs w:val="24"/>
        </w:rPr>
        <w:lastRenderedPageBreak/>
        <w:drawing>
          <wp:inline distT="0" distB="0" distL="0" distR="0">
            <wp:extent cx="5495925" cy="3209925"/>
            <wp:effectExtent l="0" t="0" r="9525" b="9525"/>
            <wp:docPr id="20510975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37F40" w:rsidRPr="00995960" w:rsidRDefault="00137F40" w:rsidP="00137F40">
      <w:pPr>
        <w:spacing w:line="240" w:lineRule="auto"/>
        <w:rPr>
          <w:rFonts w:ascii="Times New Roman" w:hAnsi="Times New Roman" w:cs="Times New Roman"/>
          <w:b/>
          <w:bCs/>
          <w:sz w:val="24"/>
          <w:szCs w:val="24"/>
        </w:rPr>
      </w:pPr>
      <w:r w:rsidRPr="00995960">
        <w:rPr>
          <w:rFonts w:ascii="Times New Roman" w:hAnsi="Times New Roman" w:cs="Times New Roman"/>
          <w:b/>
          <w:bCs/>
          <w:sz w:val="24"/>
          <w:szCs w:val="24"/>
        </w:rPr>
        <w:t xml:space="preserve">Fig.1: Temporal distribution of Total Petroleum Hydrocarbon content in tissues of </w:t>
      </w:r>
      <w:proofErr w:type="spellStart"/>
      <w:r w:rsidRPr="00995960">
        <w:rPr>
          <w:rFonts w:ascii="Times New Roman" w:hAnsi="Times New Roman" w:cs="Times New Roman"/>
          <w:b/>
          <w:bCs/>
          <w:i/>
          <w:iCs/>
          <w:sz w:val="24"/>
          <w:szCs w:val="24"/>
        </w:rPr>
        <w:t>Callinectus</w:t>
      </w:r>
      <w:proofErr w:type="spellEnd"/>
      <w:r w:rsidRPr="00995960">
        <w:rPr>
          <w:rFonts w:ascii="Times New Roman" w:hAnsi="Times New Roman" w:cs="Times New Roman"/>
          <w:b/>
          <w:bCs/>
          <w:i/>
          <w:iCs/>
          <w:sz w:val="24"/>
          <w:szCs w:val="24"/>
        </w:rPr>
        <w:t xml:space="preserve"> sapidus</w:t>
      </w:r>
    </w:p>
    <w:p w:rsidR="00137F40" w:rsidRPr="00995960" w:rsidRDefault="00137F40" w:rsidP="00137F40">
      <w:pPr>
        <w:spacing w:line="240" w:lineRule="auto"/>
        <w:rPr>
          <w:rFonts w:ascii="Times New Roman" w:hAnsi="Times New Roman" w:cs="Times New Roman"/>
          <w:sz w:val="24"/>
          <w:szCs w:val="24"/>
        </w:rPr>
      </w:pPr>
      <w:r w:rsidRPr="00995960">
        <w:rPr>
          <w:rFonts w:ascii="Times New Roman" w:hAnsi="Times New Roman" w:cs="Times New Roman"/>
          <w:noProof/>
          <w:sz w:val="24"/>
          <w:szCs w:val="24"/>
        </w:rPr>
        <w:drawing>
          <wp:inline distT="0" distB="0" distL="0" distR="0">
            <wp:extent cx="5495925" cy="3209925"/>
            <wp:effectExtent l="0" t="0" r="9525" b="9525"/>
            <wp:docPr id="55190574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37F40" w:rsidRPr="00995960" w:rsidRDefault="00137F40" w:rsidP="00137F40">
      <w:pPr>
        <w:spacing w:line="240" w:lineRule="auto"/>
        <w:rPr>
          <w:rFonts w:ascii="Times New Roman" w:hAnsi="Times New Roman" w:cs="Times New Roman"/>
          <w:b/>
          <w:bCs/>
          <w:i/>
          <w:iCs/>
          <w:sz w:val="24"/>
          <w:szCs w:val="24"/>
        </w:rPr>
      </w:pPr>
      <w:r w:rsidRPr="00995960">
        <w:rPr>
          <w:rFonts w:ascii="Times New Roman" w:hAnsi="Times New Roman" w:cs="Times New Roman"/>
          <w:b/>
          <w:bCs/>
          <w:sz w:val="24"/>
          <w:szCs w:val="24"/>
        </w:rPr>
        <w:t xml:space="preserve">Fig.2: Temporal distribution of Total Petroleum Hydrocarbon content in gills of </w:t>
      </w:r>
      <w:proofErr w:type="spellStart"/>
      <w:r w:rsidRPr="00995960">
        <w:rPr>
          <w:rFonts w:ascii="Times New Roman" w:hAnsi="Times New Roman" w:cs="Times New Roman"/>
          <w:b/>
          <w:bCs/>
          <w:i/>
          <w:iCs/>
          <w:sz w:val="24"/>
          <w:szCs w:val="24"/>
        </w:rPr>
        <w:t>Callinectus</w:t>
      </w:r>
      <w:proofErr w:type="spellEnd"/>
      <w:r w:rsidRPr="00995960">
        <w:rPr>
          <w:rFonts w:ascii="Times New Roman" w:hAnsi="Times New Roman" w:cs="Times New Roman"/>
          <w:b/>
          <w:bCs/>
          <w:i/>
          <w:iCs/>
          <w:sz w:val="24"/>
          <w:szCs w:val="24"/>
        </w:rPr>
        <w:t xml:space="preserve"> sapidus</w:t>
      </w:r>
    </w:p>
    <w:p w:rsidR="00137F40" w:rsidRPr="00995960" w:rsidRDefault="00137F40" w:rsidP="00137F40">
      <w:pPr>
        <w:spacing w:line="240" w:lineRule="auto"/>
        <w:rPr>
          <w:rFonts w:ascii="Times New Roman" w:hAnsi="Times New Roman" w:cs="Times New Roman"/>
          <w:sz w:val="24"/>
          <w:szCs w:val="24"/>
        </w:rPr>
      </w:pPr>
    </w:p>
    <w:p w:rsidR="00137F40" w:rsidRPr="00995960" w:rsidRDefault="00137F40" w:rsidP="00137F40">
      <w:pPr>
        <w:spacing w:line="240" w:lineRule="auto"/>
        <w:rPr>
          <w:rFonts w:ascii="Times New Roman" w:hAnsi="Times New Roman" w:cs="Times New Roman"/>
          <w:sz w:val="24"/>
          <w:szCs w:val="24"/>
        </w:rPr>
      </w:pPr>
      <w:r w:rsidRPr="00995960">
        <w:rPr>
          <w:rFonts w:ascii="Times New Roman" w:hAnsi="Times New Roman" w:cs="Times New Roman"/>
          <w:noProof/>
          <w:sz w:val="24"/>
          <w:szCs w:val="24"/>
        </w:rPr>
        <w:lastRenderedPageBreak/>
        <w:drawing>
          <wp:inline distT="0" distB="0" distL="0" distR="0">
            <wp:extent cx="5495925" cy="3209925"/>
            <wp:effectExtent l="0" t="0" r="9525" b="9525"/>
            <wp:docPr id="5427868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37F40" w:rsidRPr="00995960" w:rsidRDefault="00137F40" w:rsidP="00137F40">
      <w:pPr>
        <w:spacing w:line="240" w:lineRule="auto"/>
        <w:rPr>
          <w:rFonts w:ascii="Times New Roman" w:hAnsi="Times New Roman" w:cs="Times New Roman"/>
          <w:b/>
          <w:bCs/>
          <w:i/>
          <w:iCs/>
          <w:sz w:val="24"/>
          <w:szCs w:val="24"/>
        </w:rPr>
      </w:pPr>
      <w:r w:rsidRPr="00995960">
        <w:rPr>
          <w:rFonts w:ascii="Times New Roman" w:hAnsi="Times New Roman" w:cs="Times New Roman"/>
          <w:b/>
          <w:bCs/>
          <w:sz w:val="24"/>
          <w:szCs w:val="24"/>
        </w:rPr>
        <w:t xml:space="preserve">Fig. 3: Temporal distribution of Total Petroleum Hydrocarbon content in carapace of </w:t>
      </w:r>
      <w:proofErr w:type="spellStart"/>
      <w:r w:rsidRPr="00995960">
        <w:rPr>
          <w:rFonts w:ascii="Times New Roman" w:hAnsi="Times New Roman" w:cs="Times New Roman"/>
          <w:b/>
          <w:bCs/>
          <w:i/>
          <w:iCs/>
          <w:sz w:val="24"/>
          <w:szCs w:val="24"/>
        </w:rPr>
        <w:t>Callinectus</w:t>
      </w:r>
      <w:proofErr w:type="spellEnd"/>
      <w:r w:rsidRPr="00995960">
        <w:rPr>
          <w:rFonts w:ascii="Times New Roman" w:hAnsi="Times New Roman" w:cs="Times New Roman"/>
          <w:b/>
          <w:bCs/>
          <w:i/>
          <w:iCs/>
          <w:sz w:val="24"/>
          <w:szCs w:val="24"/>
        </w:rPr>
        <w:t xml:space="preserve"> sapidus</w:t>
      </w:r>
    </w:p>
    <w:p w:rsidR="00137F40" w:rsidRPr="00995960" w:rsidRDefault="00137F40" w:rsidP="00137F40">
      <w:pPr>
        <w:spacing w:line="240" w:lineRule="auto"/>
        <w:rPr>
          <w:rFonts w:ascii="Times New Roman" w:hAnsi="Times New Roman" w:cs="Times New Roman"/>
          <w:sz w:val="24"/>
          <w:szCs w:val="24"/>
        </w:rPr>
      </w:pPr>
    </w:p>
    <w:p w:rsidR="00137F40" w:rsidRPr="00995960" w:rsidRDefault="00137F40" w:rsidP="00137F40">
      <w:pPr>
        <w:spacing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b/>
          <w:bCs/>
          <w:color w:val="000000"/>
          <w:kern w:val="0"/>
          <w:sz w:val="24"/>
          <w:szCs w:val="24"/>
        </w:rPr>
        <w:t>Discussion</w:t>
      </w:r>
    </w:p>
    <w:p w:rsidR="00137F40" w:rsidRPr="00B479F0"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B479F0">
        <w:rPr>
          <w:rFonts w:ascii="Times New Roman" w:eastAsia="Times New Roman" w:hAnsi="Times New Roman" w:cs="Times New Roman"/>
          <w:kern w:val="0"/>
          <w:sz w:val="24"/>
          <w:szCs w:val="24"/>
        </w:rPr>
        <w:t xml:space="preserve">The analysis of total petroleum hydrocarbon (TPH) contents in the gills, tissues, and carapace of </w:t>
      </w:r>
      <w:r w:rsidRPr="00B479F0">
        <w:rPr>
          <w:rFonts w:ascii="Times New Roman" w:eastAsia="Times New Roman" w:hAnsi="Times New Roman" w:cs="Times New Roman"/>
          <w:i/>
          <w:iCs/>
          <w:kern w:val="0"/>
          <w:sz w:val="24"/>
          <w:szCs w:val="24"/>
        </w:rPr>
        <w:t>Callinectes sapidus</w:t>
      </w:r>
      <w:r w:rsidRPr="00B479F0">
        <w:rPr>
          <w:rFonts w:ascii="Times New Roman" w:eastAsia="Times New Roman" w:hAnsi="Times New Roman" w:cs="Times New Roman"/>
          <w:kern w:val="0"/>
          <w:sz w:val="24"/>
          <w:szCs w:val="24"/>
        </w:rPr>
        <w:t xml:space="preserve"> collected from various stations along the </w:t>
      </w:r>
      <w:proofErr w:type="spellStart"/>
      <w:r w:rsidRPr="00B479F0">
        <w:rPr>
          <w:rFonts w:ascii="Times New Roman" w:eastAsia="Times New Roman" w:hAnsi="Times New Roman" w:cs="Times New Roman"/>
          <w:kern w:val="0"/>
          <w:sz w:val="24"/>
          <w:szCs w:val="24"/>
        </w:rPr>
        <w:t>Choba</w:t>
      </w:r>
      <w:proofErr w:type="spellEnd"/>
      <w:r w:rsidRPr="00B479F0">
        <w:rPr>
          <w:rFonts w:ascii="Times New Roman" w:eastAsia="Times New Roman" w:hAnsi="Times New Roman" w:cs="Times New Roman"/>
          <w:kern w:val="0"/>
          <w:sz w:val="24"/>
          <w:szCs w:val="24"/>
        </w:rPr>
        <w:t xml:space="preserve"> axis of the New Calabar River reveals notable patterns in both spatial and temporal distribution.</w:t>
      </w:r>
    </w:p>
    <w:p w:rsidR="00137F40" w:rsidRPr="00B479F0" w:rsidRDefault="00137F40" w:rsidP="00137F40">
      <w:pPr>
        <w:spacing w:before="100" w:beforeAutospacing="1" w:after="100" w:afterAutospacing="1" w:line="240" w:lineRule="auto"/>
        <w:jc w:val="both"/>
        <w:outlineLvl w:val="3"/>
        <w:rPr>
          <w:rFonts w:ascii="Times New Roman" w:eastAsia="Times New Roman" w:hAnsi="Times New Roman" w:cs="Times New Roman"/>
          <w:b/>
          <w:bCs/>
          <w:kern w:val="0"/>
          <w:sz w:val="24"/>
          <w:szCs w:val="24"/>
        </w:rPr>
      </w:pPr>
      <w:r w:rsidRPr="00B479F0">
        <w:rPr>
          <w:rFonts w:ascii="Times New Roman" w:eastAsia="Times New Roman" w:hAnsi="Times New Roman" w:cs="Times New Roman"/>
          <w:b/>
          <w:bCs/>
          <w:kern w:val="0"/>
          <w:sz w:val="24"/>
          <w:szCs w:val="24"/>
        </w:rPr>
        <w:t>Spatial Distribution</w:t>
      </w:r>
    </w:p>
    <w:p w:rsidR="00137F40" w:rsidRPr="00B479F0"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B479F0">
        <w:rPr>
          <w:rFonts w:ascii="Times New Roman" w:eastAsia="Times New Roman" w:hAnsi="Times New Roman" w:cs="Times New Roman"/>
          <w:kern w:val="0"/>
          <w:sz w:val="24"/>
          <w:szCs w:val="24"/>
        </w:rPr>
        <w:t>As indicated in Table 2, the mean TPH levels in the gills ranged from 4.3 to 4.6 mg/kg, with no significant differences among the stations (p &gt; 0.05). In contrast, the tissue concentrations were slightly higher, with values between 5.6 and 5.8 mg/kg, showing a significant variation at the 5% level, particularly between Station 2 and Station 3 (p &lt; 0.05). The carapace exhibited the highest mean concentrations, ranging from 9.1 to 9.4 mg/kg, yet no significant differences were found across the stations (p &gt; 0.05). This suggests that while TPH accumulation is present in all examined parts, the tissue may serve as a better indicator of exposure due to its varying levels.</w:t>
      </w:r>
    </w:p>
    <w:p w:rsidR="00137F40" w:rsidRPr="00B479F0"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B479F0">
        <w:rPr>
          <w:rFonts w:ascii="Times New Roman" w:eastAsia="Times New Roman" w:hAnsi="Times New Roman" w:cs="Times New Roman"/>
          <w:kern w:val="0"/>
          <w:sz w:val="24"/>
          <w:szCs w:val="24"/>
        </w:rPr>
        <w:t xml:space="preserve">These findings align with previous research that indicates higher TPH concentrations in soft tissues compared to harder exoskeletons, likely due to the greater surface area and permeability of tissues (Kumar </w:t>
      </w:r>
      <w:r w:rsidRPr="00B479F0">
        <w:rPr>
          <w:rFonts w:ascii="Times New Roman" w:eastAsia="Times New Roman" w:hAnsi="Times New Roman" w:cs="Times New Roman"/>
          <w:i/>
          <w:iCs/>
          <w:kern w:val="0"/>
          <w:sz w:val="24"/>
          <w:szCs w:val="24"/>
        </w:rPr>
        <w:t>et al</w:t>
      </w:r>
      <w:r w:rsidRPr="00B479F0">
        <w:rPr>
          <w:rFonts w:ascii="Times New Roman" w:eastAsia="Times New Roman" w:hAnsi="Times New Roman" w:cs="Times New Roman"/>
          <w:kern w:val="0"/>
          <w:sz w:val="24"/>
          <w:szCs w:val="24"/>
        </w:rPr>
        <w:t xml:space="preserve">., 2020). The relatively stable levels in the carapace could reflect a lesser degree of direct exposure to pollutants, as the carapace acts as a protective barrier (Baker </w:t>
      </w:r>
      <w:r w:rsidRPr="00B479F0">
        <w:rPr>
          <w:rFonts w:ascii="Times New Roman" w:eastAsia="Times New Roman" w:hAnsi="Times New Roman" w:cs="Times New Roman"/>
          <w:i/>
          <w:iCs/>
          <w:kern w:val="0"/>
          <w:sz w:val="24"/>
          <w:szCs w:val="24"/>
        </w:rPr>
        <w:t>et al</w:t>
      </w:r>
      <w:r w:rsidRPr="00B479F0">
        <w:rPr>
          <w:rFonts w:ascii="Times New Roman" w:eastAsia="Times New Roman" w:hAnsi="Times New Roman" w:cs="Times New Roman"/>
          <w:kern w:val="0"/>
          <w:sz w:val="24"/>
          <w:szCs w:val="24"/>
        </w:rPr>
        <w:t>., 2021).</w:t>
      </w:r>
    </w:p>
    <w:p w:rsidR="00F23722" w:rsidRPr="00B479F0" w:rsidRDefault="00F23722"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B479F0">
        <w:rPr>
          <w:rFonts w:ascii="Times New Roman" w:hAnsi="Times New Roman" w:cs="Times New Roman"/>
          <w:sz w:val="24"/>
          <w:szCs w:val="24"/>
        </w:rPr>
        <w:lastRenderedPageBreak/>
        <w:t xml:space="preserve">The results from this study are higher than that of Tolosa </w:t>
      </w:r>
      <w:r w:rsidRPr="00B479F0">
        <w:rPr>
          <w:rFonts w:ascii="Times New Roman" w:hAnsi="Times New Roman" w:cs="Times New Roman"/>
          <w:i/>
          <w:sz w:val="24"/>
          <w:szCs w:val="24"/>
        </w:rPr>
        <w:t>et al</w:t>
      </w:r>
      <w:r w:rsidRPr="00B479F0">
        <w:rPr>
          <w:rFonts w:ascii="Times New Roman" w:hAnsi="Times New Roman" w:cs="Times New Roman"/>
          <w:sz w:val="24"/>
          <w:szCs w:val="24"/>
        </w:rPr>
        <w:t xml:space="preserve">. (2005) who observed 2.07μg-g-1 TPH concentration in tissues of </w:t>
      </w:r>
      <w:r w:rsidRPr="00B479F0">
        <w:rPr>
          <w:rFonts w:ascii="Times New Roman" w:hAnsi="Times New Roman" w:cs="Times New Roman"/>
          <w:i/>
          <w:sz w:val="24"/>
          <w:szCs w:val="24"/>
        </w:rPr>
        <w:t xml:space="preserve">Epinephelus </w:t>
      </w:r>
      <w:proofErr w:type="spellStart"/>
      <w:proofErr w:type="gramStart"/>
      <w:r w:rsidRPr="00B479F0">
        <w:rPr>
          <w:rFonts w:ascii="Times New Roman" w:hAnsi="Times New Roman" w:cs="Times New Roman"/>
          <w:i/>
          <w:sz w:val="24"/>
          <w:szCs w:val="24"/>
        </w:rPr>
        <w:t>coioides</w:t>
      </w:r>
      <w:proofErr w:type="spellEnd"/>
      <w:r w:rsidRPr="00B479F0">
        <w:rPr>
          <w:rFonts w:ascii="Times New Roman" w:hAnsi="Times New Roman" w:cs="Times New Roman"/>
          <w:sz w:val="24"/>
          <w:szCs w:val="24"/>
        </w:rPr>
        <w:t xml:space="preserve">  and</w:t>
      </w:r>
      <w:proofErr w:type="gramEnd"/>
      <w:r w:rsidRPr="00B479F0">
        <w:rPr>
          <w:rFonts w:ascii="Times New Roman" w:hAnsi="Times New Roman" w:cs="Times New Roman"/>
          <w:sz w:val="24"/>
          <w:szCs w:val="24"/>
        </w:rPr>
        <w:t xml:space="preserve"> 3.40 μg-g-1 in </w:t>
      </w:r>
      <w:r w:rsidRPr="00B479F0">
        <w:rPr>
          <w:rFonts w:ascii="Times New Roman" w:hAnsi="Times New Roman" w:cs="Times New Roman"/>
          <w:i/>
          <w:sz w:val="24"/>
          <w:szCs w:val="24"/>
        </w:rPr>
        <w:t>Lethrinus nebulosus</w:t>
      </w:r>
      <w:r w:rsidR="00245F8E" w:rsidRPr="00B479F0">
        <w:rPr>
          <w:rFonts w:ascii="Times New Roman" w:hAnsi="Times New Roman" w:cs="Times New Roman"/>
          <w:sz w:val="24"/>
          <w:szCs w:val="24"/>
        </w:rPr>
        <w:t xml:space="preserve">. Result of this study is also </w:t>
      </w:r>
      <w:r w:rsidRPr="00B479F0">
        <w:rPr>
          <w:rFonts w:ascii="Times New Roman" w:hAnsi="Times New Roman" w:cs="Times New Roman"/>
          <w:sz w:val="24"/>
          <w:szCs w:val="24"/>
        </w:rPr>
        <w:t xml:space="preserve">higher than the reported concentration range of 0.52 to 2.05 </w:t>
      </w:r>
      <w:proofErr w:type="spellStart"/>
      <w:r w:rsidRPr="00B479F0">
        <w:rPr>
          <w:rFonts w:ascii="Times New Roman" w:hAnsi="Times New Roman" w:cs="Times New Roman"/>
          <w:sz w:val="24"/>
          <w:szCs w:val="24"/>
        </w:rPr>
        <w:t>μg</w:t>
      </w:r>
      <w:proofErr w:type="spellEnd"/>
      <w:r w:rsidRPr="00B479F0">
        <w:rPr>
          <w:rFonts w:ascii="Times New Roman" w:hAnsi="Times New Roman" w:cs="Times New Roman"/>
          <w:sz w:val="24"/>
          <w:szCs w:val="24"/>
        </w:rPr>
        <w:t xml:space="preserve"> g-1 from </w:t>
      </w:r>
      <w:proofErr w:type="spellStart"/>
      <w:r w:rsidRPr="00B479F0">
        <w:rPr>
          <w:rFonts w:ascii="Times New Roman" w:hAnsi="Times New Roman" w:cs="Times New Roman"/>
          <w:sz w:val="24"/>
          <w:szCs w:val="24"/>
        </w:rPr>
        <w:t>Tamilnadu</w:t>
      </w:r>
      <w:proofErr w:type="spellEnd"/>
      <w:r w:rsidRPr="00B479F0">
        <w:rPr>
          <w:rFonts w:ascii="Times New Roman" w:hAnsi="Times New Roman" w:cs="Times New Roman"/>
          <w:sz w:val="24"/>
          <w:szCs w:val="24"/>
        </w:rPr>
        <w:t xml:space="preserve"> coast (</w:t>
      </w:r>
      <w:proofErr w:type="spellStart"/>
      <w:r w:rsidRPr="00B479F0">
        <w:rPr>
          <w:rFonts w:ascii="Times New Roman" w:hAnsi="Times New Roman" w:cs="Times New Roman"/>
          <w:sz w:val="24"/>
          <w:szCs w:val="24"/>
        </w:rPr>
        <w:t>Veerasingam</w:t>
      </w:r>
      <w:proofErr w:type="spellEnd"/>
      <w:r w:rsidRPr="00B479F0">
        <w:rPr>
          <w:rFonts w:ascii="Times New Roman" w:hAnsi="Times New Roman" w:cs="Times New Roman"/>
          <w:sz w:val="24"/>
          <w:szCs w:val="24"/>
        </w:rPr>
        <w:t xml:space="preserve"> </w:t>
      </w:r>
      <w:r w:rsidRPr="00B479F0">
        <w:rPr>
          <w:rFonts w:ascii="Times New Roman" w:hAnsi="Times New Roman" w:cs="Times New Roman"/>
          <w:i/>
          <w:sz w:val="24"/>
          <w:szCs w:val="24"/>
        </w:rPr>
        <w:t>et al</w:t>
      </w:r>
      <w:r w:rsidR="00245F8E" w:rsidRPr="00B479F0">
        <w:rPr>
          <w:rFonts w:ascii="Times New Roman" w:hAnsi="Times New Roman" w:cs="Times New Roman"/>
          <w:sz w:val="24"/>
          <w:szCs w:val="24"/>
        </w:rPr>
        <w:t>.</w:t>
      </w:r>
      <w:r w:rsidRPr="00B479F0">
        <w:rPr>
          <w:rFonts w:ascii="Times New Roman" w:hAnsi="Times New Roman" w:cs="Times New Roman"/>
          <w:sz w:val="24"/>
          <w:szCs w:val="24"/>
        </w:rPr>
        <w:t>, 2011</w:t>
      </w:r>
      <w:r w:rsidR="00245F8E" w:rsidRPr="00B479F0">
        <w:rPr>
          <w:rFonts w:ascii="Times New Roman" w:hAnsi="Times New Roman" w:cs="Times New Roman"/>
          <w:sz w:val="24"/>
          <w:szCs w:val="24"/>
        </w:rPr>
        <w:t>)</w:t>
      </w:r>
      <w:r w:rsidR="0051645A" w:rsidRPr="00B479F0">
        <w:rPr>
          <w:rFonts w:ascii="Times New Roman" w:hAnsi="Times New Roman" w:cs="Times New Roman"/>
          <w:sz w:val="24"/>
          <w:szCs w:val="24"/>
        </w:rPr>
        <w:t xml:space="preserve">. However, this present was lower than mean concentration of 29.60 mg/kg was recorded in the muscle of </w:t>
      </w:r>
      <w:proofErr w:type="spellStart"/>
      <w:r w:rsidR="0051645A" w:rsidRPr="00B479F0">
        <w:rPr>
          <w:rFonts w:ascii="Times New Roman" w:hAnsi="Times New Roman" w:cs="Times New Roman"/>
          <w:i/>
          <w:sz w:val="24"/>
          <w:szCs w:val="24"/>
        </w:rPr>
        <w:t>Trachurus</w:t>
      </w:r>
      <w:proofErr w:type="spellEnd"/>
      <w:r w:rsidR="0051645A" w:rsidRPr="00B479F0">
        <w:rPr>
          <w:rFonts w:ascii="Times New Roman" w:hAnsi="Times New Roman" w:cs="Times New Roman"/>
          <w:i/>
          <w:sz w:val="24"/>
          <w:szCs w:val="24"/>
        </w:rPr>
        <w:t xml:space="preserve"> </w:t>
      </w:r>
      <w:proofErr w:type="spellStart"/>
      <w:r w:rsidR="0051645A" w:rsidRPr="00B479F0">
        <w:rPr>
          <w:rFonts w:ascii="Times New Roman" w:hAnsi="Times New Roman" w:cs="Times New Roman"/>
          <w:i/>
          <w:sz w:val="24"/>
          <w:szCs w:val="24"/>
        </w:rPr>
        <w:t>trecae</w:t>
      </w:r>
      <w:proofErr w:type="spellEnd"/>
      <w:r w:rsidR="0051645A" w:rsidRPr="00B479F0">
        <w:rPr>
          <w:rFonts w:ascii="Times New Roman" w:hAnsi="Times New Roman" w:cs="Times New Roman"/>
          <w:sz w:val="24"/>
          <w:szCs w:val="24"/>
        </w:rPr>
        <w:t xml:space="preserve"> in September reported by</w:t>
      </w:r>
      <w:r w:rsidR="009F7FE3" w:rsidRPr="00B479F0">
        <w:rPr>
          <w:rFonts w:ascii="Times New Roman" w:hAnsi="Times New Roman" w:cs="Times New Roman"/>
          <w:sz w:val="24"/>
          <w:szCs w:val="24"/>
        </w:rPr>
        <w:t xml:space="preserve"> </w:t>
      </w:r>
      <w:proofErr w:type="spellStart"/>
      <w:r w:rsidR="009F7FE3" w:rsidRPr="00B479F0">
        <w:rPr>
          <w:rFonts w:ascii="Times New Roman" w:hAnsi="Times New Roman" w:cs="Times New Roman"/>
          <w:sz w:val="24"/>
          <w:szCs w:val="24"/>
        </w:rPr>
        <w:t>Enuneku</w:t>
      </w:r>
      <w:proofErr w:type="spellEnd"/>
      <w:r w:rsidR="009F7FE3" w:rsidRPr="00B479F0">
        <w:rPr>
          <w:rFonts w:ascii="Times New Roman" w:hAnsi="Times New Roman" w:cs="Times New Roman"/>
          <w:sz w:val="24"/>
          <w:szCs w:val="24"/>
        </w:rPr>
        <w:t xml:space="preserve"> </w:t>
      </w:r>
      <w:proofErr w:type="gramStart"/>
      <w:r w:rsidR="009F7FE3" w:rsidRPr="00B479F0">
        <w:rPr>
          <w:rFonts w:ascii="Times New Roman" w:hAnsi="Times New Roman" w:cs="Times New Roman"/>
          <w:i/>
          <w:sz w:val="24"/>
          <w:szCs w:val="24"/>
        </w:rPr>
        <w:t>et al</w:t>
      </w:r>
      <w:r w:rsidR="009F7FE3" w:rsidRPr="00B479F0">
        <w:rPr>
          <w:rFonts w:ascii="Times New Roman" w:hAnsi="Times New Roman" w:cs="Times New Roman"/>
          <w:sz w:val="24"/>
          <w:szCs w:val="24"/>
        </w:rPr>
        <w:t>.,(</w:t>
      </w:r>
      <w:proofErr w:type="gramEnd"/>
      <w:r w:rsidR="009F7FE3" w:rsidRPr="00B479F0">
        <w:rPr>
          <w:rFonts w:ascii="Times New Roman" w:hAnsi="Times New Roman" w:cs="Times New Roman"/>
          <w:sz w:val="24"/>
          <w:szCs w:val="24"/>
        </w:rPr>
        <w:t>2015)</w:t>
      </w:r>
      <w:r w:rsidR="0051645A" w:rsidRPr="00B479F0">
        <w:rPr>
          <w:rFonts w:ascii="Times New Roman" w:hAnsi="Times New Roman" w:cs="Times New Roman"/>
          <w:sz w:val="24"/>
          <w:szCs w:val="24"/>
        </w:rPr>
        <w:t>.</w:t>
      </w:r>
    </w:p>
    <w:p w:rsidR="00137F40" w:rsidRPr="00B479F0" w:rsidRDefault="00137F40" w:rsidP="00137F40">
      <w:pPr>
        <w:pStyle w:val="NormalWeb"/>
        <w:jc w:val="both"/>
      </w:pPr>
      <w:proofErr w:type="spellStart"/>
      <w:r w:rsidRPr="00B479F0">
        <w:t>Enuneku</w:t>
      </w:r>
      <w:proofErr w:type="spellEnd"/>
      <w:r w:rsidRPr="00B479F0">
        <w:t xml:space="preserve"> </w:t>
      </w:r>
      <w:r w:rsidRPr="00B479F0">
        <w:rPr>
          <w:i/>
          <w:iCs/>
          <w:lang w:val="nl-NL"/>
        </w:rPr>
        <w:t>et al.</w:t>
      </w:r>
      <w:r w:rsidRPr="00B479F0">
        <w:t xml:space="preserve"> (2015), investigated TPH in organs of commercially available fish, </w:t>
      </w:r>
      <w:proofErr w:type="spellStart"/>
      <w:r w:rsidRPr="00B479F0">
        <w:rPr>
          <w:i/>
          <w:iCs/>
          <w:lang w:val="es-ES_tradnl"/>
        </w:rPr>
        <w:t>Trachurustrecae</w:t>
      </w:r>
      <w:proofErr w:type="spellEnd"/>
      <w:r w:rsidRPr="00B479F0">
        <w:t xml:space="preserve"> and obtained similar results in this study. However, when comparing these findings to WHO and FEPA standards, it is important to note that both organizations recommend stringent limits for TPH in seafood due to potential health risks associated with consumption. The WHO guidelines suggest that TPH levels should not exceed 5 mg/kg in edible marine organisms (WHO, 2020), while FEPA sets a permissible limit of 10 mg/kg for total petroleum hydrocarbons in fish and shellfish (FEPA, 1991).</w:t>
      </w:r>
    </w:p>
    <w:p w:rsidR="00137F40" w:rsidRPr="00B479F0" w:rsidRDefault="00137F40" w:rsidP="00137F40">
      <w:pPr>
        <w:pStyle w:val="NormalWeb"/>
        <w:jc w:val="both"/>
      </w:pPr>
      <w:r w:rsidRPr="00B479F0">
        <w:t xml:space="preserve">In this study, the TPH concentrations in gills and tissues are generally within the WHO recommended limit of 5 mg/kg, while the carapace levels slightly exceeded the WHO guideline but remain below the FEPA limit of 10 mg/kg. This suggests that while consumption of </w:t>
      </w:r>
      <w:r w:rsidRPr="00B479F0">
        <w:rPr>
          <w:rStyle w:val="Emphasis"/>
        </w:rPr>
        <w:t>Callinectes sapidus</w:t>
      </w:r>
      <w:r w:rsidRPr="00B479F0">
        <w:t xml:space="preserve"> from this region may pose a lower risk regarding gills and tissues, caution should be exercised due to elevated levels in the carapace, which can reflect the potential for bioaccumulation.</w:t>
      </w:r>
    </w:p>
    <w:p w:rsidR="00137F40" w:rsidRPr="00995960" w:rsidRDefault="00137F40" w:rsidP="00137F40">
      <w:pPr>
        <w:spacing w:before="100" w:beforeAutospacing="1" w:after="100" w:afterAutospacing="1" w:line="240" w:lineRule="auto"/>
        <w:jc w:val="both"/>
        <w:outlineLvl w:val="3"/>
        <w:rPr>
          <w:rFonts w:ascii="Times New Roman" w:eastAsia="Times New Roman" w:hAnsi="Times New Roman" w:cs="Times New Roman"/>
          <w:b/>
          <w:bCs/>
          <w:kern w:val="0"/>
          <w:sz w:val="24"/>
          <w:szCs w:val="24"/>
        </w:rPr>
      </w:pPr>
      <w:r w:rsidRPr="00995960">
        <w:rPr>
          <w:rFonts w:ascii="Times New Roman" w:eastAsia="Times New Roman" w:hAnsi="Times New Roman" w:cs="Times New Roman"/>
          <w:b/>
          <w:bCs/>
          <w:kern w:val="0"/>
          <w:sz w:val="24"/>
          <w:szCs w:val="24"/>
        </w:rPr>
        <w:t>Temporal Distribution</w:t>
      </w:r>
    </w:p>
    <w:p w:rsidR="00137F40" w:rsidRPr="00995960"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kern w:val="0"/>
          <w:sz w:val="24"/>
          <w:szCs w:val="24"/>
        </w:rPr>
        <w:t>In examining the temporal distribution of TPH concentrations across months (June to August), the results (Table 2) reveal consistent levels in gills (4.5 mg/kg), tissues (5.7 mg/kg), and carapace (9.3 mg/kg) throughout this period. The absence of significant differences (p &gt; 0.05) among the monthly measurements suggests that TPH levels remain relatively stable over this short time span.</w:t>
      </w:r>
    </w:p>
    <w:p w:rsidR="00137F40" w:rsidRPr="00995960"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kern w:val="0"/>
          <w:sz w:val="24"/>
          <w:szCs w:val="24"/>
        </w:rPr>
        <w:t xml:space="preserve">These stable readings may imply that the environmental conditions in the New Calabar River do not fluctuate dramatically within this period, or that TPH sources are constant. Previous studies have shown that temporal variations in hydrocarbon levels can often be influenced by seasonal changes and anthropogenic activities, such as oil spills or runoff, which were not evident in this study (Lee </w:t>
      </w:r>
      <w:r w:rsidRPr="00995960">
        <w:rPr>
          <w:rFonts w:ascii="Times New Roman" w:eastAsia="Times New Roman" w:hAnsi="Times New Roman" w:cs="Times New Roman"/>
          <w:i/>
          <w:iCs/>
          <w:kern w:val="0"/>
          <w:sz w:val="24"/>
          <w:szCs w:val="24"/>
        </w:rPr>
        <w:t>et al</w:t>
      </w:r>
      <w:r w:rsidRPr="00995960">
        <w:rPr>
          <w:rFonts w:ascii="Times New Roman" w:eastAsia="Times New Roman" w:hAnsi="Times New Roman" w:cs="Times New Roman"/>
          <w:kern w:val="0"/>
          <w:sz w:val="24"/>
          <w:szCs w:val="24"/>
        </w:rPr>
        <w:t xml:space="preserve">., 2022). The consistency in TPH levels across different parts of the crab also emphasizes the potential for bioaccumulation over time, which poses ecological and health risks to predators, including humans (Jones </w:t>
      </w:r>
      <w:r w:rsidRPr="00995960">
        <w:rPr>
          <w:rFonts w:ascii="Times New Roman" w:eastAsia="Times New Roman" w:hAnsi="Times New Roman" w:cs="Times New Roman"/>
          <w:i/>
          <w:iCs/>
          <w:kern w:val="0"/>
          <w:sz w:val="24"/>
          <w:szCs w:val="24"/>
        </w:rPr>
        <w:t>et al</w:t>
      </w:r>
      <w:r w:rsidRPr="00995960">
        <w:rPr>
          <w:rFonts w:ascii="Times New Roman" w:eastAsia="Times New Roman" w:hAnsi="Times New Roman" w:cs="Times New Roman"/>
          <w:kern w:val="0"/>
          <w:sz w:val="24"/>
          <w:szCs w:val="24"/>
        </w:rPr>
        <w:t>., 2019).</w:t>
      </w:r>
    </w:p>
    <w:p w:rsidR="00137F40" w:rsidRPr="00995960" w:rsidRDefault="00137F40" w:rsidP="00137F40">
      <w:pPr>
        <w:spacing w:before="100" w:beforeAutospacing="1" w:after="100" w:afterAutospacing="1" w:line="240" w:lineRule="auto"/>
        <w:outlineLvl w:val="2"/>
        <w:rPr>
          <w:rFonts w:ascii="Times New Roman" w:eastAsia="Times New Roman" w:hAnsi="Times New Roman" w:cs="Times New Roman"/>
          <w:b/>
          <w:bCs/>
          <w:kern w:val="0"/>
          <w:sz w:val="24"/>
          <w:szCs w:val="24"/>
        </w:rPr>
      </w:pPr>
      <w:r w:rsidRPr="00995960">
        <w:rPr>
          <w:rFonts w:ascii="Times New Roman" w:eastAsia="Times New Roman" w:hAnsi="Times New Roman" w:cs="Times New Roman"/>
          <w:b/>
          <w:bCs/>
          <w:kern w:val="0"/>
          <w:sz w:val="24"/>
          <w:szCs w:val="24"/>
        </w:rPr>
        <w:t>Conclusion</w:t>
      </w:r>
    </w:p>
    <w:p w:rsidR="00586604"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kern w:val="0"/>
          <w:sz w:val="24"/>
          <w:szCs w:val="24"/>
        </w:rPr>
        <w:t>Thi</w:t>
      </w:r>
      <w:r w:rsidR="002B4E1B">
        <w:rPr>
          <w:rFonts w:ascii="Times New Roman" w:eastAsia="Times New Roman" w:hAnsi="Times New Roman" w:cs="Times New Roman"/>
          <w:kern w:val="0"/>
          <w:sz w:val="24"/>
          <w:szCs w:val="24"/>
        </w:rPr>
        <w:t>s study provides valuable baseline</w:t>
      </w:r>
      <w:r w:rsidRPr="00995960">
        <w:rPr>
          <w:rFonts w:ascii="Times New Roman" w:eastAsia="Times New Roman" w:hAnsi="Times New Roman" w:cs="Times New Roman"/>
          <w:kern w:val="0"/>
          <w:sz w:val="24"/>
          <w:szCs w:val="24"/>
        </w:rPr>
        <w:t xml:space="preserve"> distribution of total petroleum hydrocarbons (TPH) in</w:t>
      </w:r>
      <w:r w:rsidR="002B4E1B">
        <w:rPr>
          <w:rFonts w:ascii="Times New Roman" w:eastAsia="Times New Roman" w:hAnsi="Times New Roman" w:cs="Times New Roman"/>
          <w:kern w:val="0"/>
          <w:sz w:val="24"/>
          <w:szCs w:val="24"/>
        </w:rPr>
        <w:t xml:space="preserve"> fish tissue</w:t>
      </w:r>
      <w:r w:rsidRPr="00995960">
        <w:rPr>
          <w:rFonts w:ascii="Times New Roman" w:eastAsia="Times New Roman" w:hAnsi="Times New Roman" w:cs="Times New Roman"/>
          <w:kern w:val="0"/>
          <w:sz w:val="24"/>
          <w:szCs w:val="24"/>
        </w:rPr>
        <w:t xml:space="preserve"> </w:t>
      </w:r>
      <w:r w:rsidRPr="00995960">
        <w:rPr>
          <w:rFonts w:ascii="Times New Roman" w:eastAsia="Times New Roman" w:hAnsi="Times New Roman" w:cs="Times New Roman"/>
          <w:i/>
          <w:iCs/>
          <w:kern w:val="0"/>
          <w:sz w:val="24"/>
          <w:szCs w:val="24"/>
        </w:rPr>
        <w:t>Callinectes sapidus</w:t>
      </w:r>
      <w:r w:rsidRPr="00995960">
        <w:rPr>
          <w:rFonts w:ascii="Times New Roman" w:eastAsia="Times New Roman" w:hAnsi="Times New Roman" w:cs="Times New Roman"/>
          <w:kern w:val="0"/>
          <w:sz w:val="24"/>
          <w:szCs w:val="24"/>
        </w:rPr>
        <w:t xml:space="preserve"> from the </w:t>
      </w:r>
      <w:proofErr w:type="spellStart"/>
      <w:r w:rsidRPr="00995960">
        <w:rPr>
          <w:rFonts w:ascii="Times New Roman" w:eastAsia="Times New Roman" w:hAnsi="Times New Roman" w:cs="Times New Roman"/>
          <w:kern w:val="0"/>
          <w:sz w:val="24"/>
          <w:szCs w:val="24"/>
        </w:rPr>
        <w:t>Choba</w:t>
      </w:r>
      <w:proofErr w:type="spellEnd"/>
      <w:r w:rsidRPr="00995960">
        <w:rPr>
          <w:rFonts w:ascii="Times New Roman" w:eastAsia="Times New Roman" w:hAnsi="Times New Roman" w:cs="Times New Roman"/>
          <w:kern w:val="0"/>
          <w:sz w:val="24"/>
          <w:szCs w:val="24"/>
        </w:rPr>
        <w:t xml:space="preserve"> axis of the New Calabar River. The findings indicate </w:t>
      </w:r>
      <w:r w:rsidR="002B4E1B">
        <w:t xml:space="preserve">that </w:t>
      </w:r>
      <w:r w:rsidR="006B3D28">
        <w:t>all the organs analyzed</w:t>
      </w:r>
      <w:r w:rsidR="002B4E1B">
        <w:t xml:space="preserve"> had TPH concentrations in their organs</w:t>
      </w:r>
      <w:r w:rsidR="006B3D28">
        <w:t>. The concentration showed a trend carapace &gt; tissue &gt; gills.</w:t>
      </w:r>
      <w:r w:rsidR="006B3D28">
        <w:rPr>
          <w:rFonts w:ascii="Times New Roman" w:eastAsia="Times New Roman" w:hAnsi="Times New Roman" w:cs="Times New Roman"/>
          <w:kern w:val="0"/>
          <w:sz w:val="24"/>
          <w:szCs w:val="24"/>
        </w:rPr>
        <w:t xml:space="preserve"> </w:t>
      </w:r>
      <w:r w:rsidRPr="00995960">
        <w:rPr>
          <w:rFonts w:ascii="Times New Roman" w:eastAsia="Times New Roman" w:hAnsi="Times New Roman" w:cs="Times New Roman"/>
          <w:kern w:val="0"/>
          <w:sz w:val="24"/>
          <w:szCs w:val="24"/>
        </w:rPr>
        <w:t xml:space="preserve">that TPH concentrations in gills and tissues remain within the World Health Organization (WHO) guidelines, while carapace levels approach permissible limits set by the Federal Environmental Protection Agency (FEPA). </w:t>
      </w:r>
    </w:p>
    <w:p w:rsidR="00137F40" w:rsidRPr="00995960"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kern w:val="0"/>
          <w:sz w:val="24"/>
          <w:szCs w:val="24"/>
        </w:rPr>
        <w:lastRenderedPageBreak/>
        <w:t xml:space="preserve">The stability of TPH levels over the sampling period suggests a consistent influence of environmental conditions and anthropogenic activities on pollution levels, which aligns with previous studies highlighting the need for ongoing surveillance in affected ecosystems. Based on the findings from the analysis of total petroleum hydrocarbons (TPH) in </w:t>
      </w:r>
      <w:r w:rsidRPr="00995960">
        <w:rPr>
          <w:rFonts w:ascii="Times New Roman" w:eastAsia="Times New Roman" w:hAnsi="Times New Roman" w:cs="Times New Roman"/>
          <w:i/>
          <w:iCs/>
          <w:kern w:val="0"/>
          <w:sz w:val="24"/>
          <w:szCs w:val="24"/>
        </w:rPr>
        <w:t>Callinectes sapidus</w:t>
      </w:r>
      <w:r w:rsidRPr="00995960">
        <w:rPr>
          <w:rFonts w:ascii="Times New Roman" w:eastAsia="Times New Roman" w:hAnsi="Times New Roman" w:cs="Times New Roman"/>
          <w:kern w:val="0"/>
          <w:sz w:val="24"/>
          <w:szCs w:val="24"/>
        </w:rPr>
        <w:t xml:space="preserve"> from the New Calabar River, it is therefore pertinent to stablish a regular monitoring program for TPH levels in both aquatic organisms and sediment throughout the New Calabar River</w:t>
      </w:r>
      <w:r w:rsidR="002965BF">
        <w:rPr>
          <w:rFonts w:ascii="Times New Roman" w:eastAsia="Times New Roman" w:hAnsi="Times New Roman" w:cs="Times New Roman"/>
          <w:kern w:val="0"/>
          <w:sz w:val="24"/>
          <w:szCs w:val="24"/>
        </w:rPr>
        <w:t>.</w:t>
      </w:r>
    </w:p>
    <w:p w:rsidR="00137F40" w:rsidRPr="00995960" w:rsidRDefault="00137F40" w:rsidP="00137F40">
      <w:pPr>
        <w:spacing w:after="0" w:line="240" w:lineRule="auto"/>
        <w:ind w:left="-142"/>
        <w:jc w:val="both"/>
        <w:rPr>
          <w:rFonts w:ascii="Times New Roman" w:hAnsi="Times New Roman" w:cs="Times New Roman"/>
          <w:b/>
          <w:bCs/>
          <w:sz w:val="24"/>
          <w:szCs w:val="24"/>
        </w:rPr>
      </w:pPr>
      <w:r w:rsidRPr="00995960">
        <w:rPr>
          <w:rFonts w:ascii="Times New Roman" w:hAnsi="Times New Roman" w:cs="Times New Roman"/>
          <w:b/>
          <w:bCs/>
          <w:sz w:val="24"/>
          <w:szCs w:val="24"/>
        </w:rPr>
        <w:t>References</w:t>
      </w:r>
    </w:p>
    <w:p w:rsidR="00137F40" w:rsidRDefault="00137F40" w:rsidP="00137F40">
      <w:pPr>
        <w:spacing w:line="240" w:lineRule="auto"/>
        <w:ind w:hanging="420"/>
        <w:jc w:val="both"/>
        <w:rPr>
          <w:rFonts w:ascii="Times New Roman" w:eastAsia="Times New Roman" w:hAnsi="Times New Roman" w:cs="Times New Roman"/>
          <w:color w:val="000000"/>
          <w:kern w:val="0"/>
          <w:sz w:val="24"/>
          <w:szCs w:val="24"/>
        </w:rPr>
      </w:pPr>
      <w:proofErr w:type="spellStart"/>
      <w:r w:rsidRPr="00995960">
        <w:rPr>
          <w:rFonts w:ascii="Times New Roman" w:eastAsia="Times New Roman" w:hAnsi="Times New Roman" w:cs="Times New Roman"/>
          <w:color w:val="000000"/>
          <w:kern w:val="0"/>
          <w:sz w:val="24"/>
          <w:szCs w:val="24"/>
        </w:rPr>
        <w:t>Aigberua</w:t>
      </w:r>
      <w:proofErr w:type="spellEnd"/>
      <w:r w:rsidRPr="00995960">
        <w:rPr>
          <w:rFonts w:ascii="Times New Roman" w:eastAsia="Times New Roman" w:hAnsi="Times New Roman" w:cs="Times New Roman"/>
          <w:color w:val="000000"/>
          <w:kern w:val="0"/>
          <w:sz w:val="24"/>
          <w:szCs w:val="24"/>
        </w:rPr>
        <w:t xml:space="preserve">, A. O., </w:t>
      </w:r>
      <w:proofErr w:type="spellStart"/>
      <w:r w:rsidRPr="00995960">
        <w:rPr>
          <w:rFonts w:ascii="Times New Roman" w:eastAsia="Times New Roman" w:hAnsi="Times New Roman" w:cs="Times New Roman"/>
          <w:color w:val="000000"/>
          <w:kern w:val="0"/>
          <w:sz w:val="24"/>
          <w:szCs w:val="24"/>
        </w:rPr>
        <w:t>Ekubo</w:t>
      </w:r>
      <w:proofErr w:type="spellEnd"/>
      <w:r w:rsidRPr="00995960">
        <w:rPr>
          <w:rFonts w:ascii="Times New Roman" w:eastAsia="Times New Roman" w:hAnsi="Times New Roman" w:cs="Times New Roman"/>
          <w:color w:val="000000"/>
          <w:kern w:val="0"/>
          <w:sz w:val="24"/>
          <w:szCs w:val="24"/>
        </w:rPr>
        <w:t xml:space="preserve">, A. T., </w:t>
      </w:r>
      <w:proofErr w:type="spellStart"/>
      <w:r w:rsidRPr="00995960">
        <w:rPr>
          <w:rFonts w:ascii="Times New Roman" w:eastAsia="Times New Roman" w:hAnsi="Times New Roman" w:cs="Times New Roman"/>
          <w:color w:val="000000"/>
          <w:kern w:val="0"/>
          <w:sz w:val="24"/>
          <w:szCs w:val="24"/>
        </w:rPr>
        <w:t>Inengite</w:t>
      </w:r>
      <w:proofErr w:type="spellEnd"/>
      <w:r w:rsidRPr="00995960">
        <w:rPr>
          <w:rFonts w:ascii="Times New Roman" w:eastAsia="Times New Roman" w:hAnsi="Times New Roman" w:cs="Times New Roman"/>
          <w:color w:val="000000"/>
          <w:kern w:val="0"/>
          <w:sz w:val="24"/>
          <w:szCs w:val="24"/>
        </w:rPr>
        <w:t xml:space="preserve">, A. K. &amp; Izah, S. C. (2017). Assessment of some selected heavy metals and their pollution indices in an oil spill contaminated soil in the Niger Delta: A case of </w:t>
      </w:r>
      <w:proofErr w:type="spellStart"/>
      <w:r w:rsidRPr="00995960">
        <w:rPr>
          <w:rFonts w:ascii="Times New Roman" w:eastAsia="Times New Roman" w:hAnsi="Times New Roman" w:cs="Times New Roman"/>
          <w:color w:val="000000"/>
          <w:kern w:val="0"/>
          <w:sz w:val="24"/>
          <w:szCs w:val="24"/>
        </w:rPr>
        <w:t>Rumuolokwu</w:t>
      </w:r>
      <w:proofErr w:type="spellEnd"/>
      <w:r w:rsidRPr="00995960">
        <w:rPr>
          <w:rFonts w:ascii="Times New Roman" w:eastAsia="Times New Roman" w:hAnsi="Times New Roman" w:cs="Times New Roman"/>
          <w:color w:val="000000"/>
          <w:kern w:val="0"/>
          <w:sz w:val="24"/>
          <w:szCs w:val="24"/>
        </w:rPr>
        <w:t xml:space="preserve"> community. </w:t>
      </w:r>
      <w:r w:rsidRPr="00995960">
        <w:rPr>
          <w:rFonts w:ascii="Times New Roman" w:eastAsia="Times New Roman" w:hAnsi="Times New Roman" w:cs="Times New Roman"/>
          <w:i/>
          <w:iCs/>
          <w:color w:val="000000"/>
          <w:kern w:val="0"/>
          <w:sz w:val="24"/>
          <w:szCs w:val="24"/>
        </w:rPr>
        <w:t xml:space="preserve">Biotechnological </w:t>
      </w:r>
      <w:proofErr w:type="spellStart"/>
      <w:r w:rsidRPr="00995960">
        <w:rPr>
          <w:rFonts w:ascii="Times New Roman" w:eastAsia="Times New Roman" w:hAnsi="Times New Roman" w:cs="Times New Roman"/>
          <w:i/>
          <w:iCs/>
          <w:color w:val="000000"/>
          <w:kern w:val="0"/>
          <w:sz w:val="24"/>
          <w:szCs w:val="24"/>
        </w:rPr>
        <w:t>Reasearch</w:t>
      </w:r>
      <w:proofErr w:type="spellEnd"/>
      <w:r w:rsidRPr="00995960">
        <w:rPr>
          <w:rFonts w:ascii="Times New Roman" w:eastAsia="Times New Roman" w:hAnsi="Times New Roman" w:cs="Times New Roman"/>
          <w:i/>
          <w:iCs/>
          <w:color w:val="000000"/>
          <w:kern w:val="0"/>
          <w:sz w:val="24"/>
          <w:szCs w:val="24"/>
        </w:rPr>
        <w:t>, 3</w:t>
      </w:r>
      <w:r w:rsidRPr="00995960">
        <w:rPr>
          <w:rFonts w:ascii="Times New Roman" w:eastAsia="Times New Roman" w:hAnsi="Times New Roman" w:cs="Times New Roman"/>
          <w:color w:val="000000"/>
          <w:kern w:val="0"/>
          <w:sz w:val="24"/>
          <w:szCs w:val="24"/>
        </w:rPr>
        <w:t>(1), 11-19.</w:t>
      </w:r>
    </w:p>
    <w:p w:rsidR="009E675E" w:rsidRPr="00746775" w:rsidRDefault="009E675E" w:rsidP="00137F40">
      <w:pPr>
        <w:spacing w:line="240" w:lineRule="auto"/>
        <w:ind w:hanging="420"/>
        <w:jc w:val="both"/>
        <w:rPr>
          <w:rFonts w:ascii="Times New Roman" w:eastAsia="Times New Roman" w:hAnsi="Times New Roman" w:cs="Times New Roman"/>
          <w:kern w:val="0"/>
          <w:sz w:val="24"/>
          <w:szCs w:val="24"/>
        </w:rPr>
      </w:pPr>
      <w:r w:rsidRPr="00746775">
        <w:rPr>
          <w:rFonts w:ascii="Times New Roman" w:hAnsi="Times New Roman" w:cs="Times New Roman"/>
          <w:sz w:val="24"/>
          <w:szCs w:val="24"/>
        </w:rPr>
        <w:t>Asuquo, F. E, and Ewa-</w:t>
      </w:r>
      <w:proofErr w:type="spellStart"/>
      <w:r w:rsidRPr="00746775">
        <w:rPr>
          <w:rFonts w:ascii="Times New Roman" w:hAnsi="Times New Roman" w:cs="Times New Roman"/>
          <w:sz w:val="24"/>
          <w:szCs w:val="24"/>
        </w:rPr>
        <w:t>Oboho</w:t>
      </w:r>
      <w:proofErr w:type="spellEnd"/>
      <w:r w:rsidRPr="00746775">
        <w:rPr>
          <w:rFonts w:ascii="Times New Roman" w:hAnsi="Times New Roman" w:cs="Times New Roman"/>
          <w:sz w:val="24"/>
          <w:szCs w:val="24"/>
        </w:rPr>
        <w:t>, I. 2004. Fish species used as biomarker for heavy metal and hydrocarbon contamination for Cross River, Nigeria. 24:29-37.</w:t>
      </w:r>
    </w:p>
    <w:p w:rsidR="00137F40" w:rsidRPr="00995960" w:rsidRDefault="00137F40" w:rsidP="00137F40">
      <w:pPr>
        <w:spacing w:line="240" w:lineRule="auto"/>
        <w:ind w:hanging="420"/>
        <w:jc w:val="both"/>
        <w:rPr>
          <w:rFonts w:ascii="Times New Roman" w:eastAsia="Times New Roman" w:hAnsi="Times New Roman" w:cs="Times New Roman"/>
          <w:color w:val="000000"/>
          <w:kern w:val="0"/>
          <w:sz w:val="24"/>
          <w:szCs w:val="24"/>
        </w:rPr>
      </w:pPr>
      <w:proofErr w:type="spellStart"/>
      <w:r w:rsidRPr="00995960">
        <w:rPr>
          <w:rFonts w:ascii="Times New Roman" w:eastAsia="Times New Roman" w:hAnsi="Times New Roman" w:cs="Times New Roman"/>
          <w:color w:val="000000"/>
          <w:kern w:val="0"/>
          <w:sz w:val="24"/>
          <w:szCs w:val="24"/>
        </w:rPr>
        <w:t>Aigberua</w:t>
      </w:r>
      <w:proofErr w:type="spellEnd"/>
      <w:r w:rsidRPr="00995960">
        <w:rPr>
          <w:rFonts w:ascii="Times New Roman" w:eastAsia="Times New Roman" w:hAnsi="Times New Roman" w:cs="Times New Roman"/>
          <w:color w:val="000000"/>
          <w:kern w:val="0"/>
          <w:sz w:val="24"/>
          <w:szCs w:val="24"/>
        </w:rPr>
        <w:t xml:space="preserve">, A. O., </w:t>
      </w:r>
      <w:proofErr w:type="spellStart"/>
      <w:r w:rsidRPr="00995960">
        <w:rPr>
          <w:rFonts w:ascii="Times New Roman" w:eastAsia="Times New Roman" w:hAnsi="Times New Roman" w:cs="Times New Roman"/>
          <w:color w:val="000000"/>
          <w:kern w:val="0"/>
          <w:sz w:val="24"/>
          <w:szCs w:val="24"/>
        </w:rPr>
        <w:t>Ekubo</w:t>
      </w:r>
      <w:proofErr w:type="spellEnd"/>
      <w:r w:rsidRPr="00995960">
        <w:rPr>
          <w:rFonts w:ascii="Times New Roman" w:eastAsia="Times New Roman" w:hAnsi="Times New Roman" w:cs="Times New Roman"/>
          <w:color w:val="000000"/>
          <w:kern w:val="0"/>
          <w:sz w:val="24"/>
          <w:szCs w:val="24"/>
        </w:rPr>
        <w:t xml:space="preserve">, A. T., </w:t>
      </w:r>
      <w:proofErr w:type="spellStart"/>
      <w:r w:rsidRPr="00995960">
        <w:rPr>
          <w:rFonts w:ascii="Times New Roman" w:eastAsia="Times New Roman" w:hAnsi="Times New Roman" w:cs="Times New Roman"/>
          <w:color w:val="000000"/>
          <w:kern w:val="0"/>
          <w:sz w:val="24"/>
          <w:szCs w:val="24"/>
        </w:rPr>
        <w:t>Inengite</w:t>
      </w:r>
      <w:proofErr w:type="spellEnd"/>
      <w:r w:rsidRPr="00995960">
        <w:rPr>
          <w:rFonts w:ascii="Times New Roman" w:eastAsia="Times New Roman" w:hAnsi="Times New Roman" w:cs="Times New Roman"/>
          <w:color w:val="000000"/>
          <w:kern w:val="0"/>
          <w:sz w:val="24"/>
          <w:szCs w:val="24"/>
        </w:rPr>
        <w:t xml:space="preserve">, A. K. &amp; Izah, S. C. (2016a). Evaluation of total hydrocarbon content and polycyclic aromatic hydrocarbon in an oil spill contaminated soil in </w:t>
      </w:r>
      <w:proofErr w:type="spellStart"/>
      <w:r w:rsidRPr="00995960">
        <w:rPr>
          <w:rFonts w:ascii="Times New Roman" w:eastAsia="Times New Roman" w:hAnsi="Times New Roman" w:cs="Times New Roman"/>
          <w:color w:val="000000"/>
          <w:kern w:val="0"/>
          <w:sz w:val="24"/>
          <w:szCs w:val="24"/>
        </w:rPr>
        <w:t>Rumuolokwucommunity</w:t>
      </w:r>
      <w:proofErr w:type="spellEnd"/>
      <w:r w:rsidRPr="00995960">
        <w:rPr>
          <w:rFonts w:ascii="Times New Roman" w:eastAsia="Times New Roman" w:hAnsi="Times New Roman" w:cs="Times New Roman"/>
          <w:color w:val="000000"/>
          <w:kern w:val="0"/>
          <w:sz w:val="24"/>
          <w:szCs w:val="24"/>
        </w:rPr>
        <w:t xml:space="preserve"> in Niger Delta. </w:t>
      </w:r>
      <w:r w:rsidRPr="00995960">
        <w:rPr>
          <w:rFonts w:ascii="Times New Roman" w:eastAsia="Times New Roman" w:hAnsi="Times New Roman" w:cs="Times New Roman"/>
          <w:i/>
          <w:iCs/>
          <w:color w:val="000000"/>
          <w:kern w:val="0"/>
          <w:sz w:val="24"/>
          <w:szCs w:val="24"/>
        </w:rPr>
        <w:t>Journal of environmental treatment techniques, 1</w:t>
      </w:r>
      <w:r w:rsidRPr="00995960">
        <w:rPr>
          <w:rFonts w:ascii="Times New Roman" w:eastAsia="Times New Roman" w:hAnsi="Times New Roman" w:cs="Times New Roman"/>
          <w:color w:val="000000"/>
          <w:kern w:val="0"/>
          <w:sz w:val="24"/>
          <w:szCs w:val="24"/>
        </w:rPr>
        <w:t>(1), 130-142.</w:t>
      </w:r>
    </w:p>
    <w:p w:rsidR="00137F40" w:rsidRPr="00995960" w:rsidRDefault="00137F40" w:rsidP="00137F40">
      <w:pPr>
        <w:spacing w:line="240" w:lineRule="auto"/>
        <w:ind w:hanging="420"/>
        <w:jc w:val="both"/>
        <w:rPr>
          <w:rFonts w:ascii="Times New Roman" w:hAnsi="Times New Roman" w:cs="Times New Roman"/>
          <w:color w:val="343A40"/>
          <w:sz w:val="24"/>
          <w:szCs w:val="24"/>
          <w:shd w:val="clear" w:color="auto" w:fill="FFFFFF"/>
        </w:rPr>
      </w:pPr>
      <w:r w:rsidRPr="00995960">
        <w:rPr>
          <w:rFonts w:ascii="Times New Roman" w:hAnsi="Times New Roman" w:cs="Times New Roman"/>
          <w:color w:val="222222"/>
          <w:sz w:val="24"/>
          <w:szCs w:val="24"/>
          <w:shd w:val="clear" w:color="auto" w:fill="FFFFFF"/>
        </w:rPr>
        <w:t xml:space="preserve">Ayoola, S. O., </w:t>
      </w:r>
      <w:proofErr w:type="spellStart"/>
      <w:r w:rsidRPr="00995960">
        <w:rPr>
          <w:rFonts w:ascii="Times New Roman" w:hAnsi="Times New Roman" w:cs="Times New Roman"/>
          <w:color w:val="222222"/>
          <w:sz w:val="24"/>
          <w:szCs w:val="24"/>
          <w:shd w:val="clear" w:color="auto" w:fill="FFFFFF"/>
        </w:rPr>
        <w:t>Olorunsanmi</w:t>
      </w:r>
      <w:proofErr w:type="spellEnd"/>
      <w:r w:rsidRPr="00995960">
        <w:rPr>
          <w:rFonts w:ascii="Times New Roman" w:hAnsi="Times New Roman" w:cs="Times New Roman"/>
          <w:color w:val="222222"/>
          <w:sz w:val="24"/>
          <w:szCs w:val="24"/>
          <w:shd w:val="clear" w:color="auto" w:fill="FFFFFF"/>
        </w:rPr>
        <w:t>, G., &amp;</w:t>
      </w:r>
      <w:proofErr w:type="spellStart"/>
      <w:r w:rsidRPr="00995960">
        <w:rPr>
          <w:rFonts w:ascii="Times New Roman" w:hAnsi="Times New Roman" w:cs="Times New Roman"/>
          <w:color w:val="222222"/>
          <w:sz w:val="24"/>
          <w:szCs w:val="24"/>
          <w:shd w:val="clear" w:color="auto" w:fill="FFFFFF"/>
        </w:rPr>
        <w:t>Oke</w:t>
      </w:r>
      <w:proofErr w:type="spellEnd"/>
      <w:r w:rsidRPr="00995960">
        <w:rPr>
          <w:rFonts w:ascii="Times New Roman" w:hAnsi="Times New Roman" w:cs="Times New Roman"/>
          <w:color w:val="222222"/>
          <w:sz w:val="24"/>
          <w:szCs w:val="24"/>
          <w:shd w:val="clear" w:color="auto" w:fill="FFFFFF"/>
        </w:rPr>
        <w:t xml:space="preserve">, A. (2017). </w:t>
      </w:r>
      <w:r w:rsidRPr="00995960">
        <w:rPr>
          <w:rFonts w:ascii="Times New Roman" w:hAnsi="Times New Roman" w:cs="Times New Roman"/>
          <w:color w:val="343A40"/>
          <w:sz w:val="24"/>
          <w:szCs w:val="24"/>
          <w:shd w:val="clear" w:color="auto" w:fill="FFFFFF"/>
        </w:rPr>
        <w:t xml:space="preserve">Comparative Assessment of Total Hydrocarbon Content and Bioaccumulation of Heavy Metals in </w:t>
      </w:r>
      <w:proofErr w:type="spellStart"/>
      <w:r w:rsidRPr="00995960">
        <w:rPr>
          <w:rFonts w:ascii="Times New Roman" w:hAnsi="Times New Roman" w:cs="Times New Roman"/>
          <w:color w:val="343A40"/>
          <w:sz w:val="24"/>
          <w:szCs w:val="24"/>
          <w:shd w:val="clear" w:color="auto" w:fill="FFFFFF"/>
        </w:rPr>
        <w:t>SarotherodonMelanotheron</w:t>
      </w:r>
      <w:proofErr w:type="spellEnd"/>
      <w:r w:rsidRPr="00995960">
        <w:rPr>
          <w:rFonts w:ascii="Times New Roman" w:hAnsi="Times New Roman" w:cs="Times New Roman"/>
          <w:color w:val="343A40"/>
          <w:sz w:val="24"/>
          <w:szCs w:val="24"/>
          <w:shd w:val="clear" w:color="auto" w:fill="FFFFFF"/>
        </w:rPr>
        <w:t xml:space="preserve"> at Atlas Cove Area and </w:t>
      </w:r>
      <w:proofErr w:type="spellStart"/>
      <w:r w:rsidRPr="00995960">
        <w:rPr>
          <w:rFonts w:ascii="Times New Roman" w:hAnsi="Times New Roman" w:cs="Times New Roman"/>
          <w:color w:val="343A40"/>
          <w:sz w:val="24"/>
          <w:szCs w:val="24"/>
          <w:shd w:val="clear" w:color="auto" w:fill="FFFFFF"/>
        </w:rPr>
        <w:t>Okobaba</w:t>
      </w:r>
      <w:proofErr w:type="spellEnd"/>
      <w:r w:rsidRPr="00995960">
        <w:rPr>
          <w:rFonts w:ascii="Times New Roman" w:hAnsi="Times New Roman" w:cs="Times New Roman"/>
          <w:color w:val="343A40"/>
          <w:sz w:val="24"/>
          <w:szCs w:val="24"/>
          <w:shd w:val="clear" w:color="auto" w:fill="FFFFFF"/>
        </w:rPr>
        <w:t xml:space="preserve"> of Lagos Lagoon. </w:t>
      </w:r>
      <w:r w:rsidRPr="00995960">
        <w:rPr>
          <w:rFonts w:ascii="Times New Roman" w:hAnsi="Times New Roman" w:cs="Times New Roman"/>
          <w:i/>
          <w:iCs/>
          <w:color w:val="343A40"/>
          <w:sz w:val="24"/>
          <w:szCs w:val="24"/>
          <w:shd w:val="clear" w:color="auto" w:fill="FFFFFF"/>
        </w:rPr>
        <w:t>Iranian Journal of Energy and Environment</w:t>
      </w:r>
      <w:r w:rsidRPr="00995960">
        <w:rPr>
          <w:rFonts w:ascii="Times New Roman" w:hAnsi="Times New Roman" w:cs="Times New Roman"/>
          <w:color w:val="343A40"/>
          <w:sz w:val="24"/>
          <w:szCs w:val="24"/>
          <w:shd w:val="clear" w:color="auto" w:fill="FFFFFF"/>
        </w:rPr>
        <w:t>, Vol.8(2): 152-159.</w:t>
      </w:r>
    </w:p>
    <w:p w:rsidR="00137F40" w:rsidRPr="00995960" w:rsidRDefault="00137F40" w:rsidP="00137F40">
      <w:pPr>
        <w:spacing w:line="240" w:lineRule="auto"/>
        <w:ind w:hanging="420"/>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kern w:val="0"/>
          <w:sz w:val="24"/>
          <w:szCs w:val="24"/>
        </w:rPr>
        <w:t xml:space="preserve">Baker, J., Smith, R., &amp; Thompson, L. (2021). Bioaccumulation of petroleum hydrocarbons in marine invertebrates: A review. </w:t>
      </w:r>
      <w:r w:rsidRPr="00995960">
        <w:rPr>
          <w:rFonts w:ascii="Times New Roman" w:eastAsia="Times New Roman" w:hAnsi="Times New Roman" w:cs="Times New Roman"/>
          <w:i/>
          <w:iCs/>
          <w:kern w:val="0"/>
          <w:sz w:val="24"/>
          <w:szCs w:val="24"/>
        </w:rPr>
        <w:t>Marine Environmental Research</w:t>
      </w:r>
      <w:r w:rsidRPr="00995960">
        <w:rPr>
          <w:rFonts w:ascii="Times New Roman" w:eastAsia="Times New Roman" w:hAnsi="Times New Roman" w:cs="Times New Roman"/>
          <w:kern w:val="0"/>
          <w:sz w:val="24"/>
          <w:szCs w:val="24"/>
        </w:rPr>
        <w:t>, 172, 105-123.</w:t>
      </w:r>
    </w:p>
    <w:p w:rsidR="00137F40" w:rsidRPr="00995960" w:rsidRDefault="00137F40" w:rsidP="00137F40">
      <w:pPr>
        <w:spacing w:line="240" w:lineRule="auto"/>
        <w:ind w:hanging="420"/>
        <w:jc w:val="both"/>
        <w:rPr>
          <w:rFonts w:ascii="Times New Roman" w:hAnsi="Times New Roman" w:cs="Times New Roman"/>
          <w:sz w:val="24"/>
          <w:szCs w:val="24"/>
        </w:rPr>
      </w:pPr>
      <w:r w:rsidRPr="00995960">
        <w:rPr>
          <w:rFonts w:ascii="Times New Roman" w:hAnsi="Times New Roman" w:cs="Times New Roman"/>
          <w:sz w:val="24"/>
          <w:szCs w:val="24"/>
        </w:rPr>
        <w:t xml:space="preserve">Birge, J. R., Qi, L., &amp; Wei, Z. (2000). A Variant of the </w:t>
      </w:r>
      <w:proofErr w:type="spellStart"/>
      <w:r w:rsidRPr="00995960">
        <w:rPr>
          <w:rFonts w:ascii="Times New Roman" w:hAnsi="Times New Roman" w:cs="Times New Roman"/>
          <w:sz w:val="24"/>
          <w:szCs w:val="24"/>
        </w:rPr>
        <w:t>Topkis</w:t>
      </w:r>
      <w:proofErr w:type="spellEnd"/>
      <w:r w:rsidRPr="00995960">
        <w:rPr>
          <w:rFonts w:ascii="Times New Roman" w:hAnsi="Times New Roman" w:cs="Times New Roman"/>
          <w:sz w:val="24"/>
          <w:szCs w:val="24"/>
        </w:rPr>
        <w:t>—</w:t>
      </w:r>
      <w:proofErr w:type="spellStart"/>
      <w:r w:rsidRPr="00995960">
        <w:rPr>
          <w:rFonts w:ascii="Times New Roman" w:hAnsi="Times New Roman" w:cs="Times New Roman"/>
          <w:sz w:val="24"/>
          <w:szCs w:val="24"/>
        </w:rPr>
        <w:t>Veinott</w:t>
      </w:r>
      <w:proofErr w:type="spellEnd"/>
      <w:r w:rsidRPr="00995960">
        <w:rPr>
          <w:rFonts w:ascii="Times New Roman" w:hAnsi="Times New Roman" w:cs="Times New Roman"/>
          <w:sz w:val="24"/>
          <w:szCs w:val="24"/>
        </w:rPr>
        <w:t xml:space="preserve"> Method for Solving Inequality Constrained Optimization Problems. </w:t>
      </w:r>
      <w:r w:rsidRPr="00995960">
        <w:rPr>
          <w:rFonts w:ascii="Times New Roman" w:hAnsi="Times New Roman" w:cs="Times New Roman"/>
          <w:i/>
          <w:iCs/>
          <w:sz w:val="24"/>
          <w:szCs w:val="24"/>
        </w:rPr>
        <w:t>Applied Mathematics and Optimization</w:t>
      </w:r>
      <w:r w:rsidRPr="00995960">
        <w:rPr>
          <w:rFonts w:ascii="Times New Roman" w:hAnsi="Times New Roman" w:cs="Times New Roman"/>
          <w:sz w:val="24"/>
          <w:szCs w:val="24"/>
        </w:rPr>
        <w:t>, </w:t>
      </w:r>
      <w:r w:rsidRPr="00995960">
        <w:rPr>
          <w:rFonts w:ascii="Times New Roman" w:hAnsi="Times New Roman" w:cs="Times New Roman"/>
          <w:i/>
          <w:iCs/>
          <w:sz w:val="24"/>
          <w:szCs w:val="24"/>
        </w:rPr>
        <w:t>41</w:t>
      </w:r>
      <w:r w:rsidRPr="00995960">
        <w:rPr>
          <w:rFonts w:ascii="Times New Roman" w:hAnsi="Times New Roman" w:cs="Times New Roman"/>
          <w:sz w:val="24"/>
          <w:szCs w:val="24"/>
        </w:rPr>
        <w:t>, 309-330.</w:t>
      </w:r>
    </w:p>
    <w:p w:rsidR="00137F40" w:rsidRPr="00995960" w:rsidRDefault="00137F40" w:rsidP="00137F40">
      <w:pPr>
        <w:spacing w:line="240" w:lineRule="auto"/>
        <w:ind w:hanging="420"/>
        <w:jc w:val="both"/>
        <w:rPr>
          <w:rFonts w:ascii="Times New Roman" w:eastAsia="Calibri" w:hAnsi="Times New Roman" w:cs="Times New Roman"/>
          <w:sz w:val="24"/>
          <w:szCs w:val="24"/>
        </w:rPr>
      </w:pPr>
      <w:proofErr w:type="spellStart"/>
      <w:r w:rsidRPr="00995960">
        <w:rPr>
          <w:rFonts w:ascii="Times New Roman" w:eastAsia="Calibri" w:hAnsi="Times New Roman" w:cs="Times New Roman"/>
          <w:sz w:val="24"/>
          <w:szCs w:val="24"/>
        </w:rPr>
        <w:t>Enuneku</w:t>
      </w:r>
      <w:proofErr w:type="spellEnd"/>
      <w:r w:rsidRPr="00995960">
        <w:rPr>
          <w:rFonts w:ascii="Times New Roman" w:eastAsia="Calibri" w:hAnsi="Times New Roman" w:cs="Times New Roman"/>
          <w:sz w:val="24"/>
          <w:szCs w:val="24"/>
        </w:rPr>
        <w:t xml:space="preserve">, A. A., </w:t>
      </w:r>
      <w:proofErr w:type="spellStart"/>
      <w:r w:rsidRPr="00995960">
        <w:rPr>
          <w:rFonts w:ascii="Times New Roman" w:eastAsia="Calibri" w:hAnsi="Times New Roman" w:cs="Times New Roman"/>
          <w:sz w:val="24"/>
          <w:szCs w:val="24"/>
        </w:rPr>
        <w:t>Ainerua</w:t>
      </w:r>
      <w:proofErr w:type="spellEnd"/>
      <w:r w:rsidRPr="00995960">
        <w:rPr>
          <w:rFonts w:ascii="Times New Roman" w:eastAsia="Calibri" w:hAnsi="Times New Roman" w:cs="Times New Roman"/>
          <w:sz w:val="24"/>
          <w:szCs w:val="24"/>
        </w:rPr>
        <w:t xml:space="preserve">, M., </w:t>
      </w:r>
      <w:proofErr w:type="spellStart"/>
      <w:r w:rsidRPr="00995960">
        <w:rPr>
          <w:rFonts w:ascii="Times New Roman" w:eastAsia="Calibri" w:hAnsi="Times New Roman" w:cs="Times New Roman"/>
          <w:sz w:val="24"/>
          <w:szCs w:val="24"/>
        </w:rPr>
        <w:t>Erhunmwunse</w:t>
      </w:r>
      <w:proofErr w:type="spellEnd"/>
      <w:r w:rsidRPr="00995960">
        <w:rPr>
          <w:rFonts w:ascii="Times New Roman" w:eastAsia="Calibri" w:hAnsi="Times New Roman" w:cs="Times New Roman"/>
          <w:sz w:val="24"/>
          <w:szCs w:val="24"/>
        </w:rPr>
        <w:t>, N. O. &amp;</w:t>
      </w:r>
      <w:proofErr w:type="spellStart"/>
      <w:r w:rsidRPr="00995960">
        <w:rPr>
          <w:rFonts w:ascii="Times New Roman" w:eastAsia="Calibri" w:hAnsi="Times New Roman" w:cs="Times New Roman"/>
          <w:sz w:val="24"/>
          <w:szCs w:val="24"/>
        </w:rPr>
        <w:t>Osakue</w:t>
      </w:r>
      <w:proofErr w:type="spellEnd"/>
      <w:r w:rsidRPr="00995960">
        <w:rPr>
          <w:rFonts w:ascii="Times New Roman" w:eastAsia="Calibri" w:hAnsi="Times New Roman" w:cs="Times New Roman"/>
          <w:sz w:val="24"/>
          <w:szCs w:val="24"/>
        </w:rPr>
        <w:t xml:space="preserve">, O. E. (2015). Total petroleum hydrocarbons in organs of commercially available fish; </w:t>
      </w:r>
      <w:proofErr w:type="spellStart"/>
      <w:r w:rsidRPr="00995960">
        <w:rPr>
          <w:rFonts w:ascii="Times New Roman" w:eastAsia="Calibri" w:hAnsi="Times New Roman" w:cs="Times New Roman"/>
          <w:i/>
          <w:sz w:val="24"/>
          <w:szCs w:val="24"/>
        </w:rPr>
        <w:t>Trachurustrecae</w:t>
      </w:r>
      <w:proofErr w:type="spellEnd"/>
      <w:r w:rsidRPr="00995960">
        <w:rPr>
          <w:rFonts w:ascii="Times New Roman" w:eastAsia="Calibri" w:hAnsi="Times New Roman" w:cs="Times New Roman"/>
          <w:sz w:val="24"/>
          <w:szCs w:val="24"/>
        </w:rPr>
        <w:t xml:space="preserve"> (</w:t>
      </w:r>
      <w:proofErr w:type="spellStart"/>
      <w:r w:rsidRPr="00995960">
        <w:rPr>
          <w:rFonts w:ascii="Times New Roman" w:eastAsia="Calibri" w:hAnsi="Times New Roman" w:cs="Times New Roman"/>
          <w:sz w:val="24"/>
          <w:szCs w:val="24"/>
        </w:rPr>
        <w:t>cadenat</w:t>
      </w:r>
      <w:proofErr w:type="spellEnd"/>
      <w:r w:rsidRPr="00995960">
        <w:rPr>
          <w:rFonts w:ascii="Times New Roman" w:eastAsia="Calibri" w:hAnsi="Times New Roman" w:cs="Times New Roman"/>
          <w:sz w:val="24"/>
          <w:szCs w:val="24"/>
        </w:rPr>
        <w:t>, 1949) from Oliha Market, Benin City, Nigeria. </w:t>
      </w:r>
      <w:r w:rsidRPr="00995960">
        <w:rPr>
          <w:rFonts w:ascii="Times New Roman" w:eastAsia="Calibri" w:hAnsi="Times New Roman" w:cs="Times New Roman"/>
          <w:i/>
          <w:iCs/>
          <w:sz w:val="24"/>
          <w:szCs w:val="24"/>
        </w:rPr>
        <w:t>Ife Journal of Science</w:t>
      </w:r>
      <w:r w:rsidRPr="00995960">
        <w:rPr>
          <w:rFonts w:ascii="Times New Roman" w:eastAsia="Calibri" w:hAnsi="Times New Roman" w:cs="Times New Roman"/>
          <w:sz w:val="24"/>
          <w:szCs w:val="24"/>
        </w:rPr>
        <w:t>, </w:t>
      </w:r>
      <w:r w:rsidRPr="00995960">
        <w:rPr>
          <w:rFonts w:ascii="Times New Roman" w:eastAsia="Calibri" w:hAnsi="Times New Roman" w:cs="Times New Roman"/>
          <w:i/>
          <w:iCs/>
          <w:sz w:val="24"/>
          <w:szCs w:val="24"/>
        </w:rPr>
        <w:t>17</w:t>
      </w:r>
      <w:r w:rsidRPr="00995960">
        <w:rPr>
          <w:rFonts w:ascii="Times New Roman" w:eastAsia="Calibri" w:hAnsi="Times New Roman" w:cs="Times New Roman"/>
          <w:sz w:val="24"/>
          <w:szCs w:val="24"/>
        </w:rPr>
        <w:t>(2), 383-393.</w:t>
      </w:r>
    </w:p>
    <w:p w:rsidR="00137F40" w:rsidRPr="00995960" w:rsidRDefault="00137F40" w:rsidP="00137F40">
      <w:pPr>
        <w:spacing w:line="240" w:lineRule="auto"/>
        <w:ind w:hanging="420"/>
        <w:jc w:val="both"/>
        <w:rPr>
          <w:rFonts w:ascii="Times New Roman" w:eastAsia="Calibri" w:hAnsi="Times New Roman" w:cs="Times New Roman"/>
          <w:sz w:val="24"/>
          <w:szCs w:val="24"/>
        </w:rPr>
      </w:pPr>
      <w:r w:rsidRPr="00995960">
        <w:rPr>
          <w:rFonts w:ascii="Times New Roman" w:eastAsia="Calibri" w:hAnsi="Times New Roman" w:cs="Times New Roman"/>
          <w:sz w:val="24"/>
          <w:szCs w:val="24"/>
        </w:rPr>
        <w:t>Federal Environmental Protection Agency (FEPA) (1991). National Interim Guidelines and Standards for Environmental Pollution in Nigeria. p.54-58.</w:t>
      </w:r>
    </w:p>
    <w:p w:rsidR="00137F40" w:rsidRPr="00995960" w:rsidRDefault="00137F40" w:rsidP="00137F40">
      <w:pPr>
        <w:spacing w:line="240" w:lineRule="auto"/>
        <w:ind w:hanging="420"/>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color w:val="000000"/>
          <w:kern w:val="0"/>
          <w:sz w:val="24"/>
          <w:szCs w:val="24"/>
        </w:rPr>
        <w:t>Izah, S. C. &amp;</w:t>
      </w:r>
      <w:proofErr w:type="spellStart"/>
      <w:r w:rsidRPr="00995960">
        <w:rPr>
          <w:rFonts w:ascii="Times New Roman" w:eastAsia="Times New Roman" w:hAnsi="Times New Roman" w:cs="Times New Roman"/>
          <w:color w:val="000000"/>
          <w:kern w:val="0"/>
          <w:sz w:val="24"/>
          <w:szCs w:val="24"/>
        </w:rPr>
        <w:t>Angaye</w:t>
      </w:r>
      <w:proofErr w:type="spellEnd"/>
      <w:r w:rsidRPr="00995960">
        <w:rPr>
          <w:rFonts w:ascii="Times New Roman" w:eastAsia="Times New Roman" w:hAnsi="Times New Roman" w:cs="Times New Roman"/>
          <w:color w:val="000000"/>
          <w:kern w:val="0"/>
          <w:sz w:val="24"/>
          <w:szCs w:val="24"/>
        </w:rPr>
        <w:t xml:space="preserve"> T. C. N. (2015). Ecological perception of fish farmers in Yenagoa Metropolis. </w:t>
      </w:r>
      <w:r w:rsidRPr="00995960">
        <w:rPr>
          <w:rFonts w:ascii="Times New Roman" w:eastAsia="Times New Roman" w:hAnsi="Times New Roman" w:cs="Times New Roman"/>
          <w:i/>
          <w:iCs/>
          <w:color w:val="000000"/>
          <w:kern w:val="0"/>
          <w:sz w:val="24"/>
          <w:szCs w:val="24"/>
        </w:rPr>
        <w:t>Nigeria bulletin of advanced scientific research, 1</w:t>
      </w:r>
      <w:r w:rsidRPr="00995960">
        <w:rPr>
          <w:rFonts w:ascii="Times New Roman" w:eastAsia="Times New Roman" w:hAnsi="Times New Roman" w:cs="Times New Roman"/>
          <w:color w:val="000000"/>
          <w:kern w:val="0"/>
          <w:sz w:val="24"/>
          <w:szCs w:val="24"/>
        </w:rPr>
        <w:t>(1), 26-28.</w:t>
      </w:r>
    </w:p>
    <w:p w:rsidR="00137F40" w:rsidRPr="00995960" w:rsidRDefault="00137F40" w:rsidP="00137F40">
      <w:pPr>
        <w:spacing w:line="240" w:lineRule="auto"/>
        <w:ind w:hanging="420"/>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color w:val="000000"/>
          <w:kern w:val="0"/>
          <w:sz w:val="24"/>
          <w:szCs w:val="24"/>
        </w:rPr>
        <w:t xml:space="preserve">Izah, S. C., </w:t>
      </w:r>
      <w:proofErr w:type="spellStart"/>
      <w:r w:rsidRPr="00995960">
        <w:rPr>
          <w:rFonts w:ascii="Times New Roman" w:eastAsia="Times New Roman" w:hAnsi="Times New Roman" w:cs="Times New Roman"/>
          <w:color w:val="000000"/>
          <w:kern w:val="0"/>
          <w:sz w:val="24"/>
          <w:szCs w:val="24"/>
        </w:rPr>
        <w:t>Angaye</w:t>
      </w:r>
      <w:proofErr w:type="spellEnd"/>
      <w:r w:rsidRPr="00995960">
        <w:rPr>
          <w:rFonts w:ascii="Times New Roman" w:eastAsia="Times New Roman" w:hAnsi="Times New Roman" w:cs="Times New Roman"/>
          <w:color w:val="000000"/>
          <w:kern w:val="0"/>
          <w:sz w:val="24"/>
          <w:szCs w:val="24"/>
        </w:rPr>
        <w:t>, T. C. N. &amp;</w:t>
      </w:r>
      <w:proofErr w:type="spellStart"/>
      <w:r w:rsidRPr="00995960">
        <w:rPr>
          <w:rFonts w:ascii="Times New Roman" w:eastAsia="Times New Roman" w:hAnsi="Times New Roman" w:cs="Times New Roman"/>
          <w:color w:val="000000"/>
          <w:kern w:val="0"/>
          <w:sz w:val="24"/>
          <w:szCs w:val="24"/>
        </w:rPr>
        <w:t>Ohimain</w:t>
      </w:r>
      <w:proofErr w:type="spellEnd"/>
      <w:r w:rsidRPr="00995960">
        <w:rPr>
          <w:rFonts w:ascii="Times New Roman" w:eastAsia="Times New Roman" w:hAnsi="Times New Roman" w:cs="Times New Roman"/>
          <w:color w:val="000000"/>
          <w:kern w:val="0"/>
          <w:sz w:val="24"/>
          <w:szCs w:val="24"/>
        </w:rPr>
        <w:t xml:space="preserve">, E. I. (2016). Environmental impact of oil processing in Nigeria. </w:t>
      </w:r>
      <w:r w:rsidRPr="00995960">
        <w:rPr>
          <w:rFonts w:ascii="Times New Roman" w:eastAsia="Times New Roman" w:hAnsi="Times New Roman" w:cs="Times New Roman"/>
          <w:i/>
          <w:iCs/>
          <w:color w:val="000000"/>
          <w:kern w:val="0"/>
          <w:sz w:val="24"/>
          <w:szCs w:val="24"/>
        </w:rPr>
        <w:t>Biotechnological Research, 2(</w:t>
      </w:r>
      <w:r w:rsidRPr="00995960">
        <w:rPr>
          <w:rFonts w:ascii="Times New Roman" w:eastAsia="Times New Roman" w:hAnsi="Times New Roman" w:cs="Times New Roman"/>
          <w:color w:val="000000"/>
          <w:kern w:val="0"/>
          <w:sz w:val="24"/>
          <w:szCs w:val="24"/>
        </w:rPr>
        <w:t>3), 132-141.</w:t>
      </w:r>
    </w:p>
    <w:p w:rsidR="00137F40" w:rsidRPr="00995960" w:rsidRDefault="00137F40" w:rsidP="00137F40">
      <w:pPr>
        <w:spacing w:line="240" w:lineRule="auto"/>
        <w:ind w:hanging="420"/>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kern w:val="0"/>
          <w:sz w:val="24"/>
          <w:szCs w:val="24"/>
        </w:rPr>
        <w:t xml:space="preserve">Jones, A., Wilson, S., &amp; Grant, R. (2019). Human health risks from the consumption of contaminated seafood: A review of the literature. </w:t>
      </w:r>
      <w:r w:rsidRPr="00995960">
        <w:rPr>
          <w:rFonts w:ascii="Times New Roman" w:eastAsia="Times New Roman" w:hAnsi="Times New Roman" w:cs="Times New Roman"/>
          <w:i/>
          <w:iCs/>
          <w:kern w:val="0"/>
          <w:sz w:val="24"/>
          <w:szCs w:val="24"/>
        </w:rPr>
        <w:t>Environmental Health Perspectives</w:t>
      </w:r>
      <w:r w:rsidRPr="00995960">
        <w:rPr>
          <w:rFonts w:ascii="Times New Roman" w:eastAsia="Times New Roman" w:hAnsi="Times New Roman" w:cs="Times New Roman"/>
          <w:kern w:val="0"/>
          <w:sz w:val="24"/>
          <w:szCs w:val="24"/>
        </w:rPr>
        <w:t>, 127(10), 100-110.</w:t>
      </w:r>
    </w:p>
    <w:p w:rsidR="00137F40" w:rsidRPr="00995960" w:rsidRDefault="00137F40" w:rsidP="00137F40">
      <w:pPr>
        <w:spacing w:line="240" w:lineRule="auto"/>
        <w:ind w:hanging="420"/>
        <w:jc w:val="both"/>
        <w:rPr>
          <w:rFonts w:ascii="Times New Roman" w:eastAsia="Times New Roman" w:hAnsi="Times New Roman" w:cs="Times New Roman"/>
          <w:kern w:val="0"/>
          <w:sz w:val="24"/>
          <w:szCs w:val="24"/>
        </w:rPr>
      </w:pPr>
      <w:r w:rsidRPr="00995960">
        <w:rPr>
          <w:rFonts w:ascii="Times New Roman" w:eastAsia="Times New Roman" w:hAnsi="Times New Roman" w:cs="Times New Roman"/>
          <w:kern w:val="0"/>
          <w:sz w:val="24"/>
          <w:szCs w:val="24"/>
        </w:rPr>
        <w:t xml:space="preserve">Lee, J., Kim, Y., &amp; Park, J. (2022). Seasonal variations in total petroleum hydrocarbons in aquatic environments: Implications for monitoring and management. </w:t>
      </w:r>
      <w:r w:rsidRPr="00995960">
        <w:rPr>
          <w:rFonts w:ascii="Times New Roman" w:eastAsia="Times New Roman" w:hAnsi="Times New Roman" w:cs="Times New Roman"/>
          <w:i/>
          <w:iCs/>
          <w:kern w:val="0"/>
          <w:sz w:val="24"/>
          <w:szCs w:val="24"/>
        </w:rPr>
        <w:t>Water Research</w:t>
      </w:r>
      <w:r w:rsidRPr="00995960">
        <w:rPr>
          <w:rFonts w:ascii="Times New Roman" w:eastAsia="Times New Roman" w:hAnsi="Times New Roman" w:cs="Times New Roman"/>
          <w:kern w:val="0"/>
          <w:sz w:val="24"/>
          <w:szCs w:val="24"/>
        </w:rPr>
        <w:t>, 205, 117-126.</w:t>
      </w:r>
    </w:p>
    <w:p w:rsidR="00137F40" w:rsidRDefault="00137F40" w:rsidP="00137F40">
      <w:pPr>
        <w:spacing w:line="240" w:lineRule="auto"/>
        <w:ind w:hanging="420"/>
        <w:jc w:val="both"/>
        <w:rPr>
          <w:rFonts w:ascii="Times New Roman" w:eastAsia="Times New Roman" w:hAnsi="Times New Roman" w:cs="Times New Roman"/>
          <w:color w:val="000000"/>
          <w:kern w:val="0"/>
          <w:sz w:val="24"/>
          <w:szCs w:val="24"/>
        </w:rPr>
      </w:pPr>
      <w:proofErr w:type="spellStart"/>
      <w:r w:rsidRPr="00995960">
        <w:rPr>
          <w:rFonts w:ascii="Times New Roman" w:eastAsia="Times New Roman" w:hAnsi="Times New Roman" w:cs="Times New Roman"/>
          <w:color w:val="000000"/>
          <w:kern w:val="0"/>
          <w:sz w:val="24"/>
          <w:szCs w:val="24"/>
        </w:rPr>
        <w:lastRenderedPageBreak/>
        <w:t>Ohimain</w:t>
      </w:r>
      <w:proofErr w:type="spellEnd"/>
      <w:r w:rsidRPr="00995960">
        <w:rPr>
          <w:rFonts w:ascii="Times New Roman" w:eastAsia="Times New Roman" w:hAnsi="Times New Roman" w:cs="Times New Roman"/>
          <w:color w:val="000000"/>
          <w:kern w:val="0"/>
          <w:sz w:val="24"/>
          <w:szCs w:val="24"/>
        </w:rPr>
        <w:t xml:space="preserve">, E. I. (2013a). Environmental impacts of smallholder ethanol production from cassava feedstock for the replacement of kerosene household cooking fuel in Nigeria. </w:t>
      </w:r>
      <w:r w:rsidRPr="00995960">
        <w:rPr>
          <w:rFonts w:ascii="Times New Roman" w:eastAsia="Times New Roman" w:hAnsi="Times New Roman" w:cs="Times New Roman"/>
          <w:i/>
          <w:iCs/>
          <w:color w:val="000000"/>
          <w:kern w:val="0"/>
          <w:sz w:val="24"/>
          <w:szCs w:val="24"/>
        </w:rPr>
        <w:t>Energy sources, Part A. 35</w:t>
      </w:r>
      <w:r w:rsidRPr="00995960">
        <w:rPr>
          <w:rFonts w:ascii="Times New Roman" w:eastAsia="Times New Roman" w:hAnsi="Times New Roman" w:cs="Times New Roman"/>
          <w:color w:val="000000"/>
          <w:kern w:val="0"/>
          <w:sz w:val="24"/>
          <w:szCs w:val="24"/>
        </w:rPr>
        <w:t>, 1560-1565.</w:t>
      </w:r>
    </w:p>
    <w:p w:rsidR="00245F8E" w:rsidRPr="00995960" w:rsidRDefault="00245F8E" w:rsidP="00137F40">
      <w:pPr>
        <w:spacing w:line="240" w:lineRule="auto"/>
        <w:ind w:hanging="420"/>
        <w:jc w:val="both"/>
        <w:rPr>
          <w:rFonts w:ascii="Times New Roman" w:eastAsia="Times New Roman" w:hAnsi="Times New Roman" w:cs="Times New Roman"/>
          <w:kern w:val="0"/>
          <w:sz w:val="24"/>
          <w:szCs w:val="24"/>
        </w:rPr>
      </w:pPr>
      <w:r>
        <w:t xml:space="preserve">Tolosa, I., de Mora, S.J., Fowler, S.W., Villeneuve J.P., Bartocci, J. and </w:t>
      </w:r>
      <w:proofErr w:type="spellStart"/>
      <w:r>
        <w:t>Cattini</w:t>
      </w:r>
      <w:proofErr w:type="spellEnd"/>
      <w:r>
        <w:t xml:space="preserve"> C. 2005. Aliphatic and aromatic hydrocarbons in marine biota and coastal sediments from the Gulf and the Gulf of Oman</w:t>
      </w:r>
      <w:proofErr w:type="gramStart"/>
      <w:r>
        <w:t>' ,</w:t>
      </w:r>
      <w:proofErr w:type="gramEnd"/>
      <w:r>
        <w:t xml:space="preserve"> Mar. </w:t>
      </w:r>
      <w:proofErr w:type="spellStart"/>
      <w:r>
        <w:t>Pollut</w:t>
      </w:r>
      <w:proofErr w:type="spellEnd"/>
      <w:r>
        <w:t>. Bull. 50:1619-1633.</w:t>
      </w:r>
    </w:p>
    <w:p w:rsidR="00137F40" w:rsidRPr="00995960" w:rsidRDefault="00137F40" w:rsidP="00137F40">
      <w:pPr>
        <w:spacing w:line="240" w:lineRule="auto"/>
        <w:ind w:hanging="420"/>
        <w:jc w:val="both"/>
        <w:rPr>
          <w:rFonts w:ascii="Times New Roman" w:hAnsi="Times New Roman" w:cs="Times New Roman"/>
          <w:color w:val="222222"/>
          <w:sz w:val="24"/>
          <w:szCs w:val="24"/>
          <w:shd w:val="clear" w:color="auto" w:fill="FFFFFF"/>
        </w:rPr>
      </w:pPr>
      <w:proofErr w:type="spellStart"/>
      <w:r w:rsidRPr="00995960">
        <w:rPr>
          <w:rFonts w:ascii="Times New Roman" w:hAnsi="Times New Roman" w:cs="Times New Roman"/>
          <w:color w:val="222222"/>
          <w:sz w:val="24"/>
          <w:szCs w:val="24"/>
          <w:shd w:val="clear" w:color="auto" w:fill="FFFFFF"/>
        </w:rPr>
        <w:t>Olaifa</w:t>
      </w:r>
      <w:proofErr w:type="spellEnd"/>
      <w:r w:rsidRPr="00995960">
        <w:rPr>
          <w:rFonts w:ascii="Times New Roman" w:hAnsi="Times New Roman" w:cs="Times New Roman"/>
          <w:color w:val="222222"/>
          <w:sz w:val="24"/>
          <w:szCs w:val="24"/>
          <w:shd w:val="clear" w:color="auto" w:fill="FFFFFF"/>
        </w:rPr>
        <w:t xml:space="preserve">, F. E., </w:t>
      </w:r>
      <w:proofErr w:type="spellStart"/>
      <w:r w:rsidRPr="00995960">
        <w:rPr>
          <w:rFonts w:ascii="Times New Roman" w:hAnsi="Times New Roman" w:cs="Times New Roman"/>
          <w:color w:val="222222"/>
          <w:sz w:val="24"/>
          <w:szCs w:val="24"/>
          <w:shd w:val="clear" w:color="auto" w:fill="FFFFFF"/>
        </w:rPr>
        <w:t>Olaifa</w:t>
      </w:r>
      <w:proofErr w:type="spellEnd"/>
      <w:r w:rsidRPr="00995960">
        <w:rPr>
          <w:rFonts w:ascii="Times New Roman" w:hAnsi="Times New Roman" w:cs="Times New Roman"/>
          <w:color w:val="222222"/>
          <w:sz w:val="24"/>
          <w:szCs w:val="24"/>
          <w:shd w:val="clear" w:color="auto" w:fill="FFFFFF"/>
        </w:rPr>
        <w:t xml:space="preserve">, A. K., Adelaja, A. A., &amp; Owolabi, A. G. (2004). Heavy metal contamination of Clarias </w:t>
      </w:r>
      <w:proofErr w:type="spellStart"/>
      <w:r w:rsidRPr="00995960">
        <w:rPr>
          <w:rFonts w:ascii="Times New Roman" w:hAnsi="Times New Roman" w:cs="Times New Roman"/>
          <w:color w:val="222222"/>
          <w:sz w:val="24"/>
          <w:szCs w:val="24"/>
          <w:shd w:val="clear" w:color="auto" w:fill="FFFFFF"/>
        </w:rPr>
        <w:t>gariepinus</w:t>
      </w:r>
      <w:proofErr w:type="spellEnd"/>
      <w:r w:rsidRPr="00995960">
        <w:rPr>
          <w:rFonts w:ascii="Times New Roman" w:hAnsi="Times New Roman" w:cs="Times New Roman"/>
          <w:color w:val="222222"/>
          <w:sz w:val="24"/>
          <w:szCs w:val="24"/>
          <w:shd w:val="clear" w:color="auto" w:fill="FFFFFF"/>
        </w:rPr>
        <w:t xml:space="preserve"> from a lake and fish farm in Ibadan, Nigeria. </w:t>
      </w:r>
      <w:r w:rsidRPr="00995960">
        <w:rPr>
          <w:rFonts w:ascii="Times New Roman" w:hAnsi="Times New Roman" w:cs="Times New Roman"/>
          <w:i/>
          <w:iCs/>
          <w:color w:val="222222"/>
          <w:sz w:val="24"/>
          <w:szCs w:val="24"/>
          <w:shd w:val="clear" w:color="auto" w:fill="FFFFFF"/>
        </w:rPr>
        <w:t>African Journal of Biomedical Research</w:t>
      </w:r>
      <w:r w:rsidRPr="00995960">
        <w:rPr>
          <w:rFonts w:ascii="Times New Roman" w:hAnsi="Times New Roman" w:cs="Times New Roman"/>
          <w:color w:val="222222"/>
          <w:sz w:val="24"/>
          <w:szCs w:val="24"/>
          <w:shd w:val="clear" w:color="auto" w:fill="FFFFFF"/>
        </w:rPr>
        <w:t>, </w:t>
      </w:r>
      <w:r w:rsidRPr="00995960">
        <w:rPr>
          <w:rFonts w:ascii="Times New Roman" w:hAnsi="Times New Roman" w:cs="Times New Roman"/>
          <w:i/>
          <w:iCs/>
          <w:color w:val="222222"/>
          <w:sz w:val="24"/>
          <w:szCs w:val="24"/>
          <w:shd w:val="clear" w:color="auto" w:fill="FFFFFF"/>
        </w:rPr>
        <w:t>7</w:t>
      </w:r>
      <w:r w:rsidRPr="00995960">
        <w:rPr>
          <w:rFonts w:ascii="Times New Roman" w:hAnsi="Times New Roman" w:cs="Times New Roman"/>
          <w:color w:val="222222"/>
          <w:sz w:val="24"/>
          <w:szCs w:val="24"/>
          <w:shd w:val="clear" w:color="auto" w:fill="FFFFFF"/>
        </w:rPr>
        <w:t>(3).</w:t>
      </w:r>
    </w:p>
    <w:p w:rsidR="00137F40" w:rsidRDefault="00137F40" w:rsidP="00137F40">
      <w:pPr>
        <w:spacing w:line="240" w:lineRule="auto"/>
        <w:ind w:hanging="420"/>
        <w:jc w:val="both"/>
        <w:rPr>
          <w:rFonts w:ascii="Times New Roman" w:hAnsi="Times New Roman" w:cs="Times New Roman"/>
          <w:color w:val="000000"/>
          <w:sz w:val="24"/>
          <w:szCs w:val="24"/>
          <w:shd w:val="clear" w:color="auto" w:fill="FFFFFF"/>
        </w:rPr>
      </w:pPr>
      <w:proofErr w:type="spellStart"/>
      <w:r w:rsidRPr="00995960">
        <w:rPr>
          <w:rStyle w:val="personname"/>
          <w:rFonts w:ascii="Times New Roman" w:hAnsi="Times New Roman" w:cs="Times New Roman"/>
          <w:color w:val="000000"/>
          <w:sz w:val="24"/>
          <w:szCs w:val="24"/>
          <w:shd w:val="clear" w:color="auto" w:fill="FFFFFF"/>
        </w:rPr>
        <w:t>Olaji</w:t>
      </w:r>
      <w:proofErr w:type="spellEnd"/>
      <w:r w:rsidRPr="00995960">
        <w:rPr>
          <w:rStyle w:val="personname"/>
          <w:rFonts w:ascii="Times New Roman" w:hAnsi="Times New Roman" w:cs="Times New Roman"/>
          <w:color w:val="000000"/>
          <w:sz w:val="24"/>
          <w:szCs w:val="24"/>
          <w:shd w:val="clear" w:color="auto" w:fill="FFFFFF"/>
        </w:rPr>
        <w:t>, E. D.</w:t>
      </w:r>
      <w:r w:rsidRPr="00995960">
        <w:rPr>
          <w:rFonts w:ascii="Times New Roman" w:hAnsi="Times New Roman" w:cs="Times New Roman"/>
          <w:color w:val="000000"/>
          <w:sz w:val="24"/>
          <w:szCs w:val="24"/>
          <w:shd w:val="clear" w:color="auto" w:fill="FFFFFF"/>
        </w:rPr>
        <w:t> and </w:t>
      </w:r>
      <w:r w:rsidRPr="00995960">
        <w:rPr>
          <w:rStyle w:val="personname"/>
          <w:rFonts w:ascii="Times New Roman" w:hAnsi="Times New Roman" w:cs="Times New Roman"/>
          <w:color w:val="000000"/>
          <w:sz w:val="24"/>
          <w:szCs w:val="24"/>
          <w:shd w:val="clear" w:color="auto" w:fill="FFFFFF"/>
        </w:rPr>
        <w:t>Nwogu, N. A.</w:t>
      </w:r>
      <w:r w:rsidRPr="00995960">
        <w:rPr>
          <w:rFonts w:ascii="Times New Roman" w:hAnsi="Times New Roman" w:cs="Times New Roman"/>
          <w:color w:val="000000"/>
          <w:sz w:val="24"/>
          <w:szCs w:val="24"/>
          <w:shd w:val="clear" w:color="auto" w:fill="FFFFFF"/>
        </w:rPr>
        <w:t> and </w:t>
      </w:r>
      <w:r w:rsidRPr="00995960">
        <w:rPr>
          <w:rStyle w:val="personname"/>
          <w:rFonts w:ascii="Times New Roman" w:hAnsi="Times New Roman" w:cs="Times New Roman"/>
          <w:color w:val="000000"/>
          <w:sz w:val="24"/>
          <w:szCs w:val="24"/>
          <w:shd w:val="clear" w:color="auto" w:fill="FFFFFF"/>
        </w:rPr>
        <w:t>Yakubu, A. F.</w:t>
      </w:r>
      <w:r w:rsidRPr="00995960">
        <w:rPr>
          <w:rFonts w:ascii="Times New Roman" w:hAnsi="Times New Roman" w:cs="Times New Roman"/>
          <w:color w:val="000000"/>
          <w:sz w:val="24"/>
          <w:szCs w:val="24"/>
          <w:shd w:val="clear" w:color="auto" w:fill="FFFFFF"/>
        </w:rPr>
        <w:t> and </w:t>
      </w:r>
      <w:proofErr w:type="spellStart"/>
      <w:r w:rsidRPr="00995960">
        <w:rPr>
          <w:rStyle w:val="personname"/>
          <w:rFonts w:ascii="Times New Roman" w:hAnsi="Times New Roman" w:cs="Times New Roman"/>
          <w:color w:val="000000"/>
          <w:sz w:val="24"/>
          <w:szCs w:val="24"/>
          <w:shd w:val="clear" w:color="auto" w:fill="FFFFFF"/>
        </w:rPr>
        <w:t>Olaji</w:t>
      </w:r>
      <w:proofErr w:type="spellEnd"/>
      <w:r w:rsidRPr="00995960">
        <w:rPr>
          <w:rStyle w:val="personname"/>
          <w:rFonts w:ascii="Times New Roman" w:hAnsi="Times New Roman" w:cs="Times New Roman"/>
          <w:color w:val="000000"/>
          <w:sz w:val="24"/>
          <w:szCs w:val="24"/>
          <w:shd w:val="clear" w:color="auto" w:fill="FFFFFF"/>
        </w:rPr>
        <w:t>, C. O.</w:t>
      </w:r>
      <w:r w:rsidRPr="00995960">
        <w:rPr>
          <w:rFonts w:ascii="Times New Roman" w:hAnsi="Times New Roman" w:cs="Times New Roman"/>
          <w:color w:val="000000"/>
          <w:sz w:val="24"/>
          <w:szCs w:val="24"/>
          <w:shd w:val="clear" w:color="auto" w:fill="FFFFFF"/>
        </w:rPr>
        <w:t> (2014) </w:t>
      </w:r>
      <w:r w:rsidRPr="00995960">
        <w:rPr>
          <w:rStyle w:val="Emphasis"/>
          <w:rFonts w:ascii="Times New Roman" w:hAnsi="Times New Roman" w:cs="Times New Roman"/>
          <w:i w:val="0"/>
          <w:iCs w:val="0"/>
          <w:color w:val="000000"/>
          <w:sz w:val="24"/>
          <w:szCs w:val="24"/>
          <w:shd w:val="clear" w:color="auto" w:fill="FFFFFF"/>
        </w:rPr>
        <w:t>Assessment of Total Hydrocarbon Concentration in Four Fish Species of Degele Community, Nigeria and Their Dietary Intake in the Populace</w:t>
      </w:r>
      <w:r w:rsidRPr="00995960">
        <w:rPr>
          <w:rStyle w:val="Emphasis"/>
          <w:rFonts w:ascii="Times New Roman" w:hAnsi="Times New Roman" w:cs="Times New Roman"/>
          <w:color w:val="000000"/>
          <w:sz w:val="24"/>
          <w:szCs w:val="24"/>
          <w:shd w:val="clear" w:color="auto" w:fill="FFFFFF"/>
        </w:rPr>
        <w:t>.</w:t>
      </w:r>
      <w:r w:rsidRPr="00995960">
        <w:rPr>
          <w:rFonts w:ascii="Times New Roman" w:hAnsi="Times New Roman" w:cs="Times New Roman"/>
          <w:color w:val="000000"/>
          <w:sz w:val="24"/>
          <w:szCs w:val="24"/>
          <w:shd w:val="clear" w:color="auto" w:fill="FFFFFF"/>
        </w:rPr>
        <w:t> </w:t>
      </w:r>
      <w:r w:rsidRPr="00995960">
        <w:rPr>
          <w:rFonts w:ascii="Times New Roman" w:hAnsi="Times New Roman" w:cs="Times New Roman"/>
          <w:i/>
          <w:iCs/>
          <w:color w:val="000000"/>
          <w:sz w:val="24"/>
          <w:szCs w:val="24"/>
          <w:shd w:val="clear" w:color="auto" w:fill="FFFFFF"/>
        </w:rPr>
        <w:t>Advances in Research</w:t>
      </w:r>
      <w:r w:rsidRPr="00995960">
        <w:rPr>
          <w:rFonts w:ascii="Times New Roman" w:hAnsi="Times New Roman" w:cs="Times New Roman"/>
          <w:color w:val="000000"/>
          <w:sz w:val="24"/>
          <w:szCs w:val="24"/>
          <w:shd w:val="clear" w:color="auto" w:fill="FFFFFF"/>
        </w:rPr>
        <w:t xml:space="preserve">, 2 (2). pp. 109-118. </w:t>
      </w:r>
    </w:p>
    <w:p w:rsidR="00345747" w:rsidRDefault="00345747" w:rsidP="00137F40">
      <w:pPr>
        <w:spacing w:line="240" w:lineRule="auto"/>
        <w:ind w:hanging="420"/>
        <w:jc w:val="both"/>
      </w:pPr>
      <w:proofErr w:type="spellStart"/>
      <w:r>
        <w:t>Veerasingam</w:t>
      </w:r>
      <w:proofErr w:type="spellEnd"/>
      <w:r>
        <w:t xml:space="preserve">, S., </w:t>
      </w:r>
      <w:proofErr w:type="spellStart"/>
      <w:r>
        <w:t>Venkatachalapathy</w:t>
      </w:r>
      <w:proofErr w:type="spellEnd"/>
      <w:r>
        <w:t xml:space="preserve"> R., Raja, P., S u d h a k a r, </w:t>
      </w:r>
      <w:proofErr w:type="gramStart"/>
      <w:r>
        <w:t>S .</w:t>
      </w:r>
      <w:proofErr w:type="gramEnd"/>
      <w:r>
        <w:t xml:space="preserve"> , R a j e </w:t>
      </w:r>
      <w:proofErr w:type="spellStart"/>
      <w:r>
        <w:t>swa</w:t>
      </w:r>
      <w:proofErr w:type="spellEnd"/>
      <w:r>
        <w:t xml:space="preserve"> </w:t>
      </w:r>
      <w:proofErr w:type="spellStart"/>
      <w:r>
        <w:t>ri</w:t>
      </w:r>
      <w:proofErr w:type="spellEnd"/>
      <w:r>
        <w:t xml:space="preserve"> , V. , </w:t>
      </w:r>
      <w:proofErr w:type="spellStart"/>
      <w:r>
        <w:t>MohamadAsanulla</w:t>
      </w:r>
      <w:proofErr w:type="spellEnd"/>
      <w:r>
        <w:t xml:space="preserve">, R., Mohan, R. and Sutha </w:t>
      </w:r>
      <w:proofErr w:type="spellStart"/>
      <w:r>
        <w:t>rs</w:t>
      </w:r>
      <w:proofErr w:type="spellEnd"/>
      <w:r>
        <w:t xml:space="preserve"> an, P. 2011. Pe </w:t>
      </w:r>
      <w:proofErr w:type="spellStart"/>
      <w:r>
        <w:t>trol</w:t>
      </w:r>
      <w:proofErr w:type="spellEnd"/>
      <w:r>
        <w:t xml:space="preserve"> </w:t>
      </w:r>
      <w:proofErr w:type="spellStart"/>
      <w:r>
        <w:t>eum</w:t>
      </w:r>
      <w:proofErr w:type="spellEnd"/>
      <w:r>
        <w:t xml:space="preserve"> hydrocarbon concentrations in ten commercial fish species along </w:t>
      </w:r>
      <w:proofErr w:type="spellStart"/>
      <w:r>
        <w:t>Tamilnadu</w:t>
      </w:r>
      <w:proofErr w:type="spellEnd"/>
      <w:r>
        <w:t xml:space="preserve"> coast, Bay of Bengal, India. Environmental Science and Pollution Research 18: 687- 693.</w:t>
      </w:r>
    </w:p>
    <w:p w:rsidR="008279A2" w:rsidRPr="00BD05BB" w:rsidRDefault="008279A2" w:rsidP="00137F40">
      <w:pPr>
        <w:spacing w:line="240" w:lineRule="auto"/>
        <w:ind w:hanging="420"/>
        <w:jc w:val="both"/>
        <w:rPr>
          <w:rFonts w:ascii="Times New Roman" w:hAnsi="Times New Roman" w:cs="Times New Roman"/>
          <w:sz w:val="24"/>
          <w:szCs w:val="24"/>
        </w:rPr>
      </w:pPr>
      <w:proofErr w:type="spellStart"/>
      <w:r>
        <w:t>Enuneku</w:t>
      </w:r>
      <w:proofErr w:type="spellEnd"/>
      <w:r>
        <w:t xml:space="preserve">, A. </w:t>
      </w:r>
      <w:proofErr w:type="gramStart"/>
      <w:r>
        <w:t>A .</w:t>
      </w:r>
      <w:proofErr w:type="gramEnd"/>
      <w:r>
        <w:t xml:space="preserve">, </w:t>
      </w:r>
      <w:proofErr w:type="spellStart"/>
      <w:r>
        <w:t>Ainerua</w:t>
      </w:r>
      <w:proofErr w:type="spellEnd"/>
      <w:r>
        <w:t xml:space="preserve"> M ., </w:t>
      </w:r>
      <w:proofErr w:type="spellStart"/>
      <w:r>
        <w:t>Erhunmwunse</w:t>
      </w:r>
      <w:proofErr w:type="spellEnd"/>
      <w:r>
        <w:t xml:space="preserve">, N. O ., </w:t>
      </w:r>
      <w:proofErr w:type="spellStart"/>
      <w:r>
        <w:t>Osakue</w:t>
      </w:r>
      <w:proofErr w:type="spellEnd"/>
      <w:r>
        <w:t xml:space="preserve"> O. E (2015)</w:t>
      </w:r>
      <w:r w:rsidR="00BD05BB" w:rsidRPr="00BD05BB">
        <w:t xml:space="preserve"> </w:t>
      </w:r>
      <w:r w:rsidR="00BD05BB" w:rsidRPr="00BD05BB">
        <w:rPr>
          <w:rFonts w:ascii="Times New Roman" w:hAnsi="Times New Roman" w:cs="Times New Roman"/>
          <w:sz w:val="24"/>
          <w:szCs w:val="24"/>
        </w:rPr>
        <w:t xml:space="preserve">Total Petroleum Hydrocarbons In Organs Of Commercially Available Fish; </w:t>
      </w:r>
      <w:proofErr w:type="spellStart"/>
      <w:r w:rsidR="00BD05BB" w:rsidRPr="00BD05BB">
        <w:rPr>
          <w:rFonts w:ascii="Times New Roman" w:hAnsi="Times New Roman" w:cs="Times New Roman"/>
          <w:sz w:val="24"/>
          <w:szCs w:val="24"/>
        </w:rPr>
        <w:t>Trachurus</w:t>
      </w:r>
      <w:proofErr w:type="spellEnd"/>
      <w:r w:rsidR="00BD05BB" w:rsidRPr="00BD05BB">
        <w:rPr>
          <w:rFonts w:ascii="Times New Roman" w:hAnsi="Times New Roman" w:cs="Times New Roman"/>
          <w:sz w:val="24"/>
          <w:szCs w:val="24"/>
        </w:rPr>
        <w:t xml:space="preserve"> </w:t>
      </w:r>
      <w:proofErr w:type="spellStart"/>
      <w:r w:rsidR="00BD05BB" w:rsidRPr="00BD05BB">
        <w:rPr>
          <w:rFonts w:ascii="Times New Roman" w:hAnsi="Times New Roman" w:cs="Times New Roman"/>
          <w:sz w:val="24"/>
          <w:szCs w:val="24"/>
        </w:rPr>
        <w:t>Trecae</w:t>
      </w:r>
      <w:proofErr w:type="spellEnd"/>
      <w:r w:rsidR="00BD05BB" w:rsidRPr="00BD05BB">
        <w:rPr>
          <w:rFonts w:ascii="Times New Roman" w:hAnsi="Times New Roman" w:cs="Times New Roman"/>
          <w:sz w:val="24"/>
          <w:szCs w:val="24"/>
        </w:rPr>
        <w:t xml:space="preserve"> (</w:t>
      </w:r>
      <w:proofErr w:type="spellStart"/>
      <w:r w:rsidR="00BD05BB" w:rsidRPr="00BD05BB">
        <w:rPr>
          <w:rFonts w:ascii="Times New Roman" w:hAnsi="Times New Roman" w:cs="Times New Roman"/>
          <w:sz w:val="24"/>
          <w:szCs w:val="24"/>
        </w:rPr>
        <w:t>Cadenat</w:t>
      </w:r>
      <w:proofErr w:type="spellEnd"/>
      <w:r w:rsidR="00BD05BB" w:rsidRPr="00BD05BB">
        <w:rPr>
          <w:rFonts w:ascii="Times New Roman" w:hAnsi="Times New Roman" w:cs="Times New Roman"/>
          <w:sz w:val="24"/>
          <w:szCs w:val="24"/>
        </w:rPr>
        <w:t>, 1949) From Oliha Market, Benin City, Nigeria.</w:t>
      </w:r>
      <w:r w:rsidR="004960CA">
        <w:rPr>
          <w:rFonts w:ascii="Times New Roman" w:hAnsi="Times New Roman" w:cs="Times New Roman"/>
          <w:sz w:val="24"/>
          <w:szCs w:val="24"/>
        </w:rPr>
        <w:t xml:space="preserve"> </w:t>
      </w:r>
      <w:r w:rsidR="004960CA" w:rsidRPr="004960CA">
        <w:rPr>
          <w:i/>
        </w:rPr>
        <w:t>Ife Journal of Science vol</w:t>
      </w:r>
      <w:r w:rsidR="004960CA">
        <w:t>. 17 (2). PP 383-393</w:t>
      </w:r>
    </w:p>
    <w:p w:rsidR="00137F40" w:rsidRPr="00995960" w:rsidRDefault="00137F40" w:rsidP="00137F40">
      <w:pPr>
        <w:spacing w:line="240" w:lineRule="auto"/>
        <w:ind w:hanging="420"/>
        <w:jc w:val="both"/>
        <w:rPr>
          <w:rFonts w:ascii="Times New Roman" w:eastAsia="Times New Roman" w:hAnsi="Times New Roman" w:cs="Times New Roman"/>
          <w:color w:val="000000"/>
          <w:kern w:val="0"/>
          <w:sz w:val="24"/>
          <w:szCs w:val="24"/>
        </w:rPr>
      </w:pPr>
      <w:r w:rsidRPr="00995960">
        <w:rPr>
          <w:rFonts w:ascii="Times New Roman" w:eastAsia="Times New Roman" w:hAnsi="Times New Roman" w:cs="Times New Roman"/>
          <w:color w:val="000000"/>
          <w:kern w:val="0"/>
          <w:sz w:val="24"/>
          <w:szCs w:val="24"/>
        </w:rPr>
        <w:t xml:space="preserve">Partin, S. (1999). </w:t>
      </w:r>
      <w:r w:rsidRPr="00995960">
        <w:rPr>
          <w:rFonts w:ascii="Times New Roman" w:eastAsia="Times New Roman" w:hAnsi="Times New Roman" w:cs="Times New Roman"/>
          <w:i/>
          <w:iCs/>
          <w:color w:val="000000"/>
          <w:kern w:val="0"/>
          <w:sz w:val="24"/>
          <w:szCs w:val="24"/>
        </w:rPr>
        <w:t>Environmental Impact of the offshore oil and gas industry</w:t>
      </w:r>
      <w:r w:rsidRPr="00995960">
        <w:rPr>
          <w:rFonts w:ascii="Times New Roman" w:eastAsia="Times New Roman" w:hAnsi="Times New Roman" w:cs="Times New Roman"/>
          <w:color w:val="000000"/>
          <w:kern w:val="0"/>
          <w:sz w:val="24"/>
          <w:szCs w:val="24"/>
        </w:rPr>
        <w:t>. Eco –Monitor East Northport, New York, 425.</w:t>
      </w:r>
    </w:p>
    <w:p w:rsidR="00137F40" w:rsidRPr="00995960" w:rsidRDefault="00137F40" w:rsidP="00137F40">
      <w:pPr>
        <w:spacing w:line="240" w:lineRule="auto"/>
        <w:ind w:hanging="420"/>
        <w:jc w:val="both"/>
        <w:rPr>
          <w:rFonts w:ascii="Times New Roman" w:hAnsi="Times New Roman" w:cs="Times New Roman"/>
          <w:sz w:val="24"/>
          <w:szCs w:val="24"/>
        </w:rPr>
      </w:pPr>
      <w:r w:rsidRPr="00995960">
        <w:rPr>
          <w:rFonts w:ascii="Times New Roman" w:eastAsia="Times New Roman" w:hAnsi="Times New Roman" w:cs="Times New Roman"/>
          <w:color w:val="000000"/>
          <w:kern w:val="0"/>
          <w:sz w:val="24"/>
          <w:szCs w:val="24"/>
        </w:rPr>
        <w:t xml:space="preserve">United States Fish and Wildlife. (2004). </w:t>
      </w:r>
      <w:r w:rsidRPr="00995960">
        <w:rPr>
          <w:rFonts w:ascii="Times New Roman" w:eastAsia="Times New Roman" w:hAnsi="Times New Roman" w:cs="Times New Roman"/>
          <w:i/>
          <w:iCs/>
          <w:color w:val="000000"/>
          <w:kern w:val="0"/>
          <w:sz w:val="24"/>
          <w:szCs w:val="24"/>
        </w:rPr>
        <w:t>Effects of oil spills on wildlife and habitat: Alaska region. U.S. fish and wildlife service, December 2004</w:t>
      </w:r>
      <w:r w:rsidRPr="00995960">
        <w:rPr>
          <w:rFonts w:ascii="Times New Roman" w:eastAsia="Times New Roman" w:hAnsi="Times New Roman" w:cs="Times New Roman"/>
          <w:color w:val="000000"/>
          <w:kern w:val="0"/>
          <w:sz w:val="24"/>
          <w:szCs w:val="24"/>
        </w:rPr>
        <w:t xml:space="preserve">. Retrieved from </w:t>
      </w:r>
      <w:hyperlink r:id="rId8" w:history="1">
        <w:r w:rsidRPr="00995960">
          <w:rPr>
            <w:rFonts w:ascii="Times New Roman" w:eastAsia="Times New Roman" w:hAnsi="Times New Roman" w:cs="Times New Roman"/>
            <w:color w:val="0000FF"/>
            <w:kern w:val="0"/>
            <w:sz w:val="24"/>
            <w:szCs w:val="24"/>
            <w:u w:val="single"/>
          </w:rPr>
          <w:t>http://okaloosa.ifas.ufl.edu/MS/OilSpillFactSheetAlaska.pdf</w:t>
        </w:r>
      </w:hyperlink>
    </w:p>
    <w:p w:rsidR="00137F40" w:rsidRPr="00995960" w:rsidRDefault="00137F40" w:rsidP="00137F40">
      <w:pPr>
        <w:spacing w:line="240" w:lineRule="auto"/>
        <w:ind w:hanging="420"/>
        <w:jc w:val="both"/>
        <w:rPr>
          <w:rStyle w:val="Emphasis"/>
          <w:rFonts w:ascii="Times New Roman" w:hAnsi="Times New Roman" w:cs="Times New Roman"/>
          <w:sz w:val="24"/>
          <w:szCs w:val="24"/>
        </w:rPr>
      </w:pPr>
      <w:r w:rsidRPr="00995960">
        <w:rPr>
          <w:rFonts w:ascii="Times New Roman" w:hAnsi="Times New Roman" w:cs="Times New Roman"/>
          <w:sz w:val="24"/>
          <w:szCs w:val="24"/>
        </w:rPr>
        <w:t xml:space="preserve">WHO (World Health Organization). (2020). </w:t>
      </w:r>
      <w:r w:rsidRPr="00995960">
        <w:rPr>
          <w:rStyle w:val="Emphasis"/>
          <w:rFonts w:ascii="Times New Roman" w:hAnsi="Times New Roman" w:cs="Times New Roman"/>
          <w:sz w:val="24"/>
          <w:szCs w:val="24"/>
        </w:rPr>
        <w:t>Guidelines for the safe use of wastewater, excreta and greywater</w:t>
      </w:r>
    </w:p>
    <w:p w:rsidR="00651F20" w:rsidRDefault="00651F20"/>
    <w:sectPr w:rsidR="00651F20" w:rsidSect="00E90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7F40"/>
    <w:rsid w:val="00137F40"/>
    <w:rsid w:val="00194887"/>
    <w:rsid w:val="00245F8E"/>
    <w:rsid w:val="002965BF"/>
    <w:rsid w:val="002B4E1B"/>
    <w:rsid w:val="00345747"/>
    <w:rsid w:val="00362D0D"/>
    <w:rsid w:val="004960CA"/>
    <w:rsid w:val="0051645A"/>
    <w:rsid w:val="00516E22"/>
    <w:rsid w:val="00586604"/>
    <w:rsid w:val="00651F20"/>
    <w:rsid w:val="006B3D28"/>
    <w:rsid w:val="006E6728"/>
    <w:rsid w:val="006F7F22"/>
    <w:rsid w:val="00746775"/>
    <w:rsid w:val="00776988"/>
    <w:rsid w:val="008279A2"/>
    <w:rsid w:val="009E675E"/>
    <w:rsid w:val="009F7FE3"/>
    <w:rsid w:val="00A426E7"/>
    <w:rsid w:val="00B479F0"/>
    <w:rsid w:val="00BD05BB"/>
    <w:rsid w:val="00C14CF4"/>
    <w:rsid w:val="00C67037"/>
    <w:rsid w:val="00F2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9D4F"/>
  <w15:docId w15:val="{813463EB-9898-441B-8050-3C5BECD4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40"/>
    <w:pPr>
      <w:spacing w:after="160" w:line="256"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37F40"/>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en-GB"/>
    </w:rPr>
  </w:style>
  <w:style w:type="paragraph" w:styleId="NormalWeb">
    <w:name w:val="Normal (Web)"/>
    <w:basedOn w:val="Normal"/>
    <w:uiPriority w:val="99"/>
    <w:unhideWhenUsed/>
    <w:rsid w:val="00137F40"/>
    <w:pPr>
      <w:spacing w:before="100" w:beforeAutospacing="1" w:after="100" w:afterAutospacing="1" w:line="240" w:lineRule="auto"/>
    </w:pPr>
    <w:rPr>
      <w:rFonts w:ascii="Times New Roman" w:eastAsia="Times New Roman" w:hAnsi="Times New Roman" w:cs="Times New Roman"/>
      <w:kern w:val="0"/>
      <w:sz w:val="24"/>
      <w:szCs w:val="24"/>
    </w:rPr>
  </w:style>
  <w:style w:type="table" w:customStyle="1" w:styleId="PlainTable21">
    <w:name w:val="Plain Table 21"/>
    <w:basedOn w:val="TableNormal"/>
    <w:uiPriority w:val="42"/>
    <w:rsid w:val="00137F40"/>
    <w:pPr>
      <w:spacing w:after="0" w:line="240" w:lineRule="auto"/>
    </w:pPr>
    <w:rPr>
      <w:kern w:val="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137F40"/>
    <w:rPr>
      <w:i/>
      <w:iCs/>
    </w:rPr>
  </w:style>
  <w:style w:type="character" w:styleId="Hyperlink">
    <w:name w:val="Hyperlink"/>
    <w:basedOn w:val="DefaultParagraphFont"/>
    <w:uiPriority w:val="99"/>
    <w:unhideWhenUsed/>
    <w:rsid w:val="00137F40"/>
    <w:rPr>
      <w:color w:val="0000FF"/>
      <w:u w:val="single"/>
    </w:rPr>
  </w:style>
  <w:style w:type="character" w:customStyle="1" w:styleId="personname">
    <w:name w:val="person_name"/>
    <w:basedOn w:val="DefaultParagraphFont"/>
    <w:rsid w:val="00137F40"/>
  </w:style>
  <w:style w:type="paragraph" w:styleId="BalloonText">
    <w:name w:val="Balloon Text"/>
    <w:basedOn w:val="Normal"/>
    <w:link w:val="BalloonTextChar"/>
    <w:uiPriority w:val="99"/>
    <w:semiHidden/>
    <w:unhideWhenUsed/>
    <w:rsid w:val="00137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F4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kaloosa.ifas.ufl.edu/MS/OilSpillFactSheetAlaska.pdf" TargetMode="External"/><Relationship Id="rId3" Type="http://schemas.openxmlformats.org/officeDocument/2006/relationships/webSettings" Target="webSettings.xml"/><Relationship Id="rId7" Type="http://schemas.openxmlformats.org/officeDocument/2006/relationships/chart" Target="charts/chart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hyperlink" Target="https://docs.google.com/document/d/1_iC-6lqtC5Km_yIp6cD_Gwy2pLNgMjyT/edit" TargetMode="Externa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pattFill prst="lgConfetti">
                <a:fgClr>
                  <a:schemeClr val="accent6"/>
                </a:fgClr>
                <a:bgClr>
                  <a:schemeClr val="bg1"/>
                </a:bgClr>
              </a:pattFill>
              <a:ln w="12700">
                <a:solidFill>
                  <a:schemeClr val="tx1"/>
                </a:solidFill>
              </a:ln>
              <a:effectLst/>
            </c:spPr>
            <c:extLst>
              <c:ext xmlns:c16="http://schemas.microsoft.com/office/drawing/2014/chart" uri="{C3380CC4-5D6E-409C-BE32-E72D297353CC}">
                <c16:uniqueId val="{00000001-EE7F-4B43-977A-ED556855950A}"/>
              </c:ext>
            </c:extLst>
          </c:dPt>
          <c:dPt>
            <c:idx val="1"/>
            <c:invertIfNegative val="0"/>
            <c:bubble3D val="0"/>
            <c:spPr>
              <a:pattFill prst="horzBrick">
                <a:fgClr>
                  <a:schemeClr val="accent1"/>
                </a:fgClr>
                <a:bgClr>
                  <a:schemeClr val="bg1"/>
                </a:bgClr>
              </a:pattFill>
              <a:ln w="12700">
                <a:solidFill>
                  <a:schemeClr val="tx1"/>
                </a:solidFill>
              </a:ln>
              <a:effectLst/>
            </c:spPr>
            <c:extLst>
              <c:ext xmlns:c16="http://schemas.microsoft.com/office/drawing/2014/chart" uri="{C3380CC4-5D6E-409C-BE32-E72D297353CC}">
                <c16:uniqueId val="{00000003-EE7F-4B43-977A-ED556855950A}"/>
              </c:ext>
            </c:extLst>
          </c:dPt>
          <c:dPt>
            <c:idx val="2"/>
            <c:invertIfNegative val="0"/>
            <c:bubble3D val="0"/>
            <c:spPr>
              <a:pattFill prst="wdDnDiag">
                <a:fgClr>
                  <a:schemeClr val="accent2"/>
                </a:fgClr>
                <a:bgClr>
                  <a:schemeClr val="bg1"/>
                </a:bgClr>
              </a:pattFill>
              <a:ln w="12700">
                <a:solidFill>
                  <a:schemeClr val="tx1"/>
                </a:solidFill>
              </a:ln>
              <a:effectLst/>
            </c:spPr>
            <c:extLst>
              <c:ext xmlns:c16="http://schemas.microsoft.com/office/drawing/2014/chart" uri="{C3380CC4-5D6E-409C-BE32-E72D297353CC}">
                <c16:uniqueId val="{00000005-EE7F-4B43-977A-ED556855950A}"/>
              </c:ext>
            </c:extLst>
          </c:dPt>
          <c:errBars>
            <c:errBarType val="both"/>
            <c:errValType val="cust"/>
            <c:noEndCap val="0"/>
            <c:plus>
              <c:numLit>
                <c:formatCode>General</c:formatCode>
                <c:ptCount val="1"/>
                <c:pt idx="0">
                  <c:v>0.14000000000000001</c:v>
                </c:pt>
              </c:numLit>
            </c:plus>
            <c:minus>
              <c:numLit>
                <c:formatCode>General</c:formatCode>
                <c:ptCount val="1"/>
                <c:pt idx="0">
                  <c:v>0.14000000000000001</c:v>
                </c:pt>
              </c:numLit>
            </c:minus>
            <c:spPr>
              <a:noFill/>
              <a:ln w="15875" cap="flat" cmpd="sng" algn="ctr">
                <a:solidFill>
                  <a:schemeClr val="tx1">
                    <a:lumMod val="65000"/>
                    <a:lumOff val="35000"/>
                  </a:schemeClr>
                </a:solidFill>
                <a:round/>
              </a:ln>
              <a:effectLst/>
            </c:spPr>
          </c:errBars>
          <c:cat>
            <c:strRef>
              <c:f>Sheet1!$A$2:$A$4</c:f>
              <c:strCache>
                <c:ptCount val="3"/>
                <c:pt idx="0">
                  <c:v>June</c:v>
                </c:pt>
                <c:pt idx="1">
                  <c:v>July</c:v>
                </c:pt>
                <c:pt idx="2">
                  <c:v>August</c:v>
                </c:pt>
              </c:strCache>
            </c:strRef>
          </c:cat>
          <c:val>
            <c:numRef>
              <c:f>Sheet1!$B$2:$B$4</c:f>
              <c:numCache>
                <c:formatCode>General</c:formatCode>
                <c:ptCount val="3"/>
                <c:pt idx="0">
                  <c:v>4.5</c:v>
                </c:pt>
                <c:pt idx="1">
                  <c:v>4.5</c:v>
                </c:pt>
                <c:pt idx="2">
                  <c:v>4.5</c:v>
                </c:pt>
              </c:numCache>
            </c:numRef>
          </c:val>
          <c:extLst>
            <c:ext xmlns:c16="http://schemas.microsoft.com/office/drawing/2014/chart" uri="{C3380CC4-5D6E-409C-BE32-E72D297353CC}">
              <c16:uniqueId val="{00000006-EE7F-4B43-977A-ED556855950A}"/>
            </c:ext>
          </c:extLst>
        </c:ser>
        <c:dLbls>
          <c:showLegendKey val="0"/>
          <c:showVal val="0"/>
          <c:showCatName val="0"/>
          <c:showSerName val="0"/>
          <c:showPercent val="0"/>
          <c:showBubbleSize val="0"/>
        </c:dLbls>
        <c:gapWidth val="219"/>
        <c:overlap val="-27"/>
        <c:axId val="52362240"/>
        <c:axId val="52393472"/>
      </c:barChart>
      <c:catAx>
        <c:axId val="523622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Months</a:t>
                </a:r>
              </a:p>
            </c:rich>
          </c:tx>
          <c:layout>
            <c:manualLayout>
              <c:xMode val="edge"/>
              <c:yMode val="edge"/>
              <c:x val="0.50096638961795881"/>
              <c:y val="0.90555555555555567"/>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2393472"/>
        <c:crosses val="autoZero"/>
        <c:auto val="1"/>
        <c:lblAlgn val="ctr"/>
        <c:lblOffset val="100"/>
        <c:noMultiLvlLbl val="0"/>
      </c:catAx>
      <c:valAx>
        <c:axId val="5239347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Mean values</a:t>
                </a:r>
              </a:p>
            </c:rich>
          </c:tx>
          <c:layout>
            <c:manualLayout>
              <c:xMode val="edge"/>
              <c:yMode val="edge"/>
              <c:x val="1.6203703703703751E-2"/>
              <c:y val="0.25713285839270089"/>
            </c:manualLayout>
          </c:layout>
          <c:overlay val="0"/>
          <c:spPr>
            <a:noFill/>
            <a:ln>
              <a:noFill/>
            </a:ln>
            <a:effectLst/>
          </c:sp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2362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pattFill prst="pct5">
              <a:fgClr>
                <a:sysClr val="windowText" lastClr="000000">
                  <a:lumMod val="65000"/>
                  <a:lumOff val="35000"/>
                </a:sysClr>
              </a:fgClr>
              <a:bgClr>
                <a:schemeClr val="bg1"/>
              </a:bgClr>
            </a:pattFill>
            <a:ln>
              <a:noFill/>
            </a:ln>
            <a:effectLst/>
          </c:spPr>
          <c:invertIfNegative val="0"/>
          <c:dPt>
            <c:idx val="0"/>
            <c:invertIfNegative val="0"/>
            <c:bubble3D val="0"/>
            <c:spPr>
              <a:pattFill prst="lgConfetti">
                <a:fgClr>
                  <a:schemeClr val="accent6"/>
                </a:fgClr>
                <a:bgClr>
                  <a:schemeClr val="bg1"/>
                </a:bgClr>
              </a:pattFill>
              <a:ln w="12700">
                <a:solidFill>
                  <a:schemeClr val="tx1"/>
                </a:solidFill>
              </a:ln>
              <a:effectLst/>
            </c:spPr>
            <c:extLst>
              <c:ext xmlns:c16="http://schemas.microsoft.com/office/drawing/2014/chart" uri="{C3380CC4-5D6E-409C-BE32-E72D297353CC}">
                <c16:uniqueId val="{00000001-DE29-4B11-A8D1-712CBFB0E767}"/>
              </c:ext>
            </c:extLst>
          </c:dPt>
          <c:dPt>
            <c:idx val="1"/>
            <c:invertIfNegative val="0"/>
            <c:bubble3D val="0"/>
            <c:spPr>
              <a:pattFill prst="horzBrick">
                <a:fgClr>
                  <a:schemeClr val="accent1"/>
                </a:fgClr>
                <a:bgClr>
                  <a:schemeClr val="bg1"/>
                </a:bgClr>
              </a:pattFill>
              <a:ln w="12700">
                <a:solidFill>
                  <a:schemeClr val="tx1"/>
                </a:solidFill>
              </a:ln>
              <a:effectLst/>
            </c:spPr>
            <c:extLst>
              <c:ext xmlns:c16="http://schemas.microsoft.com/office/drawing/2014/chart" uri="{C3380CC4-5D6E-409C-BE32-E72D297353CC}">
                <c16:uniqueId val="{00000003-DE29-4B11-A8D1-712CBFB0E767}"/>
              </c:ext>
            </c:extLst>
          </c:dPt>
          <c:dPt>
            <c:idx val="2"/>
            <c:invertIfNegative val="0"/>
            <c:bubble3D val="0"/>
            <c:spPr>
              <a:pattFill prst="wdDnDiag">
                <a:fgClr>
                  <a:schemeClr val="accent2"/>
                </a:fgClr>
                <a:bgClr>
                  <a:schemeClr val="bg1"/>
                </a:bgClr>
              </a:pattFill>
              <a:ln w="12700">
                <a:solidFill>
                  <a:schemeClr val="tx1"/>
                </a:solidFill>
              </a:ln>
              <a:effectLst/>
            </c:spPr>
            <c:extLst>
              <c:ext xmlns:c16="http://schemas.microsoft.com/office/drawing/2014/chart" uri="{C3380CC4-5D6E-409C-BE32-E72D297353CC}">
                <c16:uniqueId val="{00000005-DE29-4B11-A8D1-712CBFB0E767}"/>
              </c:ext>
            </c:extLst>
          </c:dPt>
          <c:errBars>
            <c:errBarType val="both"/>
            <c:errValType val="cust"/>
            <c:noEndCap val="0"/>
            <c:plus>
              <c:numLit>
                <c:formatCode>General</c:formatCode>
                <c:ptCount val="1"/>
                <c:pt idx="0">
                  <c:v>0.1</c:v>
                </c:pt>
              </c:numLit>
            </c:plus>
            <c:minus>
              <c:numLit>
                <c:formatCode>General</c:formatCode>
                <c:ptCount val="1"/>
                <c:pt idx="0">
                  <c:v>0.1</c:v>
                </c:pt>
              </c:numLit>
            </c:minus>
            <c:spPr>
              <a:noFill/>
              <a:ln w="15875" cap="flat" cmpd="sng" algn="ctr">
                <a:solidFill>
                  <a:schemeClr val="tx1">
                    <a:lumMod val="65000"/>
                    <a:lumOff val="35000"/>
                  </a:schemeClr>
                </a:solidFill>
                <a:round/>
              </a:ln>
              <a:effectLst/>
            </c:spPr>
          </c:errBars>
          <c:cat>
            <c:strRef>
              <c:f>Sheet1!$A$2:$A$4</c:f>
              <c:strCache>
                <c:ptCount val="3"/>
                <c:pt idx="0">
                  <c:v>June</c:v>
                </c:pt>
                <c:pt idx="1">
                  <c:v>July</c:v>
                </c:pt>
                <c:pt idx="2">
                  <c:v>August</c:v>
                </c:pt>
              </c:strCache>
            </c:strRef>
          </c:cat>
          <c:val>
            <c:numRef>
              <c:f>Sheet1!$B$2:$B$4</c:f>
              <c:numCache>
                <c:formatCode>General</c:formatCode>
                <c:ptCount val="3"/>
                <c:pt idx="0">
                  <c:v>5.7</c:v>
                </c:pt>
                <c:pt idx="1">
                  <c:v>5.7</c:v>
                </c:pt>
                <c:pt idx="2">
                  <c:v>5.7</c:v>
                </c:pt>
              </c:numCache>
            </c:numRef>
          </c:val>
          <c:extLst>
            <c:ext xmlns:c16="http://schemas.microsoft.com/office/drawing/2014/chart" uri="{C3380CC4-5D6E-409C-BE32-E72D297353CC}">
              <c16:uniqueId val="{00000006-DE29-4B11-A8D1-712CBFB0E767}"/>
            </c:ext>
          </c:extLst>
        </c:ser>
        <c:dLbls>
          <c:showLegendKey val="0"/>
          <c:showVal val="0"/>
          <c:showCatName val="0"/>
          <c:showSerName val="0"/>
          <c:showPercent val="0"/>
          <c:showBubbleSize val="0"/>
        </c:dLbls>
        <c:gapWidth val="219"/>
        <c:overlap val="-27"/>
        <c:axId val="89809664"/>
        <c:axId val="89872640"/>
      </c:barChart>
      <c:catAx>
        <c:axId val="8980966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Months</a:t>
                </a:r>
              </a:p>
            </c:rich>
          </c:tx>
          <c:layout>
            <c:manualLayout>
              <c:xMode val="edge"/>
              <c:yMode val="edge"/>
              <c:x val="0.49440963108778208"/>
              <c:y val="0.90952380952380962"/>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872640"/>
        <c:crosses val="autoZero"/>
        <c:auto val="1"/>
        <c:lblAlgn val="ctr"/>
        <c:lblOffset val="100"/>
        <c:noMultiLvlLbl val="0"/>
      </c:catAx>
      <c:valAx>
        <c:axId val="8987264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Mean values</a:t>
                </a:r>
              </a:p>
            </c:rich>
          </c:tx>
          <c:layout>
            <c:manualLayout>
              <c:xMode val="edge"/>
              <c:yMode val="edge"/>
              <c:x val="1.8518518518518583E-2"/>
              <c:y val="0.28491063617048007"/>
            </c:manualLayout>
          </c:layout>
          <c:overlay val="0"/>
          <c:spPr>
            <a:noFill/>
            <a:ln>
              <a:noFill/>
            </a:ln>
            <a:effectLst/>
          </c:sp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809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pattFill prst="pct5">
              <a:fgClr>
                <a:schemeClr val="tx1"/>
              </a:fgClr>
              <a:bgClr>
                <a:schemeClr val="bg1"/>
              </a:bgClr>
            </a:pattFill>
            <a:ln>
              <a:noFill/>
            </a:ln>
            <a:effectLst/>
          </c:spPr>
          <c:invertIfNegative val="0"/>
          <c:dPt>
            <c:idx val="0"/>
            <c:invertIfNegative val="0"/>
            <c:bubble3D val="0"/>
            <c:spPr>
              <a:pattFill prst="lgConfetti">
                <a:fgClr>
                  <a:schemeClr val="accent6"/>
                </a:fgClr>
                <a:bgClr>
                  <a:schemeClr val="bg1"/>
                </a:bgClr>
              </a:pattFill>
              <a:ln w="12700">
                <a:solidFill>
                  <a:schemeClr val="tx1"/>
                </a:solidFill>
              </a:ln>
              <a:effectLst/>
            </c:spPr>
            <c:extLst>
              <c:ext xmlns:c16="http://schemas.microsoft.com/office/drawing/2014/chart" uri="{C3380CC4-5D6E-409C-BE32-E72D297353CC}">
                <c16:uniqueId val="{00000001-B723-4907-99CC-34052A7DB41B}"/>
              </c:ext>
            </c:extLst>
          </c:dPt>
          <c:dPt>
            <c:idx val="1"/>
            <c:invertIfNegative val="0"/>
            <c:bubble3D val="0"/>
            <c:spPr>
              <a:pattFill prst="horzBrick">
                <a:fgClr>
                  <a:schemeClr val="accent1"/>
                </a:fgClr>
                <a:bgClr>
                  <a:schemeClr val="bg1"/>
                </a:bgClr>
              </a:pattFill>
              <a:ln w="12700">
                <a:solidFill>
                  <a:schemeClr val="accent1"/>
                </a:solidFill>
              </a:ln>
              <a:effectLst/>
            </c:spPr>
            <c:extLst>
              <c:ext xmlns:c16="http://schemas.microsoft.com/office/drawing/2014/chart" uri="{C3380CC4-5D6E-409C-BE32-E72D297353CC}">
                <c16:uniqueId val="{00000003-B723-4907-99CC-34052A7DB41B}"/>
              </c:ext>
            </c:extLst>
          </c:dPt>
          <c:dPt>
            <c:idx val="2"/>
            <c:invertIfNegative val="0"/>
            <c:bubble3D val="0"/>
            <c:spPr>
              <a:pattFill prst="wdDnDiag">
                <a:fgClr>
                  <a:schemeClr val="accent2"/>
                </a:fgClr>
                <a:bgClr>
                  <a:schemeClr val="bg1"/>
                </a:bgClr>
              </a:pattFill>
              <a:ln w="12700">
                <a:solidFill>
                  <a:schemeClr val="tx1"/>
                </a:solidFill>
              </a:ln>
              <a:effectLst/>
            </c:spPr>
            <c:extLst>
              <c:ext xmlns:c16="http://schemas.microsoft.com/office/drawing/2014/chart" uri="{C3380CC4-5D6E-409C-BE32-E72D297353CC}">
                <c16:uniqueId val="{00000005-B723-4907-99CC-34052A7DB41B}"/>
              </c:ext>
            </c:extLst>
          </c:dPt>
          <c:errBars>
            <c:errBarType val="both"/>
            <c:errValType val="cust"/>
            <c:noEndCap val="0"/>
            <c:plus>
              <c:numLit>
                <c:formatCode>General</c:formatCode>
                <c:ptCount val="1"/>
                <c:pt idx="0">
                  <c:v>0.16</c:v>
                </c:pt>
              </c:numLit>
            </c:plus>
            <c:minus>
              <c:numLit>
                <c:formatCode>General</c:formatCode>
                <c:ptCount val="1"/>
                <c:pt idx="0">
                  <c:v>0.16</c:v>
                </c:pt>
              </c:numLit>
            </c:minus>
            <c:spPr>
              <a:noFill/>
              <a:ln w="15875" cap="flat" cmpd="sng" algn="ctr">
                <a:solidFill>
                  <a:schemeClr val="tx1">
                    <a:lumMod val="65000"/>
                    <a:lumOff val="35000"/>
                  </a:schemeClr>
                </a:solidFill>
                <a:round/>
              </a:ln>
              <a:effectLst/>
            </c:spPr>
          </c:errBars>
          <c:cat>
            <c:strRef>
              <c:f>Sheet1!$A$2:$A$4</c:f>
              <c:strCache>
                <c:ptCount val="3"/>
                <c:pt idx="0">
                  <c:v>June</c:v>
                </c:pt>
                <c:pt idx="1">
                  <c:v>July</c:v>
                </c:pt>
                <c:pt idx="2">
                  <c:v>August</c:v>
                </c:pt>
              </c:strCache>
            </c:strRef>
          </c:cat>
          <c:val>
            <c:numRef>
              <c:f>Sheet1!$B$2:$B$4</c:f>
              <c:numCache>
                <c:formatCode>General</c:formatCode>
                <c:ptCount val="3"/>
                <c:pt idx="0">
                  <c:v>9.3000000000000007</c:v>
                </c:pt>
                <c:pt idx="1">
                  <c:v>9.3000000000000007</c:v>
                </c:pt>
                <c:pt idx="2">
                  <c:v>9.3000000000000007</c:v>
                </c:pt>
              </c:numCache>
            </c:numRef>
          </c:val>
          <c:extLst>
            <c:ext xmlns:c16="http://schemas.microsoft.com/office/drawing/2014/chart" uri="{C3380CC4-5D6E-409C-BE32-E72D297353CC}">
              <c16:uniqueId val="{00000006-B723-4907-99CC-34052A7DB41B}"/>
            </c:ext>
          </c:extLst>
        </c:ser>
        <c:dLbls>
          <c:showLegendKey val="0"/>
          <c:showVal val="0"/>
          <c:showCatName val="0"/>
          <c:showSerName val="0"/>
          <c:showPercent val="0"/>
          <c:showBubbleSize val="0"/>
        </c:dLbls>
        <c:gapWidth val="219"/>
        <c:overlap val="-27"/>
        <c:axId val="150300928"/>
        <c:axId val="86888832"/>
      </c:barChart>
      <c:catAx>
        <c:axId val="15030092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Months</a:t>
                </a:r>
              </a:p>
            </c:rich>
          </c:tx>
          <c:layout>
            <c:manualLayout>
              <c:xMode val="edge"/>
              <c:yMode val="edge"/>
              <c:x val="0.4932522236803733"/>
              <c:y val="0.90158730158729827"/>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888832"/>
        <c:crosses val="autoZero"/>
        <c:auto val="1"/>
        <c:lblAlgn val="ctr"/>
        <c:lblOffset val="100"/>
        <c:noMultiLvlLbl val="0"/>
      </c:catAx>
      <c:valAx>
        <c:axId val="8688883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Mean values</a:t>
                </a:r>
              </a:p>
            </c:rich>
          </c:tx>
          <c:layout>
            <c:manualLayout>
              <c:xMode val="edge"/>
              <c:yMode val="edge"/>
              <c:x val="1.6203703703703703E-2"/>
              <c:y val="0.26110111236095485"/>
            </c:manualLayout>
          </c:layout>
          <c:overlay val="0"/>
          <c:spPr>
            <a:noFill/>
            <a:ln>
              <a:noFill/>
            </a:ln>
            <a:effectLst/>
          </c:sp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0300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TotalTime>
  <Pages>8</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mildredagwor@gmail.com</dc:creator>
  <cp:lastModifiedBy>Editor GP 005</cp:lastModifiedBy>
  <cp:revision>20</cp:revision>
  <dcterms:created xsi:type="dcterms:W3CDTF">2025-02-27T11:51:00Z</dcterms:created>
  <dcterms:modified xsi:type="dcterms:W3CDTF">2025-03-01T05:55:00Z</dcterms:modified>
</cp:coreProperties>
</file>