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5AB67" w14:textId="77777777" w:rsidR="00754C9A" w:rsidRDefault="00754C9A" w:rsidP="00441B6F">
      <w:pPr>
        <w:pStyle w:val="Title"/>
        <w:spacing w:after="0"/>
        <w:jc w:val="both"/>
        <w:rPr>
          <w:rFonts w:ascii="Arial" w:hAnsi="Arial" w:cs="Arial"/>
        </w:rPr>
      </w:pPr>
    </w:p>
    <w:p w14:paraId="314D8B66" w14:textId="59BBF0A2" w:rsidR="00163BC4" w:rsidRPr="00163BC4" w:rsidRDefault="00E07ED4" w:rsidP="00441B6F">
      <w:pPr>
        <w:pStyle w:val="Author"/>
        <w:spacing w:line="240" w:lineRule="auto"/>
        <w:rPr>
          <w:rFonts w:ascii="Arial" w:hAnsi="Arial" w:cs="Arial"/>
          <w:bCs/>
          <w:iCs/>
          <w:kern w:val="28"/>
          <w:sz w:val="36"/>
        </w:rPr>
      </w:pPr>
      <w:r>
        <w:rPr>
          <w:rFonts w:ascii="Arial" w:hAnsi="Arial" w:cs="Arial"/>
          <w:bCs/>
          <w:iCs/>
          <w:kern w:val="28"/>
          <w:sz w:val="36"/>
        </w:rPr>
        <w:t>Mediating Effect of English Language Anxiety on the Relationship between Classroom Learning Environment and Language Learning Strategies of the Senior High School Students</w:t>
      </w:r>
    </w:p>
    <w:p w14:paraId="06E9A100" w14:textId="77777777" w:rsidR="00A258C3" w:rsidRPr="00790ADA" w:rsidRDefault="00A258C3" w:rsidP="00441B6F">
      <w:pPr>
        <w:pStyle w:val="Author"/>
        <w:spacing w:line="240" w:lineRule="auto"/>
        <w:jc w:val="both"/>
        <w:rPr>
          <w:rFonts w:ascii="Arial" w:hAnsi="Arial" w:cs="Arial"/>
          <w:sz w:val="36"/>
        </w:rPr>
      </w:pPr>
    </w:p>
    <w:p w14:paraId="1ED4051E" w14:textId="77777777" w:rsidR="002C57D2" w:rsidRPr="00FB3A86" w:rsidRDefault="002C57D2" w:rsidP="00441B6F">
      <w:pPr>
        <w:pStyle w:val="Affiliation"/>
        <w:spacing w:after="0" w:line="240" w:lineRule="auto"/>
        <w:jc w:val="both"/>
        <w:rPr>
          <w:rFonts w:ascii="Arial" w:hAnsi="Arial" w:cs="Arial"/>
        </w:rPr>
      </w:pPr>
    </w:p>
    <w:p w14:paraId="46D507DF" w14:textId="77777777" w:rsidR="00B01FCD" w:rsidRPr="00FB3A86" w:rsidRDefault="00F0694E" w:rsidP="00441B6F">
      <w:pPr>
        <w:pStyle w:val="Copyright"/>
        <w:spacing w:after="0" w:line="240" w:lineRule="auto"/>
        <w:jc w:val="both"/>
        <w:rPr>
          <w:rFonts w:ascii="Arial" w:hAnsi="Arial" w:cs="Arial"/>
        </w:rPr>
        <w:sectPr w:rsidR="00B01FCD" w:rsidRPr="00FB3A86" w:rsidSect="00A362F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A93DBB9">
          <v:shapetype id="_x0000_t32" coordsize="21600,21600" o:spt="32" o:oned="t" path="m,l21600,21600e" filled="f">
            <v:path arrowok="t" fillok="f" o:connecttype="none"/>
            <o:lock v:ext="edit" shapetype="t"/>
          </v:shapetype>
          <v:shape id="_x0000_s1038"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59BC3C9" w14:textId="588BE31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3B2E4B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3929996D" w14:textId="77777777" w:rsidTr="001E44FE">
        <w:tc>
          <w:tcPr>
            <w:tcW w:w="9576" w:type="dxa"/>
            <w:shd w:val="clear" w:color="auto" w:fill="F2F2F2"/>
          </w:tcPr>
          <w:p w14:paraId="524D0A28" w14:textId="1DCFD957" w:rsidR="00A03B96" w:rsidRDefault="00E07ED4" w:rsidP="00441B6F">
            <w:pPr>
              <w:pStyle w:val="Body"/>
              <w:spacing w:after="0"/>
              <w:rPr>
                <w:rFonts w:ascii="Arial" w:eastAsia="Calibri" w:hAnsi="Arial" w:cs="Arial"/>
                <w:szCs w:val="22"/>
              </w:rPr>
            </w:pPr>
            <w:r w:rsidRPr="00E07ED4">
              <w:rPr>
                <w:rFonts w:ascii="Arial" w:eastAsia="Calibri" w:hAnsi="Arial" w:cs="Arial"/>
                <w:szCs w:val="22"/>
              </w:rPr>
              <w:t xml:space="preserve">Learners struggle to apply effective language strategies. </w:t>
            </w:r>
            <w:r w:rsidR="00BA6725">
              <w:rPr>
                <w:rFonts w:ascii="Arial" w:eastAsia="Calibri" w:hAnsi="Arial" w:cs="Arial"/>
                <w:szCs w:val="22"/>
              </w:rPr>
              <w:t xml:space="preserve">The study was determined </w:t>
            </w:r>
            <w:r w:rsidR="00BA6725" w:rsidRPr="00E07ED4">
              <w:rPr>
                <w:rFonts w:ascii="Arial" w:eastAsia="Calibri" w:hAnsi="Arial" w:cs="Arial"/>
                <w:szCs w:val="22"/>
              </w:rPr>
              <w:t>the</w:t>
            </w:r>
            <w:r w:rsidRPr="00E07ED4">
              <w:rPr>
                <w:rFonts w:ascii="Arial" w:eastAsia="Calibri" w:hAnsi="Arial" w:cs="Arial"/>
                <w:szCs w:val="22"/>
              </w:rPr>
              <w:t xml:space="preserve"> mediating effect of English language anxiety on the relationship between classroom learning environment and language learning strategies among senior high school students. Descriptive correlational design was used, with 260 samples randomly selected. It was found that English language anxiety did not significantly mediate the correlation between classroom learning environment and language learning strategies. Strengthening the classroom learning environment may be made a priority. To validate the findings, the study may also be replicated in other locales using different samples.</w:t>
            </w:r>
          </w:p>
          <w:p w14:paraId="7760133F" w14:textId="77777777" w:rsidR="00073CE6" w:rsidRDefault="00073CE6" w:rsidP="00441B6F">
            <w:pPr>
              <w:pStyle w:val="Body"/>
              <w:spacing w:after="0"/>
              <w:rPr>
                <w:rFonts w:ascii="Arial" w:eastAsia="Calibri" w:hAnsi="Arial" w:cs="Arial"/>
                <w:szCs w:val="22"/>
              </w:rPr>
            </w:pPr>
          </w:p>
          <w:p w14:paraId="0F5CC462" w14:textId="77777777" w:rsidR="00E114ED" w:rsidRDefault="00E114ED" w:rsidP="00441B6F">
            <w:pPr>
              <w:pStyle w:val="Body"/>
              <w:spacing w:after="0"/>
              <w:rPr>
                <w:rFonts w:ascii="Arial" w:eastAsia="Calibri" w:hAnsi="Arial" w:cs="Arial"/>
                <w:szCs w:val="22"/>
              </w:rPr>
            </w:pPr>
          </w:p>
          <w:p w14:paraId="1719DD0F" w14:textId="77777777" w:rsidR="00E114ED" w:rsidRDefault="00E114ED" w:rsidP="00441B6F">
            <w:pPr>
              <w:pStyle w:val="Body"/>
              <w:spacing w:after="0"/>
              <w:rPr>
                <w:rFonts w:ascii="Arial" w:eastAsia="Calibri" w:hAnsi="Arial" w:cs="Arial"/>
                <w:szCs w:val="22"/>
              </w:rPr>
            </w:pPr>
          </w:p>
          <w:p w14:paraId="3CEAE98F" w14:textId="0FDF7F91" w:rsidR="00E114ED" w:rsidRDefault="00E114ED" w:rsidP="00441B6F">
            <w:pPr>
              <w:pStyle w:val="Body"/>
              <w:spacing w:after="0"/>
              <w:rPr>
                <w:rFonts w:ascii="Arial" w:eastAsia="Calibri" w:hAnsi="Arial" w:cs="Arial"/>
                <w:szCs w:val="22"/>
              </w:rPr>
            </w:pPr>
            <w:r w:rsidRPr="00E114ED">
              <w:rPr>
                <w:rFonts w:ascii="Arial" w:eastAsia="Calibri" w:hAnsi="Arial" w:cs="Arial"/>
                <w:b/>
                <w:bCs/>
                <w:szCs w:val="22"/>
              </w:rPr>
              <w:t>Aims:</w:t>
            </w:r>
            <w:r>
              <w:rPr>
                <w:rFonts w:ascii="Arial" w:eastAsia="Calibri" w:hAnsi="Arial" w:cs="Arial"/>
                <w:szCs w:val="22"/>
              </w:rPr>
              <w:t xml:space="preserve"> The study aimed to examine the mediating effect of English language anxiety on the correlation between classroom learning environment and language learning strategies among students. It also sought the correlation between classroom learning environment, language learning strategies, and English language anxiety. </w:t>
            </w:r>
          </w:p>
          <w:p w14:paraId="72267457" w14:textId="0A89139D" w:rsidR="00E114ED" w:rsidRDefault="00E114ED" w:rsidP="00441B6F">
            <w:pPr>
              <w:pStyle w:val="Body"/>
              <w:spacing w:after="0"/>
              <w:rPr>
                <w:rFonts w:ascii="Arial" w:eastAsia="Calibri" w:hAnsi="Arial" w:cs="Arial"/>
                <w:szCs w:val="22"/>
              </w:rPr>
            </w:pPr>
            <w:r w:rsidRPr="00E114ED">
              <w:rPr>
                <w:rFonts w:ascii="Arial" w:eastAsia="Calibri" w:hAnsi="Arial" w:cs="Arial"/>
                <w:b/>
                <w:bCs/>
                <w:szCs w:val="22"/>
              </w:rPr>
              <w:t>Study Design:</w:t>
            </w:r>
            <w:r>
              <w:rPr>
                <w:rFonts w:ascii="Arial" w:eastAsia="Calibri" w:hAnsi="Arial" w:cs="Arial"/>
                <w:szCs w:val="22"/>
              </w:rPr>
              <w:t xml:space="preserve"> A descriptive correlational design was used. </w:t>
            </w:r>
          </w:p>
          <w:p w14:paraId="085F55DB" w14:textId="58B8977A" w:rsidR="00E114ED" w:rsidRDefault="00E114ED" w:rsidP="00441B6F">
            <w:pPr>
              <w:pStyle w:val="Body"/>
              <w:spacing w:after="0"/>
              <w:rPr>
                <w:rFonts w:ascii="Arial" w:eastAsia="Calibri" w:hAnsi="Arial" w:cs="Arial"/>
                <w:szCs w:val="22"/>
              </w:rPr>
            </w:pPr>
            <w:r w:rsidRPr="00E114ED">
              <w:rPr>
                <w:rFonts w:ascii="Arial" w:eastAsia="Calibri" w:hAnsi="Arial" w:cs="Arial"/>
                <w:b/>
                <w:bCs/>
                <w:szCs w:val="22"/>
              </w:rPr>
              <w:t>Methodology:</w:t>
            </w:r>
            <w:r>
              <w:rPr>
                <w:rFonts w:ascii="Arial" w:eastAsia="Calibri" w:hAnsi="Arial" w:cs="Arial"/>
                <w:szCs w:val="22"/>
              </w:rPr>
              <w:t xml:space="preserve"> A total of 260 senior high school students enrolled in a private school in Davao City were selected through random sampling. Data were collected using adapted questionnaires. Statistical analysis includes descriptive statistics, Pearson Correlation, and Mediation Analysis. </w:t>
            </w:r>
          </w:p>
          <w:p w14:paraId="34345398" w14:textId="0C9CFF81" w:rsidR="00E114ED" w:rsidRDefault="00E114ED" w:rsidP="00441B6F">
            <w:pPr>
              <w:pStyle w:val="Body"/>
              <w:spacing w:after="0"/>
              <w:rPr>
                <w:rFonts w:ascii="Arial" w:eastAsia="Calibri" w:hAnsi="Arial" w:cs="Arial"/>
                <w:szCs w:val="22"/>
              </w:rPr>
            </w:pPr>
            <w:r w:rsidRPr="00FE3850">
              <w:rPr>
                <w:rFonts w:ascii="Arial" w:eastAsia="Calibri" w:hAnsi="Arial" w:cs="Arial"/>
                <w:b/>
                <w:bCs/>
                <w:szCs w:val="22"/>
              </w:rPr>
              <w:t>Results:</w:t>
            </w:r>
            <w:r>
              <w:rPr>
                <w:rFonts w:ascii="Arial" w:eastAsia="Calibri" w:hAnsi="Arial" w:cs="Arial"/>
                <w:szCs w:val="22"/>
              </w:rPr>
              <w:t xml:space="preserve"> Findings revealed that English language anxiety did not mediate the correlation between classroom learning environment and language learning strategies. </w:t>
            </w:r>
          </w:p>
          <w:p w14:paraId="48936D58" w14:textId="764B4D5A" w:rsidR="00E114ED" w:rsidRDefault="00E114ED" w:rsidP="00441B6F">
            <w:pPr>
              <w:pStyle w:val="Body"/>
              <w:spacing w:after="0"/>
              <w:rPr>
                <w:rFonts w:ascii="Arial" w:eastAsia="Calibri" w:hAnsi="Arial" w:cs="Arial"/>
                <w:szCs w:val="22"/>
              </w:rPr>
            </w:pPr>
            <w:r w:rsidRPr="00FE3850">
              <w:rPr>
                <w:rFonts w:ascii="Arial" w:eastAsia="Calibri" w:hAnsi="Arial" w:cs="Arial"/>
                <w:b/>
                <w:bCs/>
                <w:szCs w:val="22"/>
              </w:rPr>
              <w:t>Conclusion:</w:t>
            </w:r>
            <w:r w:rsidR="00FE3850">
              <w:t xml:space="preserve"> </w:t>
            </w:r>
            <w:r w:rsidR="00FE3850" w:rsidRPr="00FE3850">
              <w:rPr>
                <w:rFonts w:ascii="Arial" w:eastAsia="Calibri" w:hAnsi="Arial" w:cs="Arial"/>
                <w:szCs w:val="22"/>
              </w:rPr>
              <w:t>Prioritizing the strengthening of the classroom learning environment is recommended. To validate the findings, future studies may replicate the research in other locations with different samples.</w:t>
            </w:r>
          </w:p>
          <w:p w14:paraId="687C3AEB" w14:textId="77777777" w:rsidR="00E114ED" w:rsidRDefault="00E114ED" w:rsidP="00441B6F">
            <w:pPr>
              <w:pStyle w:val="Body"/>
              <w:spacing w:after="0"/>
              <w:rPr>
                <w:rFonts w:ascii="Arial" w:eastAsia="Calibri" w:hAnsi="Arial" w:cs="Arial"/>
                <w:szCs w:val="22"/>
              </w:rPr>
            </w:pPr>
          </w:p>
          <w:p w14:paraId="7DD72CE5" w14:textId="77777777" w:rsidR="00E114ED" w:rsidRDefault="00E114ED" w:rsidP="00441B6F">
            <w:pPr>
              <w:pStyle w:val="Body"/>
              <w:spacing w:after="0"/>
              <w:rPr>
                <w:rFonts w:ascii="Arial" w:eastAsia="Calibri" w:hAnsi="Arial" w:cs="Arial"/>
                <w:szCs w:val="22"/>
              </w:rPr>
            </w:pPr>
          </w:p>
          <w:p w14:paraId="6A940746" w14:textId="77777777" w:rsidR="00E114ED" w:rsidRDefault="00E114ED" w:rsidP="00441B6F">
            <w:pPr>
              <w:pStyle w:val="Body"/>
              <w:spacing w:after="0"/>
              <w:rPr>
                <w:rFonts w:ascii="Arial" w:eastAsia="Calibri" w:hAnsi="Arial" w:cs="Arial"/>
                <w:szCs w:val="22"/>
              </w:rPr>
            </w:pPr>
          </w:p>
          <w:p w14:paraId="708B8D06" w14:textId="77777777" w:rsidR="00E3114E" w:rsidRDefault="00E3114E" w:rsidP="00441B6F">
            <w:pPr>
              <w:pStyle w:val="Body"/>
              <w:spacing w:after="0"/>
              <w:rPr>
                <w:rFonts w:ascii="Arial" w:eastAsia="Calibri" w:hAnsi="Arial" w:cs="Arial"/>
                <w:szCs w:val="22"/>
              </w:rPr>
            </w:pPr>
          </w:p>
          <w:p w14:paraId="34AE1FFC" w14:textId="7EE99FB2" w:rsidR="00E3114E" w:rsidRPr="00E3114E" w:rsidRDefault="00E3114E" w:rsidP="00441B6F">
            <w:pPr>
              <w:pStyle w:val="Body"/>
              <w:spacing w:after="0"/>
              <w:rPr>
                <w:rFonts w:ascii="Arial" w:eastAsia="Calibri" w:hAnsi="Arial" w:cs="Arial"/>
                <w:szCs w:val="22"/>
              </w:rPr>
            </w:pPr>
          </w:p>
          <w:p w14:paraId="170DC351" w14:textId="77777777" w:rsidR="00E3114E" w:rsidRDefault="00E3114E" w:rsidP="00441B6F">
            <w:pPr>
              <w:pStyle w:val="Body"/>
              <w:spacing w:after="0"/>
              <w:rPr>
                <w:rFonts w:ascii="Arial" w:eastAsia="Calibri" w:hAnsi="Arial" w:cs="Arial"/>
                <w:b/>
                <w:szCs w:val="22"/>
              </w:rPr>
            </w:pPr>
          </w:p>
          <w:p w14:paraId="4F10235D" w14:textId="7F1F6898" w:rsidR="00505F06" w:rsidRPr="00BA1B01" w:rsidRDefault="00505F06" w:rsidP="00441B6F">
            <w:pPr>
              <w:pStyle w:val="Body"/>
              <w:spacing w:after="0"/>
              <w:rPr>
                <w:rFonts w:ascii="Arial" w:eastAsia="Calibri" w:hAnsi="Arial" w:cs="Arial"/>
                <w:szCs w:val="22"/>
              </w:rPr>
            </w:pPr>
          </w:p>
        </w:tc>
      </w:tr>
    </w:tbl>
    <w:p w14:paraId="70570B11" w14:textId="08D87B11" w:rsidR="00B52896" w:rsidRDefault="00B52896" w:rsidP="00FE3850">
      <w:pPr>
        <w:pStyle w:val="Body"/>
        <w:spacing w:after="0"/>
        <w:rPr>
          <w:rFonts w:ascii="Arial" w:hAnsi="Arial" w:cs="Arial"/>
          <w:i/>
          <w:sz w:val="18"/>
        </w:rPr>
      </w:pPr>
    </w:p>
    <w:p w14:paraId="5377FDCD" w14:textId="77777777" w:rsidR="00FE3850" w:rsidRDefault="00FE3850" w:rsidP="00FE3850">
      <w:pPr>
        <w:pStyle w:val="Body"/>
        <w:spacing w:after="0"/>
        <w:rPr>
          <w:rFonts w:ascii="Arial" w:eastAsia="Calibri" w:hAnsi="Arial" w:cs="Arial"/>
          <w:szCs w:val="22"/>
        </w:rPr>
      </w:pPr>
      <w:r w:rsidRPr="00073CE6">
        <w:rPr>
          <w:rFonts w:ascii="Arial" w:eastAsia="Calibri" w:hAnsi="Arial" w:cs="Arial"/>
          <w:szCs w:val="22"/>
        </w:rPr>
        <w:t>Keywords: Mediating effect, English language anxiety, classroom learning environment, language learning strategies, senior high school</w:t>
      </w:r>
    </w:p>
    <w:p w14:paraId="56509006" w14:textId="77777777" w:rsidR="0024282C" w:rsidRDefault="0024282C" w:rsidP="00441B6F">
      <w:pPr>
        <w:pStyle w:val="Body"/>
        <w:spacing w:after="0"/>
        <w:rPr>
          <w:rFonts w:ascii="Arial" w:hAnsi="Arial" w:cs="Arial"/>
          <w:i/>
          <w:sz w:val="18"/>
        </w:rPr>
      </w:pPr>
    </w:p>
    <w:p w14:paraId="6BB211F7" w14:textId="77777777" w:rsidR="00505F06" w:rsidRPr="00A24E7E" w:rsidRDefault="00505F06" w:rsidP="00441B6F">
      <w:pPr>
        <w:pStyle w:val="Body"/>
        <w:spacing w:after="0"/>
        <w:rPr>
          <w:rFonts w:ascii="Arial" w:hAnsi="Arial" w:cs="Arial"/>
          <w:i/>
        </w:rPr>
      </w:pPr>
    </w:p>
    <w:p w14:paraId="29681E21" w14:textId="6695F53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A5892F6" w14:textId="77777777" w:rsidR="00790ADA" w:rsidRPr="00FB3A86" w:rsidRDefault="00790ADA" w:rsidP="00441B6F">
      <w:pPr>
        <w:pStyle w:val="AbstHead"/>
        <w:spacing w:after="0"/>
        <w:jc w:val="both"/>
        <w:rPr>
          <w:rFonts w:ascii="Arial" w:hAnsi="Arial" w:cs="Arial"/>
        </w:rPr>
      </w:pPr>
    </w:p>
    <w:p w14:paraId="1513C8AB" w14:textId="77777777" w:rsidR="00FE3850" w:rsidRPr="00FE3850" w:rsidRDefault="00FE3850" w:rsidP="00FE3850">
      <w:pPr>
        <w:pStyle w:val="Body"/>
        <w:rPr>
          <w:rFonts w:ascii="Arial" w:hAnsi="Arial" w:cs="Arial"/>
        </w:rPr>
      </w:pPr>
      <w:r w:rsidRPr="00FE3850">
        <w:rPr>
          <w:rFonts w:ascii="Arial" w:hAnsi="Arial" w:cs="Arial"/>
        </w:rPr>
        <w:t>Language learning strategies played a crucial role in acquiring English proficiency, yet many learners worldwide struggled to utilize the most effective strategies, particularly in multilingual settings (</w:t>
      </w:r>
      <w:proofErr w:type="spellStart"/>
      <w:r w:rsidRPr="00FE3850">
        <w:rPr>
          <w:rFonts w:ascii="Arial" w:hAnsi="Arial" w:cs="Arial"/>
        </w:rPr>
        <w:t>Hamdalo</w:t>
      </w:r>
      <w:proofErr w:type="spellEnd"/>
      <w:r w:rsidRPr="00FE3850">
        <w:rPr>
          <w:rFonts w:ascii="Arial" w:hAnsi="Arial" w:cs="Arial"/>
        </w:rPr>
        <w:t xml:space="preserve"> et al., 2023). </w:t>
      </w:r>
      <w:proofErr w:type="spellStart"/>
      <w:r w:rsidRPr="00FE3850">
        <w:rPr>
          <w:rFonts w:ascii="Arial" w:hAnsi="Arial" w:cs="Arial"/>
        </w:rPr>
        <w:t>Alharbi</w:t>
      </w:r>
      <w:proofErr w:type="spellEnd"/>
      <w:r w:rsidRPr="00FE3850">
        <w:rPr>
          <w:rFonts w:ascii="Arial" w:hAnsi="Arial" w:cs="Arial"/>
        </w:rPr>
        <w:t xml:space="preserve"> (2021) found that struggling EFL learners face difficulties in utilizing effective language learning strategies. </w:t>
      </w:r>
    </w:p>
    <w:p w14:paraId="3305FD8C" w14:textId="77777777" w:rsidR="00FE3850" w:rsidRPr="00FE3850" w:rsidRDefault="00FE3850" w:rsidP="00FE3850">
      <w:pPr>
        <w:pStyle w:val="Body"/>
        <w:rPr>
          <w:rFonts w:ascii="Arial" w:hAnsi="Arial" w:cs="Arial"/>
        </w:rPr>
      </w:pPr>
      <w:r w:rsidRPr="00FE3850">
        <w:rPr>
          <w:rFonts w:ascii="Arial" w:hAnsi="Arial" w:cs="Arial"/>
        </w:rPr>
        <w:t xml:space="preserve">In Turkey, learners also struggle with utilizing language learning strategies across skills, and problems adapting them to different tasks (Griffiths &amp; </w:t>
      </w:r>
      <w:proofErr w:type="spellStart"/>
      <w:r w:rsidRPr="00FE3850">
        <w:rPr>
          <w:rFonts w:ascii="Arial" w:hAnsi="Arial" w:cs="Arial"/>
        </w:rPr>
        <w:t>Soruç</w:t>
      </w:r>
      <w:proofErr w:type="spellEnd"/>
      <w:r w:rsidRPr="00FE3850">
        <w:rPr>
          <w:rFonts w:ascii="Arial" w:hAnsi="Arial" w:cs="Arial"/>
        </w:rPr>
        <w:t xml:space="preserve">, 2020). Similarly, in Indonesia, many students struggle to utilize and select the most effective strategies, with affective strategies being the least utilized (Lestari &amp; </w:t>
      </w:r>
      <w:proofErr w:type="spellStart"/>
      <w:r w:rsidRPr="00FE3850">
        <w:rPr>
          <w:rFonts w:ascii="Arial" w:hAnsi="Arial" w:cs="Arial"/>
        </w:rPr>
        <w:t>Wahyudin</w:t>
      </w:r>
      <w:proofErr w:type="spellEnd"/>
      <w:r w:rsidRPr="00FE3850">
        <w:rPr>
          <w:rFonts w:ascii="Arial" w:hAnsi="Arial" w:cs="Arial"/>
        </w:rPr>
        <w:t>, 2020). In the Philippines, Filipino learners struggled to utilize and implement effective language learning strategies, a challenge that was even more pronounced for Indigenous Peoples Education (</w:t>
      </w:r>
      <w:proofErr w:type="spellStart"/>
      <w:r w:rsidRPr="00FE3850">
        <w:rPr>
          <w:rFonts w:ascii="Arial" w:hAnsi="Arial" w:cs="Arial"/>
        </w:rPr>
        <w:t>IPEd</w:t>
      </w:r>
      <w:proofErr w:type="spellEnd"/>
      <w:r w:rsidRPr="00FE3850">
        <w:rPr>
          <w:rFonts w:ascii="Arial" w:hAnsi="Arial" w:cs="Arial"/>
        </w:rPr>
        <w:t>) teachers (</w:t>
      </w:r>
      <w:proofErr w:type="spellStart"/>
      <w:r w:rsidRPr="00FE3850">
        <w:rPr>
          <w:rFonts w:ascii="Arial" w:hAnsi="Arial" w:cs="Arial"/>
        </w:rPr>
        <w:t>Bastida</w:t>
      </w:r>
      <w:proofErr w:type="spellEnd"/>
      <w:r w:rsidRPr="00FE3850">
        <w:rPr>
          <w:rFonts w:ascii="Arial" w:hAnsi="Arial" w:cs="Arial"/>
        </w:rPr>
        <w:t xml:space="preserve"> et al., 2022; </w:t>
      </w:r>
      <w:proofErr w:type="spellStart"/>
      <w:r w:rsidRPr="00FE3850">
        <w:rPr>
          <w:rFonts w:ascii="Arial" w:hAnsi="Arial" w:cs="Arial"/>
        </w:rPr>
        <w:t>Villacorta</w:t>
      </w:r>
      <w:proofErr w:type="spellEnd"/>
      <w:r w:rsidRPr="00FE3850">
        <w:rPr>
          <w:rFonts w:ascii="Arial" w:hAnsi="Arial" w:cs="Arial"/>
        </w:rPr>
        <w:t>, 2021).</w:t>
      </w:r>
    </w:p>
    <w:p w14:paraId="29C131D2" w14:textId="77777777" w:rsidR="00E35DFB" w:rsidRDefault="00FE3850" w:rsidP="00FE3850">
      <w:pPr>
        <w:pStyle w:val="Body"/>
        <w:spacing w:after="0"/>
      </w:pPr>
      <w:r w:rsidRPr="00FE3850">
        <w:rPr>
          <w:rFonts w:ascii="Arial" w:hAnsi="Arial" w:cs="Arial"/>
        </w:rPr>
        <w:t xml:space="preserve">According to </w:t>
      </w:r>
      <w:proofErr w:type="spellStart"/>
      <w:r w:rsidRPr="00FE3850">
        <w:rPr>
          <w:rFonts w:ascii="Arial" w:hAnsi="Arial" w:cs="Arial"/>
        </w:rPr>
        <w:t>Degissew</w:t>
      </w:r>
      <w:proofErr w:type="spellEnd"/>
      <w:r w:rsidRPr="00FE3850">
        <w:rPr>
          <w:rFonts w:ascii="Arial" w:hAnsi="Arial" w:cs="Arial"/>
        </w:rPr>
        <w:t xml:space="preserve"> and </w:t>
      </w:r>
      <w:proofErr w:type="spellStart"/>
      <w:r w:rsidRPr="00FE3850">
        <w:rPr>
          <w:rFonts w:ascii="Arial" w:hAnsi="Arial" w:cs="Arial"/>
        </w:rPr>
        <w:t>Beriso</w:t>
      </w:r>
      <w:proofErr w:type="spellEnd"/>
      <w:r w:rsidRPr="00FE3850">
        <w:rPr>
          <w:rFonts w:ascii="Arial" w:hAnsi="Arial" w:cs="Arial"/>
        </w:rPr>
        <w:t xml:space="preserve"> (2022), the inconsistent and insufficient utilization of language learning strategies can hinder language learning development. In addition to this urgency, there is noticeable lack of locally published research specifically focusing on the struggles of utilizing of language learning strategies of the students. Thus, this research is conducted.</w:t>
      </w:r>
      <w:r w:rsidR="00E35DFB" w:rsidRPr="00E35DFB">
        <w:t xml:space="preserve"> </w:t>
      </w:r>
    </w:p>
    <w:p w14:paraId="2BEF2CC0" w14:textId="3274111C" w:rsidR="00790ADA" w:rsidRDefault="00E35DFB" w:rsidP="00FE3850">
      <w:pPr>
        <w:pStyle w:val="Body"/>
        <w:spacing w:after="0"/>
        <w:rPr>
          <w:rFonts w:ascii="Arial" w:hAnsi="Arial" w:cs="Arial"/>
        </w:rPr>
      </w:pPr>
      <w:r w:rsidRPr="00E35DFB">
        <w:rPr>
          <w:rFonts w:ascii="Arial" w:hAnsi="Arial" w:cs="Arial"/>
        </w:rPr>
        <w:t>This study aimed to determine the significance of English language anxiety as a mediator on the relationship between the classroom learning environment and language learning strategies. Specifically, it achieved the following objectives:</w:t>
      </w:r>
    </w:p>
    <w:p w14:paraId="3B3FEF3B" w14:textId="73A1062D" w:rsidR="00E35DFB" w:rsidRPr="00E35DFB" w:rsidRDefault="00E35DFB" w:rsidP="00E35DFB">
      <w:pPr>
        <w:pStyle w:val="Body"/>
        <w:rPr>
          <w:rFonts w:ascii="Arial" w:hAnsi="Arial" w:cs="Arial"/>
        </w:rPr>
      </w:pPr>
      <w:r w:rsidRPr="00E35DFB">
        <w:rPr>
          <w:rFonts w:ascii="Arial" w:hAnsi="Arial" w:cs="Arial"/>
        </w:rPr>
        <w:t xml:space="preserve">1.To determine the levels of classroom learning environment in terms of classroom positive, diversity values, personal negative, and persistence in major;  language learning strategies (SILL) in terms of memory strategies, cognitive strategies, metacognitive strategies, compensation strategies, affective strategies, and social strategies; and English language anxiety in terms of communication apprehension, fear of negative evaluation, test anxiety, and anxiety in English classes of the senior high school students. </w:t>
      </w:r>
    </w:p>
    <w:p w14:paraId="1EC982A0" w14:textId="0376D1BB" w:rsidR="00E35DFB" w:rsidRPr="00E35DFB" w:rsidRDefault="00E35DFB" w:rsidP="00E35DFB">
      <w:pPr>
        <w:pStyle w:val="Body"/>
        <w:rPr>
          <w:rFonts w:ascii="Arial" w:hAnsi="Arial" w:cs="Arial"/>
        </w:rPr>
      </w:pPr>
      <w:r w:rsidRPr="00E35DFB">
        <w:rPr>
          <w:rFonts w:ascii="Arial" w:hAnsi="Arial" w:cs="Arial"/>
        </w:rPr>
        <w:t xml:space="preserve">2.To determine the significance of the correlation between classroom learning environment and language learning strategies; and the correlation between English language anxiety and language learning strategies; and the correlation between classroom learning environment and English language anxiety of the senior high school students. </w:t>
      </w:r>
    </w:p>
    <w:p w14:paraId="00AF56A2" w14:textId="00589D46" w:rsidR="00E35DFB" w:rsidRPr="00FB3A86" w:rsidRDefault="00E35DFB" w:rsidP="00E35DFB">
      <w:pPr>
        <w:pStyle w:val="Body"/>
        <w:spacing w:after="0"/>
        <w:rPr>
          <w:rFonts w:ascii="Arial" w:hAnsi="Arial" w:cs="Arial"/>
        </w:rPr>
      </w:pPr>
      <w:r w:rsidRPr="00E35DFB">
        <w:rPr>
          <w:rFonts w:ascii="Arial" w:hAnsi="Arial" w:cs="Arial"/>
        </w:rPr>
        <w:t xml:space="preserve">3.To determine the significance of the direct and indirect effect of classroom learning environment on language learning strategies in the presence and absence of English language anxiety; and assess whether the effect of the mediator is full or partial.   </w:t>
      </w:r>
    </w:p>
    <w:p w14:paraId="119498D2" w14:textId="68E235F9" w:rsidR="007F7B32" w:rsidRDefault="00902823" w:rsidP="00441B6F">
      <w:pPr>
        <w:pStyle w:val="AbstHead"/>
        <w:spacing w:after="0"/>
        <w:jc w:val="both"/>
        <w:rPr>
          <w:rFonts w:ascii="Arial" w:hAnsi="Arial" w:cs="Arial"/>
        </w:rPr>
      </w:pPr>
      <w:r>
        <w:rPr>
          <w:rFonts w:ascii="Arial" w:hAnsi="Arial" w:cs="Arial"/>
        </w:rPr>
        <w:t xml:space="preserve">2. </w:t>
      </w:r>
      <w:r w:rsidR="00FE3850">
        <w:rPr>
          <w:rFonts w:ascii="Arial" w:hAnsi="Arial" w:cs="Arial"/>
        </w:rPr>
        <w:t>research METHOD</w:t>
      </w:r>
    </w:p>
    <w:p w14:paraId="0CB76651" w14:textId="77777777" w:rsidR="00790ADA" w:rsidRPr="00FB3A86" w:rsidRDefault="00790ADA" w:rsidP="00441B6F">
      <w:pPr>
        <w:pStyle w:val="AbstHead"/>
        <w:spacing w:after="0"/>
        <w:jc w:val="both"/>
        <w:rPr>
          <w:rFonts w:ascii="Arial" w:hAnsi="Arial" w:cs="Arial"/>
        </w:rPr>
      </w:pPr>
    </w:p>
    <w:p w14:paraId="1F0FA60D" w14:textId="6F7F93FF" w:rsidR="00790ADA" w:rsidRDefault="00FE3850" w:rsidP="00441B6F">
      <w:pPr>
        <w:pStyle w:val="Body"/>
        <w:spacing w:after="0"/>
        <w:rPr>
          <w:rFonts w:ascii="Arial" w:hAnsi="Arial" w:cs="Arial"/>
        </w:rPr>
      </w:pPr>
      <w:r w:rsidRPr="00FE3850">
        <w:rPr>
          <w:rFonts w:ascii="Arial" w:hAnsi="Arial" w:cs="Arial"/>
        </w:rPr>
        <w:t>This study employed a quantitative correlational research design to explore the natural relationships between variables without manipulation, measuring the strength and direction of their correlation (Bhandari, 2020; Bhandari, 2021). Mediation analysis was conducted to determine the effect of English language anxiety on the relationship between classroom learning environment and language learning strategies, emphasizing the role of a third variable in influencing the connection between two directly linked variables (Hair et al., 2021).</w:t>
      </w:r>
    </w:p>
    <w:p w14:paraId="6D4822AB" w14:textId="77777777" w:rsidR="00FE3850" w:rsidRDefault="00FE3850" w:rsidP="00441B6F">
      <w:pPr>
        <w:pStyle w:val="Body"/>
        <w:spacing w:after="0"/>
        <w:rPr>
          <w:rFonts w:ascii="Arial" w:hAnsi="Arial" w:cs="Arial"/>
        </w:rPr>
      </w:pPr>
    </w:p>
    <w:p w14:paraId="67101821" w14:textId="2947E8B1" w:rsidR="002E0D56" w:rsidRDefault="00FE3850" w:rsidP="00441B6F">
      <w:pPr>
        <w:pStyle w:val="Body"/>
        <w:spacing w:after="0"/>
        <w:rPr>
          <w:rFonts w:ascii="Arial" w:hAnsi="Arial" w:cs="Arial"/>
        </w:rPr>
      </w:pPr>
      <w:r w:rsidRPr="00FE3850">
        <w:rPr>
          <w:rFonts w:ascii="Arial" w:hAnsi="Arial" w:cs="Arial"/>
        </w:rPr>
        <w:t>This study utilized three sets of adapted questionnaires for the study’s variable. To better fit current, local educational settings, the instrument was restricted. The adapted and modified questionnaires were reviewed and validated by the research experts. Before use, the questionnaires underwent technical validation, pilot testing, and reliability tests. The first part of the questionnaire consisted of the independent variable, Classroom Learning Environment, assessed using The Classroom Learning Environment (CLE) Questionnaire by McGhee et al. (2007), with indicators including classroom positive, diversity values, personal negative, and persistence in major. This 23-item survey utilized a 5-point Likert Scale questionnaire with a level from 1 (Strongly Disagree) to 5 (Strongly Agree). The researcher used the Likert scale below to interpret the respondents’ responses and measure the level of the classroom learning environment.</w:t>
      </w:r>
      <w:r w:rsidR="00EA381B">
        <w:rPr>
          <w:rFonts w:ascii="Arial" w:hAnsi="Arial" w:cs="Arial"/>
        </w:rPr>
        <w:t xml:space="preserve"> </w:t>
      </w:r>
      <w:r w:rsidR="00EA381B" w:rsidRPr="00EA381B">
        <w:rPr>
          <w:rFonts w:ascii="Arial" w:hAnsi="Arial" w:cs="Arial"/>
        </w:rPr>
        <w:t>The second part of the questionnaire assessed the dependent variable, Language Learning Strategies, through the Strategy Inventory for Language Learning (SILL) Questionnaire by Oxford (1990), with indicators including memory strategies, cognitive strategies, metacognitive strategies, compensation strategies, affective strategies, and social strategies. This 45-item survey utilized a 5-point Likert Scale questionnaire with a level from 1 (Strongly Disagree) to 5 (Strongly Agree).</w:t>
      </w:r>
      <w:r w:rsidR="00ED7C38">
        <w:rPr>
          <w:rFonts w:ascii="Arial" w:hAnsi="Arial" w:cs="Arial"/>
        </w:rPr>
        <w:t xml:space="preserve"> </w:t>
      </w:r>
      <w:r w:rsidR="00ED7C38" w:rsidRPr="00ED7C38">
        <w:rPr>
          <w:rFonts w:ascii="Arial" w:hAnsi="Arial" w:cs="Arial"/>
        </w:rPr>
        <w:t>The third part of the questionnaire measured the mediating variable, English Language Anxiety, using the Foreign Language Classroom Anxiety Scale (FLCAS) developed by Horwitz et al. (1986), with indicators such as communication apprehension, fear of negative evaluation, test anxiety, and anxiety in English classes. This 29-item survey utilized a 5-point Likert Scale questionnaire with a level from 1 (Strongly Disagree) to 5 (Strongly Agree)</w:t>
      </w:r>
    </w:p>
    <w:p w14:paraId="4D3257B0" w14:textId="77777777" w:rsidR="00FE3850" w:rsidRDefault="00FE3850" w:rsidP="00441B6F">
      <w:pPr>
        <w:pStyle w:val="Body"/>
        <w:spacing w:after="0"/>
        <w:rPr>
          <w:rFonts w:ascii="Arial" w:hAnsi="Arial" w:cs="Arial"/>
        </w:rPr>
      </w:pPr>
    </w:p>
    <w:p w14:paraId="622A3D80" w14:textId="5D95DABA" w:rsidR="006E2767" w:rsidRDefault="006E2767" w:rsidP="00441B6F">
      <w:pPr>
        <w:pStyle w:val="Body"/>
        <w:spacing w:after="0"/>
        <w:rPr>
          <w:rFonts w:ascii="Arial" w:hAnsi="Arial" w:cs="Arial"/>
        </w:rPr>
      </w:pPr>
      <w:r>
        <w:rPr>
          <w:rFonts w:ascii="Arial" w:hAnsi="Arial" w:cs="Arial"/>
        </w:rPr>
        <w:t xml:space="preserve">The researchers collected data through a face-to-face survey. To analyze the results, they used the mean, standard deviation, Pearson r, and mediation analysis. </w:t>
      </w:r>
    </w:p>
    <w:p w14:paraId="43348A25" w14:textId="77777777" w:rsidR="00790ADA" w:rsidRPr="00FB3A86" w:rsidRDefault="00790ADA" w:rsidP="00441B6F">
      <w:pPr>
        <w:pStyle w:val="Body"/>
        <w:spacing w:after="0"/>
        <w:rPr>
          <w:rFonts w:ascii="Arial" w:hAnsi="Arial" w:cs="Arial"/>
        </w:rPr>
      </w:pPr>
    </w:p>
    <w:p w14:paraId="1A3F0A5A" w14:textId="77777777" w:rsidR="00790ADA" w:rsidRPr="00FB3A86" w:rsidRDefault="00790ADA" w:rsidP="00441B6F">
      <w:pPr>
        <w:pStyle w:val="Body"/>
        <w:spacing w:after="0"/>
        <w:rPr>
          <w:rFonts w:ascii="Arial" w:hAnsi="Arial" w:cs="Arial"/>
        </w:rPr>
      </w:pPr>
    </w:p>
    <w:p w14:paraId="7F7CE606"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F63032D" w14:textId="561854E2" w:rsidR="006E2767" w:rsidRDefault="006E2767" w:rsidP="00441B6F">
      <w:pPr>
        <w:pStyle w:val="Head1"/>
        <w:spacing w:after="0"/>
        <w:jc w:val="both"/>
        <w:rPr>
          <w:rFonts w:ascii="Arial" w:hAnsi="Arial" w:cs="Arial"/>
        </w:rPr>
      </w:pPr>
    </w:p>
    <w:p w14:paraId="75917162" w14:textId="77777777" w:rsidR="00790ADA" w:rsidRPr="00FB3A86" w:rsidRDefault="00790ADA" w:rsidP="00441B6F">
      <w:pPr>
        <w:pStyle w:val="Head1"/>
        <w:spacing w:after="0"/>
        <w:jc w:val="both"/>
        <w:rPr>
          <w:rFonts w:ascii="Arial" w:hAnsi="Arial" w:cs="Arial"/>
        </w:rPr>
      </w:pPr>
    </w:p>
    <w:p w14:paraId="46F985ED" w14:textId="77777777" w:rsidR="006E2767" w:rsidRDefault="006E2767" w:rsidP="00441B6F">
      <w:pPr>
        <w:pStyle w:val="Body"/>
        <w:spacing w:after="0"/>
        <w:rPr>
          <w:rFonts w:ascii="Arial" w:hAnsi="Arial" w:cs="Arial"/>
          <w:b/>
          <w:bCs/>
        </w:rPr>
      </w:pPr>
      <w:r w:rsidRPr="006E2767">
        <w:rPr>
          <w:rFonts w:ascii="Arial" w:hAnsi="Arial" w:cs="Arial"/>
          <w:b/>
          <w:bCs/>
        </w:rPr>
        <w:t>3.1 Descriptive Analysis</w:t>
      </w:r>
    </w:p>
    <w:p w14:paraId="68217BBF" w14:textId="77777777" w:rsidR="006E2767" w:rsidRDefault="006E2767" w:rsidP="00441B6F">
      <w:pPr>
        <w:pStyle w:val="Body"/>
        <w:spacing w:after="0"/>
        <w:rPr>
          <w:rFonts w:ascii="Arial" w:hAnsi="Arial" w:cs="Arial"/>
          <w:b/>
          <w:bCs/>
        </w:rPr>
      </w:pPr>
    </w:p>
    <w:p w14:paraId="562B5937" w14:textId="1127A5CF" w:rsidR="006E2767" w:rsidRDefault="006E2767" w:rsidP="00441B6F">
      <w:pPr>
        <w:pStyle w:val="Body"/>
        <w:spacing w:after="0"/>
        <w:rPr>
          <w:rFonts w:ascii="Arial" w:hAnsi="Arial" w:cs="Arial"/>
        </w:rPr>
      </w:pPr>
      <w:r w:rsidRPr="006E2767">
        <w:rPr>
          <w:rFonts w:ascii="Arial" w:hAnsi="Arial" w:cs="Arial"/>
        </w:rPr>
        <w:t>Table 1 shows the descriptive table. It includes the variables of the study namely; Classroom Learning Environment, Language Learning Strategies, and English Language Anxiety, their corresponding indicators, standard deviation, mean, and descriptive level.</w:t>
      </w:r>
    </w:p>
    <w:p w14:paraId="2693C236" w14:textId="77777777" w:rsidR="006E2767" w:rsidRDefault="006E2767" w:rsidP="00441B6F">
      <w:pPr>
        <w:pStyle w:val="Body"/>
        <w:spacing w:after="0"/>
        <w:rPr>
          <w:rFonts w:ascii="Arial" w:hAnsi="Arial" w:cs="Arial"/>
        </w:rPr>
      </w:pPr>
    </w:p>
    <w:p w14:paraId="726E08D6" w14:textId="02AEA217" w:rsidR="006E2767" w:rsidRPr="00D4354E" w:rsidRDefault="006E2767" w:rsidP="00441B6F">
      <w:pPr>
        <w:pStyle w:val="Body"/>
        <w:spacing w:after="0"/>
        <w:rPr>
          <w:rFonts w:ascii="Arial" w:hAnsi="Arial" w:cs="Arial"/>
          <w:b/>
          <w:bCs/>
        </w:rPr>
      </w:pPr>
      <w:r w:rsidRPr="00D4354E">
        <w:rPr>
          <w:rFonts w:ascii="Arial" w:hAnsi="Arial" w:cs="Arial"/>
          <w:b/>
          <w:bCs/>
        </w:rPr>
        <w:t>Table 1. Levels of classroom learning environment, language learning strategies, and English language anxiety of the students</w:t>
      </w:r>
    </w:p>
    <w:p w14:paraId="624C6D1F" w14:textId="77777777" w:rsidR="006E2767" w:rsidRDefault="006E2767" w:rsidP="00441B6F">
      <w:pPr>
        <w:pStyle w:val="Body"/>
        <w:spacing w:after="0"/>
        <w:rPr>
          <w:rFonts w:ascii="Arial" w:hAnsi="Arial" w:cs="Arial"/>
        </w:rPr>
      </w:pPr>
    </w:p>
    <w:tbl>
      <w:tblPr>
        <w:tblStyle w:val="PlainTable3"/>
        <w:tblW w:w="8724" w:type="dxa"/>
        <w:tblLook w:val="0600" w:firstRow="0" w:lastRow="0" w:firstColumn="0" w:lastColumn="0" w:noHBand="1" w:noVBand="1"/>
      </w:tblPr>
      <w:tblGrid>
        <w:gridCol w:w="3826"/>
        <w:gridCol w:w="124"/>
        <w:gridCol w:w="516"/>
        <w:gridCol w:w="124"/>
        <w:gridCol w:w="640"/>
        <w:gridCol w:w="1092"/>
        <w:gridCol w:w="2402"/>
      </w:tblGrid>
      <w:tr w:rsidR="006E2767" w14:paraId="7A07BD51" w14:textId="77777777" w:rsidTr="006E2767">
        <w:trPr>
          <w:trHeight w:val="429"/>
        </w:trPr>
        <w:tc>
          <w:tcPr>
            <w:tcW w:w="3950" w:type="dxa"/>
            <w:gridSpan w:val="2"/>
            <w:tcBorders>
              <w:top w:val="single" w:sz="4" w:space="0" w:color="auto"/>
              <w:bottom w:val="single" w:sz="4" w:space="0" w:color="auto"/>
            </w:tcBorders>
          </w:tcPr>
          <w:p w14:paraId="7192F7E8"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 xml:space="preserve">Variables                          </w:t>
            </w:r>
          </w:p>
        </w:tc>
        <w:tc>
          <w:tcPr>
            <w:tcW w:w="640" w:type="dxa"/>
            <w:gridSpan w:val="2"/>
            <w:tcBorders>
              <w:top w:val="single" w:sz="4" w:space="0" w:color="auto"/>
              <w:bottom w:val="single" w:sz="4" w:space="0" w:color="auto"/>
            </w:tcBorders>
          </w:tcPr>
          <w:p w14:paraId="2E3D66D5"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N</w:t>
            </w:r>
          </w:p>
        </w:tc>
        <w:tc>
          <w:tcPr>
            <w:tcW w:w="640" w:type="dxa"/>
            <w:tcBorders>
              <w:top w:val="single" w:sz="4" w:space="0" w:color="auto"/>
              <w:bottom w:val="single" w:sz="4" w:space="0" w:color="auto"/>
            </w:tcBorders>
          </w:tcPr>
          <w:p w14:paraId="049ED46C"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SD</w:t>
            </w:r>
          </w:p>
        </w:tc>
        <w:tc>
          <w:tcPr>
            <w:tcW w:w="1092" w:type="dxa"/>
            <w:tcBorders>
              <w:top w:val="single" w:sz="4" w:space="0" w:color="auto"/>
              <w:bottom w:val="single" w:sz="4" w:space="0" w:color="auto"/>
            </w:tcBorders>
          </w:tcPr>
          <w:p w14:paraId="5C47DAF2"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Mean</w:t>
            </w:r>
          </w:p>
        </w:tc>
        <w:tc>
          <w:tcPr>
            <w:tcW w:w="2402" w:type="dxa"/>
            <w:tcBorders>
              <w:top w:val="single" w:sz="4" w:space="0" w:color="auto"/>
              <w:bottom w:val="single" w:sz="4" w:space="0" w:color="auto"/>
            </w:tcBorders>
          </w:tcPr>
          <w:p w14:paraId="4BA75A18" w14:textId="77777777" w:rsidR="006E2767" w:rsidRPr="006E2767" w:rsidRDefault="006E2767" w:rsidP="00994F10">
            <w:pPr>
              <w:jc w:val="center"/>
              <w:rPr>
                <w:rFonts w:ascii="Arial" w:hAnsi="Arial" w:cs="Arial"/>
                <w:b/>
                <w:bCs/>
                <w:sz w:val="20"/>
                <w:szCs w:val="20"/>
                <w:lang w:val="en-US"/>
              </w:rPr>
            </w:pPr>
            <w:r w:rsidRPr="006E2767">
              <w:rPr>
                <w:rFonts w:ascii="Arial" w:hAnsi="Arial" w:cs="Arial"/>
                <w:b/>
                <w:bCs/>
                <w:sz w:val="20"/>
                <w:szCs w:val="20"/>
                <w:lang w:val="en-US"/>
              </w:rPr>
              <w:t>Descriptive Level</w:t>
            </w:r>
          </w:p>
          <w:p w14:paraId="6E381EF0" w14:textId="77777777" w:rsidR="006E2767" w:rsidRPr="006E2767" w:rsidRDefault="006E2767" w:rsidP="00994F10">
            <w:pPr>
              <w:jc w:val="center"/>
              <w:rPr>
                <w:rFonts w:ascii="Arial" w:hAnsi="Arial" w:cs="Arial"/>
                <w:b/>
                <w:bCs/>
                <w:sz w:val="20"/>
                <w:szCs w:val="20"/>
                <w:lang w:val="en-US"/>
              </w:rPr>
            </w:pPr>
          </w:p>
        </w:tc>
      </w:tr>
      <w:tr w:rsidR="006E2767" w14:paraId="37C59F0D" w14:textId="77777777" w:rsidTr="006E2767">
        <w:trPr>
          <w:trHeight w:val="136"/>
        </w:trPr>
        <w:tc>
          <w:tcPr>
            <w:tcW w:w="3826" w:type="dxa"/>
            <w:tcBorders>
              <w:top w:val="single" w:sz="4" w:space="0" w:color="auto"/>
            </w:tcBorders>
          </w:tcPr>
          <w:p w14:paraId="15F6CE6E" w14:textId="77777777" w:rsidR="006E2767" w:rsidRPr="006E2767" w:rsidRDefault="006E2767" w:rsidP="00994F10">
            <w:pPr>
              <w:rPr>
                <w:rFonts w:ascii="Arial" w:hAnsi="Arial" w:cs="Arial"/>
                <w:b/>
                <w:sz w:val="20"/>
                <w:szCs w:val="20"/>
              </w:rPr>
            </w:pPr>
            <w:r w:rsidRPr="006E2767">
              <w:rPr>
                <w:rFonts w:ascii="Arial" w:hAnsi="Arial" w:cs="Arial"/>
                <w:b/>
                <w:sz w:val="20"/>
                <w:szCs w:val="20"/>
              </w:rPr>
              <w:t>Classroom Learning Environment</w:t>
            </w:r>
          </w:p>
        </w:tc>
        <w:tc>
          <w:tcPr>
            <w:tcW w:w="640" w:type="dxa"/>
            <w:gridSpan w:val="2"/>
            <w:tcBorders>
              <w:top w:val="single" w:sz="4" w:space="0" w:color="auto"/>
            </w:tcBorders>
          </w:tcPr>
          <w:p w14:paraId="385A0B22"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260</w:t>
            </w:r>
          </w:p>
        </w:tc>
        <w:tc>
          <w:tcPr>
            <w:tcW w:w="764" w:type="dxa"/>
            <w:gridSpan w:val="2"/>
            <w:tcBorders>
              <w:top w:val="single" w:sz="4" w:space="0" w:color="auto"/>
            </w:tcBorders>
          </w:tcPr>
          <w:p w14:paraId="7169E187"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0.39</w:t>
            </w:r>
          </w:p>
        </w:tc>
        <w:tc>
          <w:tcPr>
            <w:tcW w:w="1092" w:type="dxa"/>
            <w:tcBorders>
              <w:top w:val="single" w:sz="4" w:space="0" w:color="auto"/>
            </w:tcBorders>
          </w:tcPr>
          <w:p w14:paraId="05FDF181"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3.67</w:t>
            </w:r>
          </w:p>
        </w:tc>
        <w:tc>
          <w:tcPr>
            <w:tcW w:w="2402" w:type="dxa"/>
            <w:tcBorders>
              <w:top w:val="single" w:sz="4" w:space="0" w:color="auto"/>
            </w:tcBorders>
          </w:tcPr>
          <w:p w14:paraId="7A26A645"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High</w:t>
            </w:r>
          </w:p>
        </w:tc>
      </w:tr>
      <w:tr w:rsidR="006E2767" w14:paraId="13CD590F" w14:textId="77777777" w:rsidTr="006E2767">
        <w:trPr>
          <w:trHeight w:val="261"/>
        </w:trPr>
        <w:tc>
          <w:tcPr>
            <w:tcW w:w="3950" w:type="dxa"/>
            <w:gridSpan w:val="2"/>
          </w:tcPr>
          <w:p w14:paraId="33738479" w14:textId="77777777" w:rsidR="006E2767" w:rsidRPr="006E2767" w:rsidRDefault="006E2767" w:rsidP="00994F10">
            <w:pPr>
              <w:jc w:val="both"/>
              <w:rPr>
                <w:rFonts w:ascii="Arial" w:hAnsi="Arial" w:cs="Arial"/>
                <w:b/>
                <w:bCs/>
                <w:sz w:val="20"/>
                <w:szCs w:val="20"/>
                <w:lang w:val="en-US"/>
              </w:rPr>
            </w:pPr>
            <w:r w:rsidRPr="006E2767">
              <w:rPr>
                <w:rFonts w:ascii="Arial" w:hAnsi="Arial" w:cs="Arial"/>
                <w:bCs/>
                <w:sz w:val="20"/>
                <w:szCs w:val="20"/>
              </w:rPr>
              <w:t xml:space="preserve">     Classroom Positive</w:t>
            </w:r>
          </w:p>
        </w:tc>
        <w:tc>
          <w:tcPr>
            <w:tcW w:w="640" w:type="dxa"/>
            <w:gridSpan w:val="2"/>
          </w:tcPr>
          <w:p w14:paraId="71ADEC1F" w14:textId="77777777" w:rsidR="006E2767" w:rsidRPr="006E2767" w:rsidRDefault="006E2767" w:rsidP="00994F10">
            <w:pPr>
              <w:jc w:val="center"/>
              <w:rPr>
                <w:rFonts w:ascii="Arial" w:hAnsi="Arial" w:cs="Arial"/>
                <w:sz w:val="20"/>
                <w:szCs w:val="20"/>
                <w:lang w:val="en-US"/>
              </w:rPr>
            </w:pPr>
          </w:p>
        </w:tc>
        <w:tc>
          <w:tcPr>
            <w:tcW w:w="640" w:type="dxa"/>
          </w:tcPr>
          <w:p w14:paraId="38485D1E"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0.56</w:t>
            </w:r>
          </w:p>
        </w:tc>
        <w:tc>
          <w:tcPr>
            <w:tcW w:w="1092" w:type="dxa"/>
          </w:tcPr>
          <w:p w14:paraId="4B292B7A"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4.03</w:t>
            </w:r>
          </w:p>
        </w:tc>
        <w:tc>
          <w:tcPr>
            <w:tcW w:w="2402" w:type="dxa"/>
          </w:tcPr>
          <w:p w14:paraId="0575D086"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High</w:t>
            </w:r>
          </w:p>
        </w:tc>
      </w:tr>
      <w:tr w:rsidR="006E2767" w14:paraId="64422601" w14:textId="77777777" w:rsidTr="006E2767">
        <w:trPr>
          <w:trHeight w:val="261"/>
        </w:trPr>
        <w:tc>
          <w:tcPr>
            <w:tcW w:w="3950" w:type="dxa"/>
            <w:gridSpan w:val="2"/>
          </w:tcPr>
          <w:p w14:paraId="47DE46A7" w14:textId="77777777" w:rsidR="006E2767" w:rsidRPr="006E2767" w:rsidRDefault="006E2767" w:rsidP="00994F10">
            <w:pPr>
              <w:jc w:val="both"/>
              <w:rPr>
                <w:rFonts w:ascii="Arial" w:hAnsi="Arial" w:cs="Arial"/>
                <w:b/>
                <w:bCs/>
                <w:sz w:val="20"/>
                <w:szCs w:val="20"/>
                <w:lang w:val="en-US"/>
              </w:rPr>
            </w:pPr>
            <w:r w:rsidRPr="006E2767">
              <w:rPr>
                <w:rFonts w:ascii="Arial" w:hAnsi="Arial" w:cs="Arial"/>
                <w:bCs/>
                <w:sz w:val="20"/>
                <w:szCs w:val="20"/>
              </w:rPr>
              <w:t xml:space="preserve">     Diversity Values</w:t>
            </w:r>
          </w:p>
        </w:tc>
        <w:tc>
          <w:tcPr>
            <w:tcW w:w="640" w:type="dxa"/>
            <w:gridSpan w:val="2"/>
          </w:tcPr>
          <w:p w14:paraId="354942F8" w14:textId="77777777" w:rsidR="006E2767" w:rsidRPr="006E2767" w:rsidRDefault="006E2767" w:rsidP="00994F10">
            <w:pPr>
              <w:jc w:val="center"/>
              <w:rPr>
                <w:rFonts w:ascii="Arial" w:hAnsi="Arial" w:cs="Arial"/>
                <w:sz w:val="20"/>
                <w:szCs w:val="20"/>
                <w:lang w:val="en-US"/>
              </w:rPr>
            </w:pPr>
          </w:p>
        </w:tc>
        <w:tc>
          <w:tcPr>
            <w:tcW w:w="640" w:type="dxa"/>
          </w:tcPr>
          <w:p w14:paraId="569AF6D0"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0.55</w:t>
            </w:r>
          </w:p>
        </w:tc>
        <w:tc>
          <w:tcPr>
            <w:tcW w:w="1092" w:type="dxa"/>
          </w:tcPr>
          <w:p w14:paraId="11FB77C9"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4.13</w:t>
            </w:r>
          </w:p>
        </w:tc>
        <w:tc>
          <w:tcPr>
            <w:tcW w:w="2402" w:type="dxa"/>
          </w:tcPr>
          <w:p w14:paraId="772F14E9"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High</w:t>
            </w:r>
          </w:p>
        </w:tc>
      </w:tr>
      <w:tr w:rsidR="006E2767" w14:paraId="0BEC9C1F" w14:textId="77777777" w:rsidTr="006E2767">
        <w:trPr>
          <w:trHeight w:val="267"/>
        </w:trPr>
        <w:tc>
          <w:tcPr>
            <w:tcW w:w="3950" w:type="dxa"/>
            <w:gridSpan w:val="2"/>
          </w:tcPr>
          <w:p w14:paraId="58B8DBD7" w14:textId="77777777" w:rsidR="006E2767" w:rsidRPr="006E2767" w:rsidRDefault="006E2767" w:rsidP="00994F10">
            <w:pPr>
              <w:jc w:val="both"/>
              <w:rPr>
                <w:rFonts w:ascii="Arial" w:hAnsi="Arial" w:cs="Arial"/>
                <w:b/>
                <w:bCs/>
                <w:sz w:val="20"/>
                <w:szCs w:val="20"/>
                <w:lang w:val="en-US"/>
              </w:rPr>
            </w:pPr>
            <w:r w:rsidRPr="006E2767">
              <w:rPr>
                <w:rFonts w:ascii="Arial" w:hAnsi="Arial" w:cs="Arial"/>
                <w:bCs/>
                <w:sz w:val="20"/>
                <w:szCs w:val="20"/>
              </w:rPr>
              <w:t xml:space="preserve">     Personal Negative</w:t>
            </w:r>
          </w:p>
        </w:tc>
        <w:tc>
          <w:tcPr>
            <w:tcW w:w="640" w:type="dxa"/>
            <w:gridSpan w:val="2"/>
          </w:tcPr>
          <w:p w14:paraId="46D69B06" w14:textId="77777777" w:rsidR="006E2767" w:rsidRPr="006E2767" w:rsidRDefault="006E2767" w:rsidP="00994F10">
            <w:pPr>
              <w:jc w:val="center"/>
              <w:rPr>
                <w:rFonts w:ascii="Arial" w:hAnsi="Arial" w:cs="Arial"/>
                <w:sz w:val="20"/>
                <w:szCs w:val="20"/>
                <w:lang w:val="en-US"/>
              </w:rPr>
            </w:pPr>
          </w:p>
        </w:tc>
        <w:tc>
          <w:tcPr>
            <w:tcW w:w="640" w:type="dxa"/>
          </w:tcPr>
          <w:p w14:paraId="32061FCE"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0.55</w:t>
            </w:r>
          </w:p>
        </w:tc>
        <w:tc>
          <w:tcPr>
            <w:tcW w:w="1092" w:type="dxa"/>
          </w:tcPr>
          <w:p w14:paraId="2FFEE785"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2.65</w:t>
            </w:r>
          </w:p>
        </w:tc>
        <w:tc>
          <w:tcPr>
            <w:tcW w:w="2402" w:type="dxa"/>
          </w:tcPr>
          <w:p w14:paraId="6104B04E"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Moderate</w:t>
            </w:r>
          </w:p>
        </w:tc>
      </w:tr>
      <w:tr w:rsidR="006E2767" w14:paraId="0891D660" w14:textId="77777777" w:rsidTr="006E2767">
        <w:trPr>
          <w:trHeight w:val="261"/>
        </w:trPr>
        <w:tc>
          <w:tcPr>
            <w:tcW w:w="3950" w:type="dxa"/>
            <w:gridSpan w:val="2"/>
          </w:tcPr>
          <w:p w14:paraId="0F2E0770" w14:textId="77777777" w:rsidR="006E2767" w:rsidRPr="006E2767" w:rsidRDefault="006E2767" w:rsidP="00994F10">
            <w:pPr>
              <w:jc w:val="both"/>
              <w:rPr>
                <w:rFonts w:ascii="Arial" w:hAnsi="Arial" w:cs="Arial"/>
                <w:b/>
                <w:bCs/>
                <w:sz w:val="20"/>
                <w:szCs w:val="20"/>
                <w:lang w:val="en-US"/>
              </w:rPr>
            </w:pPr>
            <w:r w:rsidRPr="006E2767">
              <w:rPr>
                <w:rFonts w:ascii="Arial" w:hAnsi="Arial" w:cs="Arial"/>
                <w:bCs/>
                <w:sz w:val="20"/>
                <w:szCs w:val="20"/>
              </w:rPr>
              <w:t xml:space="preserve">     Persistence in Major</w:t>
            </w:r>
          </w:p>
        </w:tc>
        <w:tc>
          <w:tcPr>
            <w:tcW w:w="640" w:type="dxa"/>
            <w:gridSpan w:val="2"/>
          </w:tcPr>
          <w:p w14:paraId="73E013AC" w14:textId="77777777" w:rsidR="006E2767" w:rsidRPr="006E2767" w:rsidRDefault="006E2767" w:rsidP="00994F10">
            <w:pPr>
              <w:jc w:val="center"/>
              <w:rPr>
                <w:rFonts w:ascii="Arial" w:hAnsi="Arial" w:cs="Arial"/>
                <w:sz w:val="20"/>
                <w:szCs w:val="20"/>
                <w:lang w:val="en-US"/>
              </w:rPr>
            </w:pPr>
          </w:p>
        </w:tc>
        <w:tc>
          <w:tcPr>
            <w:tcW w:w="640" w:type="dxa"/>
          </w:tcPr>
          <w:p w14:paraId="765FB254"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0.75</w:t>
            </w:r>
          </w:p>
        </w:tc>
        <w:tc>
          <w:tcPr>
            <w:tcW w:w="1092" w:type="dxa"/>
          </w:tcPr>
          <w:p w14:paraId="504942AA"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3.88</w:t>
            </w:r>
          </w:p>
        </w:tc>
        <w:tc>
          <w:tcPr>
            <w:tcW w:w="2402" w:type="dxa"/>
          </w:tcPr>
          <w:p w14:paraId="258F613B" w14:textId="77777777" w:rsidR="006E2767" w:rsidRPr="006E2767" w:rsidRDefault="006E2767" w:rsidP="00994F10">
            <w:pPr>
              <w:jc w:val="center"/>
              <w:rPr>
                <w:rFonts w:ascii="Arial" w:hAnsi="Arial" w:cs="Arial"/>
                <w:sz w:val="20"/>
                <w:szCs w:val="20"/>
                <w:lang w:val="en-US"/>
              </w:rPr>
            </w:pPr>
            <w:r w:rsidRPr="006E2767">
              <w:rPr>
                <w:rFonts w:ascii="Arial" w:hAnsi="Arial" w:cs="Arial"/>
                <w:sz w:val="20"/>
                <w:szCs w:val="20"/>
                <w:lang w:val="en-US"/>
              </w:rPr>
              <w:t>High</w:t>
            </w:r>
          </w:p>
        </w:tc>
      </w:tr>
      <w:tr w:rsidR="006E2767" w14:paraId="472EBBCF" w14:textId="77777777" w:rsidTr="006E2767">
        <w:trPr>
          <w:trHeight w:val="261"/>
        </w:trPr>
        <w:tc>
          <w:tcPr>
            <w:tcW w:w="3950" w:type="dxa"/>
            <w:gridSpan w:val="2"/>
          </w:tcPr>
          <w:p w14:paraId="5DD9CE5B" w14:textId="77777777" w:rsidR="006E2767" w:rsidRPr="006E2767" w:rsidRDefault="006E2767" w:rsidP="00994F10">
            <w:pPr>
              <w:jc w:val="both"/>
              <w:rPr>
                <w:rFonts w:ascii="Arial" w:hAnsi="Arial" w:cs="Arial"/>
                <w:b/>
                <w:sz w:val="20"/>
                <w:szCs w:val="20"/>
              </w:rPr>
            </w:pPr>
            <w:r w:rsidRPr="006E2767">
              <w:rPr>
                <w:rFonts w:ascii="Arial" w:hAnsi="Arial" w:cs="Arial"/>
                <w:b/>
                <w:sz w:val="20"/>
                <w:szCs w:val="20"/>
              </w:rPr>
              <w:t>Language Learning Strategies</w:t>
            </w:r>
          </w:p>
        </w:tc>
        <w:tc>
          <w:tcPr>
            <w:tcW w:w="640" w:type="dxa"/>
            <w:gridSpan w:val="2"/>
          </w:tcPr>
          <w:p w14:paraId="07CE5CB8"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260</w:t>
            </w:r>
          </w:p>
        </w:tc>
        <w:tc>
          <w:tcPr>
            <w:tcW w:w="640" w:type="dxa"/>
          </w:tcPr>
          <w:p w14:paraId="12C7A24A"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0.43</w:t>
            </w:r>
          </w:p>
        </w:tc>
        <w:tc>
          <w:tcPr>
            <w:tcW w:w="1092" w:type="dxa"/>
          </w:tcPr>
          <w:p w14:paraId="0FA9A124"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3.69</w:t>
            </w:r>
          </w:p>
        </w:tc>
        <w:tc>
          <w:tcPr>
            <w:tcW w:w="2402" w:type="dxa"/>
          </w:tcPr>
          <w:p w14:paraId="799794A7"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High</w:t>
            </w:r>
          </w:p>
        </w:tc>
      </w:tr>
      <w:tr w:rsidR="006E2767" w14:paraId="2B96AECB" w14:textId="77777777" w:rsidTr="006E2767">
        <w:trPr>
          <w:trHeight w:val="261"/>
        </w:trPr>
        <w:tc>
          <w:tcPr>
            <w:tcW w:w="3950" w:type="dxa"/>
            <w:gridSpan w:val="2"/>
          </w:tcPr>
          <w:p w14:paraId="66E7D8D3" w14:textId="77777777" w:rsidR="006E2767" w:rsidRPr="006E2767" w:rsidRDefault="006E2767" w:rsidP="00994F10">
            <w:pPr>
              <w:jc w:val="both"/>
              <w:rPr>
                <w:rFonts w:ascii="Arial" w:hAnsi="Arial" w:cs="Arial"/>
                <w:bCs/>
                <w:sz w:val="20"/>
                <w:szCs w:val="20"/>
              </w:rPr>
            </w:pPr>
            <w:r w:rsidRPr="006E2767">
              <w:rPr>
                <w:rFonts w:ascii="Arial" w:hAnsi="Arial" w:cs="Arial"/>
                <w:b/>
                <w:sz w:val="20"/>
                <w:szCs w:val="20"/>
              </w:rPr>
              <w:t xml:space="preserve">     </w:t>
            </w:r>
            <w:r w:rsidRPr="006E2767">
              <w:rPr>
                <w:rFonts w:ascii="Arial" w:hAnsi="Arial" w:cs="Arial"/>
                <w:bCs/>
                <w:sz w:val="20"/>
                <w:szCs w:val="20"/>
              </w:rPr>
              <w:t>Memory Strategies</w:t>
            </w:r>
          </w:p>
        </w:tc>
        <w:tc>
          <w:tcPr>
            <w:tcW w:w="640" w:type="dxa"/>
            <w:gridSpan w:val="2"/>
          </w:tcPr>
          <w:p w14:paraId="677614AE" w14:textId="77777777" w:rsidR="006E2767" w:rsidRPr="006E2767" w:rsidRDefault="006E2767" w:rsidP="00994F10">
            <w:pPr>
              <w:jc w:val="center"/>
              <w:rPr>
                <w:rFonts w:ascii="Arial" w:hAnsi="Arial" w:cs="Arial"/>
                <w:bCs/>
                <w:sz w:val="20"/>
                <w:szCs w:val="20"/>
                <w:lang w:val="en-US"/>
              </w:rPr>
            </w:pPr>
          </w:p>
        </w:tc>
        <w:tc>
          <w:tcPr>
            <w:tcW w:w="640" w:type="dxa"/>
          </w:tcPr>
          <w:p w14:paraId="380444FB"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0.52</w:t>
            </w:r>
          </w:p>
        </w:tc>
        <w:tc>
          <w:tcPr>
            <w:tcW w:w="1092" w:type="dxa"/>
          </w:tcPr>
          <w:p w14:paraId="16D72EF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3.60</w:t>
            </w:r>
          </w:p>
        </w:tc>
        <w:tc>
          <w:tcPr>
            <w:tcW w:w="2402" w:type="dxa"/>
          </w:tcPr>
          <w:p w14:paraId="5832AFF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11FB767C" w14:textId="77777777" w:rsidTr="006E2767">
        <w:trPr>
          <w:trHeight w:val="261"/>
        </w:trPr>
        <w:tc>
          <w:tcPr>
            <w:tcW w:w="3950" w:type="dxa"/>
            <w:gridSpan w:val="2"/>
          </w:tcPr>
          <w:p w14:paraId="4EBC5D77"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Cognitive Strategies</w:t>
            </w:r>
          </w:p>
        </w:tc>
        <w:tc>
          <w:tcPr>
            <w:tcW w:w="640" w:type="dxa"/>
            <w:gridSpan w:val="2"/>
          </w:tcPr>
          <w:p w14:paraId="2B5A6F28" w14:textId="77777777" w:rsidR="006E2767" w:rsidRPr="006E2767" w:rsidRDefault="006E2767" w:rsidP="00994F10">
            <w:pPr>
              <w:jc w:val="center"/>
              <w:rPr>
                <w:rFonts w:ascii="Arial" w:hAnsi="Arial" w:cs="Arial"/>
                <w:bCs/>
                <w:sz w:val="20"/>
                <w:szCs w:val="20"/>
                <w:lang w:val="en-US"/>
              </w:rPr>
            </w:pPr>
          </w:p>
        </w:tc>
        <w:tc>
          <w:tcPr>
            <w:tcW w:w="640" w:type="dxa"/>
          </w:tcPr>
          <w:p w14:paraId="47670B9A"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0.53</w:t>
            </w:r>
          </w:p>
        </w:tc>
        <w:tc>
          <w:tcPr>
            <w:tcW w:w="1092" w:type="dxa"/>
          </w:tcPr>
          <w:p w14:paraId="5734E404"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3.75</w:t>
            </w:r>
          </w:p>
        </w:tc>
        <w:tc>
          <w:tcPr>
            <w:tcW w:w="2402" w:type="dxa"/>
          </w:tcPr>
          <w:p w14:paraId="231C5BD3"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69684AC8" w14:textId="77777777" w:rsidTr="006E2767">
        <w:trPr>
          <w:trHeight w:val="261"/>
        </w:trPr>
        <w:tc>
          <w:tcPr>
            <w:tcW w:w="3950" w:type="dxa"/>
            <w:gridSpan w:val="2"/>
          </w:tcPr>
          <w:p w14:paraId="76FD3BCD"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Metacognitive Strategies</w:t>
            </w:r>
          </w:p>
        </w:tc>
        <w:tc>
          <w:tcPr>
            <w:tcW w:w="640" w:type="dxa"/>
            <w:gridSpan w:val="2"/>
          </w:tcPr>
          <w:p w14:paraId="6BEC0F9F" w14:textId="77777777" w:rsidR="006E2767" w:rsidRPr="006E2767" w:rsidRDefault="006E2767" w:rsidP="00994F10">
            <w:pPr>
              <w:jc w:val="center"/>
              <w:rPr>
                <w:rFonts w:ascii="Arial" w:hAnsi="Arial" w:cs="Arial"/>
                <w:bCs/>
                <w:sz w:val="20"/>
                <w:szCs w:val="20"/>
                <w:lang w:val="en-US"/>
              </w:rPr>
            </w:pPr>
          </w:p>
        </w:tc>
        <w:tc>
          <w:tcPr>
            <w:tcW w:w="640" w:type="dxa"/>
          </w:tcPr>
          <w:p w14:paraId="5A20332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0.62</w:t>
            </w:r>
          </w:p>
        </w:tc>
        <w:tc>
          <w:tcPr>
            <w:tcW w:w="1092" w:type="dxa"/>
          </w:tcPr>
          <w:p w14:paraId="2058659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3.52</w:t>
            </w:r>
          </w:p>
        </w:tc>
        <w:tc>
          <w:tcPr>
            <w:tcW w:w="2402" w:type="dxa"/>
          </w:tcPr>
          <w:p w14:paraId="7A3F4C8A"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 xml:space="preserve">High </w:t>
            </w:r>
          </w:p>
        </w:tc>
      </w:tr>
      <w:tr w:rsidR="006E2767" w14:paraId="04F8EE7B" w14:textId="77777777" w:rsidTr="006E2767">
        <w:trPr>
          <w:trHeight w:val="261"/>
        </w:trPr>
        <w:tc>
          <w:tcPr>
            <w:tcW w:w="3950" w:type="dxa"/>
            <w:gridSpan w:val="2"/>
          </w:tcPr>
          <w:p w14:paraId="6109D636"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Compensation Strategies</w:t>
            </w:r>
          </w:p>
        </w:tc>
        <w:tc>
          <w:tcPr>
            <w:tcW w:w="640" w:type="dxa"/>
            <w:gridSpan w:val="2"/>
          </w:tcPr>
          <w:p w14:paraId="516BC39C" w14:textId="77777777" w:rsidR="006E2767" w:rsidRPr="006E2767" w:rsidRDefault="006E2767" w:rsidP="00994F10">
            <w:pPr>
              <w:jc w:val="center"/>
              <w:rPr>
                <w:rFonts w:ascii="Arial" w:hAnsi="Arial" w:cs="Arial"/>
                <w:bCs/>
                <w:sz w:val="20"/>
                <w:szCs w:val="20"/>
                <w:lang w:val="en-US"/>
              </w:rPr>
            </w:pPr>
          </w:p>
        </w:tc>
        <w:tc>
          <w:tcPr>
            <w:tcW w:w="640" w:type="dxa"/>
          </w:tcPr>
          <w:p w14:paraId="2E3C2A63"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0.68</w:t>
            </w:r>
          </w:p>
        </w:tc>
        <w:tc>
          <w:tcPr>
            <w:tcW w:w="1092" w:type="dxa"/>
          </w:tcPr>
          <w:p w14:paraId="5532F553"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3.86</w:t>
            </w:r>
          </w:p>
        </w:tc>
        <w:tc>
          <w:tcPr>
            <w:tcW w:w="2402" w:type="dxa"/>
          </w:tcPr>
          <w:p w14:paraId="1EFA576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7AC6D779" w14:textId="77777777" w:rsidTr="006E2767">
        <w:trPr>
          <w:trHeight w:val="261"/>
        </w:trPr>
        <w:tc>
          <w:tcPr>
            <w:tcW w:w="3950" w:type="dxa"/>
            <w:gridSpan w:val="2"/>
          </w:tcPr>
          <w:p w14:paraId="5CE19E27"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Affective Strategies</w:t>
            </w:r>
          </w:p>
        </w:tc>
        <w:tc>
          <w:tcPr>
            <w:tcW w:w="640" w:type="dxa"/>
            <w:gridSpan w:val="2"/>
          </w:tcPr>
          <w:p w14:paraId="567D2438" w14:textId="77777777" w:rsidR="006E2767" w:rsidRPr="006E2767" w:rsidRDefault="006E2767" w:rsidP="00994F10">
            <w:pPr>
              <w:jc w:val="center"/>
              <w:rPr>
                <w:rFonts w:ascii="Arial" w:hAnsi="Arial" w:cs="Arial"/>
                <w:bCs/>
                <w:sz w:val="20"/>
                <w:szCs w:val="20"/>
                <w:lang w:val="en-US"/>
              </w:rPr>
            </w:pPr>
          </w:p>
        </w:tc>
        <w:tc>
          <w:tcPr>
            <w:tcW w:w="640" w:type="dxa"/>
          </w:tcPr>
          <w:p w14:paraId="19E36152"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0.62</w:t>
            </w:r>
          </w:p>
        </w:tc>
        <w:tc>
          <w:tcPr>
            <w:tcW w:w="1092" w:type="dxa"/>
          </w:tcPr>
          <w:p w14:paraId="43194C9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3.53</w:t>
            </w:r>
          </w:p>
        </w:tc>
        <w:tc>
          <w:tcPr>
            <w:tcW w:w="2402" w:type="dxa"/>
          </w:tcPr>
          <w:p w14:paraId="3C9D54B1"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3F3E8D07" w14:textId="77777777" w:rsidTr="006E2767">
        <w:trPr>
          <w:trHeight w:val="261"/>
        </w:trPr>
        <w:tc>
          <w:tcPr>
            <w:tcW w:w="3950" w:type="dxa"/>
            <w:gridSpan w:val="2"/>
          </w:tcPr>
          <w:p w14:paraId="3945409B"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Social Strategies</w:t>
            </w:r>
          </w:p>
        </w:tc>
        <w:tc>
          <w:tcPr>
            <w:tcW w:w="640" w:type="dxa"/>
            <w:gridSpan w:val="2"/>
          </w:tcPr>
          <w:p w14:paraId="30CC59B2" w14:textId="77777777" w:rsidR="006E2767" w:rsidRPr="006E2767" w:rsidRDefault="006E2767" w:rsidP="00994F10">
            <w:pPr>
              <w:jc w:val="center"/>
              <w:rPr>
                <w:rFonts w:ascii="Arial" w:hAnsi="Arial" w:cs="Arial"/>
                <w:bCs/>
                <w:sz w:val="20"/>
                <w:szCs w:val="20"/>
                <w:lang w:val="en-US"/>
              </w:rPr>
            </w:pPr>
          </w:p>
        </w:tc>
        <w:tc>
          <w:tcPr>
            <w:tcW w:w="640" w:type="dxa"/>
          </w:tcPr>
          <w:p w14:paraId="2A99BDE8"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0.67</w:t>
            </w:r>
          </w:p>
        </w:tc>
        <w:tc>
          <w:tcPr>
            <w:tcW w:w="1092" w:type="dxa"/>
          </w:tcPr>
          <w:p w14:paraId="6717489E"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3.78</w:t>
            </w:r>
          </w:p>
        </w:tc>
        <w:tc>
          <w:tcPr>
            <w:tcW w:w="2402" w:type="dxa"/>
          </w:tcPr>
          <w:p w14:paraId="0349BF5A"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High</w:t>
            </w:r>
          </w:p>
        </w:tc>
      </w:tr>
      <w:tr w:rsidR="006E2767" w14:paraId="3C9BE129" w14:textId="77777777" w:rsidTr="006E2767">
        <w:trPr>
          <w:trHeight w:val="261"/>
        </w:trPr>
        <w:tc>
          <w:tcPr>
            <w:tcW w:w="3950" w:type="dxa"/>
            <w:gridSpan w:val="2"/>
          </w:tcPr>
          <w:p w14:paraId="5DB51B43" w14:textId="77777777" w:rsidR="006E2767" w:rsidRPr="006E2767" w:rsidRDefault="006E2767" w:rsidP="00994F10">
            <w:pPr>
              <w:jc w:val="both"/>
              <w:rPr>
                <w:rFonts w:ascii="Arial" w:hAnsi="Arial" w:cs="Arial"/>
                <w:b/>
                <w:sz w:val="20"/>
                <w:szCs w:val="20"/>
              </w:rPr>
            </w:pPr>
            <w:r w:rsidRPr="006E2767">
              <w:rPr>
                <w:rFonts w:ascii="Arial" w:hAnsi="Arial" w:cs="Arial"/>
                <w:b/>
                <w:sz w:val="20"/>
                <w:szCs w:val="20"/>
              </w:rPr>
              <w:t>English Language Anxiety</w:t>
            </w:r>
          </w:p>
        </w:tc>
        <w:tc>
          <w:tcPr>
            <w:tcW w:w="640" w:type="dxa"/>
            <w:gridSpan w:val="2"/>
          </w:tcPr>
          <w:p w14:paraId="07E3C265"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260</w:t>
            </w:r>
          </w:p>
        </w:tc>
        <w:tc>
          <w:tcPr>
            <w:tcW w:w="640" w:type="dxa"/>
          </w:tcPr>
          <w:p w14:paraId="47A54321"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0.47</w:t>
            </w:r>
          </w:p>
        </w:tc>
        <w:tc>
          <w:tcPr>
            <w:tcW w:w="1092" w:type="dxa"/>
          </w:tcPr>
          <w:p w14:paraId="2A0D29CC"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2.58</w:t>
            </w:r>
          </w:p>
        </w:tc>
        <w:tc>
          <w:tcPr>
            <w:tcW w:w="2402" w:type="dxa"/>
          </w:tcPr>
          <w:p w14:paraId="560944A9" w14:textId="77777777" w:rsidR="006E2767" w:rsidRPr="006E2767" w:rsidRDefault="006E2767" w:rsidP="00994F10">
            <w:pPr>
              <w:jc w:val="center"/>
              <w:rPr>
                <w:rFonts w:ascii="Arial" w:hAnsi="Arial" w:cs="Arial"/>
                <w:b/>
                <w:sz w:val="20"/>
                <w:szCs w:val="20"/>
                <w:lang w:val="en-US"/>
              </w:rPr>
            </w:pPr>
            <w:r w:rsidRPr="006E2767">
              <w:rPr>
                <w:rFonts w:ascii="Arial" w:hAnsi="Arial" w:cs="Arial"/>
                <w:b/>
                <w:sz w:val="20"/>
                <w:szCs w:val="20"/>
                <w:lang w:val="en-US"/>
              </w:rPr>
              <w:t>Low</w:t>
            </w:r>
          </w:p>
        </w:tc>
      </w:tr>
      <w:tr w:rsidR="006E2767" w14:paraId="172406F4" w14:textId="77777777" w:rsidTr="006E2767">
        <w:trPr>
          <w:trHeight w:val="261"/>
        </w:trPr>
        <w:tc>
          <w:tcPr>
            <w:tcW w:w="3950" w:type="dxa"/>
            <w:gridSpan w:val="2"/>
          </w:tcPr>
          <w:p w14:paraId="4319AC99"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Communication Apprehension</w:t>
            </w:r>
          </w:p>
        </w:tc>
        <w:tc>
          <w:tcPr>
            <w:tcW w:w="640" w:type="dxa"/>
            <w:gridSpan w:val="2"/>
          </w:tcPr>
          <w:p w14:paraId="4AFF4718" w14:textId="77777777" w:rsidR="006E2767" w:rsidRPr="006E2767" w:rsidRDefault="006E2767" w:rsidP="00994F10">
            <w:pPr>
              <w:jc w:val="center"/>
              <w:rPr>
                <w:rFonts w:ascii="Arial" w:hAnsi="Arial" w:cs="Arial"/>
                <w:bCs/>
                <w:sz w:val="20"/>
                <w:szCs w:val="20"/>
                <w:lang w:val="en-US"/>
              </w:rPr>
            </w:pPr>
          </w:p>
        </w:tc>
        <w:tc>
          <w:tcPr>
            <w:tcW w:w="640" w:type="dxa"/>
          </w:tcPr>
          <w:p w14:paraId="3E573192"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0.51</w:t>
            </w:r>
          </w:p>
        </w:tc>
        <w:tc>
          <w:tcPr>
            <w:tcW w:w="1092" w:type="dxa"/>
          </w:tcPr>
          <w:p w14:paraId="32157D50"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2.68</w:t>
            </w:r>
          </w:p>
        </w:tc>
        <w:tc>
          <w:tcPr>
            <w:tcW w:w="2402" w:type="dxa"/>
          </w:tcPr>
          <w:p w14:paraId="7D7546A4"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Moderate</w:t>
            </w:r>
          </w:p>
        </w:tc>
      </w:tr>
      <w:tr w:rsidR="006E2767" w14:paraId="29497F70" w14:textId="77777777" w:rsidTr="006E2767">
        <w:trPr>
          <w:trHeight w:val="261"/>
        </w:trPr>
        <w:tc>
          <w:tcPr>
            <w:tcW w:w="3950" w:type="dxa"/>
            <w:gridSpan w:val="2"/>
          </w:tcPr>
          <w:p w14:paraId="5C2B7E67"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Fear of Negative Evaluation</w:t>
            </w:r>
          </w:p>
        </w:tc>
        <w:tc>
          <w:tcPr>
            <w:tcW w:w="640" w:type="dxa"/>
            <w:gridSpan w:val="2"/>
          </w:tcPr>
          <w:p w14:paraId="0B9D255D" w14:textId="77777777" w:rsidR="006E2767" w:rsidRPr="006E2767" w:rsidRDefault="006E2767" w:rsidP="00994F10">
            <w:pPr>
              <w:jc w:val="center"/>
              <w:rPr>
                <w:rFonts w:ascii="Arial" w:hAnsi="Arial" w:cs="Arial"/>
                <w:bCs/>
                <w:sz w:val="20"/>
                <w:szCs w:val="20"/>
                <w:lang w:val="en-US"/>
              </w:rPr>
            </w:pPr>
          </w:p>
        </w:tc>
        <w:tc>
          <w:tcPr>
            <w:tcW w:w="640" w:type="dxa"/>
          </w:tcPr>
          <w:p w14:paraId="26AF2280"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0.69</w:t>
            </w:r>
          </w:p>
        </w:tc>
        <w:tc>
          <w:tcPr>
            <w:tcW w:w="1092" w:type="dxa"/>
          </w:tcPr>
          <w:p w14:paraId="27CB4771"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2.23</w:t>
            </w:r>
          </w:p>
        </w:tc>
        <w:tc>
          <w:tcPr>
            <w:tcW w:w="2402" w:type="dxa"/>
          </w:tcPr>
          <w:p w14:paraId="3C8083B5"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Low</w:t>
            </w:r>
          </w:p>
        </w:tc>
      </w:tr>
      <w:tr w:rsidR="006E2767" w14:paraId="1EEB8376" w14:textId="77777777" w:rsidTr="006E2767">
        <w:trPr>
          <w:trHeight w:val="261"/>
        </w:trPr>
        <w:tc>
          <w:tcPr>
            <w:tcW w:w="3950" w:type="dxa"/>
            <w:gridSpan w:val="2"/>
          </w:tcPr>
          <w:p w14:paraId="03AAA683"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Test Anxiety</w:t>
            </w:r>
          </w:p>
        </w:tc>
        <w:tc>
          <w:tcPr>
            <w:tcW w:w="640" w:type="dxa"/>
            <w:gridSpan w:val="2"/>
          </w:tcPr>
          <w:p w14:paraId="44C29341" w14:textId="77777777" w:rsidR="006E2767" w:rsidRPr="006E2767" w:rsidRDefault="006E2767" w:rsidP="00994F10">
            <w:pPr>
              <w:jc w:val="center"/>
              <w:rPr>
                <w:rFonts w:ascii="Arial" w:hAnsi="Arial" w:cs="Arial"/>
                <w:bCs/>
                <w:sz w:val="20"/>
                <w:szCs w:val="20"/>
                <w:lang w:val="en-US"/>
              </w:rPr>
            </w:pPr>
          </w:p>
        </w:tc>
        <w:tc>
          <w:tcPr>
            <w:tcW w:w="640" w:type="dxa"/>
          </w:tcPr>
          <w:p w14:paraId="77981022"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0.60</w:t>
            </w:r>
          </w:p>
        </w:tc>
        <w:tc>
          <w:tcPr>
            <w:tcW w:w="1092" w:type="dxa"/>
          </w:tcPr>
          <w:p w14:paraId="1FAFDB4B"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2.62</w:t>
            </w:r>
          </w:p>
        </w:tc>
        <w:tc>
          <w:tcPr>
            <w:tcW w:w="2402" w:type="dxa"/>
          </w:tcPr>
          <w:p w14:paraId="387C984D"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Moderate</w:t>
            </w:r>
          </w:p>
        </w:tc>
      </w:tr>
      <w:tr w:rsidR="006E2767" w14:paraId="112C0D1B" w14:textId="77777777" w:rsidTr="006E2767">
        <w:trPr>
          <w:trHeight w:val="261"/>
        </w:trPr>
        <w:tc>
          <w:tcPr>
            <w:tcW w:w="3950" w:type="dxa"/>
            <w:gridSpan w:val="2"/>
            <w:tcBorders>
              <w:bottom w:val="single" w:sz="4" w:space="0" w:color="auto"/>
            </w:tcBorders>
          </w:tcPr>
          <w:p w14:paraId="4C1F1644" w14:textId="77777777" w:rsidR="006E2767" w:rsidRPr="006E2767" w:rsidRDefault="006E2767" w:rsidP="00994F10">
            <w:pPr>
              <w:jc w:val="both"/>
              <w:rPr>
                <w:rFonts w:ascii="Arial" w:hAnsi="Arial" w:cs="Arial"/>
                <w:bCs/>
                <w:sz w:val="20"/>
                <w:szCs w:val="20"/>
              </w:rPr>
            </w:pPr>
            <w:r w:rsidRPr="006E2767">
              <w:rPr>
                <w:rFonts w:ascii="Arial" w:hAnsi="Arial" w:cs="Arial"/>
                <w:bCs/>
                <w:sz w:val="20"/>
                <w:szCs w:val="20"/>
              </w:rPr>
              <w:t xml:space="preserve">     Anxiety in English Classes</w:t>
            </w:r>
          </w:p>
        </w:tc>
        <w:tc>
          <w:tcPr>
            <w:tcW w:w="640" w:type="dxa"/>
            <w:gridSpan w:val="2"/>
            <w:tcBorders>
              <w:bottom w:val="single" w:sz="4" w:space="0" w:color="auto"/>
            </w:tcBorders>
          </w:tcPr>
          <w:p w14:paraId="5FA604B8" w14:textId="77777777" w:rsidR="006E2767" w:rsidRPr="006E2767" w:rsidRDefault="006E2767" w:rsidP="00994F10">
            <w:pPr>
              <w:jc w:val="center"/>
              <w:rPr>
                <w:rFonts w:ascii="Arial" w:hAnsi="Arial" w:cs="Arial"/>
                <w:bCs/>
                <w:sz w:val="20"/>
                <w:szCs w:val="20"/>
                <w:lang w:val="en-US"/>
              </w:rPr>
            </w:pPr>
          </w:p>
        </w:tc>
        <w:tc>
          <w:tcPr>
            <w:tcW w:w="640" w:type="dxa"/>
            <w:tcBorders>
              <w:bottom w:val="single" w:sz="4" w:space="0" w:color="auto"/>
            </w:tcBorders>
          </w:tcPr>
          <w:p w14:paraId="7F0FF4C3"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0.56</w:t>
            </w:r>
          </w:p>
        </w:tc>
        <w:tc>
          <w:tcPr>
            <w:tcW w:w="1092" w:type="dxa"/>
            <w:tcBorders>
              <w:bottom w:val="single" w:sz="4" w:space="0" w:color="auto"/>
            </w:tcBorders>
          </w:tcPr>
          <w:p w14:paraId="222DC897"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2.81</w:t>
            </w:r>
          </w:p>
        </w:tc>
        <w:tc>
          <w:tcPr>
            <w:tcW w:w="2402" w:type="dxa"/>
            <w:tcBorders>
              <w:bottom w:val="single" w:sz="4" w:space="0" w:color="auto"/>
            </w:tcBorders>
          </w:tcPr>
          <w:p w14:paraId="5175041F" w14:textId="77777777" w:rsidR="006E2767" w:rsidRPr="006E2767" w:rsidRDefault="006E2767" w:rsidP="00994F10">
            <w:pPr>
              <w:jc w:val="center"/>
              <w:rPr>
                <w:rFonts w:ascii="Arial" w:hAnsi="Arial" w:cs="Arial"/>
                <w:bCs/>
                <w:sz w:val="20"/>
                <w:szCs w:val="20"/>
                <w:lang w:val="en-US"/>
              </w:rPr>
            </w:pPr>
            <w:r w:rsidRPr="006E2767">
              <w:rPr>
                <w:rFonts w:ascii="Arial" w:hAnsi="Arial" w:cs="Arial"/>
                <w:bCs/>
                <w:sz w:val="20"/>
                <w:szCs w:val="20"/>
                <w:lang w:val="en-US"/>
              </w:rPr>
              <w:t>Moderate</w:t>
            </w:r>
          </w:p>
        </w:tc>
      </w:tr>
    </w:tbl>
    <w:p w14:paraId="148DCE9F" w14:textId="77777777" w:rsidR="006E2767" w:rsidRDefault="006E2767" w:rsidP="00441B6F">
      <w:pPr>
        <w:pStyle w:val="Body"/>
        <w:spacing w:after="0"/>
        <w:rPr>
          <w:rFonts w:ascii="Arial" w:hAnsi="Arial" w:cs="Arial"/>
        </w:rPr>
      </w:pPr>
    </w:p>
    <w:p w14:paraId="6EF65B48" w14:textId="023228B1" w:rsidR="006E2767" w:rsidRDefault="00D4354E" w:rsidP="00441B6F">
      <w:pPr>
        <w:pStyle w:val="Body"/>
        <w:spacing w:after="0"/>
        <w:rPr>
          <w:rFonts w:ascii="Arial" w:hAnsi="Arial" w:cs="Arial"/>
        </w:rPr>
      </w:pPr>
      <w:r w:rsidRPr="00D4354E">
        <w:rPr>
          <w:rFonts w:ascii="Arial" w:hAnsi="Arial" w:cs="Arial"/>
        </w:rPr>
        <w:t>As shown in table 1, classroom learning environment obtained a mean of 3.67, categorized as high level.  It indicates that the classroom learning environment is very good. The three indicators of this variable obtained a corresponding mean described as high, and one indicator of this variable obtained a corresponding mean describe as moderate.</w:t>
      </w:r>
      <w:r w:rsidRPr="00D4354E">
        <w:t xml:space="preserve"> </w:t>
      </w:r>
      <w:r w:rsidRPr="00D4354E">
        <w:rPr>
          <w:rFonts w:ascii="Arial" w:hAnsi="Arial" w:cs="Arial"/>
        </w:rPr>
        <w:t>Th</w:t>
      </w:r>
      <w:r>
        <w:rPr>
          <w:rFonts w:ascii="Arial" w:hAnsi="Arial" w:cs="Arial"/>
        </w:rPr>
        <w:t>is</w:t>
      </w:r>
      <w:r w:rsidRPr="00D4354E">
        <w:rPr>
          <w:rFonts w:ascii="Arial" w:hAnsi="Arial" w:cs="Arial"/>
        </w:rPr>
        <w:t xml:space="preserve"> finding of this study, which describe the classroom learning environment as very good, align with those of Hawthorne (2022), who emphasized that a positive, welcoming classroom reduces stress and boosts engagement. Likewise, the results support the findings of Chen (2023) and </w:t>
      </w:r>
      <w:proofErr w:type="spellStart"/>
      <w:r w:rsidRPr="00D4354E">
        <w:rPr>
          <w:rFonts w:ascii="Arial" w:hAnsi="Arial" w:cs="Arial"/>
        </w:rPr>
        <w:t>Nwokedi</w:t>
      </w:r>
      <w:proofErr w:type="spellEnd"/>
      <w:r w:rsidRPr="00D4354E">
        <w:rPr>
          <w:rFonts w:ascii="Arial" w:hAnsi="Arial" w:cs="Arial"/>
        </w:rPr>
        <w:t xml:space="preserve"> (2023), who highlighted that an inclusive and well-structured classroom environment enhances student engagement, confidence, and participation in language learning.  Furthermore, language learning strategies obtained a mean of 3.69, categorized as high level. It indicates that language learning strategies use is very good. All its indicators have its respective means which are described as high.</w:t>
      </w:r>
      <w:r>
        <w:rPr>
          <w:rFonts w:ascii="Arial" w:hAnsi="Arial" w:cs="Arial"/>
        </w:rPr>
        <w:t xml:space="preserve"> </w:t>
      </w:r>
      <w:r w:rsidRPr="00D4354E">
        <w:rPr>
          <w:rFonts w:ascii="Arial" w:hAnsi="Arial" w:cs="Arial"/>
        </w:rPr>
        <w:t>Th</w:t>
      </w:r>
      <w:r>
        <w:rPr>
          <w:rFonts w:ascii="Arial" w:hAnsi="Arial" w:cs="Arial"/>
        </w:rPr>
        <w:t>is</w:t>
      </w:r>
      <w:r w:rsidRPr="00D4354E">
        <w:rPr>
          <w:rFonts w:ascii="Arial" w:hAnsi="Arial" w:cs="Arial"/>
        </w:rPr>
        <w:t xml:space="preserve"> finding where language learning strategies are described as very good, affirm the findings of Agustin et al. (2021), who reported that students employ a high degree of language learning strategies to support their language development and overall academic achievement. Similarly, the results affirm the findings of </w:t>
      </w:r>
      <w:proofErr w:type="spellStart"/>
      <w:r w:rsidRPr="00D4354E">
        <w:rPr>
          <w:rFonts w:ascii="Arial" w:hAnsi="Arial" w:cs="Arial"/>
        </w:rPr>
        <w:t>Sadiqzade</w:t>
      </w:r>
      <w:proofErr w:type="spellEnd"/>
      <w:r w:rsidRPr="00D4354E">
        <w:rPr>
          <w:rFonts w:ascii="Arial" w:hAnsi="Arial" w:cs="Arial"/>
        </w:rPr>
        <w:t xml:space="preserve"> (2025), who underscored that students who actively use interactive language learning strategies enhance communication and engagement, highlighting the effectiveness of learner-centered approaches in language acquisition.</w:t>
      </w:r>
    </w:p>
    <w:p w14:paraId="7BF55B78" w14:textId="712D79C7" w:rsidR="006E2767" w:rsidRDefault="00D4354E" w:rsidP="00441B6F">
      <w:pPr>
        <w:pStyle w:val="Body"/>
        <w:spacing w:after="0"/>
        <w:rPr>
          <w:rFonts w:ascii="Arial" w:hAnsi="Arial" w:cs="Arial"/>
        </w:rPr>
      </w:pPr>
      <w:r w:rsidRPr="00D4354E">
        <w:rPr>
          <w:rFonts w:ascii="Arial" w:hAnsi="Arial" w:cs="Arial"/>
        </w:rPr>
        <w:t>The English Language Anxiety obtained a mean of 2.58, labeled as low. It indicates that the student’s English language anxiety is mild. The three indicators of this variable obtained a corresponding mean described as moderate, and one indicator of this variable obtained a corresponding mean described as low.</w:t>
      </w:r>
      <w:r w:rsidR="0000094F" w:rsidRPr="0000094F">
        <w:t xml:space="preserve"> </w:t>
      </w:r>
      <w:r w:rsidR="0000094F" w:rsidRPr="0000094F">
        <w:rPr>
          <w:rFonts w:ascii="Arial" w:hAnsi="Arial" w:cs="Arial"/>
        </w:rPr>
        <w:t>Th</w:t>
      </w:r>
      <w:r w:rsidR="0000094F">
        <w:rPr>
          <w:rFonts w:ascii="Arial" w:hAnsi="Arial" w:cs="Arial"/>
        </w:rPr>
        <w:t>is</w:t>
      </w:r>
      <w:r w:rsidR="0000094F" w:rsidRPr="0000094F">
        <w:rPr>
          <w:rFonts w:ascii="Arial" w:hAnsi="Arial" w:cs="Arial"/>
        </w:rPr>
        <w:t xml:space="preserve"> finding, which describe English language anxiety as mild, support the results of </w:t>
      </w:r>
      <w:proofErr w:type="spellStart"/>
      <w:r w:rsidR="0000094F" w:rsidRPr="0000094F">
        <w:rPr>
          <w:rFonts w:ascii="Arial" w:hAnsi="Arial" w:cs="Arial"/>
        </w:rPr>
        <w:t>Kuswantoro</w:t>
      </w:r>
      <w:proofErr w:type="spellEnd"/>
      <w:r w:rsidR="0000094F" w:rsidRPr="0000094F">
        <w:rPr>
          <w:rFonts w:ascii="Arial" w:hAnsi="Arial" w:cs="Arial"/>
        </w:rPr>
        <w:t xml:space="preserve"> and Novita (2024), who emphasized that learners with higher English proficiency often exhibit low anxiety levels, likely due to their effective use of metacognitive and cognitive strategies.</w:t>
      </w:r>
      <w:r w:rsidR="0000094F">
        <w:rPr>
          <w:rFonts w:ascii="Arial" w:hAnsi="Arial" w:cs="Arial"/>
        </w:rPr>
        <w:t xml:space="preserve"> </w:t>
      </w:r>
      <w:r w:rsidR="0000094F" w:rsidRPr="0000094F">
        <w:rPr>
          <w:rFonts w:ascii="Arial" w:hAnsi="Arial" w:cs="Arial"/>
        </w:rPr>
        <w:t>Similarly, the study aligns with Wu et al. (2025), who found that lower levels of foreign language anxiety in online settings—particularly in communication apprehension and test anxiety—were associated with better language achievement and were influenced more by teacher interactions and environmental factors than by personal issues.</w:t>
      </w:r>
    </w:p>
    <w:p w14:paraId="459F005D" w14:textId="77777777" w:rsidR="006E2767" w:rsidRDefault="006E2767" w:rsidP="00441B6F">
      <w:pPr>
        <w:pStyle w:val="Body"/>
        <w:spacing w:after="0"/>
        <w:rPr>
          <w:rFonts w:ascii="Arial" w:hAnsi="Arial" w:cs="Arial"/>
        </w:rPr>
      </w:pPr>
    </w:p>
    <w:p w14:paraId="76A72FAE" w14:textId="43F9031A" w:rsidR="00EE7823" w:rsidRDefault="00EE7823" w:rsidP="00EE7823">
      <w:pPr>
        <w:pStyle w:val="Body"/>
        <w:spacing w:after="0"/>
        <w:rPr>
          <w:rFonts w:ascii="Arial" w:hAnsi="Arial" w:cs="Arial"/>
          <w:b/>
          <w:bCs/>
        </w:rPr>
      </w:pPr>
      <w:r w:rsidRPr="006E2767">
        <w:rPr>
          <w:rFonts w:ascii="Arial" w:hAnsi="Arial" w:cs="Arial"/>
          <w:b/>
          <w:bCs/>
        </w:rPr>
        <w:t>3.</w:t>
      </w:r>
      <w:r>
        <w:rPr>
          <w:rFonts w:ascii="Arial" w:hAnsi="Arial" w:cs="Arial"/>
          <w:b/>
          <w:bCs/>
        </w:rPr>
        <w:t>2</w:t>
      </w:r>
      <w:r w:rsidRPr="006E2767">
        <w:rPr>
          <w:rFonts w:ascii="Arial" w:hAnsi="Arial" w:cs="Arial"/>
          <w:b/>
          <w:bCs/>
        </w:rPr>
        <w:t xml:space="preserve"> </w:t>
      </w:r>
      <w:r>
        <w:rPr>
          <w:rFonts w:ascii="Arial" w:hAnsi="Arial" w:cs="Arial"/>
          <w:b/>
          <w:bCs/>
        </w:rPr>
        <w:t>Correlation</w:t>
      </w:r>
      <w:r w:rsidRPr="006E2767">
        <w:rPr>
          <w:rFonts w:ascii="Arial" w:hAnsi="Arial" w:cs="Arial"/>
          <w:b/>
          <w:bCs/>
        </w:rPr>
        <w:t xml:space="preserve"> Analysis</w:t>
      </w:r>
    </w:p>
    <w:p w14:paraId="69867A72" w14:textId="77777777" w:rsidR="005F71F3" w:rsidRDefault="005F71F3" w:rsidP="00EE7823">
      <w:pPr>
        <w:pStyle w:val="Body"/>
        <w:spacing w:after="0"/>
        <w:rPr>
          <w:rFonts w:ascii="Arial" w:hAnsi="Arial" w:cs="Arial"/>
          <w:b/>
          <w:bCs/>
        </w:rPr>
      </w:pPr>
    </w:p>
    <w:p w14:paraId="67C54300" w14:textId="5B6C5D46" w:rsidR="005F71F3" w:rsidRDefault="005F71F3" w:rsidP="005F71F3">
      <w:pPr>
        <w:pStyle w:val="Body"/>
        <w:spacing w:after="0"/>
        <w:ind w:firstLine="720"/>
        <w:rPr>
          <w:rFonts w:ascii="Arial" w:hAnsi="Arial" w:cs="Arial"/>
        </w:rPr>
      </w:pPr>
      <w:r w:rsidRPr="005F71F3">
        <w:rPr>
          <w:rFonts w:ascii="Arial" w:hAnsi="Arial" w:cs="Arial"/>
        </w:rPr>
        <w:lastRenderedPageBreak/>
        <w:t xml:space="preserve">Table 2 shows the correlation table. It contains Classroom Learning Environment as predictor variable, Language Learning Strategies as criterion variable, and English Language Anxiety as mediating variable. It also includes the </w:t>
      </w:r>
      <w:proofErr w:type="spellStart"/>
      <w:r w:rsidRPr="005F71F3">
        <w:rPr>
          <w:rFonts w:ascii="Arial" w:hAnsi="Arial" w:cs="Arial"/>
        </w:rPr>
        <w:t>r-value</w:t>
      </w:r>
      <w:proofErr w:type="spellEnd"/>
      <w:r w:rsidRPr="005F71F3">
        <w:rPr>
          <w:rFonts w:ascii="Arial" w:hAnsi="Arial" w:cs="Arial"/>
        </w:rPr>
        <w:t>, p-value, decision of null hypothesis, and interpretation.</w:t>
      </w:r>
    </w:p>
    <w:p w14:paraId="3AEE6715" w14:textId="77777777" w:rsidR="00ED7C38" w:rsidRDefault="00ED7C38" w:rsidP="005F71F3">
      <w:pPr>
        <w:pStyle w:val="Body"/>
        <w:spacing w:after="0"/>
        <w:ind w:firstLine="720"/>
        <w:rPr>
          <w:rFonts w:ascii="Arial" w:hAnsi="Arial" w:cs="Arial"/>
        </w:rPr>
      </w:pPr>
    </w:p>
    <w:p w14:paraId="1292D3F9" w14:textId="77777777" w:rsidR="00ED7C38" w:rsidRPr="005F71F3" w:rsidRDefault="00ED7C38" w:rsidP="00ED7C38">
      <w:pPr>
        <w:pStyle w:val="Body"/>
        <w:spacing w:after="0"/>
        <w:rPr>
          <w:rFonts w:ascii="Arial" w:hAnsi="Arial" w:cs="Arial"/>
          <w:b/>
          <w:bCs/>
        </w:rPr>
      </w:pPr>
      <w:r w:rsidRPr="005F71F3">
        <w:rPr>
          <w:rFonts w:ascii="Arial" w:hAnsi="Arial" w:cs="Arial"/>
          <w:b/>
          <w:bCs/>
        </w:rPr>
        <w:t>Table 2. Correlation between classroom learning environment, language learning</w:t>
      </w:r>
      <w:r>
        <w:rPr>
          <w:rFonts w:ascii="Arial" w:hAnsi="Arial" w:cs="Arial"/>
          <w:b/>
          <w:bCs/>
        </w:rPr>
        <w:t xml:space="preserve"> </w:t>
      </w:r>
      <w:r w:rsidRPr="005F71F3">
        <w:rPr>
          <w:rFonts w:ascii="Arial" w:hAnsi="Arial" w:cs="Arial"/>
          <w:b/>
          <w:bCs/>
        </w:rPr>
        <w:t>strategies, and English language anxiety</w:t>
      </w:r>
    </w:p>
    <w:p w14:paraId="6691ED35" w14:textId="25DAC1A3" w:rsidR="00ED7C38" w:rsidRDefault="00ED7C38" w:rsidP="00ED7C38">
      <w:pPr>
        <w:pStyle w:val="Body"/>
        <w:spacing w:after="0"/>
        <w:rPr>
          <w:rFonts w:ascii="Arial" w:hAnsi="Arial" w:cs="Arial"/>
        </w:rPr>
      </w:pPr>
    </w:p>
    <w:p w14:paraId="7B9FF6DD" w14:textId="77777777" w:rsidR="00ED7C38" w:rsidRDefault="00ED7C38" w:rsidP="00ED7C38">
      <w:pPr>
        <w:pStyle w:val="Body"/>
        <w:spacing w:after="0"/>
        <w:rPr>
          <w:rFonts w:ascii="Arial" w:hAnsi="Arial" w:cs="Arial"/>
        </w:rPr>
      </w:pPr>
    </w:p>
    <w:p w14:paraId="658EBB20" w14:textId="77777777" w:rsidR="00ED7C38" w:rsidRDefault="00ED7C38" w:rsidP="00ED7C38">
      <w:pPr>
        <w:pStyle w:val="Body"/>
        <w:spacing w:after="0"/>
        <w:rPr>
          <w:rFonts w:ascii="Arial" w:hAnsi="Arial" w:cs="Arial"/>
        </w:rPr>
      </w:pPr>
    </w:p>
    <w:p w14:paraId="12EA2DBA" w14:textId="77777777" w:rsidR="00ED7C38" w:rsidRDefault="00ED7C38" w:rsidP="00ED7C38">
      <w:pPr>
        <w:pStyle w:val="Body"/>
        <w:spacing w:after="0"/>
        <w:rPr>
          <w:rFonts w:ascii="Arial" w:hAnsi="Arial" w:cs="Arial"/>
        </w:rPr>
      </w:pPr>
    </w:p>
    <w:p w14:paraId="4FB255DE" w14:textId="77777777" w:rsidR="00ED7C38" w:rsidRDefault="00ED7C38" w:rsidP="00ED7C38">
      <w:pPr>
        <w:pStyle w:val="Body"/>
        <w:spacing w:after="0"/>
        <w:rPr>
          <w:rFonts w:ascii="Arial" w:hAnsi="Arial" w:cs="Arial"/>
        </w:rPr>
      </w:pPr>
    </w:p>
    <w:p w14:paraId="03300E60" w14:textId="77777777" w:rsidR="00ED7C38" w:rsidRDefault="00ED7C38" w:rsidP="00ED7C38">
      <w:pPr>
        <w:pStyle w:val="Body"/>
        <w:spacing w:after="0"/>
        <w:rPr>
          <w:rFonts w:ascii="Arial" w:hAnsi="Arial" w:cs="Arial"/>
        </w:rPr>
      </w:pPr>
    </w:p>
    <w:p w14:paraId="416904C6" w14:textId="77777777" w:rsidR="005F71F3" w:rsidRDefault="005F71F3" w:rsidP="00EE7823">
      <w:pPr>
        <w:pStyle w:val="Body"/>
        <w:spacing w:after="0"/>
        <w:rPr>
          <w:rFonts w:ascii="Arial" w:hAnsi="Arial" w:cs="Arial"/>
        </w:rPr>
      </w:pPr>
    </w:p>
    <w:tbl>
      <w:tblPr>
        <w:tblStyle w:val="PlainTable4"/>
        <w:tblpPr w:leftFromText="180" w:rightFromText="180" w:vertAnchor="text" w:horzAnchor="page" w:tblpX="1168" w:tblpY="43"/>
        <w:tblW w:w="8778" w:type="dxa"/>
        <w:tblLook w:val="04A0" w:firstRow="1" w:lastRow="0" w:firstColumn="1" w:lastColumn="0" w:noHBand="0" w:noVBand="1"/>
      </w:tblPr>
      <w:tblGrid>
        <w:gridCol w:w="2884"/>
        <w:gridCol w:w="1235"/>
        <w:gridCol w:w="1098"/>
        <w:gridCol w:w="1889"/>
        <w:gridCol w:w="1672"/>
      </w:tblGrid>
      <w:tr w:rsidR="00ED7C38" w:rsidRPr="005F71F3" w14:paraId="7F2A7BE1" w14:textId="77777777" w:rsidTr="00ED7C38">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884" w:type="dxa"/>
            <w:tcBorders>
              <w:top w:val="single" w:sz="12" w:space="0" w:color="auto"/>
            </w:tcBorders>
            <w:shd w:val="clear" w:color="auto" w:fill="auto"/>
          </w:tcPr>
          <w:p w14:paraId="48327FBC" w14:textId="77777777" w:rsidR="00ED7C38" w:rsidRPr="005F71F3" w:rsidRDefault="00ED7C38" w:rsidP="00ED7C38">
            <w:pPr>
              <w:spacing w:line="480" w:lineRule="auto"/>
              <w:jc w:val="both"/>
              <w:rPr>
                <w:rFonts w:ascii="Arial" w:eastAsia="Times New Roman" w:hAnsi="Arial" w:cs="Arial"/>
                <w:b w:val="0"/>
                <w:sz w:val="20"/>
                <w:szCs w:val="20"/>
              </w:rPr>
            </w:pPr>
          </w:p>
        </w:tc>
        <w:tc>
          <w:tcPr>
            <w:tcW w:w="1235" w:type="dxa"/>
            <w:tcBorders>
              <w:top w:val="single" w:sz="12" w:space="0" w:color="auto"/>
              <w:bottom w:val="single" w:sz="4" w:space="0" w:color="auto"/>
            </w:tcBorders>
            <w:shd w:val="clear" w:color="auto" w:fill="auto"/>
          </w:tcPr>
          <w:p w14:paraId="545B3439" w14:textId="77777777" w:rsidR="00ED7C38" w:rsidRPr="005F71F3" w:rsidRDefault="00ED7C38" w:rsidP="00ED7C3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5F71F3">
              <w:rPr>
                <w:rFonts w:ascii="Arial" w:eastAsia="Times New Roman" w:hAnsi="Arial" w:cs="Arial"/>
                <w:sz w:val="20"/>
                <w:szCs w:val="20"/>
              </w:rPr>
              <w:t>r- Value</w:t>
            </w:r>
          </w:p>
        </w:tc>
        <w:tc>
          <w:tcPr>
            <w:tcW w:w="1098" w:type="dxa"/>
            <w:tcBorders>
              <w:top w:val="single" w:sz="12" w:space="0" w:color="auto"/>
              <w:bottom w:val="single" w:sz="4" w:space="0" w:color="auto"/>
            </w:tcBorders>
            <w:shd w:val="clear" w:color="auto" w:fill="auto"/>
          </w:tcPr>
          <w:p w14:paraId="49EF623F" w14:textId="77777777" w:rsidR="00ED7C38" w:rsidRPr="005F71F3" w:rsidRDefault="00ED7C38" w:rsidP="00ED7C3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5F71F3">
              <w:rPr>
                <w:rFonts w:ascii="Arial" w:eastAsia="Times New Roman" w:hAnsi="Arial" w:cs="Arial"/>
                <w:sz w:val="20"/>
                <w:szCs w:val="20"/>
              </w:rPr>
              <w:t>p- Value</w:t>
            </w:r>
          </w:p>
        </w:tc>
        <w:tc>
          <w:tcPr>
            <w:tcW w:w="1889" w:type="dxa"/>
            <w:tcBorders>
              <w:top w:val="single" w:sz="12" w:space="0" w:color="auto"/>
              <w:bottom w:val="single" w:sz="4" w:space="0" w:color="auto"/>
            </w:tcBorders>
            <w:shd w:val="clear" w:color="auto" w:fill="auto"/>
          </w:tcPr>
          <w:p w14:paraId="7F98E82B" w14:textId="77777777" w:rsidR="00ED7C38" w:rsidRPr="005F71F3" w:rsidRDefault="00ED7C38" w:rsidP="00ED7C38">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5F71F3">
              <w:rPr>
                <w:rFonts w:ascii="Arial" w:eastAsia="Times New Roman" w:hAnsi="Arial" w:cs="Arial"/>
                <w:sz w:val="20"/>
                <w:szCs w:val="20"/>
              </w:rPr>
              <w:t xml:space="preserve">Decision on </w:t>
            </w:r>
            <w:r w:rsidRPr="005F71F3">
              <w:rPr>
                <w:rFonts w:ascii="Arial" w:eastAsia="Times New Roman" w:hAnsi="Arial" w:cs="Arial"/>
                <w:i/>
                <w:iCs/>
                <w:sz w:val="20"/>
                <w:szCs w:val="20"/>
              </w:rPr>
              <w:t>H</w:t>
            </w:r>
            <w:r w:rsidRPr="005F71F3">
              <w:rPr>
                <w:rFonts w:ascii="Cambria Math" w:eastAsia="Times New Roman" w:hAnsi="Cambria Math" w:cs="Cambria Math"/>
                <w:i/>
                <w:iCs/>
                <w:sz w:val="20"/>
                <w:szCs w:val="20"/>
              </w:rPr>
              <w:t>₀</w:t>
            </w:r>
            <w:r w:rsidRPr="005F71F3">
              <w:rPr>
                <w:rFonts w:ascii="Arial" w:hAnsi="Arial" w:cs="Arial"/>
                <w:i/>
                <w:iCs/>
                <w:sz w:val="20"/>
                <w:szCs w:val="20"/>
              </w:rPr>
              <w:t xml:space="preserve">            </w:t>
            </w:r>
          </w:p>
        </w:tc>
        <w:tc>
          <w:tcPr>
            <w:tcW w:w="1672" w:type="dxa"/>
            <w:tcBorders>
              <w:top w:val="single" w:sz="12" w:space="0" w:color="auto"/>
              <w:bottom w:val="single" w:sz="4" w:space="0" w:color="auto"/>
            </w:tcBorders>
            <w:shd w:val="clear" w:color="auto" w:fill="auto"/>
          </w:tcPr>
          <w:p w14:paraId="280FBF4C" w14:textId="77777777" w:rsidR="00ED7C38" w:rsidRPr="005F71F3" w:rsidRDefault="00ED7C38" w:rsidP="00ED7C38">
            <w:pPr>
              <w:spacing w:line="48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sz w:val="20"/>
                <w:szCs w:val="20"/>
              </w:rPr>
            </w:pPr>
            <w:r w:rsidRPr="005F71F3">
              <w:rPr>
                <w:rFonts w:ascii="Arial" w:eastAsia="Times New Roman" w:hAnsi="Arial" w:cs="Arial"/>
                <w:sz w:val="20"/>
                <w:szCs w:val="20"/>
              </w:rPr>
              <w:t>Interpretation</w:t>
            </w:r>
          </w:p>
        </w:tc>
      </w:tr>
      <w:tr w:rsidR="00ED7C38" w:rsidRPr="005F71F3" w14:paraId="1C9577EC" w14:textId="77777777" w:rsidTr="00ED7C38">
        <w:trPr>
          <w:cnfStyle w:val="000000100000" w:firstRow="0" w:lastRow="0" w:firstColumn="0" w:lastColumn="0" w:oddVBand="0" w:evenVBand="0" w:oddHBand="1"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2884" w:type="dxa"/>
            <w:shd w:val="clear" w:color="auto" w:fill="auto"/>
          </w:tcPr>
          <w:p w14:paraId="1BDF6C90" w14:textId="77777777" w:rsidR="00ED7C38" w:rsidRPr="005F71F3" w:rsidRDefault="00ED7C38" w:rsidP="00ED7C38">
            <w:pPr>
              <w:rPr>
                <w:rFonts w:ascii="Arial" w:eastAsia="Times New Roman" w:hAnsi="Arial" w:cs="Arial"/>
                <w:b w:val="0"/>
                <w:sz w:val="20"/>
                <w:szCs w:val="20"/>
              </w:rPr>
            </w:pPr>
            <w:r w:rsidRPr="005F71F3">
              <w:rPr>
                <w:rFonts w:ascii="Arial" w:hAnsi="Arial" w:cs="Arial"/>
                <w:sz w:val="20"/>
                <w:szCs w:val="20"/>
              </w:rPr>
              <w:t xml:space="preserve">Classroom Learning  </w:t>
            </w:r>
            <w:r w:rsidRPr="005F71F3">
              <w:rPr>
                <w:rFonts w:ascii="Arial" w:eastAsia="Times New Roman" w:hAnsi="Arial" w:cs="Arial"/>
                <w:bCs w:val="0"/>
                <w:sz w:val="20"/>
                <w:szCs w:val="20"/>
              </w:rPr>
              <w:t xml:space="preserve"> </w:t>
            </w:r>
          </w:p>
          <w:p w14:paraId="655493AC" w14:textId="77777777" w:rsidR="00ED7C38" w:rsidRPr="005F71F3" w:rsidRDefault="00ED7C38" w:rsidP="00ED7C38">
            <w:pPr>
              <w:rPr>
                <w:rFonts w:ascii="Arial" w:eastAsia="Times New Roman" w:hAnsi="Arial" w:cs="Arial"/>
                <w:b w:val="0"/>
                <w:sz w:val="20"/>
                <w:szCs w:val="20"/>
              </w:rPr>
            </w:pPr>
            <w:r w:rsidRPr="005F71F3">
              <w:rPr>
                <w:rFonts w:ascii="Arial" w:eastAsia="Times New Roman" w:hAnsi="Arial" w:cs="Arial"/>
                <w:bCs w:val="0"/>
                <w:sz w:val="20"/>
                <w:szCs w:val="20"/>
              </w:rPr>
              <w:t xml:space="preserve">Environment and </w:t>
            </w:r>
            <w:r w:rsidRPr="005F71F3">
              <w:rPr>
                <w:rFonts w:ascii="Arial" w:hAnsi="Arial" w:cs="Arial"/>
                <w:sz w:val="20"/>
                <w:szCs w:val="20"/>
              </w:rPr>
              <w:t>Language Learning Strategies</w:t>
            </w:r>
          </w:p>
          <w:p w14:paraId="78B212A2" w14:textId="77777777" w:rsidR="00ED7C38" w:rsidRPr="005F71F3" w:rsidRDefault="00ED7C38" w:rsidP="00ED7C38">
            <w:pPr>
              <w:jc w:val="both"/>
              <w:rPr>
                <w:rFonts w:ascii="Arial" w:eastAsia="Times New Roman" w:hAnsi="Arial" w:cs="Arial"/>
                <w:bCs w:val="0"/>
                <w:sz w:val="20"/>
                <w:szCs w:val="20"/>
              </w:rPr>
            </w:pPr>
          </w:p>
        </w:tc>
        <w:tc>
          <w:tcPr>
            <w:tcW w:w="1235" w:type="dxa"/>
            <w:tcBorders>
              <w:top w:val="single" w:sz="4" w:space="0" w:color="auto"/>
            </w:tcBorders>
            <w:shd w:val="clear" w:color="auto" w:fill="auto"/>
          </w:tcPr>
          <w:p w14:paraId="6281D94B"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F71F3">
              <w:rPr>
                <w:rFonts w:ascii="Arial" w:hAnsi="Arial" w:cs="Arial"/>
                <w:sz w:val="20"/>
                <w:szCs w:val="20"/>
              </w:rPr>
              <w:t>0.434</w:t>
            </w:r>
            <w:r w:rsidRPr="005F71F3">
              <w:rPr>
                <w:rFonts w:ascii="Arial" w:hAnsi="Arial" w:cs="Arial"/>
                <w:sz w:val="20"/>
                <w:szCs w:val="20"/>
              </w:rPr>
              <w:tab/>
            </w:r>
          </w:p>
        </w:tc>
        <w:tc>
          <w:tcPr>
            <w:tcW w:w="1098" w:type="dxa"/>
            <w:tcBorders>
              <w:top w:val="single" w:sz="4" w:space="0" w:color="auto"/>
            </w:tcBorders>
            <w:shd w:val="clear" w:color="auto" w:fill="auto"/>
          </w:tcPr>
          <w:p w14:paraId="2A7A099C"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F71F3">
              <w:rPr>
                <w:rFonts w:ascii="Arial" w:hAnsi="Arial" w:cs="Arial"/>
                <w:sz w:val="20"/>
                <w:szCs w:val="20"/>
              </w:rPr>
              <w:t xml:space="preserve">.000   </w:t>
            </w:r>
          </w:p>
        </w:tc>
        <w:tc>
          <w:tcPr>
            <w:tcW w:w="1889" w:type="dxa"/>
            <w:tcBorders>
              <w:top w:val="single" w:sz="4" w:space="0" w:color="auto"/>
            </w:tcBorders>
            <w:shd w:val="clear" w:color="auto" w:fill="auto"/>
          </w:tcPr>
          <w:p w14:paraId="26CF66B6"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F71F3">
              <w:rPr>
                <w:rFonts w:ascii="Arial" w:hAnsi="Arial" w:cs="Arial"/>
                <w:sz w:val="20"/>
                <w:szCs w:val="20"/>
              </w:rPr>
              <w:t xml:space="preserve">Reject </w:t>
            </w:r>
            <w:r w:rsidRPr="005F71F3">
              <w:rPr>
                <w:rFonts w:ascii="Arial" w:eastAsia="Times New Roman" w:hAnsi="Arial" w:cs="Arial"/>
                <w:bCs/>
                <w:sz w:val="20"/>
                <w:szCs w:val="20"/>
              </w:rPr>
              <w:t>H</w:t>
            </w:r>
            <w:r w:rsidRPr="005F71F3">
              <w:rPr>
                <w:rFonts w:ascii="Cambria Math" w:eastAsia="Times New Roman" w:hAnsi="Cambria Math" w:cs="Cambria Math"/>
                <w:bCs/>
                <w:sz w:val="20"/>
                <w:szCs w:val="20"/>
              </w:rPr>
              <w:t>₀</w:t>
            </w:r>
            <w:r w:rsidRPr="005F71F3">
              <w:rPr>
                <w:rFonts w:ascii="Arial" w:hAnsi="Arial" w:cs="Arial"/>
                <w:sz w:val="20"/>
                <w:szCs w:val="20"/>
              </w:rPr>
              <w:t xml:space="preserve">            </w:t>
            </w:r>
          </w:p>
        </w:tc>
        <w:tc>
          <w:tcPr>
            <w:tcW w:w="1672" w:type="dxa"/>
            <w:tcBorders>
              <w:top w:val="single" w:sz="4" w:space="0" w:color="auto"/>
            </w:tcBorders>
            <w:shd w:val="clear" w:color="auto" w:fill="auto"/>
          </w:tcPr>
          <w:p w14:paraId="7DA42111"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rPr>
            </w:pPr>
            <w:r w:rsidRPr="005F71F3">
              <w:rPr>
                <w:rFonts w:ascii="Arial" w:hAnsi="Arial" w:cs="Arial"/>
                <w:sz w:val="20"/>
                <w:szCs w:val="20"/>
              </w:rPr>
              <w:t>Significant</w:t>
            </w:r>
          </w:p>
        </w:tc>
      </w:tr>
      <w:tr w:rsidR="00ED7C38" w:rsidRPr="005F71F3" w14:paraId="7F4B3560" w14:textId="77777777" w:rsidTr="00ED7C38">
        <w:trPr>
          <w:trHeight w:val="865"/>
        </w:trPr>
        <w:tc>
          <w:tcPr>
            <w:cnfStyle w:val="001000000000" w:firstRow="0" w:lastRow="0" w:firstColumn="1" w:lastColumn="0" w:oddVBand="0" w:evenVBand="0" w:oddHBand="0" w:evenHBand="0" w:firstRowFirstColumn="0" w:firstRowLastColumn="0" w:lastRowFirstColumn="0" w:lastRowLastColumn="0"/>
            <w:tcW w:w="2884" w:type="dxa"/>
            <w:shd w:val="clear" w:color="auto" w:fill="auto"/>
          </w:tcPr>
          <w:p w14:paraId="2D265E32" w14:textId="77777777" w:rsidR="00ED7C38" w:rsidRPr="005F71F3" w:rsidRDefault="00ED7C38" w:rsidP="00ED7C38">
            <w:pPr>
              <w:jc w:val="both"/>
              <w:rPr>
                <w:rFonts w:ascii="Arial" w:hAnsi="Arial" w:cs="Arial"/>
                <w:b w:val="0"/>
                <w:bCs w:val="0"/>
                <w:sz w:val="20"/>
                <w:szCs w:val="20"/>
              </w:rPr>
            </w:pPr>
            <w:r w:rsidRPr="005F71F3">
              <w:rPr>
                <w:rFonts w:ascii="Arial" w:hAnsi="Arial" w:cs="Arial"/>
                <w:sz w:val="20"/>
                <w:szCs w:val="20"/>
              </w:rPr>
              <w:t xml:space="preserve">English Language   </w:t>
            </w:r>
          </w:p>
          <w:p w14:paraId="33F86640" w14:textId="77777777" w:rsidR="00ED7C38" w:rsidRPr="005F71F3" w:rsidRDefault="00ED7C38" w:rsidP="00ED7C38">
            <w:pPr>
              <w:jc w:val="both"/>
              <w:rPr>
                <w:rFonts w:ascii="Arial" w:hAnsi="Arial" w:cs="Arial"/>
                <w:b w:val="0"/>
                <w:bCs w:val="0"/>
                <w:sz w:val="20"/>
                <w:szCs w:val="20"/>
              </w:rPr>
            </w:pPr>
            <w:r w:rsidRPr="005F71F3">
              <w:rPr>
                <w:rFonts w:ascii="Arial" w:hAnsi="Arial" w:cs="Arial"/>
                <w:sz w:val="20"/>
                <w:szCs w:val="20"/>
              </w:rPr>
              <w:t xml:space="preserve">Anxiety </w:t>
            </w:r>
            <w:r w:rsidRPr="005F71F3">
              <w:rPr>
                <w:rFonts w:ascii="Arial" w:eastAsia="Times New Roman" w:hAnsi="Arial" w:cs="Arial"/>
                <w:bCs w:val="0"/>
                <w:sz w:val="20"/>
                <w:szCs w:val="20"/>
              </w:rPr>
              <w:t xml:space="preserve">and </w:t>
            </w:r>
            <w:r w:rsidRPr="005F71F3">
              <w:rPr>
                <w:rFonts w:ascii="Arial" w:hAnsi="Arial" w:cs="Arial"/>
                <w:sz w:val="20"/>
                <w:szCs w:val="20"/>
              </w:rPr>
              <w:t xml:space="preserve">Language Learning Strategies   </w:t>
            </w:r>
          </w:p>
          <w:p w14:paraId="5B778708" w14:textId="77777777" w:rsidR="00ED7C38" w:rsidRPr="005F71F3" w:rsidRDefault="00ED7C38" w:rsidP="00ED7C38">
            <w:pPr>
              <w:jc w:val="both"/>
              <w:rPr>
                <w:rFonts w:ascii="Arial" w:hAnsi="Arial" w:cs="Arial"/>
                <w:sz w:val="20"/>
                <w:szCs w:val="20"/>
              </w:rPr>
            </w:pPr>
            <w:r w:rsidRPr="005F71F3">
              <w:rPr>
                <w:rFonts w:ascii="Arial" w:hAnsi="Arial" w:cs="Arial"/>
                <w:sz w:val="20"/>
                <w:szCs w:val="20"/>
              </w:rPr>
              <w:t xml:space="preserve">    </w:t>
            </w:r>
          </w:p>
        </w:tc>
        <w:tc>
          <w:tcPr>
            <w:tcW w:w="1235" w:type="dxa"/>
            <w:shd w:val="clear" w:color="auto" w:fill="auto"/>
          </w:tcPr>
          <w:p w14:paraId="13841952" w14:textId="77777777" w:rsidR="00ED7C38" w:rsidRPr="005F71F3" w:rsidRDefault="00ED7C38" w:rsidP="00ED7C3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1F3">
              <w:rPr>
                <w:rFonts w:ascii="Arial" w:hAnsi="Arial" w:cs="Arial"/>
                <w:sz w:val="20"/>
                <w:szCs w:val="20"/>
              </w:rPr>
              <w:t>-.220</w:t>
            </w:r>
          </w:p>
        </w:tc>
        <w:tc>
          <w:tcPr>
            <w:tcW w:w="1098" w:type="dxa"/>
            <w:shd w:val="clear" w:color="auto" w:fill="auto"/>
          </w:tcPr>
          <w:p w14:paraId="4DCC2958" w14:textId="77777777" w:rsidR="00ED7C38" w:rsidRPr="005F71F3" w:rsidRDefault="00ED7C38" w:rsidP="00ED7C3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1F3">
              <w:rPr>
                <w:rFonts w:ascii="Arial" w:hAnsi="Arial" w:cs="Arial"/>
                <w:sz w:val="20"/>
                <w:szCs w:val="20"/>
              </w:rPr>
              <w:t xml:space="preserve">.000             </w:t>
            </w:r>
          </w:p>
        </w:tc>
        <w:tc>
          <w:tcPr>
            <w:tcW w:w="1889" w:type="dxa"/>
            <w:shd w:val="clear" w:color="auto" w:fill="auto"/>
          </w:tcPr>
          <w:p w14:paraId="2C5AE48B" w14:textId="77777777" w:rsidR="00ED7C38" w:rsidRPr="005F71F3" w:rsidRDefault="00ED7C38" w:rsidP="00ED7C3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1F3">
              <w:rPr>
                <w:rFonts w:ascii="Arial" w:hAnsi="Arial" w:cs="Arial"/>
                <w:sz w:val="20"/>
                <w:szCs w:val="20"/>
              </w:rPr>
              <w:t xml:space="preserve">Reject </w:t>
            </w:r>
            <w:r w:rsidRPr="005F71F3">
              <w:rPr>
                <w:rFonts w:ascii="Arial" w:eastAsia="Times New Roman" w:hAnsi="Arial" w:cs="Arial"/>
                <w:bCs/>
                <w:sz w:val="20"/>
                <w:szCs w:val="20"/>
              </w:rPr>
              <w:t>H</w:t>
            </w:r>
            <w:r w:rsidRPr="005F71F3">
              <w:rPr>
                <w:rFonts w:ascii="Cambria Math" w:eastAsia="Times New Roman" w:hAnsi="Cambria Math" w:cs="Cambria Math"/>
                <w:bCs/>
                <w:sz w:val="20"/>
                <w:szCs w:val="20"/>
              </w:rPr>
              <w:t>₀</w:t>
            </w:r>
            <w:r w:rsidRPr="005F71F3">
              <w:rPr>
                <w:rFonts w:ascii="Arial" w:hAnsi="Arial" w:cs="Arial"/>
                <w:sz w:val="20"/>
                <w:szCs w:val="20"/>
              </w:rPr>
              <w:t xml:space="preserve">            </w:t>
            </w:r>
          </w:p>
        </w:tc>
        <w:tc>
          <w:tcPr>
            <w:tcW w:w="1672" w:type="dxa"/>
            <w:shd w:val="clear" w:color="auto" w:fill="auto"/>
          </w:tcPr>
          <w:p w14:paraId="35FE7E97" w14:textId="77777777" w:rsidR="00ED7C38" w:rsidRPr="005F71F3" w:rsidRDefault="00ED7C38" w:rsidP="00ED7C38">
            <w:pPr>
              <w:spacing w:line="48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F71F3">
              <w:rPr>
                <w:rFonts w:ascii="Arial" w:hAnsi="Arial" w:cs="Arial"/>
                <w:sz w:val="20"/>
                <w:szCs w:val="20"/>
              </w:rPr>
              <w:t>Significant</w:t>
            </w:r>
          </w:p>
        </w:tc>
      </w:tr>
      <w:tr w:rsidR="00ED7C38" w:rsidRPr="005F71F3" w14:paraId="5BFDC9FC" w14:textId="77777777" w:rsidTr="00ED7C38">
        <w:trPr>
          <w:cnfStyle w:val="000000100000" w:firstRow="0" w:lastRow="0" w:firstColumn="0" w:lastColumn="0" w:oddVBand="0" w:evenVBand="0" w:oddHBand="1" w:evenHBand="0" w:firstRowFirstColumn="0" w:firstRowLastColumn="0" w:lastRowFirstColumn="0" w:lastRowLastColumn="0"/>
          <w:trHeight w:val="652"/>
        </w:trPr>
        <w:tc>
          <w:tcPr>
            <w:cnfStyle w:val="001000000000" w:firstRow="0" w:lastRow="0" w:firstColumn="1" w:lastColumn="0" w:oddVBand="0" w:evenVBand="0" w:oddHBand="0" w:evenHBand="0" w:firstRowFirstColumn="0" w:firstRowLastColumn="0" w:lastRowFirstColumn="0" w:lastRowLastColumn="0"/>
            <w:tcW w:w="2884" w:type="dxa"/>
            <w:tcBorders>
              <w:bottom w:val="single" w:sz="12" w:space="0" w:color="auto"/>
            </w:tcBorders>
            <w:shd w:val="clear" w:color="auto" w:fill="auto"/>
          </w:tcPr>
          <w:p w14:paraId="034BB1DE" w14:textId="77777777" w:rsidR="00ED7C38" w:rsidRPr="005F71F3" w:rsidRDefault="00ED7C38" w:rsidP="00ED7C38">
            <w:pPr>
              <w:jc w:val="both"/>
              <w:rPr>
                <w:rFonts w:ascii="Arial" w:eastAsia="Times New Roman" w:hAnsi="Arial" w:cs="Arial"/>
                <w:b w:val="0"/>
                <w:sz w:val="20"/>
                <w:szCs w:val="20"/>
              </w:rPr>
            </w:pPr>
            <w:r w:rsidRPr="005F71F3">
              <w:rPr>
                <w:rFonts w:ascii="Arial" w:hAnsi="Arial" w:cs="Arial"/>
                <w:sz w:val="20"/>
                <w:szCs w:val="20"/>
              </w:rPr>
              <w:t xml:space="preserve">Classroom Learning  </w:t>
            </w:r>
            <w:r w:rsidRPr="005F71F3">
              <w:rPr>
                <w:rFonts w:ascii="Arial" w:eastAsia="Times New Roman" w:hAnsi="Arial" w:cs="Arial"/>
                <w:bCs w:val="0"/>
                <w:sz w:val="20"/>
                <w:szCs w:val="20"/>
              </w:rPr>
              <w:t xml:space="preserve"> </w:t>
            </w:r>
          </w:p>
          <w:p w14:paraId="09F34D38" w14:textId="77777777" w:rsidR="00ED7C38" w:rsidRPr="005F71F3" w:rsidRDefault="00ED7C38" w:rsidP="00ED7C38">
            <w:pPr>
              <w:jc w:val="both"/>
              <w:rPr>
                <w:rFonts w:ascii="Arial" w:hAnsi="Arial" w:cs="Arial"/>
                <w:b w:val="0"/>
                <w:bCs w:val="0"/>
                <w:sz w:val="20"/>
                <w:szCs w:val="20"/>
              </w:rPr>
            </w:pPr>
            <w:r w:rsidRPr="005F71F3">
              <w:rPr>
                <w:rFonts w:ascii="Arial" w:eastAsia="Times New Roman" w:hAnsi="Arial" w:cs="Arial"/>
                <w:bCs w:val="0"/>
                <w:sz w:val="20"/>
                <w:szCs w:val="20"/>
              </w:rPr>
              <w:t xml:space="preserve">Environment and </w:t>
            </w:r>
            <w:r w:rsidRPr="005F71F3">
              <w:rPr>
                <w:rFonts w:ascii="Arial" w:hAnsi="Arial" w:cs="Arial"/>
                <w:sz w:val="20"/>
                <w:szCs w:val="20"/>
              </w:rPr>
              <w:t xml:space="preserve">English Language Anxiety </w:t>
            </w:r>
            <w:r w:rsidRPr="005F71F3">
              <w:rPr>
                <w:rFonts w:ascii="Arial" w:eastAsia="Times New Roman" w:hAnsi="Arial" w:cs="Arial"/>
                <w:bCs w:val="0"/>
                <w:sz w:val="20"/>
                <w:szCs w:val="20"/>
              </w:rPr>
              <w:t xml:space="preserve">  </w:t>
            </w:r>
          </w:p>
        </w:tc>
        <w:tc>
          <w:tcPr>
            <w:tcW w:w="1235" w:type="dxa"/>
            <w:tcBorders>
              <w:bottom w:val="single" w:sz="12" w:space="0" w:color="auto"/>
            </w:tcBorders>
            <w:shd w:val="clear" w:color="auto" w:fill="auto"/>
          </w:tcPr>
          <w:p w14:paraId="55E62055"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1F3">
              <w:rPr>
                <w:rFonts w:ascii="Arial" w:hAnsi="Arial" w:cs="Arial"/>
                <w:sz w:val="20"/>
                <w:szCs w:val="20"/>
              </w:rPr>
              <w:t>-.348</w:t>
            </w:r>
          </w:p>
        </w:tc>
        <w:tc>
          <w:tcPr>
            <w:tcW w:w="1098" w:type="dxa"/>
            <w:tcBorders>
              <w:bottom w:val="single" w:sz="12" w:space="0" w:color="auto"/>
            </w:tcBorders>
            <w:shd w:val="clear" w:color="auto" w:fill="auto"/>
          </w:tcPr>
          <w:p w14:paraId="7873362E"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1F3">
              <w:rPr>
                <w:rFonts w:ascii="Arial" w:hAnsi="Arial" w:cs="Arial"/>
                <w:sz w:val="20"/>
                <w:szCs w:val="20"/>
              </w:rPr>
              <w:t xml:space="preserve">.000             </w:t>
            </w:r>
          </w:p>
        </w:tc>
        <w:tc>
          <w:tcPr>
            <w:tcW w:w="1889" w:type="dxa"/>
            <w:tcBorders>
              <w:bottom w:val="single" w:sz="12" w:space="0" w:color="auto"/>
            </w:tcBorders>
            <w:shd w:val="clear" w:color="auto" w:fill="auto"/>
          </w:tcPr>
          <w:p w14:paraId="76F28768"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1F3">
              <w:rPr>
                <w:rFonts w:ascii="Arial" w:hAnsi="Arial" w:cs="Arial"/>
                <w:sz w:val="20"/>
                <w:szCs w:val="20"/>
              </w:rPr>
              <w:t xml:space="preserve">Reject </w:t>
            </w:r>
            <w:r w:rsidRPr="005F71F3">
              <w:rPr>
                <w:rFonts w:ascii="Arial" w:eastAsia="Times New Roman" w:hAnsi="Arial" w:cs="Arial"/>
                <w:bCs/>
                <w:sz w:val="20"/>
                <w:szCs w:val="20"/>
              </w:rPr>
              <w:t>H</w:t>
            </w:r>
            <w:r w:rsidRPr="005F71F3">
              <w:rPr>
                <w:rFonts w:ascii="Cambria Math" w:eastAsia="Times New Roman" w:hAnsi="Cambria Math" w:cs="Cambria Math"/>
                <w:bCs/>
                <w:sz w:val="20"/>
                <w:szCs w:val="20"/>
              </w:rPr>
              <w:t>₀</w:t>
            </w:r>
            <w:r w:rsidRPr="005F71F3">
              <w:rPr>
                <w:rFonts w:ascii="Arial" w:hAnsi="Arial" w:cs="Arial"/>
                <w:sz w:val="20"/>
                <w:szCs w:val="20"/>
              </w:rPr>
              <w:t xml:space="preserve">            </w:t>
            </w:r>
          </w:p>
        </w:tc>
        <w:tc>
          <w:tcPr>
            <w:tcW w:w="1672" w:type="dxa"/>
            <w:tcBorders>
              <w:bottom w:val="single" w:sz="12" w:space="0" w:color="auto"/>
            </w:tcBorders>
            <w:shd w:val="clear" w:color="auto" w:fill="auto"/>
          </w:tcPr>
          <w:p w14:paraId="514194FF" w14:textId="77777777" w:rsidR="00ED7C38" w:rsidRPr="005F71F3" w:rsidRDefault="00ED7C38" w:rsidP="00ED7C38">
            <w:pPr>
              <w:spacing w:line="48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F71F3">
              <w:rPr>
                <w:rFonts w:ascii="Arial" w:hAnsi="Arial" w:cs="Arial"/>
                <w:sz w:val="20"/>
                <w:szCs w:val="20"/>
              </w:rPr>
              <w:t>Significant</w:t>
            </w:r>
          </w:p>
        </w:tc>
      </w:tr>
    </w:tbl>
    <w:p w14:paraId="28262531" w14:textId="77777777" w:rsidR="005F71F3" w:rsidRPr="005F71F3" w:rsidRDefault="005F71F3" w:rsidP="00EE7823">
      <w:pPr>
        <w:pStyle w:val="Body"/>
        <w:spacing w:after="0"/>
        <w:rPr>
          <w:rFonts w:ascii="Arial" w:hAnsi="Arial" w:cs="Arial"/>
        </w:rPr>
      </w:pPr>
    </w:p>
    <w:p w14:paraId="1A62A667" w14:textId="77777777" w:rsidR="00ED7C38" w:rsidRDefault="00ED7C38" w:rsidP="005F71F3">
      <w:pPr>
        <w:pStyle w:val="Body"/>
        <w:rPr>
          <w:rFonts w:ascii="Arial" w:hAnsi="Arial" w:cs="Arial"/>
        </w:rPr>
      </w:pPr>
    </w:p>
    <w:p w14:paraId="373E8B30" w14:textId="77777777" w:rsidR="00ED7C38" w:rsidRDefault="00ED7C38" w:rsidP="005F71F3">
      <w:pPr>
        <w:pStyle w:val="Body"/>
        <w:rPr>
          <w:rFonts w:ascii="Arial" w:hAnsi="Arial" w:cs="Arial"/>
        </w:rPr>
      </w:pPr>
    </w:p>
    <w:p w14:paraId="0D908E49" w14:textId="77777777" w:rsidR="00ED7C38" w:rsidRDefault="00ED7C38" w:rsidP="005F71F3">
      <w:pPr>
        <w:pStyle w:val="Body"/>
        <w:rPr>
          <w:rFonts w:ascii="Arial" w:hAnsi="Arial" w:cs="Arial"/>
        </w:rPr>
      </w:pPr>
    </w:p>
    <w:p w14:paraId="41726559" w14:textId="77777777" w:rsidR="00ED7C38" w:rsidRDefault="00ED7C38" w:rsidP="005F71F3">
      <w:pPr>
        <w:pStyle w:val="Body"/>
        <w:rPr>
          <w:rFonts w:ascii="Arial" w:hAnsi="Arial" w:cs="Arial"/>
        </w:rPr>
      </w:pPr>
    </w:p>
    <w:p w14:paraId="70608419" w14:textId="77777777" w:rsidR="00ED7C38" w:rsidRDefault="00ED7C38" w:rsidP="005F71F3">
      <w:pPr>
        <w:pStyle w:val="Body"/>
        <w:rPr>
          <w:rFonts w:ascii="Arial" w:hAnsi="Arial" w:cs="Arial"/>
        </w:rPr>
      </w:pPr>
    </w:p>
    <w:p w14:paraId="7D1605D7" w14:textId="77777777" w:rsidR="00ED7C38" w:rsidRDefault="00ED7C38" w:rsidP="005F71F3">
      <w:pPr>
        <w:pStyle w:val="Body"/>
        <w:rPr>
          <w:rFonts w:ascii="Arial" w:hAnsi="Arial" w:cs="Arial"/>
        </w:rPr>
      </w:pPr>
    </w:p>
    <w:p w14:paraId="7E8B3396" w14:textId="77777777" w:rsidR="00ED7C38" w:rsidRDefault="00ED7C38" w:rsidP="005F71F3">
      <w:pPr>
        <w:pStyle w:val="Body"/>
        <w:rPr>
          <w:rFonts w:ascii="Arial" w:hAnsi="Arial" w:cs="Arial"/>
        </w:rPr>
      </w:pPr>
    </w:p>
    <w:p w14:paraId="6252430B" w14:textId="5AB57660" w:rsidR="005F71F3" w:rsidRPr="005F71F3" w:rsidRDefault="005F71F3" w:rsidP="00ED7C38">
      <w:pPr>
        <w:pStyle w:val="Body"/>
        <w:ind w:firstLine="720"/>
        <w:rPr>
          <w:rFonts w:ascii="Arial" w:hAnsi="Arial" w:cs="Arial"/>
        </w:rPr>
      </w:pPr>
      <w:r w:rsidRPr="005F71F3">
        <w:rPr>
          <w:rFonts w:ascii="Arial" w:hAnsi="Arial" w:cs="Arial"/>
        </w:rPr>
        <w:t xml:space="preserve">As shown in Table 2, the correlation analysis between classroom learning environment and language learning strategies yielded with a p-value of .000 which is less than 0.05 degree of confidence. Hence, the null hypothesis was rejected.  It indicates that the correlation between these variables is significant. Likewise, the correlation between the two variables obtained an </w:t>
      </w:r>
      <w:proofErr w:type="spellStart"/>
      <w:r w:rsidRPr="005F71F3">
        <w:rPr>
          <w:rFonts w:ascii="Arial" w:hAnsi="Arial" w:cs="Arial"/>
        </w:rPr>
        <w:t>r-value</w:t>
      </w:r>
      <w:proofErr w:type="spellEnd"/>
      <w:r w:rsidRPr="005F71F3">
        <w:rPr>
          <w:rFonts w:ascii="Arial" w:hAnsi="Arial" w:cs="Arial"/>
        </w:rPr>
        <w:t xml:space="preserve"> of 0.435, indicating a moderate correlation.</w:t>
      </w:r>
      <w:r>
        <w:rPr>
          <w:rFonts w:ascii="Arial" w:hAnsi="Arial" w:cs="Arial"/>
        </w:rPr>
        <w:t xml:space="preserve"> </w:t>
      </w:r>
      <w:r w:rsidRPr="005F71F3">
        <w:rPr>
          <w:rFonts w:ascii="Arial" w:hAnsi="Arial" w:cs="Arial"/>
        </w:rPr>
        <w:t xml:space="preserve">This finding aligns with </w:t>
      </w:r>
      <w:proofErr w:type="spellStart"/>
      <w:r w:rsidRPr="005F71F3">
        <w:rPr>
          <w:rFonts w:ascii="Arial" w:hAnsi="Arial" w:cs="Arial"/>
        </w:rPr>
        <w:t>Khoiriyah</w:t>
      </w:r>
      <w:proofErr w:type="spellEnd"/>
      <w:r w:rsidRPr="005F71F3">
        <w:rPr>
          <w:rFonts w:ascii="Arial" w:hAnsi="Arial" w:cs="Arial"/>
        </w:rPr>
        <w:t xml:space="preserve"> and </w:t>
      </w:r>
      <w:proofErr w:type="spellStart"/>
      <w:r w:rsidRPr="005F71F3">
        <w:rPr>
          <w:rFonts w:ascii="Arial" w:hAnsi="Arial" w:cs="Arial"/>
        </w:rPr>
        <w:t>Soeparto</w:t>
      </w:r>
      <w:proofErr w:type="spellEnd"/>
      <w:r w:rsidRPr="005F71F3">
        <w:rPr>
          <w:rFonts w:ascii="Arial" w:hAnsi="Arial" w:cs="Arial"/>
        </w:rPr>
        <w:t xml:space="preserve"> (2022) which states that a positive classroom environment enhances language learning strategies use through collaboration. Additionally, this supportive environment fosters collaborative learning and encourages students to actively engage in language acquisition, further reinforcing the positive impact of classroom dynamics on language learning strategy use (</w:t>
      </w:r>
      <w:proofErr w:type="spellStart"/>
      <w:r w:rsidRPr="005F71F3">
        <w:rPr>
          <w:rFonts w:ascii="Arial" w:hAnsi="Arial" w:cs="Arial"/>
        </w:rPr>
        <w:t>Qiu</w:t>
      </w:r>
      <w:proofErr w:type="spellEnd"/>
      <w:r w:rsidRPr="005F71F3">
        <w:rPr>
          <w:rFonts w:ascii="Arial" w:hAnsi="Arial" w:cs="Arial"/>
        </w:rPr>
        <w:t>, 2022).</w:t>
      </w:r>
    </w:p>
    <w:p w14:paraId="08E2ED51" w14:textId="4FA4D1C5" w:rsidR="005F71F3" w:rsidRPr="005F71F3" w:rsidRDefault="005F71F3" w:rsidP="001903AA">
      <w:pPr>
        <w:pStyle w:val="Body"/>
        <w:spacing w:after="0"/>
        <w:rPr>
          <w:rFonts w:ascii="Arial" w:hAnsi="Arial" w:cs="Arial"/>
        </w:rPr>
      </w:pPr>
      <w:r w:rsidRPr="005F71F3">
        <w:rPr>
          <w:rFonts w:ascii="Arial" w:hAnsi="Arial" w:cs="Arial"/>
        </w:rPr>
        <w:t xml:space="preserve">Meanwhile, the correlation analysis between English language anxiety and language learning strategies yielded a p-value of .000, which is less than the 0.05 level of significance. Hence, the null hypothesis was rejected. It indicates that the correlation between these variables is significant. Likewise, the correlation between the two variables obtained an </w:t>
      </w:r>
      <w:proofErr w:type="spellStart"/>
      <w:r w:rsidRPr="005F71F3">
        <w:rPr>
          <w:rFonts w:ascii="Arial" w:hAnsi="Arial" w:cs="Arial"/>
        </w:rPr>
        <w:t>r-value</w:t>
      </w:r>
      <w:proofErr w:type="spellEnd"/>
      <w:r w:rsidRPr="005F71F3">
        <w:rPr>
          <w:rFonts w:ascii="Arial" w:hAnsi="Arial" w:cs="Arial"/>
        </w:rPr>
        <w:t xml:space="preserve"> of -0.220, indicating a weak negative correlation. This implies that for every unit increase in English language anxiety, there is a corresponding decrease in Language Learning Strategies, and vice versa. </w:t>
      </w:r>
      <w:r w:rsidR="001903AA" w:rsidRPr="00C2318E">
        <w:rPr>
          <w:rFonts w:ascii="Arial" w:hAnsi="Arial" w:cs="Arial"/>
        </w:rPr>
        <w:t xml:space="preserve">This finding aligns with </w:t>
      </w:r>
      <w:proofErr w:type="spellStart"/>
      <w:r w:rsidR="001903AA" w:rsidRPr="00C2318E">
        <w:rPr>
          <w:rFonts w:ascii="Arial" w:hAnsi="Arial" w:cs="Arial"/>
        </w:rPr>
        <w:t>Escandallo</w:t>
      </w:r>
      <w:proofErr w:type="spellEnd"/>
      <w:r w:rsidR="001903AA" w:rsidRPr="00C2318E">
        <w:rPr>
          <w:rFonts w:ascii="Arial" w:hAnsi="Arial" w:cs="Arial"/>
        </w:rPr>
        <w:t xml:space="preserve"> and Flores (2024), who indicated that high levels of language anxiety can hinder the effective use of learning strategies, especially those involving social interaction and speaking, and is further supported by </w:t>
      </w:r>
      <w:proofErr w:type="spellStart"/>
      <w:r w:rsidR="001903AA" w:rsidRPr="00C2318E">
        <w:rPr>
          <w:rFonts w:ascii="Arial" w:hAnsi="Arial" w:cs="Arial"/>
        </w:rPr>
        <w:t>Altun</w:t>
      </w:r>
      <w:proofErr w:type="spellEnd"/>
      <w:r w:rsidR="001903AA" w:rsidRPr="00C2318E">
        <w:rPr>
          <w:rFonts w:ascii="Arial" w:hAnsi="Arial" w:cs="Arial"/>
        </w:rPr>
        <w:t xml:space="preserve"> (2023), who noted that language anxiety lowers motivation and classroom participation, causing students to avoid strategies that would otherwise enhance their language development.</w:t>
      </w:r>
    </w:p>
    <w:p w14:paraId="11CCE454" w14:textId="77777777" w:rsidR="001903AA" w:rsidRDefault="001903AA" w:rsidP="005F71F3">
      <w:pPr>
        <w:pStyle w:val="Body"/>
        <w:spacing w:after="0"/>
        <w:rPr>
          <w:rFonts w:ascii="Arial" w:hAnsi="Arial" w:cs="Arial"/>
        </w:rPr>
      </w:pPr>
    </w:p>
    <w:p w14:paraId="77BEBEE8" w14:textId="77777777" w:rsidR="00217656" w:rsidRPr="00217656" w:rsidRDefault="005F71F3" w:rsidP="00217656">
      <w:pPr>
        <w:pStyle w:val="Body"/>
        <w:rPr>
          <w:rFonts w:ascii="Arial" w:hAnsi="Arial" w:cs="Arial"/>
        </w:rPr>
      </w:pPr>
      <w:r w:rsidRPr="005F71F3">
        <w:rPr>
          <w:rFonts w:ascii="Arial" w:hAnsi="Arial" w:cs="Arial"/>
        </w:rPr>
        <w:t xml:space="preserve">The correlation analysis between classroom learning environment and English language anxiety yielded a p-value of .000, which is less than the 0.05 level of significance. Hence, the null hypothesis was rejected. It indicates that the correlation between these variables is significant. Likewise, the correlation between the two variables obtained an </w:t>
      </w:r>
      <w:proofErr w:type="spellStart"/>
      <w:r w:rsidRPr="005F71F3">
        <w:rPr>
          <w:rFonts w:ascii="Arial" w:hAnsi="Arial" w:cs="Arial"/>
        </w:rPr>
        <w:t>r-value</w:t>
      </w:r>
      <w:proofErr w:type="spellEnd"/>
      <w:r w:rsidRPr="005F71F3">
        <w:rPr>
          <w:rFonts w:ascii="Arial" w:hAnsi="Arial" w:cs="Arial"/>
        </w:rPr>
        <w:t xml:space="preserve"> of -0.348, indicating a moderate negative correlation. This implies that for every unit increase in the classroom learning environment, there is a corresponding decrease in English language anxiety, and vice versa.</w:t>
      </w:r>
      <w:r w:rsidR="00C2318E">
        <w:rPr>
          <w:rFonts w:ascii="Arial" w:hAnsi="Arial" w:cs="Arial"/>
        </w:rPr>
        <w:t xml:space="preserve"> </w:t>
      </w:r>
      <w:r w:rsidR="00217656" w:rsidRPr="00217656">
        <w:rPr>
          <w:rFonts w:ascii="Arial" w:hAnsi="Arial" w:cs="Arial"/>
        </w:rPr>
        <w:t xml:space="preserve">This finding aligns with the findings of Sabri et al. (2021), which underscore that a non-threatening and mentally healthy classroom environment reduces student anxiety, especially when lecturers provide supportive and psychologically safe learning conditions; similarly, </w:t>
      </w:r>
      <w:proofErr w:type="spellStart"/>
      <w:r w:rsidR="00217656" w:rsidRPr="00217656">
        <w:rPr>
          <w:rFonts w:ascii="Arial" w:hAnsi="Arial" w:cs="Arial"/>
        </w:rPr>
        <w:t>Atifnigar</w:t>
      </w:r>
      <w:proofErr w:type="spellEnd"/>
      <w:r w:rsidR="00217656" w:rsidRPr="00217656">
        <w:rPr>
          <w:rFonts w:ascii="Arial" w:hAnsi="Arial" w:cs="Arial"/>
        </w:rPr>
        <w:t xml:space="preserve"> (2024) highlights that a relaxing environment, enriched with diverse activities and student-centered methods, fosters a supportive atmosphere that lessens anxiety and enhances engagement and success in language learning.</w:t>
      </w:r>
    </w:p>
    <w:p w14:paraId="6BAEBF64" w14:textId="4AFA2837" w:rsidR="00217656" w:rsidRPr="00CD385C" w:rsidRDefault="00CD385C" w:rsidP="00CD385C">
      <w:pPr>
        <w:pStyle w:val="Body"/>
        <w:spacing w:after="0"/>
        <w:rPr>
          <w:rFonts w:ascii="Arial" w:hAnsi="Arial" w:cs="Arial"/>
          <w:b/>
          <w:bCs/>
        </w:rPr>
      </w:pPr>
      <w:r w:rsidRPr="006E2767">
        <w:rPr>
          <w:rFonts w:ascii="Arial" w:hAnsi="Arial" w:cs="Arial"/>
          <w:b/>
          <w:bCs/>
        </w:rPr>
        <w:t>3.</w:t>
      </w:r>
      <w:r>
        <w:rPr>
          <w:rFonts w:ascii="Arial" w:hAnsi="Arial" w:cs="Arial"/>
          <w:b/>
          <w:bCs/>
        </w:rPr>
        <w:t>3</w:t>
      </w:r>
      <w:r w:rsidRPr="006E2767">
        <w:rPr>
          <w:rFonts w:ascii="Arial" w:hAnsi="Arial" w:cs="Arial"/>
          <w:b/>
          <w:bCs/>
        </w:rPr>
        <w:t xml:space="preserve"> </w:t>
      </w:r>
      <w:r>
        <w:rPr>
          <w:rFonts w:ascii="Arial" w:hAnsi="Arial" w:cs="Arial"/>
          <w:b/>
          <w:bCs/>
        </w:rPr>
        <w:t>Mediation</w:t>
      </w:r>
      <w:r w:rsidRPr="006E2767">
        <w:rPr>
          <w:rFonts w:ascii="Arial" w:hAnsi="Arial" w:cs="Arial"/>
          <w:b/>
          <w:bCs/>
        </w:rPr>
        <w:t xml:space="preserve"> Analysis</w:t>
      </w:r>
    </w:p>
    <w:p w14:paraId="29F15BF0" w14:textId="2924BA23" w:rsidR="00217656" w:rsidRDefault="00CD385C" w:rsidP="00217656">
      <w:pPr>
        <w:pStyle w:val="Body"/>
        <w:rPr>
          <w:rFonts w:ascii="Arial" w:hAnsi="Arial" w:cs="Arial"/>
        </w:rPr>
      </w:pPr>
      <w:r w:rsidRPr="00CD385C">
        <w:rPr>
          <w:rFonts w:ascii="Arial" w:hAnsi="Arial" w:cs="Arial"/>
        </w:rPr>
        <w:lastRenderedPageBreak/>
        <w:tab/>
        <w:t>Table 3 shows the mediation analysis results examining the relationship between classroom learning environment and language learning strategies, with English language anxiety as the mediating variable. The table contains the type of effect (total, indirect, and direct effect), estimate values, standard error, z-scores, p-values, and interpretations.</w:t>
      </w:r>
    </w:p>
    <w:p w14:paraId="5AA2D303" w14:textId="77777777" w:rsidR="00CD385C" w:rsidRDefault="00CD385C" w:rsidP="00CD385C">
      <w:pPr>
        <w:pStyle w:val="Body"/>
        <w:spacing w:after="0"/>
        <w:rPr>
          <w:rFonts w:ascii="Arial" w:hAnsi="Arial" w:cs="Arial"/>
          <w:b/>
          <w:bCs/>
        </w:rPr>
      </w:pPr>
      <w:r w:rsidRPr="00CD385C">
        <w:rPr>
          <w:rFonts w:ascii="Arial" w:hAnsi="Arial" w:cs="Arial"/>
          <w:b/>
          <w:bCs/>
        </w:rPr>
        <w:t>Table 3. Mediating effect of English language anxiety on the correlation between classroom learning environment and language learning strategies</w:t>
      </w:r>
    </w:p>
    <w:p w14:paraId="3D3104AD" w14:textId="11F76322" w:rsidR="00CD385C" w:rsidRDefault="00CD385C" w:rsidP="00CD385C">
      <w:pPr>
        <w:pStyle w:val="Body"/>
        <w:spacing w:after="0"/>
        <w:rPr>
          <w:rFonts w:ascii="Arial" w:hAnsi="Arial" w:cs="Arial"/>
          <w:b/>
          <w:bCs/>
        </w:rPr>
      </w:pPr>
      <w:r>
        <w:rPr>
          <w:rFonts w:ascii="Arial" w:hAnsi="Arial" w:cs="Arial"/>
          <w:b/>
          <w:bCs/>
        </w:rPr>
        <w:t>________________________________________________________________________</w:t>
      </w:r>
    </w:p>
    <w:p w14:paraId="00D3DA92" w14:textId="5611820E" w:rsidR="00CD385C" w:rsidRPr="00917868" w:rsidRDefault="00F0694E" w:rsidP="00CD385C">
      <w:pPr>
        <w:spacing w:line="480" w:lineRule="auto"/>
        <w:jc w:val="both"/>
        <w:rPr>
          <w:rFonts w:ascii="Arial" w:hAnsi="Arial" w:cs="Arial"/>
        </w:rPr>
      </w:pPr>
      <w:r>
        <w:rPr>
          <w:noProof/>
        </w:rPr>
        <w:pict w14:anchorId="5072B7E3">
          <v:line id="Straight Connector 3" o:spid="_x0000_s1037" style="position:absolute;left:0;text-align:left;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9pt" to="428.2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" strokecolor="black [3213]">
            <w10:wrap anchorx="margin"/>
          </v:line>
        </w:pict>
      </w:r>
      <w:r w:rsidR="00CD385C" w:rsidRPr="00917868">
        <w:rPr>
          <w:rFonts w:ascii="Arial" w:hAnsi="Arial" w:cs="Arial"/>
          <w:b/>
          <w:bCs/>
        </w:rPr>
        <w:t>Effect</w:t>
      </w:r>
      <w:r w:rsidR="00CD385C" w:rsidRPr="00917868">
        <w:rPr>
          <w:rFonts w:ascii="Arial" w:hAnsi="Arial" w:cs="Arial"/>
        </w:rPr>
        <w:t xml:space="preserve">           </w:t>
      </w:r>
      <w:r w:rsidR="00CD385C" w:rsidRPr="00917868">
        <w:rPr>
          <w:rFonts w:ascii="Arial" w:hAnsi="Arial" w:cs="Arial"/>
          <w:b/>
          <w:bCs/>
        </w:rPr>
        <w:t>Label</w:t>
      </w:r>
      <w:r w:rsidR="00CD385C" w:rsidRPr="00917868">
        <w:rPr>
          <w:rFonts w:ascii="Arial" w:hAnsi="Arial" w:cs="Arial"/>
        </w:rPr>
        <w:t xml:space="preserve">         </w:t>
      </w:r>
      <w:r w:rsidR="00CD385C" w:rsidRPr="00917868">
        <w:rPr>
          <w:rFonts w:ascii="Arial" w:hAnsi="Arial" w:cs="Arial"/>
          <w:b/>
          <w:bCs/>
        </w:rPr>
        <w:t xml:space="preserve"> Estimate</w:t>
      </w:r>
      <w:r w:rsidR="00CD385C" w:rsidRPr="00917868">
        <w:rPr>
          <w:rFonts w:ascii="Arial" w:hAnsi="Arial" w:cs="Arial"/>
        </w:rPr>
        <w:t xml:space="preserve">         </w:t>
      </w:r>
      <w:r w:rsidR="00CD385C" w:rsidRPr="00917868">
        <w:rPr>
          <w:rFonts w:ascii="Arial" w:hAnsi="Arial" w:cs="Arial"/>
          <w:b/>
          <w:bCs/>
        </w:rPr>
        <w:t>SE</w:t>
      </w:r>
      <w:r w:rsidR="00CD385C" w:rsidRPr="00917868">
        <w:rPr>
          <w:rFonts w:ascii="Arial" w:hAnsi="Arial" w:cs="Arial"/>
        </w:rPr>
        <w:t xml:space="preserve">               </w:t>
      </w:r>
      <w:r w:rsidR="00CD385C" w:rsidRPr="00917868">
        <w:rPr>
          <w:rFonts w:ascii="Arial" w:hAnsi="Arial" w:cs="Arial"/>
          <w:b/>
          <w:bCs/>
        </w:rPr>
        <w:t xml:space="preserve">Z </w:t>
      </w:r>
      <w:r w:rsidR="00CD385C" w:rsidRPr="00917868">
        <w:rPr>
          <w:rFonts w:ascii="Arial" w:hAnsi="Arial" w:cs="Arial"/>
        </w:rPr>
        <w:t xml:space="preserve">           </w:t>
      </w:r>
      <w:r w:rsidR="00CD385C" w:rsidRPr="00917868">
        <w:rPr>
          <w:rFonts w:ascii="Arial" w:hAnsi="Arial" w:cs="Arial"/>
          <w:b/>
          <w:bCs/>
        </w:rPr>
        <w:t xml:space="preserve">p  </w:t>
      </w:r>
      <w:r w:rsidR="00CD385C" w:rsidRPr="00917868">
        <w:rPr>
          <w:rFonts w:ascii="Arial" w:hAnsi="Arial" w:cs="Arial"/>
        </w:rPr>
        <w:t xml:space="preserve">          </w:t>
      </w:r>
      <w:r w:rsidR="00CD385C" w:rsidRPr="00917868">
        <w:rPr>
          <w:rFonts w:ascii="Arial" w:hAnsi="Arial" w:cs="Arial"/>
          <w:b/>
          <w:bCs/>
        </w:rPr>
        <w:t>% Mediation</w:t>
      </w:r>
    </w:p>
    <w:p w14:paraId="5A74C23E" w14:textId="77777777" w:rsidR="00CD385C" w:rsidRPr="00917868" w:rsidRDefault="00CD385C" w:rsidP="00CD385C">
      <w:pPr>
        <w:spacing w:line="480" w:lineRule="auto"/>
        <w:jc w:val="both"/>
        <w:rPr>
          <w:rFonts w:ascii="Arial" w:hAnsi="Arial" w:cs="Arial"/>
          <w:color w:val="000000" w:themeColor="text1"/>
        </w:rPr>
      </w:pPr>
      <w:r w:rsidRPr="00917868">
        <w:rPr>
          <w:rFonts w:ascii="Arial" w:hAnsi="Arial" w:cs="Arial"/>
        </w:rPr>
        <w:t>Indirect        a x b             0.0297           0.</w:t>
      </w:r>
      <w:r w:rsidRPr="00917868">
        <w:rPr>
          <w:rFonts w:ascii="Arial" w:hAnsi="Arial" w:cs="Arial"/>
          <w:color w:val="000000" w:themeColor="text1"/>
        </w:rPr>
        <w:t>0283         1.05       0.293          6.25</w:t>
      </w:r>
    </w:p>
    <w:p w14:paraId="4C4CAEFF" w14:textId="77777777" w:rsidR="00CD385C" w:rsidRPr="00917868" w:rsidRDefault="00CD385C" w:rsidP="00CD385C">
      <w:pPr>
        <w:spacing w:line="480" w:lineRule="auto"/>
        <w:jc w:val="both"/>
        <w:rPr>
          <w:rFonts w:ascii="Arial" w:hAnsi="Arial" w:cs="Arial"/>
          <w:color w:val="000000" w:themeColor="text1"/>
        </w:rPr>
      </w:pPr>
      <w:r w:rsidRPr="00917868">
        <w:rPr>
          <w:rFonts w:ascii="Arial" w:hAnsi="Arial" w:cs="Arial"/>
          <w:color w:val="000000" w:themeColor="text1"/>
        </w:rPr>
        <w:t>Direct           c                  0.4464           0.0651          6.86       &lt;.001         93.75</w:t>
      </w:r>
    </w:p>
    <w:p w14:paraId="01899A6C" w14:textId="5DDA3860" w:rsidR="00CD385C" w:rsidRPr="00917868" w:rsidRDefault="00F0694E" w:rsidP="00CD385C">
      <w:pPr>
        <w:spacing w:line="480" w:lineRule="auto"/>
        <w:jc w:val="both"/>
        <w:rPr>
          <w:rFonts w:ascii="Arial" w:hAnsi="Arial" w:cs="Arial"/>
          <w:color w:val="000000" w:themeColor="text1"/>
        </w:rPr>
      </w:pPr>
      <w:r>
        <w:rPr>
          <w:noProof/>
        </w:rPr>
        <w:pict w14:anchorId="220E9AB7">
          <v:line id="_x0000_s103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7pt,19.7pt" to="422.5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" strokecolor="black [3213]" strokeweight="1.5pt">
            <w10:wrap anchorx="margin"/>
          </v:line>
        </w:pict>
      </w:r>
      <w:r w:rsidR="00CD385C" w:rsidRPr="00917868">
        <w:rPr>
          <w:rFonts w:ascii="Arial" w:hAnsi="Arial" w:cs="Arial"/>
          <w:color w:val="000000" w:themeColor="text1"/>
        </w:rPr>
        <w:t>Total            c + a x b       0.4761           0.0608          7.83       &lt;.001        100.0</w:t>
      </w:r>
    </w:p>
    <w:tbl>
      <w:tblPr>
        <w:tblpPr w:leftFromText="180" w:rightFromText="180" w:vertAnchor="text" w:horzAnchor="margin" w:tblpY="122"/>
        <w:tblW w:w="0" w:type="auto"/>
        <w:tblCellSpacing w:w="15" w:type="dxa"/>
        <w:tblCellMar>
          <w:top w:w="15" w:type="dxa"/>
          <w:left w:w="15" w:type="dxa"/>
          <w:bottom w:w="15" w:type="dxa"/>
          <w:right w:w="15" w:type="dxa"/>
        </w:tblCellMar>
        <w:tblLook w:val="04A0" w:firstRow="1" w:lastRow="0" w:firstColumn="1" w:lastColumn="0" w:noHBand="0" w:noVBand="1"/>
      </w:tblPr>
      <w:tblGrid>
        <w:gridCol w:w="1508"/>
        <w:gridCol w:w="470"/>
        <w:gridCol w:w="1238"/>
        <w:gridCol w:w="673"/>
        <w:gridCol w:w="1129"/>
        <w:gridCol w:w="1062"/>
        <w:gridCol w:w="906"/>
        <w:gridCol w:w="972"/>
      </w:tblGrid>
      <w:tr w:rsidR="00CD385C" w:rsidRPr="001E6B94" w14:paraId="6B29A71D" w14:textId="77777777" w:rsidTr="00CD385C">
        <w:trPr>
          <w:cantSplit/>
          <w:tblHeader/>
          <w:tblCellSpacing w:w="15" w:type="dxa"/>
        </w:trPr>
        <w:tc>
          <w:tcPr>
            <w:tcW w:w="0" w:type="auto"/>
            <w:gridSpan w:val="8"/>
            <w:tcBorders>
              <w:top w:val="nil"/>
              <w:left w:val="nil"/>
              <w:bottom w:val="single" w:sz="4" w:space="0" w:color="333333"/>
              <w:right w:val="nil"/>
            </w:tcBorders>
            <w:tcMar>
              <w:top w:w="60" w:type="dxa"/>
              <w:left w:w="0" w:type="dxa"/>
              <w:bottom w:w="60" w:type="dxa"/>
              <w:right w:w="120" w:type="dxa"/>
            </w:tcMar>
            <w:vAlign w:val="bottom"/>
            <w:hideMark/>
          </w:tcPr>
          <w:p w14:paraId="3BA81BDE" w14:textId="77777777" w:rsidR="00CD385C" w:rsidRDefault="00CD385C" w:rsidP="00CD385C">
            <w:pPr>
              <w:rPr>
                <w:rFonts w:ascii="Segoe UI" w:hAnsi="Segoe UI" w:cs="Segoe UI"/>
                <w:b/>
                <w:bCs/>
                <w:color w:val="333333"/>
                <w:sz w:val="18"/>
                <w:szCs w:val="18"/>
                <w:lang w:eastAsia="en-PH"/>
              </w:rPr>
            </w:pPr>
          </w:p>
          <w:p w14:paraId="3B41ECE3" w14:textId="77777777" w:rsidR="00CD385C" w:rsidRPr="001E6B94" w:rsidRDefault="00CD385C" w:rsidP="00CD385C">
            <w:pPr>
              <w:rPr>
                <w:rFonts w:ascii="Segoe UI" w:hAnsi="Segoe UI" w:cs="Segoe UI"/>
                <w:b/>
                <w:bCs/>
                <w:color w:val="333333"/>
                <w:sz w:val="18"/>
                <w:szCs w:val="18"/>
                <w:lang w:eastAsia="en-PH"/>
              </w:rPr>
            </w:pPr>
          </w:p>
        </w:tc>
      </w:tr>
      <w:tr w:rsidR="00CD385C" w:rsidRPr="001F03AD" w14:paraId="37B57504" w14:textId="77777777" w:rsidTr="00CD385C">
        <w:trPr>
          <w:cantSplit/>
          <w:tblHeader/>
          <w:tblCellSpacing w:w="15" w:type="dxa"/>
        </w:trPr>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37FCFDE5" w14:textId="77777777" w:rsidR="00CD385C" w:rsidRPr="001F03AD" w:rsidRDefault="00CD385C" w:rsidP="00CD385C">
            <w:pPr>
              <w:jc w:val="center"/>
              <w:rPr>
                <w:rFonts w:ascii="Segoe UI" w:hAnsi="Segoe UI" w:cs="Segoe UI"/>
                <w:b/>
                <w:bCs/>
                <w:color w:val="333333"/>
                <w:lang w:eastAsia="en-PH"/>
              </w:rPr>
            </w:pPr>
            <w:r w:rsidRPr="001F03AD">
              <w:rPr>
                <w:rFonts w:ascii="Segoe UI" w:hAnsi="Segoe UI" w:cs="Segoe UI"/>
                <w:b/>
                <w:bCs/>
                <w:color w:val="333333"/>
                <w:lang w:eastAsia="en-PH"/>
              </w:rPr>
              <w:t> </w:t>
            </w:r>
          </w:p>
        </w:tc>
        <w:tc>
          <w:tcPr>
            <w:tcW w:w="0" w:type="auto"/>
            <w:tcBorders>
              <w:top w:val="nil"/>
              <w:left w:val="nil"/>
              <w:bottom w:val="single" w:sz="4" w:space="0" w:color="333333"/>
              <w:right w:val="nil"/>
            </w:tcBorders>
            <w:tcMar>
              <w:top w:w="60" w:type="dxa"/>
              <w:left w:w="60" w:type="dxa"/>
              <w:bottom w:w="60" w:type="dxa"/>
              <w:right w:w="60" w:type="dxa"/>
            </w:tcMar>
            <w:vAlign w:val="center"/>
            <w:hideMark/>
          </w:tcPr>
          <w:p w14:paraId="7FA5057E" w14:textId="77777777" w:rsidR="00CD385C" w:rsidRPr="001F03AD" w:rsidRDefault="00CD385C" w:rsidP="00CD385C">
            <w:pPr>
              <w:jc w:val="center"/>
              <w:rPr>
                <w:rFonts w:ascii="Segoe UI" w:hAnsi="Segoe UI" w:cs="Segoe UI"/>
                <w:b/>
                <w:bCs/>
                <w:color w:val="333333"/>
                <w:lang w:eastAsia="en-PH"/>
              </w:rPr>
            </w:pPr>
            <w:r w:rsidRPr="001F03AD">
              <w:rPr>
                <w:rFonts w:ascii="Segoe UI" w:hAnsi="Segoe UI" w:cs="Segoe UI"/>
                <w:b/>
                <w:bCs/>
                <w:color w:val="333333"/>
                <w:lang w:eastAsia="en-PH"/>
              </w:rPr>
              <w:t> </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78D0A1AA" w14:textId="77777777" w:rsidR="00CD385C" w:rsidRPr="001F03AD" w:rsidRDefault="00CD385C" w:rsidP="00CD385C">
            <w:pPr>
              <w:jc w:val="center"/>
              <w:rPr>
                <w:rFonts w:ascii="Segoe UI" w:hAnsi="Segoe UI" w:cs="Segoe UI"/>
                <w:b/>
                <w:bCs/>
                <w:color w:val="333333"/>
                <w:lang w:eastAsia="en-PH"/>
              </w:rPr>
            </w:pPr>
            <w:r w:rsidRPr="001F03AD">
              <w:rPr>
                <w:rFonts w:ascii="Segoe UI" w:hAnsi="Segoe UI" w:cs="Segoe UI"/>
                <w:b/>
                <w:bCs/>
                <w:color w:val="333333"/>
                <w:lang w:eastAsia="en-PH"/>
              </w:rPr>
              <w:t> </w:t>
            </w:r>
          </w:p>
        </w:tc>
        <w:tc>
          <w:tcPr>
            <w:tcW w:w="0" w:type="auto"/>
            <w:tcBorders>
              <w:top w:val="nil"/>
              <w:left w:val="nil"/>
              <w:bottom w:val="single" w:sz="4" w:space="0" w:color="333333"/>
              <w:right w:val="nil"/>
            </w:tcBorders>
            <w:tcMar>
              <w:top w:w="60" w:type="dxa"/>
              <w:left w:w="60" w:type="dxa"/>
              <w:bottom w:w="60" w:type="dxa"/>
              <w:right w:w="60" w:type="dxa"/>
            </w:tcMar>
            <w:vAlign w:val="center"/>
            <w:hideMark/>
          </w:tcPr>
          <w:p w14:paraId="76D6F05D"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Label</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2ED0187F"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Estimate</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00488B98"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SE</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7A1FF652"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Z</w:t>
            </w:r>
          </w:p>
        </w:tc>
        <w:tc>
          <w:tcPr>
            <w:tcW w:w="0" w:type="auto"/>
            <w:tcBorders>
              <w:top w:val="nil"/>
              <w:left w:val="nil"/>
              <w:bottom w:val="single" w:sz="4" w:space="0" w:color="333333"/>
              <w:right w:val="nil"/>
            </w:tcBorders>
            <w:tcMar>
              <w:top w:w="60" w:type="dxa"/>
              <w:left w:w="120" w:type="dxa"/>
              <w:bottom w:w="60" w:type="dxa"/>
              <w:right w:w="120" w:type="dxa"/>
            </w:tcMar>
            <w:vAlign w:val="center"/>
            <w:hideMark/>
          </w:tcPr>
          <w:p w14:paraId="37399928" w14:textId="77777777" w:rsidR="00CD385C" w:rsidRPr="001F03AD" w:rsidRDefault="00CD385C" w:rsidP="00CD385C">
            <w:pPr>
              <w:jc w:val="center"/>
              <w:rPr>
                <w:rFonts w:ascii="Arial" w:hAnsi="Arial" w:cs="Arial"/>
                <w:b/>
                <w:bCs/>
                <w:color w:val="333333"/>
                <w:lang w:eastAsia="en-PH"/>
              </w:rPr>
            </w:pPr>
            <w:r w:rsidRPr="001F03AD">
              <w:rPr>
                <w:rFonts w:ascii="Arial" w:hAnsi="Arial" w:cs="Arial"/>
                <w:b/>
                <w:bCs/>
                <w:color w:val="333333"/>
                <w:lang w:eastAsia="en-PH"/>
              </w:rPr>
              <w:t>P</w:t>
            </w:r>
          </w:p>
        </w:tc>
      </w:tr>
      <w:tr w:rsidR="00CD385C" w:rsidRPr="001F03AD" w14:paraId="03FE98FE" w14:textId="77777777" w:rsidTr="00CD385C">
        <w:trPr>
          <w:cantSplit/>
          <w:tblCellSpacing w:w="15" w:type="dxa"/>
        </w:trPr>
        <w:tc>
          <w:tcPr>
            <w:tcW w:w="0" w:type="auto"/>
            <w:tcBorders>
              <w:top w:val="nil"/>
              <w:left w:val="nil"/>
              <w:bottom w:val="nil"/>
              <w:right w:val="nil"/>
            </w:tcBorders>
            <w:tcMar>
              <w:top w:w="120" w:type="dxa"/>
              <w:left w:w="120" w:type="dxa"/>
              <w:bottom w:w="60" w:type="dxa"/>
              <w:right w:w="120" w:type="dxa"/>
            </w:tcMar>
            <w:hideMark/>
          </w:tcPr>
          <w:p w14:paraId="4756D9FE"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Environment</w:t>
            </w:r>
          </w:p>
        </w:tc>
        <w:tc>
          <w:tcPr>
            <w:tcW w:w="0" w:type="auto"/>
            <w:tcBorders>
              <w:top w:val="nil"/>
              <w:left w:val="nil"/>
              <w:bottom w:val="nil"/>
              <w:right w:val="nil"/>
            </w:tcBorders>
            <w:tcMar>
              <w:top w:w="120" w:type="dxa"/>
              <w:left w:w="120" w:type="dxa"/>
              <w:bottom w:w="60" w:type="dxa"/>
              <w:right w:w="120" w:type="dxa"/>
            </w:tcMar>
            <w:hideMark/>
          </w:tcPr>
          <w:p w14:paraId="69F5C04F"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w:t>
            </w:r>
          </w:p>
        </w:tc>
        <w:tc>
          <w:tcPr>
            <w:tcW w:w="0" w:type="auto"/>
            <w:tcBorders>
              <w:top w:val="nil"/>
              <w:left w:val="nil"/>
              <w:bottom w:val="nil"/>
              <w:right w:val="nil"/>
            </w:tcBorders>
            <w:tcMar>
              <w:top w:w="120" w:type="dxa"/>
              <w:left w:w="120" w:type="dxa"/>
              <w:bottom w:w="60" w:type="dxa"/>
              <w:right w:w="120" w:type="dxa"/>
            </w:tcMar>
            <w:hideMark/>
          </w:tcPr>
          <w:p w14:paraId="13DF8B24"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Anxiety</w:t>
            </w:r>
          </w:p>
        </w:tc>
        <w:tc>
          <w:tcPr>
            <w:tcW w:w="0" w:type="auto"/>
            <w:tcBorders>
              <w:top w:val="nil"/>
              <w:left w:val="nil"/>
              <w:bottom w:val="nil"/>
              <w:right w:val="nil"/>
            </w:tcBorders>
            <w:tcMar>
              <w:top w:w="120" w:type="dxa"/>
              <w:left w:w="60" w:type="dxa"/>
              <w:bottom w:w="30" w:type="dxa"/>
              <w:right w:w="60" w:type="dxa"/>
            </w:tcMar>
            <w:hideMark/>
          </w:tcPr>
          <w:p w14:paraId="01E9A1E6" w14:textId="77777777" w:rsidR="00CD385C" w:rsidRPr="001F03AD" w:rsidRDefault="00CD385C" w:rsidP="00CD385C">
            <w:pPr>
              <w:rPr>
                <w:rFonts w:ascii="Arial" w:hAnsi="Arial" w:cs="Arial"/>
                <w:color w:val="333333"/>
                <w:lang w:eastAsia="en-PH"/>
              </w:rPr>
            </w:pPr>
            <w:r w:rsidRPr="001F03AD">
              <w:rPr>
                <w:rFonts w:ascii="Arial" w:hAnsi="Arial" w:cs="Arial"/>
                <w:color w:val="333333"/>
                <w:lang w:eastAsia="en-PH"/>
              </w:rPr>
              <w:t>A</w:t>
            </w:r>
          </w:p>
        </w:tc>
        <w:tc>
          <w:tcPr>
            <w:tcW w:w="0" w:type="auto"/>
            <w:tcBorders>
              <w:top w:val="nil"/>
              <w:left w:val="nil"/>
              <w:bottom w:val="nil"/>
              <w:right w:val="nil"/>
            </w:tcBorders>
            <w:tcMar>
              <w:top w:w="120" w:type="dxa"/>
              <w:left w:w="120" w:type="dxa"/>
              <w:bottom w:w="30" w:type="dxa"/>
              <w:right w:w="300" w:type="dxa"/>
            </w:tcMar>
            <w:hideMark/>
          </w:tcPr>
          <w:p w14:paraId="7AF4A268"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-0.4232</w:t>
            </w:r>
          </w:p>
        </w:tc>
        <w:tc>
          <w:tcPr>
            <w:tcW w:w="0" w:type="auto"/>
            <w:tcBorders>
              <w:top w:val="nil"/>
              <w:left w:val="nil"/>
              <w:bottom w:val="nil"/>
              <w:right w:val="nil"/>
            </w:tcBorders>
            <w:tcMar>
              <w:top w:w="120" w:type="dxa"/>
              <w:left w:w="120" w:type="dxa"/>
              <w:bottom w:w="30" w:type="dxa"/>
              <w:right w:w="300" w:type="dxa"/>
            </w:tcMar>
            <w:hideMark/>
          </w:tcPr>
          <w:p w14:paraId="16077648"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0.0681</w:t>
            </w:r>
          </w:p>
        </w:tc>
        <w:tc>
          <w:tcPr>
            <w:tcW w:w="0" w:type="auto"/>
            <w:tcBorders>
              <w:top w:val="nil"/>
              <w:left w:val="nil"/>
              <w:bottom w:val="nil"/>
              <w:right w:val="nil"/>
            </w:tcBorders>
            <w:tcMar>
              <w:top w:w="120" w:type="dxa"/>
              <w:left w:w="120" w:type="dxa"/>
              <w:bottom w:w="30" w:type="dxa"/>
              <w:right w:w="300" w:type="dxa"/>
            </w:tcMar>
            <w:hideMark/>
          </w:tcPr>
          <w:p w14:paraId="3751745C"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-6.21</w:t>
            </w:r>
          </w:p>
        </w:tc>
        <w:tc>
          <w:tcPr>
            <w:tcW w:w="0" w:type="auto"/>
            <w:tcBorders>
              <w:top w:val="nil"/>
              <w:left w:val="nil"/>
              <w:bottom w:val="nil"/>
              <w:right w:val="nil"/>
            </w:tcBorders>
            <w:tcMar>
              <w:top w:w="120" w:type="dxa"/>
              <w:left w:w="120" w:type="dxa"/>
              <w:bottom w:w="30" w:type="dxa"/>
              <w:right w:w="300" w:type="dxa"/>
            </w:tcMar>
            <w:hideMark/>
          </w:tcPr>
          <w:p w14:paraId="4AE9BCD8"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&lt;.001</w:t>
            </w:r>
          </w:p>
        </w:tc>
      </w:tr>
      <w:tr w:rsidR="00CD385C" w:rsidRPr="001F03AD" w14:paraId="6A914A89" w14:textId="77777777" w:rsidTr="00CD385C">
        <w:trPr>
          <w:cantSplit/>
          <w:tblCellSpacing w:w="15" w:type="dxa"/>
        </w:trPr>
        <w:tc>
          <w:tcPr>
            <w:tcW w:w="0" w:type="auto"/>
            <w:tcBorders>
              <w:top w:val="nil"/>
              <w:left w:val="nil"/>
              <w:bottom w:val="nil"/>
              <w:right w:val="nil"/>
            </w:tcBorders>
            <w:tcMar>
              <w:top w:w="60" w:type="dxa"/>
              <w:left w:w="120" w:type="dxa"/>
              <w:bottom w:w="60" w:type="dxa"/>
              <w:right w:w="120" w:type="dxa"/>
            </w:tcMar>
            <w:hideMark/>
          </w:tcPr>
          <w:p w14:paraId="593FF8AD"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Anxiety</w:t>
            </w:r>
          </w:p>
        </w:tc>
        <w:tc>
          <w:tcPr>
            <w:tcW w:w="0" w:type="auto"/>
            <w:tcBorders>
              <w:top w:val="nil"/>
              <w:left w:val="nil"/>
              <w:bottom w:val="nil"/>
              <w:right w:val="nil"/>
            </w:tcBorders>
            <w:tcMar>
              <w:top w:w="60" w:type="dxa"/>
              <w:left w:w="120" w:type="dxa"/>
              <w:bottom w:w="60" w:type="dxa"/>
              <w:right w:w="120" w:type="dxa"/>
            </w:tcMar>
            <w:hideMark/>
          </w:tcPr>
          <w:p w14:paraId="0633EBBA"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w:t>
            </w:r>
          </w:p>
        </w:tc>
        <w:tc>
          <w:tcPr>
            <w:tcW w:w="0" w:type="auto"/>
            <w:tcBorders>
              <w:top w:val="nil"/>
              <w:left w:val="nil"/>
              <w:bottom w:val="nil"/>
              <w:right w:val="nil"/>
            </w:tcBorders>
            <w:tcMar>
              <w:top w:w="60" w:type="dxa"/>
              <w:left w:w="120" w:type="dxa"/>
              <w:bottom w:w="60" w:type="dxa"/>
              <w:right w:w="120" w:type="dxa"/>
            </w:tcMar>
            <w:hideMark/>
          </w:tcPr>
          <w:p w14:paraId="10E7011C"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Strategies</w:t>
            </w:r>
          </w:p>
        </w:tc>
        <w:tc>
          <w:tcPr>
            <w:tcW w:w="0" w:type="auto"/>
            <w:tcBorders>
              <w:top w:val="nil"/>
              <w:left w:val="nil"/>
              <w:bottom w:val="nil"/>
              <w:right w:val="nil"/>
            </w:tcBorders>
            <w:tcMar>
              <w:top w:w="30" w:type="dxa"/>
              <w:left w:w="60" w:type="dxa"/>
              <w:bottom w:w="30" w:type="dxa"/>
              <w:right w:w="60" w:type="dxa"/>
            </w:tcMar>
            <w:hideMark/>
          </w:tcPr>
          <w:p w14:paraId="09224E0A" w14:textId="77777777" w:rsidR="00CD385C" w:rsidRPr="001F03AD" w:rsidRDefault="00CD385C" w:rsidP="00CD385C">
            <w:pPr>
              <w:rPr>
                <w:rFonts w:ascii="Arial" w:hAnsi="Arial" w:cs="Arial"/>
                <w:color w:val="333333"/>
                <w:lang w:eastAsia="en-PH"/>
              </w:rPr>
            </w:pPr>
            <w:r w:rsidRPr="001F03AD">
              <w:rPr>
                <w:rFonts w:ascii="Arial" w:hAnsi="Arial" w:cs="Arial"/>
                <w:color w:val="333333"/>
                <w:lang w:eastAsia="en-PH"/>
              </w:rPr>
              <w:t>B</w:t>
            </w:r>
          </w:p>
        </w:tc>
        <w:tc>
          <w:tcPr>
            <w:tcW w:w="0" w:type="auto"/>
            <w:tcBorders>
              <w:top w:val="nil"/>
              <w:left w:val="nil"/>
              <w:bottom w:val="nil"/>
              <w:right w:val="nil"/>
            </w:tcBorders>
            <w:tcMar>
              <w:top w:w="30" w:type="dxa"/>
              <w:left w:w="120" w:type="dxa"/>
              <w:bottom w:w="30" w:type="dxa"/>
              <w:right w:w="300" w:type="dxa"/>
            </w:tcMar>
            <w:hideMark/>
          </w:tcPr>
          <w:p w14:paraId="04189853"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-0.0703</w:t>
            </w:r>
          </w:p>
        </w:tc>
        <w:tc>
          <w:tcPr>
            <w:tcW w:w="0" w:type="auto"/>
            <w:tcBorders>
              <w:top w:val="nil"/>
              <w:left w:val="nil"/>
              <w:bottom w:val="nil"/>
              <w:right w:val="nil"/>
            </w:tcBorders>
            <w:tcMar>
              <w:top w:w="30" w:type="dxa"/>
              <w:left w:w="120" w:type="dxa"/>
              <w:bottom w:w="30" w:type="dxa"/>
              <w:right w:w="300" w:type="dxa"/>
            </w:tcMar>
            <w:hideMark/>
          </w:tcPr>
          <w:p w14:paraId="3E984E97"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0.0661</w:t>
            </w:r>
          </w:p>
        </w:tc>
        <w:tc>
          <w:tcPr>
            <w:tcW w:w="0" w:type="auto"/>
            <w:tcBorders>
              <w:top w:val="nil"/>
              <w:left w:val="nil"/>
              <w:bottom w:val="nil"/>
              <w:right w:val="nil"/>
            </w:tcBorders>
            <w:tcMar>
              <w:top w:w="30" w:type="dxa"/>
              <w:left w:w="120" w:type="dxa"/>
              <w:bottom w:w="30" w:type="dxa"/>
              <w:right w:w="300" w:type="dxa"/>
            </w:tcMar>
            <w:hideMark/>
          </w:tcPr>
          <w:p w14:paraId="740BD7A9"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-1.06</w:t>
            </w:r>
          </w:p>
        </w:tc>
        <w:tc>
          <w:tcPr>
            <w:tcW w:w="0" w:type="auto"/>
            <w:tcBorders>
              <w:top w:val="nil"/>
              <w:left w:val="nil"/>
              <w:bottom w:val="nil"/>
              <w:right w:val="nil"/>
            </w:tcBorders>
            <w:tcMar>
              <w:top w:w="30" w:type="dxa"/>
              <w:left w:w="120" w:type="dxa"/>
              <w:bottom w:w="30" w:type="dxa"/>
              <w:right w:w="300" w:type="dxa"/>
            </w:tcMar>
            <w:hideMark/>
          </w:tcPr>
          <w:p w14:paraId="055D6250"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0.288</w:t>
            </w:r>
          </w:p>
        </w:tc>
      </w:tr>
      <w:tr w:rsidR="00CD385C" w:rsidRPr="001F03AD" w14:paraId="3F0613F3" w14:textId="77777777" w:rsidTr="00CD385C">
        <w:trPr>
          <w:cantSplit/>
          <w:tblCellSpacing w:w="15" w:type="dxa"/>
        </w:trPr>
        <w:tc>
          <w:tcPr>
            <w:tcW w:w="0" w:type="auto"/>
            <w:tcBorders>
              <w:top w:val="nil"/>
              <w:left w:val="nil"/>
              <w:bottom w:val="single" w:sz="12" w:space="0" w:color="333333"/>
              <w:right w:val="nil"/>
            </w:tcBorders>
            <w:tcMar>
              <w:top w:w="60" w:type="dxa"/>
              <w:left w:w="120" w:type="dxa"/>
              <w:bottom w:w="120" w:type="dxa"/>
              <w:right w:w="120" w:type="dxa"/>
            </w:tcMar>
            <w:hideMark/>
          </w:tcPr>
          <w:p w14:paraId="62E561CE"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Environment</w:t>
            </w:r>
          </w:p>
        </w:tc>
        <w:tc>
          <w:tcPr>
            <w:tcW w:w="0" w:type="auto"/>
            <w:tcBorders>
              <w:top w:val="nil"/>
              <w:left w:val="nil"/>
              <w:bottom w:val="single" w:sz="12" w:space="0" w:color="333333"/>
              <w:right w:val="nil"/>
            </w:tcBorders>
            <w:tcMar>
              <w:top w:w="60" w:type="dxa"/>
              <w:left w:w="120" w:type="dxa"/>
              <w:bottom w:w="120" w:type="dxa"/>
              <w:right w:w="120" w:type="dxa"/>
            </w:tcMar>
            <w:hideMark/>
          </w:tcPr>
          <w:p w14:paraId="14E5F53A"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w:t>
            </w:r>
          </w:p>
        </w:tc>
        <w:tc>
          <w:tcPr>
            <w:tcW w:w="0" w:type="auto"/>
            <w:tcBorders>
              <w:top w:val="nil"/>
              <w:left w:val="nil"/>
              <w:bottom w:val="single" w:sz="12" w:space="0" w:color="333333"/>
              <w:right w:val="nil"/>
            </w:tcBorders>
            <w:tcMar>
              <w:top w:w="60" w:type="dxa"/>
              <w:left w:w="120" w:type="dxa"/>
              <w:bottom w:w="120" w:type="dxa"/>
              <w:right w:w="120" w:type="dxa"/>
            </w:tcMar>
            <w:hideMark/>
          </w:tcPr>
          <w:p w14:paraId="54FD804B" w14:textId="77777777" w:rsidR="00CD385C" w:rsidRPr="001F03AD" w:rsidRDefault="00CD385C" w:rsidP="00CD385C">
            <w:pPr>
              <w:rPr>
                <w:rFonts w:ascii="Arial" w:hAnsi="Arial" w:cs="Arial"/>
                <w:b/>
                <w:bCs/>
                <w:color w:val="333333"/>
                <w:lang w:eastAsia="en-PH"/>
              </w:rPr>
            </w:pPr>
            <w:r w:rsidRPr="001F03AD">
              <w:rPr>
                <w:rFonts w:ascii="Arial" w:hAnsi="Arial" w:cs="Arial"/>
                <w:b/>
                <w:bCs/>
                <w:color w:val="333333"/>
                <w:lang w:eastAsia="en-PH"/>
              </w:rPr>
              <w:t>Strategies</w:t>
            </w:r>
          </w:p>
        </w:tc>
        <w:tc>
          <w:tcPr>
            <w:tcW w:w="0" w:type="auto"/>
            <w:tcBorders>
              <w:top w:val="nil"/>
              <w:left w:val="nil"/>
              <w:bottom w:val="single" w:sz="12" w:space="0" w:color="333333"/>
              <w:right w:val="nil"/>
            </w:tcBorders>
            <w:tcMar>
              <w:top w:w="30" w:type="dxa"/>
              <w:left w:w="60" w:type="dxa"/>
              <w:bottom w:w="120" w:type="dxa"/>
              <w:right w:w="60" w:type="dxa"/>
            </w:tcMar>
            <w:hideMark/>
          </w:tcPr>
          <w:p w14:paraId="1C2FAF5D" w14:textId="77777777" w:rsidR="00CD385C" w:rsidRPr="001F03AD" w:rsidRDefault="00CD385C" w:rsidP="00CD385C">
            <w:pPr>
              <w:rPr>
                <w:rFonts w:ascii="Arial" w:hAnsi="Arial" w:cs="Arial"/>
                <w:color w:val="333333"/>
                <w:lang w:eastAsia="en-PH"/>
              </w:rPr>
            </w:pPr>
            <w:r w:rsidRPr="001F03AD">
              <w:rPr>
                <w:rFonts w:ascii="Arial" w:hAnsi="Arial" w:cs="Arial"/>
                <w:color w:val="333333"/>
                <w:lang w:eastAsia="en-PH"/>
              </w:rPr>
              <w:t>C</w:t>
            </w:r>
          </w:p>
        </w:tc>
        <w:tc>
          <w:tcPr>
            <w:tcW w:w="0" w:type="auto"/>
            <w:tcBorders>
              <w:top w:val="nil"/>
              <w:left w:val="nil"/>
              <w:bottom w:val="single" w:sz="12" w:space="0" w:color="333333"/>
              <w:right w:val="nil"/>
            </w:tcBorders>
            <w:tcMar>
              <w:top w:w="30" w:type="dxa"/>
              <w:left w:w="120" w:type="dxa"/>
              <w:bottom w:w="120" w:type="dxa"/>
              <w:right w:w="300" w:type="dxa"/>
            </w:tcMar>
            <w:hideMark/>
          </w:tcPr>
          <w:p w14:paraId="6C674EC3"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0.4464</w:t>
            </w:r>
          </w:p>
        </w:tc>
        <w:tc>
          <w:tcPr>
            <w:tcW w:w="0" w:type="auto"/>
            <w:tcBorders>
              <w:top w:val="nil"/>
              <w:left w:val="nil"/>
              <w:bottom w:val="single" w:sz="12" w:space="0" w:color="333333"/>
              <w:right w:val="nil"/>
            </w:tcBorders>
            <w:tcMar>
              <w:top w:w="30" w:type="dxa"/>
              <w:left w:w="120" w:type="dxa"/>
              <w:bottom w:w="120" w:type="dxa"/>
              <w:right w:w="300" w:type="dxa"/>
            </w:tcMar>
            <w:hideMark/>
          </w:tcPr>
          <w:p w14:paraId="52456FB9"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0.0651</w:t>
            </w:r>
          </w:p>
        </w:tc>
        <w:tc>
          <w:tcPr>
            <w:tcW w:w="0" w:type="auto"/>
            <w:tcBorders>
              <w:top w:val="nil"/>
              <w:left w:val="nil"/>
              <w:bottom w:val="single" w:sz="12" w:space="0" w:color="333333"/>
              <w:right w:val="nil"/>
            </w:tcBorders>
            <w:tcMar>
              <w:top w:w="30" w:type="dxa"/>
              <w:left w:w="120" w:type="dxa"/>
              <w:bottom w:w="120" w:type="dxa"/>
              <w:right w:w="300" w:type="dxa"/>
            </w:tcMar>
            <w:hideMark/>
          </w:tcPr>
          <w:p w14:paraId="4CDBE0CD"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6.86</w:t>
            </w:r>
          </w:p>
        </w:tc>
        <w:tc>
          <w:tcPr>
            <w:tcW w:w="0" w:type="auto"/>
            <w:tcBorders>
              <w:top w:val="nil"/>
              <w:left w:val="nil"/>
              <w:bottom w:val="single" w:sz="12" w:space="0" w:color="333333"/>
              <w:right w:val="nil"/>
            </w:tcBorders>
            <w:tcMar>
              <w:top w:w="30" w:type="dxa"/>
              <w:left w:w="120" w:type="dxa"/>
              <w:bottom w:w="120" w:type="dxa"/>
              <w:right w:w="300" w:type="dxa"/>
            </w:tcMar>
            <w:hideMark/>
          </w:tcPr>
          <w:p w14:paraId="2A4BF516" w14:textId="77777777" w:rsidR="00CD385C" w:rsidRPr="001F03AD" w:rsidRDefault="00CD385C" w:rsidP="00CD385C">
            <w:pPr>
              <w:jc w:val="right"/>
              <w:rPr>
                <w:rFonts w:ascii="Arial" w:hAnsi="Arial" w:cs="Arial"/>
                <w:color w:val="333333"/>
                <w:lang w:eastAsia="en-PH"/>
              </w:rPr>
            </w:pPr>
            <w:r w:rsidRPr="001F03AD">
              <w:rPr>
                <w:rFonts w:ascii="Arial" w:hAnsi="Arial" w:cs="Arial"/>
                <w:color w:val="333333"/>
                <w:lang w:eastAsia="en-PH"/>
              </w:rPr>
              <w:t>&lt;.001</w:t>
            </w:r>
          </w:p>
        </w:tc>
      </w:tr>
    </w:tbl>
    <w:p w14:paraId="0BAF4DFE" w14:textId="77777777" w:rsidR="00F47E50" w:rsidRDefault="00F47E50" w:rsidP="00F47E50">
      <w:pPr>
        <w:pStyle w:val="Body"/>
        <w:ind w:firstLine="720"/>
        <w:rPr>
          <w:rFonts w:ascii="Arial" w:hAnsi="Arial" w:cs="Arial"/>
        </w:rPr>
      </w:pPr>
    </w:p>
    <w:p w14:paraId="6D3A1424" w14:textId="77777777" w:rsidR="00ED7C38" w:rsidRDefault="00ED7C38" w:rsidP="00F47E50">
      <w:pPr>
        <w:pStyle w:val="Body"/>
        <w:ind w:firstLine="720"/>
        <w:rPr>
          <w:rFonts w:ascii="Arial" w:hAnsi="Arial" w:cs="Arial"/>
        </w:rPr>
      </w:pPr>
    </w:p>
    <w:p w14:paraId="1D9B1031" w14:textId="77777777" w:rsidR="00ED7C38" w:rsidRDefault="00ED7C38" w:rsidP="00F47E50">
      <w:pPr>
        <w:pStyle w:val="Body"/>
        <w:ind w:firstLine="720"/>
        <w:rPr>
          <w:rFonts w:ascii="Arial" w:hAnsi="Arial" w:cs="Arial"/>
        </w:rPr>
      </w:pPr>
    </w:p>
    <w:p w14:paraId="4AF328F9" w14:textId="77777777" w:rsidR="00ED7C38" w:rsidRDefault="00ED7C38" w:rsidP="00F47E50">
      <w:pPr>
        <w:pStyle w:val="Body"/>
        <w:ind w:firstLine="720"/>
        <w:rPr>
          <w:rFonts w:ascii="Arial" w:hAnsi="Arial" w:cs="Arial"/>
        </w:rPr>
      </w:pPr>
    </w:p>
    <w:p w14:paraId="0FC1468E" w14:textId="77777777" w:rsidR="00ED7C38" w:rsidRDefault="00ED7C38" w:rsidP="00F47E50">
      <w:pPr>
        <w:pStyle w:val="Body"/>
        <w:ind w:firstLine="720"/>
        <w:rPr>
          <w:rFonts w:ascii="Arial" w:hAnsi="Arial" w:cs="Arial"/>
        </w:rPr>
      </w:pPr>
    </w:p>
    <w:p w14:paraId="589049A3" w14:textId="42A6B02B" w:rsidR="00F47E50" w:rsidRPr="00F47E50" w:rsidRDefault="00F47E50" w:rsidP="00F47E50">
      <w:pPr>
        <w:pStyle w:val="Body"/>
        <w:ind w:firstLine="720"/>
        <w:rPr>
          <w:rFonts w:ascii="Arial" w:hAnsi="Arial" w:cs="Arial"/>
        </w:rPr>
      </w:pPr>
      <w:r w:rsidRPr="00F47E50">
        <w:rPr>
          <w:rFonts w:ascii="Arial" w:hAnsi="Arial" w:cs="Arial"/>
        </w:rPr>
        <w:t xml:space="preserve">As shown in Table 3, the mediation analysis revealed that the total effect of Classroom Learning Environment on Language Learning Strategies was statistically significant, with an estimate of 0.4761 and a p-value of .000 which indicates that a positive classroom environment directly enhances students' use of language learning strategies. This finding aligns with the findings of </w:t>
      </w:r>
      <w:proofErr w:type="spellStart"/>
      <w:r w:rsidRPr="00F47E50">
        <w:rPr>
          <w:rFonts w:ascii="Arial" w:hAnsi="Arial" w:cs="Arial"/>
        </w:rPr>
        <w:t>Alqarni</w:t>
      </w:r>
      <w:proofErr w:type="spellEnd"/>
      <w:r w:rsidRPr="00F47E50">
        <w:rPr>
          <w:rFonts w:ascii="Arial" w:hAnsi="Arial" w:cs="Arial"/>
        </w:rPr>
        <w:t xml:space="preserve"> (2023), who found that a positive classroom environment significantly predicted the use of language learning strategies among Saudi EFL learners. Learners in supportive settings reported higher engagement and language strategy use, contributing to better language achievement.</w:t>
      </w:r>
    </w:p>
    <w:p w14:paraId="3265CF5A" w14:textId="568FAB24" w:rsidR="00F47E50" w:rsidRPr="00F47E50" w:rsidRDefault="00F47E50" w:rsidP="00F47E50">
      <w:pPr>
        <w:pStyle w:val="Body"/>
        <w:rPr>
          <w:rFonts w:ascii="Arial" w:hAnsi="Arial" w:cs="Arial"/>
        </w:rPr>
      </w:pPr>
      <w:r w:rsidRPr="00F47E50">
        <w:rPr>
          <w:rFonts w:ascii="Arial" w:hAnsi="Arial" w:cs="Arial"/>
        </w:rPr>
        <w:t>The direct effect of Classroom Learning Environment on Language Learning Strategies was also significant, with an estimate of 0.4464 and a p-value of .000. which indicates that the classroom learning environment has an independent and strong impact on how students approach language learning. This result aligns with the findings of Zhang (2024), who emphasizes that classroom environmental factors such as harmonious teacher-student relationships, cooperative peer interactions, and well-chosen instructional materials not only significantly influence language learning strategies but also help mitigate anxiety, enabling students to effectively apply these strategies even in the presence of anxiety.</w:t>
      </w:r>
    </w:p>
    <w:p w14:paraId="3BF257B2" w14:textId="77777777" w:rsidR="00F47E50" w:rsidRPr="00F47E50" w:rsidRDefault="00F47E50" w:rsidP="00F47E50">
      <w:pPr>
        <w:pStyle w:val="Body"/>
        <w:rPr>
          <w:rFonts w:ascii="Arial" w:hAnsi="Arial" w:cs="Arial"/>
        </w:rPr>
      </w:pPr>
      <w:r w:rsidRPr="00F47E50">
        <w:rPr>
          <w:rFonts w:ascii="Arial" w:hAnsi="Arial" w:cs="Arial"/>
        </w:rPr>
        <w:t xml:space="preserve">The indirect effect of Classroom Learning Environment on Language Learning Strategies through English Language Anxiety was statistically insignificant, with an estimate of 0.0297 and a p-value of .293 which indicates that while classroom environment impacts anxiety, it is the positive environment itself, not reduced anxiety, that directly enhances students’ use of language learning strategies, with only 6.25% of the total effect mediated, and 93.75% attributed to the direct effect. According to Preacher and Hayes (2011), a proportion of mediation below 20% is considered insufficient to establish mediation. This finding, which indicates a statistically insignificant mediating effect of English language anxiety, aligns with the findings of Bernal (2021), who emphasized that although a positive classroom environment can reduce language anxiety, this reduction does not necessarily mediate the relationship between the learning environment and students’ coping strategies, suggesting that lowering anxiety alone may not directly enhance strategy use. Similarly, </w:t>
      </w:r>
      <w:proofErr w:type="spellStart"/>
      <w:r w:rsidRPr="00F47E50">
        <w:rPr>
          <w:rFonts w:ascii="Arial" w:hAnsi="Arial" w:cs="Arial"/>
        </w:rPr>
        <w:t>Abulle</w:t>
      </w:r>
      <w:proofErr w:type="spellEnd"/>
      <w:r w:rsidRPr="00F47E50">
        <w:rPr>
          <w:rFonts w:ascii="Arial" w:hAnsi="Arial" w:cs="Arial"/>
        </w:rPr>
        <w:t xml:space="preserve"> and </w:t>
      </w:r>
      <w:proofErr w:type="spellStart"/>
      <w:r w:rsidRPr="00F47E50">
        <w:rPr>
          <w:rFonts w:ascii="Arial" w:hAnsi="Arial" w:cs="Arial"/>
        </w:rPr>
        <w:t>Miralles</w:t>
      </w:r>
      <w:proofErr w:type="spellEnd"/>
      <w:r w:rsidRPr="00F47E50">
        <w:rPr>
          <w:rFonts w:ascii="Arial" w:hAnsi="Arial" w:cs="Arial"/>
        </w:rPr>
        <w:t xml:space="preserve"> (2023) found that English language anxiety had an insignificant mediating effect between the classroom learning environment and students’ strategy use, indicating that while supportive classrooms promote strategy use, this may occur independently of anxiety reduction. Moreover, Wang (2023) noted that positive teacher behavior increased student engagement and the use of language strategies, which subsequently reduced anxiety, but anxiety did not mediate the connection between classroom environment and strategic learning; rather, strategy use stemmed more directly from heightened engagement and motivation. Likewise, Herman et al. (2023) reported strong associations between language anxiety and coping strategies, but not as a function of the classroom environment. Collectively, these studies support the conclusion that although classroom climate influences both anxiety and strategy use, the connection between them is not necessarily causal or sequential.</w:t>
      </w:r>
    </w:p>
    <w:p w14:paraId="02EA179A" w14:textId="77777777" w:rsidR="00E053D0" w:rsidRDefault="00E053D0" w:rsidP="00441B6F">
      <w:pPr>
        <w:pStyle w:val="Body"/>
        <w:spacing w:after="0"/>
        <w:rPr>
          <w:rFonts w:ascii="Arial" w:hAnsi="Arial" w:cs="Arial"/>
        </w:rPr>
      </w:pPr>
    </w:p>
    <w:p w14:paraId="699816CE" w14:textId="77777777" w:rsidR="00790ADA" w:rsidRPr="00FB3A86" w:rsidRDefault="00790ADA" w:rsidP="00441B6F">
      <w:pPr>
        <w:pStyle w:val="Body"/>
        <w:spacing w:after="0"/>
        <w:rPr>
          <w:rFonts w:ascii="Arial" w:hAnsi="Arial" w:cs="Arial"/>
        </w:rPr>
      </w:pPr>
    </w:p>
    <w:p w14:paraId="0AAFCEF5"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15A349A0" w14:textId="77777777" w:rsidR="00790ADA" w:rsidRPr="00FB3A86" w:rsidRDefault="00790ADA" w:rsidP="00441B6F">
      <w:pPr>
        <w:pStyle w:val="ConcHead"/>
        <w:spacing w:after="0"/>
        <w:jc w:val="both"/>
        <w:rPr>
          <w:rFonts w:ascii="Arial" w:hAnsi="Arial" w:cs="Arial"/>
        </w:rPr>
      </w:pPr>
    </w:p>
    <w:p w14:paraId="69F0731B" w14:textId="5914E5B5" w:rsidR="00790ADA" w:rsidRDefault="00A0542B" w:rsidP="00441B6F">
      <w:pPr>
        <w:pStyle w:val="Body"/>
        <w:spacing w:after="0"/>
        <w:rPr>
          <w:rFonts w:ascii="Arial" w:hAnsi="Arial" w:cs="Arial"/>
        </w:rPr>
      </w:pPr>
      <w:r w:rsidRPr="00A0542B">
        <w:rPr>
          <w:rFonts w:ascii="Arial" w:hAnsi="Arial" w:cs="Arial"/>
        </w:rPr>
        <w:t>Based on the results, it was concluded that English language anxiety did not significantly mediate the relationship between the classroom learning environment and language learning strategies among senior high school students. The degree of mediation is only 6.25%. Moreover the 93.75% is accounted for a direct effect. This contradicts Krashen’s Affective Filter Hypothesis, as they show that even though a low-anxiety classroom environment may reduce English language anxiety, this reduction does not significantly influence the use of language learning strategies, indicating that anxiety may not be the key mechanism linking classroom environment to strategic learning behavior.</w:t>
      </w:r>
    </w:p>
    <w:p w14:paraId="39D4FE65" w14:textId="77777777" w:rsidR="00EA381B" w:rsidRPr="00FB3A86" w:rsidRDefault="00EA381B" w:rsidP="00441B6F">
      <w:pPr>
        <w:pStyle w:val="Body"/>
        <w:spacing w:after="0"/>
        <w:rPr>
          <w:rFonts w:ascii="Arial" w:hAnsi="Arial" w:cs="Arial"/>
        </w:rPr>
      </w:pPr>
    </w:p>
    <w:p w14:paraId="3732D51D" w14:textId="77777777" w:rsidR="00315186" w:rsidRPr="00315186" w:rsidRDefault="00315186" w:rsidP="00441B6F"/>
    <w:p w14:paraId="60747F3E" w14:textId="77777777" w:rsidR="00840759" w:rsidRPr="00BA6725" w:rsidRDefault="00840759" w:rsidP="00840759">
      <w:pPr>
        <w:rPr>
          <w:b/>
          <w:highlight w:val="yellow"/>
        </w:rPr>
      </w:pPr>
      <w:bookmarkStart w:id="0" w:name="_Hlk196574156"/>
      <w:r w:rsidRPr="00BA6725">
        <w:rPr>
          <w:b/>
          <w:highlight w:val="yellow"/>
        </w:rPr>
        <w:t>Disclaimer (Artificial intelligence)</w:t>
      </w:r>
    </w:p>
    <w:p w14:paraId="70425CF0" w14:textId="77777777" w:rsidR="00840759" w:rsidRPr="00740879" w:rsidRDefault="00840759" w:rsidP="00840759">
      <w:pPr>
        <w:rPr>
          <w:highlight w:val="yellow"/>
        </w:rPr>
      </w:pPr>
      <w:r w:rsidRPr="00740879">
        <w:rPr>
          <w:highlight w:val="yellow"/>
        </w:rPr>
        <w:t xml:space="preserve">Option 1: </w:t>
      </w:r>
    </w:p>
    <w:p w14:paraId="3CF46736" w14:textId="77777777" w:rsidR="00840759" w:rsidRPr="00740879" w:rsidRDefault="00840759" w:rsidP="0084075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07285E8F" w14:textId="77777777" w:rsidR="00840759" w:rsidRPr="00740879" w:rsidRDefault="00840759" w:rsidP="00840759">
      <w:pPr>
        <w:rPr>
          <w:highlight w:val="yellow"/>
        </w:rPr>
      </w:pPr>
      <w:r w:rsidRPr="00740879">
        <w:rPr>
          <w:highlight w:val="yellow"/>
        </w:rPr>
        <w:t xml:space="preserve">Option 2: </w:t>
      </w:r>
    </w:p>
    <w:p w14:paraId="32C0428E" w14:textId="77777777" w:rsidR="00840759" w:rsidRPr="00740879" w:rsidRDefault="00840759" w:rsidP="00840759">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C61AAE" w14:textId="77777777" w:rsidR="00840759" w:rsidRPr="00740879" w:rsidRDefault="00840759" w:rsidP="00840759">
      <w:pPr>
        <w:rPr>
          <w:highlight w:val="yellow"/>
        </w:rPr>
      </w:pPr>
      <w:r w:rsidRPr="00740879">
        <w:rPr>
          <w:highlight w:val="yellow"/>
        </w:rPr>
        <w:t>Details of the AI usage are given below:</w:t>
      </w:r>
    </w:p>
    <w:p w14:paraId="0EFA3791" w14:textId="77777777" w:rsidR="00840759" w:rsidRPr="00740879" w:rsidRDefault="00840759" w:rsidP="00840759">
      <w:pPr>
        <w:rPr>
          <w:highlight w:val="yellow"/>
        </w:rPr>
      </w:pPr>
      <w:r w:rsidRPr="00740879">
        <w:rPr>
          <w:highlight w:val="yellow"/>
        </w:rPr>
        <w:t>1.</w:t>
      </w:r>
    </w:p>
    <w:p w14:paraId="30326B8D" w14:textId="77777777" w:rsidR="00840759" w:rsidRPr="00740879" w:rsidRDefault="00840759" w:rsidP="00840759">
      <w:pPr>
        <w:rPr>
          <w:highlight w:val="yellow"/>
        </w:rPr>
      </w:pPr>
      <w:r w:rsidRPr="00740879">
        <w:rPr>
          <w:highlight w:val="yellow"/>
        </w:rPr>
        <w:t>2.</w:t>
      </w:r>
    </w:p>
    <w:p w14:paraId="34269D1E" w14:textId="52E93D6A" w:rsidR="00315186" w:rsidRPr="00315186" w:rsidRDefault="00840759" w:rsidP="00441B6F">
      <w:r w:rsidRPr="00740879">
        <w:rPr>
          <w:highlight w:val="yellow"/>
        </w:rPr>
        <w:t>3.</w:t>
      </w:r>
      <w:bookmarkEnd w:id="0"/>
    </w:p>
    <w:p w14:paraId="48664ABC" w14:textId="77777777" w:rsidR="00315186" w:rsidRPr="00315186" w:rsidRDefault="00315186" w:rsidP="00441B6F"/>
    <w:p w14:paraId="6208A644" w14:textId="77777777" w:rsidR="00F4382E" w:rsidRPr="00F4382E" w:rsidRDefault="00F4382E" w:rsidP="00F4382E">
      <w:pPr>
        <w:pStyle w:val="ReferHead"/>
        <w:spacing w:after="0"/>
        <w:jc w:val="both"/>
        <w:rPr>
          <w:rFonts w:ascii="Arial" w:eastAsia="Calibri" w:hAnsi="Arial" w:cs="Arial"/>
          <w:b w:val="0"/>
          <w:caps w:val="0"/>
          <w:kern w:val="2"/>
          <w:sz w:val="20"/>
        </w:rPr>
      </w:pPr>
    </w:p>
    <w:p w14:paraId="05B0B4E2" w14:textId="77777777" w:rsidR="008342E5" w:rsidRDefault="008342E5" w:rsidP="00441B6F">
      <w:pPr>
        <w:pStyle w:val="ReferHead"/>
        <w:spacing w:after="0"/>
        <w:jc w:val="both"/>
        <w:rPr>
          <w:rFonts w:ascii="Arial" w:hAnsi="Arial" w:cs="Arial"/>
        </w:rPr>
      </w:pPr>
    </w:p>
    <w:p w14:paraId="266A083E" w14:textId="3AC07E0E" w:rsidR="00B01FCD" w:rsidRDefault="00B01FCD" w:rsidP="00441B6F">
      <w:pPr>
        <w:pStyle w:val="ReferHead"/>
        <w:spacing w:after="0"/>
        <w:jc w:val="both"/>
        <w:rPr>
          <w:rFonts w:ascii="Arial" w:hAnsi="Arial" w:cs="Arial"/>
        </w:rPr>
      </w:pPr>
      <w:r w:rsidRPr="00FB3A86">
        <w:rPr>
          <w:rFonts w:ascii="Arial" w:hAnsi="Arial" w:cs="Arial"/>
        </w:rPr>
        <w:t>References</w:t>
      </w:r>
    </w:p>
    <w:p w14:paraId="4CCB0A44" w14:textId="77777777" w:rsidR="00790ADA" w:rsidRPr="00FB3A86" w:rsidRDefault="00790ADA" w:rsidP="00441B6F">
      <w:pPr>
        <w:pStyle w:val="ReferHead"/>
        <w:spacing w:after="0"/>
        <w:jc w:val="both"/>
        <w:rPr>
          <w:rFonts w:ascii="Arial" w:hAnsi="Arial" w:cs="Arial"/>
        </w:rPr>
      </w:pPr>
    </w:p>
    <w:p w14:paraId="579DE265" w14:textId="77777777" w:rsidR="00B02171" w:rsidRPr="00B02171" w:rsidRDefault="00B02171" w:rsidP="00B02171">
      <w:pPr>
        <w:ind w:left="720" w:right="284" w:hanging="720"/>
        <w:jc w:val="both"/>
        <w:rPr>
          <w:rFonts w:ascii="Arial" w:hAnsi="Arial" w:cs="Arial"/>
        </w:rPr>
      </w:pPr>
      <w:proofErr w:type="spellStart"/>
      <w:r w:rsidRPr="00B02171">
        <w:rPr>
          <w:rFonts w:ascii="Arial" w:hAnsi="Arial" w:cs="Arial"/>
        </w:rPr>
        <w:t>Hamdalo</w:t>
      </w:r>
      <w:proofErr w:type="spellEnd"/>
      <w:r w:rsidRPr="00B02171">
        <w:rPr>
          <w:rFonts w:ascii="Arial" w:hAnsi="Arial" w:cs="Arial"/>
        </w:rPr>
        <w:t xml:space="preserve">, J., Rodriguez-Martinez, L. A., &amp; Dominguez-Garcia, M. I. (2023). English language learning in multilingual settings: Challenges, advantages, and pedagogical implications. </w:t>
      </w:r>
      <w:r w:rsidRPr="00B02171">
        <w:rPr>
          <w:rFonts w:ascii="Arial" w:hAnsi="Arial" w:cs="Arial"/>
          <w:i/>
          <w:iCs/>
        </w:rPr>
        <w:t>Deleted Journal, 1</w:t>
      </w:r>
      <w:r w:rsidRPr="00B02171">
        <w:rPr>
          <w:rFonts w:ascii="Arial" w:hAnsi="Arial" w:cs="Arial"/>
        </w:rPr>
        <w:t xml:space="preserve">(3). </w:t>
      </w:r>
    </w:p>
    <w:p w14:paraId="1A4D4FF6" w14:textId="1A757F44" w:rsidR="00B02171" w:rsidRDefault="00B02171" w:rsidP="00B02171">
      <w:pPr>
        <w:ind w:left="720" w:right="284" w:hanging="720"/>
        <w:jc w:val="both"/>
        <w:rPr>
          <w:rFonts w:ascii="Arial" w:hAnsi="Arial" w:cs="Arial"/>
        </w:rPr>
      </w:pPr>
      <w:proofErr w:type="spellStart"/>
      <w:r w:rsidRPr="00B02171">
        <w:rPr>
          <w:rFonts w:ascii="Arial" w:hAnsi="Arial" w:cs="Arial"/>
        </w:rPr>
        <w:t>Alharbi</w:t>
      </w:r>
      <w:proofErr w:type="spellEnd"/>
      <w:r w:rsidRPr="00B02171">
        <w:rPr>
          <w:rFonts w:ascii="Arial" w:hAnsi="Arial" w:cs="Arial"/>
        </w:rPr>
        <w:t>, S. H. (2021). The Struggling English Language Learners: Case Studies of English Language Learning Difficulties in EFL Context. </w:t>
      </w:r>
      <w:r w:rsidRPr="00B02171">
        <w:rPr>
          <w:rFonts w:ascii="Arial" w:hAnsi="Arial" w:cs="Arial"/>
          <w:i/>
          <w:iCs/>
        </w:rPr>
        <w:t>English Language Teaching</w:t>
      </w:r>
      <w:r w:rsidRPr="00B02171">
        <w:rPr>
          <w:rFonts w:ascii="Arial" w:hAnsi="Arial" w:cs="Arial"/>
        </w:rPr>
        <w:t>, </w:t>
      </w:r>
      <w:r w:rsidRPr="00B02171">
        <w:rPr>
          <w:rFonts w:ascii="Arial" w:hAnsi="Arial" w:cs="Arial"/>
          <w:i/>
          <w:iCs/>
        </w:rPr>
        <w:t>14</w:t>
      </w:r>
      <w:r w:rsidRPr="00B02171">
        <w:rPr>
          <w:rFonts w:ascii="Arial" w:hAnsi="Arial" w:cs="Arial"/>
        </w:rPr>
        <w:t xml:space="preserve">(11), 108–117. https://eric.ed.gov/?id=EJ1318092 </w:t>
      </w:r>
    </w:p>
    <w:p w14:paraId="12F9F4D4" w14:textId="7283F348" w:rsidR="00B02171" w:rsidRPr="00B02171" w:rsidRDefault="00B02171" w:rsidP="00B02171">
      <w:pPr>
        <w:ind w:left="720" w:right="284" w:hanging="720"/>
        <w:jc w:val="both"/>
        <w:rPr>
          <w:rFonts w:ascii="Arial" w:hAnsi="Arial" w:cs="Arial"/>
        </w:rPr>
      </w:pPr>
      <w:r w:rsidRPr="00B02171">
        <w:rPr>
          <w:rFonts w:ascii="Arial" w:hAnsi="Arial" w:cs="Arial"/>
        </w:rPr>
        <w:t xml:space="preserve">Griffiths, C., &amp; </w:t>
      </w:r>
      <w:proofErr w:type="spellStart"/>
      <w:r w:rsidRPr="00B02171">
        <w:rPr>
          <w:rFonts w:ascii="Arial" w:hAnsi="Arial" w:cs="Arial"/>
        </w:rPr>
        <w:t>Soruç</w:t>
      </w:r>
      <w:proofErr w:type="spellEnd"/>
      <w:r w:rsidRPr="00B02171">
        <w:rPr>
          <w:rFonts w:ascii="Arial" w:hAnsi="Arial" w:cs="Arial"/>
        </w:rPr>
        <w:t xml:space="preserve">, A. (2020). Language learning strategies. In </w:t>
      </w:r>
      <w:r w:rsidRPr="00B02171">
        <w:rPr>
          <w:rFonts w:ascii="Arial" w:hAnsi="Arial" w:cs="Arial"/>
          <w:i/>
          <w:iCs/>
        </w:rPr>
        <w:t>Individual differences in language learning</w:t>
      </w:r>
      <w:r w:rsidRPr="00B02171">
        <w:rPr>
          <w:rFonts w:ascii="Arial" w:hAnsi="Arial" w:cs="Arial"/>
        </w:rPr>
        <w:t xml:space="preserve"> (pp. 113–129). Springer. https://doi.org/10.1007/978-3-030-52900-0_8</w:t>
      </w:r>
    </w:p>
    <w:p w14:paraId="3BB5E034" w14:textId="51B09B9E" w:rsidR="000879CB" w:rsidRPr="000442FD" w:rsidRDefault="000879CB" w:rsidP="000442FD">
      <w:pPr>
        <w:ind w:left="720" w:right="284" w:hanging="720"/>
        <w:jc w:val="both"/>
        <w:rPr>
          <w:rFonts w:ascii="Arial" w:hAnsi="Arial" w:cs="Arial"/>
        </w:rPr>
      </w:pPr>
      <w:r w:rsidRPr="000442FD">
        <w:rPr>
          <w:rFonts w:ascii="Arial" w:hAnsi="Arial" w:cs="Arial"/>
        </w:rPr>
        <w:t xml:space="preserve">Lestari, M., &amp; </w:t>
      </w:r>
      <w:proofErr w:type="spellStart"/>
      <w:r w:rsidRPr="000442FD">
        <w:rPr>
          <w:rFonts w:ascii="Arial" w:hAnsi="Arial" w:cs="Arial"/>
        </w:rPr>
        <w:t>Wahyudin</w:t>
      </w:r>
      <w:proofErr w:type="spellEnd"/>
      <w:r w:rsidRPr="000442FD">
        <w:rPr>
          <w:rFonts w:ascii="Arial" w:hAnsi="Arial" w:cs="Arial"/>
        </w:rPr>
        <w:t xml:space="preserve">, A. Y. (2020). Language learning strategies of undergraduate EFL students. </w:t>
      </w:r>
      <w:r w:rsidRPr="000442FD">
        <w:rPr>
          <w:rFonts w:ascii="Arial" w:hAnsi="Arial" w:cs="Arial"/>
          <w:i/>
          <w:iCs/>
        </w:rPr>
        <w:t>Journal of English Language Teaching and Learning, 1</w:t>
      </w:r>
      <w:r w:rsidRPr="000442FD">
        <w:rPr>
          <w:rFonts w:ascii="Arial" w:hAnsi="Arial" w:cs="Arial"/>
        </w:rPr>
        <w:t>(1), 25–30. https://doi.org/10.33365/jeltl.v1i1.242</w:t>
      </w:r>
    </w:p>
    <w:p w14:paraId="0C6F9250" w14:textId="22350B3B" w:rsidR="000879CB" w:rsidRPr="000442FD" w:rsidRDefault="000879CB" w:rsidP="000442FD">
      <w:pPr>
        <w:ind w:left="720" w:right="284" w:hanging="720"/>
        <w:jc w:val="both"/>
        <w:rPr>
          <w:rFonts w:ascii="Arial" w:hAnsi="Arial" w:cs="Arial"/>
        </w:rPr>
      </w:pPr>
      <w:proofErr w:type="spellStart"/>
      <w:r w:rsidRPr="000442FD">
        <w:rPr>
          <w:rFonts w:ascii="Arial" w:hAnsi="Arial" w:cs="Arial"/>
        </w:rPr>
        <w:t>Bastida</w:t>
      </w:r>
      <w:proofErr w:type="spellEnd"/>
      <w:r w:rsidRPr="000442FD">
        <w:rPr>
          <w:rFonts w:ascii="Arial" w:hAnsi="Arial" w:cs="Arial"/>
        </w:rPr>
        <w:t xml:space="preserve">, E., </w:t>
      </w:r>
      <w:proofErr w:type="spellStart"/>
      <w:r w:rsidRPr="000442FD">
        <w:rPr>
          <w:rFonts w:ascii="Arial" w:hAnsi="Arial" w:cs="Arial"/>
        </w:rPr>
        <w:t>Saysi</w:t>
      </w:r>
      <w:proofErr w:type="spellEnd"/>
      <w:r w:rsidRPr="000442FD">
        <w:rPr>
          <w:rFonts w:ascii="Arial" w:hAnsi="Arial" w:cs="Arial"/>
        </w:rPr>
        <w:t xml:space="preserve">, J., Vigil, L., </w:t>
      </w:r>
      <w:proofErr w:type="spellStart"/>
      <w:r w:rsidRPr="000442FD">
        <w:rPr>
          <w:rFonts w:ascii="Arial" w:hAnsi="Arial" w:cs="Arial"/>
        </w:rPr>
        <w:t>Batuctoc</w:t>
      </w:r>
      <w:proofErr w:type="spellEnd"/>
      <w:r w:rsidRPr="000442FD">
        <w:rPr>
          <w:rFonts w:ascii="Arial" w:hAnsi="Arial" w:cs="Arial"/>
        </w:rPr>
        <w:t xml:space="preserve">, M., &amp; </w:t>
      </w:r>
      <w:proofErr w:type="spellStart"/>
      <w:r w:rsidRPr="000442FD">
        <w:rPr>
          <w:rFonts w:ascii="Arial" w:hAnsi="Arial" w:cs="Arial"/>
        </w:rPr>
        <w:t>Orcid</w:t>
      </w:r>
      <w:proofErr w:type="spellEnd"/>
      <w:r w:rsidRPr="000442FD">
        <w:rPr>
          <w:rFonts w:ascii="Arial" w:hAnsi="Arial" w:cs="Arial"/>
        </w:rPr>
        <w:t xml:space="preserve">. (2022). Pedagogical struggles and gaps in language literacy enhancement: The case of indigenous people’s education teachers in the Philippines. </w:t>
      </w:r>
      <w:r w:rsidRPr="000442FD">
        <w:rPr>
          <w:rFonts w:ascii="Arial" w:hAnsi="Arial" w:cs="Arial"/>
          <w:i/>
          <w:iCs/>
        </w:rPr>
        <w:t>International Journal of Curriculum and Instruction, 15</w:t>
      </w:r>
      <w:r w:rsidRPr="000442FD">
        <w:rPr>
          <w:rFonts w:ascii="Arial" w:hAnsi="Arial" w:cs="Arial"/>
        </w:rPr>
        <w:t>(1), 142–165. https://files.eric.ed.gov/fulltext/EJ1383105.pdf</w:t>
      </w:r>
    </w:p>
    <w:p w14:paraId="7ACEE734" w14:textId="77777777" w:rsidR="000879CB" w:rsidRPr="000442FD" w:rsidRDefault="000879CB" w:rsidP="000442FD">
      <w:pPr>
        <w:ind w:left="720" w:right="284" w:hanging="720"/>
        <w:jc w:val="both"/>
        <w:rPr>
          <w:rFonts w:ascii="Arial" w:hAnsi="Arial" w:cs="Arial"/>
        </w:rPr>
      </w:pPr>
      <w:proofErr w:type="spellStart"/>
      <w:r w:rsidRPr="000442FD">
        <w:rPr>
          <w:rFonts w:ascii="Arial" w:hAnsi="Arial" w:cs="Arial"/>
        </w:rPr>
        <w:t>Villacorta</w:t>
      </w:r>
      <w:proofErr w:type="spellEnd"/>
      <w:r w:rsidRPr="000442FD">
        <w:rPr>
          <w:rFonts w:ascii="Arial" w:hAnsi="Arial" w:cs="Arial"/>
        </w:rPr>
        <w:t xml:space="preserve">, A. M. (2021). Language learning strategies and their impact on language proficiency: A study of Filipino learners. </w:t>
      </w:r>
      <w:r w:rsidRPr="000442FD">
        <w:rPr>
          <w:rFonts w:ascii="Arial" w:hAnsi="Arial" w:cs="Arial"/>
          <w:i/>
          <w:iCs/>
        </w:rPr>
        <w:t>International Journal of Language Studies, 15</w:t>
      </w:r>
      <w:r w:rsidRPr="000442FD">
        <w:rPr>
          <w:rFonts w:ascii="Arial" w:hAnsi="Arial" w:cs="Arial"/>
        </w:rPr>
        <w:t>(2), 123–140.</w:t>
      </w:r>
    </w:p>
    <w:p w14:paraId="730DC0B7" w14:textId="71604A04" w:rsidR="000879CB" w:rsidRPr="000442FD" w:rsidRDefault="000879CB" w:rsidP="000442FD">
      <w:pPr>
        <w:ind w:left="720" w:right="284" w:hanging="720"/>
        <w:jc w:val="both"/>
        <w:rPr>
          <w:rFonts w:ascii="Arial" w:hAnsi="Arial" w:cs="Arial"/>
        </w:rPr>
      </w:pPr>
      <w:proofErr w:type="spellStart"/>
      <w:r w:rsidRPr="000442FD">
        <w:rPr>
          <w:rFonts w:ascii="Arial" w:hAnsi="Arial" w:cs="Arial"/>
        </w:rPr>
        <w:t>Degissew</w:t>
      </w:r>
      <w:proofErr w:type="spellEnd"/>
      <w:r w:rsidRPr="000442FD">
        <w:rPr>
          <w:rFonts w:ascii="Arial" w:hAnsi="Arial" w:cs="Arial"/>
        </w:rPr>
        <w:t xml:space="preserve">, D., &amp; </w:t>
      </w:r>
      <w:proofErr w:type="spellStart"/>
      <w:r w:rsidRPr="000442FD">
        <w:rPr>
          <w:rFonts w:ascii="Arial" w:hAnsi="Arial" w:cs="Arial"/>
        </w:rPr>
        <w:t>Beriso</w:t>
      </w:r>
      <w:proofErr w:type="spellEnd"/>
      <w:r w:rsidRPr="000442FD">
        <w:rPr>
          <w:rFonts w:ascii="Arial" w:hAnsi="Arial" w:cs="Arial"/>
        </w:rPr>
        <w:t xml:space="preserve">, I. (2022). </w:t>
      </w:r>
      <w:r w:rsidRPr="000442FD">
        <w:rPr>
          <w:rFonts w:ascii="Arial" w:hAnsi="Arial" w:cs="Arial"/>
          <w:i/>
          <w:iCs/>
        </w:rPr>
        <w:t>Assessing Students’ Use of Language Learning Strategies and Their Impact on Study Year</w:t>
      </w:r>
      <w:r w:rsidRPr="000442FD">
        <w:rPr>
          <w:rFonts w:ascii="Arial" w:hAnsi="Arial" w:cs="Arial"/>
        </w:rPr>
        <w:t xml:space="preserve">. International Journal of Language and Linguistics, 10(2), 77–85. https://doi.org/10.11648/j.ijll.20221002.13 </w:t>
      </w:r>
    </w:p>
    <w:p w14:paraId="11615665" w14:textId="7A149BFA" w:rsidR="000879CB" w:rsidRPr="000442FD" w:rsidRDefault="000879CB" w:rsidP="000442FD">
      <w:pPr>
        <w:ind w:left="720" w:right="284" w:hanging="720"/>
        <w:jc w:val="both"/>
        <w:rPr>
          <w:rFonts w:ascii="Arial" w:hAnsi="Arial" w:cs="Arial"/>
        </w:rPr>
      </w:pPr>
      <w:r w:rsidRPr="000442FD">
        <w:rPr>
          <w:rFonts w:ascii="Arial" w:hAnsi="Arial" w:cs="Arial"/>
        </w:rPr>
        <w:t xml:space="preserve">Bhandari, P. (2020). </w:t>
      </w:r>
      <w:r w:rsidRPr="000442FD">
        <w:rPr>
          <w:rFonts w:ascii="Arial" w:hAnsi="Arial" w:cs="Arial"/>
          <w:i/>
          <w:iCs/>
        </w:rPr>
        <w:t>An introduction to quantitative research</w:t>
      </w:r>
      <w:r w:rsidRPr="000442FD">
        <w:rPr>
          <w:rFonts w:ascii="Arial" w:hAnsi="Arial" w:cs="Arial"/>
        </w:rPr>
        <w:t xml:space="preserve">. </w:t>
      </w:r>
      <w:proofErr w:type="spellStart"/>
      <w:r w:rsidRPr="000442FD">
        <w:rPr>
          <w:rFonts w:ascii="Arial" w:hAnsi="Arial" w:cs="Arial"/>
        </w:rPr>
        <w:t>Scribbr</w:t>
      </w:r>
      <w:proofErr w:type="spellEnd"/>
      <w:r w:rsidRPr="000442FD">
        <w:rPr>
          <w:rFonts w:ascii="Arial" w:hAnsi="Arial" w:cs="Arial"/>
        </w:rPr>
        <w:t>. https://www.scribbr.com/methodology/quantitative-research/</w:t>
      </w:r>
    </w:p>
    <w:p w14:paraId="5E3C1CDB" w14:textId="22E4915A" w:rsidR="000879CB" w:rsidRPr="000442FD" w:rsidRDefault="000879CB" w:rsidP="000442FD">
      <w:pPr>
        <w:ind w:left="720" w:right="284" w:hanging="720"/>
        <w:jc w:val="both"/>
        <w:rPr>
          <w:rFonts w:ascii="Arial" w:hAnsi="Arial" w:cs="Arial"/>
        </w:rPr>
      </w:pPr>
      <w:r w:rsidRPr="000442FD">
        <w:rPr>
          <w:rFonts w:ascii="Arial" w:hAnsi="Arial" w:cs="Arial"/>
        </w:rPr>
        <w:t xml:space="preserve">Bhandari, P. (2021, July 7). </w:t>
      </w:r>
      <w:r w:rsidRPr="000442FD">
        <w:rPr>
          <w:rFonts w:ascii="Arial" w:hAnsi="Arial" w:cs="Arial"/>
          <w:i/>
          <w:iCs/>
        </w:rPr>
        <w:t>Correlational research | When &amp; how to use</w:t>
      </w:r>
      <w:r w:rsidRPr="000442FD">
        <w:rPr>
          <w:rFonts w:ascii="Arial" w:hAnsi="Arial" w:cs="Arial"/>
        </w:rPr>
        <w:t xml:space="preserve">. </w:t>
      </w:r>
      <w:proofErr w:type="spellStart"/>
      <w:r w:rsidRPr="000442FD">
        <w:rPr>
          <w:rFonts w:ascii="Arial" w:hAnsi="Arial" w:cs="Arial"/>
        </w:rPr>
        <w:t>Scribbr</w:t>
      </w:r>
      <w:proofErr w:type="spellEnd"/>
      <w:r w:rsidRPr="000442FD">
        <w:rPr>
          <w:rFonts w:ascii="Arial" w:hAnsi="Arial" w:cs="Arial"/>
        </w:rPr>
        <w:t>. https://www.scribbr.com/methodology/correlational-research/</w:t>
      </w:r>
    </w:p>
    <w:p w14:paraId="384EF656" w14:textId="5E2F7DFE" w:rsidR="000879CB" w:rsidRPr="000442FD" w:rsidRDefault="000879CB" w:rsidP="000442FD">
      <w:pPr>
        <w:ind w:left="720" w:right="284" w:hanging="720"/>
        <w:jc w:val="both"/>
        <w:rPr>
          <w:rFonts w:ascii="Arial" w:hAnsi="Arial" w:cs="Arial"/>
        </w:rPr>
      </w:pPr>
      <w:r w:rsidRPr="000442FD">
        <w:rPr>
          <w:rFonts w:ascii="Arial" w:hAnsi="Arial" w:cs="Arial"/>
        </w:rPr>
        <w:t xml:space="preserve">Hair, J. F., Jr., </w:t>
      </w:r>
      <w:proofErr w:type="spellStart"/>
      <w:r w:rsidRPr="000442FD">
        <w:rPr>
          <w:rFonts w:ascii="Arial" w:hAnsi="Arial" w:cs="Arial"/>
        </w:rPr>
        <w:t>Hult</w:t>
      </w:r>
      <w:proofErr w:type="spellEnd"/>
      <w:r w:rsidRPr="000442FD">
        <w:rPr>
          <w:rFonts w:ascii="Arial" w:hAnsi="Arial" w:cs="Arial"/>
        </w:rPr>
        <w:t xml:space="preserve">, G. T. M., </w:t>
      </w:r>
      <w:proofErr w:type="spellStart"/>
      <w:r w:rsidRPr="000442FD">
        <w:rPr>
          <w:rFonts w:ascii="Arial" w:hAnsi="Arial" w:cs="Arial"/>
        </w:rPr>
        <w:t>Ringle</w:t>
      </w:r>
      <w:proofErr w:type="spellEnd"/>
      <w:r w:rsidRPr="000442FD">
        <w:rPr>
          <w:rFonts w:ascii="Arial" w:hAnsi="Arial" w:cs="Arial"/>
        </w:rPr>
        <w:t xml:space="preserve">, C. M., </w:t>
      </w:r>
      <w:proofErr w:type="spellStart"/>
      <w:r w:rsidRPr="000442FD">
        <w:rPr>
          <w:rFonts w:ascii="Arial" w:hAnsi="Arial" w:cs="Arial"/>
        </w:rPr>
        <w:t>Sarstedt</w:t>
      </w:r>
      <w:proofErr w:type="spellEnd"/>
      <w:r w:rsidRPr="000442FD">
        <w:rPr>
          <w:rFonts w:ascii="Arial" w:hAnsi="Arial" w:cs="Arial"/>
        </w:rPr>
        <w:t xml:space="preserve">, M., </w:t>
      </w:r>
      <w:proofErr w:type="spellStart"/>
      <w:r w:rsidRPr="000442FD">
        <w:rPr>
          <w:rFonts w:ascii="Arial" w:hAnsi="Arial" w:cs="Arial"/>
        </w:rPr>
        <w:t>Danks</w:t>
      </w:r>
      <w:proofErr w:type="spellEnd"/>
      <w:r w:rsidRPr="000442FD">
        <w:rPr>
          <w:rFonts w:ascii="Arial" w:hAnsi="Arial" w:cs="Arial"/>
        </w:rPr>
        <w:t xml:space="preserve">, N. P., &amp; Ray, S. (2021). </w:t>
      </w:r>
      <w:r w:rsidRPr="000442FD">
        <w:rPr>
          <w:rFonts w:ascii="Arial" w:hAnsi="Arial" w:cs="Arial"/>
          <w:i/>
          <w:iCs/>
        </w:rPr>
        <w:t>Mediation analysis</w:t>
      </w:r>
      <w:r w:rsidRPr="000442FD">
        <w:rPr>
          <w:rFonts w:ascii="Arial" w:hAnsi="Arial" w:cs="Arial"/>
        </w:rPr>
        <w:t>. Springer. https://link.springer.com/book/10.1007/978-3-030-80519-7</w:t>
      </w:r>
    </w:p>
    <w:p w14:paraId="01BD2503" w14:textId="77777777" w:rsidR="000879CB" w:rsidRPr="000442FD" w:rsidRDefault="000879CB" w:rsidP="000442FD">
      <w:pPr>
        <w:ind w:left="720" w:right="284" w:hanging="720"/>
        <w:jc w:val="both"/>
        <w:rPr>
          <w:rFonts w:ascii="Arial" w:hAnsi="Arial" w:cs="Arial"/>
        </w:rPr>
      </w:pPr>
      <w:r w:rsidRPr="000442FD">
        <w:rPr>
          <w:rFonts w:ascii="Arial" w:hAnsi="Arial" w:cs="Arial"/>
        </w:rPr>
        <w:t>McGhee, D., Lowell, N., &amp; Lemire, S. (2007). The classroom learning environment (CLE) questionnaire: Preliminary development.</w:t>
      </w:r>
    </w:p>
    <w:p w14:paraId="50419EC2" w14:textId="5CC29201" w:rsidR="000879CB" w:rsidRPr="000442FD" w:rsidRDefault="000879CB" w:rsidP="000442FD">
      <w:pPr>
        <w:ind w:left="720" w:right="284" w:hanging="720"/>
        <w:jc w:val="both"/>
        <w:rPr>
          <w:rFonts w:ascii="Arial" w:hAnsi="Arial" w:cs="Arial"/>
        </w:rPr>
      </w:pPr>
      <w:r w:rsidRPr="000442FD">
        <w:rPr>
          <w:rFonts w:ascii="Arial" w:hAnsi="Arial" w:cs="Arial"/>
        </w:rPr>
        <w:t xml:space="preserve">         https://depts.washington.edu/assessmt/pdfs/reports/OEAReport0607.pdf </w:t>
      </w:r>
    </w:p>
    <w:p w14:paraId="1BD10596" w14:textId="77777777" w:rsidR="000879CB" w:rsidRDefault="000879CB" w:rsidP="000442FD">
      <w:pPr>
        <w:ind w:left="720" w:right="284" w:hanging="720"/>
        <w:jc w:val="both"/>
        <w:rPr>
          <w:rFonts w:ascii="Arial" w:hAnsi="Arial" w:cs="Arial"/>
        </w:rPr>
      </w:pPr>
      <w:r w:rsidRPr="000442FD">
        <w:rPr>
          <w:rFonts w:ascii="Arial" w:hAnsi="Arial" w:cs="Arial"/>
        </w:rPr>
        <w:t xml:space="preserve">Oxford, R. L. (1990). Language learning strategies: What every teacher should know. Boston: </w:t>
      </w:r>
      <w:proofErr w:type="spellStart"/>
      <w:r w:rsidRPr="000442FD">
        <w:rPr>
          <w:rFonts w:ascii="Arial" w:hAnsi="Arial" w:cs="Arial"/>
        </w:rPr>
        <w:t>Heinle</w:t>
      </w:r>
      <w:proofErr w:type="spellEnd"/>
      <w:r w:rsidRPr="000442FD">
        <w:rPr>
          <w:rFonts w:ascii="Arial" w:hAnsi="Arial" w:cs="Arial"/>
        </w:rPr>
        <w:t xml:space="preserve"> &amp; </w:t>
      </w:r>
      <w:proofErr w:type="spellStart"/>
      <w:r w:rsidRPr="000442FD">
        <w:rPr>
          <w:rFonts w:ascii="Arial" w:hAnsi="Arial" w:cs="Arial"/>
        </w:rPr>
        <w:t>Heinle</w:t>
      </w:r>
      <w:proofErr w:type="spellEnd"/>
      <w:r w:rsidRPr="000442FD">
        <w:rPr>
          <w:rFonts w:ascii="Arial" w:hAnsi="Arial" w:cs="Arial"/>
        </w:rPr>
        <w:t xml:space="preserve">. </w:t>
      </w:r>
    </w:p>
    <w:p w14:paraId="0346D1B2" w14:textId="77777777" w:rsidR="000442FD" w:rsidRPr="000442FD" w:rsidRDefault="000442FD" w:rsidP="000442FD">
      <w:pPr>
        <w:ind w:left="720" w:right="284" w:hanging="720"/>
        <w:jc w:val="both"/>
        <w:rPr>
          <w:rFonts w:ascii="Arial" w:hAnsi="Arial" w:cs="Arial"/>
        </w:rPr>
      </w:pPr>
    </w:p>
    <w:p w14:paraId="54041E3D" w14:textId="77777777" w:rsidR="000879CB" w:rsidRPr="000442FD" w:rsidRDefault="000879CB" w:rsidP="000442FD">
      <w:pPr>
        <w:ind w:left="720" w:right="284" w:hanging="720"/>
        <w:jc w:val="both"/>
        <w:rPr>
          <w:rFonts w:ascii="Arial" w:hAnsi="Arial" w:cs="Arial"/>
        </w:rPr>
      </w:pPr>
      <w:r w:rsidRPr="000442FD">
        <w:rPr>
          <w:rFonts w:ascii="Arial" w:hAnsi="Arial" w:cs="Arial"/>
        </w:rPr>
        <w:t>Horwitz, E. K., Horwitz, M. B., &amp; Cope, J. (1986). Foreign language classroom anxiety. Modern Language Journal, 70(2), 125–132.</w:t>
      </w:r>
    </w:p>
    <w:p w14:paraId="46425B55" w14:textId="0688E416" w:rsidR="000879CB" w:rsidRPr="000442FD" w:rsidRDefault="000879CB" w:rsidP="000442FD">
      <w:pPr>
        <w:ind w:left="720" w:right="284" w:hanging="720"/>
        <w:jc w:val="both"/>
        <w:rPr>
          <w:rFonts w:ascii="Arial" w:hAnsi="Arial" w:cs="Arial"/>
        </w:rPr>
      </w:pPr>
      <w:r w:rsidRPr="000442FD">
        <w:rPr>
          <w:rFonts w:ascii="Arial" w:hAnsi="Arial" w:cs="Arial"/>
        </w:rPr>
        <w:t xml:space="preserve">Hawthorne, H. (2022, September 9). </w:t>
      </w:r>
      <w:r w:rsidRPr="000442FD">
        <w:rPr>
          <w:rFonts w:ascii="Arial" w:hAnsi="Arial" w:cs="Arial"/>
          <w:i/>
          <w:iCs/>
        </w:rPr>
        <w:t>How to create a positive learning environment</w:t>
      </w:r>
      <w:r w:rsidRPr="000442FD">
        <w:rPr>
          <w:rFonts w:ascii="Arial" w:hAnsi="Arial" w:cs="Arial"/>
        </w:rPr>
        <w:t>. The Hub | High Speed Training. https://www.highspeedtraining.co.uk/hub/how-to-create-a-positive-learning-environment/</w:t>
      </w:r>
    </w:p>
    <w:p w14:paraId="2CCD19D7" w14:textId="1179ED20" w:rsidR="000879CB" w:rsidRPr="000442FD" w:rsidRDefault="000879CB" w:rsidP="000442FD">
      <w:pPr>
        <w:ind w:left="720" w:right="284" w:hanging="720"/>
        <w:jc w:val="both"/>
        <w:rPr>
          <w:rFonts w:ascii="Arial" w:hAnsi="Arial" w:cs="Arial"/>
        </w:rPr>
      </w:pPr>
      <w:r w:rsidRPr="000442FD">
        <w:rPr>
          <w:rFonts w:ascii="Arial" w:hAnsi="Arial" w:cs="Arial"/>
        </w:rPr>
        <w:lastRenderedPageBreak/>
        <w:t xml:space="preserve">Chen, Y. (2023). An analysis of the correlation between the classroom learning environment and student performance of high school students. </w:t>
      </w:r>
      <w:r w:rsidRPr="000442FD">
        <w:rPr>
          <w:rFonts w:ascii="Arial" w:hAnsi="Arial" w:cs="Arial"/>
          <w:i/>
          <w:iCs/>
        </w:rPr>
        <w:t>Journal of Education Humanities and Social Sciences, 24</w:t>
      </w:r>
      <w:r w:rsidRPr="000442FD">
        <w:rPr>
          <w:rFonts w:ascii="Arial" w:hAnsi="Arial" w:cs="Arial"/>
        </w:rPr>
        <w:t>, 204–208. https://doi.org/10.54097/cpzcnv26</w:t>
      </w:r>
    </w:p>
    <w:p w14:paraId="0E395355" w14:textId="33B651CD" w:rsidR="000879CB" w:rsidRPr="000442FD" w:rsidRDefault="000879CB" w:rsidP="000442FD">
      <w:pPr>
        <w:ind w:left="720" w:right="284" w:hanging="720"/>
        <w:jc w:val="both"/>
        <w:rPr>
          <w:rFonts w:ascii="Arial" w:hAnsi="Arial" w:cs="Arial"/>
        </w:rPr>
      </w:pPr>
      <w:proofErr w:type="spellStart"/>
      <w:r w:rsidRPr="000442FD">
        <w:rPr>
          <w:rFonts w:ascii="Arial" w:hAnsi="Arial" w:cs="Arial"/>
        </w:rPr>
        <w:t>Nwokedi</w:t>
      </w:r>
      <w:proofErr w:type="spellEnd"/>
      <w:r w:rsidRPr="000442FD">
        <w:rPr>
          <w:rFonts w:ascii="Arial" w:hAnsi="Arial" w:cs="Arial"/>
        </w:rPr>
        <w:t xml:space="preserve">, B. F. C. (2023). Influence of classroom environment on the academic performance of students in English language. </w:t>
      </w:r>
      <w:r w:rsidRPr="000442FD">
        <w:rPr>
          <w:rFonts w:ascii="Arial" w:hAnsi="Arial" w:cs="Arial"/>
          <w:i/>
          <w:iCs/>
        </w:rPr>
        <w:t>International Journal of Advance Social Sciences and Education (IJASSE), 1</w:t>
      </w:r>
      <w:r w:rsidRPr="000442FD">
        <w:rPr>
          <w:rFonts w:ascii="Arial" w:hAnsi="Arial" w:cs="Arial"/>
        </w:rPr>
        <w:t>(4), 191–198. https://doi.org/10.59890/ijasse.v1i4.732</w:t>
      </w:r>
    </w:p>
    <w:p w14:paraId="67654FDE" w14:textId="740F1040" w:rsidR="000879CB" w:rsidRPr="000442FD" w:rsidRDefault="000879CB" w:rsidP="000442FD">
      <w:pPr>
        <w:ind w:left="720" w:right="284" w:hanging="720"/>
        <w:jc w:val="both"/>
        <w:rPr>
          <w:rFonts w:ascii="Arial" w:hAnsi="Arial" w:cs="Arial"/>
        </w:rPr>
      </w:pPr>
      <w:r w:rsidRPr="000442FD">
        <w:rPr>
          <w:rFonts w:ascii="Arial" w:hAnsi="Arial" w:cs="Arial"/>
        </w:rPr>
        <w:t xml:space="preserve">Agustin, W., </w:t>
      </w:r>
      <w:proofErr w:type="spellStart"/>
      <w:r w:rsidRPr="000442FD">
        <w:rPr>
          <w:rFonts w:ascii="Arial" w:hAnsi="Arial" w:cs="Arial"/>
        </w:rPr>
        <w:t>Achmad</w:t>
      </w:r>
      <w:proofErr w:type="spellEnd"/>
      <w:r w:rsidRPr="000442FD">
        <w:rPr>
          <w:rFonts w:ascii="Arial" w:hAnsi="Arial" w:cs="Arial"/>
        </w:rPr>
        <w:t xml:space="preserve"> </w:t>
      </w:r>
      <w:proofErr w:type="spellStart"/>
      <w:r w:rsidRPr="000442FD">
        <w:rPr>
          <w:rFonts w:ascii="Arial" w:hAnsi="Arial" w:cs="Arial"/>
        </w:rPr>
        <w:t>Yudi</w:t>
      </w:r>
      <w:proofErr w:type="spellEnd"/>
      <w:r w:rsidRPr="000442FD">
        <w:rPr>
          <w:rFonts w:ascii="Arial" w:hAnsi="Arial" w:cs="Arial"/>
        </w:rPr>
        <w:t xml:space="preserve"> </w:t>
      </w:r>
      <w:proofErr w:type="spellStart"/>
      <w:r w:rsidRPr="000442FD">
        <w:rPr>
          <w:rFonts w:ascii="Arial" w:hAnsi="Arial" w:cs="Arial"/>
        </w:rPr>
        <w:t>Wahyudin</w:t>
      </w:r>
      <w:proofErr w:type="spellEnd"/>
      <w:r w:rsidRPr="000442FD">
        <w:rPr>
          <w:rFonts w:ascii="Arial" w:hAnsi="Arial" w:cs="Arial"/>
        </w:rPr>
        <w:t xml:space="preserve">, &amp; </w:t>
      </w:r>
      <w:proofErr w:type="spellStart"/>
      <w:r w:rsidRPr="000442FD">
        <w:rPr>
          <w:rFonts w:ascii="Arial" w:hAnsi="Arial" w:cs="Arial"/>
        </w:rPr>
        <w:t>Shaleha</w:t>
      </w:r>
      <w:proofErr w:type="spellEnd"/>
      <w:r w:rsidRPr="000442FD">
        <w:rPr>
          <w:rFonts w:ascii="Arial" w:hAnsi="Arial" w:cs="Arial"/>
        </w:rPr>
        <w:t xml:space="preserve"> </w:t>
      </w:r>
      <w:proofErr w:type="spellStart"/>
      <w:r w:rsidRPr="000442FD">
        <w:rPr>
          <w:rFonts w:ascii="Arial" w:hAnsi="Arial" w:cs="Arial"/>
        </w:rPr>
        <w:t>Isnaini</w:t>
      </w:r>
      <w:proofErr w:type="spellEnd"/>
      <w:r w:rsidRPr="000442FD">
        <w:rPr>
          <w:rFonts w:ascii="Arial" w:hAnsi="Arial" w:cs="Arial"/>
        </w:rPr>
        <w:t>. (2021). LANGUAGE LEARNING STRATEGIES AND ACADEMIC ACHIEVEMENT OF ENGLISH DEPARTMENT STUDENTS. </w:t>
      </w:r>
      <w:r w:rsidRPr="000442FD">
        <w:rPr>
          <w:rFonts w:ascii="Arial" w:hAnsi="Arial" w:cs="Arial"/>
          <w:i/>
          <w:iCs/>
        </w:rPr>
        <w:t>Journal of Arts and Education</w:t>
      </w:r>
      <w:r w:rsidRPr="000442FD">
        <w:rPr>
          <w:rFonts w:ascii="Arial" w:hAnsi="Arial" w:cs="Arial"/>
        </w:rPr>
        <w:t>, </w:t>
      </w:r>
      <w:r w:rsidRPr="000442FD">
        <w:rPr>
          <w:rFonts w:ascii="Arial" w:hAnsi="Arial" w:cs="Arial"/>
          <w:i/>
          <w:iCs/>
        </w:rPr>
        <w:t>1</w:t>
      </w:r>
      <w:r w:rsidRPr="000442FD">
        <w:rPr>
          <w:rFonts w:ascii="Arial" w:hAnsi="Arial" w:cs="Arial"/>
        </w:rPr>
        <w:t xml:space="preserve">(1). https://doi.org/10.33365/jae.v1i1.34 </w:t>
      </w:r>
    </w:p>
    <w:p w14:paraId="051AD93B" w14:textId="77777777" w:rsidR="000879CB" w:rsidRPr="000442FD" w:rsidRDefault="000879CB" w:rsidP="000442FD">
      <w:pPr>
        <w:ind w:left="720" w:right="284" w:hanging="720"/>
        <w:jc w:val="both"/>
        <w:rPr>
          <w:rFonts w:ascii="Arial" w:hAnsi="Arial" w:cs="Arial"/>
        </w:rPr>
      </w:pPr>
      <w:proofErr w:type="spellStart"/>
      <w:r w:rsidRPr="000442FD">
        <w:rPr>
          <w:rFonts w:ascii="Arial" w:hAnsi="Arial" w:cs="Arial"/>
        </w:rPr>
        <w:t>Sadiqzade</w:t>
      </w:r>
      <w:proofErr w:type="spellEnd"/>
      <w:r w:rsidRPr="000442FD">
        <w:rPr>
          <w:rFonts w:ascii="Arial" w:hAnsi="Arial" w:cs="Arial"/>
        </w:rPr>
        <w:t>, Z. (2025). Strengthening Language Skills Through Active Classroom Interaction. </w:t>
      </w:r>
      <w:r w:rsidRPr="000442FD">
        <w:rPr>
          <w:rFonts w:ascii="Arial" w:hAnsi="Arial" w:cs="Arial"/>
          <w:i/>
          <w:iCs/>
        </w:rPr>
        <w:t>Global Spectrum of Research and Humanities</w:t>
      </w:r>
      <w:r w:rsidRPr="000442FD">
        <w:rPr>
          <w:rFonts w:ascii="Arial" w:hAnsi="Arial" w:cs="Arial"/>
        </w:rPr>
        <w:t>, </w:t>
      </w:r>
      <w:r w:rsidRPr="000442FD">
        <w:rPr>
          <w:rFonts w:ascii="Arial" w:hAnsi="Arial" w:cs="Arial"/>
          <w:i/>
          <w:iCs/>
        </w:rPr>
        <w:t>2</w:t>
      </w:r>
      <w:r w:rsidRPr="000442FD">
        <w:rPr>
          <w:rFonts w:ascii="Arial" w:hAnsi="Arial" w:cs="Arial"/>
        </w:rPr>
        <w:t>(1), 28–33. https://doi.org/10.69760/gsrh.01012025003</w:t>
      </w:r>
    </w:p>
    <w:p w14:paraId="2354D579" w14:textId="02FC70FC" w:rsidR="000879CB" w:rsidRPr="000442FD" w:rsidRDefault="000879CB" w:rsidP="000442FD">
      <w:pPr>
        <w:ind w:left="720" w:right="284" w:hanging="720"/>
        <w:jc w:val="both"/>
        <w:rPr>
          <w:rFonts w:ascii="Arial" w:hAnsi="Arial" w:cs="Arial"/>
        </w:rPr>
      </w:pPr>
      <w:proofErr w:type="spellStart"/>
      <w:r w:rsidRPr="001C2711">
        <w:rPr>
          <w:rFonts w:ascii="Arial" w:hAnsi="Arial" w:cs="Arial"/>
        </w:rPr>
        <w:t>Kuswantoro</w:t>
      </w:r>
      <w:proofErr w:type="spellEnd"/>
      <w:r w:rsidRPr="001C2711">
        <w:rPr>
          <w:rFonts w:ascii="Arial" w:hAnsi="Arial" w:cs="Arial"/>
        </w:rPr>
        <w:t>, A. V., &amp; Novita, D. (2024). Overcoming Speech Anxiety in English Language Classrooms. </w:t>
      </w:r>
      <w:proofErr w:type="spellStart"/>
      <w:r w:rsidRPr="001C2711">
        <w:rPr>
          <w:rFonts w:ascii="Arial" w:hAnsi="Arial" w:cs="Arial"/>
          <w:i/>
          <w:iCs/>
        </w:rPr>
        <w:t>Pubmedia</w:t>
      </w:r>
      <w:proofErr w:type="spellEnd"/>
      <w:r w:rsidRPr="001C2711">
        <w:rPr>
          <w:rFonts w:ascii="Arial" w:hAnsi="Arial" w:cs="Arial"/>
          <w:i/>
          <w:iCs/>
        </w:rPr>
        <w:t xml:space="preserve"> </w:t>
      </w:r>
      <w:proofErr w:type="spellStart"/>
      <w:r w:rsidRPr="001C2711">
        <w:rPr>
          <w:rFonts w:ascii="Arial" w:hAnsi="Arial" w:cs="Arial"/>
          <w:i/>
          <w:iCs/>
        </w:rPr>
        <w:t>Jurnal</w:t>
      </w:r>
      <w:proofErr w:type="spellEnd"/>
      <w:r w:rsidRPr="001C2711">
        <w:rPr>
          <w:rFonts w:ascii="Arial" w:hAnsi="Arial" w:cs="Arial"/>
          <w:i/>
          <w:iCs/>
        </w:rPr>
        <w:t xml:space="preserve"> Pendidikan Bahasa </w:t>
      </w:r>
      <w:proofErr w:type="spellStart"/>
      <w:r w:rsidRPr="001C2711">
        <w:rPr>
          <w:rFonts w:ascii="Arial" w:hAnsi="Arial" w:cs="Arial"/>
          <w:i/>
          <w:iCs/>
        </w:rPr>
        <w:t>Inggris</w:t>
      </w:r>
      <w:proofErr w:type="spellEnd"/>
      <w:r w:rsidRPr="001C2711">
        <w:rPr>
          <w:rFonts w:ascii="Arial" w:hAnsi="Arial" w:cs="Arial"/>
        </w:rPr>
        <w:t>, </w:t>
      </w:r>
      <w:r w:rsidRPr="001C2711">
        <w:rPr>
          <w:rFonts w:ascii="Arial" w:hAnsi="Arial" w:cs="Arial"/>
          <w:i/>
          <w:iCs/>
        </w:rPr>
        <w:t>1</w:t>
      </w:r>
      <w:r w:rsidRPr="001C2711">
        <w:rPr>
          <w:rFonts w:ascii="Arial" w:hAnsi="Arial" w:cs="Arial"/>
        </w:rPr>
        <w:t>(3), 10. https://doi.org/10.47134/jpbi.v1i3.419</w:t>
      </w:r>
      <w:r w:rsidRPr="000442FD">
        <w:rPr>
          <w:rFonts w:ascii="Arial" w:hAnsi="Arial" w:cs="Arial"/>
        </w:rPr>
        <w:t xml:space="preserve"> </w:t>
      </w:r>
    </w:p>
    <w:p w14:paraId="4A438EAC" w14:textId="769DB669" w:rsidR="000879CB" w:rsidRPr="000442FD" w:rsidRDefault="000879CB" w:rsidP="000442FD">
      <w:pPr>
        <w:ind w:left="720" w:right="284" w:hanging="720"/>
        <w:jc w:val="both"/>
        <w:rPr>
          <w:rFonts w:ascii="Arial" w:hAnsi="Arial" w:cs="Arial"/>
        </w:rPr>
      </w:pPr>
      <w:r w:rsidRPr="000442FD">
        <w:rPr>
          <w:rFonts w:ascii="Arial" w:hAnsi="Arial" w:cs="Arial"/>
        </w:rPr>
        <w:t>Wu, S., Pang, M., &amp; Sun, X. (2025). Comparing secondary school students’ foreign language anxiety and academic achievement in face-to-face and online settings: a case study in China. </w:t>
      </w:r>
      <w:r w:rsidRPr="000442FD">
        <w:rPr>
          <w:rFonts w:ascii="Arial" w:hAnsi="Arial" w:cs="Arial"/>
          <w:i/>
          <w:iCs/>
        </w:rPr>
        <w:t>Asia Pacific Journal of Education</w:t>
      </w:r>
      <w:r w:rsidRPr="000442FD">
        <w:rPr>
          <w:rFonts w:ascii="Arial" w:hAnsi="Arial" w:cs="Arial"/>
        </w:rPr>
        <w:t xml:space="preserve">, 1–18. https://doi.org/10.1080/02188791.2024.2448144 </w:t>
      </w:r>
    </w:p>
    <w:p w14:paraId="7BAEDD68" w14:textId="7E90A87B" w:rsidR="000879CB" w:rsidRPr="000442FD" w:rsidRDefault="000879CB" w:rsidP="000442FD">
      <w:pPr>
        <w:ind w:left="720" w:right="284" w:hanging="720"/>
        <w:jc w:val="both"/>
        <w:rPr>
          <w:rFonts w:ascii="Arial" w:hAnsi="Arial" w:cs="Arial"/>
        </w:rPr>
      </w:pPr>
      <w:proofErr w:type="spellStart"/>
      <w:r w:rsidRPr="000442FD">
        <w:rPr>
          <w:rFonts w:ascii="Arial" w:hAnsi="Arial" w:cs="Arial"/>
        </w:rPr>
        <w:t>Khoiriyah</w:t>
      </w:r>
      <w:proofErr w:type="spellEnd"/>
      <w:r w:rsidRPr="000442FD">
        <w:rPr>
          <w:rFonts w:ascii="Arial" w:hAnsi="Arial" w:cs="Arial"/>
        </w:rPr>
        <w:t xml:space="preserve">, K., &amp; </w:t>
      </w:r>
      <w:proofErr w:type="spellStart"/>
      <w:r w:rsidRPr="000442FD">
        <w:rPr>
          <w:rFonts w:ascii="Arial" w:hAnsi="Arial" w:cs="Arial"/>
        </w:rPr>
        <w:t>Soeparto</w:t>
      </w:r>
      <w:proofErr w:type="spellEnd"/>
      <w:r w:rsidRPr="000442FD">
        <w:rPr>
          <w:rFonts w:ascii="Arial" w:hAnsi="Arial" w:cs="Arial"/>
        </w:rPr>
        <w:t>, S. (2022). Language Learning Strategies in Online CLIL-Oriented Classrooms: Voices from Indonesian Higher Education Students. </w:t>
      </w:r>
      <w:proofErr w:type="spellStart"/>
      <w:r w:rsidRPr="000442FD">
        <w:rPr>
          <w:rFonts w:ascii="Arial" w:hAnsi="Arial" w:cs="Arial"/>
          <w:i/>
          <w:iCs/>
        </w:rPr>
        <w:t>Eralingua</w:t>
      </w:r>
      <w:proofErr w:type="spellEnd"/>
      <w:r w:rsidRPr="000442FD">
        <w:rPr>
          <w:rFonts w:ascii="Arial" w:hAnsi="Arial" w:cs="Arial"/>
          <w:i/>
          <w:iCs/>
        </w:rPr>
        <w:t xml:space="preserve">: </w:t>
      </w:r>
      <w:proofErr w:type="spellStart"/>
      <w:r w:rsidRPr="000442FD">
        <w:rPr>
          <w:rFonts w:ascii="Arial" w:hAnsi="Arial" w:cs="Arial"/>
          <w:i/>
          <w:iCs/>
        </w:rPr>
        <w:t>Jurnal</w:t>
      </w:r>
      <w:proofErr w:type="spellEnd"/>
      <w:r w:rsidRPr="000442FD">
        <w:rPr>
          <w:rFonts w:ascii="Arial" w:hAnsi="Arial" w:cs="Arial"/>
          <w:i/>
          <w:iCs/>
        </w:rPr>
        <w:t xml:space="preserve"> Pendidikan Bahasa </w:t>
      </w:r>
      <w:proofErr w:type="spellStart"/>
      <w:r w:rsidRPr="000442FD">
        <w:rPr>
          <w:rFonts w:ascii="Arial" w:hAnsi="Arial" w:cs="Arial"/>
          <w:i/>
          <w:iCs/>
        </w:rPr>
        <w:t>Asing</w:t>
      </w:r>
      <w:proofErr w:type="spellEnd"/>
      <w:r w:rsidRPr="000442FD">
        <w:rPr>
          <w:rFonts w:ascii="Arial" w:hAnsi="Arial" w:cs="Arial"/>
          <w:i/>
          <w:iCs/>
        </w:rPr>
        <w:t xml:space="preserve"> Dan Sastra</w:t>
      </w:r>
      <w:r w:rsidRPr="000442FD">
        <w:rPr>
          <w:rFonts w:ascii="Arial" w:hAnsi="Arial" w:cs="Arial"/>
        </w:rPr>
        <w:t>, </w:t>
      </w:r>
      <w:r w:rsidRPr="000442FD">
        <w:rPr>
          <w:rFonts w:ascii="Arial" w:hAnsi="Arial" w:cs="Arial"/>
          <w:i/>
          <w:iCs/>
        </w:rPr>
        <w:t>6</w:t>
      </w:r>
      <w:r w:rsidRPr="000442FD">
        <w:rPr>
          <w:rFonts w:ascii="Arial" w:hAnsi="Arial" w:cs="Arial"/>
        </w:rPr>
        <w:t xml:space="preserve">(2), 479. https://doi.org/10.26858/eralingua.v6i2.35941 </w:t>
      </w:r>
    </w:p>
    <w:p w14:paraId="3D099807" w14:textId="05ADFD9E" w:rsidR="000879CB" w:rsidRPr="000442FD" w:rsidRDefault="000879CB" w:rsidP="000442FD">
      <w:pPr>
        <w:ind w:left="720" w:right="284" w:hanging="720"/>
        <w:jc w:val="both"/>
        <w:rPr>
          <w:rFonts w:ascii="Arial" w:hAnsi="Arial" w:cs="Arial"/>
        </w:rPr>
      </w:pPr>
      <w:proofErr w:type="spellStart"/>
      <w:r w:rsidRPr="000442FD">
        <w:rPr>
          <w:rFonts w:ascii="Arial" w:hAnsi="Arial" w:cs="Arial"/>
        </w:rPr>
        <w:t>Qiu</w:t>
      </w:r>
      <w:proofErr w:type="spellEnd"/>
      <w:r w:rsidRPr="000442FD">
        <w:rPr>
          <w:rFonts w:ascii="Arial" w:hAnsi="Arial" w:cs="Arial"/>
        </w:rPr>
        <w:t xml:space="preserve">, F. (2022). Reviewing the role of positive classroom climate in improving English as a </w:t>
      </w:r>
      <w:proofErr w:type="gramStart"/>
      <w:r w:rsidRPr="000442FD">
        <w:rPr>
          <w:rFonts w:ascii="Arial" w:hAnsi="Arial" w:cs="Arial"/>
        </w:rPr>
        <w:t>foreign language students’ social interactions</w:t>
      </w:r>
      <w:proofErr w:type="gramEnd"/>
      <w:r w:rsidRPr="000442FD">
        <w:rPr>
          <w:rFonts w:ascii="Arial" w:hAnsi="Arial" w:cs="Arial"/>
        </w:rPr>
        <w:t xml:space="preserve"> in the online classroom. </w:t>
      </w:r>
      <w:r w:rsidRPr="000442FD">
        <w:rPr>
          <w:rFonts w:ascii="Arial" w:hAnsi="Arial" w:cs="Arial"/>
          <w:i/>
          <w:iCs/>
        </w:rPr>
        <w:t>Frontiers in Psychology, 13</w:t>
      </w:r>
      <w:r w:rsidRPr="000442FD">
        <w:rPr>
          <w:rFonts w:ascii="Arial" w:hAnsi="Arial" w:cs="Arial"/>
        </w:rPr>
        <w:t>, 1012524. https://doi.org/10.3389/fpsyg.2022.1012524</w:t>
      </w:r>
    </w:p>
    <w:p w14:paraId="560866CE" w14:textId="73D1A898" w:rsidR="000879CB" w:rsidRPr="000442FD" w:rsidRDefault="000879CB" w:rsidP="000442FD">
      <w:pPr>
        <w:ind w:left="720" w:right="284" w:hanging="720"/>
        <w:jc w:val="both"/>
        <w:rPr>
          <w:rFonts w:ascii="Arial" w:hAnsi="Arial" w:cs="Arial"/>
        </w:rPr>
      </w:pPr>
      <w:proofErr w:type="spellStart"/>
      <w:r w:rsidRPr="000442FD">
        <w:rPr>
          <w:rFonts w:ascii="Arial" w:hAnsi="Arial" w:cs="Arial"/>
        </w:rPr>
        <w:t>Escandallo</w:t>
      </w:r>
      <w:proofErr w:type="spellEnd"/>
      <w:r w:rsidRPr="000442FD">
        <w:rPr>
          <w:rFonts w:ascii="Arial" w:hAnsi="Arial" w:cs="Arial"/>
        </w:rPr>
        <w:t>, J. C., &amp; Flores, Q. M. (2024). Language Learning Strategies and Anxiety among English Major Students: A Convergent Parallel Design. </w:t>
      </w:r>
      <w:r w:rsidRPr="000442FD">
        <w:rPr>
          <w:rFonts w:ascii="Arial" w:hAnsi="Arial" w:cs="Arial"/>
          <w:i/>
          <w:iCs/>
        </w:rPr>
        <w:t>International Journal of Multidisciplinary Educational Research and Innovation</w:t>
      </w:r>
      <w:r w:rsidRPr="000442FD">
        <w:rPr>
          <w:rFonts w:ascii="Arial" w:hAnsi="Arial" w:cs="Arial"/>
        </w:rPr>
        <w:t>, </w:t>
      </w:r>
      <w:r w:rsidRPr="000442FD">
        <w:rPr>
          <w:rFonts w:ascii="Arial" w:hAnsi="Arial" w:cs="Arial"/>
          <w:i/>
          <w:iCs/>
        </w:rPr>
        <w:t>2</w:t>
      </w:r>
      <w:r w:rsidRPr="000442FD">
        <w:rPr>
          <w:rFonts w:ascii="Arial" w:hAnsi="Arial" w:cs="Arial"/>
        </w:rPr>
        <w:t xml:space="preserve">(4), 1–1. https://ejournals.ph/article.php?id=24968 </w:t>
      </w:r>
    </w:p>
    <w:p w14:paraId="040C21E4" w14:textId="6E3C6557" w:rsidR="00B02171" w:rsidRPr="000442FD" w:rsidRDefault="000879CB" w:rsidP="000442FD">
      <w:pPr>
        <w:ind w:left="720" w:right="284" w:hanging="720"/>
        <w:jc w:val="both"/>
        <w:rPr>
          <w:rFonts w:ascii="Arial" w:hAnsi="Arial" w:cs="Arial"/>
        </w:rPr>
      </w:pPr>
      <w:proofErr w:type="spellStart"/>
      <w:r w:rsidRPr="000442FD">
        <w:rPr>
          <w:rFonts w:ascii="Arial" w:hAnsi="Arial" w:cs="Arial"/>
        </w:rPr>
        <w:t>Altun</w:t>
      </w:r>
      <w:proofErr w:type="spellEnd"/>
      <w:r w:rsidRPr="000442FD">
        <w:rPr>
          <w:rFonts w:ascii="Arial" w:hAnsi="Arial" w:cs="Arial"/>
        </w:rPr>
        <w:t xml:space="preserve">, M. (2023). The Impact of Speaking Anxiety on the Development of Communication Skills. </w:t>
      </w:r>
      <w:r w:rsidRPr="000442FD">
        <w:rPr>
          <w:rFonts w:ascii="Arial" w:hAnsi="Arial" w:cs="Arial"/>
          <w:i/>
          <w:iCs/>
        </w:rPr>
        <w:t>International Journal of Social Sciences &amp; Educational Studies</w:t>
      </w:r>
      <w:r w:rsidRPr="000442FD">
        <w:rPr>
          <w:rFonts w:ascii="Arial" w:hAnsi="Arial" w:cs="Arial"/>
        </w:rPr>
        <w:t xml:space="preserve">, </w:t>
      </w:r>
      <w:r w:rsidRPr="000442FD">
        <w:rPr>
          <w:rFonts w:ascii="Arial" w:hAnsi="Arial" w:cs="Arial"/>
          <w:i/>
          <w:iCs/>
        </w:rPr>
        <w:t>10</w:t>
      </w:r>
      <w:r w:rsidRPr="000442FD">
        <w:rPr>
          <w:rFonts w:ascii="Arial" w:hAnsi="Arial" w:cs="Arial"/>
        </w:rPr>
        <w:t>(2). https://doi.org/10.23918/ijsses.v10i2p104</w:t>
      </w:r>
    </w:p>
    <w:p w14:paraId="4C045B8F" w14:textId="6ACC2997" w:rsidR="000442FD" w:rsidRPr="000442FD" w:rsidRDefault="000442FD" w:rsidP="000442FD">
      <w:pPr>
        <w:ind w:left="720" w:right="284" w:hanging="720"/>
        <w:jc w:val="both"/>
        <w:rPr>
          <w:rFonts w:ascii="Arial" w:hAnsi="Arial" w:cs="Arial"/>
        </w:rPr>
      </w:pPr>
      <w:r w:rsidRPr="000442FD">
        <w:rPr>
          <w:rFonts w:ascii="Arial" w:hAnsi="Arial" w:cs="Arial"/>
        </w:rPr>
        <w:t xml:space="preserve">Sabri, S., </w:t>
      </w:r>
      <w:proofErr w:type="spellStart"/>
      <w:r w:rsidRPr="000442FD">
        <w:rPr>
          <w:rFonts w:ascii="Arial" w:hAnsi="Arial" w:cs="Arial"/>
        </w:rPr>
        <w:t>Khairuddin</w:t>
      </w:r>
      <w:proofErr w:type="spellEnd"/>
      <w:r w:rsidRPr="000442FD">
        <w:rPr>
          <w:rFonts w:ascii="Arial" w:hAnsi="Arial" w:cs="Arial"/>
        </w:rPr>
        <w:t xml:space="preserve">, Z., Johan, S. J. A., </w:t>
      </w:r>
      <w:proofErr w:type="spellStart"/>
      <w:r w:rsidRPr="000442FD">
        <w:rPr>
          <w:rFonts w:ascii="Arial" w:hAnsi="Arial" w:cs="Arial"/>
        </w:rPr>
        <w:t>Daud</w:t>
      </w:r>
      <w:proofErr w:type="spellEnd"/>
      <w:r w:rsidRPr="000442FD">
        <w:rPr>
          <w:rFonts w:ascii="Arial" w:hAnsi="Arial" w:cs="Arial"/>
        </w:rPr>
        <w:t xml:space="preserve">, K. M., &amp; </w:t>
      </w:r>
      <w:proofErr w:type="spellStart"/>
      <w:r w:rsidRPr="000442FD">
        <w:rPr>
          <w:rFonts w:ascii="Arial" w:hAnsi="Arial" w:cs="Arial"/>
        </w:rPr>
        <w:t>Bahrn</w:t>
      </w:r>
      <w:proofErr w:type="spellEnd"/>
      <w:r w:rsidRPr="000442FD">
        <w:rPr>
          <w:rFonts w:ascii="Arial" w:hAnsi="Arial" w:cs="Arial"/>
        </w:rPr>
        <w:t>, F. F. S. (2021). Causes of Language Anxiety in an ESL Classroom: Towards a Mentally Healthier Learning Environment. </w:t>
      </w:r>
      <w:r w:rsidRPr="000442FD">
        <w:rPr>
          <w:rFonts w:ascii="Arial" w:hAnsi="Arial" w:cs="Arial"/>
          <w:i/>
          <w:iCs/>
        </w:rPr>
        <w:t>International Journal of Asian Social Science</w:t>
      </w:r>
      <w:r w:rsidRPr="000442FD">
        <w:rPr>
          <w:rFonts w:ascii="Arial" w:hAnsi="Arial" w:cs="Arial"/>
        </w:rPr>
        <w:t>, </w:t>
      </w:r>
      <w:r w:rsidRPr="000442FD">
        <w:rPr>
          <w:rFonts w:ascii="Arial" w:hAnsi="Arial" w:cs="Arial"/>
          <w:i/>
          <w:iCs/>
        </w:rPr>
        <w:t>11</w:t>
      </w:r>
      <w:r w:rsidRPr="000442FD">
        <w:rPr>
          <w:rFonts w:ascii="Arial" w:hAnsi="Arial" w:cs="Arial"/>
        </w:rPr>
        <w:t xml:space="preserve">(9), 452–460. https://doi.org/10.18488/journal.1.2021.119.452.460 </w:t>
      </w:r>
    </w:p>
    <w:p w14:paraId="764E5773" w14:textId="77777777" w:rsidR="000442FD" w:rsidRPr="000442FD" w:rsidRDefault="000442FD" w:rsidP="000442FD">
      <w:pPr>
        <w:ind w:left="720" w:right="284" w:hanging="720"/>
        <w:jc w:val="both"/>
        <w:rPr>
          <w:rFonts w:ascii="Arial" w:hAnsi="Arial" w:cs="Arial"/>
        </w:rPr>
      </w:pPr>
    </w:p>
    <w:p w14:paraId="367DDCAD" w14:textId="7E918E91" w:rsidR="000442FD" w:rsidRPr="000442FD" w:rsidRDefault="000442FD" w:rsidP="000442FD">
      <w:pPr>
        <w:ind w:left="720" w:right="284" w:hanging="720"/>
        <w:jc w:val="both"/>
        <w:rPr>
          <w:rFonts w:ascii="Arial" w:hAnsi="Arial" w:cs="Arial"/>
        </w:rPr>
      </w:pPr>
      <w:proofErr w:type="spellStart"/>
      <w:r w:rsidRPr="000442FD">
        <w:rPr>
          <w:rFonts w:ascii="Arial" w:hAnsi="Arial" w:cs="Arial"/>
        </w:rPr>
        <w:t>Atifnigar</w:t>
      </w:r>
      <w:proofErr w:type="spellEnd"/>
      <w:r w:rsidRPr="000442FD">
        <w:rPr>
          <w:rFonts w:ascii="Arial" w:hAnsi="Arial" w:cs="Arial"/>
        </w:rPr>
        <w:t>, H. (2024). Teachers’ and Students’ Roles in Reducing Foreign Language Anxiety. </w:t>
      </w:r>
      <w:r w:rsidRPr="000442FD">
        <w:rPr>
          <w:rFonts w:ascii="Arial" w:hAnsi="Arial" w:cs="Arial"/>
          <w:i/>
          <w:iCs/>
        </w:rPr>
        <w:t>European Journal of Contemporary Education and E-Learning</w:t>
      </w:r>
      <w:r w:rsidRPr="000442FD">
        <w:rPr>
          <w:rFonts w:ascii="Arial" w:hAnsi="Arial" w:cs="Arial"/>
        </w:rPr>
        <w:t>, </w:t>
      </w:r>
      <w:r w:rsidRPr="000442FD">
        <w:rPr>
          <w:rFonts w:ascii="Arial" w:hAnsi="Arial" w:cs="Arial"/>
          <w:i/>
          <w:iCs/>
        </w:rPr>
        <w:t>2</w:t>
      </w:r>
      <w:r w:rsidRPr="000442FD">
        <w:rPr>
          <w:rFonts w:ascii="Arial" w:hAnsi="Arial" w:cs="Arial"/>
        </w:rPr>
        <w:t xml:space="preserve">(3), 90–106. https://doi.org/10.59324/ejceel.2024.2(3).08 </w:t>
      </w:r>
    </w:p>
    <w:p w14:paraId="4BB8169A" w14:textId="7B8BC3E6" w:rsidR="000442FD" w:rsidRPr="000442FD" w:rsidRDefault="000442FD" w:rsidP="000442FD">
      <w:pPr>
        <w:ind w:left="720" w:right="284" w:hanging="720"/>
        <w:jc w:val="both"/>
        <w:rPr>
          <w:rFonts w:ascii="Arial" w:hAnsi="Arial" w:cs="Arial"/>
        </w:rPr>
      </w:pPr>
      <w:proofErr w:type="spellStart"/>
      <w:r w:rsidRPr="000442FD">
        <w:rPr>
          <w:rFonts w:ascii="Arial" w:hAnsi="Arial" w:cs="Arial"/>
        </w:rPr>
        <w:t>Alqarni</w:t>
      </w:r>
      <w:proofErr w:type="spellEnd"/>
      <w:r w:rsidRPr="000442FD">
        <w:rPr>
          <w:rFonts w:ascii="Arial" w:hAnsi="Arial" w:cs="Arial"/>
        </w:rPr>
        <w:t>, N. (2023). Language learning strategies and learning engagement as predictors of language learning achievement: an investigation of Saudi EFL learners. </w:t>
      </w:r>
      <w:r w:rsidRPr="000442FD">
        <w:rPr>
          <w:rFonts w:ascii="Arial" w:hAnsi="Arial" w:cs="Arial"/>
          <w:i/>
          <w:iCs/>
        </w:rPr>
        <w:t>Saudi Journal of Language Studies</w:t>
      </w:r>
      <w:r w:rsidRPr="000442FD">
        <w:rPr>
          <w:rFonts w:ascii="Arial" w:hAnsi="Arial" w:cs="Arial"/>
        </w:rPr>
        <w:t xml:space="preserve">. https://doi.org/10.1108/sjls-12-2022-0084 </w:t>
      </w:r>
    </w:p>
    <w:p w14:paraId="0D296AE9" w14:textId="2EAB1496" w:rsidR="000442FD" w:rsidRPr="000442FD" w:rsidRDefault="000442FD" w:rsidP="000442FD">
      <w:pPr>
        <w:ind w:left="720" w:right="284" w:hanging="720"/>
        <w:jc w:val="both"/>
        <w:rPr>
          <w:rFonts w:ascii="Arial" w:hAnsi="Arial" w:cs="Arial"/>
        </w:rPr>
      </w:pPr>
      <w:r w:rsidRPr="000442FD">
        <w:rPr>
          <w:rFonts w:ascii="Arial" w:hAnsi="Arial" w:cs="Arial"/>
        </w:rPr>
        <w:t xml:space="preserve">Zhang, C. (2024). Analysis of classroom environmental factors and teaching strategies for foreign language learning anxiety. </w:t>
      </w:r>
      <w:r w:rsidRPr="000442FD">
        <w:rPr>
          <w:rFonts w:ascii="Arial" w:hAnsi="Arial" w:cs="Arial"/>
          <w:i/>
          <w:iCs/>
        </w:rPr>
        <w:t>Journal of Education and Educational Research, 7</w:t>
      </w:r>
      <w:r w:rsidRPr="000442FD">
        <w:rPr>
          <w:rFonts w:ascii="Arial" w:hAnsi="Arial" w:cs="Arial"/>
        </w:rPr>
        <w:t>(3), 261–263. https://doi.org/10.54097/5v410a54</w:t>
      </w:r>
    </w:p>
    <w:p w14:paraId="09215A73" w14:textId="14532855" w:rsidR="000442FD" w:rsidRPr="000442FD" w:rsidRDefault="000442FD" w:rsidP="000442FD">
      <w:pPr>
        <w:ind w:left="720" w:right="284" w:hanging="720"/>
        <w:jc w:val="both"/>
        <w:rPr>
          <w:rFonts w:ascii="Arial" w:hAnsi="Arial" w:cs="Arial"/>
        </w:rPr>
      </w:pPr>
      <w:r w:rsidRPr="000442FD">
        <w:rPr>
          <w:rFonts w:ascii="Arial" w:hAnsi="Arial" w:cs="Arial"/>
        </w:rPr>
        <w:t xml:space="preserve">Preacher, K. J., &amp; Kelley, K. (2011). Effect size measures for mediation models: Quantitative strategies for communicating indirect effects. Psychological Methods, 16(2), 93–115. https://doi.org/10.1037/a0022658 </w:t>
      </w:r>
    </w:p>
    <w:p w14:paraId="66D1F326" w14:textId="394A4D83" w:rsidR="000442FD" w:rsidRPr="000442FD" w:rsidRDefault="000442FD" w:rsidP="000442FD">
      <w:pPr>
        <w:ind w:left="720" w:right="284" w:hanging="720"/>
        <w:jc w:val="both"/>
        <w:rPr>
          <w:rFonts w:ascii="Arial" w:hAnsi="Arial" w:cs="Arial"/>
        </w:rPr>
      </w:pPr>
      <w:r w:rsidRPr="000442FD">
        <w:rPr>
          <w:rFonts w:ascii="Arial" w:hAnsi="Arial" w:cs="Arial"/>
        </w:rPr>
        <w:t xml:space="preserve">Bernal, A. I. (2021). The mediating effect of classroom learning environment on the relationship between Filipino language anxiety and coping strategies. </w:t>
      </w:r>
      <w:r w:rsidRPr="000442FD">
        <w:rPr>
          <w:rFonts w:ascii="Arial" w:hAnsi="Arial" w:cs="Arial"/>
          <w:i/>
          <w:iCs/>
        </w:rPr>
        <w:t>International Journal of Language and Literary Studies, 3</w:t>
      </w:r>
      <w:r w:rsidRPr="000442FD">
        <w:rPr>
          <w:rFonts w:ascii="Arial" w:hAnsi="Arial" w:cs="Arial"/>
        </w:rPr>
        <w:t>(4), 60–72. https://doi.org/10.36892/ijlls.v3i4.725</w:t>
      </w:r>
    </w:p>
    <w:p w14:paraId="77B9690F" w14:textId="7ECB5DDF" w:rsidR="000442FD" w:rsidRPr="000442FD" w:rsidRDefault="000442FD" w:rsidP="000442FD">
      <w:pPr>
        <w:ind w:left="720" w:right="284" w:hanging="720"/>
        <w:jc w:val="both"/>
        <w:rPr>
          <w:rFonts w:ascii="Arial" w:hAnsi="Arial" w:cs="Arial"/>
        </w:rPr>
      </w:pPr>
      <w:r w:rsidRPr="000442FD">
        <w:rPr>
          <w:rFonts w:ascii="Arial" w:hAnsi="Arial" w:cs="Arial"/>
        </w:rPr>
        <w:t xml:space="preserve">Abule, G. S., &amp; </w:t>
      </w:r>
      <w:proofErr w:type="spellStart"/>
      <w:r w:rsidRPr="000442FD">
        <w:rPr>
          <w:rFonts w:ascii="Arial" w:hAnsi="Arial" w:cs="Arial"/>
        </w:rPr>
        <w:t>Miralles</w:t>
      </w:r>
      <w:proofErr w:type="spellEnd"/>
      <w:r w:rsidRPr="000442FD">
        <w:rPr>
          <w:rFonts w:ascii="Arial" w:hAnsi="Arial" w:cs="Arial"/>
        </w:rPr>
        <w:t xml:space="preserve">, T. G. (2023). </w:t>
      </w:r>
      <w:r w:rsidRPr="000442FD">
        <w:rPr>
          <w:rFonts w:ascii="Arial" w:hAnsi="Arial" w:cs="Arial"/>
          <w:i/>
          <w:iCs/>
        </w:rPr>
        <w:t xml:space="preserve">The </w:t>
      </w:r>
      <w:bookmarkStart w:id="1" w:name="_GoBack"/>
      <w:r w:rsidRPr="000442FD">
        <w:rPr>
          <w:rFonts w:ascii="Arial" w:hAnsi="Arial" w:cs="Arial"/>
          <w:i/>
          <w:iCs/>
        </w:rPr>
        <w:t xml:space="preserve">mediating effect of English language anxiety </w:t>
      </w:r>
      <w:bookmarkEnd w:id="1"/>
      <w:r w:rsidRPr="000442FD">
        <w:rPr>
          <w:rFonts w:ascii="Arial" w:hAnsi="Arial" w:cs="Arial"/>
          <w:i/>
          <w:iCs/>
        </w:rPr>
        <w:t>on the relationship between classroom learning environment and coping strategies</w:t>
      </w:r>
      <w:r w:rsidRPr="000442FD">
        <w:rPr>
          <w:rFonts w:ascii="Arial" w:hAnsi="Arial" w:cs="Arial"/>
        </w:rPr>
        <w:t xml:space="preserve">. </w:t>
      </w:r>
      <w:r w:rsidRPr="000442FD">
        <w:rPr>
          <w:rFonts w:ascii="Arial" w:hAnsi="Arial" w:cs="Arial"/>
          <w:i/>
          <w:iCs/>
        </w:rPr>
        <w:t>European Journal of English Language Teaching, 8</w:t>
      </w:r>
      <w:r w:rsidRPr="000442FD">
        <w:rPr>
          <w:rFonts w:ascii="Arial" w:hAnsi="Arial" w:cs="Arial"/>
        </w:rPr>
        <w:t>(3). https://doi.org/10.46827/ejel.v8i3.4906‌</w:t>
      </w:r>
    </w:p>
    <w:p w14:paraId="08CA545D" w14:textId="216380A0" w:rsidR="000442FD" w:rsidRPr="000442FD" w:rsidRDefault="000442FD" w:rsidP="000442FD">
      <w:pPr>
        <w:ind w:left="720" w:right="284" w:hanging="720"/>
        <w:jc w:val="both"/>
        <w:rPr>
          <w:rFonts w:ascii="Arial" w:hAnsi="Arial" w:cs="Arial"/>
        </w:rPr>
      </w:pPr>
      <w:r w:rsidRPr="000442FD">
        <w:rPr>
          <w:rFonts w:ascii="Arial" w:hAnsi="Arial" w:cs="Arial"/>
        </w:rPr>
        <w:t>Wang, D. (2023). The relationship between teacher care behavior and EFL learning anxiety: the chain mediation effect of learning engagement and learning strategies. </w:t>
      </w:r>
      <w:r w:rsidRPr="000442FD">
        <w:rPr>
          <w:rFonts w:ascii="Arial" w:hAnsi="Arial" w:cs="Arial"/>
          <w:i/>
          <w:iCs/>
        </w:rPr>
        <w:t>Frontiers in Psychology</w:t>
      </w:r>
      <w:r w:rsidRPr="000442FD">
        <w:rPr>
          <w:rFonts w:ascii="Arial" w:hAnsi="Arial" w:cs="Arial"/>
        </w:rPr>
        <w:t>, </w:t>
      </w:r>
      <w:r w:rsidRPr="000442FD">
        <w:rPr>
          <w:rFonts w:ascii="Arial" w:hAnsi="Arial" w:cs="Arial"/>
          <w:i/>
          <w:iCs/>
        </w:rPr>
        <w:t>14</w:t>
      </w:r>
      <w:r w:rsidRPr="000442FD">
        <w:rPr>
          <w:rFonts w:ascii="Arial" w:hAnsi="Arial" w:cs="Arial"/>
        </w:rPr>
        <w:t xml:space="preserve">. https://doi.org/10.3389/fpsyg.2023.1279025 </w:t>
      </w:r>
    </w:p>
    <w:p w14:paraId="7A61CB43" w14:textId="5583A3AB" w:rsidR="000442FD" w:rsidRPr="000442FD" w:rsidRDefault="000442FD" w:rsidP="000442FD">
      <w:pPr>
        <w:ind w:left="720" w:right="284" w:hanging="720"/>
        <w:jc w:val="both"/>
        <w:rPr>
          <w:rFonts w:ascii="Arial" w:hAnsi="Arial" w:cs="Arial"/>
        </w:rPr>
      </w:pPr>
      <w:r w:rsidRPr="000442FD">
        <w:rPr>
          <w:rFonts w:ascii="Arial" w:hAnsi="Arial" w:cs="Arial"/>
        </w:rPr>
        <w:t xml:space="preserve">Herman, M. A., </w:t>
      </w:r>
      <w:proofErr w:type="spellStart"/>
      <w:r w:rsidRPr="000442FD">
        <w:rPr>
          <w:rFonts w:ascii="Arial" w:hAnsi="Arial" w:cs="Arial"/>
        </w:rPr>
        <w:t>Budiyanto</w:t>
      </w:r>
      <w:proofErr w:type="spellEnd"/>
      <w:r w:rsidRPr="000442FD">
        <w:rPr>
          <w:rFonts w:ascii="Arial" w:hAnsi="Arial" w:cs="Arial"/>
        </w:rPr>
        <w:t xml:space="preserve">, D., </w:t>
      </w:r>
      <w:proofErr w:type="spellStart"/>
      <w:r w:rsidRPr="000442FD">
        <w:rPr>
          <w:rFonts w:ascii="Arial" w:hAnsi="Arial" w:cs="Arial"/>
        </w:rPr>
        <w:t>Setiawan</w:t>
      </w:r>
      <w:proofErr w:type="spellEnd"/>
      <w:r w:rsidRPr="000442FD">
        <w:rPr>
          <w:rFonts w:ascii="Arial" w:hAnsi="Arial" w:cs="Arial"/>
        </w:rPr>
        <w:t xml:space="preserve">, H., &amp; </w:t>
      </w:r>
      <w:proofErr w:type="spellStart"/>
      <w:r w:rsidRPr="000442FD">
        <w:rPr>
          <w:rFonts w:ascii="Arial" w:hAnsi="Arial" w:cs="Arial"/>
        </w:rPr>
        <w:t>Ridho</w:t>
      </w:r>
      <w:proofErr w:type="spellEnd"/>
      <w:r w:rsidRPr="000442FD">
        <w:rPr>
          <w:rFonts w:ascii="Arial" w:hAnsi="Arial" w:cs="Arial"/>
        </w:rPr>
        <w:t xml:space="preserve">, M. </w:t>
      </w:r>
      <w:proofErr w:type="spellStart"/>
      <w:r w:rsidRPr="000442FD">
        <w:rPr>
          <w:rFonts w:ascii="Arial" w:hAnsi="Arial" w:cs="Arial"/>
        </w:rPr>
        <w:t>Rasyid</w:t>
      </w:r>
      <w:proofErr w:type="spellEnd"/>
      <w:r w:rsidRPr="000442FD">
        <w:rPr>
          <w:rFonts w:ascii="Arial" w:hAnsi="Arial" w:cs="Arial"/>
        </w:rPr>
        <w:t>. (2023). The Relationship Impacting Coping Strategies, Anxiety, and Learning Stress in Eleventh-Grade English Students. </w:t>
      </w:r>
      <w:r w:rsidRPr="000442FD">
        <w:rPr>
          <w:rFonts w:ascii="Arial" w:hAnsi="Arial" w:cs="Arial"/>
          <w:i/>
          <w:iCs/>
        </w:rPr>
        <w:t>Journal of English Education</w:t>
      </w:r>
      <w:r w:rsidRPr="000442FD">
        <w:rPr>
          <w:rFonts w:ascii="Arial" w:hAnsi="Arial" w:cs="Arial"/>
        </w:rPr>
        <w:t>, </w:t>
      </w:r>
      <w:r w:rsidRPr="000442FD">
        <w:rPr>
          <w:rFonts w:ascii="Arial" w:hAnsi="Arial" w:cs="Arial"/>
          <w:i/>
          <w:iCs/>
        </w:rPr>
        <w:t>1</w:t>
      </w:r>
      <w:r w:rsidRPr="000442FD">
        <w:rPr>
          <w:rFonts w:ascii="Arial" w:hAnsi="Arial" w:cs="Arial"/>
        </w:rPr>
        <w:t xml:space="preserve">(2), 56–62. https://doi.org/10.61994/jee.v1i2.188 </w:t>
      </w:r>
    </w:p>
    <w:p w14:paraId="105FE792" w14:textId="77777777" w:rsidR="00B01FCD" w:rsidRPr="00FB3A86" w:rsidRDefault="00B01FCD" w:rsidP="00441B6F">
      <w:pPr>
        <w:pStyle w:val="Appendix"/>
        <w:spacing w:after="0"/>
        <w:jc w:val="both"/>
        <w:rPr>
          <w:rFonts w:ascii="Arial" w:hAnsi="Arial" w:cs="Arial"/>
          <w:b w:val="0"/>
        </w:rPr>
      </w:pPr>
    </w:p>
    <w:sectPr w:rsidR="00B01FCD" w:rsidRPr="00FB3A86" w:rsidSect="00A362F6">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F2A8D2" w14:textId="77777777" w:rsidR="00F0694E" w:rsidRDefault="00F0694E" w:rsidP="00C37E61">
      <w:r>
        <w:separator/>
      </w:r>
    </w:p>
  </w:endnote>
  <w:endnote w:type="continuationSeparator" w:id="0">
    <w:p w14:paraId="768F0E07" w14:textId="77777777" w:rsidR="00F0694E" w:rsidRDefault="00F0694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4A0DE" w14:textId="77777777" w:rsidR="00F11542" w:rsidRDefault="00F11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9D6E7" w14:textId="77777777" w:rsidR="00F11542" w:rsidRDefault="00F11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C242" w14:textId="77777777" w:rsidR="009E048A" w:rsidRDefault="009E048A">
    <w:pPr>
      <w:pStyle w:val="Footer"/>
      <w:rPr>
        <w:rFonts w:ascii="Arial" w:hAnsi="Arial" w:cs="Arial"/>
        <w:sz w:val="16"/>
      </w:rPr>
    </w:pPr>
  </w:p>
  <w:p w14:paraId="56EA0C6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BEBC97A" w14:textId="77777777" w:rsidR="009E048A" w:rsidRDefault="009E048A">
    <w:pPr>
      <w:pStyle w:val="Footer"/>
      <w:rPr>
        <w:rFonts w:ascii="Arial" w:hAnsi="Arial" w:cs="Arial"/>
        <w:sz w:val="16"/>
      </w:rPr>
    </w:pPr>
  </w:p>
  <w:p w14:paraId="4F9D2E4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F9C6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F61DC" w14:textId="77777777" w:rsidR="00F0694E" w:rsidRDefault="00F0694E" w:rsidP="00C37E61">
      <w:r>
        <w:separator/>
      </w:r>
    </w:p>
  </w:footnote>
  <w:footnote w:type="continuationSeparator" w:id="0">
    <w:p w14:paraId="6F76AC5A" w14:textId="77777777" w:rsidR="00F0694E" w:rsidRDefault="00F0694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1BCA4" w14:textId="1C9E6155" w:rsidR="00F11542" w:rsidRDefault="00F0694E">
    <w:pPr>
      <w:pStyle w:val="Header"/>
    </w:pPr>
    <w:r>
      <w:rPr>
        <w:noProof/>
      </w:rPr>
      <w:pict w14:anchorId="2188EA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230B6" w14:textId="135D6256" w:rsidR="00F11542" w:rsidRDefault="00F0694E">
    <w:pPr>
      <w:pStyle w:val="Header"/>
    </w:pPr>
    <w:r>
      <w:rPr>
        <w:noProof/>
      </w:rPr>
      <w:pict w14:anchorId="638228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6B237" w14:textId="426DD02C" w:rsidR="00296529" w:rsidRPr="00296529" w:rsidRDefault="00F0694E" w:rsidP="00296529">
    <w:pPr>
      <w:ind w:left="2160"/>
      <w:jc w:val="center"/>
      <w:rPr>
        <w:rFonts w:ascii="Times New Roman" w:eastAsia="Calibri" w:hAnsi="Times New Roman"/>
        <w:i/>
        <w:sz w:val="18"/>
        <w:szCs w:val="22"/>
      </w:rPr>
    </w:pPr>
    <w:r>
      <w:rPr>
        <w:noProof/>
      </w:rPr>
      <w:pict w14:anchorId="2F17E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A2FD1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78FAB6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DAFDF7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1CCFE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603AB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BA477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67193" w14:textId="3FA02B82" w:rsidR="00F11542" w:rsidRDefault="00F0694E">
    <w:pPr>
      <w:pStyle w:val="Header"/>
    </w:pPr>
    <w:r>
      <w:rPr>
        <w:noProof/>
      </w:rPr>
      <w:pict w14:anchorId="0CA8B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C2A1" w14:textId="2F40CE20" w:rsidR="00F11542" w:rsidRDefault="00F0694E">
    <w:pPr>
      <w:pStyle w:val="Header"/>
    </w:pPr>
    <w:r>
      <w:rPr>
        <w:noProof/>
      </w:rPr>
      <w:pict w14:anchorId="189F3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14585" w14:textId="35347A45" w:rsidR="00F11542" w:rsidRDefault="00F0694E">
    <w:pPr>
      <w:pStyle w:val="Header"/>
    </w:pPr>
    <w:r>
      <w:rPr>
        <w:noProof/>
      </w:rPr>
      <w:pict w14:anchorId="2A5C62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254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73E4F1F"/>
    <w:multiLevelType w:val="hybridMultilevel"/>
    <w:tmpl w:val="B7560F9A"/>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94F"/>
    <w:rsid w:val="00000F8F"/>
    <w:rsid w:val="00030174"/>
    <w:rsid w:val="000442FD"/>
    <w:rsid w:val="0004579C"/>
    <w:rsid w:val="00073CE6"/>
    <w:rsid w:val="000879CB"/>
    <w:rsid w:val="000A47FA"/>
    <w:rsid w:val="000A65D3"/>
    <w:rsid w:val="000B1E33"/>
    <w:rsid w:val="000D3910"/>
    <w:rsid w:val="000D689F"/>
    <w:rsid w:val="000E7B7B"/>
    <w:rsid w:val="000E7D62"/>
    <w:rsid w:val="00103357"/>
    <w:rsid w:val="00123C9F"/>
    <w:rsid w:val="00126190"/>
    <w:rsid w:val="00130C75"/>
    <w:rsid w:val="00130F17"/>
    <w:rsid w:val="001320BF"/>
    <w:rsid w:val="00156B4B"/>
    <w:rsid w:val="00163BC4"/>
    <w:rsid w:val="001903AA"/>
    <w:rsid w:val="00191062"/>
    <w:rsid w:val="00192B72"/>
    <w:rsid w:val="001A29D8"/>
    <w:rsid w:val="001A5CAA"/>
    <w:rsid w:val="001B0427"/>
    <w:rsid w:val="001D3A51"/>
    <w:rsid w:val="001E10D2"/>
    <w:rsid w:val="001E25B4"/>
    <w:rsid w:val="001E44FE"/>
    <w:rsid w:val="00200595"/>
    <w:rsid w:val="00204835"/>
    <w:rsid w:val="00217656"/>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F0626"/>
    <w:rsid w:val="00315186"/>
    <w:rsid w:val="0033343E"/>
    <w:rsid w:val="003512C2"/>
    <w:rsid w:val="00371FB6"/>
    <w:rsid w:val="003763C1"/>
    <w:rsid w:val="00376BBE"/>
    <w:rsid w:val="0039224F"/>
    <w:rsid w:val="003A43A4"/>
    <w:rsid w:val="003A7E18"/>
    <w:rsid w:val="003C4C86"/>
    <w:rsid w:val="003C6258"/>
    <w:rsid w:val="003E2904"/>
    <w:rsid w:val="003E7628"/>
    <w:rsid w:val="00401927"/>
    <w:rsid w:val="0041027F"/>
    <w:rsid w:val="00412475"/>
    <w:rsid w:val="00423789"/>
    <w:rsid w:val="004340D6"/>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5F71F3"/>
    <w:rsid w:val="00602BF5"/>
    <w:rsid w:val="00617FDD"/>
    <w:rsid w:val="00633614"/>
    <w:rsid w:val="00633F68"/>
    <w:rsid w:val="006341A5"/>
    <w:rsid w:val="00636EB2"/>
    <w:rsid w:val="006375B8"/>
    <w:rsid w:val="0066510A"/>
    <w:rsid w:val="00673F9F"/>
    <w:rsid w:val="00686953"/>
    <w:rsid w:val="00687DEA"/>
    <w:rsid w:val="00687E67"/>
    <w:rsid w:val="006967F7"/>
    <w:rsid w:val="006A250C"/>
    <w:rsid w:val="006B21D3"/>
    <w:rsid w:val="006B57D0"/>
    <w:rsid w:val="006B79FD"/>
    <w:rsid w:val="006D30FF"/>
    <w:rsid w:val="006D6940"/>
    <w:rsid w:val="006E2767"/>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342E5"/>
    <w:rsid w:val="00840759"/>
    <w:rsid w:val="00860000"/>
    <w:rsid w:val="00863BD3"/>
    <w:rsid w:val="008641ED"/>
    <w:rsid w:val="00866D66"/>
    <w:rsid w:val="008671C6"/>
    <w:rsid w:val="00875803"/>
    <w:rsid w:val="008B459E"/>
    <w:rsid w:val="008B69D5"/>
    <w:rsid w:val="008E13AE"/>
    <w:rsid w:val="008E1506"/>
    <w:rsid w:val="008E710C"/>
    <w:rsid w:val="008F69D6"/>
    <w:rsid w:val="00902823"/>
    <w:rsid w:val="0090605E"/>
    <w:rsid w:val="00915CA6"/>
    <w:rsid w:val="00926D79"/>
    <w:rsid w:val="00927834"/>
    <w:rsid w:val="009500A6"/>
    <w:rsid w:val="009542F0"/>
    <w:rsid w:val="00957C18"/>
    <w:rsid w:val="009659BA"/>
    <w:rsid w:val="00983040"/>
    <w:rsid w:val="009B3FB9"/>
    <w:rsid w:val="009C2465"/>
    <w:rsid w:val="009D2CBE"/>
    <w:rsid w:val="009D35A0"/>
    <w:rsid w:val="009D7EB7"/>
    <w:rsid w:val="009E048A"/>
    <w:rsid w:val="009E08E9"/>
    <w:rsid w:val="009E3DB9"/>
    <w:rsid w:val="009E6E35"/>
    <w:rsid w:val="009F0EDA"/>
    <w:rsid w:val="00A03B96"/>
    <w:rsid w:val="00A0542B"/>
    <w:rsid w:val="00A05B19"/>
    <w:rsid w:val="00A1134E"/>
    <w:rsid w:val="00A24E7E"/>
    <w:rsid w:val="00A258C3"/>
    <w:rsid w:val="00A3460A"/>
    <w:rsid w:val="00A347C0"/>
    <w:rsid w:val="00A362F6"/>
    <w:rsid w:val="00A51431"/>
    <w:rsid w:val="00A539AD"/>
    <w:rsid w:val="00A65BD2"/>
    <w:rsid w:val="00A94063"/>
    <w:rsid w:val="00AA6219"/>
    <w:rsid w:val="00AA6C19"/>
    <w:rsid w:val="00AA74E0"/>
    <w:rsid w:val="00AB703F"/>
    <w:rsid w:val="00AC6BB8"/>
    <w:rsid w:val="00AE008F"/>
    <w:rsid w:val="00B01FCD"/>
    <w:rsid w:val="00B02171"/>
    <w:rsid w:val="00B1776C"/>
    <w:rsid w:val="00B52583"/>
    <w:rsid w:val="00B52896"/>
    <w:rsid w:val="00B95236"/>
    <w:rsid w:val="00B96BD9"/>
    <w:rsid w:val="00BA1B01"/>
    <w:rsid w:val="00BA1D17"/>
    <w:rsid w:val="00BA2641"/>
    <w:rsid w:val="00BA6725"/>
    <w:rsid w:val="00BB37AA"/>
    <w:rsid w:val="00BC53A0"/>
    <w:rsid w:val="00BD490D"/>
    <w:rsid w:val="00BE62AD"/>
    <w:rsid w:val="00BF121F"/>
    <w:rsid w:val="00BF1F80"/>
    <w:rsid w:val="00C166EF"/>
    <w:rsid w:val="00C17EB0"/>
    <w:rsid w:val="00C2318E"/>
    <w:rsid w:val="00C27F5F"/>
    <w:rsid w:val="00C30A0F"/>
    <w:rsid w:val="00C37E61"/>
    <w:rsid w:val="00C70F1B"/>
    <w:rsid w:val="00C71A47"/>
    <w:rsid w:val="00C7464C"/>
    <w:rsid w:val="00C85588"/>
    <w:rsid w:val="00C962BD"/>
    <w:rsid w:val="00CD385C"/>
    <w:rsid w:val="00CD6755"/>
    <w:rsid w:val="00CD6856"/>
    <w:rsid w:val="00CE0089"/>
    <w:rsid w:val="00CE793C"/>
    <w:rsid w:val="00CF193C"/>
    <w:rsid w:val="00D173F1"/>
    <w:rsid w:val="00D416A6"/>
    <w:rsid w:val="00D4354E"/>
    <w:rsid w:val="00D613B3"/>
    <w:rsid w:val="00D74CB0"/>
    <w:rsid w:val="00D8295D"/>
    <w:rsid w:val="00DC2A65"/>
    <w:rsid w:val="00DD7330"/>
    <w:rsid w:val="00DE15F0"/>
    <w:rsid w:val="00DE5663"/>
    <w:rsid w:val="00DE78AA"/>
    <w:rsid w:val="00E053D0"/>
    <w:rsid w:val="00E07ED4"/>
    <w:rsid w:val="00E114ED"/>
    <w:rsid w:val="00E15994"/>
    <w:rsid w:val="00E3114E"/>
    <w:rsid w:val="00E31A70"/>
    <w:rsid w:val="00E35B02"/>
    <w:rsid w:val="00E35DFB"/>
    <w:rsid w:val="00E66496"/>
    <w:rsid w:val="00E66B35"/>
    <w:rsid w:val="00E66E10"/>
    <w:rsid w:val="00E769F6"/>
    <w:rsid w:val="00E8407C"/>
    <w:rsid w:val="00E84F3C"/>
    <w:rsid w:val="00EA012C"/>
    <w:rsid w:val="00EA381B"/>
    <w:rsid w:val="00EC6A55"/>
    <w:rsid w:val="00ED0288"/>
    <w:rsid w:val="00ED7C38"/>
    <w:rsid w:val="00EE52CB"/>
    <w:rsid w:val="00EE7823"/>
    <w:rsid w:val="00EF581D"/>
    <w:rsid w:val="00EF7FD8"/>
    <w:rsid w:val="00F0694E"/>
    <w:rsid w:val="00F06F59"/>
    <w:rsid w:val="00F11542"/>
    <w:rsid w:val="00F17988"/>
    <w:rsid w:val="00F4382E"/>
    <w:rsid w:val="00F469F0"/>
    <w:rsid w:val="00F47E50"/>
    <w:rsid w:val="00F53273"/>
    <w:rsid w:val="00F755E4"/>
    <w:rsid w:val="00F77D02"/>
    <w:rsid w:val="00FB3A86"/>
    <w:rsid w:val="00FD36C8"/>
    <w:rsid w:val="00FE3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8"/>
      </o:rules>
    </o:shapelayout>
  </w:shapeDefaults>
  <w:decimalSymbol w:val="."/>
  <w:listSeparator w:val=","/>
  <w14:docId w14:val="63C9FF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3">
    <w:name w:val="Plain Table 3"/>
    <w:basedOn w:val="TableNormal"/>
    <w:uiPriority w:val="43"/>
    <w:rsid w:val="006E2767"/>
    <w:rPr>
      <w:rFonts w:asciiTheme="minorHAnsi" w:eastAsiaTheme="minorHAnsi" w:hAnsiTheme="minorHAnsi" w:cstheme="minorBidi"/>
      <w:kern w:val="2"/>
      <w:sz w:val="22"/>
      <w:szCs w:val="22"/>
      <w:lang w:val="en-PH"/>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F71F3"/>
    <w:rPr>
      <w:rFonts w:asciiTheme="minorHAnsi" w:eastAsiaTheme="minorHAnsi" w:hAnsiTheme="minorHAnsi" w:cstheme="minorBidi"/>
      <w:kern w:val="2"/>
      <w:sz w:val="22"/>
      <w:szCs w:val="22"/>
      <w:lang w:val="en-PH"/>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29699-4E58-4D13-BFEA-EC01D0EF9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159</TotalTime>
  <Pages>7</Pages>
  <Words>4204</Words>
  <Characters>23967</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28115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30</cp:revision>
  <cp:lastPrinted>1999-07-06T11:00:00Z</cp:lastPrinted>
  <dcterms:created xsi:type="dcterms:W3CDTF">2014-10-25T14:34:00Z</dcterms:created>
  <dcterms:modified xsi:type="dcterms:W3CDTF">2025-05-23T06:19:00Z</dcterms:modified>
</cp:coreProperties>
</file>