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9595B" w14:textId="77777777" w:rsidR="00936CB0" w:rsidRDefault="00936CB0" w:rsidP="001F0077">
      <w:pPr>
        <w:pStyle w:val="Author"/>
        <w:spacing w:line="240" w:lineRule="auto"/>
        <w:rPr>
          <w:rFonts w:ascii="Tahoma" w:hAnsi="Tahoma" w:cs="Tahoma"/>
          <w:szCs w:val="24"/>
        </w:rPr>
      </w:pPr>
    </w:p>
    <w:p w14:paraId="53E06C6E" w14:textId="08BF24C4" w:rsidR="00A258C3" w:rsidRDefault="00790D9D" w:rsidP="001F0077">
      <w:pPr>
        <w:pStyle w:val="Author"/>
        <w:spacing w:line="240" w:lineRule="auto"/>
        <w:rPr>
          <w:rFonts w:ascii="Tahoma" w:hAnsi="Tahoma" w:cs="Tahoma"/>
          <w:szCs w:val="24"/>
        </w:rPr>
      </w:pPr>
      <w:r>
        <w:rPr>
          <w:rFonts w:ascii="Tahoma" w:hAnsi="Tahoma" w:cs="Tahoma"/>
          <w:szCs w:val="24"/>
        </w:rPr>
        <w:t xml:space="preserve">The Relationship Between </w:t>
      </w:r>
      <w:r w:rsidRPr="00FD54A9">
        <w:rPr>
          <w:rFonts w:ascii="Tahoma" w:hAnsi="Tahoma" w:cs="Tahoma"/>
          <w:szCs w:val="24"/>
        </w:rPr>
        <w:t>Metacognitive Knowledge and Mathematics Performance of High School Students</w:t>
      </w:r>
    </w:p>
    <w:p w14:paraId="21348742" w14:textId="77777777" w:rsidR="001F0077" w:rsidRPr="00790ADA" w:rsidRDefault="001F0077" w:rsidP="00441B6F">
      <w:pPr>
        <w:pStyle w:val="Author"/>
        <w:spacing w:line="240" w:lineRule="auto"/>
        <w:jc w:val="both"/>
        <w:rPr>
          <w:rFonts w:ascii="Arial" w:hAnsi="Arial" w:cs="Arial"/>
          <w:sz w:val="36"/>
        </w:rPr>
      </w:pPr>
    </w:p>
    <w:p w14:paraId="72B64C34" w14:textId="77777777" w:rsidR="00A244E5" w:rsidRDefault="00A244E5" w:rsidP="00BA5B64">
      <w:pPr>
        <w:pStyle w:val="Affiliation"/>
        <w:spacing w:after="0" w:line="240" w:lineRule="auto"/>
        <w:rPr>
          <w:rFonts w:ascii="Arial" w:hAnsi="Arial" w:cs="Arial"/>
          <w:i/>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9658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41603C25" w:rsidR="00505F06" w:rsidRPr="00842128" w:rsidRDefault="00DB1E07" w:rsidP="00EB7C71">
            <w:pPr>
              <w:ind w:firstLine="720"/>
              <w:jc w:val="both"/>
              <w:rPr>
                <w:rFonts w:ascii="Arial" w:hAnsi="Arial" w:cs="Arial"/>
              </w:rPr>
            </w:pPr>
            <w:r w:rsidRPr="00DB1E07">
              <w:rPr>
                <w:rFonts w:ascii="Arial" w:hAnsi="Arial" w:cs="Arial"/>
              </w:rPr>
              <w:t xml:space="preserve">This study examined the relationship between metacognitive knowledge and mathematics performance among selected junior high school students at </w:t>
            </w:r>
            <w:r>
              <w:rPr>
                <w:rFonts w:ascii="Arial" w:hAnsi="Arial" w:cs="Arial"/>
              </w:rPr>
              <w:t xml:space="preserve">a </w:t>
            </w:r>
            <w:r w:rsidRPr="00DB1E07">
              <w:rPr>
                <w:rFonts w:ascii="Arial" w:hAnsi="Arial" w:cs="Arial"/>
              </w:rPr>
              <w:t xml:space="preserve">National High School </w:t>
            </w:r>
            <w:r>
              <w:rPr>
                <w:rFonts w:ascii="Arial" w:hAnsi="Arial" w:cs="Arial"/>
              </w:rPr>
              <w:t xml:space="preserve">in Davao Occidental </w:t>
            </w:r>
            <w:r w:rsidRPr="00DB1E07">
              <w:rPr>
                <w:rFonts w:ascii="Arial" w:hAnsi="Arial" w:cs="Arial"/>
              </w:rPr>
              <w:t>during the school year 2023–2024. A descriptive-correlational design was employed, with 155 respondents selected through stratified random sampling from a population of 251 students. An adapted questionnaire assessed students’ metacognitive knowledge, while their mathematics performance was obtained from official grade records. Data were analyzed using mean scores and Spearman correlation analysis. Results revealed that students demonstrated an average level of metacognitive knowledge. Their mathematics performance was classified as approaching proficiency. Statistical analysis indicated a significant positive relationship between metacognitive knowledge and mathematics performance, suggesting that students with higher metacognitive awareness tend to perform better in mathematics. These findings highlight the importance of developing metacognitive skills to enhance mathematics achievement.</w:t>
            </w:r>
            <w:r w:rsidR="00805ADB">
              <w:rPr>
                <w:rFonts w:ascii="Arial" w:hAnsi="Arial" w:cs="Arial"/>
              </w:rPr>
              <w:t xml:space="preserve"> </w:t>
            </w:r>
            <w:r w:rsidR="009361B6">
              <w:rPr>
                <w:rFonts w:ascii="Arial" w:hAnsi="Arial" w:cs="Arial"/>
                <w:highlight w:val="yellow"/>
              </w:rPr>
              <w:t>Hence</w:t>
            </w:r>
            <w:r w:rsidR="00805ADB" w:rsidRPr="00805ADB">
              <w:rPr>
                <w:rFonts w:ascii="Arial" w:hAnsi="Arial" w:cs="Arial"/>
                <w:highlight w:val="yellow"/>
              </w:rPr>
              <w:t>, educators are encouraged to incorporate activities that promote self-reflection, strategic planning, and monitoring into regular instruction.</w:t>
            </w:r>
          </w:p>
        </w:tc>
      </w:tr>
    </w:tbl>
    <w:p w14:paraId="67CF14F2" w14:textId="0F620D46"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B20A7B">
        <w:rPr>
          <w:rFonts w:ascii="Arial" w:hAnsi="Arial" w:cs="Arial"/>
          <w:i/>
        </w:rPr>
        <w:t>Metacognitive Knowledge</w:t>
      </w:r>
      <w:r w:rsidR="00D85FA7">
        <w:rPr>
          <w:rFonts w:ascii="Arial" w:hAnsi="Arial" w:cs="Arial"/>
          <w:i/>
        </w:rPr>
        <w:t xml:space="preserve">, </w:t>
      </w:r>
      <w:r w:rsidR="00D85FA7" w:rsidRPr="00D85FA7">
        <w:rPr>
          <w:rFonts w:ascii="Arial" w:hAnsi="Arial" w:cs="Arial"/>
          <w:i/>
        </w:rPr>
        <w:t>Mathematics Performance</w:t>
      </w:r>
      <w:r w:rsidR="00DB1E07">
        <w:rPr>
          <w:rFonts w:ascii="Arial" w:hAnsi="Arial" w:cs="Arial"/>
          <w:i/>
        </w:rPr>
        <w:t>, H</w:t>
      </w:r>
      <w:r w:rsidR="00DB1E07" w:rsidRPr="00DB1E07">
        <w:rPr>
          <w:rFonts w:ascii="Arial" w:hAnsi="Arial" w:cs="Arial"/>
          <w:i/>
        </w:rPr>
        <w:t xml:space="preserve">igh </w:t>
      </w:r>
      <w:r w:rsidR="00DB1E07">
        <w:rPr>
          <w:rFonts w:ascii="Arial" w:hAnsi="Arial" w:cs="Arial"/>
          <w:i/>
        </w:rPr>
        <w:t>S</w:t>
      </w:r>
      <w:r w:rsidR="00DB1E07" w:rsidRPr="00DB1E07">
        <w:rPr>
          <w:rFonts w:ascii="Arial" w:hAnsi="Arial" w:cs="Arial"/>
          <w:i/>
        </w:rPr>
        <w:t xml:space="preserve">chool </w:t>
      </w:r>
      <w:r w:rsidR="00DB1E07">
        <w:rPr>
          <w:rFonts w:ascii="Arial" w:hAnsi="Arial" w:cs="Arial"/>
          <w:i/>
        </w:rPr>
        <w:t>S</w:t>
      </w:r>
      <w:r w:rsidR="00DB1E07" w:rsidRPr="00DB1E07">
        <w:rPr>
          <w:rFonts w:ascii="Arial" w:hAnsi="Arial" w:cs="Arial"/>
          <w:i/>
        </w:rPr>
        <w:t>tudents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46EF4B7B" w14:textId="3261BD19" w:rsidR="00AB65EC" w:rsidRPr="00705486" w:rsidRDefault="00AB65EC" w:rsidP="00AB65EC">
      <w:pPr>
        <w:ind w:firstLine="720"/>
        <w:jc w:val="both"/>
        <w:rPr>
          <w:rFonts w:ascii="Arial" w:eastAsia="Tahoma" w:hAnsi="Arial" w:cs="Arial"/>
        </w:rPr>
      </w:pPr>
      <w:r w:rsidRPr="00705486">
        <w:rPr>
          <w:rFonts w:ascii="Arial" w:eastAsia="Tahoma" w:hAnsi="Arial" w:cs="Arial"/>
        </w:rPr>
        <w:t>Metacognitive knowledge plays a critical role in helping students become self-regulated learners</w:t>
      </w:r>
      <w:r w:rsidR="00752FF3" w:rsidRPr="00705486">
        <w:rPr>
          <w:rFonts w:ascii="Arial" w:eastAsia="Tahoma" w:hAnsi="Arial" w:cs="Arial"/>
        </w:rPr>
        <w:t xml:space="preserve"> (Winnie &amp; Azevedo, 2022)</w:t>
      </w:r>
      <w:r w:rsidRPr="00705486">
        <w:rPr>
          <w:rFonts w:ascii="Arial" w:eastAsia="Tahoma" w:hAnsi="Arial" w:cs="Arial"/>
        </w:rPr>
        <w:t xml:space="preserve">. It refers to an individual’s awareness and understanding of their cognitive processes, including how they plan, monitor, and evaluate their learning. As Dawson (2010) emphasized, metacognition goes beyond basic cognition and has been proven to improve academic outcomes when properly developed. </w:t>
      </w:r>
      <w:proofErr w:type="spellStart"/>
      <w:r w:rsidRPr="00705486">
        <w:rPr>
          <w:rFonts w:ascii="Arial" w:eastAsia="Tahoma" w:hAnsi="Arial" w:cs="Arial"/>
        </w:rPr>
        <w:t>Efklides</w:t>
      </w:r>
      <w:proofErr w:type="spellEnd"/>
      <w:r w:rsidRPr="00705486">
        <w:rPr>
          <w:rFonts w:ascii="Arial" w:eastAsia="Tahoma" w:hAnsi="Arial" w:cs="Arial"/>
        </w:rPr>
        <w:t xml:space="preserve"> (2011) also noted that students with higher metacognitive awareness are better equipped to control their learning behaviors and adapt to challenging academic demands. Flavell (1979) identified three key domains of metacognitive knowledge: knowledge of the self, knowledge of tasks, and knowledge of strategies. These areas encompass students' understanding of their strengths and weaknesses, awareness of task complexity, and the strategic use of cognitive tools to solve problems. Yang et al. (2017) stressed that students who are metacognitively aware can plan effectively, adjust their approaches, and make sound learning decisions. In the context of mathematics, where problem-solving and conceptual understanding are essential, metacognition is especially important.</w:t>
      </w:r>
    </w:p>
    <w:p w14:paraId="0B1C6332" w14:textId="7E8E465D" w:rsidR="00AB65EC" w:rsidRPr="00705486" w:rsidRDefault="00AB65EC" w:rsidP="00AB65EC">
      <w:pPr>
        <w:ind w:firstLine="720"/>
        <w:jc w:val="both"/>
        <w:rPr>
          <w:rFonts w:ascii="Arial" w:eastAsia="Tahoma" w:hAnsi="Arial" w:cs="Arial"/>
        </w:rPr>
      </w:pPr>
      <w:r w:rsidRPr="00705486">
        <w:rPr>
          <w:rFonts w:ascii="Arial" w:eastAsia="Tahoma" w:hAnsi="Arial" w:cs="Arial"/>
        </w:rPr>
        <w:t xml:space="preserve">While numerous international studies support the link between metacognitive skills and academic achievement (Bogdanović et al., 2017; Abdellah, 2015), recent local studies also show how non-cognitive and affective factors influence mathematics performance, often linking them with metacognitive behaviors. For instance, Cabalquinto and Magallanes (2022) used structural equation modeling to explain how motivation, attitude, and self-efficacy interact as non-cognitive predictors of math achievement, emphasizing the indirect role of metacognitive beliefs. Similarly, Baclay et al. (2025) highlighted that motivational strategies like persistence and goal-setting, which reflect self-regulatory planning, significantly affect performance in mathematics. Resilience and self-concept, often influenced by metacognitive </w:t>
      </w:r>
      <w:r w:rsidRPr="00705486">
        <w:rPr>
          <w:rFonts w:ascii="Arial" w:eastAsia="Tahoma" w:hAnsi="Arial" w:cs="Arial"/>
        </w:rPr>
        <w:lastRenderedPageBreak/>
        <w:t xml:space="preserve">evaluations, have also been associated with mathematics outcomes. Agtarap and Miranda (2022) revealed that student resilience, acting as a mediator between self-concept and performance, may be strengthened through reflective learning. </w:t>
      </w:r>
      <w:proofErr w:type="spellStart"/>
      <w:r w:rsidRPr="00705486">
        <w:rPr>
          <w:rFonts w:ascii="Arial" w:eastAsia="Tahoma" w:hAnsi="Arial" w:cs="Arial"/>
        </w:rPr>
        <w:t>Adlawon</w:t>
      </w:r>
      <w:proofErr w:type="spellEnd"/>
      <w:r w:rsidRPr="00705486">
        <w:rPr>
          <w:rFonts w:ascii="Arial" w:eastAsia="Tahoma" w:hAnsi="Arial" w:cs="Arial"/>
        </w:rPr>
        <w:t xml:space="preserve"> et al. (2022) also pointed out that positive self-concept—built in part on self-awareness and regulation—contributes to better performance in the flexible learning environment of the new normal. These findings parallel those of Villegas et al. (2024), who noted that students' appraisal of their own problem-solving skills, an important metacognitive process, strongly predicts math success.</w:t>
      </w:r>
    </w:p>
    <w:p w14:paraId="3EC3B8B9" w14:textId="30F39FE2" w:rsidR="00AB65EC" w:rsidRDefault="00AB65EC" w:rsidP="00AB65EC">
      <w:pPr>
        <w:ind w:firstLine="720"/>
        <w:jc w:val="both"/>
        <w:rPr>
          <w:rFonts w:ascii="Arial" w:eastAsia="Tahoma" w:hAnsi="Arial" w:cs="Arial"/>
        </w:rPr>
      </w:pPr>
      <w:r w:rsidRPr="00705486">
        <w:rPr>
          <w:rFonts w:ascii="Arial" w:eastAsia="Tahoma" w:hAnsi="Arial" w:cs="Arial"/>
        </w:rPr>
        <w:t xml:space="preserve">Other studies strengthen the argument for integrating metacognitive knowledge in understanding student achievement. Mariano et al. (2022) found that poor time management, a reflection of limited planning and monitoring skills, negatively impacts students’ academic performance. Cortez et al. (2025) further showed that coping strategies such as help-seeking and emotional regulation—closely aligned with metacognitive awareness—help students manage academic demands in mathematics. </w:t>
      </w:r>
      <w:proofErr w:type="spellStart"/>
      <w:r w:rsidRPr="00705486">
        <w:rPr>
          <w:rFonts w:ascii="Arial" w:eastAsia="Tahoma" w:hAnsi="Arial" w:cs="Arial"/>
        </w:rPr>
        <w:t>Lumoto</w:t>
      </w:r>
      <w:proofErr w:type="spellEnd"/>
      <w:r w:rsidRPr="00705486">
        <w:rPr>
          <w:rFonts w:ascii="Arial" w:eastAsia="Tahoma" w:hAnsi="Arial" w:cs="Arial"/>
        </w:rPr>
        <w:t xml:space="preserve"> et al. (2024) directly linked self-regulated learning strategies with improved math outcomes, reinforcing the value of metacognitive practice. Meanwhile, studies on creativity and emotional engagement provide additional insight into how students' beliefs about their capabilities affect learning. Mangal et al. (2025) emphasized that students who have strong confidence in their mathematical creativity—often nurtured through reflection and self-assessment—display greater academic motivation. </w:t>
      </w:r>
      <w:proofErr w:type="spellStart"/>
      <w:r w:rsidRPr="00705486">
        <w:rPr>
          <w:rFonts w:ascii="Arial" w:eastAsia="Tahoma" w:hAnsi="Arial" w:cs="Arial"/>
        </w:rPr>
        <w:t>Caliosan</w:t>
      </w:r>
      <w:proofErr w:type="spellEnd"/>
      <w:r w:rsidRPr="00705486">
        <w:rPr>
          <w:rFonts w:ascii="Arial" w:eastAsia="Tahoma" w:hAnsi="Arial" w:cs="Arial"/>
        </w:rPr>
        <w:t xml:space="preserve"> et al. (2025) demonstrated that mathematical curiosity, an affective trait supported by reflective thinking, is associated with better performance.</w:t>
      </w:r>
    </w:p>
    <w:p w14:paraId="13A1C204" w14:textId="3D45B475" w:rsidR="00DE572E" w:rsidRDefault="00DE572E" w:rsidP="00AB65EC">
      <w:pPr>
        <w:ind w:firstLine="720"/>
        <w:jc w:val="both"/>
        <w:rPr>
          <w:rFonts w:ascii="Arial" w:eastAsia="Tahoma" w:hAnsi="Arial" w:cs="Arial"/>
        </w:rPr>
      </w:pPr>
      <w:r w:rsidRPr="00DE572E">
        <w:rPr>
          <w:rFonts w:ascii="Arial" w:eastAsia="Tahoma" w:hAnsi="Arial" w:cs="Arial"/>
          <w:highlight w:val="yellow"/>
        </w:rPr>
        <w:t xml:space="preserve">In </w:t>
      </w:r>
      <w:r>
        <w:rPr>
          <w:rFonts w:ascii="Arial" w:eastAsia="Tahoma" w:hAnsi="Arial" w:cs="Arial"/>
          <w:highlight w:val="yellow"/>
        </w:rPr>
        <w:t>provinces</w:t>
      </w:r>
      <w:r w:rsidRPr="00DE572E">
        <w:rPr>
          <w:rFonts w:ascii="Arial" w:eastAsia="Tahoma" w:hAnsi="Arial" w:cs="Arial"/>
          <w:highlight w:val="yellow"/>
        </w:rPr>
        <w:t xml:space="preserve"> like Davao Occidental, persistent challenges in student achievement</w:t>
      </w:r>
      <w:r>
        <w:rPr>
          <w:rFonts w:ascii="Arial" w:eastAsia="Tahoma" w:hAnsi="Arial" w:cs="Arial"/>
          <w:highlight w:val="yellow"/>
        </w:rPr>
        <w:t xml:space="preserve">, </w:t>
      </w:r>
      <w:r w:rsidRPr="00DE572E">
        <w:rPr>
          <w:rFonts w:ascii="Arial" w:eastAsia="Tahoma" w:hAnsi="Arial" w:cs="Arial"/>
          <w:highlight w:val="yellow"/>
        </w:rPr>
        <w:t>particularly in mathematics</w:t>
      </w:r>
      <w:r>
        <w:rPr>
          <w:rFonts w:ascii="Arial" w:eastAsia="Tahoma" w:hAnsi="Arial" w:cs="Arial"/>
          <w:highlight w:val="yellow"/>
        </w:rPr>
        <w:t xml:space="preserve">, </w:t>
      </w:r>
      <w:r w:rsidRPr="00DE572E">
        <w:rPr>
          <w:rFonts w:ascii="Arial" w:eastAsia="Tahoma" w:hAnsi="Arial" w:cs="Arial"/>
          <w:highlight w:val="yellow"/>
        </w:rPr>
        <w:t xml:space="preserve">have been observed. </w:t>
      </w:r>
      <w:proofErr w:type="spellStart"/>
      <w:r w:rsidRPr="00DE572E">
        <w:rPr>
          <w:rFonts w:ascii="Arial" w:eastAsia="Tahoma" w:hAnsi="Arial" w:cs="Arial"/>
          <w:highlight w:val="yellow"/>
        </w:rPr>
        <w:t>Jumangit</w:t>
      </w:r>
      <w:proofErr w:type="spellEnd"/>
      <w:r w:rsidRPr="00DE572E">
        <w:rPr>
          <w:rFonts w:ascii="Arial" w:eastAsia="Tahoma" w:hAnsi="Arial" w:cs="Arial"/>
          <w:highlight w:val="yellow"/>
        </w:rPr>
        <w:t xml:space="preserve"> and Miranda (2025) reported that students generally demonstrate only satisfactory performance in math, and often lack advanced learning strategies. This is consistent with classroom observations where students show limited metacognitive experiences such as reflection and self-monitoring. Radmehr and Drake (2019) emphasized that when educators place greater focus on students’ conceptual understanding and metacognitive development, learning outcomes improve significantly. Similarly, </w:t>
      </w:r>
      <w:proofErr w:type="spellStart"/>
      <w:r w:rsidRPr="00DE572E">
        <w:rPr>
          <w:rFonts w:ascii="Arial" w:eastAsia="Tahoma" w:hAnsi="Arial" w:cs="Arial"/>
          <w:highlight w:val="yellow"/>
        </w:rPr>
        <w:t>Syaiful</w:t>
      </w:r>
      <w:proofErr w:type="spellEnd"/>
      <w:r w:rsidRPr="00DE572E">
        <w:rPr>
          <w:rFonts w:ascii="Arial" w:eastAsia="Tahoma" w:hAnsi="Arial" w:cs="Arial"/>
          <w:highlight w:val="yellow"/>
        </w:rPr>
        <w:t xml:space="preserve"> et al. (2022) found that students taught through a metacognitive learning approach performed significantly better in mathematical critical thinking than those taught conventionally, highlighting its effectiveness across varying ability levels.</w:t>
      </w:r>
      <w:r>
        <w:rPr>
          <w:rFonts w:ascii="Arial" w:eastAsia="Tahoma" w:hAnsi="Arial" w:cs="Arial"/>
          <w:highlight w:val="yellow"/>
        </w:rPr>
        <w:t xml:space="preserve"> </w:t>
      </w:r>
      <w:r w:rsidRPr="00DE572E">
        <w:rPr>
          <w:rFonts w:ascii="Arial" w:eastAsia="Tahoma" w:hAnsi="Arial" w:cs="Arial"/>
          <w:highlight w:val="yellow"/>
        </w:rPr>
        <w:t>Thus, exploring students’ metacognitive knowledge in this context is timely and relevant, as it can address practical challenges in instructional effectiveness and learner outcomes in mathematics.</w:t>
      </w:r>
    </w:p>
    <w:p w14:paraId="392E9937" w14:textId="2F362B8F" w:rsidR="00B20A7B" w:rsidRPr="00705486" w:rsidRDefault="00AB65EC" w:rsidP="00AB65EC">
      <w:pPr>
        <w:ind w:firstLine="720"/>
        <w:jc w:val="both"/>
        <w:rPr>
          <w:rFonts w:ascii="Arial" w:eastAsia="Tahoma" w:hAnsi="Arial" w:cs="Arial"/>
        </w:rPr>
      </w:pPr>
      <w:r w:rsidRPr="00705486">
        <w:rPr>
          <w:rFonts w:ascii="Arial" w:eastAsia="Tahoma" w:hAnsi="Arial" w:cs="Arial"/>
        </w:rPr>
        <w:t>Despite these findings, there remains a noticeable gap in literature focusing specifically on junior high school students in less-studied regions like Davao Occidental. Most studies have targeted college students or broader academic populations. In addition, while existing research has touched on metacognitive knowledge and mathematics performance separately, few have explored the direct connection between the two among high school learners in the Philippine setting. Therefore, this study aims to fill this gap by examining how metacognitive knowledge relates to the mathematics performance of junior high school students at a National High School. It seeks to contribute to the growing body of local research by providing insights into how students' awareness of their own learning processes can influence their achievement in mathematics.</w:t>
      </w:r>
    </w:p>
    <w:p w14:paraId="675ECF4B" w14:textId="3A2EC96D" w:rsidR="00F14BE4" w:rsidRPr="00705486" w:rsidRDefault="00F14BE4" w:rsidP="00B26CC5">
      <w:pPr>
        <w:ind w:firstLine="720"/>
        <w:jc w:val="both"/>
        <w:rPr>
          <w:rFonts w:ascii="Arial" w:hAnsi="Arial" w:cs="Arial"/>
        </w:rPr>
      </w:pP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0E73154F" w14:textId="4B913D95" w:rsidR="00005D24" w:rsidRPr="00705486" w:rsidRDefault="00005D24" w:rsidP="00005D24">
      <w:pPr>
        <w:pStyle w:val="NoSpacing1"/>
        <w:ind w:firstLine="720"/>
        <w:jc w:val="both"/>
        <w:rPr>
          <w:rFonts w:ascii="Arial" w:eastAsia="Tahoma" w:hAnsi="Arial"/>
          <w:color w:val="000000"/>
          <w:sz w:val="20"/>
          <w:szCs w:val="20"/>
        </w:rPr>
      </w:pPr>
      <w:r w:rsidRPr="00705486">
        <w:rPr>
          <w:rFonts w:ascii="Arial" w:eastAsia="Tahoma" w:hAnsi="Arial"/>
          <w:color w:val="000000"/>
          <w:sz w:val="20"/>
          <w:szCs w:val="20"/>
        </w:rPr>
        <w:t>This study aimed to determine how metacognitive knowledge is related to the mathematics performance of junior high school students enrolled at a National High School during the school year 2023–2024.</w:t>
      </w:r>
    </w:p>
    <w:p w14:paraId="60602F6A" w14:textId="11C08A3D" w:rsidR="00264A68" w:rsidRPr="00705486" w:rsidRDefault="00005D24" w:rsidP="00005D24">
      <w:pPr>
        <w:pStyle w:val="NoSpacing1"/>
        <w:ind w:firstLine="720"/>
        <w:jc w:val="both"/>
        <w:rPr>
          <w:rFonts w:ascii="Arial" w:eastAsia="SimSun" w:hAnsi="Arial"/>
          <w:sz w:val="20"/>
          <w:szCs w:val="20"/>
          <w:shd w:val="clear" w:color="auto" w:fill="FFFFFF"/>
        </w:rPr>
      </w:pPr>
      <w:r w:rsidRPr="00705486">
        <w:rPr>
          <w:rFonts w:ascii="Arial" w:eastAsia="Tahoma" w:hAnsi="Arial"/>
          <w:color w:val="000000"/>
          <w:sz w:val="20"/>
          <w:szCs w:val="20"/>
        </w:rPr>
        <w:t>Specifically, the study sought to:</w:t>
      </w:r>
    </w:p>
    <w:p w14:paraId="6507DEA1" w14:textId="77777777" w:rsidR="00264A68" w:rsidRPr="00705486" w:rsidRDefault="00264A68" w:rsidP="00264A68">
      <w:pPr>
        <w:pStyle w:val="NoSpacing1"/>
        <w:jc w:val="both"/>
        <w:rPr>
          <w:rFonts w:ascii="Arial" w:eastAsia="SimSun" w:hAnsi="Arial"/>
          <w:sz w:val="20"/>
          <w:szCs w:val="20"/>
          <w:shd w:val="clear" w:color="auto" w:fill="FFFFFF"/>
        </w:rPr>
      </w:pPr>
    </w:p>
    <w:p w14:paraId="07CFEE54" w14:textId="77777777" w:rsidR="00C946E9" w:rsidRPr="00705486" w:rsidRDefault="00B20A7B">
      <w:pPr>
        <w:pStyle w:val="NoSpacing1"/>
        <w:numPr>
          <w:ilvl w:val="0"/>
          <w:numId w:val="2"/>
        </w:numPr>
        <w:jc w:val="both"/>
        <w:rPr>
          <w:rFonts w:ascii="Arial" w:eastAsia="SimSun" w:hAnsi="Arial"/>
          <w:sz w:val="16"/>
          <w:szCs w:val="16"/>
          <w:shd w:val="clear" w:color="auto" w:fill="FFFFFF"/>
        </w:rPr>
      </w:pPr>
      <w:r w:rsidRPr="00705486">
        <w:rPr>
          <w:rFonts w:ascii="Tahoma" w:eastAsia="Tahoma" w:hAnsi="Tahoma" w:cs="Tahoma"/>
          <w:color w:val="000000"/>
          <w:sz w:val="24"/>
          <w:szCs w:val="24"/>
        </w:rPr>
        <w:t xml:space="preserve"> </w:t>
      </w:r>
      <w:r w:rsidRPr="00705486">
        <w:rPr>
          <w:rFonts w:ascii="Arial" w:eastAsia="Tahoma" w:hAnsi="Arial"/>
          <w:color w:val="000000"/>
          <w:sz w:val="20"/>
          <w:szCs w:val="20"/>
        </w:rPr>
        <w:t>Determine the level of metacognitive knowledge of the students in terms of:</w:t>
      </w:r>
    </w:p>
    <w:p w14:paraId="00C4EF81" w14:textId="77777777" w:rsidR="00C946E9" w:rsidRPr="00705486" w:rsidRDefault="00F611D1" w:rsidP="00C946E9">
      <w:pPr>
        <w:pStyle w:val="NoSpacing1"/>
        <w:ind w:left="720"/>
        <w:jc w:val="both"/>
        <w:rPr>
          <w:rFonts w:ascii="Arial" w:eastAsia="SimSun" w:hAnsi="Arial"/>
          <w:sz w:val="16"/>
          <w:szCs w:val="16"/>
          <w:shd w:val="clear" w:color="auto" w:fill="FFFFFF"/>
        </w:rPr>
      </w:pPr>
      <w:r w:rsidRPr="00705486">
        <w:rPr>
          <w:rFonts w:ascii="Arial" w:eastAsia="SimSun" w:hAnsi="Arial"/>
          <w:sz w:val="20"/>
          <w:szCs w:val="20"/>
          <w:shd w:val="clear" w:color="auto" w:fill="FFFFFF"/>
        </w:rPr>
        <w:lastRenderedPageBreak/>
        <w:t xml:space="preserve"> 1.1 </w:t>
      </w:r>
      <w:r w:rsidR="00C946E9" w:rsidRPr="00705486">
        <w:rPr>
          <w:rFonts w:ascii="Arial" w:eastAsia="Tahoma" w:hAnsi="Arial"/>
          <w:color w:val="000000"/>
          <w:sz w:val="20"/>
          <w:szCs w:val="20"/>
        </w:rPr>
        <w:t>Knowledge of the Self</w:t>
      </w:r>
      <w:r w:rsidR="00C946E9" w:rsidRPr="00705486">
        <w:rPr>
          <w:rFonts w:ascii="Arial" w:eastAsia="Tahoma" w:hAnsi="Arial"/>
          <w:sz w:val="20"/>
          <w:szCs w:val="20"/>
        </w:rPr>
        <w:t>;</w:t>
      </w:r>
    </w:p>
    <w:p w14:paraId="7DCF81AE" w14:textId="68156B8E" w:rsidR="00F611D1" w:rsidRPr="00705486" w:rsidRDefault="00C946E9" w:rsidP="00C946E9">
      <w:pPr>
        <w:pStyle w:val="NoSpacing1"/>
        <w:ind w:left="720"/>
        <w:jc w:val="both"/>
        <w:rPr>
          <w:rFonts w:ascii="Arial" w:eastAsia="SimSun" w:hAnsi="Arial"/>
          <w:sz w:val="16"/>
          <w:szCs w:val="16"/>
          <w:shd w:val="clear" w:color="auto" w:fill="FFFFFF"/>
        </w:rPr>
      </w:pPr>
      <w:r w:rsidRPr="00705486">
        <w:rPr>
          <w:rFonts w:ascii="Arial" w:eastAsia="SimSun" w:hAnsi="Arial"/>
          <w:sz w:val="16"/>
          <w:szCs w:val="16"/>
          <w:shd w:val="clear" w:color="auto" w:fill="FFFFFF"/>
        </w:rPr>
        <w:t xml:space="preserve">     </w:t>
      </w:r>
      <w:r w:rsidR="00F611D1" w:rsidRPr="00705486">
        <w:rPr>
          <w:rFonts w:ascii="Arial" w:eastAsia="SimSun" w:hAnsi="Arial"/>
          <w:sz w:val="20"/>
          <w:szCs w:val="20"/>
          <w:shd w:val="clear" w:color="auto" w:fill="FFFFFF"/>
        </w:rPr>
        <w:t xml:space="preserve">1.2 </w:t>
      </w:r>
      <w:r w:rsidRPr="00705486">
        <w:rPr>
          <w:rFonts w:ascii="Arial" w:eastAsia="SimSun" w:hAnsi="Arial"/>
          <w:sz w:val="20"/>
          <w:szCs w:val="20"/>
          <w:shd w:val="clear" w:color="auto" w:fill="FFFFFF"/>
        </w:rPr>
        <w:t>Knowledge of Tasks; and</w:t>
      </w:r>
    </w:p>
    <w:p w14:paraId="36628DDB" w14:textId="7A1C7150" w:rsidR="00F611D1" w:rsidRPr="00705486" w:rsidRDefault="00F611D1" w:rsidP="00C946E9">
      <w:pPr>
        <w:pStyle w:val="NoSpacing1"/>
        <w:ind w:left="360" w:firstLine="36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 1.3 </w:t>
      </w:r>
      <w:r w:rsidR="00C946E9" w:rsidRPr="00705486">
        <w:rPr>
          <w:rFonts w:ascii="Arial" w:eastAsia="SimSun" w:hAnsi="Arial"/>
          <w:sz w:val="20"/>
          <w:szCs w:val="20"/>
          <w:shd w:val="clear" w:color="auto" w:fill="FFFFFF"/>
        </w:rPr>
        <w:t>Knowledge of Strategies</w:t>
      </w:r>
    </w:p>
    <w:p w14:paraId="670865B8" w14:textId="58E9A4D4" w:rsidR="00F611D1" w:rsidRPr="00705486" w:rsidRDefault="00005D24">
      <w:pPr>
        <w:numPr>
          <w:ilvl w:val="0"/>
          <w:numId w:val="2"/>
        </w:numPr>
        <w:pBdr>
          <w:top w:val="nil"/>
          <w:left w:val="nil"/>
          <w:bottom w:val="nil"/>
          <w:right w:val="nil"/>
          <w:between w:val="nil"/>
        </w:pBdr>
        <w:jc w:val="both"/>
        <w:rPr>
          <w:rFonts w:ascii="Arial" w:eastAsia="Tahoma" w:hAnsi="Arial" w:cs="Arial"/>
          <w:color w:val="000000"/>
        </w:rPr>
      </w:pPr>
      <w:r w:rsidRPr="00705486">
        <w:t xml:space="preserve">Assess </w:t>
      </w:r>
      <w:r w:rsidR="00C946E9" w:rsidRPr="00705486">
        <w:rPr>
          <w:rFonts w:ascii="Arial" w:eastAsia="Tahoma" w:hAnsi="Arial" w:cs="Arial"/>
          <w:color w:val="000000"/>
        </w:rPr>
        <w:t xml:space="preserve">the mathematics performance of the respondents based </w:t>
      </w:r>
      <w:r w:rsidR="00C946E9" w:rsidRPr="00705486">
        <w:rPr>
          <w:rFonts w:ascii="Arial" w:eastAsia="Tahoma" w:hAnsi="Arial"/>
          <w:color w:val="000000"/>
        </w:rPr>
        <w:t>on their mathematics subject grade.</w:t>
      </w:r>
    </w:p>
    <w:p w14:paraId="0C632829" w14:textId="655BC472" w:rsidR="00C946E9" w:rsidRPr="00705486" w:rsidRDefault="00005D24">
      <w:pPr>
        <w:numPr>
          <w:ilvl w:val="0"/>
          <w:numId w:val="2"/>
        </w:numPr>
        <w:pBdr>
          <w:top w:val="nil"/>
          <w:left w:val="nil"/>
          <w:bottom w:val="nil"/>
          <w:right w:val="nil"/>
          <w:between w:val="nil"/>
        </w:pBdr>
        <w:jc w:val="both"/>
        <w:rPr>
          <w:rFonts w:ascii="Arial" w:eastAsia="Tahoma" w:hAnsi="Arial" w:cs="Arial"/>
          <w:color w:val="000000"/>
        </w:rPr>
      </w:pPr>
      <w:r w:rsidRPr="00705486">
        <w:rPr>
          <w:rFonts w:ascii="Arial" w:eastAsia="Tahoma" w:hAnsi="Arial" w:cs="Arial"/>
          <w:color w:val="000000"/>
        </w:rPr>
        <w:t>Examine</w:t>
      </w:r>
      <w:r w:rsidR="00C946E9" w:rsidRPr="00705486">
        <w:rPr>
          <w:rFonts w:ascii="Arial" w:eastAsia="Tahoma" w:hAnsi="Arial" w:cs="Arial"/>
          <w:color w:val="000000"/>
        </w:rPr>
        <w:t xml:space="preserve"> the significant relationship between students’ metacognitive knowledge and their mathematics performance.</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7130FA11" w14:textId="15F6846B" w:rsidR="00C946E9" w:rsidRPr="00705486" w:rsidRDefault="00005D24" w:rsidP="00C946E9">
      <w:pPr>
        <w:ind w:firstLine="720"/>
        <w:jc w:val="both"/>
        <w:rPr>
          <w:rFonts w:ascii="Arial" w:eastAsia="Tahoma" w:hAnsi="Arial" w:cs="Arial"/>
        </w:rPr>
      </w:pPr>
      <w:r w:rsidRPr="00705486">
        <w:rPr>
          <w:rFonts w:ascii="Arial" w:eastAsia="Tahoma" w:hAnsi="Arial" w:cs="Arial"/>
        </w:rPr>
        <w:t>This study used a descriptive-correlational design to examine the relationship between students' metacognitive knowledge and their mathematics performance. This approach is appropriate for identifying trends and patterns without manipulating variables. It also helped describe the students’ level of metacognitive knowledge and determine whether it is significantly related to their performance in mathematics.</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3B3AAE03" w14:textId="007CF424" w:rsidR="00C946E9" w:rsidRPr="00705486" w:rsidRDefault="008171B8" w:rsidP="00C946E9">
      <w:pPr>
        <w:ind w:firstLine="720"/>
        <w:jc w:val="both"/>
        <w:rPr>
          <w:rFonts w:ascii="Arial" w:eastAsia="Tahoma" w:hAnsi="Arial" w:cs="Arial"/>
        </w:rPr>
      </w:pPr>
      <w:r w:rsidRPr="00705486">
        <w:rPr>
          <w:rFonts w:ascii="Arial" w:eastAsia="Tahoma" w:hAnsi="Arial" w:cs="Arial"/>
        </w:rPr>
        <w:t xml:space="preserve">The research instrument used in this study was an adapted questionnaire titled Metacognitive Knowledge in Mathematics developed by </w:t>
      </w:r>
      <w:proofErr w:type="spellStart"/>
      <w:r w:rsidRPr="00705486">
        <w:rPr>
          <w:rFonts w:ascii="Arial" w:eastAsia="Tahoma" w:hAnsi="Arial" w:cs="Arial"/>
        </w:rPr>
        <w:t>Efklides</w:t>
      </w:r>
      <w:proofErr w:type="spellEnd"/>
      <w:r w:rsidRPr="00705486">
        <w:rPr>
          <w:rFonts w:ascii="Arial" w:eastAsia="Tahoma" w:hAnsi="Arial" w:cs="Arial"/>
        </w:rPr>
        <w:t xml:space="preserve"> and </w:t>
      </w:r>
      <w:proofErr w:type="spellStart"/>
      <w:r w:rsidRPr="00705486">
        <w:rPr>
          <w:rFonts w:ascii="Arial" w:eastAsia="Tahoma" w:hAnsi="Arial" w:cs="Arial"/>
        </w:rPr>
        <w:t>Vlachopoulos</w:t>
      </w:r>
      <w:proofErr w:type="spellEnd"/>
      <w:r w:rsidRPr="00705486">
        <w:rPr>
          <w:rFonts w:ascii="Arial" w:eastAsia="Tahoma" w:hAnsi="Arial" w:cs="Arial"/>
        </w:rPr>
        <w:t xml:space="preserve"> (2012). It employed a five-point Likert scale with responses ranging from very low to very high, scored from 1 to 5. The questionnaire consisted of 45 items divided into three domains: metacognitive knowledge of self, task, and strategies. The </w:t>
      </w:r>
      <w:r w:rsidR="00BD1132" w:rsidRPr="00705486">
        <w:rPr>
          <w:rFonts w:ascii="Arial" w:eastAsia="Tahoma" w:hAnsi="Arial" w:cs="Arial"/>
        </w:rPr>
        <w:t>“</w:t>
      </w:r>
      <w:r w:rsidR="004B352A" w:rsidRPr="00705486">
        <w:rPr>
          <w:rFonts w:ascii="Arial" w:eastAsia="Tahoma" w:hAnsi="Arial" w:cs="Arial"/>
        </w:rPr>
        <w:t xml:space="preserve">knowledge of </w:t>
      </w:r>
      <w:r w:rsidRPr="00705486">
        <w:rPr>
          <w:rFonts w:ascii="Arial" w:eastAsia="Tahoma" w:hAnsi="Arial" w:cs="Arial"/>
        </w:rPr>
        <w:t>self</w:t>
      </w:r>
      <w:r w:rsidR="00BD1132" w:rsidRPr="00705486">
        <w:rPr>
          <w:rFonts w:ascii="Arial" w:eastAsia="Tahoma" w:hAnsi="Arial" w:cs="Arial"/>
        </w:rPr>
        <w:t>”</w:t>
      </w:r>
      <w:r w:rsidRPr="00705486">
        <w:rPr>
          <w:rFonts w:ascii="Arial" w:eastAsia="Tahoma" w:hAnsi="Arial" w:cs="Arial"/>
        </w:rPr>
        <w:t xml:space="preserve"> domain included 13 questions rated from “not at all true of me” to “absolutely true of me.” The </w:t>
      </w:r>
      <w:r w:rsidR="00BD1132" w:rsidRPr="00705486">
        <w:rPr>
          <w:rFonts w:ascii="Arial" w:eastAsia="Tahoma" w:hAnsi="Arial" w:cs="Arial"/>
        </w:rPr>
        <w:t>“</w:t>
      </w:r>
      <w:r w:rsidRPr="00705486">
        <w:rPr>
          <w:rFonts w:ascii="Arial" w:eastAsia="Tahoma" w:hAnsi="Arial" w:cs="Arial"/>
        </w:rPr>
        <w:t>task</w:t>
      </w:r>
      <w:r w:rsidR="00BD1132" w:rsidRPr="00705486">
        <w:rPr>
          <w:rFonts w:ascii="Arial" w:eastAsia="Tahoma" w:hAnsi="Arial" w:cs="Arial"/>
        </w:rPr>
        <w:t>”</w:t>
      </w:r>
      <w:r w:rsidRPr="00705486">
        <w:rPr>
          <w:rFonts w:ascii="Arial" w:eastAsia="Tahoma" w:hAnsi="Arial" w:cs="Arial"/>
        </w:rPr>
        <w:t xml:space="preserve"> domain comprised 11 questions, with responses ranging from “not difficult” to “very difficult.” Lastly, the </w:t>
      </w:r>
      <w:r w:rsidR="00BD1132" w:rsidRPr="00705486">
        <w:rPr>
          <w:rFonts w:ascii="Arial" w:eastAsia="Tahoma" w:hAnsi="Arial" w:cs="Arial"/>
        </w:rPr>
        <w:t>“</w:t>
      </w:r>
      <w:r w:rsidRPr="00705486">
        <w:rPr>
          <w:rFonts w:ascii="Arial" w:eastAsia="Tahoma" w:hAnsi="Arial" w:cs="Arial"/>
        </w:rPr>
        <w:t>strateg</w:t>
      </w:r>
      <w:r w:rsidR="00BD1132" w:rsidRPr="00705486">
        <w:rPr>
          <w:rFonts w:ascii="Arial" w:eastAsia="Tahoma" w:hAnsi="Arial" w:cs="Arial"/>
        </w:rPr>
        <w:t>ies”</w:t>
      </w:r>
      <w:r w:rsidRPr="00705486">
        <w:rPr>
          <w:rFonts w:ascii="Arial" w:eastAsia="Tahoma" w:hAnsi="Arial" w:cs="Arial"/>
        </w:rPr>
        <w:t xml:space="preserve"> domain included 21 questions rated from “never” to “always.” The questionnaire was designed to assess the students’ awareness of their cognitive processes, particularly in how they plan, approach, and evaluate their learning in mathematics.</w:t>
      </w:r>
      <w:r w:rsidR="004B352A" w:rsidRPr="00705486">
        <w:rPr>
          <w:rFonts w:ascii="Arial" w:eastAsia="Tahoma" w:hAnsi="Arial" w:cs="Arial"/>
        </w:rPr>
        <w:t xml:space="preserve"> </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799D7447" w14:textId="0567CEB8" w:rsidR="00C946E9" w:rsidRPr="00705486" w:rsidRDefault="008171B8" w:rsidP="00C946E9">
      <w:pPr>
        <w:ind w:firstLine="720"/>
        <w:jc w:val="both"/>
        <w:rPr>
          <w:rFonts w:ascii="Arial" w:eastAsia="Tahoma" w:hAnsi="Arial" w:cs="Arial"/>
        </w:rPr>
      </w:pPr>
      <w:r w:rsidRPr="00705486">
        <w:rPr>
          <w:rFonts w:ascii="Arial" w:eastAsia="Tahoma" w:hAnsi="Arial" w:cs="Arial"/>
        </w:rPr>
        <w:t>The respondents of this study were junior high school students enrolled in mathematics classes at a national high school in Davao Occidental during the school year 2023–2024. Out of a total population of 251 students, 155 were selected using Slovin’s formula. Stratified random sampling ensured that students from all four grade levels (Grades 7 to 10) were proportionally represented. These selected students answered the adapted questionnaire to determine their level of metacognitive knowledge in mathematics.</w:t>
      </w:r>
    </w:p>
    <w:p w14:paraId="2BCC7CA8" w14:textId="63339B81"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1D3B78B5" w:rsidR="00C946E9" w:rsidRPr="00705486" w:rsidRDefault="00C946E9" w:rsidP="008171B8">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02AF8258" w:rsidR="00C946E9" w:rsidRPr="00705486" w:rsidRDefault="00C946E9" w:rsidP="008171B8">
            <w:pPr>
              <w:jc w:val="center"/>
              <w:rPr>
                <w:rFonts w:ascii="Arial" w:eastAsia="Tahoma" w:hAnsi="Arial" w:cs="Arial"/>
                <w:b/>
              </w:rPr>
            </w:pPr>
            <w:r w:rsidRPr="00705486">
              <w:rPr>
                <w:rFonts w:ascii="Arial" w:eastAsia="Tahoma" w:hAnsi="Arial" w:cs="Arial"/>
                <w:b/>
              </w:rPr>
              <w:t>Percentage</w:t>
            </w:r>
            <w:r w:rsidR="00BD1132" w:rsidRPr="00705486">
              <w:rPr>
                <w:rFonts w:ascii="Arial" w:eastAsia="Tahoma" w:hAnsi="Arial" w:cs="Arial"/>
                <w:b/>
              </w:rPr>
              <w:t xml:space="preserve"> (%)</w:t>
            </w:r>
          </w:p>
        </w:tc>
      </w:tr>
      <w:tr w:rsidR="00C946E9" w:rsidRPr="00705486" w14:paraId="46E74A15" w14:textId="77777777" w:rsidTr="00404391">
        <w:trPr>
          <w:trHeight w:val="251"/>
        </w:trPr>
        <w:tc>
          <w:tcPr>
            <w:tcW w:w="2088" w:type="dxa"/>
            <w:tcBorders>
              <w:top w:val="single" w:sz="4" w:space="0" w:color="000000"/>
            </w:tcBorders>
          </w:tcPr>
          <w:p w14:paraId="4CEF7FF4" w14:textId="77777777" w:rsidR="00C946E9" w:rsidRPr="00705486" w:rsidRDefault="00C946E9" w:rsidP="008171B8">
            <w:pPr>
              <w:jc w:val="both"/>
              <w:rPr>
                <w:rFonts w:ascii="Arial" w:eastAsia="Tahoma" w:hAnsi="Arial" w:cs="Arial"/>
                <w:b/>
              </w:rPr>
            </w:pPr>
            <w:r w:rsidRPr="00705486">
              <w:rPr>
                <w:rFonts w:ascii="Arial" w:eastAsia="Tahoma" w:hAnsi="Arial" w:cs="Arial"/>
              </w:rPr>
              <w:t>GRADE 7</w:t>
            </w:r>
          </w:p>
        </w:tc>
        <w:tc>
          <w:tcPr>
            <w:tcW w:w="1833" w:type="dxa"/>
            <w:tcBorders>
              <w:top w:val="single" w:sz="4" w:space="0" w:color="000000"/>
            </w:tcBorders>
          </w:tcPr>
          <w:p w14:paraId="1B0C9A72" w14:textId="77777777" w:rsidR="00C946E9" w:rsidRPr="00705486" w:rsidRDefault="00C946E9" w:rsidP="008171B8">
            <w:pPr>
              <w:jc w:val="center"/>
              <w:rPr>
                <w:rFonts w:ascii="Arial" w:eastAsia="Tahoma" w:hAnsi="Arial" w:cs="Arial"/>
                <w:bCs/>
              </w:rPr>
            </w:pPr>
            <w:r w:rsidRPr="00705486">
              <w:rPr>
                <w:rFonts w:ascii="Arial" w:eastAsia="Tahoma" w:hAnsi="Arial" w:cs="Arial"/>
                <w:bCs/>
              </w:rPr>
              <w:t>66</w:t>
            </w:r>
          </w:p>
        </w:tc>
        <w:tc>
          <w:tcPr>
            <w:tcW w:w="1961" w:type="dxa"/>
            <w:tcBorders>
              <w:top w:val="single" w:sz="4" w:space="0" w:color="000000"/>
            </w:tcBorders>
          </w:tcPr>
          <w:p w14:paraId="4D8DC2FB" w14:textId="77777777" w:rsidR="00C946E9" w:rsidRPr="00705486" w:rsidRDefault="00C946E9" w:rsidP="008171B8">
            <w:pPr>
              <w:jc w:val="center"/>
              <w:rPr>
                <w:rFonts w:ascii="Arial" w:eastAsia="Tahoma" w:hAnsi="Arial" w:cs="Arial"/>
                <w:bCs/>
              </w:rPr>
            </w:pPr>
            <w:r w:rsidRPr="00705486">
              <w:rPr>
                <w:rFonts w:ascii="Arial" w:eastAsia="Tahoma" w:hAnsi="Arial" w:cs="Arial"/>
                <w:bCs/>
              </w:rPr>
              <w:t>41</w:t>
            </w:r>
          </w:p>
        </w:tc>
        <w:tc>
          <w:tcPr>
            <w:tcW w:w="1961" w:type="dxa"/>
            <w:tcBorders>
              <w:top w:val="single" w:sz="4" w:space="0" w:color="000000"/>
            </w:tcBorders>
          </w:tcPr>
          <w:p w14:paraId="527E0088"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26.45</w:t>
            </w:r>
          </w:p>
        </w:tc>
      </w:tr>
      <w:tr w:rsidR="00C946E9" w:rsidRPr="00705486" w14:paraId="13DF918C" w14:textId="77777777" w:rsidTr="00404391">
        <w:trPr>
          <w:trHeight w:val="189"/>
        </w:trPr>
        <w:tc>
          <w:tcPr>
            <w:tcW w:w="2088" w:type="dxa"/>
          </w:tcPr>
          <w:p w14:paraId="3211D7F4" w14:textId="77777777" w:rsidR="00C946E9" w:rsidRPr="00705486" w:rsidRDefault="00C946E9" w:rsidP="008171B8">
            <w:pPr>
              <w:jc w:val="both"/>
              <w:rPr>
                <w:rFonts w:ascii="Arial" w:eastAsia="Tahoma" w:hAnsi="Arial" w:cs="Arial"/>
                <w:b/>
              </w:rPr>
            </w:pPr>
            <w:r w:rsidRPr="00705486">
              <w:rPr>
                <w:rFonts w:ascii="Arial" w:eastAsia="Tahoma" w:hAnsi="Arial" w:cs="Arial"/>
              </w:rPr>
              <w:t>GRADE 8</w:t>
            </w:r>
          </w:p>
        </w:tc>
        <w:tc>
          <w:tcPr>
            <w:tcW w:w="1833" w:type="dxa"/>
          </w:tcPr>
          <w:p w14:paraId="71967AB0" w14:textId="77777777" w:rsidR="00C946E9" w:rsidRPr="00705486" w:rsidRDefault="00C946E9" w:rsidP="008171B8">
            <w:pPr>
              <w:jc w:val="center"/>
              <w:rPr>
                <w:rFonts w:ascii="Arial" w:eastAsia="Tahoma" w:hAnsi="Arial" w:cs="Arial"/>
                <w:bCs/>
              </w:rPr>
            </w:pPr>
            <w:r w:rsidRPr="00705486">
              <w:rPr>
                <w:rFonts w:ascii="Arial" w:eastAsia="Tahoma" w:hAnsi="Arial" w:cs="Arial"/>
                <w:bCs/>
              </w:rPr>
              <w:t>67</w:t>
            </w:r>
          </w:p>
        </w:tc>
        <w:tc>
          <w:tcPr>
            <w:tcW w:w="1961" w:type="dxa"/>
          </w:tcPr>
          <w:p w14:paraId="34EDA3FB" w14:textId="77777777" w:rsidR="00C946E9" w:rsidRPr="00705486" w:rsidRDefault="00C946E9" w:rsidP="008171B8">
            <w:pPr>
              <w:jc w:val="center"/>
              <w:rPr>
                <w:rFonts w:ascii="Arial" w:eastAsia="Tahoma" w:hAnsi="Arial" w:cs="Arial"/>
                <w:bCs/>
              </w:rPr>
            </w:pPr>
            <w:r w:rsidRPr="00705486">
              <w:rPr>
                <w:rFonts w:ascii="Arial" w:eastAsia="Tahoma" w:hAnsi="Arial" w:cs="Arial"/>
                <w:bCs/>
              </w:rPr>
              <w:t>41</w:t>
            </w:r>
          </w:p>
        </w:tc>
        <w:tc>
          <w:tcPr>
            <w:tcW w:w="1961" w:type="dxa"/>
          </w:tcPr>
          <w:p w14:paraId="1BB89958"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26.45</w:t>
            </w:r>
          </w:p>
        </w:tc>
      </w:tr>
      <w:tr w:rsidR="00C946E9" w:rsidRPr="00705486" w14:paraId="7072347F" w14:textId="77777777" w:rsidTr="00404391">
        <w:trPr>
          <w:trHeight w:val="234"/>
        </w:trPr>
        <w:tc>
          <w:tcPr>
            <w:tcW w:w="2088" w:type="dxa"/>
            <w:tcBorders>
              <w:bottom w:val="nil"/>
            </w:tcBorders>
          </w:tcPr>
          <w:p w14:paraId="02DF73C4" w14:textId="77777777" w:rsidR="00C946E9" w:rsidRPr="00705486" w:rsidRDefault="00C946E9" w:rsidP="008171B8">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5168D9C1" w14:textId="77777777" w:rsidR="00C946E9" w:rsidRPr="00705486" w:rsidRDefault="00C946E9" w:rsidP="008171B8">
            <w:pPr>
              <w:jc w:val="center"/>
              <w:rPr>
                <w:rFonts w:ascii="Arial" w:eastAsia="Tahoma" w:hAnsi="Arial" w:cs="Arial"/>
                <w:bCs/>
              </w:rPr>
            </w:pPr>
            <w:r w:rsidRPr="00705486">
              <w:rPr>
                <w:rFonts w:ascii="Arial" w:eastAsia="Tahoma" w:hAnsi="Arial" w:cs="Arial"/>
                <w:bCs/>
              </w:rPr>
              <w:t>57</w:t>
            </w:r>
          </w:p>
        </w:tc>
        <w:tc>
          <w:tcPr>
            <w:tcW w:w="1961" w:type="dxa"/>
            <w:tcBorders>
              <w:bottom w:val="nil"/>
            </w:tcBorders>
          </w:tcPr>
          <w:p w14:paraId="3E7699C2" w14:textId="77777777" w:rsidR="00C946E9" w:rsidRPr="00705486" w:rsidRDefault="00C946E9" w:rsidP="008171B8">
            <w:pPr>
              <w:jc w:val="center"/>
              <w:rPr>
                <w:rFonts w:ascii="Arial" w:eastAsia="Tahoma" w:hAnsi="Arial" w:cs="Arial"/>
                <w:bCs/>
              </w:rPr>
            </w:pPr>
            <w:r w:rsidRPr="00705486">
              <w:rPr>
                <w:rFonts w:ascii="Arial" w:eastAsia="Tahoma" w:hAnsi="Arial" w:cs="Arial"/>
                <w:bCs/>
              </w:rPr>
              <w:t>35</w:t>
            </w:r>
          </w:p>
        </w:tc>
        <w:tc>
          <w:tcPr>
            <w:tcW w:w="1961" w:type="dxa"/>
            <w:tcBorders>
              <w:bottom w:val="nil"/>
            </w:tcBorders>
          </w:tcPr>
          <w:p w14:paraId="66F56D62"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22.58</w:t>
            </w:r>
          </w:p>
        </w:tc>
      </w:tr>
      <w:tr w:rsidR="00C946E9" w:rsidRPr="00705486" w14:paraId="0DB0205A" w14:textId="77777777" w:rsidTr="00404391">
        <w:trPr>
          <w:trHeight w:val="171"/>
        </w:trPr>
        <w:tc>
          <w:tcPr>
            <w:tcW w:w="2088" w:type="dxa"/>
            <w:tcBorders>
              <w:top w:val="nil"/>
              <w:left w:val="nil"/>
              <w:bottom w:val="single" w:sz="4" w:space="0" w:color="auto"/>
              <w:right w:val="nil"/>
            </w:tcBorders>
          </w:tcPr>
          <w:p w14:paraId="6854DB8E" w14:textId="77777777" w:rsidR="00C946E9" w:rsidRPr="00705486" w:rsidRDefault="00C946E9" w:rsidP="008171B8">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single" w:sz="4" w:space="0" w:color="auto"/>
              <w:right w:val="nil"/>
            </w:tcBorders>
          </w:tcPr>
          <w:p w14:paraId="1A77B453" w14:textId="77777777" w:rsidR="00C946E9" w:rsidRPr="00705486" w:rsidRDefault="00C946E9" w:rsidP="008171B8">
            <w:pPr>
              <w:jc w:val="center"/>
              <w:rPr>
                <w:rFonts w:ascii="Arial" w:eastAsia="Tahoma" w:hAnsi="Arial" w:cs="Arial"/>
                <w:bCs/>
              </w:rPr>
            </w:pPr>
            <w:r w:rsidRPr="00705486">
              <w:rPr>
                <w:rFonts w:ascii="Arial" w:eastAsia="Tahoma" w:hAnsi="Arial" w:cs="Arial"/>
                <w:bCs/>
              </w:rPr>
              <w:t>61</w:t>
            </w:r>
          </w:p>
        </w:tc>
        <w:tc>
          <w:tcPr>
            <w:tcW w:w="1961" w:type="dxa"/>
            <w:tcBorders>
              <w:top w:val="nil"/>
              <w:left w:val="nil"/>
              <w:bottom w:val="single" w:sz="4" w:space="0" w:color="auto"/>
              <w:right w:val="nil"/>
            </w:tcBorders>
          </w:tcPr>
          <w:p w14:paraId="7D4D908B" w14:textId="77777777" w:rsidR="00C946E9" w:rsidRPr="00705486" w:rsidRDefault="00C946E9" w:rsidP="008171B8">
            <w:pPr>
              <w:jc w:val="center"/>
              <w:rPr>
                <w:rFonts w:ascii="Arial" w:eastAsia="Tahoma" w:hAnsi="Arial" w:cs="Arial"/>
                <w:bCs/>
              </w:rPr>
            </w:pPr>
            <w:r w:rsidRPr="00705486">
              <w:rPr>
                <w:rFonts w:ascii="Arial" w:eastAsia="Tahoma" w:hAnsi="Arial" w:cs="Arial"/>
                <w:bCs/>
              </w:rPr>
              <w:t>38</w:t>
            </w:r>
          </w:p>
        </w:tc>
        <w:tc>
          <w:tcPr>
            <w:tcW w:w="1961" w:type="dxa"/>
            <w:tcBorders>
              <w:top w:val="nil"/>
              <w:left w:val="nil"/>
              <w:bottom w:val="single" w:sz="4" w:space="0" w:color="auto"/>
              <w:right w:val="nil"/>
            </w:tcBorders>
          </w:tcPr>
          <w:p w14:paraId="23AF0DC6"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24.52</w:t>
            </w: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251</w:t>
            </w:r>
          </w:p>
        </w:tc>
        <w:tc>
          <w:tcPr>
            <w:tcW w:w="1961" w:type="dxa"/>
            <w:tcBorders>
              <w:top w:val="single" w:sz="4" w:space="0" w:color="auto"/>
              <w:bottom w:val="thickThinSmallGap" w:sz="24" w:space="0" w:color="auto"/>
            </w:tcBorders>
          </w:tcPr>
          <w:p w14:paraId="09002B21"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155</w:t>
            </w:r>
          </w:p>
        </w:tc>
        <w:tc>
          <w:tcPr>
            <w:tcW w:w="1961" w:type="dxa"/>
            <w:tcBorders>
              <w:top w:val="single" w:sz="4" w:space="0" w:color="auto"/>
              <w:bottom w:val="thickThinSmallGap" w:sz="24" w:space="0" w:color="auto"/>
            </w:tcBorders>
          </w:tcPr>
          <w:p w14:paraId="668340DE"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100.00</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633E43BA" w14:textId="77777777" w:rsidR="00404391"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lastRenderedPageBreak/>
        <w:t>Data gathering began after the researchers secured the necessary approvals to conduct the study from the respective offices. Once permission was granted, a formal letter was also presented to the mathematics teacher to request access to the students’ mathematics grades.</w:t>
      </w:r>
    </w:p>
    <w:p w14:paraId="2151C7A8" w14:textId="77777777" w:rsidR="00404391"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The researchers used an adapted questionnaire as the main tool for data collection. The survey was administered in person, and the researchers were present to provide instructions and clarify any questions from the respondents. Before answering the questionnaire, students were given an orientation explaining the purpose of the study, including the privacy and confidentiality measures in place. A letter of consent was also read to inform them that their mathematics grades would be used as part of the data.</w:t>
      </w:r>
    </w:p>
    <w:p w14:paraId="1640ACE4" w14:textId="3980E805" w:rsidR="00404391"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Participation was voluntary, and students had the option to keep personal details confidential and decline to answer any question they were uncomfortable with. Proper courtesy was observed during the process to ensure a respectful and supportive environment.</w:t>
      </w:r>
    </w:p>
    <w:p w14:paraId="23F84DFA" w14:textId="7D97A446" w:rsidR="004040AD"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 xml:space="preserve">After the questionnaires were completed, the researchers ensured that all collected data were kept confidential. </w:t>
      </w:r>
      <w:r w:rsidRPr="007C283E">
        <w:rPr>
          <w:rFonts w:ascii="Arial" w:eastAsia="Tahoma" w:hAnsi="Arial" w:cs="Arial"/>
          <w:b w:val="0"/>
          <w:caps w:val="0"/>
          <w:sz w:val="20"/>
          <w:highlight w:val="yellow"/>
        </w:rPr>
        <w:t xml:space="preserve">The responses were tallied, organized, and tabulated for analysis. </w:t>
      </w:r>
      <w:r w:rsidR="00805ADB" w:rsidRPr="007C283E">
        <w:rPr>
          <w:rFonts w:ascii="Arial" w:eastAsia="Tahoma" w:hAnsi="Arial" w:cs="Arial"/>
          <w:b w:val="0"/>
          <w:caps w:val="0"/>
          <w:sz w:val="20"/>
          <w:highlight w:val="yellow"/>
        </w:rPr>
        <w:t>The data were analyzed using Microsoft Excel and SPSS Statistics software. Descriptive statistics such as mean and percentage were used to describe the levels of metacognitive knowledge and mathematics performance. To determine the relationship between the two variables, Spearman’s rank-order correlation (r) was applied. Statistical significance was considered at a p-value less than 0.05.</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167F4C71" w14:textId="1AF29A9E" w:rsidR="00F76E5D" w:rsidRPr="00705486" w:rsidRDefault="00E46782" w:rsidP="00797D8A">
      <w:pPr>
        <w:pStyle w:val="NoSpacing1"/>
        <w:jc w:val="center"/>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 xml:space="preserve">Level of </w:t>
      </w:r>
      <w:r w:rsidR="0028244A" w:rsidRPr="00705486">
        <w:rPr>
          <w:rFonts w:ascii="Arial" w:eastAsia="SimSun" w:hAnsi="Arial"/>
          <w:b/>
          <w:bCs/>
          <w:sz w:val="20"/>
          <w:szCs w:val="20"/>
          <w:shd w:val="clear" w:color="auto" w:fill="FFFFFF"/>
        </w:rPr>
        <w:t>Students’ Metacognitive Knowledge</w:t>
      </w:r>
    </w:p>
    <w:p w14:paraId="6777C988" w14:textId="77777777" w:rsidR="00797D8A" w:rsidRPr="00705486" w:rsidRDefault="00797D8A" w:rsidP="00797D8A">
      <w:pPr>
        <w:pStyle w:val="NoSpacing1"/>
        <w:jc w:val="center"/>
        <w:rPr>
          <w:rFonts w:ascii="Arial" w:eastAsia="SimSun" w:hAnsi="Arial"/>
          <w:b/>
          <w:bCs/>
          <w:sz w:val="20"/>
          <w:szCs w:val="20"/>
          <w:shd w:val="clear" w:color="auto" w:fill="FFFFFF"/>
        </w:rPr>
      </w:pPr>
    </w:p>
    <w:p w14:paraId="5BC25D35" w14:textId="223B9874" w:rsidR="0028244A" w:rsidRPr="00705486" w:rsidRDefault="00542634" w:rsidP="0028244A">
      <w:pPr>
        <w:ind w:firstLine="720"/>
        <w:jc w:val="both"/>
        <w:rPr>
          <w:rFonts w:ascii="Arial" w:eastAsia="Tahoma" w:hAnsi="Arial" w:cs="Arial"/>
        </w:rPr>
      </w:pPr>
      <w:r w:rsidRPr="00705486">
        <w:rPr>
          <w:rFonts w:ascii="Arial" w:eastAsia="Tahoma" w:hAnsi="Arial" w:cs="Arial"/>
        </w:rPr>
        <w:t xml:space="preserve">Table 2 presents the summary of the students’ metacognitive knowledge based on three domains: knowledge of self, task, and strategies. The overall mean score across all domains is 3.08, which indicates a moderate level of metacognitive awareness. This suggests that students generally use basic learning strategies and occasionally reflect on their learning, contributing to satisfactory but sometimes inconsistent academic outcomes. These findings are consistent with the observations of </w:t>
      </w:r>
      <w:r w:rsidR="004E34A7" w:rsidRPr="00705486">
        <w:rPr>
          <w:rFonts w:ascii="Arial" w:eastAsia="Tahoma" w:hAnsi="Arial" w:cs="Arial"/>
        </w:rPr>
        <w:t>Mondal</w:t>
      </w:r>
      <w:r w:rsidRPr="00705486">
        <w:rPr>
          <w:rFonts w:ascii="Arial" w:eastAsia="Tahoma" w:hAnsi="Arial" w:cs="Arial"/>
        </w:rPr>
        <w:t xml:space="preserve"> (</w:t>
      </w:r>
      <w:r w:rsidR="004E34A7" w:rsidRPr="00705486">
        <w:rPr>
          <w:rFonts w:ascii="Arial" w:eastAsia="Tahoma" w:hAnsi="Arial" w:cs="Arial"/>
        </w:rPr>
        <w:t>2023</w:t>
      </w:r>
      <w:r w:rsidRPr="00705486">
        <w:rPr>
          <w:rFonts w:ascii="Arial" w:eastAsia="Tahoma" w:hAnsi="Arial" w:cs="Arial"/>
        </w:rPr>
        <w:t>), who noted that while students may vary in metacognitive awareness, most fall within the average range. Similarly, Schneider et al. (2017) reported that many students demonstrate moderate levels of metacognitive knowledge throughout their academic studies.</w:t>
      </w:r>
    </w:p>
    <w:p w14:paraId="1CB34F9B" w14:textId="77777777" w:rsidR="00E44474" w:rsidRPr="00705486" w:rsidRDefault="00E44474" w:rsidP="00E44474">
      <w:pPr>
        <w:jc w:val="both"/>
        <w:rPr>
          <w:rFonts w:ascii="Arial" w:eastAsia="SimSun" w:hAnsi="Arial" w:cs="Arial"/>
          <w:sz w:val="16"/>
          <w:szCs w:val="16"/>
          <w:shd w:val="clear" w:color="auto" w:fill="FFFFFF"/>
        </w:rPr>
      </w:pPr>
    </w:p>
    <w:p w14:paraId="26019D0A" w14:textId="4AF9D411"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28244A" w:rsidRPr="00705486">
        <w:rPr>
          <w:rFonts w:ascii="Arial" w:eastAsia="SimSun" w:hAnsi="Arial" w:cstheme="majorBidi"/>
          <w:b/>
          <w:bCs/>
          <w:shd w:val="clear" w:color="auto" w:fill="FFFFFF"/>
        </w:rPr>
        <w:t>Knowledge of Self</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20D7C4E0" w14:textId="0064AA95" w:rsidR="0028244A" w:rsidRPr="00705486" w:rsidRDefault="00542634" w:rsidP="0028244A">
      <w:pPr>
        <w:ind w:firstLine="720"/>
        <w:jc w:val="both"/>
        <w:rPr>
          <w:rFonts w:ascii="Arial" w:eastAsia="Tahoma" w:hAnsi="Arial" w:cs="Arial"/>
        </w:rPr>
      </w:pPr>
      <w:r w:rsidRPr="00705486">
        <w:rPr>
          <w:rFonts w:ascii="Arial" w:eastAsia="Tahoma" w:hAnsi="Arial" w:cs="Arial"/>
        </w:rPr>
        <w:t xml:space="preserve">Table </w:t>
      </w:r>
      <w:r w:rsidR="007527A0" w:rsidRPr="007527A0">
        <w:rPr>
          <w:rFonts w:ascii="Arial" w:eastAsia="Tahoma" w:hAnsi="Arial" w:cs="Arial"/>
          <w:highlight w:val="yellow"/>
        </w:rPr>
        <w:t>2</w:t>
      </w:r>
      <w:r w:rsidRPr="00705486">
        <w:rPr>
          <w:rFonts w:ascii="Arial" w:eastAsia="Tahoma" w:hAnsi="Arial" w:cs="Arial"/>
        </w:rPr>
        <w:t xml:space="preserve"> shows the students' metacognitive knowledge in terms of self. The domain yielded a mean score of 3.08, categorized as average. This indicates that students are somewhat aware of their strengths and weaknesses and occasionally use this self-knowledge to guide their learning. The result supports the findings of </w:t>
      </w:r>
      <w:proofErr w:type="spellStart"/>
      <w:r w:rsidR="00177903" w:rsidRPr="00705486">
        <w:rPr>
          <w:rFonts w:ascii="Arial" w:eastAsia="Tahoma" w:hAnsi="Arial" w:cs="Arial"/>
        </w:rPr>
        <w:t>Thaintheerasombat</w:t>
      </w:r>
      <w:proofErr w:type="spellEnd"/>
      <w:r w:rsidR="00177903" w:rsidRPr="00705486">
        <w:rPr>
          <w:rFonts w:ascii="Arial" w:eastAsia="Tahoma" w:hAnsi="Arial" w:cs="Arial"/>
        </w:rPr>
        <w:t xml:space="preserve"> and </w:t>
      </w:r>
      <w:proofErr w:type="spellStart"/>
      <w:r w:rsidR="00177903" w:rsidRPr="00705486">
        <w:rPr>
          <w:rFonts w:ascii="Arial" w:eastAsia="Tahoma" w:hAnsi="Arial" w:cs="Arial"/>
        </w:rPr>
        <w:t>Chookhampaeng</w:t>
      </w:r>
      <w:proofErr w:type="spellEnd"/>
      <w:r w:rsidR="00177903" w:rsidRPr="00705486">
        <w:rPr>
          <w:rFonts w:ascii="Arial" w:eastAsia="Tahoma" w:hAnsi="Arial" w:cs="Arial"/>
        </w:rPr>
        <w:t xml:space="preserve"> (2022)</w:t>
      </w:r>
      <w:r w:rsidRPr="00705486">
        <w:rPr>
          <w:rFonts w:ascii="Arial" w:eastAsia="Tahoma" w:hAnsi="Arial" w:cs="Arial"/>
        </w:rPr>
        <w:t xml:space="preserve">, who </w:t>
      </w:r>
      <w:r w:rsidR="00A14962" w:rsidRPr="00705486">
        <w:rPr>
          <w:rFonts w:ascii="Arial" w:eastAsia="Tahoma" w:hAnsi="Arial" w:cs="Arial"/>
        </w:rPr>
        <w:t>stressed</w:t>
      </w:r>
      <w:r w:rsidRPr="00705486">
        <w:rPr>
          <w:rFonts w:ascii="Arial" w:eastAsia="Tahoma" w:hAnsi="Arial" w:cs="Arial"/>
        </w:rPr>
        <w:t xml:space="preserve"> that a significant portion of the student population showed an average level of self-awareness in learning. </w:t>
      </w:r>
      <w:proofErr w:type="spellStart"/>
      <w:r w:rsidR="00A14962" w:rsidRPr="00705486">
        <w:rPr>
          <w:rFonts w:ascii="Arial" w:eastAsia="Tahoma" w:hAnsi="Arial" w:cs="Arial"/>
        </w:rPr>
        <w:t>Marzana</w:t>
      </w:r>
      <w:proofErr w:type="spellEnd"/>
      <w:r w:rsidR="00A14962" w:rsidRPr="00705486">
        <w:rPr>
          <w:rFonts w:ascii="Arial" w:eastAsia="Tahoma" w:hAnsi="Arial" w:cs="Arial"/>
        </w:rPr>
        <w:t>, Montero,</w:t>
      </w:r>
      <w:r w:rsidRPr="00705486">
        <w:rPr>
          <w:rFonts w:ascii="Arial" w:eastAsia="Tahoma" w:hAnsi="Arial" w:cs="Arial"/>
        </w:rPr>
        <w:t xml:space="preserve"> and </w:t>
      </w:r>
      <w:proofErr w:type="spellStart"/>
      <w:r w:rsidR="00A14962" w:rsidRPr="00705486">
        <w:rPr>
          <w:rFonts w:ascii="Arial" w:eastAsia="Tahoma" w:hAnsi="Arial" w:cs="Arial"/>
        </w:rPr>
        <w:t>Olifage</w:t>
      </w:r>
      <w:proofErr w:type="spellEnd"/>
      <w:r w:rsidRPr="00705486">
        <w:rPr>
          <w:rFonts w:ascii="Arial" w:eastAsia="Tahoma" w:hAnsi="Arial" w:cs="Arial"/>
        </w:rPr>
        <w:t xml:space="preserve"> (2019) also observed that students generally value their own experiences in mathematics, which positively influences their performance and well-being. Flavell (1979) emphasized that understanding one’s own knowledge base is a key component of metacognitive self-awareness.</w:t>
      </w:r>
    </w:p>
    <w:p w14:paraId="287056BF" w14:textId="46F40CE8" w:rsidR="00E44474" w:rsidRPr="00705486" w:rsidRDefault="00E44474" w:rsidP="00E44474">
      <w:pPr>
        <w:pStyle w:val="NoSpacing1"/>
        <w:ind w:firstLine="720"/>
        <w:jc w:val="both"/>
        <w:rPr>
          <w:rFonts w:ascii="Arial" w:eastAsia="SimSun" w:hAnsi="Arial"/>
          <w:sz w:val="20"/>
          <w:szCs w:val="20"/>
          <w:shd w:val="clear" w:color="auto" w:fill="FFFFFF"/>
        </w:rPr>
      </w:pPr>
    </w:p>
    <w:p w14:paraId="0DEE2151" w14:textId="2974B232" w:rsidR="00E44474" w:rsidRPr="00705486" w:rsidRDefault="00E44474" w:rsidP="00E44474">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28244A" w:rsidRPr="00705486">
        <w:rPr>
          <w:rFonts w:ascii="Arial" w:eastAsia="SimSun" w:hAnsi="Arial" w:cs="Arial"/>
          <w:b/>
          <w:bCs/>
          <w:color w:val="000000" w:themeColor="text1"/>
          <w:sz w:val="20"/>
          <w:szCs w:val="20"/>
          <w:shd w:val="clear" w:color="auto" w:fill="FFFFFF"/>
        </w:rPr>
        <w:t>Knowledge of Tasks</w:t>
      </w:r>
    </w:p>
    <w:p w14:paraId="0380CD76" w14:textId="77777777" w:rsidR="00E44474" w:rsidRPr="00705486" w:rsidRDefault="00E44474" w:rsidP="00E44474">
      <w:pPr>
        <w:jc w:val="both"/>
        <w:rPr>
          <w:rFonts w:ascii="Arial" w:eastAsia="SimSun" w:hAnsi="Arial" w:cs="Arial"/>
          <w:b/>
          <w:bCs/>
          <w:shd w:val="clear" w:color="auto" w:fill="FFFFFF"/>
        </w:rPr>
      </w:pPr>
    </w:p>
    <w:p w14:paraId="586807B3" w14:textId="229DD806" w:rsidR="0028244A" w:rsidRPr="00705486" w:rsidRDefault="00542634" w:rsidP="0028244A">
      <w:pPr>
        <w:ind w:firstLine="720"/>
        <w:jc w:val="both"/>
        <w:rPr>
          <w:rFonts w:ascii="Arial" w:eastAsia="Tahoma" w:hAnsi="Arial" w:cs="Arial"/>
          <w:color w:val="333333"/>
        </w:rPr>
      </w:pPr>
      <w:r w:rsidRPr="00705486">
        <w:rPr>
          <w:rFonts w:ascii="Arial" w:eastAsia="Tahoma" w:hAnsi="Arial" w:cs="Arial"/>
        </w:rPr>
        <w:t xml:space="preserve">Table </w:t>
      </w:r>
      <w:r w:rsidR="007527A0" w:rsidRPr="007527A0">
        <w:rPr>
          <w:rFonts w:ascii="Arial" w:eastAsia="Tahoma" w:hAnsi="Arial" w:cs="Arial"/>
          <w:highlight w:val="yellow"/>
        </w:rPr>
        <w:t>2</w:t>
      </w:r>
      <w:r w:rsidRPr="00705486">
        <w:rPr>
          <w:rFonts w:ascii="Arial" w:eastAsia="Tahoma" w:hAnsi="Arial" w:cs="Arial"/>
        </w:rPr>
        <w:t xml:space="preserve"> presents the students’ metacognitive knowledge related to tasks. The mean score for this domain is 3.14, which also falls under the average category. This suggests that students are moderately aware of the difficulty of learning tasks and are capable of adapting </w:t>
      </w:r>
      <w:r w:rsidRPr="00705486">
        <w:rPr>
          <w:rFonts w:ascii="Arial" w:eastAsia="Tahoma" w:hAnsi="Arial" w:cs="Arial"/>
        </w:rPr>
        <w:lastRenderedPageBreak/>
        <w:t xml:space="preserve">their strategies accordingly. The findings align with Scott and Berman (2013), who found that students typically have an average level of task-related metacognitive knowledge. Teng </w:t>
      </w:r>
      <w:r w:rsidR="00EE1F4E" w:rsidRPr="00705486">
        <w:rPr>
          <w:rFonts w:ascii="Arial" w:eastAsia="Tahoma" w:hAnsi="Arial" w:cs="Arial"/>
        </w:rPr>
        <w:t xml:space="preserve">and Zang </w:t>
      </w:r>
      <w:r w:rsidRPr="00705486">
        <w:rPr>
          <w:rFonts w:ascii="Arial" w:eastAsia="Tahoma" w:hAnsi="Arial" w:cs="Arial"/>
        </w:rPr>
        <w:t xml:space="preserve">(2024) </w:t>
      </w:r>
      <w:r w:rsidR="00752FF3" w:rsidRPr="00705486">
        <w:rPr>
          <w:rFonts w:ascii="Arial" w:eastAsia="Tahoma" w:hAnsi="Arial" w:cs="Arial"/>
        </w:rPr>
        <w:t xml:space="preserve">and </w:t>
      </w:r>
      <w:r w:rsidR="00752FF3" w:rsidRPr="00705486">
        <w:rPr>
          <w:rFonts w:ascii="Arial" w:eastAsia="Tahoma" w:hAnsi="Arial"/>
          <w:bCs/>
        </w:rPr>
        <w:t>Adolphsen et al.</w:t>
      </w:r>
      <w:r w:rsidR="00752FF3" w:rsidRPr="00705486">
        <w:rPr>
          <w:rFonts w:ascii="Arial" w:eastAsia="Tahoma" w:hAnsi="Arial" w:cs="Arial"/>
        </w:rPr>
        <w:t xml:space="preserve"> (2020) </w:t>
      </w:r>
      <w:r w:rsidRPr="00705486">
        <w:rPr>
          <w:rFonts w:ascii="Arial" w:eastAsia="Tahoma" w:hAnsi="Arial" w:cs="Arial"/>
        </w:rPr>
        <w:t>further explained that effective task performance requires students to consciously select and apply appropriate strategies while remaining aware of their learning process in relation to task difficulty.</w:t>
      </w:r>
    </w:p>
    <w:p w14:paraId="0C672371" w14:textId="77777777" w:rsidR="0028244A" w:rsidRPr="00705486" w:rsidRDefault="0028244A" w:rsidP="0028244A">
      <w:pPr>
        <w:ind w:firstLine="720"/>
        <w:jc w:val="both"/>
        <w:rPr>
          <w:rFonts w:ascii="Arial" w:eastAsia="Tahoma" w:hAnsi="Arial" w:cs="Arial"/>
          <w:color w:val="333333"/>
        </w:rPr>
      </w:pPr>
    </w:p>
    <w:p w14:paraId="63BFD774" w14:textId="677A3E29" w:rsidR="0028244A" w:rsidRPr="00705486" w:rsidRDefault="0028244A" w:rsidP="0028244A">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 xml:space="preserve">4.3 </w:t>
      </w:r>
      <w:r w:rsidRPr="00705486">
        <w:rPr>
          <w:rFonts w:ascii="Arial" w:eastAsia="SimSun" w:hAnsi="Arial" w:cs="Arial"/>
          <w:b/>
          <w:bCs/>
          <w:color w:val="000000" w:themeColor="text1"/>
          <w:sz w:val="20"/>
          <w:szCs w:val="20"/>
          <w:shd w:val="clear" w:color="auto" w:fill="FFFFFF"/>
        </w:rPr>
        <w:t>Knowledge of Strat</w:t>
      </w:r>
      <w:r w:rsidR="007A0E68" w:rsidRPr="00705486">
        <w:rPr>
          <w:rFonts w:ascii="Arial" w:eastAsia="SimSun" w:hAnsi="Arial" w:cs="Arial"/>
          <w:b/>
          <w:bCs/>
          <w:color w:val="000000" w:themeColor="text1"/>
          <w:sz w:val="20"/>
          <w:szCs w:val="20"/>
          <w:shd w:val="clear" w:color="auto" w:fill="FFFFFF"/>
        </w:rPr>
        <w:t>e</w:t>
      </w:r>
      <w:r w:rsidR="003121F3" w:rsidRPr="00705486">
        <w:rPr>
          <w:rFonts w:ascii="Arial" w:eastAsia="SimSun" w:hAnsi="Arial" w:cs="Arial"/>
          <w:b/>
          <w:bCs/>
          <w:color w:val="000000" w:themeColor="text1"/>
          <w:sz w:val="20"/>
          <w:szCs w:val="20"/>
          <w:shd w:val="clear" w:color="auto" w:fill="FFFFFF"/>
        </w:rPr>
        <w:t>gies</w:t>
      </w:r>
    </w:p>
    <w:p w14:paraId="51B971E1" w14:textId="77777777" w:rsidR="0028244A" w:rsidRPr="00705486" w:rsidRDefault="0028244A" w:rsidP="0028244A">
      <w:pPr>
        <w:jc w:val="both"/>
        <w:rPr>
          <w:rFonts w:ascii="Arial" w:eastAsia="SimSun" w:hAnsi="Arial" w:cs="Arial"/>
          <w:b/>
          <w:bCs/>
          <w:shd w:val="clear" w:color="auto" w:fill="FFFFFF"/>
        </w:rPr>
      </w:pPr>
    </w:p>
    <w:p w14:paraId="6DA615BC" w14:textId="0BB3EF1F" w:rsidR="003121F3" w:rsidRPr="00705486" w:rsidRDefault="00542634" w:rsidP="003121F3">
      <w:pPr>
        <w:pStyle w:val="NoSpacing1"/>
        <w:ind w:firstLine="720"/>
        <w:jc w:val="both"/>
        <w:rPr>
          <w:rFonts w:ascii="Tahoma" w:eastAsia="Tahoma" w:hAnsi="Tahoma" w:cs="Tahoma"/>
          <w:sz w:val="24"/>
          <w:szCs w:val="24"/>
        </w:rPr>
      </w:pPr>
      <w:r w:rsidRPr="00705486">
        <w:rPr>
          <w:rFonts w:ascii="Arial" w:eastAsia="Tahoma" w:hAnsi="Arial"/>
          <w:sz w:val="20"/>
          <w:szCs w:val="20"/>
        </w:rPr>
        <w:t xml:space="preserve">Table </w:t>
      </w:r>
      <w:r w:rsidR="007742AA">
        <w:rPr>
          <w:rFonts w:ascii="Arial" w:eastAsia="Tahoma" w:hAnsi="Arial"/>
          <w:sz w:val="20"/>
          <w:szCs w:val="20"/>
        </w:rPr>
        <w:t>2</w:t>
      </w:r>
      <w:r w:rsidRPr="00705486">
        <w:rPr>
          <w:rFonts w:ascii="Arial" w:eastAsia="Tahoma" w:hAnsi="Arial"/>
          <w:sz w:val="20"/>
          <w:szCs w:val="20"/>
        </w:rPr>
        <w:t xml:space="preserve"> illustrates the students’ metacognitive knowledge in terms of strategies, with a mean score of 3.26, again categorized as average. This indicates that students sometimes use various strategies such as organizing, regulating, and monitoring their learning. The results are consistent with the study by </w:t>
      </w:r>
      <w:proofErr w:type="spellStart"/>
      <w:r w:rsidRPr="00705486">
        <w:rPr>
          <w:rFonts w:ascii="Arial" w:eastAsia="Tahoma" w:hAnsi="Arial"/>
          <w:sz w:val="20"/>
          <w:szCs w:val="20"/>
        </w:rPr>
        <w:t>Olop</w:t>
      </w:r>
      <w:proofErr w:type="spellEnd"/>
      <w:r w:rsidRPr="00705486">
        <w:rPr>
          <w:rFonts w:ascii="Arial" w:eastAsia="Tahoma" w:hAnsi="Arial"/>
          <w:sz w:val="20"/>
          <w:szCs w:val="20"/>
        </w:rPr>
        <w:t xml:space="preserve">, </w:t>
      </w:r>
      <w:proofErr w:type="spellStart"/>
      <w:r w:rsidRPr="00705486">
        <w:rPr>
          <w:rFonts w:ascii="Arial" w:eastAsia="Tahoma" w:hAnsi="Arial"/>
          <w:sz w:val="20"/>
          <w:szCs w:val="20"/>
        </w:rPr>
        <w:t>Granstrom</w:t>
      </w:r>
      <w:proofErr w:type="spellEnd"/>
      <w:r w:rsidRPr="00705486">
        <w:rPr>
          <w:rFonts w:ascii="Arial" w:eastAsia="Tahoma" w:hAnsi="Arial"/>
          <w:sz w:val="20"/>
          <w:szCs w:val="20"/>
        </w:rPr>
        <w:t xml:space="preserve">, and </w:t>
      </w:r>
      <w:proofErr w:type="spellStart"/>
      <w:r w:rsidRPr="00705486">
        <w:rPr>
          <w:rFonts w:ascii="Arial" w:eastAsia="Tahoma" w:hAnsi="Arial"/>
          <w:sz w:val="20"/>
          <w:szCs w:val="20"/>
        </w:rPr>
        <w:t>Kikas</w:t>
      </w:r>
      <w:proofErr w:type="spellEnd"/>
      <w:r w:rsidRPr="00705486">
        <w:rPr>
          <w:rFonts w:ascii="Arial" w:eastAsia="Tahoma" w:hAnsi="Arial"/>
          <w:sz w:val="20"/>
          <w:szCs w:val="20"/>
        </w:rPr>
        <w:t xml:space="preserve"> (2024), who found that while some students consistently apply deep learning strategies, many still show an average level of understanding and application. Their findings highlight that metacognition supports students in planning, organizing, and adjusting their learning behaviors for better outcomes.</w:t>
      </w:r>
    </w:p>
    <w:p w14:paraId="50C9146C" w14:textId="733259A5" w:rsidR="005A523D" w:rsidRPr="00705486" w:rsidRDefault="002927E6" w:rsidP="003121F3">
      <w:pPr>
        <w:pStyle w:val="NoSpacing1"/>
        <w:ind w:firstLine="720"/>
        <w:jc w:val="both"/>
        <w:rPr>
          <w:rFonts w:ascii="Arial" w:hAnsi="Arial"/>
        </w:rPr>
      </w:pPr>
      <w:r w:rsidRPr="00705486">
        <w:rPr>
          <w:rFonts w:ascii="Arial" w:eastAsia="SimSun" w:hAnsi="Arial"/>
          <w:sz w:val="20"/>
          <w:szCs w:val="20"/>
          <w:shd w:val="clear" w:color="auto" w:fill="FFFFFF"/>
        </w:rPr>
        <w:t xml:space="preserve"> </w:t>
      </w:r>
      <w:r w:rsidR="00C476F4" w:rsidRPr="00705486">
        <w:rPr>
          <w:rFonts w:ascii="Arial" w:eastAsia="SimSun" w:hAnsi="Arial"/>
          <w:sz w:val="20"/>
          <w:szCs w:val="20"/>
          <w:shd w:val="clear" w:color="auto" w:fill="FFFFFF"/>
        </w:rPr>
        <w:t xml:space="preserve"> </w:t>
      </w:r>
    </w:p>
    <w:p w14:paraId="540D3010" w14:textId="4A5CCAED" w:rsidR="00797D8A" w:rsidRPr="00705486" w:rsidRDefault="00797D8A" w:rsidP="00797D8A">
      <w:pPr>
        <w:tabs>
          <w:tab w:val="left" w:pos="2173"/>
        </w:tabs>
        <w:ind w:right="-630"/>
        <w:jc w:val="both"/>
        <w:rPr>
          <w:rFonts w:ascii="Arial" w:hAnsi="Arial" w:cs="Arial"/>
        </w:rPr>
      </w:pPr>
      <w:r w:rsidRPr="00705486">
        <w:rPr>
          <w:rFonts w:ascii="Arial" w:hAnsi="Arial" w:cs="Arial"/>
        </w:rPr>
        <w:t xml:space="preserve">Table 2: The Respondents’ </w:t>
      </w:r>
      <w:r w:rsidR="0026177E" w:rsidRPr="00705486">
        <w:rPr>
          <w:rFonts w:ascii="Arial" w:hAnsi="Arial" w:cs="Arial"/>
        </w:rPr>
        <w:t xml:space="preserve">Level of </w:t>
      </w:r>
      <w:r w:rsidR="003121F3" w:rsidRPr="00705486">
        <w:rPr>
          <w:rFonts w:ascii="Arial" w:hAnsi="Arial" w:cs="Arial"/>
        </w:rPr>
        <w:t>Metacognitive Knowledge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3121F3" w:rsidRPr="00705486" w14:paraId="4FE497BC" w14:textId="77777777" w:rsidTr="00542634">
        <w:trPr>
          <w:trHeight w:val="153"/>
          <w:jc w:val="center"/>
        </w:trPr>
        <w:tc>
          <w:tcPr>
            <w:tcW w:w="4176" w:type="dxa"/>
            <w:tcBorders>
              <w:top w:val="thinThickSmallGap" w:sz="24" w:space="0" w:color="auto"/>
              <w:bottom w:val="single" w:sz="4" w:space="0" w:color="000000"/>
            </w:tcBorders>
          </w:tcPr>
          <w:p w14:paraId="27F45E2D" w14:textId="77777777" w:rsidR="003121F3" w:rsidRPr="00705486" w:rsidRDefault="003121F3" w:rsidP="003121F3">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64CDA875" w14:textId="77777777" w:rsidR="003121F3" w:rsidRPr="00705486" w:rsidRDefault="003121F3" w:rsidP="003121F3">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0C46E9D" w14:textId="77777777" w:rsidR="003121F3" w:rsidRPr="00705486" w:rsidRDefault="003121F3" w:rsidP="003121F3">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4AD45C45" w14:textId="77777777" w:rsidR="003121F3" w:rsidRPr="00705486" w:rsidRDefault="003121F3" w:rsidP="003121F3">
            <w:pPr>
              <w:jc w:val="center"/>
              <w:rPr>
                <w:rFonts w:ascii="Arial" w:eastAsia="Tahoma" w:hAnsi="Arial" w:cs="Arial"/>
              </w:rPr>
            </w:pPr>
            <w:r w:rsidRPr="00705486">
              <w:rPr>
                <w:rFonts w:ascii="Arial" w:eastAsia="Tahoma" w:hAnsi="Arial" w:cs="Arial"/>
                <w:b/>
              </w:rPr>
              <w:t>DESCRIPTION</w:t>
            </w:r>
          </w:p>
        </w:tc>
      </w:tr>
      <w:tr w:rsidR="003121F3" w:rsidRPr="00705486" w14:paraId="7093103E" w14:textId="77777777" w:rsidTr="00542634">
        <w:trPr>
          <w:trHeight w:val="269"/>
          <w:jc w:val="center"/>
        </w:trPr>
        <w:tc>
          <w:tcPr>
            <w:tcW w:w="4176" w:type="dxa"/>
            <w:tcBorders>
              <w:top w:val="single" w:sz="4" w:space="0" w:color="000000"/>
            </w:tcBorders>
          </w:tcPr>
          <w:p w14:paraId="0F9DEAE1" w14:textId="77777777" w:rsidR="003121F3" w:rsidRPr="00705486" w:rsidRDefault="003121F3" w:rsidP="00542634">
            <w:pPr>
              <w:jc w:val="both"/>
              <w:rPr>
                <w:rFonts w:ascii="Arial" w:eastAsia="Tahoma" w:hAnsi="Arial" w:cs="Arial"/>
              </w:rPr>
            </w:pPr>
            <w:r w:rsidRPr="00705486">
              <w:rPr>
                <w:rFonts w:ascii="Arial" w:eastAsia="Tahoma" w:hAnsi="Arial" w:cs="Arial"/>
              </w:rPr>
              <w:t>Metacognitive Knowledge of Self</w:t>
            </w:r>
          </w:p>
        </w:tc>
        <w:tc>
          <w:tcPr>
            <w:tcW w:w="1620" w:type="dxa"/>
            <w:tcBorders>
              <w:top w:val="single" w:sz="4" w:space="0" w:color="000000"/>
            </w:tcBorders>
            <w:vAlign w:val="center"/>
          </w:tcPr>
          <w:p w14:paraId="38487C93" w14:textId="77777777" w:rsidR="003121F3" w:rsidRPr="00705486" w:rsidRDefault="003121F3" w:rsidP="00542634">
            <w:pPr>
              <w:jc w:val="center"/>
              <w:rPr>
                <w:rFonts w:ascii="Arial" w:eastAsia="Tahoma" w:hAnsi="Arial" w:cs="Arial"/>
              </w:rPr>
            </w:pPr>
            <w:r w:rsidRPr="00705486">
              <w:rPr>
                <w:rFonts w:ascii="Arial" w:eastAsia="Tahoma" w:hAnsi="Arial" w:cs="Arial"/>
              </w:rPr>
              <w:t>3.08</w:t>
            </w:r>
          </w:p>
        </w:tc>
        <w:tc>
          <w:tcPr>
            <w:tcW w:w="720" w:type="dxa"/>
            <w:tcBorders>
              <w:top w:val="single" w:sz="4" w:space="0" w:color="000000"/>
            </w:tcBorders>
            <w:vAlign w:val="center"/>
          </w:tcPr>
          <w:p w14:paraId="4FDFEE24" w14:textId="77777777" w:rsidR="003121F3" w:rsidRPr="00705486" w:rsidRDefault="003121F3" w:rsidP="00542634">
            <w:pPr>
              <w:jc w:val="center"/>
              <w:rPr>
                <w:rFonts w:ascii="Arial" w:eastAsia="Tahoma" w:hAnsi="Arial" w:cs="Arial"/>
              </w:rPr>
            </w:pPr>
            <w:r w:rsidRPr="00705486">
              <w:rPr>
                <w:rFonts w:ascii="Arial" w:eastAsia="Tahoma" w:hAnsi="Arial" w:cs="Arial"/>
              </w:rPr>
              <w:t>0.48</w:t>
            </w:r>
          </w:p>
        </w:tc>
        <w:tc>
          <w:tcPr>
            <w:tcW w:w="1620" w:type="dxa"/>
            <w:tcBorders>
              <w:top w:val="single" w:sz="4" w:space="0" w:color="000000"/>
            </w:tcBorders>
          </w:tcPr>
          <w:p w14:paraId="415B8F3E" w14:textId="77777777" w:rsidR="003121F3" w:rsidRPr="00705486" w:rsidRDefault="003121F3" w:rsidP="00542634">
            <w:pPr>
              <w:jc w:val="center"/>
              <w:rPr>
                <w:rFonts w:ascii="Arial" w:eastAsia="Tahoma" w:hAnsi="Arial" w:cs="Arial"/>
              </w:rPr>
            </w:pPr>
            <w:r w:rsidRPr="00705486">
              <w:rPr>
                <w:rFonts w:ascii="Arial" w:eastAsia="Tahoma" w:hAnsi="Arial" w:cs="Arial"/>
              </w:rPr>
              <w:t>Average</w:t>
            </w:r>
          </w:p>
        </w:tc>
      </w:tr>
      <w:tr w:rsidR="003121F3" w:rsidRPr="00705486" w14:paraId="466A6906" w14:textId="77777777" w:rsidTr="00542634">
        <w:trPr>
          <w:jc w:val="center"/>
        </w:trPr>
        <w:tc>
          <w:tcPr>
            <w:tcW w:w="4176" w:type="dxa"/>
          </w:tcPr>
          <w:p w14:paraId="54E308BE" w14:textId="77777777" w:rsidR="003121F3" w:rsidRPr="00705486" w:rsidRDefault="003121F3" w:rsidP="00542634">
            <w:pPr>
              <w:jc w:val="both"/>
              <w:rPr>
                <w:rFonts w:ascii="Arial" w:eastAsia="Tahoma" w:hAnsi="Arial" w:cs="Arial"/>
              </w:rPr>
            </w:pPr>
            <w:r w:rsidRPr="00705486">
              <w:rPr>
                <w:rFonts w:ascii="Arial" w:eastAsia="Tahoma" w:hAnsi="Arial" w:cs="Arial"/>
              </w:rPr>
              <w:t>Metacognitive Knowledge of Task</w:t>
            </w:r>
            <w:r w:rsidRPr="00705486">
              <w:rPr>
                <w:rFonts w:ascii="Arial" w:eastAsia="Tahoma" w:hAnsi="Arial" w:cs="Arial"/>
              </w:rPr>
              <w:tab/>
            </w:r>
          </w:p>
        </w:tc>
        <w:tc>
          <w:tcPr>
            <w:tcW w:w="1620" w:type="dxa"/>
            <w:vAlign w:val="center"/>
          </w:tcPr>
          <w:p w14:paraId="24D3425B" w14:textId="77777777" w:rsidR="003121F3" w:rsidRPr="00705486" w:rsidRDefault="003121F3" w:rsidP="00542634">
            <w:pPr>
              <w:jc w:val="center"/>
              <w:rPr>
                <w:rFonts w:ascii="Arial" w:eastAsia="Tahoma" w:hAnsi="Arial" w:cs="Arial"/>
              </w:rPr>
            </w:pPr>
            <w:r w:rsidRPr="00705486">
              <w:rPr>
                <w:rFonts w:ascii="Arial" w:eastAsia="Tahoma" w:hAnsi="Arial" w:cs="Arial"/>
              </w:rPr>
              <w:t>3.14</w:t>
            </w:r>
          </w:p>
        </w:tc>
        <w:tc>
          <w:tcPr>
            <w:tcW w:w="720" w:type="dxa"/>
            <w:vAlign w:val="center"/>
          </w:tcPr>
          <w:p w14:paraId="57A57506" w14:textId="77777777" w:rsidR="003121F3" w:rsidRPr="00705486" w:rsidRDefault="003121F3" w:rsidP="00542634">
            <w:pPr>
              <w:jc w:val="center"/>
              <w:rPr>
                <w:rFonts w:ascii="Arial" w:eastAsia="Tahoma" w:hAnsi="Arial" w:cs="Arial"/>
              </w:rPr>
            </w:pPr>
            <w:r w:rsidRPr="00705486">
              <w:rPr>
                <w:rFonts w:ascii="Arial" w:eastAsia="Tahoma" w:hAnsi="Arial" w:cs="Arial"/>
              </w:rPr>
              <w:t>0.73</w:t>
            </w:r>
          </w:p>
        </w:tc>
        <w:tc>
          <w:tcPr>
            <w:tcW w:w="1620" w:type="dxa"/>
          </w:tcPr>
          <w:p w14:paraId="3E405E32" w14:textId="77777777" w:rsidR="003121F3" w:rsidRPr="00705486" w:rsidRDefault="003121F3" w:rsidP="00542634">
            <w:pPr>
              <w:jc w:val="center"/>
              <w:rPr>
                <w:rFonts w:ascii="Arial" w:eastAsia="Tahoma" w:hAnsi="Arial" w:cs="Arial"/>
              </w:rPr>
            </w:pPr>
            <w:r w:rsidRPr="00705486">
              <w:rPr>
                <w:rFonts w:ascii="Arial" w:eastAsia="Tahoma" w:hAnsi="Arial" w:cs="Arial"/>
              </w:rPr>
              <w:t>Average</w:t>
            </w:r>
          </w:p>
        </w:tc>
      </w:tr>
      <w:tr w:rsidR="003121F3" w:rsidRPr="00705486" w14:paraId="02239831" w14:textId="77777777" w:rsidTr="00542634">
        <w:trPr>
          <w:jc w:val="center"/>
        </w:trPr>
        <w:tc>
          <w:tcPr>
            <w:tcW w:w="4176" w:type="dxa"/>
            <w:tcBorders>
              <w:bottom w:val="single" w:sz="4" w:space="0" w:color="000000"/>
            </w:tcBorders>
          </w:tcPr>
          <w:p w14:paraId="7B4BEDB5" w14:textId="77777777" w:rsidR="003121F3" w:rsidRPr="00705486" w:rsidRDefault="003121F3" w:rsidP="00542634">
            <w:pPr>
              <w:jc w:val="both"/>
              <w:rPr>
                <w:rFonts w:ascii="Arial" w:eastAsia="Tahoma" w:hAnsi="Arial" w:cs="Arial"/>
              </w:rPr>
            </w:pPr>
            <w:r w:rsidRPr="00705486">
              <w:rPr>
                <w:rFonts w:ascii="Arial" w:eastAsia="Tahoma" w:hAnsi="Arial" w:cs="Arial"/>
              </w:rPr>
              <w:t>Metacognitive Knowledge of Strategy</w:t>
            </w:r>
          </w:p>
        </w:tc>
        <w:tc>
          <w:tcPr>
            <w:tcW w:w="1620" w:type="dxa"/>
            <w:tcBorders>
              <w:bottom w:val="single" w:sz="4" w:space="0" w:color="000000"/>
            </w:tcBorders>
            <w:vAlign w:val="center"/>
          </w:tcPr>
          <w:p w14:paraId="2AEB337D" w14:textId="77777777" w:rsidR="003121F3" w:rsidRPr="00705486" w:rsidRDefault="003121F3" w:rsidP="00542634">
            <w:pPr>
              <w:jc w:val="center"/>
              <w:rPr>
                <w:rFonts w:ascii="Arial" w:eastAsia="Tahoma" w:hAnsi="Arial" w:cs="Arial"/>
              </w:rPr>
            </w:pPr>
            <w:r w:rsidRPr="00705486">
              <w:rPr>
                <w:rFonts w:ascii="Arial" w:eastAsia="Tahoma" w:hAnsi="Arial" w:cs="Arial"/>
              </w:rPr>
              <w:t>3.26</w:t>
            </w:r>
          </w:p>
        </w:tc>
        <w:tc>
          <w:tcPr>
            <w:tcW w:w="720" w:type="dxa"/>
            <w:tcBorders>
              <w:bottom w:val="single" w:sz="4" w:space="0" w:color="000000"/>
            </w:tcBorders>
            <w:vAlign w:val="center"/>
          </w:tcPr>
          <w:p w14:paraId="1C230A45" w14:textId="77777777" w:rsidR="003121F3" w:rsidRPr="00705486" w:rsidRDefault="003121F3" w:rsidP="00542634">
            <w:pPr>
              <w:jc w:val="center"/>
              <w:rPr>
                <w:rFonts w:ascii="Arial" w:eastAsia="Tahoma" w:hAnsi="Arial" w:cs="Arial"/>
              </w:rPr>
            </w:pPr>
            <w:r w:rsidRPr="00705486">
              <w:rPr>
                <w:rFonts w:ascii="Arial" w:eastAsia="Tahoma" w:hAnsi="Arial" w:cs="Arial"/>
              </w:rPr>
              <w:t>1.26</w:t>
            </w:r>
          </w:p>
        </w:tc>
        <w:tc>
          <w:tcPr>
            <w:tcW w:w="1620" w:type="dxa"/>
            <w:tcBorders>
              <w:bottom w:val="single" w:sz="4" w:space="0" w:color="000000"/>
            </w:tcBorders>
          </w:tcPr>
          <w:p w14:paraId="4AFDB55D" w14:textId="77777777" w:rsidR="003121F3" w:rsidRPr="00705486" w:rsidRDefault="003121F3" w:rsidP="00542634">
            <w:pPr>
              <w:jc w:val="center"/>
              <w:rPr>
                <w:rFonts w:ascii="Arial" w:eastAsia="Tahoma" w:hAnsi="Arial" w:cs="Arial"/>
              </w:rPr>
            </w:pPr>
            <w:r w:rsidRPr="00705486">
              <w:rPr>
                <w:rFonts w:ascii="Arial" w:eastAsia="Tahoma" w:hAnsi="Arial" w:cs="Arial"/>
              </w:rPr>
              <w:t>Average</w:t>
            </w:r>
          </w:p>
        </w:tc>
      </w:tr>
      <w:tr w:rsidR="003121F3" w:rsidRPr="00705486" w14:paraId="64BF2107" w14:textId="77777777" w:rsidTr="00542634">
        <w:trPr>
          <w:jc w:val="center"/>
        </w:trPr>
        <w:tc>
          <w:tcPr>
            <w:tcW w:w="4176" w:type="dxa"/>
            <w:tcBorders>
              <w:top w:val="single" w:sz="4" w:space="0" w:color="000000"/>
              <w:bottom w:val="thickThinSmallGap" w:sz="24" w:space="0" w:color="auto"/>
            </w:tcBorders>
          </w:tcPr>
          <w:p w14:paraId="2A923664" w14:textId="77777777" w:rsidR="003121F3" w:rsidRPr="00705486" w:rsidRDefault="003121F3" w:rsidP="00542634">
            <w:pPr>
              <w:jc w:val="both"/>
              <w:rPr>
                <w:rFonts w:ascii="Arial" w:eastAsia="Tahoma" w:hAnsi="Arial" w:cs="Arial"/>
                <w:b/>
              </w:rPr>
            </w:pPr>
            <w:r w:rsidRPr="00705486">
              <w:rPr>
                <w:rFonts w:ascii="Arial" w:eastAsia="Tahoma" w:hAnsi="Arial" w:cs="Arial"/>
                <w:b/>
              </w:rPr>
              <w:t>Metacognitive Knowledge (Overall)</w:t>
            </w:r>
          </w:p>
        </w:tc>
        <w:tc>
          <w:tcPr>
            <w:tcW w:w="1620" w:type="dxa"/>
            <w:tcBorders>
              <w:top w:val="single" w:sz="4" w:space="0" w:color="000000"/>
              <w:bottom w:val="thickThinSmallGap" w:sz="24" w:space="0" w:color="auto"/>
            </w:tcBorders>
          </w:tcPr>
          <w:p w14:paraId="3C00BC6E" w14:textId="77777777" w:rsidR="003121F3" w:rsidRPr="00705486" w:rsidRDefault="003121F3" w:rsidP="00542634">
            <w:pPr>
              <w:jc w:val="center"/>
              <w:rPr>
                <w:rFonts w:ascii="Arial" w:eastAsia="Tahoma" w:hAnsi="Arial" w:cs="Arial"/>
                <w:b/>
              </w:rPr>
            </w:pPr>
            <w:r w:rsidRPr="00705486">
              <w:rPr>
                <w:rFonts w:ascii="Arial" w:eastAsia="Tahoma" w:hAnsi="Arial" w:cs="Arial"/>
                <w:b/>
              </w:rPr>
              <w:t>3.08</w:t>
            </w:r>
          </w:p>
        </w:tc>
        <w:tc>
          <w:tcPr>
            <w:tcW w:w="720" w:type="dxa"/>
            <w:tcBorders>
              <w:top w:val="single" w:sz="4" w:space="0" w:color="000000"/>
              <w:bottom w:val="thickThinSmallGap" w:sz="24" w:space="0" w:color="auto"/>
            </w:tcBorders>
          </w:tcPr>
          <w:p w14:paraId="398F15A1" w14:textId="77777777" w:rsidR="003121F3" w:rsidRPr="00705486" w:rsidRDefault="003121F3" w:rsidP="00542634">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73998CE5" w14:textId="77777777" w:rsidR="003121F3" w:rsidRPr="00705486" w:rsidRDefault="003121F3" w:rsidP="00542634">
            <w:pPr>
              <w:jc w:val="center"/>
              <w:rPr>
                <w:rFonts w:ascii="Arial" w:eastAsia="Tahoma" w:hAnsi="Arial" w:cs="Arial"/>
                <w:b/>
              </w:rPr>
            </w:pPr>
            <w:r w:rsidRPr="00705486">
              <w:rPr>
                <w:rFonts w:ascii="Arial" w:eastAsia="Tahoma" w:hAnsi="Arial" w:cs="Arial"/>
                <w:b/>
              </w:rPr>
              <w:t>Average</w:t>
            </w:r>
          </w:p>
        </w:tc>
      </w:tr>
    </w:tbl>
    <w:p w14:paraId="1BB12945" w14:textId="77777777" w:rsidR="003121F3" w:rsidRPr="00705486" w:rsidRDefault="003121F3" w:rsidP="00327B77">
      <w:pPr>
        <w:tabs>
          <w:tab w:val="left" w:pos="2173"/>
        </w:tabs>
        <w:ind w:right="-72"/>
        <w:jc w:val="center"/>
        <w:rPr>
          <w:rFonts w:ascii="Arial" w:hAnsi="Arial" w:cs="Arial"/>
          <w:b/>
        </w:rPr>
      </w:pPr>
      <w:bookmarkStart w:id="0" w:name="_Hlk172126520"/>
    </w:p>
    <w:p w14:paraId="2089A287" w14:textId="5A519316" w:rsidR="00797D8A" w:rsidRPr="00705486" w:rsidRDefault="00797D8A" w:rsidP="00327B77">
      <w:pPr>
        <w:tabs>
          <w:tab w:val="left" w:pos="2173"/>
        </w:tabs>
        <w:ind w:right="-72"/>
        <w:jc w:val="center"/>
        <w:rPr>
          <w:rFonts w:ascii="Arial" w:hAnsi="Arial" w:cs="Arial"/>
          <w:b/>
        </w:rPr>
      </w:pPr>
      <w:r w:rsidRPr="00705486">
        <w:rPr>
          <w:rFonts w:ascii="Arial" w:hAnsi="Arial" w:cs="Arial"/>
          <w:b/>
        </w:rPr>
        <w:t xml:space="preserve">Level of Mathematics Performance of </w:t>
      </w:r>
      <w:r w:rsidR="003121F3" w:rsidRPr="00705486">
        <w:rPr>
          <w:rFonts w:ascii="Arial" w:hAnsi="Arial" w:cs="Arial"/>
          <w:b/>
        </w:rPr>
        <w:t>Junior High School Students</w:t>
      </w:r>
    </w:p>
    <w:p w14:paraId="12660DDF" w14:textId="77777777" w:rsidR="00797D8A" w:rsidRPr="00705486" w:rsidRDefault="00797D8A" w:rsidP="00327B77">
      <w:pPr>
        <w:tabs>
          <w:tab w:val="left" w:pos="2173"/>
        </w:tabs>
        <w:ind w:right="-72"/>
        <w:jc w:val="center"/>
        <w:rPr>
          <w:rFonts w:ascii="Arial" w:hAnsi="Arial" w:cs="Arial"/>
          <w:b/>
        </w:rPr>
      </w:pPr>
    </w:p>
    <w:bookmarkEnd w:id="0"/>
    <w:p w14:paraId="6B6EFAB2" w14:textId="2D252327" w:rsidR="004F1287" w:rsidRPr="00705486" w:rsidRDefault="004F1287" w:rsidP="004F1287">
      <w:pPr>
        <w:ind w:firstLine="720"/>
        <w:jc w:val="both"/>
        <w:rPr>
          <w:rFonts w:ascii="Arial" w:eastAsia="Tahoma" w:hAnsi="Arial" w:cs="Arial"/>
        </w:rPr>
      </w:pPr>
      <w:r w:rsidRPr="00705486">
        <w:rPr>
          <w:rFonts w:ascii="Arial" w:eastAsia="Tahoma" w:hAnsi="Arial" w:cs="Arial"/>
        </w:rPr>
        <w:t xml:space="preserve">The students’ mathematics performance was measured using their first quarter grades during the school year 2023–2024. As shown in Table </w:t>
      </w:r>
      <w:r w:rsidR="007742AA">
        <w:rPr>
          <w:rFonts w:ascii="Arial" w:eastAsia="Tahoma" w:hAnsi="Arial" w:cs="Arial"/>
        </w:rPr>
        <w:t>3</w:t>
      </w:r>
      <w:r w:rsidRPr="00705486">
        <w:rPr>
          <w:rFonts w:ascii="Arial" w:eastAsia="Tahoma" w:hAnsi="Arial" w:cs="Arial"/>
        </w:rPr>
        <w:t>, the overall mean score was 83.54, which falls under the “approaching proficiency” level. This suggests that the students had developed basic knowledge and skills and, with guidance from teachers or peers, could apply these effectively in real-life tasks.</w:t>
      </w:r>
      <w:r w:rsidR="00844882" w:rsidRPr="00705486">
        <w:rPr>
          <w:rFonts w:ascii="Arial" w:eastAsia="Tahoma" w:hAnsi="Arial" w:cs="Arial"/>
        </w:rPr>
        <w:t xml:space="preserve"> </w:t>
      </w:r>
      <w:r w:rsidRPr="00705486">
        <w:rPr>
          <w:rFonts w:ascii="Arial" w:eastAsia="Tahoma" w:hAnsi="Arial" w:cs="Arial"/>
        </w:rPr>
        <w:t>When examined more closely, the highest number of students had grades ranging from 80% to 84%, accounting for 38.71% of the total. This group also falls within the “approaching proficiency” level. Students in this range are considered to have acquired foundational knowledge and are capable of demonstrating understanding with some support. Meanwhile, the lowest frequency of students—16.77%—scored between 85% and 89%, which corresponds to the “proficient” level. These students are seen as having a solid grasp of mathematical concepts and can independently apply what they have learned in various situations.</w:t>
      </w:r>
    </w:p>
    <w:p w14:paraId="40AE6B73" w14:textId="63277746" w:rsidR="003121F3" w:rsidRPr="00705486" w:rsidRDefault="00E22626" w:rsidP="003121F3">
      <w:pPr>
        <w:ind w:firstLine="720"/>
        <w:jc w:val="both"/>
        <w:rPr>
          <w:rFonts w:ascii="Arial" w:eastAsia="Tahoma" w:hAnsi="Arial" w:cs="Arial"/>
        </w:rPr>
      </w:pPr>
      <w:r w:rsidRPr="00705486">
        <w:rPr>
          <w:rFonts w:ascii="Arial" w:eastAsia="Tahoma" w:hAnsi="Arial" w:cs="Arial"/>
        </w:rPr>
        <w:t xml:space="preserve">The data show that most students are performing at an approaching proficiency level. This finding is consistent with the study of </w:t>
      </w:r>
      <w:proofErr w:type="spellStart"/>
      <w:r w:rsidRPr="00705486">
        <w:rPr>
          <w:rFonts w:ascii="Arial" w:eastAsia="Tahoma" w:hAnsi="Arial" w:cs="Arial"/>
        </w:rPr>
        <w:t>Andamon</w:t>
      </w:r>
      <w:proofErr w:type="spellEnd"/>
      <w:r w:rsidRPr="00705486">
        <w:rPr>
          <w:rFonts w:ascii="Arial" w:eastAsia="Tahoma" w:hAnsi="Arial" w:cs="Arial"/>
        </w:rPr>
        <w:t xml:space="preserve"> and Tan (2018), who found that the average performance of Grade 7 students in mathematics, based on a standardized test aligned with the DepEd K–12 curriculum, also fell within the approaching proficiency range. Similarly, </w:t>
      </w:r>
      <w:proofErr w:type="spellStart"/>
      <w:r w:rsidRPr="00705486">
        <w:rPr>
          <w:rFonts w:ascii="Arial" w:eastAsia="Tahoma" w:hAnsi="Arial" w:cs="Arial"/>
        </w:rPr>
        <w:t>Jumangit</w:t>
      </w:r>
      <w:proofErr w:type="spellEnd"/>
      <w:r w:rsidRPr="00705486">
        <w:rPr>
          <w:rFonts w:ascii="Arial" w:eastAsia="Tahoma" w:hAnsi="Arial" w:cs="Arial"/>
        </w:rPr>
        <w:t xml:space="preserve"> and Miranda (2025) </w:t>
      </w:r>
      <w:r w:rsidR="001F22D1" w:rsidRPr="00705486">
        <w:rPr>
          <w:rFonts w:ascii="Arial" w:eastAsia="Tahoma" w:hAnsi="Arial" w:cs="Arial"/>
        </w:rPr>
        <w:t xml:space="preserve">and </w:t>
      </w:r>
      <w:proofErr w:type="spellStart"/>
      <w:r w:rsidR="001F22D1" w:rsidRPr="00705486">
        <w:rPr>
          <w:rFonts w:ascii="Arial" w:eastAsia="Tahoma" w:hAnsi="Arial" w:cs="Arial"/>
        </w:rPr>
        <w:t>Capinding</w:t>
      </w:r>
      <w:proofErr w:type="spellEnd"/>
      <w:r w:rsidR="001F22D1" w:rsidRPr="00705486">
        <w:rPr>
          <w:rFonts w:ascii="Arial" w:eastAsia="Tahoma" w:hAnsi="Arial" w:cs="Arial"/>
        </w:rPr>
        <w:t xml:space="preserve"> (2021) </w:t>
      </w:r>
      <w:r w:rsidRPr="00705486">
        <w:rPr>
          <w:rFonts w:ascii="Arial" w:eastAsia="Tahoma" w:hAnsi="Arial" w:cs="Arial"/>
        </w:rPr>
        <w:t>observed that students demonstrated satisfactory performance in their mathematics subject, suggesting that while students have acquired fundamental skills, there is still room for growth. This level reflects a moderate understanding of mathematics that can be further developed through targeted support and effective instruction.</w:t>
      </w:r>
    </w:p>
    <w:p w14:paraId="34C13789" w14:textId="77777777" w:rsidR="00E22626" w:rsidRPr="00705486" w:rsidRDefault="00E22626" w:rsidP="003121F3">
      <w:pPr>
        <w:ind w:firstLine="720"/>
        <w:jc w:val="both"/>
        <w:rPr>
          <w:rFonts w:ascii="Arial" w:hAnsi="Arial" w:cs="Arial"/>
        </w:rPr>
      </w:pPr>
    </w:p>
    <w:p w14:paraId="228C2666" w14:textId="77777777" w:rsidR="00797D8A" w:rsidRPr="00705486" w:rsidRDefault="00797D8A" w:rsidP="00327B77">
      <w:pPr>
        <w:tabs>
          <w:tab w:val="left" w:pos="2173"/>
        </w:tabs>
        <w:ind w:right="-72"/>
        <w:jc w:val="both"/>
        <w:rPr>
          <w:rFonts w:ascii="Arial" w:hAnsi="Arial" w:cs="Arial"/>
        </w:rPr>
      </w:pPr>
      <w:r w:rsidRPr="00705486">
        <w:rPr>
          <w:rFonts w:ascii="Arial" w:hAnsi="Arial" w:cs="Arial"/>
        </w:rPr>
        <w:t>Table 3: The Respondents’ Level of Mathematics Performance</w:t>
      </w:r>
    </w:p>
    <w:tbl>
      <w:tblPr>
        <w:tblW w:w="7869" w:type="dxa"/>
        <w:tblInd w:w="90" w:type="dxa"/>
        <w:tblLayout w:type="fixed"/>
        <w:tblLook w:val="0400" w:firstRow="0" w:lastRow="0" w:firstColumn="0" w:lastColumn="0" w:noHBand="0" w:noVBand="1"/>
      </w:tblPr>
      <w:tblGrid>
        <w:gridCol w:w="2049"/>
        <w:gridCol w:w="2436"/>
        <w:gridCol w:w="1662"/>
        <w:gridCol w:w="1722"/>
      </w:tblGrid>
      <w:tr w:rsidR="003121F3" w:rsidRPr="00705486" w14:paraId="6B1148D5" w14:textId="77777777" w:rsidTr="004065E6">
        <w:trPr>
          <w:trHeight w:val="360"/>
        </w:trPr>
        <w:tc>
          <w:tcPr>
            <w:tcW w:w="2049" w:type="dxa"/>
            <w:tcBorders>
              <w:top w:val="thinThickSmallGap" w:sz="24" w:space="0" w:color="auto"/>
              <w:bottom w:val="single" w:sz="4" w:space="0" w:color="auto"/>
            </w:tcBorders>
            <w:vAlign w:val="center"/>
          </w:tcPr>
          <w:p w14:paraId="0227C41C"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RANGE OF </w:t>
            </w:r>
          </w:p>
          <w:p w14:paraId="4A9B25C9"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MEANS</w:t>
            </w:r>
          </w:p>
        </w:tc>
        <w:tc>
          <w:tcPr>
            <w:tcW w:w="2436" w:type="dxa"/>
            <w:tcBorders>
              <w:top w:val="thinThickSmallGap" w:sz="24" w:space="0" w:color="auto"/>
              <w:bottom w:val="single" w:sz="4" w:space="0" w:color="auto"/>
            </w:tcBorders>
            <w:vAlign w:val="center"/>
          </w:tcPr>
          <w:p w14:paraId="3D057207"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DESCRIPTIVE</w:t>
            </w:r>
          </w:p>
          <w:p w14:paraId="14F45781"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 LEVEL</w:t>
            </w:r>
          </w:p>
        </w:tc>
        <w:tc>
          <w:tcPr>
            <w:tcW w:w="1662" w:type="dxa"/>
            <w:tcBorders>
              <w:top w:val="thinThickSmallGap" w:sz="24" w:space="0" w:color="auto"/>
              <w:bottom w:val="single" w:sz="4" w:space="0" w:color="auto"/>
            </w:tcBorders>
          </w:tcPr>
          <w:p w14:paraId="5B3C2F1D" w14:textId="77777777" w:rsidR="004065E6" w:rsidRPr="00705486" w:rsidRDefault="003121F3" w:rsidP="004065E6">
            <w:pPr>
              <w:pBdr>
                <w:top w:val="nil"/>
                <w:left w:val="nil"/>
                <w:bottom w:val="nil"/>
                <w:right w:val="nil"/>
                <w:between w:val="nil"/>
              </w:pBdr>
              <w:jc w:val="center"/>
              <w:rPr>
                <w:rFonts w:ascii="Arial" w:eastAsia="Tahoma" w:hAnsi="Arial" w:cs="Arial"/>
                <w:b/>
              </w:rPr>
            </w:pPr>
            <w:r w:rsidRPr="00705486">
              <w:rPr>
                <w:rFonts w:ascii="Arial" w:eastAsia="Tahoma" w:hAnsi="Arial" w:cs="Arial"/>
                <w:b/>
              </w:rPr>
              <w:t>Frequency</w:t>
            </w:r>
            <w:r w:rsidR="004065E6" w:rsidRPr="00705486">
              <w:rPr>
                <w:rFonts w:ascii="Arial" w:eastAsia="Tahoma" w:hAnsi="Arial" w:cs="Arial"/>
                <w:b/>
              </w:rPr>
              <w:t xml:space="preserve"> </w:t>
            </w:r>
          </w:p>
          <w:p w14:paraId="783F4F6E" w14:textId="5BB8CA77" w:rsidR="003121F3" w:rsidRPr="00705486" w:rsidRDefault="003121F3" w:rsidP="004065E6">
            <w:pPr>
              <w:pBdr>
                <w:top w:val="nil"/>
                <w:left w:val="nil"/>
                <w:bottom w:val="nil"/>
                <w:right w:val="nil"/>
                <w:between w:val="nil"/>
              </w:pBdr>
              <w:jc w:val="center"/>
              <w:rPr>
                <w:rFonts w:ascii="Arial" w:eastAsia="Tahoma" w:hAnsi="Arial" w:cs="Arial"/>
                <w:b/>
              </w:rPr>
            </w:pPr>
            <w:r w:rsidRPr="00705486">
              <w:rPr>
                <w:rFonts w:ascii="Arial" w:eastAsia="Tahoma" w:hAnsi="Arial" w:cs="Arial"/>
                <w:b/>
              </w:rPr>
              <w:t>(f)</w:t>
            </w:r>
          </w:p>
        </w:tc>
        <w:tc>
          <w:tcPr>
            <w:tcW w:w="1722" w:type="dxa"/>
            <w:tcBorders>
              <w:top w:val="thinThickSmallGap" w:sz="24" w:space="0" w:color="auto"/>
              <w:bottom w:val="single" w:sz="4" w:space="0" w:color="auto"/>
            </w:tcBorders>
          </w:tcPr>
          <w:p w14:paraId="579D09EA" w14:textId="77777777" w:rsidR="004065E6"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Percentage </w:t>
            </w:r>
          </w:p>
          <w:p w14:paraId="2FD720C7" w14:textId="3A2FD221"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w:t>
            </w:r>
          </w:p>
        </w:tc>
      </w:tr>
      <w:tr w:rsidR="003121F3" w:rsidRPr="00705486" w14:paraId="26698901" w14:textId="77777777" w:rsidTr="00EB7C71">
        <w:trPr>
          <w:trHeight w:val="287"/>
        </w:trPr>
        <w:tc>
          <w:tcPr>
            <w:tcW w:w="2049" w:type="dxa"/>
            <w:tcBorders>
              <w:top w:val="single" w:sz="4" w:space="0" w:color="auto"/>
            </w:tcBorders>
          </w:tcPr>
          <w:p w14:paraId="11240BB8"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90% and above</w:t>
            </w:r>
          </w:p>
        </w:tc>
        <w:tc>
          <w:tcPr>
            <w:tcW w:w="2436" w:type="dxa"/>
            <w:tcBorders>
              <w:top w:val="single" w:sz="4" w:space="0" w:color="auto"/>
            </w:tcBorders>
          </w:tcPr>
          <w:p w14:paraId="2EE23A88"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Advanced</w:t>
            </w:r>
          </w:p>
        </w:tc>
        <w:tc>
          <w:tcPr>
            <w:tcW w:w="1662" w:type="dxa"/>
            <w:tcBorders>
              <w:top w:val="single" w:sz="4" w:space="0" w:color="auto"/>
            </w:tcBorders>
          </w:tcPr>
          <w:p w14:paraId="37EC3F16"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30</w:t>
            </w:r>
          </w:p>
        </w:tc>
        <w:tc>
          <w:tcPr>
            <w:tcW w:w="1722" w:type="dxa"/>
            <w:tcBorders>
              <w:top w:val="single" w:sz="4" w:space="0" w:color="auto"/>
            </w:tcBorders>
          </w:tcPr>
          <w:p w14:paraId="7D3CF3FF" w14:textId="77777777" w:rsidR="003121F3" w:rsidRPr="00705486" w:rsidRDefault="003121F3" w:rsidP="00EB7C71">
            <w:pPr>
              <w:jc w:val="center"/>
              <w:rPr>
                <w:rFonts w:ascii="Arial" w:eastAsia="Tahoma" w:hAnsi="Arial" w:cs="Arial"/>
              </w:rPr>
            </w:pPr>
            <w:r w:rsidRPr="00705486">
              <w:rPr>
                <w:rFonts w:ascii="Arial" w:eastAsia="Tahoma" w:hAnsi="Arial" w:cs="Arial"/>
              </w:rPr>
              <w:t>19.35</w:t>
            </w:r>
          </w:p>
        </w:tc>
      </w:tr>
      <w:tr w:rsidR="003121F3" w:rsidRPr="00705486" w14:paraId="28164A1C" w14:textId="77777777" w:rsidTr="00EB7C71">
        <w:trPr>
          <w:trHeight w:val="180"/>
        </w:trPr>
        <w:tc>
          <w:tcPr>
            <w:tcW w:w="2049" w:type="dxa"/>
          </w:tcPr>
          <w:p w14:paraId="39B9BF82"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lastRenderedPageBreak/>
              <w:t>85% – 89%</w:t>
            </w:r>
          </w:p>
        </w:tc>
        <w:tc>
          <w:tcPr>
            <w:tcW w:w="2436" w:type="dxa"/>
          </w:tcPr>
          <w:p w14:paraId="25F4B765"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Proficient</w:t>
            </w:r>
          </w:p>
        </w:tc>
        <w:tc>
          <w:tcPr>
            <w:tcW w:w="1662" w:type="dxa"/>
          </w:tcPr>
          <w:p w14:paraId="382C5703"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26</w:t>
            </w:r>
          </w:p>
        </w:tc>
        <w:tc>
          <w:tcPr>
            <w:tcW w:w="1722" w:type="dxa"/>
          </w:tcPr>
          <w:p w14:paraId="1812E635" w14:textId="77777777" w:rsidR="003121F3" w:rsidRPr="00705486" w:rsidRDefault="003121F3" w:rsidP="00EB7C71">
            <w:pPr>
              <w:jc w:val="center"/>
              <w:rPr>
                <w:rFonts w:ascii="Arial" w:eastAsia="Tahoma" w:hAnsi="Arial" w:cs="Arial"/>
              </w:rPr>
            </w:pPr>
            <w:r w:rsidRPr="00705486">
              <w:rPr>
                <w:rFonts w:ascii="Arial" w:eastAsia="Tahoma" w:hAnsi="Arial" w:cs="Arial"/>
              </w:rPr>
              <w:t>16.77</w:t>
            </w:r>
          </w:p>
        </w:tc>
      </w:tr>
      <w:tr w:rsidR="003121F3" w:rsidRPr="00705486" w14:paraId="02F36CE8" w14:textId="77777777" w:rsidTr="00EB7C71">
        <w:trPr>
          <w:trHeight w:val="225"/>
        </w:trPr>
        <w:tc>
          <w:tcPr>
            <w:tcW w:w="2049" w:type="dxa"/>
          </w:tcPr>
          <w:p w14:paraId="7A25D941"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80% – 84%</w:t>
            </w:r>
          </w:p>
        </w:tc>
        <w:tc>
          <w:tcPr>
            <w:tcW w:w="2436" w:type="dxa"/>
          </w:tcPr>
          <w:p w14:paraId="190C7E96"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Approaching Proficiency</w:t>
            </w:r>
          </w:p>
        </w:tc>
        <w:tc>
          <w:tcPr>
            <w:tcW w:w="1662" w:type="dxa"/>
          </w:tcPr>
          <w:p w14:paraId="19C6515E"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60</w:t>
            </w:r>
          </w:p>
        </w:tc>
        <w:tc>
          <w:tcPr>
            <w:tcW w:w="1722" w:type="dxa"/>
          </w:tcPr>
          <w:p w14:paraId="682C34D3" w14:textId="77777777" w:rsidR="003121F3" w:rsidRPr="00705486" w:rsidRDefault="003121F3" w:rsidP="00EB7C71">
            <w:pPr>
              <w:jc w:val="center"/>
              <w:rPr>
                <w:rFonts w:ascii="Arial" w:eastAsia="Tahoma" w:hAnsi="Arial" w:cs="Arial"/>
              </w:rPr>
            </w:pPr>
            <w:r w:rsidRPr="00705486">
              <w:rPr>
                <w:rFonts w:ascii="Arial" w:eastAsia="Tahoma" w:hAnsi="Arial" w:cs="Arial"/>
              </w:rPr>
              <w:t>38.71</w:t>
            </w:r>
          </w:p>
        </w:tc>
      </w:tr>
      <w:tr w:rsidR="003121F3" w:rsidRPr="00705486" w14:paraId="5A2556AC" w14:textId="77777777" w:rsidTr="00EB7C71">
        <w:trPr>
          <w:trHeight w:val="270"/>
        </w:trPr>
        <w:tc>
          <w:tcPr>
            <w:tcW w:w="2049" w:type="dxa"/>
          </w:tcPr>
          <w:p w14:paraId="4FA5A31F"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75% – 79%</w:t>
            </w:r>
          </w:p>
        </w:tc>
        <w:tc>
          <w:tcPr>
            <w:tcW w:w="2436" w:type="dxa"/>
          </w:tcPr>
          <w:p w14:paraId="206FC7DD"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Developing</w:t>
            </w:r>
          </w:p>
        </w:tc>
        <w:tc>
          <w:tcPr>
            <w:tcW w:w="1662" w:type="dxa"/>
          </w:tcPr>
          <w:p w14:paraId="7B532D77"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39</w:t>
            </w:r>
          </w:p>
        </w:tc>
        <w:tc>
          <w:tcPr>
            <w:tcW w:w="1722" w:type="dxa"/>
          </w:tcPr>
          <w:p w14:paraId="410439AC" w14:textId="77777777" w:rsidR="003121F3" w:rsidRPr="00705486" w:rsidRDefault="003121F3" w:rsidP="00EB7C71">
            <w:pPr>
              <w:jc w:val="center"/>
              <w:rPr>
                <w:rFonts w:ascii="Arial" w:eastAsia="Tahoma" w:hAnsi="Arial" w:cs="Arial"/>
              </w:rPr>
            </w:pPr>
            <w:r w:rsidRPr="00705486">
              <w:rPr>
                <w:rFonts w:ascii="Arial" w:eastAsia="Tahoma" w:hAnsi="Arial" w:cs="Arial"/>
              </w:rPr>
              <w:t>25.16</w:t>
            </w:r>
          </w:p>
        </w:tc>
      </w:tr>
      <w:tr w:rsidR="003121F3" w:rsidRPr="00705486" w14:paraId="652F9B29" w14:textId="77777777" w:rsidTr="00EB7C71">
        <w:trPr>
          <w:trHeight w:val="180"/>
        </w:trPr>
        <w:tc>
          <w:tcPr>
            <w:tcW w:w="2049" w:type="dxa"/>
            <w:tcBorders>
              <w:bottom w:val="thickThinSmallGap" w:sz="24" w:space="0" w:color="auto"/>
            </w:tcBorders>
          </w:tcPr>
          <w:p w14:paraId="657AE07F"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74% and below</w:t>
            </w:r>
          </w:p>
        </w:tc>
        <w:tc>
          <w:tcPr>
            <w:tcW w:w="2436" w:type="dxa"/>
            <w:tcBorders>
              <w:bottom w:val="thickThinSmallGap" w:sz="24" w:space="0" w:color="auto"/>
            </w:tcBorders>
          </w:tcPr>
          <w:p w14:paraId="36034413"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Beginning</w:t>
            </w:r>
          </w:p>
        </w:tc>
        <w:tc>
          <w:tcPr>
            <w:tcW w:w="1662" w:type="dxa"/>
            <w:tcBorders>
              <w:bottom w:val="thickThinSmallGap" w:sz="24" w:space="0" w:color="auto"/>
            </w:tcBorders>
          </w:tcPr>
          <w:p w14:paraId="365761DF"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0</w:t>
            </w:r>
          </w:p>
        </w:tc>
        <w:tc>
          <w:tcPr>
            <w:tcW w:w="1722" w:type="dxa"/>
            <w:tcBorders>
              <w:bottom w:val="thickThinSmallGap" w:sz="24" w:space="0" w:color="auto"/>
            </w:tcBorders>
          </w:tcPr>
          <w:p w14:paraId="5152811A" w14:textId="77777777" w:rsidR="003121F3" w:rsidRPr="00705486" w:rsidRDefault="003121F3" w:rsidP="00EB7C71">
            <w:pPr>
              <w:jc w:val="center"/>
              <w:rPr>
                <w:rFonts w:ascii="Arial" w:eastAsia="Tahoma" w:hAnsi="Arial" w:cs="Arial"/>
              </w:rPr>
            </w:pPr>
            <w:r w:rsidRPr="00705486">
              <w:rPr>
                <w:rFonts w:ascii="Arial" w:eastAsia="Tahoma" w:hAnsi="Arial" w:cs="Arial"/>
              </w:rPr>
              <w:t>0.00</w:t>
            </w:r>
          </w:p>
        </w:tc>
      </w:tr>
    </w:tbl>
    <w:p w14:paraId="779DBE70" w14:textId="2A1FDBFD" w:rsidR="003121F3" w:rsidRPr="00705486" w:rsidRDefault="003121F3" w:rsidP="003121F3">
      <w:pPr>
        <w:jc w:val="both"/>
        <w:rPr>
          <w:rFonts w:ascii="Arial" w:eastAsia="Tahoma" w:hAnsi="Arial" w:cs="Arial"/>
        </w:rPr>
      </w:pPr>
      <w:r w:rsidRPr="00705486">
        <w:rPr>
          <w:rFonts w:ascii="Arial" w:eastAsia="Tahoma" w:hAnsi="Arial" w:cs="Arial"/>
        </w:rPr>
        <w:t>n=155; %=100; Mean=83.54; SD=5.78</w:t>
      </w:r>
    </w:p>
    <w:p w14:paraId="23474171" w14:textId="77777777" w:rsidR="008717E9" w:rsidRPr="00705486" w:rsidRDefault="008717E9" w:rsidP="003121F3">
      <w:pPr>
        <w:jc w:val="both"/>
        <w:rPr>
          <w:rFonts w:ascii="Arial" w:eastAsia="Tahoma" w:hAnsi="Arial" w:cs="Arial"/>
        </w:rPr>
      </w:pPr>
    </w:p>
    <w:p w14:paraId="416CC881" w14:textId="55D3A1EE" w:rsidR="00E44474" w:rsidRPr="00705486" w:rsidRDefault="00E44474" w:rsidP="00E44474">
      <w:pPr>
        <w:pStyle w:val="Heading2"/>
        <w:ind w:left="360" w:hanging="360"/>
        <w:jc w:val="both"/>
        <w:rPr>
          <w:rFonts w:ascii="Arial" w:eastAsia="Times New Roman" w:hAnsi="Arial" w:cs="Arial"/>
          <w:b/>
          <w:bCs/>
          <w:color w:val="000000" w:themeColor="text1"/>
          <w:sz w:val="22"/>
          <w:szCs w:val="22"/>
        </w:rPr>
      </w:pPr>
      <w:r w:rsidRPr="00705486">
        <w:rPr>
          <w:rFonts w:ascii="Arial" w:eastAsia="Times New Roman" w:hAnsi="Arial" w:cs="Arial"/>
          <w:b/>
          <w:bCs/>
          <w:color w:val="000000" w:themeColor="text1"/>
          <w:sz w:val="22"/>
          <w:szCs w:val="22"/>
        </w:rPr>
        <w:t>4.</w:t>
      </w:r>
      <w:r w:rsidR="007527A0">
        <w:rPr>
          <w:rFonts w:ascii="Arial" w:eastAsia="Times New Roman" w:hAnsi="Arial" w:cs="Arial"/>
          <w:b/>
          <w:bCs/>
          <w:color w:val="000000" w:themeColor="text1"/>
          <w:sz w:val="22"/>
          <w:szCs w:val="22"/>
        </w:rPr>
        <w:t>4</w:t>
      </w:r>
      <w:r w:rsidRPr="00705486">
        <w:rPr>
          <w:rFonts w:ascii="Arial" w:eastAsia="Times New Roman" w:hAnsi="Arial" w:cs="Arial"/>
          <w:b/>
          <w:bCs/>
          <w:color w:val="000000" w:themeColor="text1"/>
          <w:sz w:val="22"/>
          <w:szCs w:val="22"/>
        </w:rPr>
        <w:tab/>
        <w:t xml:space="preserve">Relationship Between the Respondents’ </w:t>
      </w:r>
      <w:r w:rsidR="003121F3" w:rsidRPr="00705486">
        <w:rPr>
          <w:rFonts w:ascii="Arial" w:eastAsia="Times New Roman" w:hAnsi="Arial" w:cs="Arial"/>
          <w:b/>
          <w:bCs/>
          <w:color w:val="000000" w:themeColor="text1"/>
          <w:sz w:val="22"/>
          <w:szCs w:val="22"/>
        </w:rPr>
        <w:t>Metacognitive Knowledge</w:t>
      </w:r>
      <w:r w:rsidRPr="00705486">
        <w:rPr>
          <w:rFonts w:ascii="Arial" w:eastAsia="Times New Roman" w:hAnsi="Arial" w:cs="Arial"/>
          <w:b/>
          <w:bCs/>
          <w:color w:val="000000" w:themeColor="text1"/>
          <w:sz w:val="22"/>
          <w:szCs w:val="22"/>
        </w:rPr>
        <w:t xml:space="preserve"> and Mathematics Performance</w:t>
      </w:r>
    </w:p>
    <w:p w14:paraId="0554D941" w14:textId="77777777" w:rsidR="00E44474" w:rsidRPr="00705486" w:rsidRDefault="00E44474" w:rsidP="00E44474">
      <w:pPr>
        <w:jc w:val="both"/>
        <w:rPr>
          <w:rFonts w:ascii="Arial" w:eastAsia="SimSun" w:hAnsi="Arial" w:cs="Arial"/>
          <w:shd w:val="clear" w:color="auto" w:fill="FFFFFF"/>
        </w:rPr>
      </w:pPr>
    </w:p>
    <w:p w14:paraId="7AD6012C" w14:textId="0DD9D277" w:rsidR="00FA40D3" w:rsidRPr="00705486" w:rsidRDefault="00FA40D3" w:rsidP="00FA40D3">
      <w:pPr>
        <w:ind w:firstLine="720"/>
        <w:jc w:val="both"/>
        <w:rPr>
          <w:rFonts w:ascii="Arial" w:eastAsia="Tahoma" w:hAnsi="Arial" w:cs="Arial"/>
        </w:rPr>
      </w:pPr>
      <w:r w:rsidRPr="00705486">
        <w:rPr>
          <w:rFonts w:ascii="Arial" w:eastAsia="Tahoma" w:hAnsi="Arial" w:cs="Arial"/>
        </w:rPr>
        <w:t xml:space="preserve">Table </w:t>
      </w:r>
      <w:r w:rsidR="00EB7C71" w:rsidRPr="00705486">
        <w:rPr>
          <w:rFonts w:ascii="Arial" w:eastAsia="Tahoma" w:hAnsi="Arial" w:cs="Arial"/>
        </w:rPr>
        <w:t>4</w:t>
      </w:r>
      <w:r w:rsidRPr="00705486">
        <w:rPr>
          <w:rFonts w:ascii="Arial" w:eastAsia="Tahoma" w:hAnsi="Arial" w:cs="Arial"/>
        </w:rPr>
        <w:t xml:space="preserve"> presents the results of the correlation analysis between students’ metacognitive knowledge and their mathematics performance. The overall correlation coefficient (</w:t>
      </w:r>
      <w:proofErr w:type="spellStart"/>
      <w:r w:rsidRPr="00705486">
        <w:rPr>
          <w:rFonts w:ascii="Arial" w:eastAsia="Tahoma" w:hAnsi="Arial" w:cs="Arial"/>
        </w:rPr>
        <w:t>r-value</w:t>
      </w:r>
      <w:proofErr w:type="spellEnd"/>
      <w:r w:rsidRPr="00705486">
        <w:rPr>
          <w:rFonts w:ascii="Arial" w:eastAsia="Tahoma" w:hAnsi="Arial" w:cs="Arial"/>
        </w:rPr>
        <w:t>) is 0.284, which indicates a low but positive correlation. This means that as students’ metacognitive knowledge increases, their performance in mathematics also tends to improve. Since the p-value is 0.000, which is less than the 0.05 level of significance, the null hypothesis is rejected. Therefore, it is concluded that there is a significant relationship between students’ metacognitive knowledge and their mathematics performance. This finding supports the results of Yuan et al. (2021), who reported a positive correlation between metacognitive knowledge and academic performance among college students in China. Similarly, Bogdanović et al. (2017) and Abdellah (2015) also highlighted the influence of metacognitive skills on academic achievement. These findings suggest that students who are more aware of their learning processes are more likely to succeed academically.</w:t>
      </w:r>
      <w:r w:rsidR="00442800" w:rsidRPr="00705486">
        <w:rPr>
          <w:rFonts w:ascii="Arial" w:eastAsia="Tahoma" w:hAnsi="Arial" w:cs="Arial"/>
        </w:rPr>
        <w:t xml:space="preserve"> In line with this, other studies (</w:t>
      </w:r>
      <w:r w:rsidR="00FA7876" w:rsidRPr="00705486">
        <w:rPr>
          <w:rFonts w:ascii="Arial" w:eastAsia="Tahoma" w:hAnsi="Arial" w:cs="Arial"/>
        </w:rPr>
        <w:t xml:space="preserve">Radmer &amp; Drake, 2019; </w:t>
      </w:r>
      <w:proofErr w:type="spellStart"/>
      <w:r w:rsidR="00FA7876" w:rsidRPr="00705486">
        <w:rPr>
          <w:rFonts w:ascii="Arial" w:hAnsi="Arial" w:cs="Arial"/>
          <w:color w:val="222222"/>
          <w:shd w:val="clear" w:color="auto" w:fill="FFFFFF"/>
        </w:rPr>
        <w:t>Chytrý</w:t>
      </w:r>
      <w:proofErr w:type="spellEnd"/>
      <w:r w:rsidR="00FA7876" w:rsidRPr="00705486">
        <w:rPr>
          <w:rFonts w:ascii="Arial" w:hAnsi="Arial" w:cs="Arial"/>
          <w:color w:val="222222"/>
          <w:shd w:val="clear" w:color="auto" w:fill="FFFFFF"/>
        </w:rPr>
        <w:t xml:space="preserve"> et al., 2020)</w:t>
      </w:r>
      <w:r w:rsidR="00FA7876" w:rsidRPr="00705486">
        <w:rPr>
          <w:rFonts w:ascii="Arial" w:eastAsia="Tahoma" w:hAnsi="Arial" w:cs="Arial"/>
        </w:rPr>
        <w:t xml:space="preserve"> </w:t>
      </w:r>
      <w:r w:rsidR="00442800" w:rsidRPr="00705486">
        <w:rPr>
          <w:rFonts w:ascii="Arial" w:eastAsia="Tahoma" w:hAnsi="Arial" w:cs="Arial"/>
        </w:rPr>
        <w:t>emphasize that students could benefit more if their teachers placed greater emphasis not only on conceptual understanding—such as integral-area relationships—but also on nurturing students' metacognitive experiences and skills. This reinforces the idea that integrating content mastery with metacognitive development leads to deeper and more effective learning outcomes.</w:t>
      </w:r>
    </w:p>
    <w:p w14:paraId="21E9F2E8" w14:textId="0B030705" w:rsidR="00FA40D3" w:rsidRPr="00705486" w:rsidRDefault="00FA40D3" w:rsidP="00FA40D3">
      <w:pPr>
        <w:ind w:firstLine="720"/>
        <w:jc w:val="both"/>
        <w:rPr>
          <w:rFonts w:ascii="Arial" w:eastAsia="Tahoma" w:hAnsi="Arial" w:cs="Arial"/>
        </w:rPr>
      </w:pPr>
      <w:r w:rsidRPr="00705486">
        <w:rPr>
          <w:rFonts w:ascii="Arial" w:eastAsia="Tahoma" w:hAnsi="Arial" w:cs="Arial"/>
        </w:rPr>
        <w:t xml:space="preserve">A closer look at the individual domains of metacognitive knowledge provides further insight. The “Knowledge of Self” domain had an </w:t>
      </w:r>
      <w:proofErr w:type="spellStart"/>
      <w:r w:rsidRPr="00705486">
        <w:rPr>
          <w:rFonts w:ascii="Arial" w:eastAsia="Tahoma" w:hAnsi="Arial" w:cs="Arial"/>
        </w:rPr>
        <w:t>r-value</w:t>
      </w:r>
      <w:proofErr w:type="spellEnd"/>
      <w:r w:rsidRPr="00705486">
        <w:rPr>
          <w:rFonts w:ascii="Arial" w:eastAsia="Tahoma" w:hAnsi="Arial" w:cs="Arial"/>
        </w:rPr>
        <w:t xml:space="preserve"> of 0.31, indicating a low correlation with mathematics performance. The relationship was statistically significant, with a p-value less than 0.05. This aligns partially with the findings of </w:t>
      </w:r>
      <w:r w:rsidR="006D3E0B" w:rsidRPr="00705486">
        <w:rPr>
          <w:rFonts w:ascii="Arial" w:eastAsia="Tahoma" w:hAnsi="Arial" w:cs="Arial"/>
        </w:rPr>
        <w:t>Smith</w:t>
      </w:r>
      <w:r w:rsidRPr="00705486">
        <w:rPr>
          <w:rFonts w:ascii="Arial" w:eastAsia="Tahoma" w:hAnsi="Arial" w:cs="Arial"/>
        </w:rPr>
        <w:t xml:space="preserve"> et al. (2020), who observed a strong correlation between self-awareness and math performance among college students. It is worth noting, however, that this study focuses on high school learners, who may differ in their metacognitive development. For the “Knowledge of Tasks” domain, the </w:t>
      </w:r>
      <w:proofErr w:type="spellStart"/>
      <w:r w:rsidRPr="00705486">
        <w:rPr>
          <w:rFonts w:ascii="Arial" w:eastAsia="Tahoma" w:hAnsi="Arial" w:cs="Arial"/>
        </w:rPr>
        <w:t>r-value</w:t>
      </w:r>
      <w:proofErr w:type="spellEnd"/>
      <w:r w:rsidRPr="00705486">
        <w:rPr>
          <w:rFonts w:ascii="Arial" w:eastAsia="Tahoma" w:hAnsi="Arial" w:cs="Arial"/>
        </w:rPr>
        <w:t xml:space="preserve"> was 0.166, which indicates a very low correlation, but the relationship was still statistically significant. This result is somewhat similar to the findings of Xu and Wang (2022), who reported a moderate positive effect between task-related metacognitive knowledge and mathematics performance. The “Knowledge of Strategies” domain had an </w:t>
      </w:r>
      <w:proofErr w:type="spellStart"/>
      <w:r w:rsidRPr="00705486">
        <w:rPr>
          <w:rFonts w:ascii="Arial" w:eastAsia="Tahoma" w:hAnsi="Arial" w:cs="Arial"/>
        </w:rPr>
        <w:t>r-value</w:t>
      </w:r>
      <w:proofErr w:type="spellEnd"/>
      <w:r w:rsidRPr="00705486">
        <w:rPr>
          <w:rFonts w:ascii="Arial" w:eastAsia="Tahoma" w:hAnsi="Arial" w:cs="Arial"/>
        </w:rPr>
        <w:t xml:space="preserve"> of 0.265, also classified as a low correlation, but again with a significant p-value. This supports the findings of </w:t>
      </w:r>
      <w:proofErr w:type="spellStart"/>
      <w:r w:rsidRPr="00705486">
        <w:rPr>
          <w:rFonts w:ascii="Arial" w:eastAsia="Tahoma" w:hAnsi="Arial" w:cs="Arial"/>
        </w:rPr>
        <w:t>Cahayasti</w:t>
      </w:r>
      <w:proofErr w:type="spellEnd"/>
      <w:r w:rsidRPr="00705486">
        <w:rPr>
          <w:rFonts w:ascii="Arial" w:eastAsia="Tahoma" w:hAnsi="Arial" w:cs="Arial"/>
        </w:rPr>
        <w:t xml:space="preserve"> </w:t>
      </w:r>
      <w:r w:rsidR="006D3E0B" w:rsidRPr="00705486">
        <w:rPr>
          <w:rFonts w:ascii="Arial" w:eastAsia="Tahoma" w:hAnsi="Arial" w:cs="Arial"/>
        </w:rPr>
        <w:t xml:space="preserve">and </w:t>
      </w:r>
      <w:proofErr w:type="spellStart"/>
      <w:r w:rsidR="006D3E0B" w:rsidRPr="00705486">
        <w:rPr>
          <w:rFonts w:ascii="Arial" w:eastAsia="Tahoma" w:hAnsi="Arial"/>
          <w:bCs/>
          <w:color w:val="222222"/>
        </w:rPr>
        <w:t>Indrasari</w:t>
      </w:r>
      <w:proofErr w:type="spellEnd"/>
      <w:r w:rsidR="006D3E0B" w:rsidRPr="00705486">
        <w:rPr>
          <w:rFonts w:ascii="Arial" w:eastAsia="Tahoma" w:hAnsi="Arial" w:cs="Arial"/>
        </w:rPr>
        <w:t xml:space="preserve"> </w:t>
      </w:r>
      <w:r w:rsidRPr="00705486">
        <w:rPr>
          <w:rFonts w:ascii="Arial" w:eastAsia="Tahoma" w:hAnsi="Arial" w:cs="Arial"/>
        </w:rPr>
        <w:t xml:space="preserve">(2018), who found a strong positive relationship between the use of metacognitive strategies and mathematics achievement among elementary students. Students who apply metacognitive strategies such as planning, organizing, and evaluating their learning tend to perform better. Wang </w:t>
      </w:r>
      <w:r w:rsidR="0042182E" w:rsidRPr="00705486">
        <w:rPr>
          <w:rFonts w:ascii="Arial" w:eastAsia="Tahoma" w:hAnsi="Arial" w:cs="Arial"/>
        </w:rPr>
        <w:t>and Li</w:t>
      </w:r>
      <w:r w:rsidRPr="00705486">
        <w:rPr>
          <w:rFonts w:ascii="Arial" w:eastAsia="Tahoma" w:hAnsi="Arial" w:cs="Arial"/>
        </w:rPr>
        <w:t xml:space="preserve"> (2019) also emphasized that effective use of metacognitive strategies enhances learning outcomes in mathematics.</w:t>
      </w:r>
    </w:p>
    <w:p w14:paraId="25FF4ABA" w14:textId="09ADDFE0" w:rsidR="00346B55" w:rsidRPr="00705486" w:rsidRDefault="00FA40D3" w:rsidP="00FA40D3">
      <w:pPr>
        <w:ind w:firstLine="720"/>
        <w:jc w:val="both"/>
        <w:rPr>
          <w:rFonts w:ascii="Arial" w:eastAsia="Tahoma" w:hAnsi="Arial" w:cs="Arial"/>
        </w:rPr>
      </w:pPr>
      <w:r w:rsidRPr="00705486">
        <w:rPr>
          <w:rFonts w:ascii="Arial" w:eastAsia="Tahoma" w:hAnsi="Arial" w:cs="Arial"/>
        </w:rPr>
        <w:t>These results suggest that although the correlation is low, metacognitive knowledge—especially in the areas of self-awareness and strategy use—plays a significant role in supporting students’ mathematics performance.</w:t>
      </w:r>
    </w:p>
    <w:p w14:paraId="242F1CB5" w14:textId="77777777" w:rsidR="00346B55" w:rsidRPr="00705486" w:rsidRDefault="00346B55" w:rsidP="00E44474">
      <w:pPr>
        <w:spacing w:after="4"/>
        <w:ind w:right="8"/>
        <w:jc w:val="both"/>
        <w:rPr>
          <w:rFonts w:ascii="Arial" w:hAnsi="Arial" w:cs="Arial"/>
          <w:b/>
          <w:bCs/>
          <w:color w:val="000000"/>
          <w:lang w:eastAsia="en-PH" w:bidi="en-PH"/>
        </w:rPr>
      </w:pPr>
    </w:p>
    <w:p w14:paraId="19BBA963" w14:textId="6EFA9B3D" w:rsidR="005C4629" w:rsidRPr="00705486" w:rsidRDefault="005C4629" w:rsidP="005B6488">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537F3C" w:rsidRPr="00705486">
        <w:rPr>
          <w:rFonts w:ascii="Arial" w:hAnsi="Arial" w:cs="Arial"/>
          <w:color w:val="000000"/>
          <w:lang w:eastAsia="en-PH" w:bidi="en-PH"/>
        </w:rPr>
        <w:t xml:space="preserve">The Relationship Between the Students’ </w:t>
      </w:r>
      <w:r w:rsidR="005B6488" w:rsidRPr="00705486">
        <w:rPr>
          <w:rFonts w:ascii="Arial" w:hAnsi="Arial" w:cs="Arial"/>
          <w:color w:val="000000"/>
          <w:lang w:eastAsia="en-PH" w:bidi="en-PH"/>
        </w:rPr>
        <w:t>M</w:t>
      </w:r>
      <w:r w:rsidR="00346B55" w:rsidRPr="00705486">
        <w:rPr>
          <w:rFonts w:ascii="Arial" w:hAnsi="Arial" w:cs="Arial"/>
          <w:color w:val="000000"/>
          <w:lang w:eastAsia="en-PH" w:bidi="en-PH"/>
        </w:rPr>
        <w:t>etacognitive Knowledge</w:t>
      </w:r>
      <w:r w:rsidR="00537F3C" w:rsidRPr="00705486">
        <w:rPr>
          <w:rFonts w:ascii="Arial" w:hAnsi="Arial" w:cs="Arial"/>
          <w:color w:val="000000"/>
          <w:lang w:eastAsia="en-PH" w:bidi="en-PH"/>
        </w:rPr>
        <w:t xml:space="preserve"> and their Mathematics Performance</w:t>
      </w:r>
    </w:p>
    <w:tbl>
      <w:tblPr>
        <w:tblW w:w="8190" w:type="dxa"/>
        <w:tblLayout w:type="fixed"/>
        <w:tblLook w:val="0400" w:firstRow="0" w:lastRow="0" w:firstColumn="0" w:lastColumn="0" w:noHBand="0" w:noVBand="1"/>
      </w:tblPr>
      <w:tblGrid>
        <w:gridCol w:w="3420"/>
        <w:gridCol w:w="1260"/>
        <w:gridCol w:w="2070"/>
        <w:gridCol w:w="1440"/>
      </w:tblGrid>
      <w:tr w:rsidR="007F7982" w:rsidRPr="00705486" w14:paraId="551D8102" w14:textId="77777777" w:rsidTr="007F7982">
        <w:tc>
          <w:tcPr>
            <w:tcW w:w="3420" w:type="dxa"/>
            <w:tcBorders>
              <w:top w:val="thinThickSmallGap" w:sz="24" w:space="0" w:color="auto"/>
              <w:bottom w:val="single" w:sz="4" w:space="0" w:color="auto"/>
            </w:tcBorders>
          </w:tcPr>
          <w:p w14:paraId="18F37DEF" w14:textId="77777777" w:rsidR="007F7982" w:rsidRPr="00705486" w:rsidRDefault="007F7982" w:rsidP="00346B55">
            <w:pPr>
              <w:pBdr>
                <w:top w:val="nil"/>
                <w:left w:val="nil"/>
                <w:bottom w:val="nil"/>
                <w:right w:val="nil"/>
                <w:between w:val="nil"/>
              </w:pBdr>
              <w:tabs>
                <w:tab w:val="right" w:pos="2230"/>
              </w:tabs>
              <w:jc w:val="both"/>
              <w:rPr>
                <w:rFonts w:ascii="Arial" w:eastAsia="Tahoma" w:hAnsi="Arial" w:cs="Arial"/>
                <w:b/>
              </w:rPr>
            </w:pPr>
            <w:r w:rsidRPr="00705486">
              <w:rPr>
                <w:rFonts w:ascii="Arial" w:eastAsia="Tahoma" w:hAnsi="Arial" w:cs="Arial"/>
                <w:b/>
              </w:rPr>
              <w:t>Domains</w:t>
            </w:r>
          </w:p>
        </w:tc>
        <w:tc>
          <w:tcPr>
            <w:tcW w:w="1260" w:type="dxa"/>
            <w:tcBorders>
              <w:top w:val="thinThickSmallGap" w:sz="24" w:space="0" w:color="auto"/>
              <w:bottom w:val="single" w:sz="4" w:space="0" w:color="auto"/>
            </w:tcBorders>
          </w:tcPr>
          <w:p w14:paraId="50330966" w14:textId="77777777" w:rsidR="007F7982" w:rsidRPr="00705486" w:rsidRDefault="007F7982" w:rsidP="008717E9">
            <w:pPr>
              <w:pBdr>
                <w:top w:val="nil"/>
                <w:left w:val="nil"/>
                <w:bottom w:val="nil"/>
                <w:right w:val="nil"/>
                <w:between w:val="nil"/>
              </w:pBdr>
              <w:tabs>
                <w:tab w:val="left" w:pos="6510"/>
              </w:tabs>
              <w:jc w:val="center"/>
              <w:rPr>
                <w:rFonts w:ascii="Arial" w:eastAsia="Tahoma" w:hAnsi="Arial" w:cs="Arial"/>
                <w:b/>
              </w:rPr>
            </w:pPr>
            <w:proofErr w:type="spellStart"/>
            <w:r w:rsidRPr="00705486">
              <w:rPr>
                <w:rFonts w:ascii="Arial" w:eastAsia="Tahoma" w:hAnsi="Arial" w:cs="Arial"/>
                <w:b/>
              </w:rPr>
              <w:t>r-value</w:t>
            </w:r>
            <w:proofErr w:type="spellEnd"/>
          </w:p>
        </w:tc>
        <w:tc>
          <w:tcPr>
            <w:tcW w:w="2070" w:type="dxa"/>
            <w:tcBorders>
              <w:top w:val="thinThickSmallGap" w:sz="24" w:space="0" w:color="auto"/>
              <w:bottom w:val="single" w:sz="4" w:space="0" w:color="auto"/>
            </w:tcBorders>
          </w:tcPr>
          <w:p w14:paraId="50FC6426"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Description</w:t>
            </w:r>
          </w:p>
        </w:tc>
        <w:tc>
          <w:tcPr>
            <w:tcW w:w="1440" w:type="dxa"/>
            <w:tcBorders>
              <w:top w:val="thinThickSmallGap" w:sz="24" w:space="0" w:color="auto"/>
              <w:bottom w:val="single" w:sz="4" w:space="0" w:color="auto"/>
            </w:tcBorders>
          </w:tcPr>
          <w:p w14:paraId="7D9AD453"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p-value</w:t>
            </w:r>
          </w:p>
        </w:tc>
      </w:tr>
      <w:tr w:rsidR="007F7982" w:rsidRPr="00705486" w14:paraId="30C89161" w14:textId="77777777" w:rsidTr="007F7982">
        <w:tc>
          <w:tcPr>
            <w:tcW w:w="3420" w:type="dxa"/>
            <w:tcBorders>
              <w:top w:val="single" w:sz="4" w:space="0" w:color="auto"/>
            </w:tcBorders>
          </w:tcPr>
          <w:p w14:paraId="67EB1313" w14:textId="77777777" w:rsidR="007F7982" w:rsidRPr="00705486" w:rsidRDefault="007F7982" w:rsidP="00346B55">
            <w:pPr>
              <w:pBdr>
                <w:top w:val="nil"/>
                <w:left w:val="nil"/>
                <w:bottom w:val="nil"/>
                <w:right w:val="nil"/>
                <w:between w:val="nil"/>
              </w:pBdr>
              <w:tabs>
                <w:tab w:val="left" w:pos="6510"/>
              </w:tabs>
              <w:jc w:val="both"/>
              <w:rPr>
                <w:rFonts w:ascii="Arial" w:eastAsia="Tahoma" w:hAnsi="Arial" w:cs="Arial"/>
              </w:rPr>
            </w:pPr>
            <w:r w:rsidRPr="00705486">
              <w:rPr>
                <w:rFonts w:ascii="Arial" w:eastAsia="Tahoma" w:hAnsi="Arial" w:cs="Arial"/>
              </w:rPr>
              <w:t>Metacognitive</w:t>
            </w:r>
          </w:p>
          <w:p w14:paraId="4047A894" w14:textId="77777777" w:rsidR="007F7982" w:rsidRPr="00705486" w:rsidRDefault="007F7982" w:rsidP="00346B55">
            <w:pPr>
              <w:pBdr>
                <w:top w:val="nil"/>
                <w:left w:val="nil"/>
                <w:bottom w:val="nil"/>
                <w:right w:val="nil"/>
                <w:between w:val="nil"/>
              </w:pBdr>
              <w:tabs>
                <w:tab w:val="left" w:pos="6510"/>
              </w:tabs>
              <w:jc w:val="both"/>
              <w:rPr>
                <w:rFonts w:ascii="Arial" w:eastAsia="Tahoma" w:hAnsi="Arial" w:cs="Arial"/>
              </w:rPr>
            </w:pPr>
            <w:r w:rsidRPr="00705486">
              <w:rPr>
                <w:rFonts w:ascii="Arial" w:eastAsia="Tahoma" w:hAnsi="Arial" w:cs="Arial"/>
              </w:rPr>
              <w:t>Knowledge of self</w:t>
            </w:r>
          </w:p>
        </w:tc>
        <w:tc>
          <w:tcPr>
            <w:tcW w:w="1260" w:type="dxa"/>
            <w:tcBorders>
              <w:top w:val="single" w:sz="4" w:space="0" w:color="auto"/>
            </w:tcBorders>
          </w:tcPr>
          <w:p w14:paraId="181B0617" w14:textId="77777777" w:rsidR="007F7982" w:rsidRPr="00705486" w:rsidRDefault="007F7982" w:rsidP="008717E9">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0.314</w:t>
            </w:r>
          </w:p>
        </w:tc>
        <w:tc>
          <w:tcPr>
            <w:tcW w:w="2070" w:type="dxa"/>
            <w:tcBorders>
              <w:top w:val="single" w:sz="4" w:space="0" w:color="auto"/>
            </w:tcBorders>
          </w:tcPr>
          <w:p w14:paraId="5FC56F67"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Low Correlation</w:t>
            </w:r>
          </w:p>
        </w:tc>
        <w:tc>
          <w:tcPr>
            <w:tcW w:w="1440" w:type="dxa"/>
            <w:tcBorders>
              <w:top w:val="single" w:sz="4" w:space="0" w:color="auto"/>
            </w:tcBorders>
          </w:tcPr>
          <w:p w14:paraId="344FB476"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0.000</w:t>
            </w:r>
          </w:p>
        </w:tc>
      </w:tr>
      <w:tr w:rsidR="007F7982" w:rsidRPr="00705486" w14:paraId="0E1BAAA2" w14:textId="77777777" w:rsidTr="007F7982">
        <w:tc>
          <w:tcPr>
            <w:tcW w:w="3420" w:type="dxa"/>
          </w:tcPr>
          <w:p w14:paraId="197E0A63" w14:textId="77777777" w:rsidR="007F7982" w:rsidRPr="00705486" w:rsidRDefault="007F7982" w:rsidP="00346B55">
            <w:pPr>
              <w:pBdr>
                <w:top w:val="nil"/>
                <w:left w:val="nil"/>
                <w:bottom w:val="nil"/>
                <w:right w:val="nil"/>
                <w:between w:val="nil"/>
              </w:pBdr>
              <w:tabs>
                <w:tab w:val="left" w:pos="6510"/>
              </w:tabs>
              <w:rPr>
                <w:rFonts w:ascii="Arial" w:eastAsia="Tahoma" w:hAnsi="Arial" w:cs="Arial"/>
              </w:rPr>
            </w:pPr>
            <w:r w:rsidRPr="00705486">
              <w:rPr>
                <w:rFonts w:ascii="Arial" w:eastAsia="Tahoma" w:hAnsi="Arial" w:cs="Arial"/>
              </w:rPr>
              <w:lastRenderedPageBreak/>
              <w:t>Metacognitive knowledge of task</w:t>
            </w:r>
          </w:p>
        </w:tc>
        <w:tc>
          <w:tcPr>
            <w:tcW w:w="1260" w:type="dxa"/>
          </w:tcPr>
          <w:p w14:paraId="13612AC5" w14:textId="77777777" w:rsidR="007F7982" w:rsidRPr="00705486" w:rsidRDefault="007F7982" w:rsidP="008717E9">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0.166</w:t>
            </w:r>
          </w:p>
        </w:tc>
        <w:tc>
          <w:tcPr>
            <w:tcW w:w="2070" w:type="dxa"/>
          </w:tcPr>
          <w:p w14:paraId="11B280E4"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Very low Correlation</w:t>
            </w:r>
          </w:p>
        </w:tc>
        <w:tc>
          <w:tcPr>
            <w:tcW w:w="1440" w:type="dxa"/>
          </w:tcPr>
          <w:p w14:paraId="08075C96"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0.039</w:t>
            </w:r>
          </w:p>
        </w:tc>
      </w:tr>
      <w:tr w:rsidR="007F7982" w:rsidRPr="00705486" w14:paraId="66D051D3" w14:textId="77777777" w:rsidTr="007F7982">
        <w:trPr>
          <w:trHeight w:val="333"/>
        </w:trPr>
        <w:tc>
          <w:tcPr>
            <w:tcW w:w="3420" w:type="dxa"/>
            <w:tcBorders>
              <w:bottom w:val="single" w:sz="4" w:space="0" w:color="auto"/>
            </w:tcBorders>
          </w:tcPr>
          <w:p w14:paraId="566DCE75" w14:textId="77777777" w:rsidR="007F7982" w:rsidRPr="00705486" w:rsidRDefault="007F7982" w:rsidP="00346B55">
            <w:pPr>
              <w:pBdr>
                <w:top w:val="nil"/>
                <w:left w:val="nil"/>
                <w:bottom w:val="nil"/>
                <w:right w:val="nil"/>
                <w:between w:val="nil"/>
              </w:pBdr>
              <w:jc w:val="both"/>
              <w:rPr>
                <w:rFonts w:ascii="Arial" w:eastAsia="Tahoma" w:hAnsi="Arial" w:cs="Arial"/>
              </w:rPr>
            </w:pPr>
            <w:r w:rsidRPr="00705486">
              <w:rPr>
                <w:rFonts w:ascii="Arial" w:eastAsia="Tahoma" w:hAnsi="Arial" w:cs="Arial"/>
              </w:rPr>
              <w:t>Metacognitive knowledge of strategy</w:t>
            </w:r>
          </w:p>
        </w:tc>
        <w:tc>
          <w:tcPr>
            <w:tcW w:w="1260" w:type="dxa"/>
            <w:tcBorders>
              <w:bottom w:val="single" w:sz="4" w:space="0" w:color="auto"/>
            </w:tcBorders>
          </w:tcPr>
          <w:p w14:paraId="4D9654E4" w14:textId="77777777" w:rsidR="007F7982" w:rsidRPr="00705486" w:rsidRDefault="007F7982" w:rsidP="008717E9">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0.265</w:t>
            </w:r>
          </w:p>
        </w:tc>
        <w:tc>
          <w:tcPr>
            <w:tcW w:w="2070" w:type="dxa"/>
            <w:tcBorders>
              <w:bottom w:val="single" w:sz="4" w:space="0" w:color="auto"/>
            </w:tcBorders>
          </w:tcPr>
          <w:p w14:paraId="08D35A50" w14:textId="17F3AAAB" w:rsidR="007F7982" w:rsidRPr="00705486" w:rsidRDefault="007F7982" w:rsidP="00EB7C71">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Low Correlation</w:t>
            </w:r>
          </w:p>
        </w:tc>
        <w:tc>
          <w:tcPr>
            <w:tcW w:w="1440" w:type="dxa"/>
            <w:tcBorders>
              <w:bottom w:val="single" w:sz="4" w:space="0" w:color="auto"/>
            </w:tcBorders>
          </w:tcPr>
          <w:p w14:paraId="2F3C7293"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0.001</w:t>
            </w:r>
          </w:p>
        </w:tc>
      </w:tr>
      <w:tr w:rsidR="007F7982" w:rsidRPr="00705486" w14:paraId="5E8DB9D6" w14:textId="77777777" w:rsidTr="007F7982">
        <w:tc>
          <w:tcPr>
            <w:tcW w:w="3420" w:type="dxa"/>
            <w:tcBorders>
              <w:top w:val="single" w:sz="4" w:space="0" w:color="auto"/>
              <w:bottom w:val="thickThinSmallGap" w:sz="24" w:space="0" w:color="auto"/>
            </w:tcBorders>
          </w:tcPr>
          <w:p w14:paraId="60E003B0" w14:textId="77777777" w:rsidR="007F7982" w:rsidRPr="00705486" w:rsidRDefault="007F7982" w:rsidP="00346B55">
            <w:pPr>
              <w:pBdr>
                <w:top w:val="nil"/>
                <w:left w:val="nil"/>
                <w:bottom w:val="nil"/>
                <w:right w:val="nil"/>
                <w:between w:val="nil"/>
              </w:pBdr>
              <w:jc w:val="both"/>
              <w:rPr>
                <w:rFonts w:ascii="Arial" w:eastAsia="Tahoma" w:hAnsi="Arial" w:cs="Arial"/>
                <w:b/>
              </w:rPr>
            </w:pPr>
            <w:r w:rsidRPr="00705486">
              <w:rPr>
                <w:rFonts w:ascii="Arial" w:eastAsia="Tahoma" w:hAnsi="Arial" w:cs="Arial"/>
                <w:b/>
              </w:rPr>
              <w:t>METACOGNITIVE</w:t>
            </w:r>
          </w:p>
          <w:p w14:paraId="0CFA5055" w14:textId="77777777" w:rsidR="007F7982" w:rsidRPr="00705486" w:rsidRDefault="007F7982" w:rsidP="00346B55">
            <w:pPr>
              <w:pBdr>
                <w:top w:val="nil"/>
                <w:left w:val="nil"/>
                <w:bottom w:val="nil"/>
                <w:right w:val="nil"/>
                <w:between w:val="nil"/>
              </w:pBdr>
              <w:jc w:val="both"/>
              <w:rPr>
                <w:rFonts w:ascii="Arial" w:eastAsia="Tahoma" w:hAnsi="Arial" w:cs="Arial"/>
                <w:b/>
              </w:rPr>
            </w:pPr>
            <w:r w:rsidRPr="00705486">
              <w:rPr>
                <w:rFonts w:ascii="Arial" w:eastAsia="Tahoma" w:hAnsi="Arial" w:cs="Arial"/>
                <w:b/>
              </w:rPr>
              <w:t>KNOWLEDGE (Overall)</w:t>
            </w:r>
          </w:p>
        </w:tc>
        <w:tc>
          <w:tcPr>
            <w:tcW w:w="1260" w:type="dxa"/>
            <w:tcBorders>
              <w:top w:val="single" w:sz="4" w:space="0" w:color="auto"/>
              <w:bottom w:val="thickThinSmallGap" w:sz="24" w:space="0" w:color="auto"/>
            </w:tcBorders>
          </w:tcPr>
          <w:p w14:paraId="79E874BD" w14:textId="77777777" w:rsidR="007F7982" w:rsidRPr="00705486" w:rsidRDefault="007F7982" w:rsidP="008717E9">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0.284</w:t>
            </w:r>
          </w:p>
        </w:tc>
        <w:tc>
          <w:tcPr>
            <w:tcW w:w="2070" w:type="dxa"/>
            <w:tcBorders>
              <w:top w:val="single" w:sz="4" w:space="0" w:color="auto"/>
              <w:bottom w:val="thickThinSmallGap" w:sz="24" w:space="0" w:color="auto"/>
            </w:tcBorders>
          </w:tcPr>
          <w:p w14:paraId="65D368C6"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Low Correlation</w:t>
            </w:r>
          </w:p>
        </w:tc>
        <w:tc>
          <w:tcPr>
            <w:tcW w:w="1440" w:type="dxa"/>
            <w:tcBorders>
              <w:top w:val="single" w:sz="4" w:space="0" w:color="auto"/>
              <w:bottom w:val="thickThinSmallGap" w:sz="24" w:space="0" w:color="auto"/>
            </w:tcBorders>
          </w:tcPr>
          <w:p w14:paraId="7A676658" w14:textId="77777777" w:rsidR="007F7982" w:rsidRPr="00705486" w:rsidRDefault="007F7982"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0.000</w:t>
            </w:r>
          </w:p>
        </w:tc>
      </w:tr>
    </w:tbl>
    <w:p w14:paraId="1461FDF4" w14:textId="0319FCD5" w:rsidR="00EB7C71" w:rsidRPr="00705486" w:rsidRDefault="00EB7C71" w:rsidP="0026177E">
      <w:pPr>
        <w:pStyle w:val="AbstHead"/>
        <w:spacing w:after="0"/>
        <w:jc w:val="both"/>
        <w:rPr>
          <w:rFonts w:ascii="Arial" w:hAnsi="Arial" w:cs="Arial"/>
        </w:rPr>
      </w:pPr>
      <w:r w:rsidRPr="00705486">
        <w:rPr>
          <w:rFonts w:ascii="Arial" w:hAnsi="Arial" w:cs="Arial"/>
        </w:rPr>
        <w:t xml:space="preserve"> </w:t>
      </w:r>
    </w:p>
    <w:p w14:paraId="2556A430" w14:textId="18EA89C0"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36831556"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78ED0658" w14:textId="77777777" w:rsidR="00FA40D3" w:rsidRPr="00705486" w:rsidRDefault="00FA40D3" w:rsidP="00FA40D3">
      <w:pPr>
        <w:ind w:firstLine="720"/>
        <w:jc w:val="both"/>
        <w:rPr>
          <w:rFonts w:ascii="Arial" w:eastAsia="Tahoma" w:hAnsi="Arial" w:cs="Arial"/>
        </w:rPr>
      </w:pPr>
      <w:r w:rsidRPr="00705486">
        <w:rPr>
          <w:rFonts w:ascii="Arial" w:eastAsia="Tahoma" w:hAnsi="Arial" w:cs="Arial"/>
        </w:rPr>
        <w:t>The students’ level of metacognitive knowledge was found to be at an average level. This indicates that they demonstrated a moderate degree of metacognitive awareness—applying basic learning strategies and occasionally reflecting on their learning. As a result, their academic outcomes were generally satisfactory but varied. Additionally, students achieved an “approaching proficiency” level in their mathematics performance during the first quarter of the school year 2023–2024. This means they had developed foundational knowledge and skills and, with guidance from teachers or peers, could apply these in real-world tasks.</w:t>
      </w:r>
    </w:p>
    <w:p w14:paraId="6AA484AA" w14:textId="41D0FDA0" w:rsidR="00346B55" w:rsidRPr="00705486" w:rsidRDefault="00FA40D3" w:rsidP="00FA40D3">
      <w:pPr>
        <w:ind w:firstLine="720"/>
        <w:jc w:val="both"/>
        <w:rPr>
          <w:rFonts w:ascii="Arial" w:eastAsia="Tahoma" w:hAnsi="Arial" w:cs="Arial"/>
        </w:rPr>
      </w:pPr>
      <w:r w:rsidRPr="00705486">
        <w:rPr>
          <w:rFonts w:ascii="Arial" w:eastAsia="Tahoma" w:hAnsi="Arial" w:cs="Arial"/>
        </w:rPr>
        <w:t>Furthermore, a significant relationship was found between students’ metacognitive knowledge and their mathematics performance. This suggests that as students’ metacognitive awareness increases, their performance in mathematics also tends to improve.</w:t>
      </w:r>
    </w:p>
    <w:p w14:paraId="075BD6F1" w14:textId="284CBBF5" w:rsidR="0026177E" w:rsidRPr="00705486" w:rsidRDefault="00711AAB" w:rsidP="00FA40D3">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w:t>
      </w: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475906DE" w14:textId="77777777" w:rsidR="00FA40D3" w:rsidRPr="00705486" w:rsidRDefault="00FA40D3" w:rsidP="003A15D1">
      <w:pPr>
        <w:numPr>
          <w:ilvl w:val="0"/>
          <w:numId w:val="3"/>
        </w:numPr>
        <w:jc w:val="both"/>
        <w:rPr>
          <w:rFonts w:ascii="Arial" w:eastAsia="SimSun" w:hAnsi="Arial" w:cs="Arial"/>
          <w:shd w:val="clear" w:color="auto" w:fill="FFFFFF"/>
        </w:rPr>
      </w:pPr>
      <w:r w:rsidRPr="00705486">
        <w:rPr>
          <w:rFonts w:ascii="Arial" w:eastAsia="SimSun" w:hAnsi="Arial" w:cs="Arial"/>
          <w:shd w:val="clear" w:color="auto" w:fill="FFFFFF"/>
        </w:rPr>
        <w:t>Since the students’ metacognitive knowledge was found to be at an average level, it is recommended that school administrators and teachers design interventions to help students become more aware of how they learn. These may include classroom strategies like Think-Pair-Share, small group discussions, board work, and hands-on activities. Such interventions can enhance students’ ability to plan, monitor, and evaluate their learning—skills that are essential for improving both metacognition and academic performance.</w:t>
      </w:r>
    </w:p>
    <w:p w14:paraId="6156DE7E" w14:textId="77777777" w:rsidR="00FA40D3" w:rsidRPr="00705486" w:rsidRDefault="00FA40D3" w:rsidP="003A15D1">
      <w:pPr>
        <w:numPr>
          <w:ilvl w:val="0"/>
          <w:numId w:val="3"/>
        </w:numPr>
        <w:jc w:val="both"/>
        <w:rPr>
          <w:rFonts w:ascii="Arial" w:eastAsia="Tahoma" w:hAnsi="Arial" w:cs="Arial"/>
        </w:rPr>
      </w:pPr>
      <w:r w:rsidRPr="00705486">
        <w:rPr>
          <w:rFonts w:ascii="Arial" w:eastAsia="SimSun" w:hAnsi="Arial" w:cs="Arial"/>
          <w:shd w:val="clear" w:color="auto" w:fill="FFFFFF"/>
        </w:rPr>
        <w:t>Because a significant relationship was found between metacognitive knowledge and mathematics performance, schools should continue promoting academic programs that foster reflective thinking and self-regulated learning. Providing regular opportunities for students to assess their learning progress and receive guidance on how to apply metacognitive strategies can support consistent improvement in their academic outcomes.</w:t>
      </w:r>
    </w:p>
    <w:p w14:paraId="436613B3" w14:textId="6ACD5786" w:rsidR="00711AAB" w:rsidRPr="00784871" w:rsidRDefault="00FA40D3" w:rsidP="003A15D1">
      <w:pPr>
        <w:numPr>
          <w:ilvl w:val="0"/>
          <w:numId w:val="3"/>
        </w:numPr>
        <w:jc w:val="both"/>
        <w:rPr>
          <w:rFonts w:ascii="Arial" w:eastAsia="Tahoma" w:hAnsi="Arial" w:cs="Arial"/>
        </w:rPr>
      </w:pPr>
      <w:r w:rsidRPr="00705486">
        <w:rPr>
          <w:rFonts w:ascii="Arial" w:eastAsia="SimSun" w:hAnsi="Arial" w:cs="Arial"/>
          <w:shd w:val="clear" w:color="auto" w:fill="FFFFFF"/>
        </w:rPr>
        <w:t>To build on these findings, future researchers may investigate other non-cognitive factors that influence mathematics performance—such as motivation, study habits, or classroom environment. A deeper understanding of these variables can help educators develop more tailored interventions that support both cognitive and emotional aspects of student learning.</w:t>
      </w:r>
      <w:r w:rsidR="001D5BFD">
        <w:rPr>
          <w:rFonts w:ascii="Arial" w:eastAsia="SimSun" w:hAnsi="Arial" w:cs="Arial"/>
          <w:shd w:val="clear" w:color="auto" w:fill="FFFFFF"/>
        </w:rPr>
        <w:t xml:space="preserve"> </w:t>
      </w:r>
      <w:r w:rsidR="001D5BFD" w:rsidRPr="0048033F">
        <w:rPr>
          <w:rFonts w:ascii="Arial" w:eastAsia="SimSun" w:hAnsi="Arial" w:cs="Arial"/>
          <w:highlight w:val="yellow"/>
          <w:shd w:val="clear" w:color="auto" w:fill="FFFFFF"/>
        </w:rPr>
        <w:t xml:space="preserve">It is also recommended that </w:t>
      </w:r>
      <w:r w:rsidR="007F7982" w:rsidRPr="0048033F">
        <w:rPr>
          <w:rFonts w:ascii="Arial" w:eastAsia="SimSun" w:hAnsi="Arial" w:cs="Arial"/>
          <w:highlight w:val="yellow"/>
          <w:shd w:val="clear" w:color="auto" w:fill="FFFFFF"/>
        </w:rPr>
        <w:t xml:space="preserve">future studies </w:t>
      </w:r>
      <w:r w:rsidR="0048033F" w:rsidRPr="0048033F">
        <w:rPr>
          <w:rFonts w:ascii="Arial" w:eastAsia="SimSun" w:hAnsi="Arial" w:cs="Arial"/>
          <w:highlight w:val="yellow"/>
          <w:shd w:val="clear" w:color="auto" w:fill="FFFFFF"/>
        </w:rPr>
        <w:t>shall employ more</w:t>
      </w:r>
      <w:r w:rsidR="007F7982" w:rsidRPr="0048033F">
        <w:rPr>
          <w:rFonts w:ascii="Arial" w:eastAsia="SimSun" w:hAnsi="Arial" w:cs="Arial"/>
          <w:highlight w:val="yellow"/>
          <w:shd w:val="clear" w:color="auto" w:fill="FFFFFF"/>
        </w:rPr>
        <w:t xml:space="preserve"> advanced statistical techniques and multi-site sampling to improve generalizability and robustness of results.</w:t>
      </w:r>
    </w:p>
    <w:p w14:paraId="643A4D5D" w14:textId="4433621D" w:rsidR="00784871" w:rsidRDefault="00784871" w:rsidP="00784871">
      <w:pPr>
        <w:jc w:val="both"/>
        <w:rPr>
          <w:rFonts w:ascii="Arial" w:eastAsia="Tahoma" w:hAnsi="Arial" w:cs="Arial"/>
        </w:rPr>
      </w:pPr>
    </w:p>
    <w:p w14:paraId="04179FD3" w14:textId="77777777" w:rsidR="000B1D50" w:rsidRPr="000B1D50" w:rsidRDefault="000B1D50" w:rsidP="000B1D50">
      <w:pPr>
        <w:jc w:val="both"/>
        <w:rPr>
          <w:rFonts w:ascii="Arial" w:eastAsia="Tahoma" w:hAnsi="Arial" w:cs="Arial"/>
          <w:b/>
        </w:rPr>
      </w:pPr>
      <w:r w:rsidRPr="000B1D50">
        <w:rPr>
          <w:rFonts w:ascii="Arial" w:eastAsia="Tahoma" w:hAnsi="Arial" w:cs="Arial"/>
          <w:b/>
        </w:rPr>
        <w:t>Ethical Approval:</w:t>
      </w:r>
    </w:p>
    <w:p w14:paraId="195B1E59" w14:textId="77777777" w:rsidR="000B1D50" w:rsidRPr="000B1D50" w:rsidRDefault="000B1D50" w:rsidP="000B1D50">
      <w:pPr>
        <w:jc w:val="both"/>
        <w:rPr>
          <w:rFonts w:ascii="Arial" w:eastAsia="Tahoma" w:hAnsi="Arial" w:cs="Arial"/>
        </w:rPr>
      </w:pPr>
    </w:p>
    <w:p w14:paraId="0247CC87" w14:textId="57A7F4C0" w:rsidR="000B1D50" w:rsidRDefault="000B1D50" w:rsidP="000B1D50">
      <w:pPr>
        <w:jc w:val="both"/>
        <w:rPr>
          <w:rFonts w:ascii="Arial" w:eastAsia="Tahoma" w:hAnsi="Arial" w:cs="Arial"/>
        </w:rPr>
      </w:pPr>
      <w:r w:rsidRPr="000B1D50">
        <w:rPr>
          <w:rFonts w:ascii="Arial" w:eastAsia="Tahoma" w:hAnsi="Arial" w:cs="Arial"/>
        </w:rPr>
        <w:t>As per international standards or university standards written ethical approval has been collected and preserved by the author(s).</w:t>
      </w:r>
    </w:p>
    <w:p w14:paraId="1D440693" w14:textId="48F35D69" w:rsidR="00784871" w:rsidRDefault="00784871" w:rsidP="00784871">
      <w:pPr>
        <w:jc w:val="both"/>
        <w:rPr>
          <w:rFonts w:ascii="Arial" w:eastAsia="Tahoma" w:hAnsi="Arial" w:cs="Arial"/>
        </w:rPr>
      </w:pPr>
    </w:p>
    <w:p w14:paraId="13BE8F23" w14:textId="7D8AF7FF" w:rsidR="000B1D50" w:rsidRPr="000B1D50" w:rsidRDefault="000B1D50" w:rsidP="000B1D50">
      <w:pPr>
        <w:jc w:val="both"/>
        <w:rPr>
          <w:rFonts w:ascii="Arial" w:eastAsia="Tahoma" w:hAnsi="Arial" w:cs="Arial"/>
          <w:b/>
        </w:rPr>
      </w:pPr>
      <w:r w:rsidRPr="000B1D50">
        <w:rPr>
          <w:rFonts w:ascii="Arial" w:eastAsia="Tahoma" w:hAnsi="Arial" w:cs="Arial"/>
          <w:b/>
        </w:rPr>
        <w:t>Consen</w:t>
      </w:r>
      <w:r>
        <w:rPr>
          <w:rFonts w:ascii="Arial" w:eastAsia="Tahoma" w:hAnsi="Arial" w:cs="Arial"/>
          <w:b/>
        </w:rPr>
        <w:t xml:space="preserve">t: </w:t>
      </w:r>
      <w:bookmarkStart w:id="1" w:name="_GoBack"/>
      <w:bookmarkEnd w:id="1"/>
    </w:p>
    <w:p w14:paraId="3B536308" w14:textId="1085DC81" w:rsidR="000B1D50" w:rsidRDefault="000B1D50" w:rsidP="000B1D50">
      <w:pPr>
        <w:jc w:val="both"/>
        <w:rPr>
          <w:rFonts w:ascii="Arial" w:eastAsia="Tahoma" w:hAnsi="Arial" w:cs="Arial"/>
        </w:rPr>
      </w:pPr>
      <w:r w:rsidRPr="000B1D50">
        <w:rPr>
          <w:rFonts w:ascii="Arial" w:eastAsia="Tahoma" w:hAnsi="Arial" w:cs="Arial"/>
        </w:rPr>
        <w:t>As per international standards or university standards, Participants’ written consent has been collected and preserved by the author(s).</w:t>
      </w:r>
    </w:p>
    <w:p w14:paraId="4EE22782" w14:textId="5512871C" w:rsidR="00784871" w:rsidRDefault="00784871" w:rsidP="00784871">
      <w:pPr>
        <w:jc w:val="both"/>
        <w:rPr>
          <w:rFonts w:ascii="Arial" w:eastAsia="Tahoma" w:hAnsi="Arial" w:cs="Arial"/>
        </w:rPr>
      </w:pPr>
    </w:p>
    <w:p w14:paraId="42D611B1" w14:textId="297188F2" w:rsidR="00784871" w:rsidRDefault="00784871" w:rsidP="00784871">
      <w:pPr>
        <w:jc w:val="both"/>
        <w:rPr>
          <w:rFonts w:ascii="Arial" w:eastAsia="Tahoma" w:hAnsi="Arial" w:cs="Arial"/>
        </w:rPr>
      </w:pPr>
    </w:p>
    <w:p w14:paraId="039F76FF" w14:textId="17A4C844" w:rsidR="00784871" w:rsidRDefault="00784871" w:rsidP="00784871">
      <w:pPr>
        <w:jc w:val="both"/>
        <w:rPr>
          <w:rFonts w:ascii="Arial" w:eastAsia="Tahoma" w:hAnsi="Arial" w:cs="Arial"/>
        </w:rPr>
      </w:pPr>
    </w:p>
    <w:p w14:paraId="27A391F3" w14:textId="4922E86D" w:rsidR="00784871" w:rsidRDefault="00784871" w:rsidP="00784871">
      <w:pPr>
        <w:jc w:val="both"/>
        <w:rPr>
          <w:rFonts w:ascii="Arial" w:eastAsia="Tahoma" w:hAnsi="Arial" w:cs="Arial"/>
        </w:rPr>
      </w:pPr>
    </w:p>
    <w:p w14:paraId="74491660" w14:textId="77777777" w:rsidR="002A4255" w:rsidRPr="00790D9D" w:rsidRDefault="002A4255" w:rsidP="002A4255">
      <w:pPr>
        <w:spacing w:after="200" w:line="276" w:lineRule="auto"/>
        <w:rPr>
          <w:rFonts w:ascii="Calibri" w:eastAsia="Calibri" w:hAnsi="Calibri"/>
          <w:b/>
          <w:kern w:val="2"/>
          <w:sz w:val="22"/>
          <w:szCs w:val="22"/>
          <w:highlight w:val="yellow"/>
        </w:rPr>
      </w:pPr>
      <w:bookmarkStart w:id="2" w:name="_Hlk197682619"/>
      <w:bookmarkStart w:id="3" w:name="_Hlk180402183"/>
      <w:bookmarkStart w:id="4" w:name="_Hlk183680988"/>
      <w:r w:rsidRPr="00790D9D">
        <w:rPr>
          <w:rFonts w:ascii="Calibri" w:eastAsia="Calibri" w:hAnsi="Calibri"/>
          <w:b/>
          <w:kern w:val="2"/>
          <w:sz w:val="22"/>
          <w:szCs w:val="22"/>
          <w:highlight w:val="yellow"/>
        </w:rPr>
        <w:t>Disclaimer (Artificial intelligence)</w:t>
      </w:r>
    </w:p>
    <w:bookmarkEnd w:id="2"/>
    <w:bookmarkEnd w:id="3"/>
    <w:bookmarkEnd w:id="4"/>
    <w:p w14:paraId="6D565009" w14:textId="042775CA" w:rsidR="00784871" w:rsidRPr="00705486" w:rsidRDefault="009361B6" w:rsidP="00784871">
      <w:pPr>
        <w:jc w:val="both"/>
        <w:rPr>
          <w:rFonts w:ascii="Arial" w:eastAsia="Tahoma" w:hAnsi="Arial" w:cs="Arial"/>
        </w:rPr>
      </w:pPr>
      <w:r w:rsidRPr="009361B6">
        <w:rPr>
          <w:rFonts w:ascii="Calibri" w:eastAsia="Calibri" w:hAnsi="Calibri"/>
          <w:kern w:val="2"/>
          <w:sz w:val="22"/>
          <w:szCs w:val="22"/>
          <w:highlight w:val="yellow"/>
        </w:rPr>
        <w:t>The authors declare that generative AI technology, particularly GPT-4, was used solely to correct grammar and enhance the clarity and structure of sentences and paragraphs in this manuscript.</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32FD6034" w14:textId="77777777" w:rsidR="005F6E16" w:rsidRPr="00705486" w:rsidRDefault="005F6E16"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17EB26AA" w14:textId="77777777" w:rsidR="00705486" w:rsidRPr="0067525F" w:rsidRDefault="00705486" w:rsidP="00705486">
      <w:pPr>
        <w:pStyle w:val="NoSpacing1"/>
        <w:ind w:left="540" w:hanging="540"/>
        <w:jc w:val="both"/>
        <w:rPr>
          <w:rFonts w:ascii="Arial" w:eastAsia="SimSun" w:hAnsi="Arial"/>
          <w:sz w:val="20"/>
          <w:szCs w:val="20"/>
          <w:shd w:val="clear" w:color="auto" w:fill="FFFFFF"/>
        </w:rPr>
      </w:pPr>
    </w:p>
    <w:p w14:paraId="3336F6BD" w14:textId="77777777" w:rsidR="00705486" w:rsidRPr="00BC5B84" w:rsidRDefault="00705486" w:rsidP="00705486">
      <w:pPr>
        <w:pStyle w:val="NoSpacing1"/>
        <w:ind w:left="540" w:hanging="540"/>
        <w:jc w:val="both"/>
        <w:rPr>
          <w:rFonts w:ascii="Arial" w:eastAsia="SimSun" w:hAnsi="Arial"/>
          <w:bCs/>
          <w:sz w:val="20"/>
          <w:szCs w:val="20"/>
          <w:shd w:val="clear" w:color="auto" w:fill="FFFFFF"/>
        </w:rPr>
      </w:pPr>
    </w:p>
    <w:p w14:paraId="5EA4863A"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Abdellah, R. (2015). Metacognitive awareness and its relation to academic achievement and teaching performance of pre-service female teachers at Ajman University in UAE. Procedia - Social and Behavioral Sciences, 174, 560–567.</w:t>
      </w:r>
    </w:p>
    <w:p w14:paraId="68BE498B"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Adlawon</w:t>
      </w:r>
      <w:proofErr w:type="spellEnd"/>
      <w:r w:rsidRPr="00705486">
        <w:rPr>
          <w:rFonts w:ascii="Arial" w:eastAsia="Tahoma" w:hAnsi="Arial"/>
          <w:bCs/>
        </w:rPr>
        <w:t xml:space="preserve">, C. M., </w:t>
      </w:r>
      <w:proofErr w:type="spellStart"/>
      <w:r w:rsidRPr="00705486">
        <w:rPr>
          <w:rFonts w:ascii="Arial" w:eastAsia="Tahoma" w:hAnsi="Arial"/>
          <w:bCs/>
        </w:rPr>
        <w:t>Valdevarona</w:t>
      </w:r>
      <w:proofErr w:type="spellEnd"/>
      <w:r w:rsidRPr="00705486">
        <w:rPr>
          <w:rFonts w:ascii="Arial" w:eastAsia="Tahoma" w:hAnsi="Arial"/>
          <w:bCs/>
        </w:rPr>
        <w:t>, A. M., &amp; Miranda, A. T. (2022). The relationship of self-concept and mathematics performance of college students in the new normal. Asian Journal of Education and Social Studies, 37(3), 39–47.</w:t>
      </w:r>
    </w:p>
    <w:p w14:paraId="6718379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Adolphsen, M., </w:t>
      </w:r>
      <w:proofErr w:type="spellStart"/>
      <w:r w:rsidRPr="00705486">
        <w:rPr>
          <w:rFonts w:ascii="Arial" w:eastAsia="Tahoma" w:hAnsi="Arial"/>
          <w:bCs/>
        </w:rPr>
        <w:t>Tournaki</w:t>
      </w:r>
      <w:proofErr w:type="spellEnd"/>
      <w:r w:rsidRPr="00705486">
        <w:rPr>
          <w:rFonts w:ascii="Arial" w:eastAsia="Tahoma" w:hAnsi="Arial"/>
          <w:bCs/>
        </w:rPr>
        <w:t>, N., &amp; Bieda, K. N. (2020). Metacognitive knowledge of task and mathematics achievement: A systematic review. Educational Psychology Review, 32(2), 413–446.</w:t>
      </w:r>
    </w:p>
    <w:p w14:paraId="271A148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Agtarap, R., &amp; Miranda, A. T. (2022). The mediating effect of students’ resiliency on the relationship of self-concept and mathematics performance. Asian Journal of Education and Social Studies, 36(2), 1–10.</w:t>
      </w:r>
    </w:p>
    <w:p w14:paraId="2E92ED2B"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Andamon</w:t>
      </w:r>
      <w:proofErr w:type="spellEnd"/>
      <w:r w:rsidRPr="00705486">
        <w:rPr>
          <w:rFonts w:ascii="Arial" w:eastAsia="Tahoma" w:hAnsi="Arial"/>
          <w:bCs/>
        </w:rPr>
        <w:t>, J. C., &amp; Tan, D. A. (2018). Conceptual understanding, attitude, and performance in mathematics of grade 7 students. International Journal of Scientific &amp; Technology Research, 7(1), 1–6. Retrieved from https://www.ijstr.com/admin/paper_upload/IJSTR71201813.pdf</w:t>
      </w:r>
    </w:p>
    <w:p w14:paraId="55A147D6"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Baclay, M. A. G., Cortado, C. D. M. M., Acosta, V. A. D., &amp; Miranda, A. T. (2025). Relationship between motivational strategies and mathematics performance among first-year students at a state college in the Davao region. Asian Journal of Education and Social Studies, 51(5), 422–433.</w:t>
      </w:r>
    </w:p>
    <w:p w14:paraId="274DC5F1"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Bogdanović, I., </w:t>
      </w:r>
      <w:proofErr w:type="spellStart"/>
      <w:r w:rsidRPr="00705486">
        <w:rPr>
          <w:rFonts w:ascii="Arial" w:eastAsia="Tahoma" w:hAnsi="Arial"/>
          <w:bCs/>
        </w:rPr>
        <w:t>Obadović</w:t>
      </w:r>
      <w:proofErr w:type="spellEnd"/>
      <w:r w:rsidRPr="00705486">
        <w:rPr>
          <w:rFonts w:ascii="Arial" w:eastAsia="Tahoma" w:hAnsi="Arial"/>
          <w:bCs/>
        </w:rPr>
        <w:t xml:space="preserve">, D. Z., </w:t>
      </w:r>
      <w:proofErr w:type="spellStart"/>
      <w:r w:rsidRPr="00705486">
        <w:rPr>
          <w:rFonts w:ascii="Arial" w:eastAsia="Tahoma" w:hAnsi="Arial"/>
          <w:bCs/>
        </w:rPr>
        <w:t>Cvjetić</w:t>
      </w:r>
      <w:proofErr w:type="spellEnd"/>
      <w:r w:rsidRPr="00705486">
        <w:rPr>
          <w:rFonts w:ascii="Arial" w:eastAsia="Tahoma" w:hAnsi="Arial"/>
          <w:bCs/>
        </w:rPr>
        <w:t xml:space="preserve">, S., </w:t>
      </w:r>
      <w:proofErr w:type="spellStart"/>
      <w:r w:rsidRPr="00705486">
        <w:rPr>
          <w:rFonts w:ascii="Arial" w:eastAsia="Tahoma" w:hAnsi="Arial"/>
          <w:bCs/>
        </w:rPr>
        <w:t>Segedinac</w:t>
      </w:r>
      <w:proofErr w:type="spellEnd"/>
      <w:r w:rsidRPr="00705486">
        <w:rPr>
          <w:rFonts w:ascii="Arial" w:eastAsia="Tahoma" w:hAnsi="Arial"/>
          <w:bCs/>
        </w:rPr>
        <w:t>, M., &amp; Budić, S. (2017). Students’ metacognitive awareness and physics learning efficiency and correlation between them. European Journal of Physical Education, 6(2), 18–30.</w:t>
      </w:r>
    </w:p>
    <w:p w14:paraId="6DAF8949"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Cabalquinto, K. E., &amp; Magallanes, A. O. (2022). Non-cognitive factors affecting mathematics performance using structural equation modeling: Basis for a mathematics learning intervention framework. Asian Journal of Education and Social Studies, 36(3), 43–55. https://doi.org/10.9734/ajess/2022/v36i3781</w:t>
      </w:r>
    </w:p>
    <w:p w14:paraId="0232B474"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Cahayasti</w:t>
      </w:r>
      <w:proofErr w:type="spellEnd"/>
      <w:r w:rsidRPr="00705486">
        <w:rPr>
          <w:rFonts w:ascii="Arial" w:eastAsia="Tahoma" w:hAnsi="Arial"/>
          <w:bCs/>
        </w:rPr>
        <w:t xml:space="preserve">, I. T., &amp; </w:t>
      </w:r>
      <w:proofErr w:type="spellStart"/>
      <w:r w:rsidRPr="00705486">
        <w:rPr>
          <w:rFonts w:ascii="Arial" w:eastAsia="Tahoma" w:hAnsi="Arial"/>
          <w:bCs/>
        </w:rPr>
        <w:t>Indrasari</w:t>
      </w:r>
      <w:proofErr w:type="spellEnd"/>
      <w:r w:rsidRPr="00705486">
        <w:rPr>
          <w:rFonts w:ascii="Arial" w:eastAsia="Tahoma" w:hAnsi="Arial"/>
          <w:bCs/>
        </w:rPr>
        <w:t>, S. Y. (2018). Metacognitive strategy on completion of mathematics word problem and mathematics achievement among 3rd grade elementary students. In Universitas Indonesia International Psychology Symposium for Undergraduate Research (UIPSUR 2017) (pp. 284–289). Atlantis Press.</w:t>
      </w:r>
    </w:p>
    <w:p w14:paraId="6E416E3A"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Caliosan</w:t>
      </w:r>
      <w:proofErr w:type="spellEnd"/>
      <w:r w:rsidRPr="00705486">
        <w:rPr>
          <w:rFonts w:ascii="Arial" w:eastAsia="Tahoma" w:hAnsi="Arial"/>
          <w:bCs/>
        </w:rPr>
        <w:t xml:space="preserve">, R. M. A., </w:t>
      </w:r>
      <w:proofErr w:type="spellStart"/>
      <w:r w:rsidRPr="00705486">
        <w:rPr>
          <w:rFonts w:ascii="Arial" w:eastAsia="Tahoma" w:hAnsi="Arial"/>
          <w:bCs/>
        </w:rPr>
        <w:t>Cutay</w:t>
      </w:r>
      <w:proofErr w:type="spellEnd"/>
      <w:r w:rsidRPr="00705486">
        <w:rPr>
          <w:rFonts w:ascii="Arial" w:eastAsia="Tahoma" w:hAnsi="Arial"/>
          <w:bCs/>
        </w:rPr>
        <w:t>, C. J. C., Lagat, R. A., &amp; Miranda, A. T. (2025). Mathematical curiosity and mathematics performance of pre-service teachers. In Proceedings of the 8th International Ankara Multidisciplinary Studies Congress. Retrieved from https://www.academia.edu/128471771/Mathematical_curiosity_and_mathematics_performance_of_pre_service_teachers</w:t>
      </w:r>
    </w:p>
    <w:p w14:paraId="5F2E87BB"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Capinding</w:t>
      </w:r>
      <w:proofErr w:type="spellEnd"/>
      <w:r w:rsidRPr="00705486">
        <w:rPr>
          <w:rFonts w:ascii="Arial" w:eastAsia="Tahoma" w:hAnsi="Arial"/>
          <w:bCs/>
        </w:rPr>
        <w:t>, A. (2021). Determinants of mathematics performance of Grade 10 students in selected secondary schools in Gabaldon, Nueva Ecija. International Research Journal, 10(1), 1–9.</w:t>
      </w:r>
    </w:p>
    <w:p w14:paraId="1719E7A1"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lastRenderedPageBreak/>
        <w:t>Chytrý</w:t>
      </w:r>
      <w:proofErr w:type="spellEnd"/>
      <w:r w:rsidRPr="00705486">
        <w:rPr>
          <w:rFonts w:ascii="Arial" w:eastAsia="Tahoma" w:hAnsi="Arial"/>
          <w:bCs/>
        </w:rPr>
        <w:t xml:space="preserve">, V., </w:t>
      </w:r>
      <w:proofErr w:type="spellStart"/>
      <w:r w:rsidRPr="00705486">
        <w:rPr>
          <w:rFonts w:ascii="Arial" w:eastAsia="Tahoma" w:hAnsi="Arial"/>
          <w:bCs/>
        </w:rPr>
        <w:t>Říčan</w:t>
      </w:r>
      <w:proofErr w:type="spellEnd"/>
      <w:r w:rsidRPr="00705486">
        <w:rPr>
          <w:rFonts w:ascii="Arial" w:eastAsia="Tahoma" w:hAnsi="Arial"/>
          <w:bCs/>
        </w:rPr>
        <w:t xml:space="preserve">, J., Eisenmann, P., &amp; </w:t>
      </w:r>
      <w:proofErr w:type="spellStart"/>
      <w:r w:rsidRPr="00705486">
        <w:rPr>
          <w:rFonts w:ascii="Arial" w:eastAsia="Tahoma" w:hAnsi="Arial"/>
          <w:bCs/>
        </w:rPr>
        <w:t>Medová</w:t>
      </w:r>
      <w:proofErr w:type="spellEnd"/>
      <w:r w:rsidRPr="00705486">
        <w:rPr>
          <w:rFonts w:ascii="Arial" w:eastAsia="Tahoma" w:hAnsi="Arial"/>
          <w:bCs/>
        </w:rPr>
        <w:t>, J. (2020). Metacognitive knowledge and mathematical intelligence—Two significant factors influencing school performance. Mathematics, 8(6), 969. https://doi.org/10.3390/math8060969</w:t>
      </w:r>
    </w:p>
    <w:p w14:paraId="57D7C508"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Cortez, N. S., </w:t>
      </w:r>
      <w:proofErr w:type="spellStart"/>
      <w:r w:rsidRPr="00705486">
        <w:rPr>
          <w:rFonts w:ascii="Arial" w:eastAsia="Tahoma" w:hAnsi="Arial"/>
          <w:bCs/>
        </w:rPr>
        <w:t>Duay</w:t>
      </w:r>
      <w:proofErr w:type="spellEnd"/>
      <w:r w:rsidRPr="00705486">
        <w:rPr>
          <w:rFonts w:ascii="Arial" w:eastAsia="Tahoma" w:hAnsi="Arial"/>
          <w:bCs/>
        </w:rPr>
        <w:t>, E. A., Balandra, C. B., &amp; Miranda, A. T. (2025). Coping strategies in learning mathematics and mathematics performance of college students. In Proceedings of the 8th International Ankara Multidisciplinary Studies Congress. Retrieved from https://www.academia.edu/128471907/Coping_strategies_in_learning_mathematics_and_mathematics_performance_of_college_students</w:t>
      </w:r>
    </w:p>
    <w:p w14:paraId="0BAEB0EE"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Dawson, P., &amp; Venville, G. (2010). Promoting cognitive development and metacognition through writing in science. Journal of Research in Science Teaching, 47(8), 952–977.</w:t>
      </w:r>
    </w:p>
    <w:p w14:paraId="47C658F3"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Efklides</w:t>
      </w:r>
      <w:proofErr w:type="spellEnd"/>
      <w:r w:rsidRPr="00705486">
        <w:rPr>
          <w:rFonts w:ascii="Arial" w:eastAsia="Tahoma" w:hAnsi="Arial"/>
          <w:bCs/>
        </w:rPr>
        <w:t>, A., &amp; Vlachopoulos, S. P. (2012). Measurement of metacognitive knowledge of self, task, and strategies in mathematics. European Journal of Psychological Assessment, 28(3), 227–239. https://doi.org/10.1027/1015-5759/a000145</w:t>
      </w:r>
    </w:p>
    <w:p w14:paraId="1F4F4EDA"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Flavell, J. H. (1979). Metacognition and cognitive monitoring: A new area of cognitive-developmental inquiry. American Psychologist, 34(10), 906–911.</w:t>
      </w:r>
    </w:p>
    <w:p w14:paraId="4090BC3D"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Jumangit</w:t>
      </w:r>
      <w:proofErr w:type="spellEnd"/>
      <w:r w:rsidRPr="00705486">
        <w:rPr>
          <w:rFonts w:ascii="Arial" w:eastAsia="Tahoma" w:hAnsi="Arial"/>
          <w:bCs/>
        </w:rPr>
        <w:t>, E. A., &amp; Miranda, A. T. (2025). The mediating effect of mathematics motivation on the relationship between mathematical mindset and performance. Asian Journal of Education and Social Studies, 51(5), 686–697. https://doi.org/10.9734/ajess/2025/v51i51951</w:t>
      </w:r>
    </w:p>
    <w:p w14:paraId="0B924F19"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Lumoto</w:t>
      </w:r>
      <w:proofErr w:type="spellEnd"/>
      <w:r w:rsidRPr="00705486">
        <w:rPr>
          <w:rFonts w:ascii="Arial" w:eastAsia="Tahoma" w:hAnsi="Arial"/>
          <w:bCs/>
        </w:rPr>
        <w:t xml:space="preserve">, H. Q. A., </w:t>
      </w:r>
      <w:proofErr w:type="spellStart"/>
      <w:r w:rsidRPr="00705486">
        <w:rPr>
          <w:rFonts w:ascii="Arial" w:eastAsia="Tahoma" w:hAnsi="Arial"/>
          <w:bCs/>
        </w:rPr>
        <w:t>Decolas</w:t>
      </w:r>
      <w:proofErr w:type="spellEnd"/>
      <w:r w:rsidRPr="00705486">
        <w:rPr>
          <w:rFonts w:ascii="Arial" w:eastAsia="Tahoma" w:hAnsi="Arial"/>
          <w:bCs/>
        </w:rPr>
        <w:t>, C. C., Cabalquinto, K. E., &amp; Miranda, A. T. (2024). Exploring students’ mathematics performance through self-regulated learning. Asian Journal of Education and Social Studies, 50(8), 240–250.</w:t>
      </w:r>
    </w:p>
    <w:p w14:paraId="06F12AE2"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Mangal, N. R., </w:t>
      </w:r>
      <w:proofErr w:type="spellStart"/>
      <w:r w:rsidRPr="00705486">
        <w:rPr>
          <w:rFonts w:ascii="Arial" w:eastAsia="Tahoma" w:hAnsi="Arial"/>
          <w:bCs/>
        </w:rPr>
        <w:t>Sagang</w:t>
      </w:r>
      <w:proofErr w:type="spellEnd"/>
      <w:r w:rsidRPr="00705486">
        <w:rPr>
          <w:rFonts w:ascii="Arial" w:eastAsia="Tahoma" w:hAnsi="Arial"/>
          <w:bCs/>
        </w:rPr>
        <w:t>, V., Acosta, V. A. D., &amp; Miranda, A. T. (2025). Mathematical creativity self-efficacy perception of pre-service mathematics teachers. In Proceedings of the 8th International Ankara Multidisciplinary Studies Congress. Retrieved from https://www.academia.edu/128471907/Mathematical_Creativity_Self_Efficacy_Perception_of_Pre_Service_Mathematics_Teachers</w:t>
      </w:r>
    </w:p>
    <w:p w14:paraId="6D06C770"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Mariano, L. A., Madel, N. S., &amp; Miranda, A. T. (2022). The relationship between time management skills and academic performance of working students in open high school program. Asian Journal of Education and Social Studies, 36(2), 61–66.</w:t>
      </w:r>
    </w:p>
    <w:p w14:paraId="381DFB64"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Mazana</w:t>
      </w:r>
      <w:proofErr w:type="spellEnd"/>
      <w:r w:rsidRPr="00705486">
        <w:rPr>
          <w:rFonts w:ascii="Arial" w:eastAsia="Tahoma" w:hAnsi="Arial"/>
          <w:bCs/>
        </w:rPr>
        <w:t xml:space="preserve">, Y. M., Suero Montero, C., &amp; </w:t>
      </w:r>
      <w:proofErr w:type="spellStart"/>
      <w:r w:rsidRPr="00705486">
        <w:rPr>
          <w:rFonts w:ascii="Arial" w:eastAsia="Tahoma" w:hAnsi="Arial"/>
          <w:bCs/>
        </w:rPr>
        <w:t>Olifage</w:t>
      </w:r>
      <w:proofErr w:type="spellEnd"/>
      <w:r w:rsidRPr="00705486">
        <w:rPr>
          <w:rFonts w:ascii="Arial" w:eastAsia="Tahoma" w:hAnsi="Arial"/>
          <w:bCs/>
        </w:rPr>
        <w:t>, C. R. (2019). Investigating students' attitude towards learning mathematics. International Electronic Journal of Mathematics Education, 14(1), 207–231.</w:t>
      </w:r>
    </w:p>
    <w:p w14:paraId="7141EDC9"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Mondal, D. (2023). Metacognitive awareness and its relation to academic performance among learners: A review paper. International Journal of Research and Review (Baroda), 10(7), 742–748.</w:t>
      </w:r>
    </w:p>
    <w:p w14:paraId="094C3CA5"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Olop</w:t>
      </w:r>
      <w:proofErr w:type="spellEnd"/>
      <w:r w:rsidRPr="00705486">
        <w:rPr>
          <w:rFonts w:ascii="Arial" w:eastAsia="Tahoma" w:hAnsi="Arial"/>
          <w:bCs/>
        </w:rPr>
        <w:t xml:space="preserve">, J., </w:t>
      </w:r>
      <w:proofErr w:type="spellStart"/>
      <w:r w:rsidRPr="00705486">
        <w:rPr>
          <w:rFonts w:ascii="Arial" w:eastAsia="Tahoma" w:hAnsi="Arial"/>
          <w:bCs/>
        </w:rPr>
        <w:t>Granström</w:t>
      </w:r>
      <w:proofErr w:type="spellEnd"/>
      <w:r w:rsidRPr="00705486">
        <w:rPr>
          <w:rFonts w:ascii="Arial" w:eastAsia="Tahoma" w:hAnsi="Arial"/>
          <w:bCs/>
        </w:rPr>
        <w:t>, M., &amp; Kikas, E. (2024, May). Students’ metacognitive knowledge of learning-strategy effectiveness and their recall of teachers’ strategy instructions. In Frontiers in Education (Vol. 9, p. 1307485). Frontiers Media SA.</w:t>
      </w:r>
    </w:p>
    <w:p w14:paraId="4CBF4CE6"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Radmehr, F., &amp; Drake, M. (2019). Students’ mathematical performance, metacognitive experiences and metacognitive skills in relation to integral-area relationships. Teaching Mathematics and its Applications: An International Journal of the IMA, 38(2), 85–106. </w:t>
      </w:r>
      <w:hyperlink r:id="rId14" w:history="1">
        <w:r w:rsidRPr="00705486">
          <w:rPr>
            <w:rStyle w:val="Hyperlink"/>
            <w:rFonts w:ascii="Arial" w:eastAsia="Tahoma" w:hAnsi="Arial"/>
            <w:bCs/>
          </w:rPr>
          <w:t>https://doi.org/10.1093/teamat/hry007</w:t>
        </w:r>
      </w:hyperlink>
    </w:p>
    <w:p w14:paraId="61F5EDE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Schneider, W., Lingel, K., </w:t>
      </w:r>
      <w:proofErr w:type="spellStart"/>
      <w:r w:rsidRPr="00705486">
        <w:rPr>
          <w:rFonts w:ascii="Arial" w:eastAsia="Tahoma" w:hAnsi="Arial"/>
          <w:bCs/>
        </w:rPr>
        <w:t>Artelt</w:t>
      </w:r>
      <w:proofErr w:type="spellEnd"/>
      <w:r w:rsidRPr="00705486">
        <w:rPr>
          <w:rFonts w:ascii="Arial" w:eastAsia="Tahoma" w:hAnsi="Arial"/>
          <w:bCs/>
        </w:rPr>
        <w:t xml:space="preserve">, C., &amp; </w:t>
      </w:r>
      <w:proofErr w:type="spellStart"/>
      <w:r w:rsidRPr="00705486">
        <w:rPr>
          <w:rFonts w:ascii="Arial" w:eastAsia="Tahoma" w:hAnsi="Arial"/>
          <w:bCs/>
        </w:rPr>
        <w:t>Neuenhaus</w:t>
      </w:r>
      <w:proofErr w:type="spellEnd"/>
      <w:r w:rsidRPr="00705486">
        <w:rPr>
          <w:rFonts w:ascii="Arial" w:eastAsia="Tahoma" w:hAnsi="Arial"/>
          <w:bCs/>
        </w:rPr>
        <w:t>, N. (2017). Metacognitive knowledge in secondary school students: Assessment, structure, and developmental change. In Competence assessment in education: Research, models and instruments (pp. 285–302).</w:t>
      </w:r>
    </w:p>
    <w:p w14:paraId="32B52C76" w14:textId="77777777" w:rsidR="00705486" w:rsidRDefault="00705486" w:rsidP="00705486">
      <w:pPr>
        <w:ind w:left="540" w:hanging="540"/>
        <w:jc w:val="both"/>
        <w:rPr>
          <w:rFonts w:ascii="Arial" w:eastAsia="Tahoma" w:hAnsi="Arial"/>
          <w:bCs/>
        </w:rPr>
      </w:pPr>
      <w:r w:rsidRPr="00705486">
        <w:rPr>
          <w:rFonts w:ascii="Arial" w:eastAsia="Tahoma" w:hAnsi="Arial"/>
          <w:bCs/>
        </w:rPr>
        <w:t>Scott, B. M., &amp; Berman, A. F. (2013). Examining the domain-specificity of metacognition using academic domains and task-specific individual differences. Australian Journal of Educational &amp; Developmental Psychology, 13, 28–43.</w:t>
      </w:r>
    </w:p>
    <w:p w14:paraId="5453DAE4" w14:textId="164DF7B2" w:rsidR="00DE572E" w:rsidRPr="00705486" w:rsidRDefault="00DE572E" w:rsidP="00705486">
      <w:pPr>
        <w:ind w:left="540" w:hanging="540"/>
        <w:jc w:val="both"/>
        <w:rPr>
          <w:rFonts w:ascii="Arial" w:eastAsia="Tahoma" w:hAnsi="Arial"/>
          <w:bCs/>
        </w:rPr>
      </w:pPr>
      <w:proofErr w:type="spellStart"/>
      <w:r w:rsidRPr="00DE572E">
        <w:rPr>
          <w:rFonts w:ascii="Arial" w:eastAsia="Tahoma" w:hAnsi="Arial"/>
          <w:bCs/>
          <w:highlight w:val="yellow"/>
        </w:rPr>
        <w:lastRenderedPageBreak/>
        <w:t>Syaiful</w:t>
      </w:r>
      <w:proofErr w:type="spellEnd"/>
      <w:r w:rsidRPr="00DE572E">
        <w:rPr>
          <w:rFonts w:ascii="Arial" w:eastAsia="Tahoma" w:hAnsi="Arial"/>
          <w:bCs/>
          <w:highlight w:val="yellow"/>
        </w:rPr>
        <w:t xml:space="preserve">, Huda, N., </w:t>
      </w:r>
      <w:proofErr w:type="spellStart"/>
      <w:r w:rsidRPr="00DE572E">
        <w:rPr>
          <w:rFonts w:ascii="Arial" w:eastAsia="Tahoma" w:hAnsi="Arial"/>
          <w:bCs/>
          <w:highlight w:val="yellow"/>
        </w:rPr>
        <w:t>Mukminin</w:t>
      </w:r>
      <w:proofErr w:type="spellEnd"/>
      <w:r w:rsidRPr="00DE572E">
        <w:rPr>
          <w:rFonts w:ascii="Arial" w:eastAsia="Tahoma" w:hAnsi="Arial"/>
          <w:bCs/>
          <w:highlight w:val="yellow"/>
        </w:rPr>
        <w:t xml:space="preserve">, A., &amp; </w:t>
      </w:r>
      <w:proofErr w:type="spellStart"/>
      <w:r w:rsidRPr="00DE572E">
        <w:rPr>
          <w:rFonts w:ascii="Arial" w:eastAsia="Tahoma" w:hAnsi="Arial"/>
          <w:bCs/>
          <w:highlight w:val="yellow"/>
        </w:rPr>
        <w:t>Kamid</w:t>
      </w:r>
      <w:proofErr w:type="spellEnd"/>
      <w:r w:rsidRPr="00DE572E">
        <w:rPr>
          <w:rFonts w:ascii="Arial" w:eastAsia="Tahoma" w:hAnsi="Arial"/>
          <w:bCs/>
          <w:highlight w:val="yellow"/>
        </w:rPr>
        <w:t>. (2022). Using a metacognitive learning approach to enhance students’ critical thinking skills through mathematics education. SN Social Sciences, 2(4), 31.</w:t>
      </w:r>
    </w:p>
    <w:p w14:paraId="6B776768"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Smith, J., Johnson, L., &amp; Brown, A. (2020). Assessing metacognitive knowledge among college students. Journal of Educational Psychology, 45(2), 123–137.</w:t>
      </w:r>
    </w:p>
    <w:p w14:paraId="5EC6F7FE"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Teng, M. F., &amp; Zhang, L. J. (2024). Ethnic minority multilingual young learners’ longitudinal development of metacognitive knowledge and breadth of vocabulary knowledge. Metacognition and Learning, 19, 123–146. https://doi.org/10.1007/s11409-023-09360</w:t>
      </w:r>
    </w:p>
    <w:p w14:paraId="1224A4D1"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Thaintheerasombat</w:t>
      </w:r>
      <w:proofErr w:type="spellEnd"/>
      <w:r w:rsidRPr="00705486">
        <w:rPr>
          <w:rFonts w:ascii="Arial" w:eastAsia="Tahoma" w:hAnsi="Arial"/>
          <w:bCs/>
        </w:rPr>
        <w:t xml:space="preserve">, S., &amp; </w:t>
      </w:r>
      <w:proofErr w:type="spellStart"/>
      <w:r w:rsidRPr="00705486">
        <w:rPr>
          <w:rFonts w:ascii="Arial" w:eastAsia="Tahoma" w:hAnsi="Arial"/>
          <w:bCs/>
        </w:rPr>
        <w:t>Chookhampaeng</w:t>
      </w:r>
      <w:proofErr w:type="spellEnd"/>
      <w:r w:rsidRPr="00705486">
        <w:rPr>
          <w:rFonts w:ascii="Arial" w:eastAsia="Tahoma" w:hAnsi="Arial"/>
          <w:bCs/>
        </w:rPr>
        <w:t>, C. (2022). The development of a self-awareness skill for high school students with the process of social and emotional learning. Journal of Educational Issues, 8(2), 741–754.</w:t>
      </w:r>
    </w:p>
    <w:p w14:paraId="22D39BBA"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Villegas, C. T., </w:t>
      </w:r>
      <w:proofErr w:type="spellStart"/>
      <w:r w:rsidRPr="00705486">
        <w:rPr>
          <w:rFonts w:ascii="Arial" w:eastAsia="Tahoma" w:hAnsi="Arial"/>
          <w:bCs/>
        </w:rPr>
        <w:t>Estopa</w:t>
      </w:r>
      <w:proofErr w:type="spellEnd"/>
      <w:r w:rsidRPr="00705486">
        <w:rPr>
          <w:rFonts w:ascii="Arial" w:eastAsia="Tahoma" w:hAnsi="Arial"/>
          <w:bCs/>
        </w:rPr>
        <w:t>, M. M. J. S., Lagat, R. A., &amp; Miranda, A. T. (2024). Problem-solving appraisals as predictors of mathematics performance among college students. Asian Journal of Education and Social Studies, 50(10), 362–372.</w:t>
      </w:r>
    </w:p>
    <w:p w14:paraId="2B09F215"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Wang, X., &amp; Li, Y. (2019). Metacognitive knowledge strategies and mathematics performance among Chinese university students. Mathematics, 7(11), 1058. https://doi.org/10.3390/math7111058</w:t>
      </w:r>
    </w:p>
    <w:p w14:paraId="3798DC5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Winne, P., &amp; Azevedo, R. (2022). Metacognition and self-regulated learning. In R. K. Sawyer (Ed.), The Cambridge handbook of the learning sciences (3rd ed., pp. 93–113). Cambridge University Press.</w:t>
      </w:r>
    </w:p>
    <w:p w14:paraId="7E4A68E5"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Xu, Z., &amp; Wang, C. (2022). The relationship between metacognitive knowledge of task and mathematics performance: A meta-analysis. Educational Psychology Review, 34(1), 1–22. https://doi.org/10.1007/s10648-021-09621-6</w:t>
      </w:r>
    </w:p>
    <w:p w14:paraId="07A7113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Yang, Y., et al. (2017). An online adaptive learning environment for critical-thinking-infused English literacy instruction. British Journal of Educational Technology, 45(4), 723–747.</w:t>
      </w:r>
    </w:p>
    <w:sectPr w:rsidR="00705486" w:rsidRPr="00705486" w:rsidSect="00965874">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CD8B" w14:textId="77777777" w:rsidR="001F1B09" w:rsidRDefault="001F1B09" w:rsidP="00C37E61">
      <w:r>
        <w:separator/>
      </w:r>
    </w:p>
  </w:endnote>
  <w:endnote w:type="continuationSeparator" w:id="0">
    <w:p w14:paraId="3213E831" w14:textId="77777777" w:rsidR="001F1B09" w:rsidRDefault="001F1B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D8F4" w14:textId="77777777" w:rsidR="00EF063E" w:rsidRDefault="00EF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2982" w14:textId="77777777" w:rsidR="00EF063E" w:rsidRDefault="00EF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3E808" w14:textId="77777777" w:rsidR="001F1B09" w:rsidRDefault="001F1B09" w:rsidP="00C37E61">
      <w:r>
        <w:separator/>
      </w:r>
    </w:p>
  </w:footnote>
  <w:footnote w:type="continuationSeparator" w:id="0">
    <w:p w14:paraId="0D717DDB" w14:textId="77777777" w:rsidR="001F1B09" w:rsidRDefault="001F1B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C33B" w14:textId="61F4ED3E" w:rsidR="00EF063E" w:rsidRDefault="001F1B09">
    <w:pPr>
      <w:pStyle w:val="Header"/>
    </w:pPr>
    <w:r>
      <w:rPr>
        <w:noProof/>
      </w:rPr>
      <w:pict w14:anchorId="557A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DD62" w14:textId="6B4715F6" w:rsidR="00EF063E" w:rsidRDefault="001F1B09">
    <w:pPr>
      <w:pStyle w:val="Header"/>
    </w:pPr>
    <w:r>
      <w:rPr>
        <w:noProof/>
      </w:rPr>
      <w:pict w14:anchorId="69047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403389AD" w:rsidR="00DE6F50" w:rsidRPr="00296529" w:rsidRDefault="001F1B09" w:rsidP="00296529">
    <w:pPr>
      <w:ind w:left="2160"/>
      <w:jc w:val="center"/>
      <w:rPr>
        <w:rFonts w:ascii="Times New Roman" w:eastAsia="Calibri" w:hAnsi="Times New Roman"/>
        <w:i/>
        <w:sz w:val="18"/>
        <w:szCs w:val="22"/>
      </w:rPr>
    </w:pPr>
    <w:r>
      <w:rPr>
        <w:noProof/>
      </w:rPr>
      <w:pict w14:anchorId="19507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DE51" w14:textId="3DE5C49F" w:rsidR="00EF063E" w:rsidRDefault="001F1B09">
    <w:pPr>
      <w:pStyle w:val="Header"/>
    </w:pPr>
    <w:r>
      <w:rPr>
        <w:noProof/>
      </w:rPr>
      <w:pict w14:anchorId="49A0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D56D" w14:textId="4E285511" w:rsidR="00EF063E" w:rsidRDefault="001F1B09">
    <w:pPr>
      <w:pStyle w:val="Header"/>
    </w:pPr>
    <w:r>
      <w:rPr>
        <w:noProof/>
      </w:rPr>
      <w:pict w14:anchorId="46F8B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7272" w14:textId="5706DF5B" w:rsidR="00EF063E" w:rsidRDefault="001F1B09">
    <w:pPr>
      <w:pStyle w:val="Header"/>
    </w:pPr>
    <w:r>
      <w:rPr>
        <w:noProof/>
      </w:rPr>
      <w:pict w14:anchorId="1E12E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30174"/>
    <w:rsid w:val="00036298"/>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D50"/>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A29D8"/>
    <w:rsid w:val="001A5CAA"/>
    <w:rsid w:val="001A5D93"/>
    <w:rsid w:val="001A6EB0"/>
    <w:rsid w:val="001B0427"/>
    <w:rsid w:val="001B2CF9"/>
    <w:rsid w:val="001B42CC"/>
    <w:rsid w:val="001C29DA"/>
    <w:rsid w:val="001D3A51"/>
    <w:rsid w:val="001D5BFD"/>
    <w:rsid w:val="001E10D2"/>
    <w:rsid w:val="001E25B4"/>
    <w:rsid w:val="001E2F1D"/>
    <w:rsid w:val="001E3C43"/>
    <w:rsid w:val="001E44FE"/>
    <w:rsid w:val="001E50C8"/>
    <w:rsid w:val="001F0077"/>
    <w:rsid w:val="001F1B09"/>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A4255"/>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12C2"/>
    <w:rsid w:val="003558B2"/>
    <w:rsid w:val="0036753B"/>
    <w:rsid w:val="00371FB6"/>
    <w:rsid w:val="00373A25"/>
    <w:rsid w:val="003763C1"/>
    <w:rsid w:val="00376BBE"/>
    <w:rsid w:val="0037775B"/>
    <w:rsid w:val="00385CE3"/>
    <w:rsid w:val="0039224F"/>
    <w:rsid w:val="003962AF"/>
    <w:rsid w:val="003A15D1"/>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033F"/>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3028B"/>
    <w:rsid w:val="0053056E"/>
    <w:rsid w:val="00530B86"/>
    <w:rsid w:val="00537F3C"/>
    <w:rsid w:val="00542634"/>
    <w:rsid w:val="005448F5"/>
    <w:rsid w:val="00547520"/>
    <w:rsid w:val="00554FDA"/>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2995"/>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1C2D"/>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7A0"/>
    <w:rsid w:val="00752FF3"/>
    <w:rsid w:val="00754960"/>
    <w:rsid w:val="00754B4C"/>
    <w:rsid w:val="00754C9A"/>
    <w:rsid w:val="0075599A"/>
    <w:rsid w:val="00761D52"/>
    <w:rsid w:val="00764185"/>
    <w:rsid w:val="007742AA"/>
    <w:rsid w:val="0077749E"/>
    <w:rsid w:val="00784871"/>
    <w:rsid w:val="007862D6"/>
    <w:rsid w:val="00790ADA"/>
    <w:rsid w:val="00790D9D"/>
    <w:rsid w:val="00797D8A"/>
    <w:rsid w:val="007A0E68"/>
    <w:rsid w:val="007A30BE"/>
    <w:rsid w:val="007A6B2A"/>
    <w:rsid w:val="007A78D1"/>
    <w:rsid w:val="007B0E15"/>
    <w:rsid w:val="007B2814"/>
    <w:rsid w:val="007B4753"/>
    <w:rsid w:val="007B72EA"/>
    <w:rsid w:val="007C19E8"/>
    <w:rsid w:val="007C283E"/>
    <w:rsid w:val="007D0525"/>
    <w:rsid w:val="007D2288"/>
    <w:rsid w:val="007D5603"/>
    <w:rsid w:val="007D7CC2"/>
    <w:rsid w:val="007E088F"/>
    <w:rsid w:val="007F7982"/>
    <w:rsid w:val="007F7B32"/>
    <w:rsid w:val="00804BC2"/>
    <w:rsid w:val="00805ADB"/>
    <w:rsid w:val="0081431A"/>
    <w:rsid w:val="008168F3"/>
    <w:rsid w:val="008171B8"/>
    <w:rsid w:val="0082252A"/>
    <w:rsid w:val="008263A3"/>
    <w:rsid w:val="00830238"/>
    <w:rsid w:val="0083216F"/>
    <w:rsid w:val="00842128"/>
    <w:rsid w:val="00844882"/>
    <w:rsid w:val="00860000"/>
    <w:rsid w:val="008627F6"/>
    <w:rsid w:val="008638DC"/>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D3689"/>
    <w:rsid w:val="008D4E98"/>
    <w:rsid w:val="008E08ED"/>
    <w:rsid w:val="008E13AE"/>
    <w:rsid w:val="008E1506"/>
    <w:rsid w:val="008E67F3"/>
    <w:rsid w:val="008E710C"/>
    <w:rsid w:val="008F69D6"/>
    <w:rsid w:val="00902823"/>
    <w:rsid w:val="00915CA6"/>
    <w:rsid w:val="00916505"/>
    <w:rsid w:val="00927834"/>
    <w:rsid w:val="00927880"/>
    <w:rsid w:val="00933E85"/>
    <w:rsid w:val="009361B6"/>
    <w:rsid w:val="00936CB0"/>
    <w:rsid w:val="009410BD"/>
    <w:rsid w:val="00943D3F"/>
    <w:rsid w:val="009500A6"/>
    <w:rsid w:val="00953B14"/>
    <w:rsid w:val="00957C18"/>
    <w:rsid w:val="00965874"/>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4E5"/>
    <w:rsid w:val="00A24E7E"/>
    <w:rsid w:val="00A258C3"/>
    <w:rsid w:val="00A328C2"/>
    <w:rsid w:val="00A347C0"/>
    <w:rsid w:val="00A51431"/>
    <w:rsid w:val="00A539AD"/>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A5B64"/>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46E9"/>
    <w:rsid w:val="00C97743"/>
    <w:rsid w:val="00CA0BBB"/>
    <w:rsid w:val="00CC46AB"/>
    <w:rsid w:val="00CD421E"/>
    <w:rsid w:val="00CD6755"/>
    <w:rsid w:val="00CD6856"/>
    <w:rsid w:val="00CE0089"/>
    <w:rsid w:val="00CE2E7A"/>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5D93"/>
    <w:rsid w:val="00DE15F0"/>
    <w:rsid w:val="00DE5663"/>
    <w:rsid w:val="00DE572E"/>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5604"/>
    <w:rsid w:val="00E66496"/>
    <w:rsid w:val="00E66B35"/>
    <w:rsid w:val="00E66E10"/>
    <w:rsid w:val="00E716B7"/>
    <w:rsid w:val="00E73A29"/>
    <w:rsid w:val="00E7658A"/>
    <w:rsid w:val="00E769F6"/>
    <w:rsid w:val="00E80455"/>
    <w:rsid w:val="00E8407C"/>
    <w:rsid w:val="00E84F3C"/>
    <w:rsid w:val="00E8563D"/>
    <w:rsid w:val="00E91A1A"/>
    <w:rsid w:val="00EA012C"/>
    <w:rsid w:val="00EB09EC"/>
    <w:rsid w:val="00EB7C71"/>
    <w:rsid w:val="00EC6799"/>
    <w:rsid w:val="00EC753F"/>
    <w:rsid w:val="00ED0288"/>
    <w:rsid w:val="00ED302F"/>
    <w:rsid w:val="00EE1F4E"/>
    <w:rsid w:val="00EE52CB"/>
    <w:rsid w:val="00EF063E"/>
    <w:rsid w:val="00EF3CBE"/>
    <w:rsid w:val="00EF581D"/>
    <w:rsid w:val="00EF7FD8"/>
    <w:rsid w:val="00F03D01"/>
    <w:rsid w:val="00F06F59"/>
    <w:rsid w:val="00F14BE4"/>
    <w:rsid w:val="00F17988"/>
    <w:rsid w:val="00F20284"/>
    <w:rsid w:val="00F2316C"/>
    <w:rsid w:val="00F31B7E"/>
    <w:rsid w:val="00F451F7"/>
    <w:rsid w:val="00F469F0"/>
    <w:rsid w:val="00F51BEA"/>
    <w:rsid w:val="00F53273"/>
    <w:rsid w:val="00F611D1"/>
    <w:rsid w:val="00F63290"/>
    <w:rsid w:val="00F674B3"/>
    <w:rsid w:val="00F71026"/>
    <w:rsid w:val="00F755E4"/>
    <w:rsid w:val="00F76E5D"/>
    <w:rsid w:val="00F77179"/>
    <w:rsid w:val="00F77830"/>
    <w:rsid w:val="00F77D02"/>
    <w:rsid w:val="00FA40D3"/>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A244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teamat/hry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DC2F-67DC-4D52-A601-44E3B209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1221</TotalTime>
  <Pages>10</Pages>
  <Words>4792</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41</cp:revision>
  <cp:lastPrinted>2025-04-25T00:56:00Z</cp:lastPrinted>
  <dcterms:created xsi:type="dcterms:W3CDTF">2025-05-12T03:16:00Z</dcterms:created>
  <dcterms:modified xsi:type="dcterms:W3CDTF">2025-05-24T08:29:00Z</dcterms:modified>
</cp:coreProperties>
</file>