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CF522" w14:textId="77777777" w:rsidR="008959A9" w:rsidRDefault="008959A9">
      <w:pPr>
        <w:tabs>
          <w:tab w:val="left" w:pos="8505"/>
        </w:tabs>
        <w:jc w:val="right"/>
        <w:rPr>
          <w:rFonts w:ascii="Arial" w:eastAsia="Arial" w:hAnsi="Arial" w:cs="Arial"/>
          <w:b/>
          <w:sz w:val="36"/>
          <w:szCs w:val="36"/>
        </w:rPr>
      </w:pPr>
    </w:p>
    <w:p w14:paraId="75894061" w14:textId="22250F69" w:rsidR="000B1D44" w:rsidRDefault="00C7142C">
      <w:pPr>
        <w:tabs>
          <w:tab w:val="left" w:pos="8505"/>
        </w:tabs>
        <w:jc w:val="right"/>
        <w:rPr>
          <w:rFonts w:ascii="Arial" w:eastAsia="Arial" w:hAnsi="Arial" w:cs="Arial"/>
          <w:b/>
          <w:color w:val="000000"/>
          <w:sz w:val="36"/>
          <w:szCs w:val="36"/>
        </w:rPr>
      </w:pPr>
      <w:r>
        <w:rPr>
          <w:rFonts w:ascii="Arial" w:eastAsia="Arial" w:hAnsi="Arial" w:cs="Arial"/>
          <w:b/>
          <w:sz w:val="36"/>
          <w:szCs w:val="36"/>
        </w:rPr>
        <w:t xml:space="preserve">Teachers’ </w:t>
      </w:r>
      <w:r w:rsidR="005E601C">
        <w:rPr>
          <w:rFonts w:ascii="Arial" w:eastAsia="Arial" w:hAnsi="Arial" w:cs="Arial"/>
          <w:b/>
          <w:sz w:val="36"/>
          <w:szCs w:val="36"/>
        </w:rPr>
        <w:t>Situated Learning Practices</w:t>
      </w:r>
      <w:r>
        <w:rPr>
          <w:rFonts w:ascii="Arial" w:eastAsia="Arial" w:hAnsi="Arial" w:cs="Arial"/>
          <w:b/>
          <w:sz w:val="36"/>
          <w:szCs w:val="36"/>
        </w:rPr>
        <w:t xml:space="preserve"> on</w:t>
      </w:r>
      <w:r w:rsidR="00DB7D56">
        <w:rPr>
          <w:rFonts w:ascii="Arial" w:eastAsia="Arial" w:hAnsi="Arial" w:cs="Arial"/>
          <w:b/>
          <w:sz w:val="36"/>
          <w:szCs w:val="36"/>
        </w:rPr>
        <w:t xml:space="preserve"> </w:t>
      </w:r>
      <w:r>
        <w:rPr>
          <w:rFonts w:ascii="Arial" w:eastAsia="Arial" w:hAnsi="Arial" w:cs="Arial"/>
          <w:b/>
          <w:sz w:val="36"/>
          <w:szCs w:val="36"/>
        </w:rPr>
        <w:t>College Students’ Critical Thinking</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72A29A22"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1C4BA2BD" w:rsidR="000B1D44" w:rsidRDefault="001C19D9">
            <w:pPr>
              <w:jc w:val="both"/>
              <w:rPr>
                <w:rFonts w:ascii="Arial" w:eastAsia="Arial" w:hAnsi="Arial" w:cs="Arial"/>
              </w:rPr>
            </w:pPr>
            <w:r w:rsidRPr="001C19D9">
              <w:rPr>
                <w:rFonts w:ascii="Arial" w:eastAsia="Arial" w:hAnsi="Arial" w:cs="Arial"/>
              </w:rPr>
              <w:t xml:space="preserve">This study explored the relationship between situated learning practices employed by mathematics teachers and critical thinking skills </w:t>
            </w:r>
            <w:bookmarkStart w:id="0" w:name="_Hlk197366764"/>
            <w:r w:rsidRPr="001C19D9">
              <w:rPr>
                <w:rFonts w:ascii="Arial" w:eastAsia="Arial" w:hAnsi="Arial" w:cs="Arial"/>
              </w:rPr>
              <w:t>among college students from one of the campuses of a state university in Southeastern Philippines</w:t>
            </w:r>
            <w:bookmarkEnd w:id="0"/>
            <w:r w:rsidRPr="001C19D9">
              <w:rPr>
                <w:rFonts w:ascii="Arial" w:eastAsia="Arial" w:hAnsi="Arial" w:cs="Arial"/>
              </w:rPr>
              <w:t xml:space="preserve"> using a descriptive correlational design. Data were gathered from 275 students through a survey. The findings revealed mathematics teachers frequently use situated learning practices 2 to 4 times a week in terms of authentic context, authentic activities and authentic assessment. Students generally demonstrate an average to high level on their critical thinking, though there are few who achieved low level. Correlation analysis indicated positive relationships between teachers’ situated learning practices and students’ critical thinking. Regression analysis further identified teachers’ situated learning practices as significant predictor of college students’ critical thinking, explaining 30.50% of the variance. These results highlight the importance of promoting situated learning practices to improve their critical thinking.</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35D3BE17" w:rsidR="000B1D44" w:rsidRDefault="000B62FC">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781DB3">
        <w:rPr>
          <w:rFonts w:ascii="Arial" w:eastAsia="Arial" w:hAnsi="Arial" w:cs="Arial"/>
          <w:i/>
          <w:color w:val="000000"/>
        </w:rPr>
        <w:t>Situated learning practices</w:t>
      </w:r>
      <w:r>
        <w:rPr>
          <w:rFonts w:ascii="Arial" w:eastAsia="Arial" w:hAnsi="Arial" w:cs="Arial"/>
          <w:i/>
          <w:color w:val="000000"/>
        </w:rPr>
        <w:t xml:space="preserve">, </w:t>
      </w:r>
      <w:r w:rsidR="00781DB3">
        <w:rPr>
          <w:rFonts w:ascii="Arial" w:eastAsia="Arial" w:hAnsi="Arial" w:cs="Arial"/>
          <w:i/>
          <w:color w:val="000000"/>
        </w:rPr>
        <w:t>students’ critical thinking</w:t>
      </w:r>
      <w:r>
        <w:rPr>
          <w:rFonts w:ascii="Arial" w:eastAsia="Arial" w:hAnsi="Arial" w:cs="Arial"/>
          <w:i/>
          <w:color w:val="000000"/>
        </w:rPr>
        <w:t xml:space="preserve">, </w:t>
      </w:r>
      <w:r w:rsidR="00781DB3">
        <w:rPr>
          <w:rFonts w:ascii="Arial" w:eastAsia="Arial" w:hAnsi="Arial" w:cs="Arial"/>
          <w:i/>
          <w:color w:val="000000"/>
        </w:rPr>
        <w:t>authentic context, authentic activities, authentic assessment</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34A0C779"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Critical thinking is one of the essential skills needed to meet the demands of the 21st century—a time marked by innovation and digitalization (Jamil et al., 2024). In higher education, critical thinking enables students to effectively express ideas, analyze information, and make sound decisions. It is widely recognized as a key factor in academic success and is increasingly valued in the workforce (Vincent</w:t>
      </w:r>
      <w:r w:rsidRPr="00060459">
        <w:rPr>
          <w:rFonts w:ascii="Cambria Math" w:eastAsia="Arial" w:hAnsi="Cambria Math" w:cs="Cambria Math"/>
        </w:rPr>
        <w:t>‐</w:t>
      </w:r>
      <w:proofErr w:type="spellStart"/>
      <w:r w:rsidRPr="00060459">
        <w:rPr>
          <w:rFonts w:ascii="Arial" w:eastAsia="Arial" w:hAnsi="Arial" w:cs="Arial"/>
        </w:rPr>
        <w:t>Lancrin</w:t>
      </w:r>
      <w:proofErr w:type="spellEnd"/>
      <w:r w:rsidRPr="00060459">
        <w:rPr>
          <w:rFonts w:ascii="Arial" w:eastAsia="Arial" w:hAnsi="Arial" w:cs="Arial"/>
        </w:rPr>
        <w:t>, 2023). Developing this skill not only boosts students’ career prospects but also contributes to their personal growth and lifelong learning.</w:t>
      </w:r>
    </w:p>
    <w:p w14:paraId="0BAADF3C"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Despite its recognized importance, developing critical thinking among students remains a challenge (</w:t>
      </w:r>
      <w:proofErr w:type="spellStart"/>
      <w:r w:rsidRPr="00060459">
        <w:rPr>
          <w:rFonts w:ascii="Arial" w:eastAsia="Arial" w:hAnsi="Arial" w:cs="Arial"/>
        </w:rPr>
        <w:t>Stupple</w:t>
      </w:r>
      <w:proofErr w:type="spellEnd"/>
      <w:r w:rsidRPr="00060459">
        <w:rPr>
          <w:rFonts w:ascii="Arial" w:eastAsia="Arial" w:hAnsi="Arial" w:cs="Arial"/>
        </w:rPr>
        <w:t xml:space="preserve"> et al., 2017). One of the major tasks of modern education is preparing students to adapt to a fast-changing world (Adeyemi, 2012). Many students struggle with critical thinking because they lack exposure to real-life applications and hands-on learning experiences (Mahdi et al., 2020). Nevertheless, higher education has the potential to equip students with the necessary thinking skills to face complex issues in adulthood (Huber &amp; </w:t>
      </w:r>
      <w:proofErr w:type="spellStart"/>
      <w:r w:rsidRPr="00060459">
        <w:rPr>
          <w:rFonts w:ascii="Arial" w:eastAsia="Arial" w:hAnsi="Arial" w:cs="Arial"/>
        </w:rPr>
        <w:t>Kuncel</w:t>
      </w:r>
      <w:proofErr w:type="spellEnd"/>
      <w:r w:rsidRPr="00060459">
        <w:rPr>
          <w:rFonts w:ascii="Arial" w:eastAsia="Arial" w:hAnsi="Arial" w:cs="Arial"/>
        </w:rPr>
        <w:t>, 2016). Miranda (2018) supports this by showing that aside from cognitive ability, psycho-sociological traits also influence performance, highlighting the multifaceted nature of students’ thinking skills development.</w:t>
      </w:r>
    </w:p>
    <w:p w14:paraId="3542BA6B" w14:textId="77777777" w:rsidR="00060459" w:rsidRPr="00060459" w:rsidRDefault="00060459" w:rsidP="00060459">
      <w:pPr>
        <w:ind w:firstLine="720"/>
        <w:jc w:val="both"/>
        <w:rPr>
          <w:rFonts w:ascii="Arial" w:eastAsia="Arial" w:hAnsi="Arial" w:cs="Arial"/>
        </w:rPr>
      </w:pPr>
    </w:p>
    <w:p w14:paraId="5BF6687F" w14:textId="7C630D1F" w:rsidR="00060459" w:rsidRPr="00060459" w:rsidRDefault="00060459" w:rsidP="00060459">
      <w:pPr>
        <w:ind w:firstLine="720"/>
        <w:jc w:val="both"/>
        <w:rPr>
          <w:rFonts w:ascii="Arial" w:eastAsia="Arial" w:hAnsi="Arial" w:cs="Arial"/>
        </w:rPr>
      </w:pPr>
      <w:r w:rsidRPr="00060459">
        <w:rPr>
          <w:rFonts w:ascii="Arial" w:eastAsia="Arial" w:hAnsi="Arial" w:cs="Arial"/>
        </w:rPr>
        <w:t>The development of critical thinking has become a central focus in education (Walter &amp; Walter, 2018), not only because it enhances learning outcomes but also because it promotes positive student attitudes and perseverance (</w:t>
      </w:r>
      <w:proofErr w:type="spellStart"/>
      <w:r w:rsidRPr="00060459">
        <w:rPr>
          <w:rFonts w:ascii="Arial" w:eastAsia="Arial" w:hAnsi="Arial" w:cs="Arial"/>
        </w:rPr>
        <w:t>Saldıray</w:t>
      </w:r>
      <w:proofErr w:type="spellEnd"/>
      <w:r w:rsidRPr="00060459">
        <w:rPr>
          <w:rFonts w:ascii="Arial" w:eastAsia="Arial" w:hAnsi="Arial" w:cs="Arial"/>
        </w:rPr>
        <w:t xml:space="preserve"> &amp; </w:t>
      </w:r>
      <w:proofErr w:type="spellStart"/>
      <w:r w:rsidRPr="00060459">
        <w:rPr>
          <w:rFonts w:ascii="Arial" w:eastAsia="Arial" w:hAnsi="Arial" w:cs="Arial"/>
        </w:rPr>
        <w:t>Doğanay</w:t>
      </w:r>
      <w:proofErr w:type="spellEnd"/>
      <w:r w:rsidRPr="00060459">
        <w:rPr>
          <w:rFonts w:ascii="Arial" w:eastAsia="Arial" w:hAnsi="Arial" w:cs="Arial"/>
        </w:rPr>
        <w:t xml:space="preserve">, 2024; </w:t>
      </w:r>
      <w:proofErr w:type="spellStart"/>
      <w:r w:rsidRPr="00060459">
        <w:rPr>
          <w:rFonts w:ascii="Arial" w:eastAsia="Arial" w:hAnsi="Arial" w:cs="Arial"/>
        </w:rPr>
        <w:t>Arisoy</w:t>
      </w:r>
      <w:proofErr w:type="spellEnd"/>
      <w:r w:rsidRPr="00060459">
        <w:rPr>
          <w:rFonts w:ascii="Arial" w:eastAsia="Arial" w:hAnsi="Arial" w:cs="Arial"/>
        </w:rPr>
        <w:t xml:space="preserve"> &amp; </w:t>
      </w:r>
      <w:proofErr w:type="spellStart"/>
      <w:r w:rsidRPr="00060459">
        <w:rPr>
          <w:rFonts w:ascii="Arial" w:eastAsia="Arial" w:hAnsi="Arial" w:cs="Arial"/>
        </w:rPr>
        <w:t>Aybek</w:t>
      </w:r>
      <w:proofErr w:type="spellEnd"/>
      <w:r w:rsidRPr="00060459">
        <w:rPr>
          <w:rFonts w:ascii="Arial" w:eastAsia="Arial" w:hAnsi="Arial" w:cs="Arial"/>
        </w:rPr>
        <w:t xml:space="preserve">, 2021). Furthermore, critical thinking contributes to long-term professional success (Dwyer et al., 2015). Therefore, it is essential for schools and universities to deliberately integrate critical thinking into their instructional approaches. </w:t>
      </w:r>
      <w:r w:rsidR="008B3A56" w:rsidRPr="008B3A56">
        <w:rPr>
          <w:rFonts w:ascii="Arial" w:eastAsia="Arial" w:hAnsi="Arial" w:cs="Arial"/>
        </w:rPr>
        <w:t xml:space="preserve">Recent studies have also emphasized that a </w:t>
      </w:r>
      <w:r w:rsidR="008B3A56" w:rsidRPr="008B3A56">
        <w:rPr>
          <w:rFonts w:ascii="Arial" w:eastAsia="Arial" w:hAnsi="Arial" w:cs="Arial"/>
          <w:highlight w:val="yellow"/>
        </w:rPr>
        <w:t>learner's ability to actively control their own learning process</w:t>
      </w:r>
      <w:r w:rsidR="008B3A56" w:rsidRPr="008B3A56">
        <w:rPr>
          <w:rFonts w:ascii="Arial" w:eastAsia="Arial" w:hAnsi="Arial" w:cs="Arial"/>
        </w:rPr>
        <w:t>, known as self-regulated learning (</w:t>
      </w:r>
      <w:proofErr w:type="spellStart"/>
      <w:r w:rsidR="008B3A56" w:rsidRPr="008B3A56">
        <w:rPr>
          <w:rFonts w:ascii="Arial" w:eastAsia="Arial" w:hAnsi="Arial" w:cs="Arial"/>
        </w:rPr>
        <w:t>Lumoto</w:t>
      </w:r>
      <w:proofErr w:type="spellEnd"/>
      <w:r w:rsidR="008B3A56" w:rsidRPr="008B3A56">
        <w:rPr>
          <w:rFonts w:ascii="Arial" w:eastAsia="Arial" w:hAnsi="Arial" w:cs="Arial"/>
        </w:rPr>
        <w:t xml:space="preserve"> et al., 2024), </w:t>
      </w:r>
      <w:r w:rsidR="008B3A56" w:rsidRPr="008B3A56">
        <w:rPr>
          <w:rFonts w:ascii="Arial" w:eastAsia="Arial" w:hAnsi="Arial" w:cs="Arial"/>
          <w:highlight w:val="yellow"/>
        </w:rPr>
        <w:t>individuals’ evaluations of their ability to cope with and resolve problems</w:t>
      </w:r>
      <w:r w:rsidR="008B3A56" w:rsidRPr="008B3A56">
        <w:rPr>
          <w:rFonts w:ascii="Arial" w:eastAsia="Arial" w:hAnsi="Arial" w:cs="Arial"/>
        </w:rPr>
        <w:t xml:space="preserve">, </w:t>
      </w:r>
      <w:r w:rsidR="008B3A56" w:rsidRPr="008B3A56">
        <w:rPr>
          <w:rFonts w:ascii="Arial" w:eastAsia="Arial" w:hAnsi="Arial" w:cs="Arial"/>
        </w:rPr>
        <w:lastRenderedPageBreak/>
        <w:t xml:space="preserve">referred to as problem-solving appraisals (Villegas et al., 2024), </w:t>
      </w:r>
      <w:r w:rsidR="008B3A56" w:rsidRPr="008B3A56">
        <w:rPr>
          <w:rFonts w:ascii="Arial" w:eastAsia="Arial" w:hAnsi="Arial" w:cs="Arial"/>
          <w:highlight w:val="yellow"/>
        </w:rPr>
        <w:t>and their capacity to effectively deal with academic challenges and bounce back from setbacks</w:t>
      </w:r>
      <w:r w:rsidR="008B3A56" w:rsidRPr="008B3A56">
        <w:rPr>
          <w:rFonts w:ascii="Arial" w:eastAsia="Arial" w:hAnsi="Arial" w:cs="Arial"/>
        </w:rPr>
        <w:t>, known as academic resiliency (</w:t>
      </w:r>
      <w:proofErr w:type="spellStart"/>
      <w:r w:rsidR="008B3A56" w:rsidRPr="008B3A56">
        <w:rPr>
          <w:rFonts w:ascii="Arial" w:eastAsia="Arial" w:hAnsi="Arial" w:cs="Arial"/>
        </w:rPr>
        <w:t>Agtarap</w:t>
      </w:r>
      <w:proofErr w:type="spellEnd"/>
      <w:r w:rsidR="008B3A56" w:rsidRPr="008B3A56">
        <w:rPr>
          <w:rFonts w:ascii="Arial" w:eastAsia="Arial" w:hAnsi="Arial" w:cs="Arial"/>
        </w:rPr>
        <w:t xml:space="preserve"> &amp; Miranda, 2022), are strongly associated with critical thinking, as they involve metacognitive strategies, logical reasoning, and reflective decision-making that support deeper learning and performance.</w:t>
      </w:r>
    </w:p>
    <w:p w14:paraId="69752198"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To better support students’ thinking development, educational practices must be designed to provide meaningful and practical learning experiences. Situated learning offers a promising approach in this regard. It allows students to connect academic knowledge with real-world contexts, enhancing the relevance and usefulness of what they learn (Catalano, 2015). Effective teaching, in this framework, involves guiding students through authentic tasks and engaging them in problem-solving within real-life scenarios (</w:t>
      </w:r>
      <w:proofErr w:type="spellStart"/>
      <w:r w:rsidRPr="00060459">
        <w:rPr>
          <w:rFonts w:ascii="Arial" w:eastAsia="Arial" w:hAnsi="Arial" w:cs="Arial"/>
        </w:rPr>
        <w:t>binti</w:t>
      </w:r>
      <w:proofErr w:type="spellEnd"/>
      <w:r w:rsidRPr="00060459">
        <w:rPr>
          <w:rFonts w:ascii="Arial" w:eastAsia="Arial" w:hAnsi="Arial" w:cs="Arial"/>
        </w:rPr>
        <w:t xml:space="preserve"> Pengiran &amp; </w:t>
      </w:r>
      <w:proofErr w:type="spellStart"/>
      <w:r w:rsidRPr="00060459">
        <w:rPr>
          <w:rFonts w:ascii="Arial" w:eastAsia="Arial" w:hAnsi="Arial" w:cs="Arial"/>
        </w:rPr>
        <w:t>Besar</w:t>
      </w:r>
      <w:proofErr w:type="spellEnd"/>
      <w:r w:rsidRPr="00060459">
        <w:rPr>
          <w:rFonts w:ascii="Arial" w:eastAsia="Arial" w:hAnsi="Arial" w:cs="Arial"/>
        </w:rPr>
        <w:t>, 2018).</w:t>
      </w:r>
    </w:p>
    <w:p w14:paraId="26D5B024"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Situated learning is both a theory and a method that emphasizes acquiring knowledge through practical experiences (Yan et al., 2024). It aims to bridge the gap between classroom instruction and real-world applications (Brown et al., 1989). As such, educators are encouraged to refine their teaching strategies to promote student engagement and thinking (</w:t>
      </w:r>
      <w:proofErr w:type="spellStart"/>
      <w:r w:rsidRPr="00060459">
        <w:rPr>
          <w:rFonts w:ascii="Arial" w:eastAsia="Arial" w:hAnsi="Arial" w:cs="Arial"/>
        </w:rPr>
        <w:t>Zulfqar</w:t>
      </w:r>
      <w:proofErr w:type="spellEnd"/>
      <w:r w:rsidRPr="00060459">
        <w:rPr>
          <w:rFonts w:ascii="Arial" w:eastAsia="Arial" w:hAnsi="Arial" w:cs="Arial"/>
        </w:rPr>
        <w:t xml:space="preserve"> &amp; Hayat, 2023). Research has shown that learning is more effective when it is grounded in authentic contexts, social interaction, and collaborative tasks (Kumar, 2021; Silva et al., 2018). These elements contribute to the development of students’ critical thinking by encouraging reflective and active learning (</w:t>
      </w:r>
      <w:proofErr w:type="spellStart"/>
      <w:r w:rsidRPr="00060459">
        <w:rPr>
          <w:rFonts w:ascii="Arial" w:eastAsia="Arial" w:hAnsi="Arial" w:cs="Arial"/>
        </w:rPr>
        <w:t>Isakesen</w:t>
      </w:r>
      <w:proofErr w:type="spellEnd"/>
      <w:r w:rsidRPr="00060459">
        <w:rPr>
          <w:rFonts w:ascii="Arial" w:eastAsia="Arial" w:hAnsi="Arial" w:cs="Arial"/>
        </w:rPr>
        <w:t>, 2017).</w:t>
      </w:r>
    </w:p>
    <w:p w14:paraId="320FF4D8"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Although several studies support the positive effects of situated learning on knowledge application and student engagement (Catalano, 2015; Silva et al., 2018), there is limited empirical evidence that directly links situated learning practices to measurable improvements in critical thinking skills. While both situated learning and critical thinking are well studied independently, there is a research gap when it comes to exploring their connection in the context of college students.</w:t>
      </w:r>
    </w:p>
    <w:p w14:paraId="50A92994"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This study investigates the relationship between mathematics teachers’ use of situated learning practices and the critical thinking skills of college students. Specifically, it examines the extent to which these teaching practices predict students’ critical thinking levels. The results aim to provide evidence that can help improve teaching strategies and enhance the learning experience of both educators and students.</w:t>
      </w:r>
    </w:p>
    <w:p w14:paraId="1C538952" w14:textId="799718D6" w:rsidR="00A949EB" w:rsidRDefault="00A949EB" w:rsidP="00831525">
      <w:pPr>
        <w:ind w:firstLine="720"/>
        <w:jc w:val="both"/>
        <w:rPr>
          <w:rFonts w:ascii="Arial" w:eastAsia="Arial" w:hAnsi="Arial" w:cs="Arial"/>
        </w:rPr>
      </w:pP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5AE4E79" w14:textId="4BBF0D71" w:rsidR="000B1D44" w:rsidRDefault="00E26B62" w:rsidP="00E26B62">
      <w:pPr>
        <w:pBdr>
          <w:top w:val="nil"/>
          <w:left w:val="nil"/>
          <w:bottom w:val="nil"/>
          <w:right w:val="nil"/>
          <w:between w:val="nil"/>
        </w:pBdr>
        <w:ind w:firstLine="360"/>
        <w:jc w:val="both"/>
        <w:rPr>
          <w:rFonts w:ascii="Arial" w:eastAsia="Arial" w:hAnsi="Arial" w:cs="Arial"/>
          <w:color w:val="000000"/>
        </w:rPr>
      </w:pPr>
      <w:r w:rsidRPr="00E26B62">
        <w:rPr>
          <w:rFonts w:ascii="Arial" w:eastAsia="Arial" w:hAnsi="Arial" w:cs="Arial"/>
          <w:color w:val="000000"/>
        </w:rPr>
        <w:t xml:space="preserve">This study aims to determine the level of </w:t>
      </w:r>
      <w:r w:rsidR="00DA1C23">
        <w:rPr>
          <w:rFonts w:ascii="Arial" w:eastAsia="Arial" w:hAnsi="Arial" w:cs="Arial"/>
          <w:color w:val="000000"/>
        </w:rPr>
        <w:t xml:space="preserve">college </w:t>
      </w:r>
      <w:r w:rsidRPr="00E26B62">
        <w:rPr>
          <w:rFonts w:ascii="Arial" w:eastAsia="Arial" w:hAnsi="Arial" w:cs="Arial"/>
          <w:color w:val="000000"/>
        </w:rPr>
        <w:t xml:space="preserve">students’ critical thinking skills and its relationship with </w:t>
      </w:r>
      <w:r w:rsidR="00DA1C23">
        <w:rPr>
          <w:rFonts w:ascii="Arial" w:eastAsia="Arial" w:hAnsi="Arial" w:cs="Arial"/>
          <w:color w:val="000000"/>
        </w:rPr>
        <w:t xml:space="preserve">mathematics teachers’ </w:t>
      </w:r>
      <w:r w:rsidRPr="00E26B62">
        <w:rPr>
          <w:rFonts w:ascii="Arial" w:eastAsia="Arial" w:hAnsi="Arial" w:cs="Arial"/>
          <w:color w:val="000000"/>
        </w:rPr>
        <w:t>situated learning practices in a state university in Southeastern Philippines during the first semester of the academic year 2024-2025. Specifically, it sought to:</w:t>
      </w:r>
    </w:p>
    <w:p w14:paraId="0A316069"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2B053BC5" w14:textId="38A7CC6B" w:rsidR="000B1D44" w:rsidRDefault="00060459">
      <w:pPr>
        <w:numPr>
          <w:ilvl w:val="0"/>
          <w:numId w:val="1"/>
        </w:num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Determine</w:t>
      </w:r>
      <w:r w:rsidR="00E26B62">
        <w:rPr>
          <w:rFonts w:ascii="Arial" w:eastAsia="Arial" w:hAnsi="Arial" w:cs="Arial"/>
          <w:color w:val="000000"/>
          <w:highlight w:val="white"/>
        </w:rPr>
        <w:t xml:space="preserve"> the </w:t>
      </w:r>
      <w:r>
        <w:rPr>
          <w:rFonts w:ascii="Arial" w:eastAsia="Arial" w:hAnsi="Arial" w:cs="Arial"/>
          <w:color w:val="000000"/>
          <w:highlight w:val="white"/>
        </w:rPr>
        <w:t xml:space="preserve">level of </w:t>
      </w:r>
      <w:r w:rsidR="00E26B62">
        <w:rPr>
          <w:rFonts w:ascii="Arial" w:eastAsia="Arial" w:hAnsi="Arial" w:cs="Arial"/>
          <w:color w:val="000000"/>
          <w:highlight w:val="white"/>
        </w:rPr>
        <w:t>situated learning practices employed by college mathematics teachers in terms of:</w:t>
      </w:r>
    </w:p>
    <w:p w14:paraId="02D2B6CF" w14:textId="2BBAACE8" w:rsidR="000B1D44" w:rsidRDefault="000B62FC">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1.1 </w:t>
      </w:r>
      <w:r w:rsidR="00E26B62">
        <w:rPr>
          <w:rFonts w:ascii="Arial" w:eastAsia="Arial" w:hAnsi="Arial" w:cs="Arial"/>
          <w:color w:val="000000"/>
          <w:highlight w:val="white"/>
        </w:rPr>
        <w:t>Authentic Context;</w:t>
      </w:r>
    </w:p>
    <w:p w14:paraId="68BBC630" w14:textId="117F89AA" w:rsidR="000B1D44" w:rsidRDefault="000B62FC">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1.2 </w:t>
      </w:r>
      <w:r w:rsidR="00E26B62">
        <w:rPr>
          <w:rFonts w:ascii="Arial" w:eastAsia="Arial" w:hAnsi="Arial" w:cs="Arial"/>
          <w:color w:val="000000"/>
          <w:highlight w:val="white"/>
        </w:rPr>
        <w:t>Authentic Activities</w:t>
      </w:r>
      <w:r>
        <w:rPr>
          <w:rFonts w:ascii="Arial" w:eastAsia="Arial" w:hAnsi="Arial" w:cs="Arial"/>
          <w:color w:val="000000"/>
          <w:highlight w:val="white"/>
        </w:rPr>
        <w:t xml:space="preserve">; and </w:t>
      </w:r>
    </w:p>
    <w:p w14:paraId="065DEAC4" w14:textId="210B7244" w:rsidR="000B1D44" w:rsidRDefault="000B62FC" w:rsidP="00737EAD">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1.3 </w:t>
      </w:r>
      <w:r w:rsidR="00E26B62">
        <w:rPr>
          <w:rFonts w:ascii="Arial" w:eastAsia="Arial" w:hAnsi="Arial" w:cs="Arial"/>
          <w:color w:val="000000"/>
          <w:highlight w:val="white"/>
        </w:rPr>
        <w:t>Authentic Assessment</w:t>
      </w:r>
      <w:r>
        <w:rPr>
          <w:rFonts w:ascii="Arial" w:eastAsia="Arial" w:hAnsi="Arial" w:cs="Arial"/>
          <w:color w:val="000000"/>
          <w:highlight w:val="white"/>
        </w:rPr>
        <w:t>.</w:t>
      </w:r>
    </w:p>
    <w:p w14:paraId="094AD7A6" w14:textId="1C4C1E2E" w:rsidR="00737EAD" w:rsidRPr="00737EAD" w:rsidRDefault="00E26B62" w:rsidP="00FE37DC">
      <w:pPr>
        <w:pStyle w:val="ListParagraph"/>
        <w:numPr>
          <w:ilvl w:val="0"/>
          <w:numId w:val="1"/>
        </w:numPr>
        <w:jc w:val="both"/>
        <w:rPr>
          <w:rFonts w:ascii="Arial" w:eastAsia="Arial" w:hAnsi="Arial" w:cs="Arial"/>
          <w:color w:val="000000"/>
        </w:rPr>
      </w:pPr>
      <w:r w:rsidRPr="00060459">
        <w:rPr>
          <w:rFonts w:ascii="Arial" w:eastAsia="Arial" w:hAnsi="Arial" w:cs="Arial"/>
          <w:color w:val="000000"/>
        </w:rPr>
        <w:t>Determine the level of critical thinking skills among college students</w:t>
      </w:r>
      <w:r w:rsidR="00060459">
        <w:rPr>
          <w:rFonts w:ascii="Arial" w:eastAsia="Arial" w:hAnsi="Arial" w:cs="Arial"/>
          <w:color w:val="000000"/>
        </w:rPr>
        <w:t>;</w:t>
      </w:r>
    </w:p>
    <w:p w14:paraId="6268521C" w14:textId="56ECADAD" w:rsidR="00E26B62" w:rsidRPr="00E26B62" w:rsidRDefault="00E26B62" w:rsidP="004775B6">
      <w:pPr>
        <w:pStyle w:val="ListParagraph"/>
        <w:numPr>
          <w:ilvl w:val="0"/>
          <w:numId w:val="1"/>
        </w:numPr>
        <w:jc w:val="both"/>
        <w:rPr>
          <w:rFonts w:ascii="Arial" w:eastAsia="Arial" w:hAnsi="Arial" w:cs="Arial"/>
          <w:color w:val="000000"/>
        </w:rPr>
      </w:pPr>
      <w:r w:rsidRPr="00E26B62">
        <w:rPr>
          <w:rFonts w:ascii="Arial" w:eastAsia="Arial" w:hAnsi="Arial" w:cs="Arial"/>
          <w:color w:val="000000"/>
        </w:rPr>
        <w:t>Determine the significant relationship between the situated learning practices of college teachers and the students’ critical thinking skills.</w:t>
      </w:r>
    </w:p>
    <w:p w14:paraId="1585B372" w14:textId="77777777" w:rsidR="000B1D44" w:rsidRDefault="000B1D44">
      <w:pPr>
        <w:pBdr>
          <w:top w:val="nil"/>
          <w:left w:val="nil"/>
          <w:bottom w:val="nil"/>
          <w:right w:val="nil"/>
          <w:between w:val="nil"/>
        </w:pBdr>
        <w:ind w:left="720"/>
        <w:jc w:val="both"/>
        <w:rPr>
          <w:rFonts w:ascii="Arial" w:eastAsia="Arial" w:hAnsi="Arial" w:cs="Arial"/>
          <w:color w:val="000000"/>
          <w:highlight w:val="white"/>
        </w:rPr>
      </w:pPr>
    </w:p>
    <w:p w14:paraId="2356A562" w14:textId="4332726A" w:rsidR="00E26B62" w:rsidRPr="00E26B62" w:rsidRDefault="00E26B62" w:rsidP="004775B6">
      <w:pPr>
        <w:pStyle w:val="ListParagraph"/>
        <w:numPr>
          <w:ilvl w:val="0"/>
          <w:numId w:val="1"/>
        </w:numPr>
        <w:jc w:val="both"/>
        <w:rPr>
          <w:rFonts w:ascii="Arial" w:eastAsia="Arial" w:hAnsi="Arial" w:cs="Arial"/>
          <w:color w:val="000000"/>
        </w:rPr>
      </w:pPr>
      <w:r w:rsidRPr="00E26B62">
        <w:rPr>
          <w:rFonts w:ascii="Arial" w:eastAsia="Arial" w:hAnsi="Arial" w:cs="Arial"/>
          <w:color w:val="000000"/>
        </w:rPr>
        <w:t>Determine whether situated learning practices of college teachers predict the students’ critical thinking skills.</w:t>
      </w:r>
    </w:p>
    <w:p w14:paraId="0880B320" w14:textId="77777777" w:rsidR="000B1D44" w:rsidRDefault="000B62FC">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 </w:t>
      </w:r>
    </w:p>
    <w:p w14:paraId="4C6485F3"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Research Design</w:t>
      </w:r>
    </w:p>
    <w:p w14:paraId="17C6AD44" w14:textId="6379FB70" w:rsidR="000B1D44" w:rsidRDefault="008174FA" w:rsidP="00E26B62">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This study used a descriptive-correlational design to describe the variables and examine the natural relationship between them (Creswell &amp; Creswell, 2017). The primary focus was to determine the significant relationship between mathematics teachers’ situated learning practices and college students’ critical thinking skills. Data collection involved descriptive surveys, using questionnaires to assess teachers’ situated learning practices and measure students’ critical thinking.</w:t>
      </w:r>
    </w:p>
    <w:p w14:paraId="666B4737"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3BF1C07A"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6F6D2F7E" w14:textId="5A2DD251"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The main instrument used to assess students’ critical thinking was the Critical Thinking Questionnaire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developed by </w:t>
      </w:r>
      <w:proofErr w:type="spellStart"/>
      <w:r w:rsidRPr="008174FA">
        <w:rPr>
          <w:rFonts w:ascii="Arial" w:eastAsia="Arial" w:hAnsi="Arial" w:cs="Arial"/>
          <w:color w:val="000000"/>
        </w:rPr>
        <w:t>Kobylarek</w:t>
      </w:r>
      <w:proofErr w:type="spellEnd"/>
      <w:r w:rsidRPr="008174FA">
        <w:rPr>
          <w:rFonts w:ascii="Arial" w:eastAsia="Arial" w:hAnsi="Arial" w:cs="Arial"/>
          <w:color w:val="000000"/>
        </w:rPr>
        <w:t xml:space="preserve"> et al. (2022). The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is designed to evaluate critical thinking among adolescents and adults. It was developed based on Benjamin Bloom’s </w:t>
      </w:r>
      <w:r w:rsidR="00A86980" w:rsidRPr="00A86980">
        <w:rPr>
          <w:rFonts w:ascii="Arial" w:eastAsia="Arial" w:hAnsi="Arial" w:cs="Arial"/>
          <w:color w:val="000000"/>
          <w:highlight w:val="yellow"/>
        </w:rPr>
        <w:t>learning</w:t>
      </w:r>
      <w:r w:rsidRPr="008174FA">
        <w:rPr>
          <w:rFonts w:ascii="Arial" w:eastAsia="Arial" w:hAnsi="Arial" w:cs="Arial"/>
          <w:color w:val="000000"/>
        </w:rPr>
        <w:t xml:space="preserve"> objectives and supported by a team of experts in critical thinking. The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consists of 25 statements targeting the participants’ ability to remember, understand, apply, analyze, evaluate, and create. It has a reported composite reliability of 0.877, indicating strong internal consistency. According to </w:t>
      </w:r>
      <w:proofErr w:type="spellStart"/>
      <w:r w:rsidRPr="008174FA">
        <w:rPr>
          <w:rFonts w:ascii="Arial" w:eastAsia="Arial" w:hAnsi="Arial" w:cs="Arial"/>
          <w:color w:val="000000"/>
        </w:rPr>
        <w:t>Skorková</w:t>
      </w:r>
      <w:proofErr w:type="spellEnd"/>
      <w:r w:rsidRPr="008174FA">
        <w:rPr>
          <w:rFonts w:ascii="Arial" w:eastAsia="Arial" w:hAnsi="Arial" w:cs="Arial"/>
          <w:color w:val="000000"/>
        </w:rPr>
        <w:t xml:space="preserve"> and </w:t>
      </w:r>
      <w:proofErr w:type="spellStart"/>
      <w:r w:rsidRPr="008174FA">
        <w:rPr>
          <w:rFonts w:ascii="Arial" w:eastAsia="Arial" w:hAnsi="Arial" w:cs="Arial"/>
          <w:color w:val="000000"/>
        </w:rPr>
        <w:t>Gažová-Adamková</w:t>
      </w:r>
      <w:proofErr w:type="spellEnd"/>
      <w:r w:rsidRPr="008174FA">
        <w:rPr>
          <w:rFonts w:ascii="Arial" w:eastAsia="Arial" w:hAnsi="Arial" w:cs="Arial"/>
          <w:color w:val="000000"/>
        </w:rPr>
        <w:t xml:space="preserve"> (2024), the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is a useful tool for assessing critical thinking levels in university students across different educational contexts.</w:t>
      </w:r>
    </w:p>
    <w:p w14:paraId="562D5F85" w14:textId="77777777"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 xml:space="preserve">Another instrument used was adapted from the original questionnaire developed by </w:t>
      </w:r>
      <w:proofErr w:type="spellStart"/>
      <w:r w:rsidRPr="008174FA">
        <w:rPr>
          <w:rFonts w:ascii="Arial" w:eastAsia="Arial" w:hAnsi="Arial" w:cs="Arial"/>
          <w:color w:val="000000"/>
        </w:rPr>
        <w:t>Hortelano</w:t>
      </w:r>
      <w:proofErr w:type="spellEnd"/>
      <w:r w:rsidRPr="008174FA">
        <w:rPr>
          <w:rFonts w:ascii="Arial" w:eastAsia="Arial" w:hAnsi="Arial" w:cs="Arial"/>
          <w:color w:val="000000"/>
        </w:rPr>
        <w:t xml:space="preserve"> and Prudente (2024) to assess mathematics teachers’ situated learning practices in the Philippines. The adapted version was modified to include items that reflect college students’ perceptions and experiences, while still preserving the original content. This version was found to be comprehensive and suitable for the study’s context.</w:t>
      </w:r>
    </w:p>
    <w:p w14:paraId="60454E7B" w14:textId="77777777"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The internal consistency of the Mathematics Teachers’ Situated Learning Practices Questionnaire (MTSLPQ) was tested using Cronbach’s alpha. The result for the 22-item questionnaire was 0.801, indicating good reliability based on the interpretation scale by Hair et al. (2010). This suggests that the instrument is reliable for use among college students.</w:t>
      </w:r>
    </w:p>
    <w:p w14:paraId="1A931719" w14:textId="2282134A" w:rsidR="00E26B62" w:rsidRDefault="008174FA" w:rsidP="008174FA">
      <w:pPr>
        <w:pBdr>
          <w:top w:val="nil"/>
          <w:left w:val="nil"/>
          <w:bottom w:val="nil"/>
          <w:right w:val="nil"/>
          <w:between w:val="nil"/>
        </w:pBdr>
        <w:ind w:firstLine="720"/>
        <w:jc w:val="both"/>
        <w:rPr>
          <w:rFonts w:ascii="Arial" w:eastAsia="Arial" w:hAnsi="Arial" w:cs="Arial"/>
          <w:color w:val="000000"/>
          <w:highlight w:val="white"/>
        </w:rPr>
      </w:pPr>
      <w:r w:rsidRPr="008174FA">
        <w:rPr>
          <w:rFonts w:ascii="Arial" w:eastAsia="Arial" w:hAnsi="Arial" w:cs="Arial"/>
          <w:color w:val="000000"/>
        </w:rPr>
        <w:t xml:space="preserve">To ensure the validity of the MTSLPQ, three experts in Mathematics Education conducted a validation process. They evaluated the instrument using an institutional validation form based on several criteria: clarity of language, presentation and organization of topics, appropriateness of items, adequacy and attainment of purpose, respondent-friendliness, and objectivity. Validity was measured using </w:t>
      </w:r>
      <w:proofErr w:type="spellStart"/>
      <w:r w:rsidRPr="008174FA">
        <w:rPr>
          <w:rFonts w:ascii="Arial" w:eastAsia="Arial" w:hAnsi="Arial" w:cs="Arial"/>
          <w:color w:val="000000"/>
        </w:rPr>
        <w:t>Azwar’s</w:t>
      </w:r>
      <w:proofErr w:type="spellEnd"/>
      <w:r w:rsidRPr="008174FA">
        <w:rPr>
          <w:rFonts w:ascii="Arial" w:eastAsia="Arial" w:hAnsi="Arial" w:cs="Arial"/>
          <w:color w:val="000000"/>
        </w:rPr>
        <w:t xml:space="preserve"> (2012) scale and interpreted using the Aiken V formula.</w:t>
      </w:r>
      <w:r>
        <w:rPr>
          <w:rFonts w:ascii="Arial" w:eastAsia="Arial" w:hAnsi="Arial" w:cs="Arial"/>
          <w:color w:val="000000"/>
        </w:rPr>
        <w:t xml:space="preserve"> </w:t>
      </w:r>
      <w:r w:rsidRPr="008174FA">
        <w:rPr>
          <w:rFonts w:ascii="Arial" w:eastAsia="Arial" w:hAnsi="Arial" w:cs="Arial"/>
          <w:color w:val="000000"/>
        </w:rPr>
        <w:t xml:space="preserve">The results of the validity test showed very high validity across most criteria. </w:t>
      </w:r>
      <w:r>
        <w:rPr>
          <w:rFonts w:ascii="Arial" w:eastAsia="Arial" w:hAnsi="Arial" w:cs="Arial"/>
          <w:color w:val="000000"/>
        </w:rPr>
        <w:t>T</w:t>
      </w:r>
      <w:r w:rsidRPr="008174FA">
        <w:rPr>
          <w:rFonts w:ascii="Arial" w:eastAsia="Arial" w:hAnsi="Arial" w:cs="Arial"/>
          <w:color w:val="000000"/>
        </w:rPr>
        <w:t>he instrument achieved an Overall Validity Score of 0.95, which falls within the “very high” category. This confirms that the MTSLPQ is a valid and reliable tool for assessing the situated learning practices of mathematics teachers in the college setting.</w:t>
      </w:r>
    </w:p>
    <w:p w14:paraId="03B9A66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432477E"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39D79CCC" w14:textId="4C566BD9" w:rsidR="000B1D44" w:rsidRDefault="009E31D0">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8174FA" w:rsidRPr="008174FA">
        <w:rPr>
          <w:rFonts w:ascii="Arial" w:eastAsia="Arial" w:hAnsi="Arial" w:cs="Arial"/>
          <w:color w:val="000000"/>
        </w:rPr>
        <w:t xml:space="preserve">In this study, Table 1 showed the distribution of respondents. The respondents were college students enrolled in the five (5) programs offered at one of the campuses of a state university in Southeastern Philippines during the academic year 2024–2025. </w:t>
      </w:r>
      <w:r w:rsidR="0090737C" w:rsidRPr="0090737C">
        <w:rPr>
          <w:rFonts w:ascii="Arial" w:eastAsia="Arial" w:hAnsi="Arial" w:cs="Arial"/>
          <w:color w:val="000000"/>
        </w:rPr>
        <w:t xml:space="preserve">The researcher </w:t>
      </w:r>
      <w:r w:rsidR="0090737C" w:rsidRPr="0090737C">
        <w:rPr>
          <w:rFonts w:ascii="Arial" w:eastAsia="Arial" w:hAnsi="Arial" w:cs="Arial"/>
          <w:color w:val="000000"/>
          <w:highlight w:val="yellow"/>
        </w:rPr>
        <w:t>employed a probabilistic sampling method, specifically a stratified random sampling technique</w:t>
      </w:r>
      <w:r w:rsidR="008174FA" w:rsidRPr="008174FA">
        <w:rPr>
          <w:rFonts w:ascii="Arial" w:eastAsia="Arial" w:hAnsi="Arial" w:cs="Arial"/>
          <w:color w:val="000000"/>
        </w:rPr>
        <w:t xml:space="preserve">, which involved dividing the population into smaller subgroups or strata to ensure that each subgroup was proportionally represented. </w:t>
      </w:r>
      <w:proofErr w:type="spellStart"/>
      <w:r w:rsidR="008174FA" w:rsidRPr="008174FA">
        <w:rPr>
          <w:rFonts w:ascii="Arial" w:eastAsia="Arial" w:hAnsi="Arial" w:cs="Arial"/>
          <w:color w:val="000000"/>
        </w:rPr>
        <w:t>Slovin's</w:t>
      </w:r>
      <w:proofErr w:type="spellEnd"/>
      <w:r w:rsidR="008174FA" w:rsidRPr="008174FA">
        <w:rPr>
          <w:rFonts w:ascii="Arial" w:eastAsia="Arial" w:hAnsi="Arial" w:cs="Arial"/>
          <w:color w:val="000000"/>
        </w:rPr>
        <w:t xml:space="preserve"> formula was used to calculate the sample size, allowing for a statistically representative sample with the desired level of accuracy. To ensure proportional distribution of respondents across different programs, the stratified random sampling technique was applied. The lottery method was used to randomly select participants from each stratum, minimizing selection bias. The randomly selected students answered the adopted and adapted survey questionnaires. See Table 1 for the details of the distribution of respondents.</w:t>
      </w:r>
    </w:p>
    <w:p w14:paraId="2AE2DA6A" w14:textId="77777777" w:rsidR="009E31D0" w:rsidRDefault="009E31D0">
      <w:pPr>
        <w:pBdr>
          <w:top w:val="nil"/>
          <w:left w:val="nil"/>
          <w:bottom w:val="nil"/>
          <w:right w:val="nil"/>
          <w:between w:val="nil"/>
        </w:pBdr>
        <w:jc w:val="both"/>
        <w:rPr>
          <w:rFonts w:ascii="Arial" w:eastAsia="Arial" w:hAnsi="Arial" w:cs="Arial"/>
          <w:color w:val="000000"/>
          <w:highlight w:val="white"/>
        </w:rPr>
      </w:pPr>
    </w:p>
    <w:p w14:paraId="1FA70D76" w14:textId="77777777" w:rsidR="000B1D44" w:rsidRDefault="000B62FC">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Table 1. Distribution of Respondents</w:t>
      </w:r>
    </w:p>
    <w:tbl>
      <w:tblPr>
        <w:tblStyle w:val="a0"/>
        <w:tblW w:w="8190" w:type="dxa"/>
        <w:tblBorders>
          <w:top w:val="nil"/>
          <w:bottom w:val="nil"/>
        </w:tblBorders>
        <w:tblLayout w:type="fixed"/>
        <w:tblLook w:val="0660" w:firstRow="1" w:lastRow="1" w:firstColumn="0" w:lastColumn="0" w:noHBand="1" w:noVBand="1"/>
      </w:tblPr>
      <w:tblGrid>
        <w:gridCol w:w="1440"/>
        <w:gridCol w:w="2250"/>
        <w:gridCol w:w="1980"/>
        <w:gridCol w:w="2520"/>
      </w:tblGrid>
      <w:tr w:rsidR="000B1D44" w:rsidRPr="00E65376" w14:paraId="556A7BC5" w14:textId="77777777" w:rsidTr="000B1D44">
        <w:trPr>
          <w:cnfStyle w:val="100000000000" w:firstRow="1" w:lastRow="0" w:firstColumn="0" w:lastColumn="0" w:oddVBand="0" w:evenVBand="0" w:oddHBand="0" w:evenHBand="0" w:firstRowFirstColumn="0" w:firstRowLastColumn="0" w:lastRowFirstColumn="0" w:lastRowLastColumn="0"/>
          <w:trHeight w:val="91"/>
        </w:trPr>
        <w:tc>
          <w:tcPr>
            <w:tcW w:w="1440" w:type="dxa"/>
            <w:tcBorders>
              <w:top w:val="single" w:sz="24" w:space="0" w:color="000000"/>
              <w:bottom w:val="single" w:sz="4" w:space="0" w:color="000000"/>
            </w:tcBorders>
            <w:vAlign w:val="bottom"/>
          </w:tcPr>
          <w:p w14:paraId="66BC290E" w14:textId="1C8A0A5C" w:rsidR="000B1D44" w:rsidRPr="00E65376" w:rsidRDefault="009E31D0">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COLLEGE</w:t>
            </w:r>
          </w:p>
          <w:p w14:paraId="5B7FD8F9" w14:textId="77777777" w:rsidR="000B1D44" w:rsidRPr="00E65376" w:rsidRDefault="000B1D44">
            <w:pPr>
              <w:pBdr>
                <w:top w:val="nil"/>
                <w:left w:val="nil"/>
                <w:bottom w:val="nil"/>
                <w:right w:val="nil"/>
                <w:between w:val="nil"/>
              </w:pBdr>
              <w:jc w:val="center"/>
              <w:rPr>
                <w:rFonts w:ascii="Arial" w:eastAsia="Arial" w:hAnsi="Arial" w:cs="Arial"/>
                <w:highlight w:val="white"/>
              </w:rPr>
            </w:pPr>
          </w:p>
        </w:tc>
        <w:tc>
          <w:tcPr>
            <w:tcW w:w="2250" w:type="dxa"/>
            <w:tcBorders>
              <w:top w:val="single" w:sz="24" w:space="0" w:color="000000"/>
              <w:bottom w:val="single" w:sz="4" w:space="0" w:color="000000"/>
            </w:tcBorders>
            <w:vAlign w:val="bottom"/>
          </w:tcPr>
          <w:p w14:paraId="52B3AEF5"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lastRenderedPageBreak/>
              <w:t>POPULATION</w:t>
            </w:r>
          </w:p>
          <w:p w14:paraId="524BD96D"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lastRenderedPageBreak/>
              <w:t>(N)</w:t>
            </w:r>
          </w:p>
        </w:tc>
        <w:tc>
          <w:tcPr>
            <w:tcW w:w="1980" w:type="dxa"/>
            <w:tcBorders>
              <w:top w:val="single" w:sz="24" w:space="0" w:color="000000"/>
              <w:bottom w:val="single" w:sz="4" w:space="0" w:color="000000"/>
            </w:tcBorders>
            <w:vAlign w:val="bottom"/>
          </w:tcPr>
          <w:p w14:paraId="42E0FE11"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lastRenderedPageBreak/>
              <w:t>SAMPLE SIZE</w:t>
            </w:r>
          </w:p>
          <w:p w14:paraId="4C7FB95A"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lastRenderedPageBreak/>
              <w:t>(n)</w:t>
            </w:r>
          </w:p>
        </w:tc>
        <w:tc>
          <w:tcPr>
            <w:tcW w:w="2520" w:type="dxa"/>
            <w:tcBorders>
              <w:top w:val="single" w:sz="24" w:space="0" w:color="000000"/>
              <w:bottom w:val="single" w:sz="4" w:space="0" w:color="000000"/>
            </w:tcBorders>
            <w:vAlign w:val="bottom"/>
          </w:tcPr>
          <w:p w14:paraId="5AF6901B"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lastRenderedPageBreak/>
              <w:t>PERCENTAGE</w:t>
            </w:r>
          </w:p>
          <w:p w14:paraId="4003308E"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lastRenderedPageBreak/>
              <w:t>(%)</w:t>
            </w:r>
          </w:p>
        </w:tc>
      </w:tr>
      <w:tr w:rsidR="009E31D0" w:rsidRPr="00E65376" w14:paraId="7D751AF4" w14:textId="77777777" w:rsidTr="009158CD">
        <w:trPr>
          <w:trHeight w:val="87"/>
        </w:trPr>
        <w:tc>
          <w:tcPr>
            <w:tcW w:w="1440" w:type="dxa"/>
            <w:tcBorders>
              <w:top w:val="single" w:sz="4" w:space="0" w:color="000000"/>
            </w:tcBorders>
          </w:tcPr>
          <w:p w14:paraId="711B19A4" w14:textId="5D28D848"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lastRenderedPageBreak/>
              <w:t>1</w:t>
            </w:r>
          </w:p>
        </w:tc>
        <w:tc>
          <w:tcPr>
            <w:tcW w:w="2250" w:type="dxa"/>
            <w:tcBorders>
              <w:top w:val="single" w:sz="4" w:space="0" w:color="000000"/>
            </w:tcBorders>
          </w:tcPr>
          <w:p w14:paraId="37B3AA0E" w14:textId="6981F770"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210</w:t>
            </w:r>
          </w:p>
        </w:tc>
        <w:tc>
          <w:tcPr>
            <w:tcW w:w="1980" w:type="dxa"/>
            <w:tcBorders>
              <w:top w:val="single" w:sz="4" w:space="0" w:color="000000"/>
            </w:tcBorders>
          </w:tcPr>
          <w:p w14:paraId="028FB022" w14:textId="6EE3C661"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66</w:t>
            </w:r>
          </w:p>
        </w:tc>
        <w:tc>
          <w:tcPr>
            <w:tcW w:w="2520" w:type="dxa"/>
            <w:tcBorders>
              <w:top w:val="single" w:sz="4" w:space="0" w:color="000000"/>
            </w:tcBorders>
          </w:tcPr>
          <w:p w14:paraId="5D64C20B" w14:textId="7B87DDAD"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24.00</w:t>
            </w:r>
          </w:p>
        </w:tc>
      </w:tr>
      <w:tr w:rsidR="009E31D0" w:rsidRPr="00E65376" w14:paraId="06528342" w14:textId="77777777" w:rsidTr="009158CD">
        <w:trPr>
          <w:trHeight w:val="87"/>
        </w:trPr>
        <w:tc>
          <w:tcPr>
            <w:tcW w:w="1440" w:type="dxa"/>
          </w:tcPr>
          <w:p w14:paraId="1097F642" w14:textId="70052D92"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w:t>
            </w:r>
          </w:p>
        </w:tc>
        <w:tc>
          <w:tcPr>
            <w:tcW w:w="2250" w:type="dxa"/>
          </w:tcPr>
          <w:p w14:paraId="30CEFFF2" w14:textId="7BADE2A5"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175</w:t>
            </w:r>
          </w:p>
        </w:tc>
        <w:tc>
          <w:tcPr>
            <w:tcW w:w="1980" w:type="dxa"/>
          </w:tcPr>
          <w:p w14:paraId="103DA2B6" w14:textId="2C0272E9"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55</w:t>
            </w:r>
          </w:p>
        </w:tc>
        <w:tc>
          <w:tcPr>
            <w:tcW w:w="2520" w:type="dxa"/>
          </w:tcPr>
          <w:p w14:paraId="2797D1A6" w14:textId="795CE29C"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20.00</w:t>
            </w:r>
          </w:p>
        </w:tc>
      </w:tr>
      <w:tr w:rsidR="009E31D0" w:rsidRPr="00E65376" w14:paraId="3FFD4DC0" w14:textId="77777777" w:rsidTr="009158CD">
        <w:trPr>
          <w:trHeight w:val="87"/>
        </w:trPr>
        <w:tc>
          <w:tcPr>
            <w:tcW w:w="1440" w:type="dxa"/>
          </w:tcPr>
          <w:p w14:paraId="1FBC8E01" w14:textId="7B6E6657"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3</w:t>
            </w:r>
          </w:p>
        </w:tc>
        <w:tc>
          <w:tcPr>
            <w:tcW w:w="2250" w:type="dxa"/>
          </w:tcPr>
          <w:p w14:paraId="1FA073E3" w14:textId="5559188E"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174</w:t>
            </w:r>
          </w:p>
        </w:tc>
        <w:tc>
          <w:tcPr>
            <w:tcW w:w="1980" w:type="dxa"/>
          </w:tcPr>
          <w:p w14:paraId="698A95CB" w14:textId="560FF0A7"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54</w:t>
            </w:r>
          </w:p>
        </w:tc>
        <w:tc>
          <w:tcPr>
            <w:tcW w:w="2520" w:type="dxa"/>
          </w:tcPr>
          <w:p w14:paraId="04A16DC8" w14:textId="3C90142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19.63</w:t>
            </w:r>
          </w:p>
        </w:tc>
      </w:tr>
      <w:tr w:rsidR="009E31D0" w:rsidRPr="00E65376" w14:paraId="736EAE12" w14:textId="77777777" w:rsidTr="009158CD">
        <w:trPr>
          <w:trHeight w:val="87"/>
        </w:trPr>
        <w:tc>
          <w:tcPr>
            <w:tcW w:w="1440" w:type="dxa"/>
          </w:tcPr>
          <w:p w14:paraId="26822610" w14:textId="3599C196"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4</w:t>
            </w:r>
          </w:p>
        </w:tc>
        <w:tc>
          <w:tcPr>
            <w:tcW w:w="2250" w:type="dxa"/>
          </w:tcPr>
          <w:p w14:paraId="69FAF84B" w14:textId="4EA50FA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183</w:t>
            </w:r>
          </w:p>
        </w:tc>
        <w:tc>
          <w:tcPr>
            <w:tcW w:w="1980" w:type="dxa"/>
          </w:tcPr>
          <w:p w14:paraId="5C145632" w14:textId="6469ACEA"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57</w:t>
            </w:r>
          </w:p>
        </w:tc>
        <w:tc>
          <w:tcPr>
            <w:tcW w:w="2520" w:type="dxa"/>
          </w:tcPr>
          <w:p w14:paraId="133BAD29" w14:textId="4859581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20.73</w:t>
            </w:r>
          </w:p>
        </w:tc>
      </w:tr>
      <w:tr w:rsidR="009E31D0" w:rsidRPr="00E65376" w14:paraId="35F8583D" w14:textId="77777777" w:rsidTr="009158CD">
        <w:trPr>
          <w:trHeight w:val="45"/>
        </w:trPr>
        <w:tc>
          <w:tcPr>
            <w:tcW w:w="1440" w:type="dxa"/>
            <w:tcBorders>
              <w:bottom w:val="single" w:sz="4" w:space="0" w:color="000000"/>
            </w:tcBorders>
          </w:tcPr>
          <w:p w14:paraId="7818E0DF" w14:textId="4588D94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w:t>
            </w:r>
          </w:p>
        </w:tc>
        <w:tc>
          <w:tcPr>
            <w:tcW w:w="2250" w:type="dxa"/>
            <w:tcBorders>
              <w:bottom w:val="single" w:sz="4" w:space="0" w:color="000000"/>
            </w:tcBorders>
          </w:tcPr>
          <w:p w14:paraId="6D77C06C" w14:textId="1E189EEB"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139</w:t>
            </w:r>
          </w:p>
        </w:tc>
        <w:tc>
          <w:tcPr>
            <w:tcW w:w="1980" w:type="dxa"/>
            <w:tcBorders>
              <w:bottom w:val="single" w:sz="4" w:space="0" w:color="000000"/>
            </w:tcBorders>
          </w:tcPr>
          <w:p w14:paraId="261DE15A" w14:textId="4D4D6CD3"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43</w:t>
            </w:r>
          </w:p>
        </w:tc>
        <w:tc>
          <w:tcPr>
            <w:tcW w:w="2520" w:type="dxa"/>
            <w:tcBorders>
              <w:bottom w:val="single" w:sz="4" w:space="0" w:color="000000"/>
            </w:tcBorders>
          </w:tcPr>
          <w:p w14:paraId="635B05BF" w14:textId="0310124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15.64</w:t>
            </w:r>
          </w:p>
        </w:tc>
      </w:tr>
      <w:tr w:rsidR="009E31D0" w:rsidRPr="00E65376" w14:paraId="3ADA2434" w14:textId="77777777" w:rsidTr="009158CD">
        <w:trPr>
          <w:cnfStyle w:val="010000000000" w:firstRow="0" w:lastRow="1" w:firstColumn="0" w:lastColumn="0" w:oddVBand="0" w:evenVBand="0" w:oddHBand="0" w:evenHBand="0" w:firstRowFirstColumn="0" w:firstRowLastColumn="0" w:lastRowFirstColumn="0" w:lastRowLastColumn="0"/>
          <w:trHeight w:val="41"/>
        </w:trPr>
        <w:tc>
          <w:tcPr>
            <w:tcW w:w="1440" w:type="dxa"/>
            <w:tcBorders>
              <w:top w:val="single" w:sz="4" w:space="0" w:color="000000"/>
              <w:bottom w:val="single" w:sz="24" w:space="0" w:color="000000"/>
            </w:tcBorders>
          </w:tcPr>
          <w:p w14:paraId="135DEC90" w14:textId="52A6F84D"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Total</w:t>
            </w:r>
          </w:p>
        </w:tc>
        <w:tc>
          <w:tcPr>
            <w:tcW w:w="2250" w:type="dxa"/>
            <w:tcBorders>
              <w:top w:val="single" w:sz="4" w:space="0" w:color="000000"/>
              <w:bottom w:val="single" w:sz="24" w:space="0" w:color="000000"/>
            </w:tcBorders>
          </w:tcPr>
          <w:p w14:paraId="1548FFF8" w14:textId="75648234"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881</w:t>
            </w:r>
          </w:p>
        </w:tc>
        <w:tc>
          <w:tcPr>
            <w:tcW w:w="1980" w:type="dxa"/>
            <w:tcBorders>
              <w:top w:val="single" w:sz="4" w:space="0" w:color="000000"/>
              <w:bottom w:val="single" w:sz="24" w:space="0" w:color="000000"/>
            </w:tcBorders>
          </w:tcPr>
          <w:p w14:paraId="2C9094A7" w14:textId="668D10EA"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275</w:t>
            </w:r>
          </w:p>
        </w:tc>
        <w:tc>
          <w:tcPr>
            <w:tcW w:w="2520" w:type="dxa"/>
            <w:tcBorders>
              <w:top w:val="single" w:sz="4" w:space="0" w:color="000000"/>
              <w:bottom w:val="single" w:sz="24" w:space="0" w:color="000000"/>
            </w:tcBorders>
          </w:tcPr>
          <w:p w14:paraId="41A3900D" w14:textId="3389757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100.00</w:t>
            </w:r>
          </w:p>
        </w:tc>
      </w:tr>
    </w:tbl>
    <w:p w14:paraId="5DABC4CB" w14:textId="77777777" w:rsidR="000B1D44" w:rsidRDefault="000B1D44">
      <w:pPr>
        <w:pBdr>
          <w:top w:val="nil"/>
          <w:left w:val="nil"/>
          <w:bottom w:val="nil"/>
          <w:right w:val="nil"/>
          <w:between w:val="nil"/>
        </w:pBdr>
        <w:rPr>
          <w:rFonts w:ascii="Arial" w:eastAsia="Arial" w:hAnsi="Arial" w:cs="Arial"/>
          <w:b/>
          <w:color w:val="000000"/>
          <w:highlight w:val="white"/>
        </w:rPr>
      </w:pPr>
    </w:p>
    <w:p w14:paraId="21A97AC9"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22E765C" w14:textId="1A44D4F1" w:rsidR="00C16C0C" w:rsidRPr="00C16C0C" w:rsidRDefault="009F534E" w:rsidP="00C16C0C">
      <w:pPr>
        <w:keepNext/>
        <w:pBdr>
          <w:top w:val="nil"/>
          <w:left w:val="nil"/>
          <w:bottom w:val="nil"/>
          <w:right w:val="nil"/>
          <w:between w:val="nil"/>
        </w:pBdr>
        <w:ind w:firstLine="720"/>
        <w:jc w:val="both"/>
        <w:rPr>
          <w:rFonts w:ascii="Arial" w:eastAsia="Arial" w:hAnsi="Arial" w:cs="Arial"/>
          <w:color w:val="000000"/>
        </w:rPr>
      </w:pPr>
      <w:r w:rsidRPr="009F534E">
        <w:rPr>
          <w:rFonts w:ascii="Arial" w:eastAsia="Arial" w:hAnsi="Arial" w:cs="Arial"/>
          <w:color w:val="000000"/>
          <w:highlight w:val="yellow"/>
        </w:rPr>
        <w:t>The data gathering process involved coordination with academic offices and program chairpersons to facilitate the distribution and completion of the survey questionnaires by the selected student participants. Prior approval was secured from the appropriate authorities, and data collection commenced thereafter</w:t>
      </w:r>
      <w:r w:rsidRPr="009F534E">
        <w:rPr>
          <w:rFonts w:ascii="Arial" w:eastAsia="Arial" w:hAnsi="Arial" w:cs="Arial"/>
          <w:color w:val="000000"/>
        </w:rPr>
        <w:t>.</w:t>
      </w:r>
    </w:p>
    <w:p w14:paraId="0172A859" w14:textId="77777777" w:rsidR="00C16C0C" w:rsidRPr="00C16C0C" w:rsidRDefault="00C16C0C" w:rsidP="00C16C0C">
      <w:pPr>
        <w:keepNext/>
        <w:pBdr>
          <w:top w:val="nil"/>
          <w:left w:val="nil"/>
          <w:bottom w:val="nil"/>
          <w:right w:val="nil"/>
          <w:between w:val="nil"/>
        </w:pBdr>
        <w:ind w:firstLine="720"/>
        <w:jc w:val="both"/>
        <w:rPr>
          <w:rFonts w:ascii="Arial" w:eastAsia="Arial" w:hAnsi="Arial" w:cs="Arial"/>
          <w:color w:val="000000"/>
        </w:rPr>
      </w:pPr>
      <w:r w:rsidRPr="00C16C0C">
        <w:rPr>
          <w:rFonts w:ascii="Arial" w:eastAsia="Arial" w:hAnsi="Arial" w:cs="Arial"/>
          <w:color w:val="000000"/>
        </w:rPr>
        <w:t>The adopted and adapted questionnaires were used as the data collection instruments. The researcher distributed the questionnaires to the respondents in person, administering them through survey forms while carefully supervising the process. In adherence to data privacy, the researcher asked permission from the students to use the data they provided. Once the students signed the consent forms, this signified their acceptance and willingness to participate in the study. The importance of honesty in answering the survey questionnaires was emphasized, and anonymity was also stressed.</w:t>
      </w:r>
    </w:p>
    <w:p w14:paraId="00948F44" w14:textId="5C943939" w:rsidR="00C16C0C" w:rsidRDefault="00C16C0C" w:rsidP="00C16C0C">
      <w:pPr>
        <w:keepNext/>
        <w:pBdr>
          <w:top w:val="nil"/>
          <w:left w:val="nil"/>
          <w:bottom w:val="nil"/>
          <w:right w:val="nil"/>
          <w:between w:val="nil"/>
        </w:pBdr>
        <w:ind w:firstLine="720"/>
        <w:jc w:val="both"/>
        <w:rPr>
          <w:rFonts w:ascii="Arial" w:eastAsia="Arial" w:hAnsi="Arial" w:cs="Arial"/>
          <w:b/>
          <w:smallCaps/>
          <w:color w:val="000000"/>
          <w:sz w:val="22"/>
          <w:szCs w:val="22"/>
        </w:rPr>
      </w:pPr>
      <w:r w:rsidRPr="00C16C0C">
        <w:rPr>
          <w:rFonts w:ascii="Arial" w:eastAsia="Arial" w:hAnsi="Arial" w:cs="Arial"/>
          <w:color w:val="000000"/>
        </w:rPr>
        <w:t>Upon completion of the survey questionnaires, the researcher ensured that all data collected were handled with respect and confidentiality. The data were then tallied, collated, and tabulated for further analysis. Tables were provided to visually present the data, and the results were summarized and analyzed using appropriate statistical tools and software.</w:t>
      </w:r>
    </w:p>
    <w:p w14:paraId="5977491F" w14:textId="77777777" w:rsidR="00C16C0C"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7E6E6644" w:rsidR="000B1D44"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FB95BBD" w14:textId="77777777" w:rsidR="00737EAD" w:rsidRDefault="00737EAD">
      <w:pPr>
        <w:pBdr>
          <w:top w:val="nil"/>
          <w:left w:val="nil"/>
          <w:bottom w:val="nil"/>
          <w:right w:val="nil"/>
          <w:between w:val="nil"/>
        </w:pBdr>
        <w:jc w:val="center"/>
        <w:rPr>
          <w:rFonts w:ascii="Arial" w:eastAsia="Arial" w:hAnsi="Arial" w:cs="Arial"/>
          <w:b/>
          <w:color w:val="000000"/>
        </w:rPr>
      </w:pPr>
    </w:p>
    <w:p w14:paraId="0F3F4D68" w14:textId="154629AC" w:rsidR="000B1D44" w:rsidRDefault="009E31D0">
      <w:pPr>
        <w:pBdr>
          <w:top w:val="nil"/>
          <w:left w:val="nil"/>
          <w:bottom w:val="nil"/>
          <w:right w:val="nil"/>
          <w:between w:val="nil"/>
        </w:pBdr>
        <w:jc w:val="center"/>
        <w:rPr>
          <w:rFonts w:ascii="Arial" w:eastAsia="Arial" w:hAnsi="Arial" w:cs="Arial"/>
          <w:b/>
          <w:color w:val="000000"/>
        </w:rPr>
      </w:pPr>
      <w:r w:rsidRPr="009E31D0">
        <w:rPr>
          <w:rFonts w:ascii="Arial" w:eastAsia="Arial" w:hAnsi="Arial" w:cs="Arial"/>
          <w:b/>
          <w:color w:val="000000"/>
        </w:rPr>
        <w:t>Mathematics Teachers’ Situated Learning Practices</w:t>
      </w:r>
    </w:p>
    <w:p w14:paraId="59C4A7E2" w14:textId="77777777" w:rsidR="009E31D0" w:rsidRDefault="009E31D0">
      <w:pPr>
        <w:pBdr>
          <w:top w:val="nil"/>
          <w:left w:val="nil"/>
          <w:bottom w:val="nil"/>
          <w:right w:val="nil"/>
          <w:between w:val="nil"/>
        </w:pBdr>
        <w:jc w:val="center"/>
        <w:rPr>
          <w:rFonts w:ascii="Arial" w:eastAsia="Arial" w:hAnsi="Arial" w:cs="Arial"/>
          <w:b/>
          <w:color w:val="000000"/>
          <w:highlight w:val="white"/>
        </w:rPr>
      </w:pPr>
    </w:p>
    <w:p w14:paraId="043E116D" w14:textId="7579E0DC" w:rsidR="00C16C0C" w:rsidRPr="00C16C0C" w:rsidRDefault="00C16C0C" w:rsidP="006F102A">
      <w:pPr>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Table 2 presents the descriptive results for the application of the three primary aspects of situated learning practices by mathematics teachers: authentic context, authentic activities, and authentic assessment. It was observed that mathematics teachers practiced all three aspects of situated learning frequently—typically two to four times per week (M = 3.71, SD = 0.99). This indicates a strong implementation of situated learning practices. The interpretation of these results was based on the scale developed by </w:t>
      </w:r>
      <w:proofErr w:type="spellStart"/>
      <w:r w:rsidRPr="00C16C0C">
        <w:rPr>
          <w:rFonts w:ascii="Arial" w:eastAsia="Arial" w:hAnsi="Arial" w:cs="Arial"/>
          <w:color w:val="000000"/>
        </w:rPr>
        <w:t>Buzick</w:t>
      </w:r>
      <w:proofErr w:type="spellEnd"/>
      <w:r w:rsidRPr="00C16C0C">
        <w:rPr>
          <w:rFonts w:ascii="Arial" w:eastAsia="Arial" w:hAnsi="Arial" w:cs="Arial"/>
          <w:color w:val="000000"/>
        </w:rPr>
        <w:t xml:space="preserve">, </w:t>
      </w:r>
      <w:proofErr w:type="spellStart"/>
      <w:r w:rsidRPr="00C16C0C">
        <w:rPr>
          <w:rFonts w:ascii="Arial" w:eastAsia="Arial" w:hAnsi="Arial" w:cs="Arial"/>
          <w:color w:val="000000"/>
        </w:rPr>
        <w:t>Rhoad-Drogalis</w:t>
      </w:r>
      <w:proofErr w:type="spellEnd"/>
      <w:r w:rsidRPr="00C16C0C">
        <w:rPr>
          <w:rFonts w:ascii="Arial" w:eastAsia="Arial" w:hAnsi="Arial" w:cs="Arial"/>
          <w:color w:val="000000"/>
        </w:rPr>
        <w:t xml:space="preserve">, </w:t>
      </w:r>
      <w:proofErr w:type="spellStart"/>
      <w:r w:rsidRPr="00C16C0C">
        <w:rPr>
          <w:rFonts w:ascii="Arial" w:eastAsia="Arial" w:hAnsi="Arial" w:cs="Arial"/>
          <w:color w:val="000000"/>
        </w:rPr>
        <w:t>Laitusis</w:t>
      </w:r>
      <w:proofErr w:type="spellEnd"/>
      <w:r w:rsidRPr="00C16C0C">
        <w:rPr>
          <w:rFonts w:ascii="Arial" w:eastAsia="Arial" w:hAnsi="Arial" w:cs="Arial"/>
          <w:color w:val="000000"/>
        </w:rPr>
        <w:t>, and King (2019) to assess the extent of these educational practices.</w:t>
      </w:r>
    </w:p>
    <w:p w14:paraId="65B694A0" w14:textId="77777777" w:rsidR="00C16C0C" w:rsidRDefault="00C16C0C" w:rsidP="00C16C0C">
      <w:pPr>
        <w:tabs>
          <w:tab w:val="left" w:pos="2173"/>
        </w:tabs>
        <w:ind w:right="-630"/>
        <w:jc w:val="both"/>
        <w:rPr>
          <w:rFonts w:ascii="Arial" w:eastAsia="Arial" w:hAnsi="Arial" w:cs="Arial"/>
          <w:b/>
          <w:bCs/>
          <w:color w:val="000000"/>
        </w:rPr>
      </w:pPr>
    </w:p>
    <w:p w14:paraId="5C2F3ED7" w14:textId="4BBB263B"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Context</w:t>
      </w:r>
    </w:p>
    <w:p w14:paraId="1B8A9972" w14:textId="43D52E8E"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The data showed that mathematics teachers frequently practiced </w:t>
      </w:r>
      <w:r w:rsidRPr="00C16C0C">
        <w:rPr>
          <w:rFonts w:ascii="Arial" w:eastAsia="Arial" w:hAnsi="Arial" w:cs="Arial"/>
          <w:i/>
          <w:iCs/>
          <w:color w:val="000000"/>
        </w:rPr>
        <w:t>authentic context</w:t>
      </w:r>
      <w:r w:rsidRPr="00C16C0C">
        <w:rPr>
          <w:rFonts w:ascii="Arial" w:eastAsia="Arial" w:hAnsi="Arial" w:cs="Arial"/>
          <w:color w:val="000000"/>
        </w:rPr>
        <w:t xml:space="preserve"> (M = 3.59, SD = 1.00), implementing this approach two to four times per week. This finding aligns with Marshall and Horn (2025), who emphasized that math teachers used personalized and meaningful practices through diverse contexts and objectives, allowing students to align their learning with personal goals and values. Vargas, </w:t>
      </w:r>
      <w:proofErr w:type="spellStart"/>
      <w:r w:rsidRPr="00C16C0C">
        <w:rPr>
          <w:rFonts w:ascii="Arial" w:eastAsia="Arial" w:hAnsi="Arial" w:cs="Arial"/>
          <w:color w:val="000000"/>
        </w:rPr>
        <w:t>Chiappe</w:t>
      </w:r>
      <w:proofErr w:type="spellEnd"/>
      <w:r w:rsidRPr="00C16C0C">
        <w:rPr>
          <w:rFonts w:ascii="Arial" w:eastAsia="Arial" w:hAnsi="Arial" w:cs="Arial"/>
          <w:color w:val="000000"/>
        </w:rPr>
        <w:t xml:space="preserve">, and Durand (2024) supported this view, stating that students learned best in real-time situations and through interactive technological models based on real-life experiences. Similarly, </w:t>
      </w:r>
      <w:proofErr w:type="spellStart"/>
      <w:r w:rsidRPr="00C16C0C">
        <w:rPr>
          <w:rFonts w:ascii="Arial" w:eastAsia="Arial" w:hAnsi="Arial" w:cs="Arial"/>
          <w:color w:val="000000"/>
        </w:rPr>
        <w:t>Hortelano</w:t>
      </w:r>
      <w:proofErr w:type="spellEnd"/>
      <w:r w:rsidRPr="00C16C0C">
        <w:rPr>
          <w:rFonts w:ascii="Arial" w:eastAsia="Arial" w:hAnsi="Arial" w:cs="Arial"/>
          <w:color w:val="000000"/>
        </w:rPr>
        <w:t xml:space="preserve"> and Prudente (2024) found that the use of real-world contexts in mathematics classrooms positively correlated with students’ critical thinking, creating more involved and meaningful learning experiences.</w:t>
      </w:r>
    </w:p>
    <w:p w14:paraId="72CA2367" w14:textId="77777777" w:rsidR="00C16C0C" w:rsidRDefault="00C16C0C" w:rsidP="00C16C0C">
      <w:pPr>
        <w:tabs>
          <w:tab w:val="left" w:pos="2173"/>
        </w:tabs>
        <w:ind w:right="-630"/>
        <w:jc w:val="both"/>
        <w:rPr>
          <w:rFonts w:ascii="Arial" w:eastAsia="Arial" w:hAnsi="Arial" w:cs="Arial"/>
          <w:b/>
          <w:bCs/>
          <w:color w:val="000000"/>
        </w:rPr>
      </w:pPr>
    </w:p>
    <w:p w14:paraId="2F2D6E00" w14:textId="64DFA502"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Activities</w:t>
      </w:r>
    </w:p>
    <w:p w14:paraId="7CE1C9B1" w14:textId="16B31512"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lastRenderedPageBreak/>
        <w:tab/>
      </w:r>
      <w:r w:rsidRPr="00C16C0C">
        <w:rPr>
          <w:rFonts w:ascii="Arial" w:eastAsia="Arial" w:hAnsi="Arial" w:cs="Arial"/>
          <w:color w:val="000000"/>
        </w:rPr>
        <w:t xml:space="preserve">Results indicated that </w:t>
      </w:r>
      <w:r w:rsidRPr="00C16C0C">
        <w:rPr>
          <w:rFonts w:ascii="Arial" w:eastAsia="Arial" w:hAnsi="Arial" w:cs="Arial"/>
          <w:i/>
          <w:iCs/>
          <w:color w:val="000000"/>
        </w:rPr>
        <w:t>authentic activities</w:t>
      </w:r>
      <w:r w:rsidRPr="00C16C0C">
        <w:rPr>
          <w:rFonts w:ascii="Arial" w:eastAsia="Arial" w:hAnsi="Arial" w:cs="Arial"/>
          <w:color w:val="000000"/>
        </w:rPr>
        <w:t xml:space="preserve"> (M = 3.74, SD = 0.98) were also frequently incorporated into classroom instruction, typically two to four times a week. This observation is consistent with </w:t>
      </w:r>
      <w:proofErr w:type="spellStart"/>
      <w:r w:rsidRPr="00C16C0C">
        <w:rPr>
          <w:rFonts w:ascii="Arial" w:eastAsia="Arial" w:hAnsi="Arial" w:cs="Arial"/>
          <w:color w:val="000000"/>
        </w:rPr>
        <w:t>Clayden</w:t>
      </w:r>
      <w:proofErr w:type="spellEnd"/>
      <w:r w:rsidRPr="00C16C0C">
        <w:rPr>
          <w:rFonts w:ascii="Arial" w:eastAsia="Arial" w:hAnsi="Arial" w:cs="Arial"/>
          <w:color w:val="000000"/>
        </w:rPr>
        <w:t xml:space="preserve">, </w:t>
      </w:r>
      <w:proofErr w:type="spellStart"/>
      <w:r w:rsidRPr="00C16C0C">
        <w:rPr>
          <w:rFonts w:ascii="Arial" w:eastAsia="Arial" w:hAnsi="Arial" w:cs="Arial"/>
          <w:color w:val="000000"/>
        </w:rPr>
        <w:t>Desforges</w:t>
      </w:r>
      <w:proofErr w:type="spellEnd"/>
      <w:r w:rsidRPr="00C16C0C">
        <w:rPr>
          <w:rFonts w:ascii="Arial" w:eastAsia="Arial" w:hAnsi="Arial" w:cs="Arial"/>
          <w:color w:val="000000"/>
        </w:rPr>
        <w:t xml:space="preserve">, Mills, and Rawson (2002), who noted that mathematics teachers implemented a variety of authentic tasks linked to other subjects such as science and technology to enhance real-world application and information transfer. According to Vos (2018), such activities effectively connect theoretical lessons to real-life problems, motivating students to participate more actively. </w:t>
      </w:r>
      <w:proofErr w:type="spellStart"/>
      <w:r w:rsidRPr="00C16C0C">
        <w:rPr>
          <w:rFonts w:ascii="Arial" w:eastAsia="Arial" w:hAnsi="Arial" w:cs="Arial"/>
          <w:color w:val="000000"/>
        </w:rPr>
        <w:t>Hortelano</w:t>
      </w:r>
      <w:proofErr w:type="spellEnd"/>
      <w:r w:rsidRPr="00C16C0C">
        <w:rPr>
          <w:rFonts w:ascii="Arial" w:eastAsia="Arial" w:hAnsi="Arial" w:cs="Arial"/>
          <w:color w:val="000000"/>
        </w:rPr>
        <w:t xml:space="preserve"> and Prudente (2024) further emphasized that authentic activities significantly enriched student engagement and enhanced their critical thinking skills.</w:t>
      </w:r>
    </w:p>
    <w:p w14:paraId="63C6EBE1" w14:textId="77777777" w:rsidR="00C16C0C" w:rsidRDefault="00C16C0C" w:rsidP="00C16C0C">
      <w:pPr>
        <w:tabs>
          <w:tab w:val="left" w:pos="2173"/>
        </w:tabs>
        <w:ind w:right="-630"/>
        <w:jc w:val="both"/>
        <w:rPr>
          <w:rFonts w:ascii="Arial" w:eastAsia="Arial" w:hAnsi="Arial" w:cs="Arial"/>
          <w:b/>
          <w:bCs/>
          <w:color w:val="000000"/>
        </w:rPr>
      </w:pPr>
    </w:p>
    <w:p w14:paraId="7D038761" w14:textId="59F33F0E"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Assessment</w:t>
      </w:r>
    </w:p>
    <w:p w14:paraId="0B6D8CA7" w14:textId="182C08F1"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The results showed that </w:t>
      </w:r>
      <w:r w:rsidRPr="00C16C0C">
        <w:rPr>
          <w:rFonts w:ascii="Arial" w:eastAsia="Arial" w:hAnsi="Arial" w:cs="Arial"/>
          <w:i/>
          <w:iCs/>
          <w:color w:val="000000"/>
        </w:rPr>
        <w:t>authentic assessment</w:t>
      </w:r>
      <w:r w:rsidRPr="00C16C0C">
        <w:rPr>
          <w:rFonts w:ascii="Arial" w:eastAsia="Arial" w:hAnsi="Arial" w:cs="Arial"/>
          <w:color w:val="000000"/>
        </w:rPr>
        <w:t xml:space="preserve"> (M = 3.88, SD = 0.96) was used frequently—again, two to four times per week. This finding echoes Sabri and </w:t>
      </w:r>
      <w:proofErr w:type="spellStart"/>
      <w:r w:rsidRPr="00C16C0C">
        <w:rPr>
          <w:rFonts w:ascii="Arial" w:eastAsia="Arial" w:hAnsi="Arial" w:cs="Arial"/>
          <w:color w:val="000000"/>
        </w:rPr>
        <w:t>Retnawati</w:t>
      </w:r>
      <w:proofErr w:type="spellEnd"/>
      <w:r w:rsidRPr="00C16C0C">
        <w:rPr>
          <w:rFonts w:ascii="Arial" w:eastAsia="Arial" w:hAnsi="Arial" w:cs="Arial"/>
          <w:color w:val="000000"/>
        </w:rPr>
        <w:t xml:space="preserve"> (2019), who observed that mathematics teachers employed various assessment tools to evaluate not just final outcomes but the overall understanding and development of students. Adams (2020) added that students generally exhibited positive attitudes toward authentic assessment, as it enabled them to demonstrate their knowledge creatively, often improving their academic performance. </w:t>
      </w:r>
      <w:proofErr w:type="spellStart"/>
      <w:r w:rsidRPr="00C16C0C">
        <w:rPr>
          <w:rFonts w:ascii="Arial" w:eastAsia="Arial" w:hAnsi="Arial" w:cs="Arial"/>
          <w:color w:val="000000"/>
        </w:rPr>
        <w:t>Hortelano</w:t>
      </w:r>
      <w:proofErr w:type="spellEnd"/>
      <w:r w:rsidRPr="00C16C0C">
        <w:rPr>
          <w:rFonts w:ascii="Arial" w:eastAsia="Arial" w:hAnsi="Arial" w:cs="Arial"/>
          <w:color w:val="000000"/>
        </w:rPr>
        <w:t xml:space="preserve"> and Prudente (2024) concluded that authentic assessments represent one of the most effective educational practices, as they contribute meaningfully to the development of students’ critical thinking skills and foster a more engaging learning environment.</w:t>
      </w:r>
    </w:p>
    <w:p w14:paraId="7FA8272E" w14:textId="77777777" w:rsidR="000B1D44" w:rsidRDefault="000B1D44">
      <w:pPr>
        <w:tabs>
          <w:tab w:val="left" w:pos="2173"/>
        </w:tabs>
        <w:ind w:right="-630"/>
        <w:jc w:val="both"/>
        <w:rPr>
          <w:rFonts w:ascii="Arial" w:eastAsia="Arial" w:hAnsi="Arial" w:cs="Arial"/>
        </w:rPr>
      </w:pPr>
    </w:p>
    <w:p w14:paraId="5D1F00D2" w14:textId="029F25AF" w:rsidR="000B1D44" w:rsidRPr="00656CAC" w:rsidRDefault="000B62FC">
      <w:pPr>
        <w:tabs>
          <w:tab w:val="left" w:pos="2173"/>
        </w:tabs>
        <w:ind w:right="-630"/>
        <w:jc w:val="both"/>
        <w:rPr>
          <w:rFonts w:ascii="Arial" w:eastAsia="Arial" w:hAnsi="Arial" w:cs="Arial"/>
        </w:rPr>
      </w:pPr>
      <w:r>
        <w:rPr>
          <w:rFonts w:ascii="Arial" w:eastAsia="Arial" w:hAnsi="Arial" w:cs="Arial"/>
        </w:rPr>
        <w:t xml:space="preserve">Table 2: </w:t>
      </w:r>
      <w:r w:rsidR="004D5915" w:rsidRPr="004D5915">
        <w:rPr>
          <w:rFonts w:ascii="Arial" w:eastAsia="Arial" w:hAnsi="Arial" w:cs="Arial"/>
        </w:rPr>
        <w:t>Descriptive Results of Math Teachers’ Situated Learning Practices</w:t>
      </w:r>
    </w:p>
    <w:tbl>
      <w:tblPr>
        <w:tblStyle w:val="a1"/>
        <w:tblW w:w="8208" w:type="dxa"/>
        <w:tblBorders>
          <w:top w:val="nil"/>
          <w:left w:val="nil"/>
          <w:bottom w:val="nil"/>
          <w:right w:val="nil"/>
          <w:insideH w:val="nil"/>
          <w:insideV w:val="nil"/>
        </w:tblBorders>
        <w:tblLayout w:type="fixed"/>
        <w:tblLook w:val="0400" w:firstRow="0" w:lastRow="0" w:firstColumn="0" w:lastColumn="0" w:noHBand="0" w:noVBand="1"/>
      </w:tblPr>
      <w:tblGrid>
        <w:gridCol w:w="2410"/>
        <w:gridCol w:w="1276"/>
        <w:gridCol w:w="709"/>
        <w:gridCol w:w="3813"/>
      </w:tblGrid>
      <w:tr w:rsidR="000B1D44" w:rsidRPr="00656CAC" w14:paraId="76B24626" w14:textId="77777777" w:rsidTr="004D5915">
        <w:trPr>
          <w:trHeight w:val="253"/>
        </w:trPr>
        <w:tc>
          <w:tcPr>
            <w:tcW w:w="2410" w:type="dxa"/>
            <w:tcBorders>
              <w:top w:val="single" w:sz="18" w:space="0" w:color="000000"/>
              <w:bottom w:val="single" w:sz="4" w:space="0" w:color="000000"/>
            </w:tcBorders>
          </w:tcPr>
          <w:p w14:paraId="096F64B7" w14:textId="6AB1AA1C" w:rsidR="000B1D44" w:rsidRPr="00656CAC" w:rsidRDefault="004D5915">
            <w:pPr>
              <w:rPr>
                <w:rFonts w:ascii="Arial" w:eastAsia="Arial" w:hAnsi="Arial" w:cs="Arial"/>
                <w:b/>
                <w:sz w:val="20"/>
                <w:szCs w:val="20"/>
              </w:rPr>
            </w:pPr>
            <w:r w:rsidRPr="00656CAC">
              <w:rPr>
                <w:rFonts w:ascii="Arial" w:eastAsia="Arial" w:hAnsi="Arial" w:cs="Arial"/>
                <w:b/>
                <w:sz w:val="20"/>
                <w:szCs w:val="20"/>
              </w:rPr>
              <w:t>CHARACTERISTIC</w:t>
            </w:r>
          </w:p>
        </w:tc>
        <w:tc>
          <w:tcPr>
            <w:tcW w:w="1276" w:type="dxa"/>
            <w:tcBorders>
              <w:top w:val="single" w:sz="18" w:space="0" w:color="000000"/>
              <w:bottom w:val="single" w:sz="4" w:space="0" w:color="000000"/>
            </w:tcBorders>
          </w:tcPr>
          <w:p w14:paraId="11776D97"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MEAN</w:t>
            </w:r>
          </w:p>
        </w:tc>
        <w:tc>
          <w:tcPr>
            <w:tcW w:w="709" w:type="dxa"/>
            <w:tcBorders>
              <w:top w:val="single" w:sz="18" w:space="0" w:color="000000"/>
              <w:bottom w:val="single" w:sz="4" w:space="0" w:color="000000"/>
            </w:tcBorders>
          </w:tcPr>
          <w:p w14:paraId="2DB3FAAB"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SD</w:t>
            </w:r>
          </w:p>
        </w:tc>
        <w:tc>
          <w:tcPr>
            <w:tcW w:w="3813" w:type="dxa"/>
            <w:tcBorders>
              <w:top w:val="single" w:sz="18" w:space="0" w:color="000000"/>
              <w:bottom w:val="single" w:sz="4" w:space="0" w:color="000000"/>
            </w:tcBorders>
          </w:tcPr>
          <w:p w14:paraId="6CA45087"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DESCRIPTION</w:t>
            </w:r>
          </w:p>
        </w:tc>
      </w:tr>
      <w:tr w:rsidR="003D708C" w:rsidRPr="00656CAC" w14:paraId="22434457" w14:textId="77777777" w:rsidTr="004D5915">
        <w:trPr>
          <w:trHeight w:val="253"/>
        </w:trPr>
        <w:tc>
          <w:tcPr>
            <w:tcW w:w="2410" w:type="dxa"/>
            <w:tcBorders>
              <w:top w:val="single" w:sz="4" w:space="0" w:color="000000"/>
            </w:tcBorders>
          </w:tcPr>
          <w:p w14:paraId="303A0A6E" w14:textId="06A5ACA6" w:rsidR="003D708C" w:rsidRPr="00656CAC" w:rsidRDefault="003D708C" w:rsidP="003D708C">
            <w:pPr>
              <w:rPr>
                <w:rFonts w:ascii="Arial" w:eastAsia="Arial" w:hAnsi="Arial" w:cs="Arial"/>
                <w:sz w:val="20"/>
                <w:szCs w:val="20"/>
              </w:rPr>
            </w:pPr>
            <w:r w:rsidRPr="00656CAC">
              <w:rPr>
                <w:rFonts w:ascii="Arial" w:hAnsi="Arial" w:cs="Arial"/>
                <w:sz w:val="20"/>
                <w:szCs w:val="20"/>
              </w:rPr>
              <w:t>Authentic Context</w:t>
            </w:r>
          </w:p>
        </w:tc>
        <w:tc>
          <w:tcPr>
            <w:tcW w:w="1276" w:type="dxa"/>
            <w:tcBorders>
              <w:top w:val="single" w:sz="4" w:space="0" w:color="000000"/>
            </w:tcBorders>
          </w:tcPr>
          <w:p w14:paraId="3DAEE3B8" w14:textId="664ECD5D"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3.59</w:t>
            </w:r>
          </w:p>
        </w:tc>
        <w:tc>
          <w:tcPr>
            <w:tcW w:w="709" w:type="dxa"/>
            <w:tcBorders>
              <w:top w:val="single" w:sz="4" w:space="0" w:color="000000"/>
            </w:tcBorders>
          </w:tcPr>
          <w:p w14:paraId="7962E7CD" w14:textId="63B3F15D"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1.00</w:t>
            </w:r>
          </w:p>
        </w:tc>
        <w:tc>
          <w:tcPr>
            <w:tcW w:w="3813" w:type="dxa"/>
            <w:tcBorders>
              <w:top w:val="single" w:sz="4" w:space="0" w:color="000000"/>
            </w:tcBorders>
          </w:tcPr>
          <w:p w14:paraId="62639B22" w14:textId="5E0208C3"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3D708C" w:rsidRPr="00656CAC" w14:paraId="1A944571" w14:textId="77777777" w:rsidTr="004D5915">
        <w:trPr>
          <w:trHeight w:val="253"/>
        </w:trPr>
        <w:tc>
          <w:tcPr>
            <w:tcW w:w="2410" w:type="dxa"/>
          </w:tcPr>
          <w:p w14:paraId="09A1810B" w14:textId="00596E5A" w:rsidR="003D708C" w:rsidRPr="00656CAC" w:rsidRDefault="003D708C" w:rsidP="003D708C">
            <w:pPr>
              <w:rPr>
                <w:rFonts w:ascii="Arial" w:eastAsia="Arial" w:hAnsi="Arial" w:cs="Arial"/>
                <w:sz w:val="20"/>
                <w:szCs w:val="20"/>
              </w:rPr>
            </w:pPr>
            <w:r w:rsidRPr="00656CAC">
              <w:rPr>
                <w:rFonts w:ascii="Arial" w:hAnsi="Arial" w:cs="Arial"/>
                <w:sz w:val="20"/>
                <w:szCs w:val="20"/>
              </w:rPr>
              <w:t>Authentic Activities</w:t>
            </w:r>
          </w:p>
        </w:tc>
        <w:tc>
          <w:tcPr>
            <w:tcW w:w="1276" w:type="dxa"/>
          </w:tcPr>
          <w:p w14:paraId="13E048C2" w14:textId="348EBE62"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3.74</w:t>
            </w:r>
          </w:p>
        </w:tc>
        <w:tc>
          <w:tcPr>
            <w:tcW w:w="709" w:type="dxa"/>
          </w:tcPr>
          <w:p w14:paraId="1E53F213" w14:textId="7282841B"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0.98</w:t>
            </w:r>
          </w:p>
        </w:tc>
        <w:tc>
          <w:tcPr>
            <w:tcW w:w="3813" w:type="dxa"/>
          </w:tcPr>
          <w:p w14:paraId="157A9434" w14:textId="35620287"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3D708C" w:rsidRPr="00656CAC" w14:paraId="6B9F2531" w14:textId="77777777" w:rsidTr="004D5915">
        <w:trPr>
          <w:trHeight w:val="253"/>
        </w:trPr>
        <w:tc>
          <w:tcPr>
            <w:tcW w:w="2410" w:type="dxa"/>
            <w:tcBorders>
              <w:bottom w:val="single" w:sz="4" w:space="0" w:color="000000"/>
            </w:tcBorders>
          </w:tcPr>
          <w:p w14:paraId="4538BC85" w14:textId="2250A902" w:rsidR="003D708C" w:rsidRPr="00656CAC" w:rsidRDefault="003D708C" w:rsidP="003D708C">
            <w:pPr>
              <w:rPr>
                <w:rFonts w:ascii="Arial" w:eastAsia="Arial" w:hAnsi="Arial" w:cs="Arial"/>
                <w:sz w:val="20"/>
                <w:szCs w:val="20"/>
              </w:rPr>
            </w:pPr>
            <w:r w:rsidRPr="00656CAC">
              <w:rPr>
                <w:rFonts w:ascii="Arial" w:hAnsi="Arial" w:cs="Arial"/>
                <w:sz w:val="20"/>
                <w:szCs w:val="20"/>
              </w:rPr>
              <w:t>Authentic Assessments</w:t>
            </w:r>
          </w:p>
        </w:tc>
        <w:tc>
          <w:tcPr>
            <w:tcW w:w="1276" w:type="dxa"/>
            <w:tcBorders>
              <w:bottom w:val="single" w:sz="4" w:space="0" w:color="000000"/>
            </w:tcBorders>
          </w:tcPr>
          <w:p w14:paraId="2CA50432" w14:textId="75C700F1"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3.88</w:t>
            </w:r>
          </w:p>
        </w:tc>
        <w:tc>
          <w:tcPr>
            <w:tcW w:w="709" w:type="dxa"/>
            <w:tcBorders>
              <w:bottom w:val="single" w:sz="4" w:space="0" w:color="000000"/>
            </w:tcBorders>
          </w:tcPr>
          <w:p w14:paraId="519ECFC0" w14:textId="2A23EBB9"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0.96</w:t>
            </w:r>
          </w:p>
        </w:tc>
        <w:tc>
          <w:tcPr>
            <w:tcW w:w="3813" w:type="dxa"/>
            <w:tcBorders>
              <w:bottom w:val="single" w:sz="4" w:space="0" w:color="000000"/>
            </w:tcBorders>
          </w:tcPr>
          <w:p w14:paraId="5494CD91" w14:textId="6A73B484"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0B1D44" w:rsidRPr="00656CAC" w14:paraId="66139F0C" w14:textId="77777777" w:rsidTr="004D5915">
        <w:trPr>
          <w:trHeight w:val="253"/>
        </w:trPr>
        <w:tc>
          <w:tcPr>
            <w:tcW w:w="2410" w:type="dxa"/>
            <w:tcBorders>
              <w:top w:val="single" w:sz="4" w:space="0" w:color="000000"/>
              <w:bottom w:val="single" w:sz="18" w:space="0" w:color="000000"/>
            </w:tcBorders>
          </w:tcPr>
          <w:p w14:paraId="5362A9C2" w14:textId="4D4B54ED" w:rsidR="000B1D44" w:rsidRPr="00656CAC" w:rsidRDefault="000B62FC">
            <w:pPr>
              <w:rPr>
                <w:rFonts w:ascii="Arial" w:eastAsia="Arial" w:hAnsi="Arial" w:cs="Arial"/>
                <w:b/>
                <w:sz w:val="20"/>
                <w:szCs w:val="20"/>
              </w:rPr>
            </w:pPr>
            <w:r w:rsidRPr="00656CAC">
              <w:rPr>
                <w:rFonts w:ascii="Arial" w:eastAsia="Arial" w:hAnsi="Arial" w:cs="Arial"/>
                <w:b/>
                <w:sz w:val="20"/>
                <w:szCs w:val="20"/>
              </w:rPr>
              <w:t>(OVERALL)</w:t>
            </w:r>
          </w:p>
        </w:tc>
        <w:tc>
          <w:tcPr>
            <w:tcW w:w="1276" w:type="dxa"/>
            <w:tcBorders>
              <w:top w:val="single" w:sz="4" w:space="0" w:color="000000"/>
              <w:bottom w:val="single" w:sz="18" w:space="0" w:color="000000"/>
            </w:tcBorders>
          </w:tcPr>
          <w:p w14:paraId="0B17531E" w14:textId="6FB7103C"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3.</w:t>
            </w:r>
            <w:r w:rsidR="004D5915" w:rsidRPr="00656CAC">
              <w:rPr>
                <w:rFonts w:ascii="Arial" w:eastAsia="Arial" w:hAnsi="Arial" w:cs="Arial"/>
                <w:b/>
                <w:sz w:val="20"/>
                <w:szCs w:val="20"/>
              </w:rPr>
              <w:t>71</w:t>
            </w:r>
          </w:p>
        </w:tc>
        <w:tc>
          <w:tcPr>
            <w:tcW w:w="709" w:type="dxa"/>
            <w:tcBorders>
              <w:top w:val="single" w:sz="4" w:space="0" w:color="000000"/>
              <w:bottom w:val="single" w:sz="18" w:space="0" w:color="000000"/>
            </w:tcBorders>
          </w:tcPr>
          <w:p w14:paraId="18DC5EFF" w14:textId="0CB9A9D6"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0.</w:t>
            </w:r>
            <w:r w:rsidR="004D5915" w:rsidRPr="00656CAC">
              <w:rPr>
                <w:rFonts w:ascii="Arial" w:eastAsia="Arial" w:hAnsi="Arial" w:cs="Arial"/>
                <w:b/>
                <w:sz w:val="20"/>
                <w:szCs w:val="20"/>
              </w:rPr>
              <w:t>99</w:t>
            </w:r>
          </w:p>
        </w:tc>
        <w:tc>
          <w:tcPr>
            <w:tcW w:w="3813" w:type="dxa"/>
            <w:tcBorders>
              <w:top w:val="single" w:sz="4" w:space="0" w:color="000000"/>
              <w:bottom w:val="single" w:sz="18" w:space="0" w:color="000000"/>
            </w:tcBorders>
          </w:tcPr>
          <w:p w14:paraId="59351FD9" w14:textId="3605B45D" w:rsidR="000B1D44" w:rsidRPr="00656CAC" w:rsidRDefault="004D5915">
            <w:pPr>
              <w:jc w:val="center"/>
              <w:rPr>
                <w:rFonts w:ascii="Arial" w:eastAsia="Arial" w:hAnsi="Arial" w:cs="Arial"/>
                <w:b/>
                <w:bCs/>
                <w:sz w:val="20"/>
                <w:szCs w:val="20"/>
              </w:rPr>
            </w:pPr>
            <w:r w:rsidRPr="00656CAC">
              <w:rPr>
                <w:rFonts w:ascii="Arial" w:hAnsi="Arial" w:cs="Arial"/>
                <w:b/>
                <w:bCs/>
                <w:sz w:val="20"/>
                <w:szCs w:val="20"/>
              </w:rPr>
              <w:t>Teachers do this 2-4 times a week in math class.</w:t>
            </w:r>
          </w:p>
        </w:tc>
      </w:tr>
    </w:tbl>
    <w:p w14:paraId="19C979AF" w14:textId="77777777" w:rsidR="000B1D44" w:rsidRDefault="000B1D44">
      <w:pPr>
        <w:tabs>
          <w:tab w:val="left" w:pos="2173"/>
        </w:tabs>
        <w:ind w:right="-630"/>
        <w:jc w:val="both"/>
        <w:rPr>
          <w:rFonts w:ascii="Arial" w:eastAsia="Arial" w:hAnsi="Arial" w:cs="Arial"/>
        </w:rPr>
      </w:pPr>
    </w:p>
    <w:p w14:paraId="16114FB8" w14:textId="77777777" w:rsidR="00656CAC" w:rsidRDefault="00656CAC">
      <w:pPr>
        <w:tabs>
          <w:tab w:val="left" w:pos="2173"/>
        </w:tabs>
        <w:ind w:right="-72"/>
        <w:jc w:val="center"/>
        <w:rPr>
          <w:rFonts w:ascii="Arial" w:eastAsia="Arial" w:hAnsi="Arial" w:cs="Arial"/>
          <w:b/>
        </w:rPr>
      </w:pPr>
      <w:bookmarkStart w:id="1" w:name="_ak9k0tslw6xz" w:colFirst="0" w:colLast="0"/>
      <w:bookmarkEnd w:id="1"/>
    </w:p>
    <w:p w14:paraId="614DFEBF" w14:textId="73260EC3" w:rsidR="000B1D44" w:rsidRDefault="000B62FC">
      <w:pPr>
        <w:tabs>
          <w:tab w:val="left" w:pos="2173"/>
        </w:tabs>
        <w:ind w:right="-72"/>
        <w:jc w:val="center"/>
        <w:rPr>
          <w:rFonts w:ascii="Arial" w:eastAsia="Arial" w:hAnsi="Arial" w:cs="Arial"/>
          <w:b/>
        </w:rPr>
      </w:pPr>
      <w:r>
        <w:rPr>
          <w:rFonts w:ascii="Arial" w:eastAsia="Arial" w:hAnsi="Arial" w:cs="Arial"/>
          <w:b/>
        </w:rPr>
        <w:t>Level of College Students</w:t>
      </w:r>
      <w:r w:rsidR="004D5915">
        <w:rPr>
          <w:rFonts w:ascii="Arial" w:eastAsia="Arial" w:hAnsi="Arial" w:cs="Arial"/>
          <w:b/>
        </w:rPr>
        <w:t>’ Critical Thinking</w:t>
      </w:r>
    </w:p>
    <w:p w14:paraId="0832CCDE" w14:textId="77777777" w:rsidR="000B1D44" w:rsidRDefault="000B1D44">
      <w:pPr>
        <w:tabs>
          <w:tab w:val="left" w:pos="2173"/>
        </w:tabs>
        <w:ind w:right="-72"/>
        <w:jc w:val="center"/>
        <w:rPr>
          <w:rFonts w:ascii="Arial" w:eastAsia="Arial" w:hAnsi="Arial" w:cs="Arial"/>
          <w:b/>
        </w:rPr>
      </w:pPr>
    </w:p>
    <w:p w14:paraId="2A3224A7" w14:textId="4EBDDD77" w:rsidR="00BD0C1D" w:rsidRPr="00BD0C1D" w:rsidRDefault="000B62FC" w:rsidP="00BD0C1D">
      <w:pPr>
        <w:jc w:val="both"/>
        <w:rPr>
          <w:rFonts w:ascii="Arial" w:eastAsia="Arial" w:hAnsi="Arial" w:cs="Arial"/>
        </w:rPr>
      </w:pPr>
      <w:r>
        <w:rPr>
          <w:rFonts w:ascii="Arial" w:eastAsia="Arial" w:hAnsi="Arial" w:cs="Arial"/>
        </w:rPr>
        <w:tab/>
      </w:r>
      <w:r w:rsidR="00BD0C1D" w:rsidRPr="00BD0C1D">
        <w:rPr>
          <w:rFonts w:ascii="Arial" w:eastAsia="Arial" w:hAnsi="Arial" w:cs="Arial"/>
        </w:rPr>
        <w:t xml:space="preserve">Table 3 presents the results of the sample across individual parameters. Based on the framework from </w:t>
      </w:r>
      <w:proofErr w:type="spellStart"/>
      <w:r w:rsidR="00BD0C1D" w:rsidRPr="00BD0C1D">
        <w:rPr>
          <w:rFonts w:ascii="Arial" w:eastAsia="Arial" w:hAnsi="Arial" w:cs="Arial"/>
        </w:rPr>
        <w:t>Kobylarek</w:t>
      </w:r>
      <w:proofErr w:type="spellEnd"/>
      <w:r w:rsidR="00BD0C1D" w:rsidRPr="00BD0C1D">
        <w:rPr>
          <w:rFonts w:ascii="Arial" w:eastAsia="Arial" w:hAnsi="Arial" w:cs="Arial"/>
        </w:rPr>
        <w:t xml:space="preserve"> et al. (2022), the scores for each cognitive domain were assessed as follows:</w:t>
      </w:r>
    </w:p>
    <w:p w14:paraId="60B4ECB6"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Remembering category, 42.18% of the respondents were classified at a high level. These individuals demonstrated a strong ability to accurately recall key concepts and important details from prior experiences and lessons (</w:t>
      </w:r>
      <w:proofErr w:type="spellStart"/>
      <w:r w:rsidRPr="00BD0C1D">
        <w:rPr>
          <w:rFonts w:ascii="Arial" w:eastAsia="Arial" w:hAnsi="Arial" w:cs="Arial"/>
        </w:rPr>
        <w:t>Clayden</w:t>
      </w:r>
      <w:proofErr w:type="spellEnd"/>
      <w:r w:rsidRPr="00BD0C1D">
        <w:rPr>
          <w:rFonts w:ascii="Arial" w:eastAsia="Arial" w:hAnsi="Arial" w:cs="Arial"/>
        </w:rPr>
        <w:t xml:space="preserve"> et al., 2002). Meanwhile, 52.73% reached the average level, suggesting they were able to remember and retrieve information more effectively when they had a solid foundation of prior knowledge (O’Neill et al., 2022; </w:t>
      </w:r>
      <w:proofErr w:type="spellStart"/>
      <w:r w:rsidRPr="00BD0C1D">
        <w:rPr>
          <w:rFonts w:ascii="Arial" w:eastAsia="Arial" w:hAnsi="Arial" w:cs="Arial"/>
        </w:rPr>
        <w:t>Shing</w:t>
      </w:r>
      <w:proofErr w:type="spellEnd"/>
      <w:r w:rsidRPr="00BD0C1D">
        <w:rPr>
          <w:rFonts w:ascii="Arial" w:eastAsia="Arial" w:hAnsi="Arial" w:cs="Arial"/>
        </w:rPr>
        <w:t xml:space="preserve"> &amp; </w:t>
      </w:r>
      <w:proofErr w:type="spellStart"/>
      <w:r w:rsidRPr="00BD0C1D">
        <w:rPr>
          <w:rFonts w:ascii="Arial" w:eastAsia="Arial" w:hAnsi="Arial" w:cs="Arial"/>
        </w:rPr>
        <w:t>Brod</w:t>
      </w:r>
      <w:proofErr w:type="spellEnd"/>
      <w:r w:rsidRPr="00BD0C1D">
        <w:rPr>
          <w:rFonts w:ascii="Arial" w:eastAsia="Arial" w:hAnsi="Arial" w:cs="Arial"/>
        </w:rPr>
        <w:t>, 2016). Only 5.09% of respondents fell into the low-level category, indicating challenges with information recall.</w:t>
      </w:r>
    </w:p>
    <w:p w14:paraId="06CF7C52"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terms of Understanding, 41.09% achieved a high level, indicating that they could interpret information from diverse sources, appreciate multiple perspectives, and grasp deeper meanings beyond literal interpretations (</w:t>
      </w:r>
      <w:proofErr w:type="spellStart"/>
      <w:r w:rsidRPr="00BD0C1D">
        <w:rPr>
          <w:rFonts w:ascii="Arial" w:eastAsia="Arial" w:hAnsi="Arial" w:cs="Arial"/>
        </w:rPr>
        <w:t>Wojahn</w:t>
      </w:r>
      <w:proofErr w:type="spellEnd"/>
      <w:r w:rsidRPr="00BD0C1D">
        <w:rPr>
          <w:rFonts w:ascii="Arial" w:eastAsia="Arial" w:hAnsi="Arial" w:cs="Arial"/>
        </w:rPr>
        <w:t xml:space="preserve"> et al., 2015). Such abilities are indicative of well-developed critical thinking skills (Stephen, 2024). Additionally, 54.91% of respondents were at the average level, showing adequate comprehension with room for improvement (</w:t>
      </w:r>
      <w:proofErr w:type="spellStart"/>
      <w:r w:rsidRPr="00BD0C1D">
        <w:rPr>
          <w:rFonts w:ascii="Arial" w:eastAsia="Arial" w:hAnsi="Arial" w:cs="Arial"/>
        </w:rPr>
        <w:t>Clayden</w:t>
      </w:r>
      <w:proofErr w:type="spellEnd"/>
      <w:r w:rsidRPr="00BD0C1D">
        <w:rPr>
          <w:rFonts w:ascii="Arial" w:eastAsia="Arial" w:hAnsi="Arial" w:cs="Arial"/>
        </w:rPr>
        <w:t xml:space="preserve"> et al., 2002). A small portion (4.00%) was at the low level, potentially struggling with interpreting and making sense of information.</w:t>
      </w:r>
    </w:p>
    <w:p w14:paraId="3258BC75"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lastRenderedPageBreak/>
        <w:t>Regarding Applying, a substantial 62.55% of respondents reached a high level. These students demonstrated advanced ability in using theoretical knowledge to solve real-world problems (</w:t>
      </w:r>
      <w:proofErr w:type="spellStart"/>
      <w:r w:rsidRPr="00BD0C1D">
        <w:rPr>
          <w:rFonts w:ascii="Arial" w:eastAsia="Arial" w:hAnsi="Arial" w:cs="Arial"/>
        </w:rPr>
        <w:t>Clayden</w:t>
      </w:r>
      <w:proofErr w:type="spellEnd"/>
      <w:r w:rsidRPr="00BD0C1D">
        <w:rPr>
          <w:rFonts w:ascii="Arial" w:eastAsia="Arial" w:hAnsi="Arial" w:cs="Arial"/>
        </w:rPr>
        <w:t xml:space="preserve"> et al., 2002). About 33.45% were classified as average, showing standard performance in applying knowledge to practical scenarios. Students who connected their learning to real-life contexts were found to exhibit stronger critical thinking (Galbraith, 2013; Benson-O'Connor et al., 2019). Conversely, 4.00% were at the low level, suggesting difficulty in applying knowledge to everyday situations.</w:t>
      </w:r>
    </w:p>
    <w:p w14:paraId="434478E1"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Analyzing domain, 53.46% of respondents were at the high level. These students could evaluate the relevance and validity of information, make informed decisions, and solve problems effectively (</w:t>
      </w:r>
      <w:proofErr w:type="spellStart"/>
      <w:r w:rsidRPr="00BD0C1D">
        <w:rPr>
          <w:rFonts w:ascii="Arial" w:eastAsia="Arial" w:hAnsi="Arial" w:cs="Arial"/>
        </w:rPr>
        <w:t>Wojahn</w:t>
      </w:r>
      <w:proofErr w:type="spellEnd"/>
      <w:r w:rsidRPr="00BD0C1D">
        <w:rPr>
          <w:rFonts w:ascii="Arial" w:eastAsia="Arial" w:hAnsi="Arial" w:cs="Arial"/>
        </w:rPr>
        <w:t xml:space="preserve"> et al., 2015). Another 41.45% performed at the average level, reflecting moderate analytical abilities (</w:t>
      </w:r>
      <w:proofErr w:type="spellStart"/>
      <w:r w:rsidRPr="00BD0C1D">
        <w:rPr>
          <w:rFonts w:ascii="Arial" w:eastAsia="Arial" w:hAnsi="Arial" w:cs="Arial"/>
        </w:rPr>
        <w:t>Shorish</w:t>
      </w:r>
      <w:proofErr w:type="spellEnd"/>
      <w:r w:rsidRPr="00BD0C1D">
        <w:rPr>
          <w:rFonts w:ascii="Arial" w:eastAsia="Arial" w:hAnsi="Arial" w:cs="Arial"/>
        </w:rPr>
        <w:t>, 2015). Effective analysis skills are closely linked to informed decision-making (</w:t>
      </w:r>
      <w:proofErr w:type="spellStart"/>
      <w:r w:rsidRPr="00BD0C1D">
        <w:rPr>
          <w:rFonts w:ascii="Arial" w:eastAsia="Arial" w:hAnsi="Arial" w:cs="Arial"/>
        </w:rPr>
        <w:t>Ardyawin</w:t>
      </w:r>
      <w:proofErr w:type="spellEnd"/>
      <w:r w:rsidRPr="00BD0C1D">
        <w:rPr>
          <w:rFonts w:ascii="Arial" w:eastAsia="Arial" w:hAnsi="Arial" w:cs="Arial"/>
        </w:rPr>
        <w:t>, 2024). Meanwhile, 5.09% were categorized at a low level, indicating difficulty in dissecting complex information and drawing meaningful conclusions.</w:t>
      </w:r>
    </w:p>
    <w:p w14:paraId="479ADF35"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For Evaluating, 71.27% of respondents scored at a high level. This suggests strong proficiency in critically assessing and interpreting data, identifying essential elements, and drawing accurate conclusions (</w:t>
      </w:r>
      <w:proofErr w:type="spellStart"/>
      <w:r w:rsidRPr="00BD0C1D">
        <w:rPr>
          <w:rFonts w:ascii="Arial" w:eastAsia="Arial" w:hAnsi="Arial" w:cs="Arial"/>
        </w:rPr>
        <w:t>Wojahn</w:t>
      </w:r>
      <w:proofErr w:type="spellEnd"/>
      <w:r w:rsidRPr="00BD0C1D">
        <w:rPr>
          <w:rFonts w:ascii="Arial" w:eastAsia="Arial" w:hAnsi="Arial" w:cs="Arial"/>
        </w:rPr>
        <w:t xml:space="preserve"> et al., 2015). Students at this level also showed a positive disposition toward evidence-based decision-making (</w:t>
      </w:r>
      <w:proofErr w:type="spellStart"/>
      <w:r w:rsidRPr="00BD0C1D">
        <w:rPr>
          <w:rFonts w:ascii="Arial" w:eastAsia="Arial" w:hAnsi="Arial" w:cs="Arial"/>
        </w:rPr>
        <w:t>Ariyachandra</w:t>
      </w:r>
      <w:proofErr w:type="spellEnd"/>
      <w:r w:rsidRPr="00BD0C1D">
        <w:rPr>
          <w:rFonts w:ascii="Arial" w:eastAsia="Arial" w:hAnsi="Arial" w:cs="Arial"/>
        </w:rPr>
        <w:t>, 2020). About 25.09% were at the average level, showing satisfactory performance but with potential for growth. Only 3.64% fell into the low-level category, indicating the need for targeted training (</w:t>
      </w:r>
      <w:proofErr w:type="spellStart"/>
      <w:r w:rsidRPr="00BD0C1D">
        <w:rPr>
          <w:rFonts w:ascii="Arial" w:eastAsia="Arial" w:hAnsi="Arial" w:cs="Arial"/>
        </w:rPr>
        <w:t>Clayden</w:t>
      </w:r>
      <w:proofErr w:type="spellEnd"/>
      <w:r w:rsidRPr="00BD0C1D">
        <w:rPr>
          <w:rFonts w:ascii="Arial" w:eastAsia="Arial" w:hAnsi="Arial" w:cs="Arial"/>
        </w:rPr>
        <w:t xml:space="preserve"> et al., 2002).</w:t>
      </w:r>
    </w:p>
    <w:p w14:paraId="7946D184"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Creating category, a majority (92.73%) of respondents were at the average level. These individuals demonstrated improved memory retention and emerging skills in idea generation (Suciu, 2014). A smaller group (3.27%) reached the high level, showcasing innovation, originality, and creative problem-solving (</w:t>
      </w:r>
      <w:proofErr w:type="spellStart"/>
      <w:r w:rsidRPr="00BD0C1D">
        <w:rPr>
          <w:rFonts w:ascii="Arial" w:eastAsia="Arial" w:hAnsi="Arial" w:cs="Arial"/>
        </w:rPr>
        <w:t>Wojahn</w:t>
      </w:r>
      <w:proofErr w:type="spellEnd"/>
      <w:r w:rsidRPr="00BD0C1D">
        <w:rPr>
          <w:rFonts w:ascii="Arial" w:eastAsia="Arial" w:hAnsi="Arial" w:cs="Arial"/>
        </w:rPr>
        <w:t xml:space="preserve"> et al., 2015; </w:t>
      </w:r>
      <w:proofErr w:type="spellStart"/>
      <w:r w:rsidRPr="00BD0C1D">
        <w:rPr>
          <w:rFonts w:ascii="Arial" w:eastAsia="Arial" w:hAnsi="Arial" w:cs="Arial"/>
        </w:rPr>
        <w:t>Clayden</w:t>
      </w:r>
      <w:proofErr w:type="spellEnd"/>
      <w:r w:rsidRPr="00BD0C1D">
        <w:rPr>
          <w:rFonts w:ascii="Arial" w:eastAsia="Arial" w:hAnsi="Arial" w:cs="Arial"/>
        </w:rPr>
        <w:t xml:space="preserve"> et al., 2002). Students reported improved creativity through engagement with open-ended tasks and iterative problem-solving (Grégoire, 2016). However, 4.00% were at a low level, suggesting difficulty in generating novel ideas and solutions.</w:t>
      </w:r>
    </w:p>
    <w:p w14:paraId="41790963"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Overall, the Total Score results revealed an equal distribution: 49.45% of respondents achieved high-level performance, while another 49.45% were at the average level. This balance suggests that nearly half of the students demonstrated strong capabilities, while the other half showed adequate proficiency. Improvements in critical thinking can be attributed to the integration of practical and effective strategies in modern educational practices (</w:t>
      </w:r>
      <w:proofErr w:type="spellStart"/>
      <w:r w:rsidRPr="00BD0C1D">
        <w:rPr>
          <w:rFonts w:ascii="Arial" w:eastAsia="Arial" w:hAnsi="Arial" w:cs="Arial"/>
        </w:rPr>
        <w:t>Supriyatno</w:t>
      </w:r>
      <w:proofErr w:type="spellEnd"/>
      <w:r w:rsidRPr="00BD0C1D">
        <w:rPr>
          <w:rFonts w:ascii="Arial" w:eastAsia="Arial" w:hAnsi="Arial" w:cs="Arial"/>
        </w:rPr>
        <w:t xml:space="preserve"> et al., 2020). High performance was particularly evident in the areas of applying, analyzing, and evaluating. Students with stronger critical thinking skills were observed to be more assertive and self-aware, enabling them to confidently defend arguments and engage in logical discourse (Demir, 2022; Ps et al., 2023). A small group (1.09%) fell into the low-level category, indicating challenges in essential thinking processes that are crucial for both academic learning and real-world problem-solving. Areas such as understanding and creating require further attention and resources to support student development.</w:t>
      </w:r>
    </w:p>
    <w:p w14:paraId="5B69F7BA" w14:textId="77777777" w:rsidR="00BD0C1D" w:rsidRPr="00BD0C1D" w:rsidRDefault="00BD0C1D" w:rsidP="00BD0C1D">
      <w:pPr>
        <w:jc w:val="both"/>
        <w:rPr>
          <w:rFonts w:ascii="Arial" w:eastAsia="Arial" w:hAnsi="Arial" w:cs="Arial"/>
        </w:rPr>
      </w:pPr>
    </w:p>
    <w:p w14:paraId="519F4CA3" w14:textId="402598AF" w:rsidR="000B1D44" w:rsidRDefault="000B62FC">
      <w:pPr>
        <w:tabs>
          <w:tab w:val="left" w:pos="2173"/>
        </w:tabs>
        <w:ind w:right="-72"/>
        <w:jc w:val="both"/>
        <w:rPr>
          <w:rFonts w:ascii="Arial" w:eastAsia="Arial" w:hAnsi="Arial" w:cs="Arial"/>
        </w:rPr>
      </w:pPr>
      <w:r>
        <w:rPr>
          <w:rFonts w:ascii="Arial" w:eastAsia="Arial" w:hAnsi="Arial" w:cs="Arial"/>
        </w:rPr>
        <w:t xml:space="preserve">Table 3: </w:t>
      </w:r>
      <w:r w:rsidR="007049BF" w:rsidRPr="007049BF">
        <w:rPr>
          <w:rFonts w:ascii="Arial" w:eastAsia="Arial" w:hAnsi="Arial" w:cs="Arial"/>
        </w:rPr>
        <w:t>Descriptive Result of Students’ Critical Thinking</w:t>
      </w:r>
    </w:p>
    <w:tbl>
      <w:tblPr>
        <w:tblStyle w:val="a2"/>
        <w:tblW w:w="8207" w:type="dxa"/>
        <w:tblInd w:w="-10" w:type="dxa"/>
        <w:tblLayout w:type="fixed"/>
        <w:tblLook w:val="0400" w:firstRow="0" w:lastRow="0" w:firstColumn="0" w:lastColumn="0" w:noHBand="0" w:noVBand="1"/>
      </w:tblPr>
      <w:tblGrid>
        <w:gridCol w:w="1570"/>
        <w:gridCol w:w="1701"/>
        <w:gridCol w:w="1701"/>
        <w:gridCol w:w="1559"/>
        <w:gridCol w:w="1676"/>
      </w:tblGrid>
      <w:tr w:rsidR="007049BF" w:rsidRPr="00656CAC" w14:paraId="24781F74" w14:textId="77777777" w:rsidTr="00656CAC">
        <w:trPr>
          <w:trHeight w:val="294"/>
        </w:trPr>
        <w:tc>
          <w:tcPr>
            <w:tcW w:w="1570" w:type="dxa"/>
            <w:tcBorders>
              <w:top w:val="single" w:sz="24" w:space="0" w:color="000000"/>
              <w:bottom w:val="single" w:sz="4" w:space="0" w:color="000000"/>
            </w:tcBorders>
            <w:vAlign w:val="center"/>
          </w:tcPr>
          <w:p w14:paraId="64EAE669" w14:textId="2F024B0A" w:rsidR="007049BF" w:rsidRPr="00656CAC" w:rsidRDefault="007049BF" w:rsidP="007049BF">
            <w:pPr>
              <w:ind w:right="-72"/>
              <w:jc w:val="center"/>
              <w:rPr>
                <w:rFonts w:ascii="Arial" w:eastAsia="Arial" w:hAnsi="Arial" w:cs="Arial"/>
                <w:b/>
                <w:bCs/>
                <w:color w:val="000000"/>
                <w:sz w:val="20"/>
                <w:szCs w:val="20"/>
              </w:rPr>
            </w:pPr>
          </w:p>
        </w:tc>
        <w:tc>
          <w:tcPr>
            <w:tcW w:w="1701" w:type="dxa"/>
            <w:tcBorders>
              <w:top w:val="single" w:sz="24" w:space="0" w:color="000000"/>
              <w:bottom w:val="single" w:sz="4" w:space="0" w:color="000000"/>
            </w:tcBorders>
            <w:vAlign w:val="center"/>
          </w:tcPr>
          <w:p w14:paraId="70D8D783" w14:textId="77777777"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LOW </w:t>
            </w:r>
          </w:p>
          <w:p w14:paraId="79DA5392" w14:textId="5A682CD5" w:rsidR="007049BF" w:rsidRPr="00656CAC" w:rsidRDefault="00676701" w:rsidP="007049BF">
            <w:pPr>
              <w:ind w:right="-72"/>
              <w:jc w:val="center"/>
              <w:rPr>
                <w:rFonts w:ascii="Arial" w:eastAsia="Arial" w:hAnsi="Arial" w:cs="Arial"/>
                <w:b/>
                <w:bCs/>
                <w:color w:val="000000"/>
                <w:sz w:val="20"/>
                <w:szCs w:val="20"/>
              </w:rPr>
            </w:pPr>
            <w:r>
              <w:rPr>
                <w:rFonts w:ascii="Arial" w:hAnsi="Arial" w:cs="Arial"/>
                <w:b/>
                <w:bCs/>
                <w:sz w:val="20"/>
                <w:szCs w:val="20"/>
              </w:rPr>
              <w:t>LEVEL</w:t>
            </w:r>
          </w:p>
        </w:tc>
        <w:tc>
          <w:tcPr>
            <w:tcW w:w="1701" w:type="dxa"/>
            <w:tcBorders>
              <w:top w:val="single" w:sz="24" w:space="0" w:color="000000"/>
              <w:bottom w:val="single" w:sz="4" w:space="0" w:color="000000"/>
            </w:tcBorders>
            <w:vAlign w:val="center"/>
          </w:tcPr>
          <w:p w14:paraId="2A58355A" w14:textId="70FD42EE"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AVERAGE </w:t>
            </w:r>
          </w:p>
          <w:p w14:paraId="6C7E0868" w14:textId="21A99987" w:rsidR="007049BF" w:rsidRPr="00656CAC" w:rsidRDefault="00676701" w:rsidP="007049BF">
            <w:pPr>
              <w:ind w:right="-72"/>
              <w:jc w:val="center"/>
              <w:rPr>
                <w:rFonts w:ascii="Arial" w:eastAsia="Arial" w:hAnsi="Arial" w:cs="Arial"/>
                <w:b/>
                <w:bCs/>
                <w:color w:val="000000"/>
                <w:sz w:val="20"/>
                <w:szCs w:val="20"/>
              </w:rPr>
            </w:pPr>
            <w:r>
              <w:rPr>
                <w:rFonts w:ascii="Arial" w:hAnsi="Arial" w:cs="Arial"/>
                <w:b/>
                <w:bCs/>
                <w:sz w:val="20"/>
                <w:szCs w:val="20"/>
              </w:rPr>
              <w:t>LEVEL</w:t>
            </w:r>
          </w:p>
        </w:tc>
        <w:tc>
          <w:tcPr>
            <w:tcW w:w="1559" w:type="dxa"/>
            <w:tcBorders>
              <w:top w:val="single" w:sz="24" w:space="0" w:color="000000"/>
              <w:bottom w:val="single" w:sz="4" w:space="0" w:color="000000"/>
            </w:tcBorders>
            <w:vAlign w:val="center"/>
          </w:tcPr>
          <w:p w14:paraId="11FC958E" w14:textId="151AC6E3"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HIGH </w:t>
            </w:r>
          </w:p>
          <w:p w14:paraId="7A1C16EC" w14:textId="50D36B8D" w:rsidR="007049BF" w:rsidRPr="00656CAC" w:rsidRDefault="00676701" w:rsidP="007049BF">
            <w:pPr>
              <w:ind w:right="-72"/>
              <w:jc w:val="center"/>
              <w:rPr>
                <w:rFonts w:ascii="Arial" w:hAnsi="Arial" w:cs="Arial"/>
                <w:b/>
                <w:bCs/>
                <w:sz w:val="20"/>
                <w:szCs w:val="20"/>
              </w:rPr>
            </w:pPr>
            <w:r>
              <w:rPr>
                <w:rFonts w:ascii="Arial" w:hAnsi="Arial" w:cs="Arial"/>
                <w:b/>
                <w:bCs/>
                <w:sz w:val="20"/>
                <w:szCs w:val="20"/>
              </w:rPr>
              <w:t>LEVEL</w:t>
            </w:r>
          </w:p>
        </w:tc>
        <w:tc>
          <w:tcPr>
            <w:tcW w:w="1676" w:type="dxa"/>
            <w:tcBorders>
              <w:top w:val="single" w:sz="24" w:space="0" w:color="000000"/>
              <w:bottom w:val="single" w:sz="4" w:space="0" w:color="000000"/>
            </w:tcBorders>
            <w:vAlign w:val="center"/>
          </w:tcPr>
          <w:p w14:paraId="634D385C" w14:textId="6598D756" w:rsidR="007049BF" w:rsidRPr="00656CAC" w:rsidRDefault="00656CAC" w:rsidP="007049BF">
            <w:pPr>
              <w:ind w:right="-72"/>
              <w:jc w:val="center"/>
              <w:rPr>
                <w:rFonts w:ascii="Arial" w:eastAsia="Arial" w:hAnsi="Arial" w:cs="Arial"/>
                <w:b/>
                <w:bCs/>
                <w:color w:val="000000"/>
                <w:sz w:val="20"/>
                <w:szCs w:val="20"/>
              </w:rPr>
            </w:pPr>
            <w:r w:rsidRPr="00656CAC">
              <w:rPr>
                <w:rFonts w:ascii="Arial" w:eastAsia="Arial" w:hAnsi="Arial" w:cs="Arial"/>
                <w:b/>
                <w:bCs/>
                <w:color w:val="000000"/>
                <w:sz w:val="20"/>
                <w:szCs w:val="20"/>
              </w:rPr>
              <w:t>TOTAL</w:t>
            </w:r>
          </w:p>
        </w:tc>
      </w:tr>
      <w:tr w:rsidR="007049BF" w:rsidRPr="00656CAC" w14:paraId="206F01D8" w14:textId="77777777" w:rsidTr="00656CAC">
        <w:trPr>
          <w:trHeight w:val="294"/>
        </w:trPr>
        <w:tc>
          <w:tcPr>
            <w:tcW w:w="1570" w:type="dxa"/>
            <w:tcBorders>
              <w:top w:val="single" w:sz="4" w:space="0" w:color="000000"/>
            </w:tcBorders>
          </w:tcPr>
          <w:p w14:paraId="2F5B6C8C" w14:textId="7ED44949"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Remembering</w:t>
            </w:r>
          </w:p>
        </w:tc>
        <w:tc>
          <w:tcPr>
            <w:tcW w:w="1701" w:type="dxa"/>
            <w:tcBorders>
              <w:top w:val="single" w:sz="4" w:space="0" w:color="000000"/>
            </w:tcBorders>
          </w:tcPr>
          <w:p w14:paraId="616014AB" w14:textId="478B5AA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14</w:t>
            </w:r>
          </w:p>
        </w:tc>
        <w:tc>
          <w:tcPr>
            <w:tcW w:w="1701" w:type="dxa"/>
            <w:tcBorders>
              <w:top w:val="single" w:sz="4" w:space="0" w:color="000000"/>
            </w:tcBorders>
          </w:tcPr>
          <w:p w14:paraId="3E05CDD8" w14:textId="7184BB2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145</w:t>
            </w:r>
          </w:p>
        </w:tc>
        <w:tc>
          <w:tcPr>
            <w:tcW w:w="1559" w:type="dxa"/>
            <w:tcBorders>
              <w:top w:val="single" w:sz="4" w:space="0" w:color="000000"/>
            </w:tcBorders>
          </w:tcPr>
          <w:p w14:paraId="2E99E66C" w14:textId="0C0DBDD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116</w:t>
            </w:r>
          </w:p>
        </w:tc>
        <w:tc>
          <w:tcPr>
            <w:tcW w:w="1676" w:type="dxa"/>
            <w:tcBorders>
              <w:top w:val="single" w:sz="4" w:space="0" w:color="000000"/>
            </w:tcBorders>
          </w:tcPr>
          <w:p w14:paraId="7FB6BC9E" w14:textId="1C95ABD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275</w:t>
            </w:r>
          </w:p>
        </w:tc>
      </w:tr>
      <w:tr w:rsidR="007049BF" w:rsidRPr="00656CAC" w14:paraId="46A3B7CD" w14:textId="77777777" w:rsidTr="00656CAC">
        <w:trPr>
          <w:trHeight w:val="312"/>
        </w:trPr>
        <w:tc>
          <w:tcPr>
            <w:tcW w:w="1570" w:type="dxa"/>
          </w:tcPr>
          <w:p w14:paraId="5DA68C77" w14:textId="46C948E2"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596798A1" w14:textId="51036C88"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(5.09)</w:t>
            </w:r>
          </w:p>
        </w:tc>
        <w:tc>
          <w:tcPr>
            <w:tcW w:w="1701" w:type="dxa"/>
          </w:tcPr>
          <w:p w14:paraId="76574BCD" w14:textId="1CD7AC3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(52.73)</w:t>
            </w:r>
          </w:p>
        </w:tc>
        <w:tc>
          <w:tcPr>
            <w:tcW w:w="1559" w:type="dxa"/>
          </w:tcPr>
          <w:p w14:paraId="0EFDDA79" w14:textId="18F71DB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(42.18)</w:t>
            </w:r>
          </w:p>
        </w:tc>
        <w:tc>
          <w:tcPr>
            <w:tcW w:w="1676" w:type="dxa"/>
          </w:tcPr>
          <w:p w14:paraId="0E03E638" w14:textId="7857BD93"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(100.00)</w:t>
            </w:r>
          </w:p>
        </w:tc>
      </w:tr>
      <w:tr w:rsidR="007049BF" w:rsidRPr="00656CAC" w14:paraId="58832392" w14:textId="77777777" w:rsidTr="00656CAC">
        <w:trPr>
          <w:trHeight w:val="312"/>
        </w:trPr>
        <w:tc>
          <w:tcPr>
            <w:tcW w:w="1570" w:type="dxa"/>
          </w:tcPr>
          <w:p w14:paraId="0CBBD236" w14:textId="5910A3C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Understanding</w:t>
            </w:r>
          </w:p>
        </w:tc>
        <w:tc>
          <w:tcPr>
            <w:tcW w:w="1701" w:type="dxa"/>
          </w:tcPr>
          <w:p w14:paraId="1C7C1E16" w14:textId="6E68721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609AFBDF" w14:textId="37EDEA45"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151</w:t>
            </w:r>
          </w:p>
        </w:tc>
        <w:tc>
          <w:tcPr>
            <w:tcW w:w="1559" w:type="dxa"/>
          </w:tcPr>
          <w:p w14:paraId="34BD7799" w14:textId="3D41341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113</w:t>
            </w:r>
          </w:p>
        </w:tc>
        <w:tc>
          <w:tcPr>
            <w:tcW w:w="1676" w:type="dxa"/>
          </w:tcPr>
          <w:p w14:paraId="63A1FD66" w14:textId="0978BDE3"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16652768" w14:textId="77777777" w:rsidTr="00656CAC">
        <w:trPr>
          <w:trHeight w:val="312"/>
        </w:trPr>
        <w:tc>
          <w:tcPr>
            <w:tcW w:w="1570" w:type="dxa"/>
          </w:tcPr>
          <w:p w14:paraId="65094997" w14:textId="78196B4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305908E9" w14:textId="02357D6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Pr>
          <w:p w14:paraId="62B7B16D" w14:textId="5917AC0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(54.91)</w:t>
            </w:r>
          </w:p>
        </w:tc>
        <w:tc>
          <w:tcPr>
            <w:tcW w:w="1559" w:type="dxa"/>
          </w:tcPr>
          <w:p w14:paraId="3C1E9A2F" w14:textId="7C2EA44A"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41.09</w:t>
            </w:r>
          </w:p>
        </w:tc>
        <w:tc>
          <w:tcPr>
            <w:tcW w:w="1676" w:type="dxa"/>
          </w:tcPr>
          <w:p w14:paraId="7D0DD303" w14:textId="24619A6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276AAE2E" w14:textId="77777777" w:rsidTr="00656CAC">
        <w:trPr>
          <w:trHeight w:val="312"/>
        </w:trPr>
        <w:tc>
          <w:tcPr>
            <w:tcW w:w="1570" w:type="dxa"/>
          </w:tcPr>
          <w:p w14:paraId="07094181" w14:textId="4F6C3981"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Applying</w:t>
            </w:r>
          </w:p>
        </w:tc>
        <w:tc>
          <w:tcPr>
            <w:tcW w:w="1701" w:type="dxa"/>
          </w:tcPr>
          <w:p w14:paraId="0922B71A" w14:textId="05E6E18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13D70DA1" w14:textId="0566E5D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92</w:t>
            </w:r>
          </w:p>
        </w:tc>
        <w:tc>
          <w:tcPr>
            <w:tcW w:w="1559" w:type="dxa"/>
          </w:tcPr>
          <w:p w14:paraId="3C32A145" w14:textId="578B3A5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172</w:t>
            </w:r>
          </w:p>
        </w:tc>
        <w:tc>
          <w:tcPr>
            <w:tcW w:w="1676" w:type="dxa"/>
          </w:tcPr>
          <w:p w14:paraId="7D61AE5A" w14:textId="134B383D"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2ACAD303" w14:textId="77777777" w:rsidTr="00656CAC">
        <w:trPr>
          <w:trHeight w:val="312"/>
        </w:trPr>
        <w:tc>
          <w:tcPr>
            <w:tcW w:w="1570" w:type="dxa"/>
          </w:tcPr>
          <w:p w14:paraId="3D5195A7" w14:textId="47B93AF3"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7DE6E9D4" w14:textId="28175E5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Pr>
          <w:p w14:paraId="1EA552C5" w14:textId="238BC05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(33.45)</w:t>
            </w:r>
          </w:p>
        </w:tc>
        <w:tc>
          <w:tcPr>
            <w:tcW w:w="1559" w:type="dxa"/>
          </w:tcPr>
          <w:p w14:paraId="476500A5" w14:textId="435ED06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62.55</w:t>
            </w:r>
          </w:p>
        </w:tc>
        <w:tc>
          <w:tcPr>
            <w:tcW w:w="1676" w:type="dxa"/>
          </w:tcPr>
          <w:p w14:paraId="08D692CF" w14:textId="276DD07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AE737BF" w14:textId="77777777" w:rsidTr="00656CAC">
        <w:trPr>
          <w:trHeight w:val="312"/>
        </w:trPr>
        <w:tc>
          <w:tcPr>
            <w:tcW w:w="1570" w:type="dxa"/>
          </w:tcPr>
          <w:p w14:paraId="2556F05F" w14:textId="3AE439C8"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Analyzing</w:t>
            </w:r>
          </w:p>
        </w:tc>
        <w:tc>
          <w:tcPr>
            <w:tcW w:w="1701" w:type="dxa"/>
          </w:tcPr>
          <w:p w14:paraId="1350296E" w14:textId="6089767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14</w:t>
            </w:r>
          </w:p>
        </w:tc>
        <w:tc>
          <w:tcPr>
            <w:tcW w:w="1701" w:type="dxa"/>
          </w:tcPr>
          <w:p w14:paraId="05522E4A" w14:textId="1493622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114</w:t>
            </w:r>
          </w:p>
        </w:tc>
        <w:tc>
          <w:tcPr>
            <w:tcW w:w="1559" w:type="dxa"/>
          </w:tcPr>
          <w:p w14:paraId="3CC691BE" w14:textId="7529CD6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147</w:t>
            </w:r>
          </w:p>
        </w:tc>
        <w:tc>
          <w:tcPr>
            <w:tcW w:w="1676" w:type="dxa"/>
          </w:tcPr>
          <w:p w14:paraId="28D1FD18" w14:textId="5FB9FB0D"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7F2C7762" w14:textId="77777777" w:rsidTr="00656CAC">
        <w:trPr>
          <w:trHeight w:val="312"/>
        </w:trPr>
        <w:tc>
          <w:tcPr>
            <w:tcW w:w="1570" w:type="dxa"/>
          </w:tcPr>
          <w:p w14:paraId="4A98CC2A" w14:textId="7CE10DB1"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lastRenderedPageBreak/>
              <w:t>(%)</w:t>
            </w:r>
          </w:p>
        </w:tc>
        <w:tc>
          <w:tcPr>
            <w:tcW w:w="1701" w:type="dxa"/>
          </w:tcPr>
          <w:p w14:paraId="62DD4A16" w14:textId="60D735B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(5.09)</w:t>
            </w:r>
          </w:p>
        </w:tc>
        <w:tc>
          <w:tcPr>
            <w:tcW w:w="1701" w:type="dxa"/>
          </w:tcPr>
          <w:p w14:paraId="5E701E3C" w14:textId="3B337A7A"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(41.45)</w:t>
            </w:r>
          </w:p>
        </w:tc>
        <w:tc>
          <w:tcPr>
            <w:tcW w:w="1559" w:type="dxa"/>
          </w:tcPr>
          <w:p w14:paraId="0E44C163" w14:textId="40EE767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(53.46)</w:t>
            </w:r>
          </w:p>
        </w:tc>
        <w:tc>
          <w:tcPr>
            <w:tcW w:w="1676" w:type="dxa"/>
          </w:tcPr>
          <w:p w14:paraId="7EBBA16B" w14:textId="1744368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14731B8" w14:textId="77777777" w:rsidTr="00656CAC">
        <w:trPr>
          <w:trHeight w:val="312"/>
        </w:trPr>
        <w:tc>
          <w:tcPr>
            <w:tcW w:w="1570" w:type="dxa"/>
          </w:tcPr>
          <w:p w14:paraId="71E763A1" w14:textId="2EEDD8AD"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Evaluating</w:t>
            </w:r>
          </w:p>
        </w:tc>
        <w:tc>
          <w:tcPr>
            <w:tcW w:w="1701" w:type="dxa"/>
          </w:tcPr>
          <w:p w14:paraId="54E61AFD" w14:textId="759E3EA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w:t>
            </w:r>
          </w:p>
        </w:tc>
        <w:tc>
          <w:tcPr>
            <w:tcW w:w="1701" w:type="dxa"/>
          </w:tcPr>
          <w:p w14:paraId="1AA62D5C" w14:textId="52D7B79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69</w:t>
            </w:r>
          </w:p>
        </w:tc>
        <w:tc>
          <w:tcPr>
            <w:tcW w:w="1559" w:type="dxa"/>
          </w:tcPr>
          <w:p w14:paraId="7426E6E7" w14:textId="38ABB536"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196</w:t>
            </w:r>
          </w:p>
        </w:tc>
        <w:tc>
          <w:tcPr>
            <w:tcW w:w="1676" w:type="dxa"/>
          </w:tcPr>
          <w:p w14:paraId="13752CDF" w14:textId="2E53B4C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1AB65F99" w14:textId="77777777" w:rsidTr="00656CAC">
        <w:trPr>
          <w:trHeight w:val="312"/>
        </w:trPr>
        <w:tc>
          <w:tcPr>
            <w:tcW w:w="1570" w:type="dxa"/>
          </w:tcPr>
          <w:p w14:paraId="25DB3975" w14:textId="5C4B202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66381073" w14:textId="491DDE5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(3.64)</w:t>
            </w:r>
          </w:p>
        </w:tc>
        <w:tc>
          <w:tcPr>
            <w:tcW w:w="1701" w:type="dxa"/>
          </w:tcPr>
          <w:p w14:paraId="0FDBE88B" w14:textId="19E7D62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(25.09)</w:t>
            </w:r>
          </w:p>
        </w:tc>
        <w:tc>
          <w:tcPr>
            <w:tcW w:w="1559" w:type="dxa"/>
          </w:tcPr>
          <w:p w14:paraId="0274CB08" w14:textId="6E1027A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(71.27)</w:t>
            </w:r>
          </w:p>
        </w:tc>
        <w:tc>
          <w:tcPr>
            <w:tcW w:w="1676" w:type="dxa"/>
          </w:tcPr>
          <w:p w14:paraId="559D9DAA" w14:textId="7CCE316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BE98496" w14:textId="77777777" w:rsidTr="00656CAC">
        <w:trPr>
          <w:trHeight w:val="312"/>
        </w:trPr>
        <w:tc>
          <w:tcPr>
            <w:tcW w:w="1570" w:type="dxa"/>
          </w:tcPr>
          <w:p w14:paraId="6F5451ED" w14:textId="0D4ACA8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Creating</w:t>
            </w:r>
          </w:p>
        </w:tc>
        <w:tc>
          <w:tcPr>
            <w:tcW w:w="1701" w:type="dxa"/>
          </w:tcPr>
          <w:p w14:paraId="10D7E0D2" w14:textId="0948BC9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44D8852C" w14:textId="4676D58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255</w:t>
            </w:r>
          </w:p>
        </w:tc>
        <w:tc>
          <w:tcPr>
            <w:tcW w:w="1559" w:type="dxa"/>
          </w:tcPr>
          <w:p w14:paraId="4179BB42" w14:textId="57E96CA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w:t>
            </w:r>
          </w:p>
        </w:tc>
        <w:tc>
          <w:tcPr>
            <w:tcW w:w="1676" w:type="dxa"/>
          </w:tcPr>
          <w:p w14:paraId="76119762" w14:textId="30F97A9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612C2F2C" w14:textId="77777777" w:rsidTr="00656CAC">
        <w:trPr>
          <w:trHeight w:val="312"/>
        </w:trPr>
        <w:tc>
          <w:tcPr>
            <w:tcW w:w="1570" w:type="dxa"/>
            <w:tcBorders>
              <w:bottom w:val="single" w:sz="4" w:space="0" w:color="auto"/>
            </w:tcBorders>
          </w:tcPr>
          <w:p w14:paraId="78853446" w14:textId="6DE0B05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Borders>
              <w:bottom w:val="single" w:sz="4" w:space="0" w:color="auto"/>
            </w:tcBorders>
          </w:tcPr>
          <w:p w14:paraId="293353C6" w14:textId="5FDB0B3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Borders>
              <w:bottom w:val="single" w:sz="4" w:space="0" w:color="auto"/>
            </w:tcBorders>
          </w:tcPr>
          <w:p w14:paraId="31218D9A" w14:textId="714A53F5"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(92.73)</w:t>
            </w:r>
          </w:p>
        </w:tc>
        <w:tc>
          <w:tcPr>
            <w:tcW w:w="1559" w:type="dxa"/>
            <w:tcBorders>
              <w:bottom w:val="single" w:sz="4" w:space="0" w:color="auto"/>
            </w:tcBorders>
          </w:tcPr>
          <w:p w14:paraId="6F420909" w14:textId="4B83DE6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(3.27)</w:t>
            </w:r>
          </w:p>
        </w:tc>
        <w:tc>
          <w:tcPr>
            <w:tcW w:w="1676" w:type="dxa"/>
            <w:tcBorders>
              <w:bottom w:val="single" w:sz="4" w:space="0" w:color="auto"/>
            </w:tcBorders>
          </w:tcPr>
          <w:p w14:paraId="53619208" w14:textId="1CF908B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073D17A3" w14:textId="77777777" w:rsidTr="00656CAC">
        <w:trPr>
          <w:trHeight w:val="312"/>
        </w:trPr>
        <w:tc>
          <w:tcPr>
            <w:tcW w:w="1570" w:type="dxa"/>
            <w:tcBorders>
              <w:top w:val="single" w:sz="4" w:space="0" w:color="auto"/>
            </w:tcBorders>
          </w:tcPr>
          <w:p w14:paraId="6F784E27" w14:textId="18CF22E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Overall Score</w:t>
            </w:r>
          </w:p>
        </w:tc>
        <w:tc>
          <w:tcPr>
            <w:tcW w:w="1701" w:type="dxa"/>
            <w:tcBorders>
              <w:top w:val="single" w:sz="4" w:space="0" w:color="auto"/>
            </w:tcBorders>
          </w:tcPr>
          <w:p w14:paraId="755B0EBF" w14:textId="5D7ABF06"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w:t>
            </w:r>
          </w:p>
        </w:tc>
        <w:tc>
          <w:tcPr>
            <w:tcW w:w="1701" w:type="dxa"/>
            <w:tcBorders>
              <w:top w:val="single" w:sz="4" w:space="0" w:color="auto"/>
            </w:tcBorders>
          </w:tcPr>
          <w:p w14:paraId="4151BAD6" w14:textId="48FF317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136</w:t>
            </w:r>
          </w:p>
        </w:tc>
        <w:tc>
          <w:tcPr>
            <w:tcW w:w="1559" w:type="dxa"/>
            <w:tcBorders>
              <w:top w:val="single" w:sz="4" w:space="0" w:color="auto"/>
            </w:tcBorders>
          </w:tcPr>
          <w:p w14:paraId="77796A8C" w14:textId="011A0F8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136</w:t>
            </w:r>
          </w:p>
        </w:tc>
        <w:tc>
          <w:tcPr>
            <w:tcW w:w="1676" w:type="dxa"/>
            <w:tcBorders>
              <w:top w:val="single" w:sz="4" w:space="0" w:color="auto"/>
            </w:tcBorders>
          </w:tcPr>
          <w:p w14:paraId="07F96FA7" w14:textId="5FD291B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7EFC1571" w14:textId="77777777" w:rsidTr="00656CAC">
        <w:trPr>
          <w:trHeight w:val="294"/>
        </w:trPr>
        <w:tc>
          <w:tcPr>
            <w:tcW w:w="1570" w:type="dxa"/>
            <w:tcBorders>
              <w:bottom w:val="single" w:sz="24" w:space="0" w:color="000000"/>
            </w:tcBorders>
          </w:tcPr>
          <w:p w14:paraId="6A16FED2" w14:textId="1757AFA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Borders>
              <w:bottom w:val="single" w:sz="24" w:space="0" w:color="000000"/>
            </w:tcBorders>
          </w:tcPr>
          <w:p w14:paraId="0F3AB32E" w14:textId="36D2438C"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(1.10)</w:t>
            </w:r>
          </w:p>
        </w:tc>
        <w:tc>
          <w:tcPr>
            <w:tcW w:w="1701" w:type="dxa"/>
            <w:tcBorders>
              <w:bottom w:val="single" w:sz="24" w:space="0" w:color="000000"/>
            </w:tcBorders>
          </w:tcPr>
          <w:p w14:paraId="59F8ACF9" w14:textId="3F63249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(49.45)</w:t>
            </w:r>
          </w:p>
        </w:tc>
        <w:tc>
          <w:tcPr>
            <w:tcW w:w="1559" w:type="dxa"/>
            <w:tcBorders>
              <w:bottom w:val="single" w:sz="24" w:space="0" w:color="000000"/>
            </w:tcBorders>
          </w:tcPr>
          <w:p w14:paraId="3257E0DD" w14:textId="2312BCA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(49.45)</w:t>
            </w:r>
          </w:p>
        </w:tc>
        <w:tc>
          <w:tcPr>
            <w:tcW w:w="1676" w:type="dxa"/>
            <w:tcBorders>
              <w:bottom w:val="single" w:sz="24" w:space="0" w:color="000000"/>
            </w:tcBorders>
          </w:tcPr>
          <w:p w14:paraId="3410AE50" w14:textId="5DB8095F"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(100.00)</w:t>
            </w:r>
          </w:p>
        </w:tc>
      </w:tr>
    </w:tbl>
    <w:p w14:paraId="27CF7CD9" w14:textId="0E4849D0" w:rsidR="000B1D44" w:rsidRDefault="000B62FC">
      <w:pPr>
        <w:tabs>
          <w:tab w:val="left" w:pos="2173"/>
        </w:tabs>
        <w:ind w:right="-630"/>
        <w:jc w:val="both"/>
        <w:rPr>
          <w:rFonts w:ascii="Arial" w:eastAsia="Arial" w:hAnsi="Arial" w:cs="Arial"/>
        </w:rPr>
      </w:pPr>
      <w:r>
        <w:rPr>
          <w:rFonts w:ascii="Arial" w:eastAsia="Arial" w:hAnsi="Arial" w:cs="Arial"/>
        </w:rPr>
        <w:t>n=</w:t>
      </w:r>
      <w:r w:rsidR="007049BF">
        <w:rPr>
          <w:rFonts w:ascii="Arial" w:eastAsia="Arial" w:hAnsi="Arial" w:cs="Arial"/>
        </w:rPr>
        <w:t>275</w:t>
      </w:r>
      <w:r>
        <w:rPr>
          <w:rFonts w:ascii="Arial" w:eastAsia="Arial" w:hAnsi="Arial" w:cs="Arial"/>
        </w:rPr>
        <w:t>; %=100; Mean=</w:t>
      </w:r>
      <w:r w:rsidR="00656CAC">
        <w:rPr>
          <w:rFonts w:ascii="Arial" w:eastAsia="Arial" w:hAnsi="Arial" w:cs="Arial"/>
        </w:rPr>
        <w:t>3.66</w:t>
      </w:r>
      <w:r>
        <w:rPr>
          <w:rFonts w:ascii="Arial" w:eastAsia="Arial" w:hAnsi="Arial" w:cs="Arial"/>
        </w:rPr>
        <w:t>; SD=0.4</w:t>
      </w:r>
      <w:r w:rsidR="00656CAC">
        <w:rPr>
          <w:rFonts w:ascii="Arial" w:eastAsia="Arial" w:hAnsi="Arial" w:cs="Arial"/>
        </w:rPr>
        <w:t>95</w:t>
      </w:r>
    </w:p>
    <w:p w14:paraId="5DF560C7" w14:textId="77777777" w:rsidR="000B1D44" w:rsidRDefault="000B1D44">
      <w:pPr>
        <w:ind w:right="-72"/>
        <w:jc w:val="center"/>
        <w:rPr>
          <w:rFonts w:ascii="Arial" w:eastAsia="Arial" w:hAnsi="Arial" w:cs="Arial"/>
          <w:b/>
        </w:rPr>
      </w:pPr>
    </w:p>
    <w:p w14:paraId="73218EF6" w14:textId="77777777" w:rsidR="00656CAC" w:rsidRDefault="00656CAC">
      <w:pPr>
        <w:ind w:right="-72"/>
        <w:jc w:val="center"/>
        <w:rPr>
          <w:rFonts w:ascii="Arial" w:eastAsia="Arial" w:hAnsi="Arial" w:cs="Arial"/>
          <w:b/>
        </w:rPr>
      </w:pPr>
    </w:p>
    <w:p w14:paraId="7B83F4D4" w14:textId="77777777" w:rsidR="00656CAC" w:rsidRDefault="000B62FC" w:rsidP="00656CAC">
      <w:pPr>
        <w:ind w:right="-72"/>
        <w:jc w:val="center"/>
        <w:rPr>
          <w:rFonts w:ascii="Arial" w:eastAsia="Arial" w:hAnsi="Arial" w:cs="Arial"/>
          <w:b/>
        </w:rPr>
      </w:pPr>
      <w:r>
        <w:rPr>
          <w:rFonts w:ascii="Arial" w:eastAsia="Arial" w:hAnsi="Arial" w:cs="Arial"/>
          <w:b/>
        </w:rPr>
        <w:t xml:space="preserve">Relationship Between the </w:t>
      </w:r>
      <w:r w:rsidR="00656CAC">
        <w:rPr>
          <w:rFonts w:ascii="Arial" w:eastAsia="Arial" w:hAnsi="Arial" w:cs="Arial"/>
          <w:b/>
        </w:rPr>
        <w:t xml:space="preserve">Teacher’ Situated Learning Practices and  </w:t>
      </w:r>
    </w:p>
    <w:p w14:paraId="614BB05A" w14:textId="33771C43" w:rsidR="000B1D44" w:rsidRDefault="00656CAC" w:rsidP="00656CAC">
      <w:pPr>
        <w:ind w:right="-72"/>
        <w:jc w:val="center"/>
        <w:rPr>
          <w:rFonts w:ascii="Arial" w:eastAsia="Arial" w:hAnsi="Arial" w:cs="Arial"/>
          <w:b/>
        </w:rPr>
      </w:pPr>
      <w:r>
        <w:rPr>
          <w:rFonts w:ascii="Arial" w:eastAsia="Arial" w:hAnsi="Arial" w:cs="Arial"/>
          <w:b/>
        </w:rPr>
        <w:t xml:space="preserve">College Students’ Critical Thinking </w:t>
      </w:r>
    </w:p>
    <w:p w14:paraId="2FB95632"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8E2F3F5"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The results in Table 4 show the relationship between math teachers' situated learning practices and students' critical thinking in the context of the study. The situated learning practice characteristic "authentic context" employed by math teachers was found to have a strong correlation with students' critical thinking skills, indicated by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0.502. This relationship is also statistically significant, as indicated by a p-value less than 0.05. This finding is supported by the study of </w:t>
      </w:r>
      <w:proofErr w:type="spellStart"/>
      <w:r w:rsidRPr="00D64D9C">
        <w:rPr>
          <w:rFonts w:ascii="Arial" w:eastAsia="Arial" w:hAnsi="Arial" w:cs="Arial"/>
          <w:color w:val="000000"/>
        </w:rPr>
        <w:t>Dolapcioglu</w:t>
      </w:r>
      <w:proofErr w:type="spellEnd"/>
      <w:r w:rsidRPr="00D64D9C">
        <w:rPr>
          <w:rFonts w:ascii="Arial" w:eastAsia="Arial" w:hAnsi="Arial" w:cs="Arial"/>
          <w:color w:val="000000"/>
        </w:rPr>
        <w:t xml:space="preserve"> and </w:t>
      </w:r>
      <w:proofErr w:type="spellStart"/>
      <w:r w:rsidRPr="00D64D9C">
        <w:rPr>
          <w:rFonts w:ascii="Arial" w:eastAsia="Arial" w:hAnsi="Arial" w:cs="Arial"/>
          <w:color w:val="000000"/>
        </w:rPr>
        <w:t>Doğanay</w:t>
      </w:r>
      <w:proofErr w:type="spellEnd"/>
      <w:r w:rsidRPr="00D64D9C">
        <w:rPr>
          <w:rFonts w:ascii="Arial" w:eastAsia="Arial" w:hAnsi="Arial" w:cs="Arial"/>
          <w:color w:val="000000"/>
        </w:rPr>
        <w:t xml:space="preserve"> (2016), who found that integrating authentic contexts—such as connecting mathematical problems and concepts to real-world applications—can increase student motivation, enthusiasm, and interest, which are crucial for developing critical thinking skills.</w:t>
      </w:r>
    </w:p>
    <w:p w14:paraId="38635677"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Furthermore, the situated learning practice characteristic "authentic activities," utilized by math teachers in their classes, was found to have a strong correlation with students' critical thinking skills, indicated by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0.517. This relationship is also significant, as evidenced by a p-value less than 0.05. This finding aligns with </w:t>
      </w:r>
      <w:proofErr w:type="spellStart"/>
      <w:r w:rsidRPr="00D64D9C">
        <w:rPr>
          <w:rFonts w:ascii="Arial" w:eastAsia="Arial" w:hAnsi="Arial" w:cs="Arial"/>
          <w:color w:val="000000"/>
        </w:rPr>
        <w:t>Jablonka’s</w:t>
      </w:r>
      <w:proofErr w:type="spellEnd"/>
      <w:r w:rsidRPr="00D64D9C">
        <w:rPr>
          <w:rFonts w:ascii="Arial" w:eastAsia="Arial" w:hAnsi="Arial" w:cs="Arial"/>
          <w:color w:val="000000"/>
        </w:rPr>
        <w:t xml:space="preserve"> (2003) study, which found that students develop a better understanding of the practical applications of mathematics and enhance their critical thinking by engaging in authentic activities that use different mathematical models.</w:t>
      </w:r>
    </w:p>
    <w:p w14:paraId="49863EE4"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On the other hand, the situated learning practice characteristic "authentic assessment" used by math teachers in evaluating students' learning was found to have a moderate correlation with students' critical thinking skills, indicated by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0.434. This relationship is also statistically significant, as indicated by a p-value less than 0.05. This result is supported by the study of </w:t>
      </w:r>
      <w:proofErr w:type="spellStart"/>
      <w:r w:rsidRPr="00D64D9C">
        <w:rPr>
          <w:rFonts w:ascii="Arial" w:eastAsia="Arial" w:hAnsi="Arial" w:cs="Arial"/>
          <w:color w:val="000000"/>
        </w:rPr>
        <w:t>Ukobizaba</w:t>
      </w:r>
      <w:proofErr w:type="spellEnd"/>
      <w:r w:rsidRPr="00D64D9C">
        <w:rPr>
          <w:rFonts w:ascii="Arial" w:eastAsia="Arial" w:hAnsi="Arial" w:cs="Arial"/>
          <w:color w:val="000000"/>
        </w:rPr>
        <w:t xml:space="preserve"> et al. (2020), which found that math teachers who use authentic assessments, such as employing varied and appropriate assessments that allow students to evaluate their own learning and progress, foster self-reflection and critical thinking.</w:t>
      </w:r>
    </w:p>
    <w:p w14:paraId="1035DA52"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The overall result of the situated learning practices employed by math teachers in relation to students' critical thinking shows a strong correlation with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0.553 and a significant relationship, as indicated by a p-value less than 0.05. This suggests that situated learning practices—or the adoption of innovative and contextually relevant teaching methods—can enhance students' learning experiences in mathematics and improve their critical thinking. Therefore, we can reject the null hypothesis and conclude that there is a significant relationship between the situated learning practices employed by math teachers and students' critical thinking skills.</w:t>
      </w:r>
    </w:p>
    <w:p w14:paraId="7D052898" w14:textId="77777777" w:rsidR="00D64D9C" w:rsidRPr="00D64D9C" w:rsidRDefault="00D64D9C" w:rsidP="00D64D9C">
      <w:pPr>
        <w:spacing w:after="4"/>
        <w:ind w:right="8" w:firstLine="720"/>
        <w:jc w:val="both"/>
        <w:rPr>
          <w:rFonts w:ascii="Arial" w:eastAsia="Arial" w:hAnsi="Arial" w:cs="Arial"/>
          <w:color w:val="000000"/>
        </w:rPr>
      </w:pPr>
    </w:p>
    <w:p w14:paraId="49F340E2"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Although there appears to be limited empirical research specifically examining how situated learning practices directly influence the enhancement of critical thinking skills among college students, the study by D'Souza and Clare (2019) highlights the effectiveness of situated learning models, such as the use of contextual knowledge and authentic tasks in mathematics discussions. These practices demonstrate a notable improvement in students' abilities to comprehend, apply, analyze, synthesize, and evaluate information to solve </w:t>
      </w:r>
      <w:r w:rsidRPr="00D64D9C">
        <w:rPr>
          <w:rFonts w:ascii="Arial" w:eastAsia="Arial" w:hAnsi="Arial" w:cs="Arial"/>
          <w:color w:val="000000"/>
        </w:rPr>
        <w:lastRenderedPageBreak/>
        <w:t xml:space="preserve">problems, which fosters critical thinking. Another study that supports these findings is that situated learning environments—such as the use of real-world contexts, interactive learning, and collaborative activities—can significantly improve students' mathematical reasoning and foster critical thinking (Schunk, 2018). Additionally, the study of </w:t>
      </w:r>
      <w:proofErr w:type="spellStart"/>
      <w:r w:rsidRPr="00D64D9C">
        <w:rPr>
          <w:rFonts w:ascii="Arial" w:eastAsia="Arial" w:hAnsi="Arial" w:cs="Arial"/>
          <w:color w:val="000000"/>
        </w:rPr>
        <w:t>Alnuaim</w:t>
      </w:r>
      <w:proofErr w:type="spellEnd"/>
      <w:r w:rsidRPr="00D64D9C">
        <w:rPr>
          <w:rFonts w:ascii="Arial" w:eastAsia="Arial" w:hAnsi="Arial" w:cs="Arial"/>
          <w:color w:val="000000"/>
        </w:rPr>
        <w:t xml:space="preserve"> </w:t>
      </w:r>
      <w:bookmarkStart w:id="2" w:name="_Hlk197292534"/>
      <w:r w:rsidRPr="00D64D9C">
        <w:rPr>
          <w:rFonts w:ascii="Arial" w:eastAsia="Arial" w:hAnsi="Arial" w:cs="Arial"/>
          <w:color w:val="000000"/>
        </w:rPr>
        <w:t>et al.</w:t>
      </w:r>
      <w:bookmarkEnd w:id="2"/>
      <w:r w:rsidRPr="00D64D9C">
        <w:rPr>
          <w:rFonts w:ascii="Arial" w:eastAsia="Arial" w:hAnsi="Arial" w:cs="Arial"/>
          <w:color w:val="000000"/>
        </w:rPr>
        <w:t xml:space="preserve"> (2021) emphasized that there is a significant improvement in students' critical thinking through mobile location-based learning, such as real-world interactive activities and personalized feedback, which also fall under situated learning practices and help students improve their critical thinking skills.</w:t>
      </w:r>
    </w:p>
    <w:p w14:paraId="4DD930EF" w14:textId="65CA31BC" w:rsidR="000B1D44" w:rsidRDefault="000B1D44" w:rsidP="00656CAC">
      <w:pPr>
        <w:spacing w:after="4"/>
        <w:ind w:right="8" w:firstLine="720"/>
        <w:jc w:val="both"/>
        <w:rPr>
          <w:rFonts w:ascii="Arial" w:eastAsia="Arial" w:hAnsi="Arial" w:cs="Arial"/>
          <w:color w:val="000000"/>
        </w:rPr>
      </w:pPr>
    </w:p>
    <w:p w14:paraId="4E4B5E23" w14:textId="77777777" w:rsidR="00656CAC" w:rsidRDefault="00656CAC" w:rsidP="00656CAC">
      <w:pPr>
        <w:spacing w:after="4"/>
        <w:ind w:right="8" w:firstLine="720"/>
        <w:jc w:val="both"/>
        <w:rPr>
          <w:rFonts w:ascii="Arial" w:eastAsia="Arial" w:hAnsi="Arial" w:cs="Arial"/>
          <w:b/>
          <w:color w:val="000000"/>
        </w:rPr>
      </w:pPr>
    </w:p>
    <w:p w14:paraId="2037265B" w14:textId="74C53A78" w:rsidR="000B1D44" w:rsidRDefault="000B62FC">
      <w:pPr>
        <w:spacing w:after="4"/>
        <w:ind w:left="900" w:right="8" w:hanging="900"/>
        <w:jc w:val="both"/>
        <w:rPr>
          <w:rFonts w:ascii="Arial" w:eastAsia="Arial" w:hAnsi="Arial" w:cs="Arial"/>
          <w:color w:val="000000"/>
        </w:rPr>
      </w:pPr>
      <w:bookmarkStart w:id="3" w:name="_awgo808q6br3" w:colFirst="0" w:colLast="0"/>
      <w:bookmarkEnd w:id="3"/>
      <w:r>
        <w:rPr>
          <w:rFonts w:ascii="Arial" w:eastAsia="Arial" w:hAnsi="Arial" w:cs="Arial"/>
          <w:b/>
          <w:color w:val="000000"/>
        </w:rPr>
        <w:t xml:space="preserve">Table 4. </w:t>
      </w:r>
      <w:r>
        <w:rPr>
          <w:rFonts w:ascii="Arial" w:eastAsia="Arial" w:hAnsi="Arial" w:cs="Arial"/>
          <w:color w:val="000000"/>
        </w:rPr>
        <w:t xml:space="preserve">The Relationship Between the </w:t>
      </w:r>
      <w:r w:rsidR="00EE2AE9">
        <w:rPr>
          <w:rFonts w:ascii="Arial" w:eastAsia="Arial" w:hAnsi="Arial" w:cs="Arial"/>
          <w:color w:val="000000"/>
        </w:rPr>
        <w:t>Teachers’ Situated Learning Practices and College Students’ Critical Thinking Skills</w:t>
      </w:r>
    </w:p>
    <w:tbl>
      <w:tblPr>
        <w:tblStyle w:val="a3"/>
        <w:tblW w:w="8200" w:type="dxa"/>
        <w:tblInd w:w="-10" w:type="dxa"/>
        <w:tblLayout w:type="fixed"/>
        <w:tblLook w:val="0400" w:firstRow="0" w:lastRow="0" w:firstColumn="0" w:lastColumn="0" w:noHBand="0" w:noVBand="1"/>
      </w:tblPr>
      <w:tblGrid>
        <w:gridCol w:w="3340"/>
        <w:gridCol w:w="1620"/>
        <w:gridCol w:w="1890"/>
        <w:gridCol w:w="1350"/>
      </w:tblGrid>
      <w:tr w:rsidR="000B1D44" w:rsidRPr="00EE2AE9" w14:paraId="7E17ABAE" w14:textId="77777777">
        <w:tc>
          <w:tcPr>
            <w:tcW w:w="3340" w:type="dxa"/>
            <w:tcBorders>
              <w:top w:val="single" w:sz="24" w:space="0" w:color="000000"/>
              <w:bottom w:val="single" w:sz="4" w:space="0" w:color="000000"/>
            </w:tcBorders>
          </w:tcPr>
          <w:p w14:paraId="7EC72940" w14:textId="01FDFDC4" w:rsidR="000B1D44" w:rsidRPr="00EE2AE9" w:rsidRDefault="00EE2AE9">
            <w:pPr>
              <w:jc w:val="center"/>
              <w:rPr>
                <w:rFonts w:ascii="Arial" w:eastAsia="Arial" w:hAnsi="Arial" w:cs="Arial"/>
                <w:b/>
                <w:color w:val="000000"/>
                <w:sz w:val="20"/>
                <w:szCs w:val="20"/>
              </w:rPr>
            </w:pPr>
            <w:r w:rsidRPr="00EE2AE9">
              <w:rPr>
                <w:rFonts w:ascii="Arial" w:eastAsia="Arial" w:hAnsi="Arial" w:cs="Arial"/>
                <w:b/>
                <w:color w:val="000000"/>
                <w:sz w:val="20"/>
                <w:szCs w:val="20"/>
              </w:rPr>
              <w:t>CHARACTERISTICS</w:t>
            </w:r>
          </w:p>
        </w:tc>
        <w:tc>
          <w:tcPr>
            <w:tcW w:w="1620" w:type="dxa"/>
            <w:tcBorders>
              <w:top w:val="single" w:sz="24" w:space="0" w:color="000000"/>
              <w:bottom w:val="single" w:sz="4" w:space="0" w:color="000000"/>
            </w:tcBorders>
          </w:tcPr>
          <w:p w14:paraId="3986854B" w14:textId="77777777" w:rsidR="000B1D44" w:rsidRPr="00EE2AE9" w:rsidRDefault="000B62FC">
            <w:pPr>
              <w:jc w:val="center"/>
              <w:rPr>
                <w:rFonts w:ascii="Arial" w:eastAsia="Arial" w:hAnsi="Arial" w:cs="Arial"/>
                <w:b/>
                <w:color w:val="000000"/>
                <w:sz w:val="20"/>
                <w:szCs w:val="20"/>
              </w:rPr>
            </w:pPr>
            <w:proofErr w:type="spellStart"/>
            <w:r w:rsidRPr="00EE2AE9">
              <w:rPr>
                <w:rFonts w:ascii="Arial" w:eastAsia="Arial" w:hAnsi="Arial" w:cs="Arial"/>
                <w:b/>
                <w:color w:val="000000"/>
                <w:sz w:val="20"/>
                <w:szCs w:val="20"/>
              </w:rPr>
              <w:t>r-VALUE</w:t>
            </w:r>
            <w:proofErr w:type="spellEnd"/>
          </w:p>
        </w:tc>
        <w:tc>
          <w:tcPr>
            <w:tcW w:w="1890" w:type="dxa"/>
            <w:tcBorders>
              <w:top w:val="single" w:sz="24" w:space="0" w:color="000000"/>
              <w:bottom w:val="single" w:sz="4" w:space="0" w:color="000000"/>
            </w:tcBorders>
          </w:tcPr>
          <w:p w14:paraId="78B470A0" w14:textId="77777777" w:rsidR="000B1D44" w:rsidRPr="00EE2AE9" w:rsidRDefault="000B62FC">
            <w:pPr>
              <w:jc w:val="center"/>
              <w:rPr>
                <w:rFonts w:ascii="Arial" w:eastAsia="Arial" w:hAnsi="Arial" w:cs="Arial"/>
                <w:b/>
                <w:color w:val="000000"/>
                <w:sz w:val="20"/>
                <w:szCs w:val="20"/>
              </w:rPr>
            </w:pPr>
            <w:r w:rsidRPr="00EE2AE9">
              <w:rPr>
                <w:rFonts w:ascii="Arial" w:eastAsia="Arial" w:hAnsi="Arial" w:cs="Arial"/>
                <w:b/>
                <w:color w:val="000000"/>
                <w:sz w:val="20"/>
                <w:szCs w:val="20"/>
              </w:rPr>
              <w:t>DESCRIPTION</w:t>
            </w:r>
          </w:p>
        </w:tc>
        <w:tc>
          <w:tcPr>
            <w:tcW w:w="1350" w:type="dxa"/>
            <w:tcBorders>
              <w:top w:val="single" w:sz="24" w:space="0" w:color="000000"/>
              <w:bottom w:val="single" w:sz="4" w:space="0" w:color="000000"/>
            </w:tcBorders>
          </w:tcPr>
          <w:p w14:paraId="3D5196EC" w14:textId="77777777" w:rsidR="000B1D44" w:rsidRPr="00EE2AE9" w:rsidRDefault="000B62FC">
            <w:pPr>
              <w:jc w:val="center"/>
              <w:rPr>
                <w:rFonts w:ascii="Arial" w:eastAsia="Arial" w:hAnsi="Arial" w:cs="Arial"/>
                <w:b/>
                <w:color w:val="000000"/>
                <w:sz w:val="20"/>
                <w:szCs w:val="20"/>
              </w:rPr>
            </w:pPr>
            <w:r w:rsidRPr="00EE2AE9">
              <w:rPr>
                <w:rFonts w:ascii="Arial" w:eastAsia="Arial" w:hAnsi="Arial" w:cs="Arial"/>
                <w:b/>
                <w:color w:val="000000"/>
                <w:sz w:val="20"/>
                <w:szCs w:val="20"/>
              </w:rPr>
              <w:t>p-VALUE</w:t>
            </w:r>
          </w:p>
        </w:tc>
      </w:tr>
      <w:tr w:rsidR="00EE2AE9" w:rsidRPr="00EE2AE9" w14:paraId="5FB58CBD" w14:textId="77777777">
        <w:trPr>
          <w:trHeight w:val="197"/>
        </w:trPr>
        <w:tc>
          <w:tcPr>
            <w:tcW w:w="3340" w:type="dxa"/>
            <w:tcBorders>
              <w:top w:val="single" w:sz="4" w:space="0" w:color="000000"/>
            </w:tcBorders>
          </w:tcPr>
          <w:p w14:paraId="6D222B25" w14:textId="5336F9EA"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Authentic Context</w:t>
            </w:r>
          </w:p>
        </w:tc>
        <w:tc>
          <w:tcPr>
            <w:tcW w:w="1620" w:type="dxa"/>
            <w:tcBorders>
              <w:top w:val="single" w:sz="4" w:space="0" w:color="000000"/>
            </w:tcBorders>
          </w:tcPr>
          <w:p w14:paraId="52DE0AE0" w14:textId="0AAA6692"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0.502</w:t>
            </w:r>
          </w:p>
        </w:tc>
        <w:tc>
          <w:tcPr>
            <w:tcW w:w="1890" w:type="dxa"/>
            <w:tcBorders>
              <w:top w:val="single" w:sz="4" w:space="0" w:color="000000"/>
            </w:tcBorders>
          </w:tcPr>
          <w:p w14:paraId="2B540486" w14:textId="5FA694CA"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Borders>
              <w:top w:val="single" w:sz="4" w:space="0" w:color="000000"/>
            </w:tcBorders>
          </w:tcPr>
          <w:p w14:paraId="513E57A7"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3F4EE0D7" w14:textId="77777777">
        <w:tc>
          <w:tcPr>
            <w:tcW w:w="3340" w:type="dxa"/>
          </w:tcPr>
          <w:p w14:paraId="52E51E27" w14:textId="52AD1323" w:rsidR="00EE2AE9" w:rsidRPr="00EE2AE9" w:rsidRDefault="00EE2AE9" w:rsidP="00EE2AE9">
            <w:pPr>
              <w:rPr>
                <w:rFonts w:ascii="Arial" w:eastAsia="Arial" w:hAnsi="Arial" w:cs="Arial"/>
                <w:color w:val="000000"/>
                <w:sz w:val="20"/>
                <w:szCs w:val="20"/>
              </w:rPr>
            </w:pPr>
            <w:bookmarkStart w:id="4" w:name="_jr37szrvi17t" w:colFirst="0" w:colLast="0"/>
            <w:bookmarkEnd w:id="4"/>
            <w:r w:rsidRPr="00EE2AE9">
              <w:rPr>
                <w:rFonts w:ascii="Arial" w:eastAsia="Arial" w:hAnsi="Arial" w:cs="Arial"/>
                <w:sz w:val="20"/>
                <w:szCs w:val="20"/>
              </w:rPr>
              <w:t>Authentic Activities</w:t>
            </w:r>
          </w:p>
        </w:tc>
        <w:tc>
          <w:tcPr>
            <w:tcW w:w="1620" w:type="dxa"/>
          </w:tcPr>
          <w:p w14:paraId="3AC2A2CC" w14:textId="6125B65A"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0.517</w:t>
            </w:r>
          </w:p>
        </w:tc>
        <w:tc>
          <w:tcPr>
            <w:tcW w:w="1890" w:type="dxa"/>
          </w:tcPr>
          <w:p w14:paraId="57EC43C6" w14:textId="4713FF0D"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Pr>
          <w:p w14:paraId="1DF0F0B4"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5DA15091" w14:textId="77777777">
        <w:tc>
          <w:tcPr>
            <w:tcW w:w="3340" w:type="dxa"/>
          </w:tcPr>
          <w:p w14:paraId="50145B77" w14:textId="11FA42FE"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Authentic Assessment</w:t>
            </w:r>
          </w:p>
        </w:tc>
        <w:tc>
          <w:tcPr>
            <w:tcW w:w="1620" w:type="dxa"/>
          </w:tcPr>
          <w:p w14:paraId="3805C962" w14:textId="734B09CB"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0.434</w:t>
            </w:r>
          </w:p>
        </w:tc>
        <w:tc>
          <w:tcPr>
            <w:tcW w:w="1890" w:type="dxa"/>
          </w:tcPr>
          <w:p w14:paraId="510B96AF" w14:textId="0E232F22"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Moderate Correlation</w:t>
            </w:r>
          </w:p>
        </w:tc>
        <w:tc>
          <w:tcPr>
            <w:tcW w:w="1350" w:type="dxa"/>
          </w:tcPr>
          <w:p w14:paraId="44A0887F"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2314094B" w14:textId="77777777">
        <w:tc>
          <w:tcPr>
            <w:tcW w:w="3340" w:type="dxa"/>
            <w:tcBorders>
              <w:bottom w:val="single" w:sz="24" w:space="0" w:color="000000"/>
            </w:tcBorders>
          </w:tcPr>
          <w:p w14:paraId="109CC21D" w14:textId="6C069283"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Situated Learning Practices (Overall)</w:t>
            </w:r>
          </w:p>
        </w:tc>
        <w:tc>
          <w:tcPr>
            <w:tcW w:w="1620" w:type="dxa"/>
            <w:tcBorders>
              <w:bottom w:val="single" w:sz="24" w:space="0" w:color="000000"/>
            </w:tcBorders>
          </w:tcPr>
          <w:p w14:paraId="68CF9A8A" w14:textId="37A56D5F"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0.553</w:t>
            </w:r>
          </w:p>
        </w:tc>
        <w:tc>
          <w:tcPr>
            <w:tcW w:w="1890" w:type="dxa"/>
            <w:tcBorders>
              <w:bottom w:val="single" w:sz="24" w:space="0" w:color="000000"/>
            </w:tcBorders>
          </w:tcPr>
          <w:p w14:paraId="7F688F53" w14:textId="1DB0AB75"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Borders>
              <w:bottom w:val="single" w:sz="24" w:space="0" w:color="000000"/>
            </w:tcBorders>
          </w:tcPr>
          <w:p w14:paraId="694F5245"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bl>
    <w:p w14:paraId="61578996" w14:textId="77777777" w:rsidR="0016434D" w:rsidRDefault="0016434D" w:rsidP="00EE2AE9">
      <w:pPr>
        <w:pBdr>
          <w:top w:val="nil"/>
          <w:left w:val="nil"/>
          <w:bottom w:val="nil"/>
          <w:right w:val="nil"/>
          <w:between w:val="nil"/>
        </w:pBdr>
        <w:jc w:val="center"/>
        <w:rPr>
          <w:rFonts w:ascii="Arial" w:eastAsia="Arial" w:hAnsi="Arial" w:cs="Arial"/>
          <w:b/>
          <w:color w:val="000000"/>
          <w:highlight w:val="white"/>
        </w:rPr>
      </w:pPr>
    </w:p>
    <w:p w14:paraId="7F443612" w14:textId="7721A8D9" w:rsidR="00EE2AE9" w:rsidRDefault="000B62FC" w:rsidP="00EE2AE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highlight w:val="white"/>
        </w:rPr>
        <w:t xml:space="preserve">Regression </w:t>
      </w:r>
      <w:r w:rsidR="00EE2AE9">
        <w:rPr>
          <w:rFonts w:ascii="Arial" w:eastAsia="Arial" w:hAnsi="Arial" w:cs="Arial"/>
          <w:b/>
          <w:color w:val="000000"/>
          <w:highlight w:val="white"/>
        </w:rPr>
        <w:t>Analysis of</w:t>
      </w:r>
      <w:r>
        <w:rPr>
          <w:rFonts w:ascii="Arial" w:eastAsia="Arial" w:hAnsi="Arial" w:cs="Arial"/>
          <w:b/>
          <w:color w:val="000000"/>
          <w:highlight w:val="white"/>
        </w:rPr>
        <w:t xml:space="preserve"> </w:t>
      </w:r>
      <w:r w:rsidR="00EE2AE9" w:rsidRPr="00EE2AE9">
        <w:rPr>
          <w:rFonts w:ascii="Arial" w:eastAsia="Arial" w:hAnsi="Arial" w:cs="Arial"/>
          <w:b/>
          <w:color w:val="000000"/>
        </w:rPr>
        <w:t xml:space="preserve">Teachers’ </w:t>
      </w:r>
      <w:bookmarkStart w:id="5" w:name="_Hlk197293011"/>
      <w:r w:rsidR="00EE2AE9" w:rsidRPr="00EE2AE9">
        <w:rPr>
          <w:rFonts w:ascii="Arial" w:eastAsia="Arial" w:hAnsi="Arial" w:cs="Arial"/>
          <w:b/>
          <w:color w:val="000000"/>
        </w:rPr>
        <w:t>Situated Learning Practices</w:t>
      </w:r>
      <w:bookmarkEnd w:id="5"/>
      <w:r w:rsidR="00EE2AE9" w:rsidRPr="00EE2AE9">
        <w:rPr>
          <w:rFonts w:ascii="Arial" w:eastAsia="Arial" w:hAnsi="Arial" w:cs="Arial"/>
          <w:b/>
          <w:color w:val="000000"/>
        </w:rPr>
        <w:t xml:space="preserve"> and </w:t>
      </w:r>
    </w:p>
    <w:p w14:paraId="573904F3" w14:textId="5A0EA7B2" w:rsidR="000B1D44" w:rsidRDefault="00EE2AE9" w:rsidP="00EE2AE9">
      <w:pPr>
        <w:pBdr>
          <w:top w:val="nil"/>
          <w:left w:val="nil"/>
          <w:bottom w:val="nil"/>
          <w:right w:val="nil"/>
          <w:between w:val="nil"/>
        </w:pBdr>
        <w:jc w:val="center"/>
        <w:rPr>
          <w:rFonts w:ascii="Arial" w:eastAsia="Arial" w:hAnsi="Arial" w:cs="Arial"/>
          <w:b/>
          <w:color w:val="000000"/>
        </w:rPr>
      </w:pPr>
      <w:r w:rsidRPr="00EE2AE9">
        <w:rPr>
          <w:rFonts w:ascii="Arial" w:eastAsia="Arial" w:hAnsi="Arial" w:cs="Arial"/>
          <w:b/>
          <w:color w:val="000000"/>
        </w:rPr>
        <w:t>College Students’ Critical Thinking Skills</w:t>
      </w:r>
    </w:p>
    <w:p w14:paraId="6B9BFB94" w14:textId="77777777" w:rsidR="00EE2AE9" w:rsidRDefault="00EE2AE9" w:rsidP="00EE2AE9">
      <w:pPr>
        <w:pBdr>
          <w:top w:val="nil"/>
          <w:left w:val="nil"/>
          <w:bottom w:val="nil"/>
          <w:right w:val="nil"/>
          <w:between w:val="nil"/>
        </w:pBdr>
        <w:jc w:val="center"/>
        <w:rPr>
          <w:rFonts w:ascii="Arial" w:eastAsia="Arial" w:hAnsi="Arial" w:cs="Arial"/>
          <w:color w:val="000000"/>
          <w:highlight w:val="white"/>
        </w:rPr>
      </w:pPr>
    </w:p>
    <w:p w14:paraId="7D22527E" w14:textId="38241024" w:rsidR="0066505B" w:rsidRDefault="000B62FC" w:rsidP="00831A33">
      <w:pPr>
        <w:tabs>
          <w:tab w:val="left" w:pos="720"/>
        </w:tabs>
        <w:jc w:val="both"/>
        <w:rPr>
          <w:rFonts w:ascii="Arial" w:eastAsia="Arial" w:hAnsi="Arial" w:cs="Arial"/>
        </w:rPr>
      </w:pPr>
      <w:r>
        <w:rPr>
          <w:rFonts w:ascii="Arial" w:eastAsia="Arial" w:hAnsi="Arial" w:cs="Arial"/>
        </w:rPr>
        <w:tab/>
      </w:r>
      <w:r w:rsidR="00831A33" w:rsidRPr="00831A33">
        <w:rPr>
          <w:rFonts w:ascii="Arial" w:eastAsia="Arial" w:hAnsi="Arial" w:cs="Arial"/>
        </w:rPr>
        <w:t>Table 5 summarizes the results of the regression analysis conducted to determine whether the situated learning practices of college teachers predict students’ critical thinking skills. The regression coefficient for teachers’ situated learning practices is 0.47</w:t>
      </w:r>
      <w:r w:rsidR="00DB7934">
        <w:rPr>
          <w:rFonts w:ascii="Arial" w:eastAsia="Arial" w:hAnsi="Arial" w:cs="Arial"/>
        </w:rPr>
        <w:t>6</w:t>
      </w:r>
      <w:r w:rsidR="00831A33" w:rsidRPr="00831A33">
        <w:rPr>
          <w:rFonts w:ascii="Arial" w:eastAsia="Arial" w:hAnsi="Arial" w:cs="Arial"/>
        </w:rPr>
        <w:t>, indicating a positive relationship. In other words, as teachers' use of situated learning practices increases, students' critical thinking skills also tend to improve. Furthermore, the p-value is less than 0.05, suggesting that the result is statistically significant. This means there is strong evidence to support the existence of a real relationship between the situated learning practices employed by mathematics teachers and students' critical thinking skills.</w:t>
      </w:r>
      <w:r w:rsidR="0066505B">
        <w:rPr>
          <w:rFonts w:ascii="Arial" w:eastAsia="Arial" w:hAnsi="Arial" w:cs="Arial"/>
        </w:rPr>
        <w:t xml:space="preserve"> </w:t>
      </w:r>
    </w:p>
    <w:p w14:paraId="0C68A14F" w14:textId="2E2B7DE7" w:rsidR="0066505B" w:rsidRDefault="00831A33" w:rsidP="00831A33">
      <w:pPr>
        <w:tabs>
          <w:tab w:val="left" w:pos="720"/>
        </w:tabs>
        <w:jc w:val="both"/>
        <w:rPr>
          <w:rFonts w:ascii="Arial" w:eastAsia="Arial" w:hAnsi="Arial" w:cs="Arial"/>
        </w:rPr>
      </w:pPr>
      <w:r>
        <w:rPr>
          <w:rFonts w:ascii="Arial" w:eastAsia="Arial" w:hAnsi="Arial" w:cs="Arial"/>
        </w:rPr>
        <w:tab/>
      </w:r>
      <w:r w:rsidRPr="00831A33">
        <w:rPr>
          <w:rFonts w:ascii="Arial" w:eastAsia="Arial" w:hAnsi="Arial" w:cs="Arial"/>
        </w:rPr>
        <w:t>The overall regression model explains 30.5% of the variance in students’ critical thinking (R² = 0.305), indicating that other factors also contribute to students’ development of critical thinking skills. Factors such as the classroom environment (Smith &amp; Brown, 2017), cultural and societal influences (Lee, 2018), and professional development for educators (Garcia &amp; Thomas, 2020) may also affect students’ critical thinking, highlighting the need for a more comprehensive approach to educational interventions. Additionally, studies have shown that time management (Mariano</w:t>
      </w:r>
      <w:r>
        <w:rPr>
          <w:rFonts w:ascii="Arial" w:eastAsia="Arial" w:hAnsi="Arial" w:cs="Arial"/>
        </w:rPr>
        <w:t xml:space="preserve">, </w:t>
      </w:r>
      <w:r w:rsidRPr="00D64D9C">
        <w:rPr>
          <w:rFonts w:ascii="Arial" w:eastAsia="Arial" w:hAnsi="Arial" w:cs="Arial"/>
          <w:color w:val="000000"/>
        </w:rPr>
        <w:t>et al.</w:t>
      </w:r>
      <w:r w:rsidRPr="00831A33">
        <w:rPr>
          <w:rFonts w:ascii="Arial" w:eastAsia="Arial" w:hAnsi="Arial" w:cs="Arial"/>
        </w:rPr>
        <w:t>, 2022), self-concept (</w:t>
      </w:r>
      <w:proofErr w:type="spellStart"/>
      <w:r w:rsidRPr="00831A33">
        <w:rPr>
          <w:rFonts w:ascii="Arial" w:eastAsia="Arial" w:hAnsi="Arial" w:cs="Arial"/>
        </w:rPr>
        <w:t>Adlawon</w:t>
      </w:r>
      <w:proofErr w:type="spellEnd"/>
      <w:r w:rsidRPr="00831A33">
        <w:rPr>
          <w:rFonts w:ascii="Arial" w:eastAsia="Arial" w:hAnsi="Arial" w:cs="Arial"/>
        </w:rPr>
        <w:t>, et al.</w:t>
      </w:r>
      <w:r>
        <w:rPr>
          <w:rFonts w:ascii="Arial" w:eastAsia="Arial" w:hAnsi="Arial" w:cs="Arial"/>
        </w:rPr>
        <w:t>,</w:t>
      </w:r>
      <w:r w:rsidRPr="00831A33">
        <w:rPr>
          <w:rFonts w:ascii="Arial" w:eastAsia="Arial" w:hAnsi="Arial" w:cs="Arial"/>
        </w:rPr>
        <w:t xml:space="preserve"> 2023), and attitudes toward learning mathematics (</w:t>
      </w:r>
      <w:proofErr w:type="spellStart"/>
      <w:r w:rsidRPr="00831A33">
        <w:rPr>
          <w:rFonts w:ascii="Arial" w:eastAsia="Arial" w:hAnsi="Arial" w:cs="Arial"/>
        </w:rPr>
        <w:t>Sabanal</w:t>
      </w:r>
      <w:proofErr w:type="spellEnd"/>
      <w:r w:rsidRPr="00831A33">
        <w:rPr>
          <w:rFonts w:ascii="Arial" w:eastAsia="Arial" w:hAnsi="Arial" w:cs="Arial"/>
        </w:rPr>
        <w:t xml:space="preserve">, </w:t>
      </w:r>
      <w:r w:rsidRPr="00D64D9C">
        <w:rPr>
          <w:rFonts w:ascii="Arial" w:eastAsia="Arial" w:hAnsi="Arial" w:cs="Arial"/>
          <w:color w:val="000000"/>
        </w:rPr>
        <w:t>et al.</w:t>
      </w:r>
      <w:r w:rsidRPr="00831A33">
        <w:rPr>
          <w:rFonts w:ascii="Arial" w:eastAsia="Arial" w:hAnsi="Arial" w:cs="Arial"/>
        </w:rPr>
        <w:t>, 2024) play important roles in students’ academic and cognitive outcomes. These findings suggest that future interventions to enhance critical thinking should consider a broader set of psychological, behavioral, and contextual factors. Policymakers and educators should take these elements into account when designing programs aimed at improving students’ critical thinking skills.</w:t>
      </w:r>
    </w:p>
    <w:p w14:paraId="2C7A7820" w14:textId="77777777" w:rsidR="0066505B" w:rsidRDefault="0066505B" w:rsidP="00831A33">
      <w:pPr>
        <w:tabs>
          <w:tab w:val="left" w:pos="720"/>
        </w:tabs>
        <w:jc w:val="both"/>
        <w:rPr>
          <w:rFonts w:ascii="Arial" w:eastAsia="Arial" w:hAnsi="Arial" w:cs="Arial"/>
        </w:rPr>
      </w:pPr>
    </w:p>
    <w:p w14:paraId="7BA61F82" w14:textId="298FFC2B" w:rsidR="000B1D44" w:rsidRDefault="000B62FC">
      <w:pPr>
        <w:ind w:firstLine="720"/>
        <w:jc w:val="both"/>
        <w:rPr>
          <w:rFonts w:ascii="Arial" w:eastAsia="Arial" w:hAnsi="Arial" w:cs="Arial"/>
          <w:b/>
        </w:rPr>
      </w:pPr>
      <w:bookmarkStart w:id="6" w:name="_GoBack"/>
      <w:r>
        <w:rPr>
          <w:rFonts w:ascii="Arial" w:eastAsia="Arial" w:hAnsi="Arial" w:cs="Arial"/>
        </w:rPr>
        <w:t>Table</w:t>
      </w:r>
      <w:bookmarkEnd w:id="6"/>
      <w:r>
        <w:rPr>
          <w:rFonts w:ascii="Arial" w:eastAsia="Arial" w:hAnsi="Arial" w:cs="Arial"/>
        </w:rPr>
        <w:t xml:space="preserve"> 5.  Summary of Regression Analysis </w:t>
      </w:r>
    </w:p>
    <w:tbl>
      <w:tblPr>
        <w:tblStyle w:val="a4"/>
        <w:tblW w:w="8055" w:type="dxa"/>
        <w:tblInd w:w="135" w:type="dxa"/>
        <w:tblBorders>
          <w:top w:val="single" w:sz="24" w:space="0" w:color="000000"/>
          <w:left w:val="nil"/>
          <w:bottom w:val="single" w:sz="24" w:space="0" w:color="000000"/>
          <w:right w:val="nil"/>
          <w:insideH w:val="nil"/>
          <w:insideV w:val="nil"/>
        </w:tblBorders>
        <w:tblLayout w:type="fixed"/>
        <w:tblLook w:val="0400" w:firstRow="0" w:lastRow="0" w:firstColumn="0" w:lastColumn="0" w:noHBand="0" w:noVBand="1"/>
      </w:tblPr>
      <w:tblGrid>
        <w:gridCol w:w="2559"/>
        <w:gridCol w:w="1984"/>
        <w:gridCol w:w="1701"/>
        <w:gridCol w:w="1811"/>
      </w:tblGrid>
      <w:tr w:rsidR="000B1D44" w:rsidRPr="00061DC5" w14:paraId="6E2E4BFF" w14:textId="77777777" w:rsidTr="00061DC5">
        <w:tc>
          <w:tcPr>
            <w:tcW w:w="2559" w:type="dxa"/>
            <w:tcBorders>
              <w:top w:val="single" w:sz="24" w:space="0" w:color="000000"/>
              <w:bottom w:val="single" w:sz="4" w:space="0" w:color="auto"/>
            </w:tcBorders>
            <w:vAlign w:val="center"/>
          </w:tcPr>
          <w:p w14:paraId="2F13B48A" w14:textId="77777777" w:rsidR="000B1D44" w:rsidRPr="00061DC5" w:rsidRDefault="000B62FC" w:rsidP="00061DC5">
            <w:pPr>
              <w:tabs>
                <w:tab w:val="left" w:pos="1680"/>
              </w:tabs>
              <w:jc w:val="center"/>
              <w:rPr>
                <w:rFonts w:ascii="Arial" w:eastAsia="Arial" w:hAnsi="Arial" w:cs="Arial"/>
                <w:b/>
                <w:bCs/>
                <w:sz w:val="20"/>
                <w:szCs w:val="20"/>
              </w:rPr>
            </w:pPr>
            <w:r w:rsidRPr="00061DC5">
              <w:rPr>
                <w:rFonts w:ascii="Arial" w:eastAsia="Arial" w:hAnsi="Arial" w:cs="Arial"/>
                <w:b/>
                <w:bCs/>
                <w:sz w:val="20"/>
                <w:szCs w:val="20"/>
              </w:rPr>
              <w:t>Predictor</w:t>
            </w:r>
          </w:p>
        </w:tc>
        <w:tc>
          <w:tcPr>
            <w:tcW w:w="1984" w:type="dxa"/>
            <w:tcBorders>
              <w:top w:val="single" w:sz="24" w:space="0" w:color="000000"/>
              <w:bottom w:val="single" w:sz="4" w:space="0" w:color="auto"/>
            </w:tcBorders>
            <w:vAlign w:val="center"/>
          </w:tcPr>
          <w:p w14:paraId="2201E4C8" w14:textId="77777777" w:rsidR="000B1D44" w:rsidRPr="00061DC5" w:rsidRDefault="000B62FC">
            <w:pPr>
              <w:tabs>
                <w:tab w:val="left" w:pos="1680"/>
              </w:tabs>
              <w:jc w:val="center"/>
              <w:rPr>
                <w:rFonts w:ascii="Arial" w:eastAsia="Arial" w:hAnsi="Arial" w:cs="Arial"/>
                <w:b/>
                <w:bCs/>
                <w:sz w:val="20"/>
                <w:szCs w:val="20"/>
              </w:rPr>
            </w:pPr>
            <w:r w:rsidRPr="00061DC5">
              <w:rPr>
                <w:rFonts w:ascii="Arial" w:eastAsia="Arial" w:hAnsi="Arial" w:cs="Arial"/>
                <w:b/>
                <w:bCs/>
                <w:color w:val="000000"/>
                <w:sz w:val="20"/>
                <w:szCs w:val="20"/>
              </w:rPr>
              <w:t>Unstandardized Coefficients</w:t>
            </w:r>
          </w:p>
        </w:tc>
        <w:tc>
          <w:tcPr>
            <w:tcW w:w="1701" w:type="dxa"/>
            <w:tcBorders>
              <w:top w:val="single" w:sz="24" w:space="0" w:color="000000"/>
              <w:bottom w:val="single" w:sz="4" w:space="0" w:color="auto"/>
            </w:tcBorders>
            <w:vAlign w:val="center"/>
          </w:tcPr>
          <w:p w14:paraId="3DB28D8B" w14:textId="77777777" w:rsidR="000B1D44" w:rsidRPr="00061DC5" w:rsidRDefault="000B62FC">
            <w:pPr>
              <w:tabs>
                <w:tab w:val="left" w:pos="1680"/>
              </w:tabs>
              <w:jc w:val="center"/>
              <w:rPr>
                <w:rFonts w:ascii="Arial" w:eastAsia="Arial" w:hAnsi="Arial" w:cs="Arial"/>
                <w:b/>
                <w:bCs/>
                <w:color w:val="000000"/>
                <w:sz w:val="20"/>
                <w:szCs w:val="20"/>
              </w:rPr>
            </w:pPr>
            <w:r w:rsidRPr="00061DC5">
              <w:rPr>
                <w:rFonts w:ascii="Arial" w:eastAsia="Arial" w:hAnsi="Arial" w:cs="Arial"/>
                <w:b/>
                <w:bCs/>
                <w:color w:val="000000"/>
                <w:sz w:val="20"/>
                <w:szCs w:val="20"/>
              </w:rPr>
              <w:t>p-value</w:t>
            </w:r>
          </w:p>
        </w:tc>
        <w:tc>
          <w:tcPr>
            <w:tcW w:w="1811" w:type="dxa"/>
            <w:tcBorders>
              <w:top w:val="single" w:sz="24" w:space="0" w:color="000000"/>
              <w:bottom w:val="single" w:sz="4" w:space="0" w:color="auto"/>
            </w:tcBorders>
            <w:vAlign w:val="center"/>
          </w:tcPr>
          <w:p w14:paraId="05ECF2E1" w14:textId="77777777" w:rsidR="000B1D44" w:rsidRPr="00061DC5" w:rsidRDefault="000B62FC">
            <w:pPr>
              <w:tabs>
                <w:tab w:val="left" w:pos="1680"/>
              </w:tabs>
              <w:jc w:val="center"/>
              <w:rPr>
                <w:rFonts w:ascii="Arial" w:eastAsia="Arial" w:hAnsi="Arial" w:cs="Arial"/>
                <w:b/>
                <w:bCs/>
                <w:color w:val="000000"/>
                <w:sz w:val="20"/>
                <w:szCs w:val="20"/>
              </w:rPr>
            </w:pPr>
            <w:r w:rsidRPr="00061DC5">
              <w:rPr>
                <w:rFonts w:ascii="Arial" w:eastAsia="Arial" w:hAnsi="Arial" w:cs="Arial"/>
                <w:b/>
                <w:bCs/>
                <w:color w:val="000000"/>
                <w:sz w:val="20"/>
                <w:szCs w:val="20"/>
              </w:rPr>
              <w:t>Interpretation</w:t>
            </w:r>
          </w:p>
        </w:tc>
      </w:tr>
      <w:tr w:rsidR="00AF3C8B" w14:paraId="5666F0FA" w14:textId="77777777" w:rsidTr="00061DC5">
        <w:trPr>
          <w:trHeight w:val="90"/>
        </w:trPr>
        <w:tc>
          <w:tcPr>
            <w:tcW w:w="2559" w:type="dxa"/>
            <w:tcBorders>
              <w:top w:val="nil"/>
              <w:left w:val="nil"/>
              <w:bottom w:val="nil"/>
              <w:right w:val="nil"/>
            </w:tcBorders>
            <w:vAlign w:val="center"/>
          </w:tcPr>
          <w:p w14:paraId="347E4878" w14:textId="06041B40" w:rsidR="00AF3C8B" w:rsidRDefault="00D70918" w:rsidP="00AF3C8B">
            <w:pPr>
              <w:ind w:left="60" w:right="60"/>
              <w:rPr>
                <w:rFonts w:ascii="Arial" w:eastAsia="Arial" w:hAnsi="Arial" w:cs="Arial"/>
                <w:color w:val="000000"/>
                <w:sz w:val="20"/>
                <w:szCs w:val="20"/>
              </w:rPr>
            </w:pPr>
            <w:r>
              <w:rPr>
                <w:rFonts w:ascii="Arial" w:eastAsia="Arial" w:hAnsi="Arial" w:cs="Arial"/>
                <w:sz w:val="20"/>
                <w:szCs w:val="20"/>
              </w:rPr>
              <w:t>(</w:t>
            </w:r>
            <w:r w:rsidR="00D95AE1">
              <w:rPr>
                <w:rFonts w:ascii="Arial" w:eastAsia="Arial" w:hAnsi="Arial" w:cs="Arial"/>
                <w:sz w:val="20"/>
                <w:szCs w:val="20"/>
              </w:rPr>
              <w:t>Constant</w:t>
            </w:r>
            <w:r>
              <w:rPr>
                <w:rFonts w:ascii="Arial" w:eastAsia="Arial" w:hAnsi="Arial" w:cs="Arial"/>
                <w:sz w:val="20"/>
                <w:szCs w:val="20"/>
              </w:rPr>
              <w:t>)</w:t>
            </w:r>
          </w:p>
        </w:tc>
        <w:tc>
          <w:tcPr>
            <w:tcW w:w="1984" w:type="dxa"/>
            <w:tcBorders>
              <w:top w:val="nil"/>
              <w:left w:val="nil"/>
              <w:bottom w:val="nil"/>
              <w:right w:val="nil"/>
            </w:tcBorders>
            <w:vAlign w:val="center"/>
          </w:tcPr>
          <w:p w14:paraId="6BAEE9A6" w14:textId="69AC13EB" w:rsidR="00AF3C8B" w:rsidRPr="0028364C" w:rsidRDefault="00D70918" w:rsidP="00AF3C8B">
            <w:pPr>
              <w:ind w:left="60" w:right="60"/>
              <w:jc w:val="center"/>
              <w:rPr>
                <w:rFonts w:ascii="Arial" w:eastAsia="Arial" w:hAnsi="Arial" w:cs="Arial"/>
                <w:color w:val="000000"/>
                <w:sz w:val="20"/>
                <w:szCs w:val="20"/>
              </w:rPr>
            </w:pPr>
            <w:r>
              <w:rPr>
                <w:rFonts w:ascii="Arial" w:hAnsi="Arial" w:cs="Arial"/>
                <w:sz w:val="20"/>
                <w:szCs w:val="20"/>
              </w:rPr>
              <w:t>3.662</w:t>
            </w:r>
          </w:p>
        </w:tc>
        <w:tc>
          <w:tcPr>
            <w:tcW w:w="1701" w:type="dxa"/>
            <w:tcBorders>
              <w:top w:val="nil"/>
              <w:left w:val="nil"/>
              <w:bottom w:val="nil"/>
              <w:right w:val="nil"/>
            </w:tcBorders>
            <w:vAlign w:val="center"/>
          </w:tcPr>
          <w:p w14:paraId="30467F24" w14:textId="6CD291DF" w:rsidR="00AF3C8B" w:rsidRPr="0028364C" w:rsidRDefault="00AF3C8B" w:rsidP="00AF3C8B">
            <w:pPr>
              <w:ind w:left="60" w:right="60"/>
              <w:jc w:val="center"/>
              <w:rPr>
                <w:rFonts w:ascii="Arial" w:eastAsia="Arial" w:hAnsi="Arial" w:cs="Arial"/>
                <w:color w:val="000000"/>
                <w:sz w:val="20"/>
                <w:szCs w:val="20"/>
              </w:rPr>
            </w:pPr>
            <w:r w:rsidRPr="0028364C">
              <w:rPr>
                <w:rFonts w:ascii="Arial" w:hAnsi="Arial" w:cs="Arial"/>
                <w:sz w:val="20"/>
                <w:szCs w:val="20"/>
              </w:rPr>
              <w:t>&lt;0.001</w:t>
            </w:r>
          </w:p>
        </w:tc>
        <w:tc>
          <w:tcPr>
            <w:tcW w:w="1811" w:type="dxa"/>
            <w:tcBorders>
              <w:top w:val="nil"/>
              <w:left w:val="nil"/>
              <w:bottom w:val="nil"/>
              <w:right w:val="nil"/>
            </w:tcBorders>
            <w:vAlign w:val="center"/>
          </w:tcPr>
          <w:p w14:paraId="1B88490B" w14:textId="77777777" w:rsidR="00AF3C8B" w:rsidRPr="0028364C" w:rsidRDefault="00AF3C8B" w:rsidP="00AF3C8B">
            <w:pPr>
              <w:jc w:val="center"/>
              <w:rPr>
                <w:rFonts w:ascii="Arial" w:eastAsia="Arial" w:hAnsi="Arial" w:cs="Arial"/>
                <w:sz w:val="20"/>
                <w:szCs w:val="20"/>
              </w:rPr>
            </w:pPr>
            <w:r w:rsidRPr="0028364C">
              <w:rPr>
                <w:rFonts w:ascii="Arial" w:eastAsia="Arial" w:hAnsi="Arial" w:cs="Arial"/>
                <w:color w:val="000000"/>
                <w:sz w:val="20"/>
                <w:szCs w:val="20"/>
              </w:rPr>
              <w:t>Significant</w:t>
            </w:r>
          </w:p>
        </w:tc>
      </w:tr>
      <w:tr w:rsidR="00D95AE1" w14:paraId="0EB2A31A" w14:textId="77777777" w:rsidTr="00061DC5">
        <w:trPr>
          <w:trHeight w:val="90"/>
        </w:trPr>
        <w:tc>
          <w:tcPr>
            <w:tcW w:w="2559" w:type="dxa"/>
            <w:tcBorders>
              <w:top w:val="nil"/>
              <w:left w:val="nil"/>
              <w:bottom w:val="single" w:sz="24" w:space="0" w:color="000000"/>
              <w:right w:val="nil"/>
            </w:tcBorders>
            <w:vAlign w:val="center"/>
          </w:tcPr>
          <w:p w14:paraId="03603B34" w14:textId="77777777" w:rsidR="00D95AE1" w:rsidRDefault="00D95AE1" w:rsidP="00D95AE1">
            <w:pPr>
              <w:ind w:left="60" w:right="60"/>
              <w:rPr>
                <w:rFonts w:ascii="Arial" w:eastAsia="Arial" w:hAnsi="Arial" w:cs="Arial"/>
                <w:sz w:val="20"/>
                <w:szCs w:val="20"/>
              </w:rPr>
            </w:pPr>
            <w:r>
              <w:rPr>
                <w:rFonts w:ascii="Arial" w:eastAsia="Arial" w:hAnsi="Arial" w:cs="Arial"/>
                <w:sz w:val="20"/>
                <w:szCs w:val="20"/>
              </w:rPr>
              <w:t xml:space="preserve">Teachers’ Situated </w:t>
            </w:r>
          </w:p>
          <w:p w14:paraId="30EFABE0" w14:textId="1DCBF8D5" w:rsidR="00D95AE1" w:rsidRDefault="00D95AE1" w:rsidP="00D95AE1">
            <w:pPr>
              <w:ind w:left="60" w:right="60"/>
              <w:rPr>
                <w:rFonts w:ascii="Arial" w:eastAsia="Arial" w:hAnsi="Arial" w:cs="Arial"/>
              </w:rPr>
            </w:pPr>
            <w:r>
              <w:rPr>
                <w:rFonts w:ascii="Arial" w:eastAsia="Arial" w:hAnsi="Arial" w:cs="Arial"/>
                <w:sz w:val="20"/>
                <w:szCs w:val="20"/>
              </w:rPr>
              <w:t>Learning Practices</w:t>
            </w:r>
          </w:p>
        </w:tc>
        <w:tc>
          <w:tcPr>
            <w:tcW w:w="1984" w:type="dxa"/>
            <w:tcBorders>
              <w:top w:val="nil"/>
              <w:left w:val="nil"/>
              <w:bottom w:val="single" w:sz="24" w:space="0" w:color="000000"/>
              <w:right w:val="nil"/>
            </w:tcBorders>
            <w:vAlign w:val="center"/>
          </w:tcPr>
          <w:p w14:paraId="75A17156" w14:textId="7033EA5C" w:rsidR="00D95AE1" w:rsidRPr="0028364C" w:rsidRDefault="00D95AE1" w:rsidP="00D95AE1">
            <w:pPr>
              <w:ind w:left="60" w:right="60"/>
              <w:jc w:val="center"/>
              <w:rPr>
                <w:rFonts w:ascii="Arial" w:hAnsi="Arial" w:cs="Arial"/>
                <w:sz w:val="20"/>
                <w:szCs w:val="20"/>
              </w:rPr>
            </w:pPr>
            <w:r w:rsidRPr="0028364C">
              <w:rPr>
                <w:rFonts w:ascii="Arial" w:hAnsi="Arial" w:cs="Arial"/>
                <w:sz w:val="20"/>
                <w:szCs w:val="20"/>
              </w:rPr>
              <w:t>0.47</w:t>
            </w:r>
            <w:r w:rsidR="00061DC5" w:rsidRPr="0028364C">
              <w:rPr>
                <w:rFonts w:ascii="Arial" w:hAnsi="Arial" w:cs="Arial"/>
                <w:sz w:val="20"/>
                <w:szCs w:val="20"/>
              </w:rPr>
              <w:t>6</w:t>
            </w:r>
          </w:p>
        </w:tc>
        <w:tc>
          <w:tcPr>
            <w:tcW w:w="1701" w:type="dxa"/>
            <w:tcBorders>
              <w:top w:val="nil"/>
              <w:left w:val="nil"/>
              <w:bottom w:val="single" w:sz="24" w:space="0" w:color="000000"/>
              <w:right w:val="nil"/>
            </w:tcBorders>
            <w:vAlign w:val="center"/>
          </w:tcPr>
          <w:p w14:paraId="4D85DC97" w14:textId="20679AF4" w:rsidR="00D95AE1" w:rsidRPr="0028364C" w:rsidRDefault="00D95AE1" w:rsidP="00D95AE1">
            <w:pPr>
              <w:ind w:left="60" w:right="60"/>
              <w:jc w:val="center"/>
              <w:rPr>
                <w:rFonts w:ascii="Arial" w:hAnsi="Arial" w:cs="Arial"/>
                <w:sz w:val="20"/>
                <w:szCs w:val="20"/>
              </w:rPr>
            </w:pPr>
            <w:r w:rsidRPr="0028364C">
              <w:rPr>
                <w:rFonts w:ascii="Arial" w:hAnsi="Arial" w:cs="Arial"/>
                <w:sz w:val="20"/>
                <w:szCs w:val="20"/>
              </w:rPr>
              <w:t>&lt;0.001</w:t>
            </w:r>
          </w:p>
        </w:tc>
        <w:tc>
          <w:tcPr>
            <w:tcW w:w="1811" w:type="dxa"/>
            <w:tcBorders>
              <w:top w:val="nil"/>
              <w:left w:val="nil"/>
              <w:bottom w:val="single" w:sz="24" w:space="0" w:color="000000"/>
              <w:right w:val="nil"/>
            </w:tcBorders>
            <w:vAlign w:val="center"/>
          </w:tcPr>
          <w:p w14:paraId="236C5982" w14:textId="41B03D76" w:rsidR="00D95AE1" w:rsidRPr="0028364C" w:rsidRDefault="00D95AE1" w:rsidP="00D95AE1">
            <w:pPr>
              <w:jc w:val="center"/>
              <w:rPr>
                <w:rFonts w:ascii="Arial" w:eastAsia="Arial" w:hAnsi="Arial" w:cs="Arial"/>
                <w:color w:val="000000"/>
              </w:rPr>
            </w:pPr>
            <w:r w:rsidRPr="0028364C">
              <w:rPr>
                <w:rFonts w:ascii="Arial" w:eastAsia="Arial" w:hAnsi="Arial" w:cs="Arial"/>
                <w:color w:val="000000"/>
                <w:sz w:val="20"/>
                <w:szCs w:val="20"/>
              </w:rPr>
              <w:t>Significant</w:t>
            </w:r>
          </w:p>
        </w:tc>
      </w:tr>
    </w:tbl>
    <w:p w14:paraId="463799AF" w14:textId="3F8E808D" w:rsidR="000B1D44" w:rsidRPr="00D70918" w:rsidRDefault="009C5692">
      <w:pPr>
        <w:tabs>
          <w:tab w:val="left" w:pos="1680"/>
        </w:tabs>
        <w:rPr>
          <w:rFonts w:ascii="Arial" w:eastAsia="Arial" w:hAnsi="Arial" w:cs="Arial"/>
        </w:rPr>
      </w:pPr>
      <m:oMath>
        <m:sSup>
          <m:sSupPr>
            <m:ctrlPr>
              <w:rPr>
                <w:rFonts w:ascii="Cambria Math" w:eastAsia="Cambria Math" w:hAnsi="Cambria Math" w:cs="Arial"/>
              </w:rPr>
            </m:ctrlPr>
          </m:sSupPr>
          <m:e>
            <m:r>
              <w:rPr>
                <w:rFonts w:ascii="Cambria Math" w:eastAsia="Cambria Math" w:hAnsi="Cambria Math" w:cs="Arial"/>
              </w:rPr>
              <m:t xml:space="preserve">     </m:t>
            </m:r>
            <m:r>
              <w:rPr>
                <w:rFonts w:ascii="Cambria Math" w:eastAsia="Cambria Math" w:hAnsi="Cambria Math" w:cs="Arial"/>
              </w:rPr>
              <m:t>r</m:t>
            </m:r>
          </m:e>
          <m:sup>
            <m:r>
              <w:rPr>
                <w:rFonts w:ascii="Cambria Math" w:eastAsia="Cambria Math" w:hAnsi="Cambria Math" w:cs="Arial"/>
              </w:rPr>
              <m:t>2</m:t>
            </m:r>
          </m:sup>
        </m:sSup>
        <m:r>
          <w:rPr>
            <w:rFonts w:ascii="Cambria Math" w:eastAsia="Cambria Math" w:hAnsi="Cambria Math" w:cs="Arial"/>
          </w:rPr>
          <m:t>=</m:t>
        </m:r>
        <m:r>
          <w:rPr>
            <w:rFonts w:ascii="Cambria Math" w:eastAsia="Cambria Math" w:hAnsi="Cambria Math" w:cs="Arial"/>
            <w:color w:val="000000"/>
          </w:rPr>
          <m:t>0.305</m:t>
        </m:r>
      </m:oMath>
      <w:r w:rsidR="000B62FC" w:rsidRPr="00D70918">
        <w:rPr>
          <w:rFonts w:ascii="Arial" w:eastAsia="Arial" w:hAnsi="Arial" w:cs="Arial"/>
          <w:color w:val="000000"/>
        </w:rPr>
        <w:t xml:space="preserve"> </w:t>
      </w:r>
    </w:p>
    <w:p w14:paraId="5E0FB9DF" w14:textId="77777777" w:rsidR="000B1D44" w:rsidRDefault="000B1D44">
      <w:pPr>
        <w:pBdr>
          <w:top w:val="nil"/>
          <w:left w:val="nil"/>
          <w:bottom w:val="nil"/>
          <w:right w:val="nil"/>
          <w:between w:val="nil"/>
        </w:pBdr>
        <w:tabs>
          <w:tab w:val="left" w:pos="6510"/>
        </w:tabs>
        <w:ind w:left="1260" w:hanging="1260"/>
        <w:jc w:val="both"/>
        <w:rPr>
          <w:rFonts w:ascii="Arial" w:eastAsia="Arial" w:hAnsi="Arial" w:cs="Arial"/>
          <w:color w:val="000000"/>
        </w:rPr>
      </w:pPr>
    </w:p>
    <w:p w14:paraId="1C5A7E0D" w14:textId="77777777" w:rsidR="000B1D44" w:rsidRDefault="000B1D44">
      <w:pPr>
        <w:rPr>
          <w:rFonts w:ascii="Arial" w:eastAsia="Arial" w:hAnsi="Arial" w:cs="Arial"/>
        </w:rPr>
      </w:pP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5.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77777777" w:rsidR="00026464" w:rsidRPr="00026464" w:rsidRDefault="00026464" w:rsidP="00026464">
      <w:pPr>
        <w:ind w:firstLine="360"/>
        <w:jc w:val="both"/>
        <w:rPr>
          <w:rFonts w:ascii="Arial" w:eastAsia="Arial" w:hAnsi="Arial" w:cs="Arial"/>
          <w:color w:val="000000"/>
        </w:rPr>
      </w:pPr>
      <w:r w:rsidRPr="00026464">
        <w:rPr>
          <w:rFonts w:ascii="Arial" w:eastAsia="Arial" w:hAnsi="Arial" w:cs="Arial"/>
          <w:color w:val="000000"/>
        </w:rPr>
        <w:t>Based on the findings and statistical results of the study, the following conclusions were drawn:</w:t>
      </w:r>
    </w:p>
    <w:p w14:paraId="4609B629"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results of the study showed that math teachers used situated learning practices approximately two to four times a week. This indicates that the implementation of situated learning practices is highly evident in higher education settings.</w:t>
      </w:r>
    </w:p>
    <w:p w14:paraId="36BB3EB8"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In terms of students’ critical thinking, the majority of students were at average and high levels, while a few were at the low level. This suggests that although most students demonstrate adequate critical thinking skills, there remains room for improvement to help more students reach higher levels of cognitive performance.</w:t>
      </w:r>
    </w:p>
    <w:p w14:paraId="6E9CCCC8"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correlation analysis revealed that all three characteristics of situated learning practices—authentic context, authentic activities, and authentic assessment—have a positive relationship with students’ critical thinking skills. This implies that situated learning helps college students apply their knowledge in diverse situations and fosters critical thinking by encouraging them to analyze, evaluate, and synthesize information.</w:t>
      </w:r>
    </w:p>
    <w:p w14:paraId="27ABAC31"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regression analysis showed that math teachers’ situated learning practices significantly influence students' critical thinking. These practices account for 30.50% of the variation in students’ critical thinking, indicating that other contributing factors are also important.</w:t>
      </w:r>
    </w:p>
    <w:p w14:paraId="23C36720" w14:textId="301B7D72" w:rsidR="00AF3C8B" w:rsidRPr="00AF3C8B" w:rsidRDefault="00AF3C8B" w:rsidP="00026464">
      <w:pPr>
        <w:pStyle w:val="ListParagraph"/>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610A68AC" w:rsidR="000B1D44" w:rsidRDefault="000B62FC">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Recommendation</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60C2E5BD"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Given that math teachers implement situated learning practices two to four times a week, it is recommended that institutions provide ongoing professional development to strengthen teachers’ skills in designing and delivering effective situated learning strategies. This continuous enhancement will ensure the consistent and meaningful use of real-world and contextually relevant teaching practices in college mathematics instruction.</w:t>
      </w:r>
    </w:p>
    <w:p w14:paraId="4FC1A5FF"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As the majority of students fall within the average and high levels of critical thinking, while a few are still at the low level, it is recommended that educators apply differentiated instruction. This approach should include enrichment activities for advanced learners and targeted interventions for those needing support, enabling all students to develop and strengthen their critical thinking abilities according to their individual learning needs.</w:t>
      </w:r>
    </w:p>
    <w:p w14:paraId="40944641"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Since the study found a positive relationship between the three characteristics of situated learning practices—authentic context, authentic activities, and authentic assessment—and students’ critical thinking skills, it is recommended that teachers purposefully integrate these elements into their instructional design. Using real-life problems, collaborative projects, and performance-based assessments can challenge students to apply, analyze, and evaluate information, thereby enhancing their critical thinking.</w:t>
      </w:r>
    </w:p>
    <w:p w14:paraId="2E812897" w14:textId="77777777" w:rsid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Given that situated learning practices explain 30.50% of the variation in students' critical thinking, it is recommended that these practices be formally incorporated into the mathematics curriculum. Course designers should embed situated learning principles in syllabi, instructional plans, and assessment strategies to ensure a structured and consistent impact on students’ higher-order thinking skills.</w:t>
      </w:r>
    </w:p>
    <w:p w14:paraId="5401BE11" w14:textId="43E347AA" w:rsidR="00AF3C8B" w:rsidRDefault="00AF3C8B" w:rsidP="00026464">
      <w:pPr>
        <w:pStyle w:val="ListParagraph"/>
        <w:numPr>
          <w:ilvl w:val="0"/>
          <w:numId w:val="4"/>
        </w:numPr>
        <w:jc w:val="both"/>
        <w:rPr>
          <w:rFonts w:ascii="Arial" w:eastAsia="Arial" w:hAnsi="Arial" w:cs="Arial"/>
          <w:color w:val="000000"/>
        </w:rPr>
      </w:pPr>
      <w:r w:rsidRPr="00AF3C8B">
        <w:rPr>
          <w:rFonts w:ascii="Arial" w:eastAsia="Arial" w:hAnsi="Arial" w:cs="Arial"/>
          <w:color w:val="000000"/>
        </w:rPr>
        <w:t xml:space="preserve">Future research could explore other factors that can contribute to students’ critical thinking, such as the disposition of classroom environment, influence of cultural and societal norms and educators’ professional development. This broader approach </w:t>
      </w:r>
      <w:r w:rsidRPr="00AF3C8B">
        <w:rPr>
          <w:rFonts w:ascii="Arial" w:eastAsia="Arial" w:hAnsi="Arial" w:cs="Arial"/>
          <w:color w:val="000000"/>
        </w:rPr>
        <w:lastRenderedPageBreak/>
        <w:t xml:space="preserve">could offer more comprehensive insights into how to achieve a high level of critical thinking skills. </w:t>
      </w:r>
    </w:p>
    <w:p w14:paraId="01411B4E" w14:textId="77777777" w:rsidR="00F44832" w:rsidRDefault="00F44832" w:rsidP="00F44832">
      <w:pPr>
        <w:pStyle w:val="ListParagraph"/>
        <w:jc w:val="both"/>
        <w:rPr>
          <w:rFonts w:ascii="Arial" w:eastAsia="Arial" w:hAnsi="Arial" w:cs="Arial"/>
          <w:color w:val="000000"/>
        </w:rPr>
      </w:pPr>
    </w:p>
    <w:p w14:paraId="72703BC6" w14:textId="34873367" w:rsidR="00F44832" w:rsidRPr="00F44832" w:rsidRDefault="00F44832" w:rsidP="00F44832">
      <w:pPr>
        <w:jc w:val="both"/>
        <w:rPr>
          <w:rFonts w:ascii="Arial" w:eastAsia="Arial" w:hAnsi="Arial" w:cs="Arial"/>
          <w:b/>
          <w:color w:val="000000"/>
        </w:rPr>
      </w:pPr>
      <w:r w:rsidRPr="00F44832">
        <w:rPr>
          <w:rFonts w:ascii="Arial" w:eastAsia="Arial" w:hAnsi="Arial" w:cs="Arial"/>
          <w:b/>
          <w:color w:val="000000"/>
        </w:rPr>
        <w:t xml:space="preserve">Ethical approval: </w:t>
      </w:r>
    </w:p>
    <w:p w14:paraId="41CBD7D3" w14:textId="44239896" w:rsidR="00F44832" w:rsidRDefault="00F44832" w:rsidP="00F44832">
      <w:pPr>
        <w:jc w:val="both"/>
        <w:rPr>
          <w:rFonts w:ascii="Arial" w:eastAsia="Arial" w:hAnsi="Arial" w:cs="Arial"/>
          <w:color w:val="000000"/>
        </w:rPr>
      </w:pPr>
    </w:p>
    <w:p w14:paraId="24A191A7" w14:textId="0F1F6E9D" w:rsidR="00F44832" w:rsidRPr="00F44832" w:rsidRDefault="00F44832" w:rsidP="00F44832">
      <w:pPr>
        <w:jc w:val="both"/>
        <w:rPr>
          <w:rFonts w:ascii="Arial" w:eastAsia="Arial" w:hAnsi="Arial" w:cs="Arial"/>
          <w:color w:val="000000"/>
        </w:rPr>
      </w:pPr>
      <w:r w:rsidRPr="00F44832">
        <w:rPr>
          <w:rFonts w:ascii="Arial" w:eastAsia="Arial" w:hAnsi="Arial" w:cs="Arial"/>
          <w:color w:val="000000"/>
        </w:rPr>
        <w:t>Prior approval was secured from the appropriate authorities, and data collection commenced thereafter.</w:t>
      </w:r>
    </w:p>
    <w:p w14:paraId="3AA3FFCC" w14:textId="409904AF" w:rsidR="00F44832" w:rsidRDefault="00F44832" w:rsidP="00F44832">
      <w:pPr>
        <w:ind w:left="360"/>
        <w:jc w:val="both"/>
        <w:rPr>
          <w:rFonts w:ascii="Arial" w:eastAsia="Arial" w:hAnsi="Arial" w:cs="Arial"/>
          <w:color w:val="000000"/>
        </w:rPr>
      </w:pPr>
    </w:p>
    <w:p w14:paraId="1F4A7292" w14:textId="5B9594B9" w:rsidR="00F44832" w:rsidRPr="00F44832" w:rsidRDefault="00F44832" w:rsidP="00F44832">
      <w:pPr>
        <w:jc w:val="both"/>
        <w:rPr>
          <w:rFonts w:ascii="Arial" w:eastAsia="Arial" w:hAnsi="Arial" w:cs="Arial"/>
          <w:b/>
          <w:color w:val="000000"/>
        </w:rPr>
      </w:pPr>
      <w:r w:rsidRPr="00F44832">
        <w:rPr>
          <w:rFonts w:ascii="Arial" w:eastAsia="Arial" w:hAnsi="Arial" w:cs="Arial"/>
          <w:b/>
          <w:color w:val="000000"/>
        </w:rPr>
        <w:t>Consent:</w:t>
      </w:r>
    </w:p>
    <w:p w14:paraId="14775134" w14:textId="4073031E" w:rsidR="00F44832" w:rsidRDefault="00F44832" w:rsidP="00F44832">
      <w:pPr>
        <w:ind w:left="360"/>
        <w:jc w:val="both"/>
        <w:rPr>
          <w:rFonts w:ascii="Arial" w:eastAsia="Arial" w:hAnsi="Arial" w:cs="Arial"/>
          <w:color w:val="000000"/>
        </w:rPr>
      </w:pPr>
    </w:p>
    <w:p w14:paraId="174B7DD4" w14:textId="23CB5E01" w:rsidR="00F44832" w:rsidRPr="00F44832" w:rsidRDefault="00F44832" w:rsidP="00F44832">
      <w:pPr>
        <w:jc w:val="both"/>
        <w:rPr>
          <w:rFonts w:ascii="Arial" w:eastAsia="Arial" w:hAnsi="Arial" w:cs="Arial"/>
          <w:color w:val="000000"/>
        </w:rPr>
      </w:pPr>
      <w:r w:rsidRPr="00F44832">
        <w:rPr>
          <w:rFonts w:ascii="Arial" w:eastAsia="Arial" w:hAnsi="Arial" w:cs="Arial"/>
          <w:color w:val="000000"/>
        </w:rPr>
        <w:t>Once the students signed the consent forms, this signified their acceptance and willingness to participate in the study.</w:t>
      </w:r>
    </w:p>
    <w:p w14:paraId="441A7410" w14:textId="2DDD8300" w:rsidR="009E22E6" w:rsidRDefault="009E22E6" w:rsidP="009E22E6">
      <w:pPr>
        <w:jc w:val="both"/>
        <w:rPr>
          <w:rFonts w:ascii="Arial" w:eastAsia="Arial" w:hAnsi="Arial" w:cs="Arial"/>
          <w:color w:val="000000"/>
        </w:rPr>
      </w:pPr>
    </w:p>
    <w:p w14:paraId="3351D3F8" w14:textId="77777777" w:rsidR="005A368B" w:rsidRPr="00F44832" w:rsidRDefault="005A368B" w:rsidP="005A368B">
      <w:pPr>
        <w:spacing w:after="200" w:line="276" w:lineRule="auto"/>
        <w:rPr>
          <w:rFonts w:ascii="Calibri" w:eastAsia="Calibri" w:hAnsi="Calibri" w:cs="Times New Roman"/>
          <w:b/>
          <w:kern w:val="2"/>
          <w:sz w:val="22"/>
          <w:szCs w:val="22"/>
          <w:highlight w:val="yellow"/>
          <w:lang w:eastAsia="en-US"/>
        </w:rPr>
      </w:pPr>
      <w:bookmarkStart w:id="7" w:name="_Hlk180402183"/>
      <w:bookmarkStart w:id="8" w:name="_Hlk183680988"/>
      <w:r w:rsidRPr="00F44832">
        <w:rPr>
          <w:rFonts w:ascii="Calibri" w:eastAsia="Calibri" w:hAnsi="Calibri" w:cs="Times New Roman"/>
          <w:b/>
          <w:kern w:val="2"/>
          <w:sz w:val="22"/>
          <w:szCs w:val="22"/>
          <w:highlight w:val="yellow"/>
          <w:lang w:eastAsia="en-US"/>
        </w:rPr>
        <w:t>Disclaimer (Artificial intelligence)</w:t>
      </w:r>
    </w:p>
    <w:bookmarkEnd w:id="7"/>
    <w:bookmarkEnd w:id="8"/>
    <w:p w14:paraId="25F76F7E" w14:textId="13D998E1" w:rsidR="009E22E6" w:rsidRPr="0093577A" w:rsidRDefault="0093577A" w:rsidP="009E22E6">
      <w:pPr>
        <w:jc w:val="both"/>
        <w:rPr>
          <w:rFonts w:ascii="Arial" w:eastAsia="Arial" w:hAnsi="Arial" w:cs="Arial"/>
          <w:color w:val="000000"/>
          <w:highlight w:val="yellow"/>
        </w:rPr>
      </w:pPr>
      <w:r w:rsidRPr="0093577A">
        <w:rPr>
          <w:rFonts w:ascii="Calibri" w:eastAsia="Calibri" w:hAnsi="Calibri" w:cs="Times New Roman"/>
          <w:kern w:val="2"/>
          <w:sz w:val="22"/>
          <w:szCs w:val="22"/>
          <w:highlight w:val="yellow"/>
          <w:lang w:eastAsia="en-US"/>
        </w:rPr>
        <w:t>The authors declare that generative AI technology, specifically GPT-4, was used exclusively for grammar correction and improving the clarity and composition of sentences and paragraphs in this manuscript.</w:t>
      </w:r>
    </w:p>
    <w:p w14:paraId="6031E49D" w14:textId="77777777" w:rsidR="00AF3C8B" w:rsidRPr="0093577A" w:rsidRDefault="00AF3C8B" w:rsidP="00AF3C8B">
      <w:pPr>
        <w:pBdr>
          <w:top w:val="nil"/>
          <w:left w:val="nil"/>
          <w:bottom w:val="nil"/>
          <w:right w:val="nil"/>
          <w:between w:val="nil"/>
        </w:pBdr>
        <w:jc w:val="both"/>
        <w:rPr>
          <w:rFonts w:ascii="Arial" w:eastAsia="Arial" w:hAnsi="Arial" w:cs="Arial"/>
          <w:b/>
          <w:color w:val="000000"/>
          <w:highlight w:val="yellow"/>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0B62F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7A81FC3F" w14:textId="10ADD6AC"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Adams, M. (2020). Three creativity-fostering projects implemented in a statistics class. Journal of Humanistic Mathematics, 10(2), 484–510. </w:t>
      </w:r>
      <w:hyperlink r:id="rId7" w:history="1">
        <w:r w:rsidRPr="000B38A3">
          <w:rPr>
            <w:rStyle w:val="Hyperlink"/>
            <w:rFonts w:ascii="Arial" w:eastAsia="Arial" w:hAnsi="Arial" w:cs="Arial"/>
          </w:rPr>
          <w:t>https://doi.org/10.5642/jhummath.202002.22</w:t>
        </w:r>
      </w:hyperlink>
    </w:p>
    <w:p w14:paraId="67B6FBAA" w14:textId="5886BA22" w:rsidR="00026464" w:rsidRPr="00F214B1"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214B1">
        <w:rPr>
          <w:rFonts w:ascii="Arial" w:eastAsia="Arial" w:hAnsi="Arial" w:cs="Arial"/>
          <w:color w:val="000000"/>
        </w:rPr>
        <w:t xml:space="preserve">Adeyemi, S. B. (2012). Developing Critical Thinking Skills in Students: A Mandate for Higher Education in Nigeria. European Journal of Educational Research, 1(2), 155-161. </w:t>
      </w:r>
      <w:hyperlink r:id="rId8" w:history="1">
        <w:r w:rsidRPr="000B38A3">
          <w:rPr>
            <w:rStyle w:val="Hyperlink"/>
            <w:rFonts w:ascii="Arial" w:eastAsia="Arial" w:hAnsi="Arial" w:cs="Arial"/>
          </w:rPr>
          <w:t>https://doi.org/10.12973/eu-jer.1.2.155</w:t>
        </w:r>
      </w:hyperlink>
    </w:p>
    <w:p w14:paraId="71E18F7B" w14:textId="6CCDA406" w:rsidR="00026464" w:rsidRPr="00831A3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831A33">
        <w:rPr>
          <w:rFonts w:ascii="Arial" w:eastAsia="Arial" w:hAnsi="Arial" w:cs="Arial"/>
          <w:color w:val="000000"/>
        </w:rPr>
        <w:t>Adlawon</w:t>
      </w:r>
      <w:proofErr w:type="spellEnd"/>
      <w:r w:rsidRPr="00831A33">
        <w:rPr>
          <w:rFonts w:ascii="Arial" w:eastAsia="Arial" w:hAnsi="Arial" w:cs="Arial"/>
          <w:color w:val="000000"/>
        </w:rPr>
        <w:t xml:space="preserve">, C. M. C., </w:t>
      </w:r>
      <w:proofErr w:type="spellStart"/>
      <w:r w:rsidRPr="00831A33">
        <w:rPr>
          <w:rFonts w:ascii="Arial" w:eastAsia="Arial" w:hAnsi="Arial" w:cs="Arial"/>
          <w:color w:val="000000"/>
        </w:rPr>
        <w:t>Valdevarona</w:t>
      </w:r>
      <w:proofErr w:type="spellEnd"/>
      <w:r w:rsidRPr="00831A33">
        <w:rPr>
          <w:rFonts w:ascii="Arial" w:eastAsia="Arial" w:hAnsi="Arial" w:cs="Arial"/>
          <w:color w:val="000000"/>
        </w:rPr>
        <w:t>, A. M. G., &amp; Miranda, A. T. (2022). The Relationship of Self-Concept and Mathematics Performance of College Students in the New Normal. Asian J. Educ. Soc. Stud, 37(3), 39-47.</w:t>
      </w:r>
    </w:p>
    <w:p w14:paraId="754A6302" w14:textId="7FE0B4EF" w:rsidR="00026464" w:rsidRPr="008E7900" w:rsidRDefault="00026464" w:rsidP="008E7900">
      <w:pPr>
        <w:ind w:left="720" w:hanging="720"/>
        <w:rPr>
          <w:rFonts w:ascii="Arial" w:eastAsia="Arial" w:hAnsi="Arial" w:cs="Arial"/>
          <w:color w:val="000000"/>
        </w:rPr>
      </w:pPr>
      <w:proofErr w:type="spellStart"/>
      <w:r w:rsidRPr="008E7900">
        <w:rPr>
          <w:rFonts w:ascii="Arial" w:eastAsia="Arial" w:hAnsi="Arial" w:cs="Arial"/>
          <w:color w:val="000000"/>
        </w:rPr>
        <w:t>Agtarap</w:t>
      </w:r>
      <w:proofErr w:type="spellEnd"/>
      <w:r w:rsidRPr="008E7900">
        <w:rPr>
          <w:rFonts w:ascii="Arial" w:eastAsia="Arial" w:hAnsi="Arial" w:cs="Arial"/>
          <w:color w:val="000000"/>
        </w:rPr>
        <w:t>, R., &amp; Miranda, A. T. (2022). The mediating effect of students’ resiliency on the relationship of self-concept and mathematics performance. Asian Journal of Education and Social Studies, 36(2), 1–10.</w:t>
      </w:r>
    </w:p>
    <w:p w14:paraId="41C53159" w14:textId="1ACC6C89"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Alnuaim</w:t>
      </w:r>
      <w:proofErr w:type="spellEnd"/>
      <w:r w:rsidRPr="00AD43E9">
        <w:rPr>
          <w:rFonts w:ascii="Arial" w:eastAsia="Arial" w:hAnsi="Arial" w:cs="Arial"/>
          <w:color w:val="000000"/>
        </w:rPr>
        <w:t>, A., Caleb-Solly, P., &amp; Perry, C. (2014). A mobile location-based situated learning framework for supporting critical thinking: A requirements analysis study (pp. 139-158). Springer International Publishing.</w:t>
      </w:r>
    </w:p>
    <w:p w14:paraId="4502F348" w14:textId="43E9D7F3"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Ardyawin</w:t>
      </w:r>
      <w:proofErr w:type="spellEnd"/>
      <w:r w:rsidRPr="000D3E39">
        <w:rPr>
          <w:rFonts w:ascii="Arial" w:eastAsia="Arial" w:hAnsi="Arial" w:cs="Arial"/>
          <w:color w:val="000000"/>
        </w:rPr>
        <w:t xml:space="preserve">, I. (2024). The role of Information Literacy in Enhancing Students' Critical Thinking Skills. </w:t>
      </w:r>
      <w:proofErr w:type="spellStart"/>
      <w:r w:rsidRPr="000D3E39">
        <w:rPr>
          <w:rFonts w:ascii="Arial" w:eastAsia="Arial" w:hAnsi="Arial" w:cs="Arial"/>
          <w:color w:val="000000"/>
        </w:rPr>
        <w:t>Jurnal</w:t>
      </w:r>
      <w:proofErr w:type="spellEnd"/>
      <w:r w:rsidRPr="000D3E39">
        <w:rPr>
          <w:rFonts w:ascii="Arial" w:eastAsia="Arial" w:hAnsi="Arial" w:cs="Arial"/>
          <w:color w:val="000000"/>
        </w:rPr>
        <w:t xml:space="preserve"> </w:t>
      </w:r>
      <w:proofErr w:type="spellStart"/>
      <w:r w:rsidRPr="000D3E39">
        <w:rPr>
          <w:rFonts w:ascii="Arial" w:eastAsia="Arial" w:hAnsi="Arial" w:cs="Arial"/>
          <w:color w:val="000000"/>
        </w:rPr>
        <w:t>Literasi</w:t>
      </w:r>
      <w:proofErr w:type="spellEnd"/>
      <w:r w:rsidRPr="000D3E39">
        <w:rPr>
          <w:rFonts w:ascii="Arial" w:eastAsia="Arial" w:hAnsi="Arial" w:cs="Arial"/>
          <w:color w:val="000000"/>
        </w:rPr>
        <w:t xml:space="preserve"> </w:t>
      </w:r>
      <w:proofErr w:type="spellStart"/>
      <w:r w:rsidRPr="000D3E39">
        <w:rPr>
          <w:rFonts w:ascii="Arial" w:eastAsia="Arial" w:hAnsi="Arial" w:cs="Arial"/>
          <w:color w:val="000000"/>
        </w:rPr>
        <w:t>Perpustakaan</w:t>
      </w:r>
      <w:proofErr w:type="spellEnd"/>
      <w:r w:rsidRPr="000D3E39">
        <w:rPr>
          <w:rFonts w:ascii="Arial" w:eastAsia="Arial" w:hAnsi="Arial" w:cs="Arial"/>
          <w:color w:val="000000"/>
        </w:rPr>
        <w:t xml:space="preserve"> dan </w:t>
      </w:r>
      <w:proofErr w:type="spellStart"/>
      <w:r w:rsidRPr="000D3E39">
        <w:rPr>
          <w:rFonts w:ascii="Arial" w:eastAsia="Arial" w:hAnsi="Arial" w:cs="Arial"/>
          <w:color w:val="000000"/>
        </w:rPr>
        <w:t>Informasi</w:t>
      </w:r>
      <w:proofErr w:type="spellEnd"/>
      <w:r w:rsidRPr="000D3E39">
        <w:rPr>
          <w:rFonts w:ascii="Arial" w:eastAsia="Arial" w:hAnsi="Arial" w:cs="Arial"/>
          <w:color w:val="000000"/>
        </w:rPr>
        <w:t xml:space="preserve"> UHO: </w:t>
      </w:r>
      <w:proofErr w:type="spellStart"/>
      <w:r w:rsidRPr="000D3E39">
        <w:rPr>
          <w:rFonts w:ascii="Arial" w:eastAsia="Arial" w:hAnsi="Arial" w:cs="Arial"/>
          <w:color w:val="000000"/>
        </w:rPr>
        <w:t>Jurnal</w:t>
      </w:r>
      <w:proofErr w:type="spellEnd"/>
      <w:r w:rsidRPr="000D3E39">
        <w:rPr>
          <w:rFonts w:ascii="Arial" w:eastAsia="Arial" w:hAnsi="Arial" w:cs="Arial"/>
          <w:color w:val="000000"/>
        </w:rPr>
        <w:t xml:space="preserve"> </w:t>
      </w:r>
      <w:proofErr w:type="spellStart"/>
      <w:r w:rsidRPr="000D3E39">
        <w:rPr>
          <w:rFonts w:ascii="Arial" w:eastAsia="Arial" w:hAnsi="Arial" w:cs="Arial"/>
          <w:color w:val="000000"/>
        </w:rPr>
        <w:t>Penelitian</w:t>
      </w:r>
      <w:proofErr w:type="spellEnd"/>
      <w:r w:rsidRPr="000D3E39">
        <w:rPr>
          <w:rFonts w:ascii="Arial" w:eastAsia="Arial" w:hAnsi="Arial" w:cs="Arial"/>
          <w:color w:val="000000"/>
        </w:rPr>
        <w:t xml:space="preserve"> Kajian </w:t>
      </w:r>
      <w:proofErr w:type="spellStart"/>
      <w:r w:rsidRPr="000D3E39">
        <w:rPr>
          <w:rFonts w:ascii="Arial" w:eastAsia="Arial" w:hAnsi="Arial" w:cs="Arial"/>
          <w:color w:val="000000"/>
        </w:rPr>
        <w:t>Perpustakaan</w:t>
      </w:r>
      <w:proofErr w:type="spellEnd"/>
      <w:r w:rsidRPr="000D3E39">
        <w:rPr>
          <w:rFonts w:ascii="Arial" w:eastAsia="Arial" w:hAnsi="Arial" w:cs="Arial"/>
          <w:color w:val="000000"/>
        </w:rPr>
        <w:t xml:space="preserve"> dan </w:t>
      </w:r>
      <w:proofErr w:type="spellStart"/>
      <w:r w:rsidRPr="000D3E39">
        <w:rPr>
          <w:rFonts w:ascii="Arial" w:eastAsia="Arial" w:hAnsi="Arial" w:cs="Arial"/>
          <w:color w:val="000000"/>
        </w:rPr>
        <w:t>Informasi</w:t>
      </w:r>
      <w:proofErr w:type="spellEnd"/>
      <w:r w:rsidRPr="000D3E39">
        <w:rPr>
          <w:rFonts w:ascii="Arial" w:eastAsia="Arial" w:hAnsi="Arial" w:cs="Arial"/>
          <w:color w:val="000000"/>
        </w:rPr>
        <w:t>, 4(3), 129-139.</w:t>
      </w:r>
    </w:p>
    <w:p w14:paraId="1D3BE3BB" w14:textId="6013B2A2"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Arisoy</w:t>
      </w:r>
      <w:proofErr w:type="spellEnd"/>
      <w:r w:rsidRPr="00731C5D">
        <w:rPr>
          <w:rFonts w:ascii="Arial" w:eastAsia="Arial" w:hAnsi="Arial" w:cs="Arial"/>
          <w:color w:val="000000"/>
        </w:rPr>
        <w:t xml:space="preserve">, B., &amp; </w:t>
      </w:r>
      <w:proofErr w:type="spellStart"/>
      <w:r w:rsidRPr="00731C5D">
        <w:rPr>
          <w:rFonts w:ascii="Arial" w:eastAsia="Arial" w:hAnsi="Arial" w:cs="Arial"/>
          <w:color w:val="000000"/>
        </w:rPr>
        <w:t>Aybek</w:t>
      </w:r>
      <w:proofErr w:type="spellEnd"/>
      <w:r w:rsidRPr="00731C5D">
        <w:rPr>
          <w:rFonts w:ascii="Arial" w:eastAsia="Arial" w:hAnsi="Arial" w:cs="Arial"/>
          <w:color w:val="000000"/>
        </w:rPr>
        <w:t xml:space="preserve">, B. (2021). The Effects of Subject-Based Critical Thinking Education in Mathematics on Students’ Critical Thinking Skills and Virtues. Eurasian Journal of Educational Research, 21(92). </w:t>
      </w:r>
      <w:hyperlink r:id="rId9" w:history="1">
        <w:r w:rsidRPr="000B38A3">
          <w:rPr>
            <w:rStyle w:val="Hyperlink"/>
            <w:rFonts w:ascii="Arial" w:eastAsia="Arial" w:hAnsi="Arial" w:cs="Arial"/>
          </w:rPr>
          <w:t>https://doi.org/10.14689/ejer.2021.92.6</w:t>
        </w:r>
      </w:hyperlink>
    </w:p>
    <w:p w14:paraId="1D9C36DB" w14:textId="58B9CFDE"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Ariyachandra</w:t>
      </w:r>
      <w:proofErr w:type="spellEnd"/>
      <w:r w:rsidRPr="000D3E39">
        <w:rPr>
          <w:rFonts w:ascii="Arial" w:eastAsia="Arial" w:hAnsi="Arial" w:cs="Arial"/>
          <w:color w:val="000000"/>
        </w:rPr>
        <w:t>, T. (2020). Encouraging Analytics Skills Development in All Undergraduates: A Taste of Microsoft Data Analytics. Information Systems Education Journal, 18(2), 58-68.</w:t>
      </w:r>
    </w:p>
    <w:p w14:paraId="0CF132B3" w14:textId="7948D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85238A">
        <w:rPr>
          <w:rFonts w:ascii="Arial" w:eastAsia="Arial" w:hAnsi="Arial" w:cs="Arial"/>
          <w:color w:val="000000"/>
        </w:rPr>
        <w:t>Azwar</w:t>
      </w:r>
      <w:proofErr w:type="spellEnd"/>
      <w:r w:rsidRPr="0085238A">
        <w:rPr>
          <w:rFonts w:ascii="Arial" w:eastAsia="Arial" w:hAnsi="Arial" w:cs="Arial"/>
          <w:color w:val="000000"/>
        </w:rPr>
        <w:t xml:space="preserve">, S. (2012). Reliability and Validity. Yogyakarta: </w:t>
      </w:r>
      <w:proofErr w:type="spellStart"/>
      <w:r w:rsidRPr="0085238A">
        <w:rPr>
          <w:rFonts w:ascii="Arial" w:eastAsia="Arial" w:hAnsi="Arial" w:cs="Arial"/>
          <w:color w:val="000000"/>
        </w:rPr>
        <w:t>Pustaka</w:t>
      </w:r>
      <w:proofErr w:type="spellEnd"/>
      <w:r w:rsidRPr="0085238A">
        <w:rPr>
          <w:rFonts w:ascii="Arial" w:eastAsia="Arial" w:hAnsi="Arial" w:cs="Arial"/>
          <w:color w:val="000000"/>
        </w:rPr>
        <w:t xml:space="preserve"> </w:t>
      </w:r>
      <w:proofErr w:type="spellStart"/>
      <w:r w:rsidRPr="0085238A">
        <w:rPr>
          <w:rFonts w:ascii="Arial" w:eastAsia="Arial" w:hAnsi="Arial" w:cs="Arial"/>
          <w:color w:val="000000"/>
        </w:rPr>
        <w:t>Pelajar</w:t>
      </w:r>
      <w:proofErr w:type="spellEnd"/>
    </w:p>
    <w:p w14:paraId="1C32A6EA" w14:textId="53FD6A33"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Benson-O'Connor, C. D., McDaniel, C., &amp; </w:t>
      </w:r>
      <w:proofErr w:type="spellStart"/>
      <w:r w:rsidRPr="000D3E39">
        <w:rPr>
          <w:rFonts w:ascii="Arial" w:eastAsia="Arial" w:hAnsi="Arial" w:cs="Arial"/>
          <w:color w:val="000000"/>
        </w:rPr>
        <w:t>Carr</w:t>
      </w:r>
      <w:proofErr w:type="spellEnd"/>
      <w:r w:rsidRPr="000D3E39">
        <w:rPr>
          <w:rFonts w:ascii="Arial" w:eastAsia="Arial" w:hAnsi="Arial" w:cs="Arial"/>
          <w:color w:val="000000"/>
        </w:rPr>
        <w:t>, J. (2019). Bringing Math to Life: Provide Students Opportunities to Connect Their Lives to Math. Networks: An Online Journal for Teacher Research, 21(2), 3.</w:t>
      </w:r>
    </w:p>
    <w:p w14:paraId="5E3A2716" w14:textId="3626CDDC"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binti</w:t>
      </w:r>
      <w:proofErr w:type="spellEnd"/>
      <w:r w:rsidRPr="00731C5D">
        <w:rPr>
          <w:rFonts w:ascii="Arial" w:eastAsia="Arial" w:hAnsi="Arial" w:cs="Arial"/>
          <w:color w:val="000000"/>
        </w:rPr>
        <w:t xml:space="preserve"> Pengiran, P. H. S. N., &amp; </w:t>
      </w:r>
      <w:proofErr w:type="spellStart"/>
      <w:r w:rsidRPr="00731C5D">
        <w:rPr>
          <w:rFonts w:ascii="Arial" w:eastAsia="Arial" w:hAnsi="Arial" w:cs="Arial"/>
          <w:color w:val="000000"/>
        </w:rPr>
        <w:t>Besar</w:t>
      </w:r>
      <w:proofErr w:type="spellEnd"/>
      <w:r w:rsidRPr="00731C5D">
        <w:rPr>
          <w:rFonts w:ascii="Arial" w:eastAsia="Arial" w:hAnsi="Arial" w:cs="Arial"/>
          <w:color w:val="000000"/>
        </w:rPr>
        <w:t xml:space="preserve">, H. (2018). Situated learning theory: the key to effective classroom </w:t>
      </w:r>
      <w:proofErr w:type="gramStart"/>
      <w:r w:rsidRPr="00731C5D">
        <w:rPr>
          <w:rFonts w:ascii="Arial" w:eastAsia="Arial" w:hAnsi="Arial" w:cs="Arial"/>
          <w:color w:val="000000"/>
        </w:rPr>
        <w:t>teaching?.</w:t>
      </w:r>
      <w:proofErr w:type="gramEnd"/>
      <w:r w:rsidRPr="00731C5D">
        <w:rPr>
          <w:rFonts w:ascii="Arial" w:eastAsia="Arial" w:hAnsi="Arial" w:cs="Arial"/>
          <w:color w:val="000000"/>
        </w:rPr>
        <w:t xml:space="preserve"> HONAI, 1(1).</w:t>
      </w:r>
    </w:p>
    <w:p w14:paraId="77FA6D27" w14:textId="5760F55C"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lastRenderedPageBreak/>
        <w:t xml:space="preserve">Brown JS, Collins A, Duguid P (1989) Situated cognition and the </w:t>
      </w:r>
      <w:proofErr w:type="spellStart"/>
      <w:r w:rsidRPr="00731C5D">
        <w:rPr>
          <w:rFonts w:ascii="Arial" w:eastAsia="Arial" w:hAnsi="Arial" w:cs="Arial"/>
          <w:color w:val="000000"/>
        </w:rPr>
        <w:t>cul-ture</w:t>
      </w:r>
      <w:proofErr w:type="spellEnd"/>
      <w:r w:rsidRPr="00731C5D">
        <w:rPr>
          <w:rFonts w:ascii="Arial" w:eastAsia="Arial" w:hAnsi="Arial" w:cs="Arial"/>
          <w:color w:val="000000"/>
        </w:rPr>
        <w:t xml:space="preserve"> of learning. Educational Researcher 18(1):32–42</w:t>
      </w:r>
    </w:p>
    <w:p w14:paraId="5D3A5C2A" w14:textId="29E878AE" w:rsidR="00026464" w:rsidRPr="00E6537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E65376">
        <w:rPr>
          <w:rFonts w:ascii="Arial" w:eastAsia="Arial" w:hAnsi="Arial" w:cs="Arial"/>
          <w:color w:val="000000"/>
          <w:highlight w:val="white"/>
        </w:rPr>
        <w:t>Buzick</w:t>
      </w:r>
      <w:proofErr w:type="spellEnd"/>
      <w:r w:rsidRPr="00E65376">
        <w:rPr>
          <w:rFonts w:ascii="Arial" w:eastAsia="Arial" w:hAnsi="Arial" w:cs="Arial"/>
          <w:color w:val="000000"/>
          <w:highlight w:val="white"/>
        </w:rPr>
        <w:t xml:space="preserve">, H. M., </w:t>
      </w:r>
      <w:proofErr w:type="spellStart"/>
      <w:r w:rsidRPr="00E65376">
        <w:rPr>
          <w:rFonts w:ascii="Arial" w:eastAsia="Arial" w:hAnsi="Arial" w:cs="Arial"/>
          <w:color w:val="000000"/>
          <w:highlight w:val="white"/>
        </w:rPr>
        <w:t>Rhoad-Drogalis</w:t>
      </w:r>
      <w:proofErr w:type="spellEnd"/>
      <w:r w:rsidRPr="00E65376">
        <w:rPr>
          <w:rFonts w:ascii="Arial" w:eastAsia="Arial" w:hAnsi="Arial" w:cs="Arial"/>
          <w:color w:val="000000"/>
          <w:highlight w:val="white"/>
        </w:rPr>
        <w:t xml:space="preserve">, A., </w:t>
      </w:r>
      <w:proofErr w:type="spellStart"/>
      <w:r w:rsidRPr="00E65376">
        <w:rPr>
          <w:rFonts w:ascii="Arial" w:eastAsia="Arial" w:hAnsi="Arial" w:cs="Arial"/>
          <w:color w:val="000000"/>
          <w:highlight w:val="white"/>
        </w:rPr>
        <w:t>Laitusis</w:t>
      </w:r>
      <w:proofErr w:type="spellEnd"/>
      <w:r w:rsidRPr="00E65376">
        <w:rPr>
          <w:rFonts w:ascii="Arial" w:eastAsia="Arial" w:hAnsi="Arial" w:cs="Arial"/>
          <w:color w:val="000000"/>
          <w:highlight w:val="white"/>
        </w:rPr>
        <w:t xml:space="preserve">, C. C., &amp; King, T. C. (2019). Teachers' views of their practices related to common core state standards-aligned assessments. ETS Research Report Series, 2019(1), 1–18. </w:t>
      </w:r>
      <w:hyperlink r:id="rId10" w:history="1">
        <w:r w:rsidRPr="00C4257C">
          <w:rPr>
            <w:rStyle w:val="Hyperlink"/>
            <w:rFonts w:ascii="Arial" w:eastAsia="Arial" w:hAnsi="Arial" w:cs="Arial"/>
            <w:highlight w:val="white"/>
          </w:rPr>
          <w:t>https://doi.org/10.1002/ets2.12277</w:t>
        </w:r>
      </w:hyperlink>
    </w:p>
    <w:p w14:paraId="22EE9FC9" w14:textId="16AEB8A2"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Catalano, A. (2015). The effect of a situated learning environment in a distance education information literacy course. The Journal of Academic Librarianship, 41(5), 653-659.</w:t>
      </w:r>
    </w:p>
    <w:p w14:paraId="3774A468" w14:textId="6BBB3F5D"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Clayden</w:t>
      </w:r>
      <w:proofErr w:type="spellEnd"/>
      <w:r w:rsidRPr="000D3E39">
        <w:rPr>
          <w:rFonts w:ascii="Arial" w:eastAsia="Arial" w:hAnsi="Arial" w:cs="Arial"/>
          <w:color w:val="000000"/>
        </w:rPr>
        <w:t xml:space="preserve">, E., </w:t>
      </w:r>
      <w:proofErr w:type="spellStart"/>
      <w:r w:rsidRPr="000D3E39">
        <w:rPr>
          <w:rFonts w:ascii="Arial" w:eastAsia="Arial" w:hAnsi="Arial" w:cs="Arial"/>
          <w:color w:val="000000"/>
        </w:rPr>
        <w:t>Desforges</w:t>
      </w:r>
      <w:proofErr w:type="spellEnd"/>
      <w:r w:rsidRPr="000D3E39">
        <w:rPr>
          <w:rFonts w:ascii="Arial" w:eastAsia="Arial" w:hAnsi="Arial" w:cs="Arial"/>
          <w:color w:val="000000"/>
        </w:rPr>
        <w:t>, C., Mills, C., &amp; Rawson, W. (2002). Authentic activity and learning. In Primary Education (pp. 115-124). Routledge.</w:t>
      </w:r>
    </w:p>
    <w:p w14:paraId="10D40113" w14:textId="521D00E9"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F00A67">
        <w:rPr>
          <w:rFonts w:ascii="Arial" w:eastAsia="Arial" w:hAnsi="Arial" w:cs="Arial"/>
          <w:color w:val="000000"/>
        </w:rPr>
        <w:t>Cresswell</w:t>
      </w:r>
      <w:proofErr w:type="spellEnd"/>
      <w:r w:rsidRPr="00F00A67">
        <w:rPr>
          <w:rFonts w:ascii="Arial" w:eastAsia="Arial" w:hAnsi="Arial" w:cs="Arial"/>
          <w:color w:val="000000"/>
        </w:rPr>
        <w:t xml:space="preserve">, J. &amp; </w:t>
      </w:r>
      <w:proofErr w:type="spellStart"/>
      <w:r w:rsidRPr="00F00A67">
        <w:rPr>
          <w:rFonts w:ascii="Arial" w:eastAsia="Arial" w:hAnsi="Arial" w:cs="Arial"/>
          <w:color w:val="000000"/>
        </w:rPr>
        <w:t>Cresswell</w:t>
      </w:r>
      <w:proofErr w:type="spellEnd"/>
      <w:r w:rsidRPr="00F00A67">
        <w:rPr>
          <w:rFonts w:ascii="Arial" w:eastAsia="Arial" w:hAnsi="Arial" w:cs="Arial"/>
          <w:color w:val="000000"/>
        </w:rPr>
        <w:t>, D. (2017). Research Design: Qualitative, Quantitative, and Mixed Methods Approaches. SAGE Publication.</w:t>
      </w:r>
    </w:p>
    <w:p w14:paraId="303A00D5" w14:textId="08101A50" w:rsidR="00026464"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568EB">
        <w:rPr>
          <w:rFonts w:ascii="Arial" w:eastAsia="Arial" w:hAnsi="Arial" w:cs="Arial"/>
          <w:color w:val="000000"/>
          <w:highlight w:val="white"/>
        </w:rPr>
        <w:t>Demir, E. (2022). An Examination of High School Students' Critical Thinking Dispositions and Analytical Thinking Skills. </w:t>
      </w:r>
      <w:r w:rsidRPr="00A568EB">
        <w:rPr>
          <w:rFonts w:ascii="Arial" w:eastAsia="Arial" w:hAnsi="Arial" w:cs="Arial"/>
          <w:i/>
          <w:iCs/>
          <w:color w:val="000000"/>
          <w:highlight w:val="white"/>
        </w:rPr>
        <w:t>Journal of Pedagogical Research</w:t>
      </w:r>
      <w:r w:rsidRPr="00A568EB">
        <w:rPr>
          <w:rFonts w:ascii="Arial" w:eastAsia="Arial" w:hAnsi="Arial" w:cs="Arial"/>
          <w:color w:val="000000"/>
          <w:highlight w:val="white"/>
        </w:rPr>
        <w:t>, </w:t>
      </w:r>
      <w:r w:rsidRPr="00A568EB">
        <w:rPr>
          <w:rFonts w:ascii="Arial" w:eastAsia="Arial" w:hAnsi="Arial" w:cs="Arial"/>
          <w:i/>
          <w:iCs/>
          <w:color w:val="000000"/>
          <w:highlight w:val="white"/>
        </w:rPr>
        <w:t>6</w:t>
      </w:r>
      <w:r w:rsidRPr="00A568EB">
        <w:rPr>
          <w:rFonts w:ascii="Arial" w:eastAsia="Arial" w:hAnsi="Arial" w:cs="Arial"/>
          <w:color w:val="000000"/>
          <w:highlight w:val="white"/>
        </w:rPr>
        <w:t>(4), 190-200.</w:t>
      </w:r>
    </w:p>
    <w:p w14:paraId="3C3EB76F" w14:textId="349034F3"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Dolapcioglu</w:t>
      </w:r>
      <w:proofErr w:type="spellEnd"/>
      <w:r w:rsidRPr="00AD43E9">
        <w:rPr>
          <w:rFonts w:ascii="Arial" w:eastAsia="Arial" w:hAnsi="Arial" w:cs="Arial"/>
          <w:color w:val="000000"/>
        </w:rPr>
        <w:t xml:space="preserve">, S., &amp; </w:t>
      </w:r>
      <w:proofErr w:type="spellStart"/>
      <w:r w:rsidRPr="00AD43E9">
        <w:rPr>
          <w:rFonts w:ascii="Arial" w:eastAsia="Arial" w:hAnsi="Arial" w:cs="Arial"/>
          <w:color w:val="000000"/>
        </w:rPr>
        <w:t>Doğanay</w:t>
      </w:r>
      <w:proofErr w:type="spellEnd"/>
      <w:r w:rsidRPr="00AD43E9">
        <w:rPr>
          <w:rFonts w:ascii="Arial" w:eastAsia="Arial" w:hAnsi="Arial" w:cs="Arial"/>
          <w:color w:val="000000"/>
        </w:rPr>
        <w:t>, A. (2022). Development of critical thinking in mathematics classes via authentic learning: an action research. International Journal of Mathematical Education in Science and Technology, 53(6), 1363-1386.</w:t>
      </w:r>
    </w:p>
    <w:p w14:paraId="4D0FDED0" w14:textId="2AAA2AAB"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 xml:space="preserve">D'Souza, D. A., &amp; Clare, A. C. (2018). Effect of Situated Learning Model on Critical </w:t>
      </w:r>
      <w:proofErr w:type="gramStart"/>
      <w:r w:rsidRPr="00AD43E9">
        <w:rPr>
          <w:rFonts w:ascii="Arial" w:eastAsia="Arial" w:hAnsi="Arial" w:cs="Arial"/>
          <w:color w:val="000000"/>
        </w:rPr>
        <w:t>Problem Solving</w:t>
      </w:r>
      <w:proofErr w:type="gramEnd"/>
      <w:r w:rsidRPr="00AD43E9">
        <w:rPr>
          <w:rFonts w:ascii="Arial" w:eastAsia="Arial" w:hAnsi="Arial" w:cs="Arial"/>
          <w:color w:val="000000"/>
        </w:rPr>
        <w:t xml:space="preserve"> Skills among Higher Secondary Pupils. Journal on School Educational Technology, 14(1), 27-34.</w:t>
      </w:r>
    </w:p>
    <w:p w14:paraId="74E3A1F5" w14:textId="380B24BE"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Dwyer, C. P., Hogan, M. J., &amp; Stewart, I. (2015). The effects of argument mapping-infused critical thinking instruction on reflective judgement performance. Thinking Skills and Creativity, 16, 11–26. </w:t>
      </w:r>
      <w:hyperlink r:id="rId11" w:history="1">
        <w:r w:rsidRPr="000B38A3">
          <w:rPr>
            <w:rStyle w:val="Hyperlink"/>
            <w:rFonts w:ascii="Arial" w:eastAsia="Arial" w:hAnsi="Arial" w:cs="Arial"/>
          </w:rPr>
          <w:t>https://doi.org/10.1016/j.tsc.2014.12.002</w:t>
        </w:r>
      </w:hyperlink>
    </w:p>
    <w:p w14:paraId="5BC93062" w14:textId="66461C16"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Fadhlullah</w:t>
      </w:r>
      <w:proofErr w:type="spellEnd"/>
      <w:r w:rsidRPr="00AD43E9">
        <w:rPr>
          <w:rFonts w:ascii="Arial" w:eastAsia="Arial" w:hAnsi="Arial" w:cs="Arial"/>
          <w:color w:val="000000"/>
        </w:rPr>
        <w:t>, A., &amp; Ahmad, N. (2017). Thinking outside of the box: Determining students’ level of critical thinking skills in teaching and learning. Asian Journal of University Education (AJUE), 13(2), 51-70.</w:t>
      </w:r>
    </w:p>
    <w:p w14:paraId="50520D85" w14:textId="2EAAAD95"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Fraihat</w:t>
      </w:r>
      <w:proofErr w:type="spellEnd"/>
      <w:r w:rsidRPr="00AD43E9">
        <w:rPr>
          <w:rFonts w:ascii="Arial" w:eastAsia="Arial" w:hAnsi="Arial" w:cs="Arial"/>
          <w:color w:val="000000"/>
        </w:rPr>
        <w:t xml:space="preserve">, M. A. K., </w:t>
      </w:r>
      <w:proofErr w:type="spellStart"/>
      <w:r w:rsidRPr="00AD43E9">
        <w:rPr>
          <w:rFonts w:ascii="Arial" w:eastAsia="Arial" w:hAnsi="Arial" w:cs="Arial"/>
          <w:color w:val="000000"/>
        </w:rPr>
        <w:t>Khasawneh</w:t>
      </w:r>
      <w:proofErr w:type="spellEnd"/>
      <w:r w:rsidRPr="00AD43E9">
        <w:rPr>
          <w:rFonts w:ascii="Arial" w:eastAsia="Arial" w:hAnsi="Arial" w:cs="Arial"/>
          <w:color w:val="000000"/>
        </w:rPr>
        <w:t>, A. A., &amp; Al-Barakat, A. A. (2022). The effect of situated learning environment in enhancing mathematical reasoning and proof among tenth grade students. Eurasia Journal of Mathematics, Science and Technology Education, 18(6), em2120.</w:t>
      </w:r>
    </w:p>
    <w:p w14:paraId="76DD930F" w14:textId="4B0B1260" w:rsidR="00026464" w:rsidRPr="009F019F"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Galbraith, P. (2013). Students and </w:t>
      </w:r>
      <w:proofErr w:type="gramStart"/>
      <w:r w:rsidRPr="000D3E39">
        <w:rPr>
          <w:rFonts w:ascii="Arial" w:eastAsia="Arial" w:hAnsi="Arial" w:cs="Arial"/>
          <w:color w:val="000000"/>
        </w:rPr>
        <w:t>Real World</w:t>
      </w:r>
      <w:proofErr w:type="gramEnd"/>
      <w:r w:rsidRPr="000D3E39">
        <w:rPr>
          <w:rFonts w:ascii="Arial" w:eastAsia="Arial" w:hAnsi="Arial" w:cs="Arial"/>
          <w:color w:val="000000"/>
        </w:rPr>
        <w:t xml:space="preserve"> Applications: Still a Challenging Mix. Mathematics Education Research Group of Australasia.</w:t>
      </w:r>
    </w:p>
    <w:p w14:paraId="2D5FAE4C" w14:textId="0AB8D921" w:rsidR="00026464" w:rsidRPr="00C81E2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Grégoire, J. (2016). Understanding creativity in mathematics for improving mathematical education. Journal of Cognitive Education and Psychology, 15(1), 24-36. </w:t>
      </w:r>
      <w:hyperlink r:id="rId12" w:history="1">
        <w:r w:rsidRPr="000B38A3">
          <w:rPr>
            <w:rStyle w:val="Hyperlink"/>
            <w:rFonts w:ascii="Arial" w:eastAsia="Arial" w:hAnsi="Arial" w:cs="Arial"/>
          </w:rPr>
          <w:t>https://doi.org/10.1891/1945-8959.15.1.24</w:t>
        </w:r>
      </w:hyperlink>
    </w:p>
    <w:p w14:paraId="4AAE5939" w14:textId="518C678B" w:rsidR="00026464"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highlight w:val="white"/>
        </w:rPr>
        <w:t xml:space="preserve">Hair, J.F., Black, W.C., </w:t>
      </w:r>
      <w:proofErr w:type="spellStart"/>
      <w:r w:rsidRPr="00F00A67">
        <w:rPr>
          <w:rFonts w:ascii="Arial" w:eastAsia="Arial" w:hAnsi="Arial" w:cs="Arial"/>
          <w:color w:val="000000"/>
          <w:highlight w:val="white"/>
        </w:rPr>
        <w:t>Babin</w:t>
      </w:r>
      <w:proofErr w:type="spellEnd"/>
      <w:r w:rsidRPr="00F00A67">
        <w:rPr>
          <w:rFonts w:ascii="Arial" w:eastAsia="Arial" w:hAnsi="Arial" w:cs="Arial"/>
          <w:color w:val="000000"/>
          <w:highlight w:val="white"/>
        </w:rPr>
        <w:t>, B.J. and Anderson, R.E. (2010) Multivariate Data Analysis, 7th ed., Prentice Hall, Upper Saddle River, NJ.</w:t>
      </w:r>
    </w:p>
    <w:p w14:paraId="1DA1C1B7" w14:textId="6B3567EF"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F00A67">
        <w:rPr>
          <w:rFonts w:ascii="Arial" w:eastAsia="Arial" w:hAnsi="Arial" w:cs="Arial"/>
          <w:color w:val="000000"/>
        </w:rPr>
        <w:t>Hortelano</w:t>
      </w:r>
      <w:proofErr w:type="spellEnd"/>
      <w:r w:rsidRPr="00F00A67">
        <w:rPr>
          <w:rFonts w:ascii="Arial" w:eastAsia="Arial" w:hAnsi="Arial" w:cs="Arial"/>
          <w:color w:val="000000"/>
        </w:rPr>
        <w:t xml:space="preserve">, J. C., &amp; Prudente, M. (2024). Development of a questionnaire for understanding mathematics teachers' situated learning practices in the Philippines. Waikato Journal of Education. Advance online publication. </w:t>
      </w:r>
      <w:hyperlink r:id="rId13" w:history="1">
        <w:r w:rsidRPr="000B38A3">
          <w:rPr>
            <w:rStyle w:val="Hyperlink"/>
            <w:rFonts w:ascii="Arial" w:eastAsia="Arial" w:hAnsi="Arial" w:cs="Arial"/>
          </w:rPr>
          <w:t>https://doi.org/10.15663/wje.a1064</w:t>
        </w:r>
      </w:hyperlink>
    </w:p>
    <w:p w14:paraId="6191536F" w14:textId="0B50E051"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Huber, C. R., &amp; </w:t>
      </w:r>
      <w:proofErr w:type="spellStart"/>
      <w:r w:rsidRPr="00731C5D">
        <w:rPr>
          <w:rFonts w:ascii="Arial" w:eastAsia="Arial" w:hAnsi="Arial" w:cs="Arial"/>
          <w:color w:val="000000"/>
        </w:rPr>
        <w:t>Kuncel</w:t>
      </w:r>
      <w:proofErr w:type="spellEnd"/>
      <w:r w:rsidRPr="00731C5D">
        <w:rPr>
          <w:rFonts w:ascii="Arial" w:eastAsia="Arial" w:hAnsi="Arial" w:cs="Arial"/>
          <w:color w:val="000000"/>
        </w:rPr>
        <w:t>, N. R. (2016). Does college teach critical thinking? A meta-analysis. Review of educational research, 86(2), 431-468.</w:t>
      </w:r>
    </w:p>
    <w:p w14:paraId="1F3AADE1" w14:textId="6AD0796A"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Isakesen</w:t>
      </w:r>
      <w:proofErr w:type="spellEnd"/>
      <w:r w:rsidRPr="00731C5D">
        <w:rPr>
          <w:rFonts w:ascii="Arial" w:eastAsia="Arial" w:hAnsi="Arial" w:cs="Arial"/>
          <w:color w:val="000000"/>
        </w:rPr>
        <w:t>, G. S. (2017). The Creative Problem Solving. The Thinking Mind.</w:t>
      </w:r>
    </w:p>
    <w:p w14:paraId="292D6170" w14:textId="6D6C2E04"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Jablonka</w:t>
      </w:r>
      <w:proofErr w:type="spellEnd"/>
      <w:r w:rsidRPr="00AD43E9">
        <w:rPr>
          <w:rFonts w:ascii="Arial" w:eastAsia="Arial" w:hAnsi="Arial" w:cs="Arial"/>
          <w:color w:val="000000"/>
        </w:rPr>
        <w:t xml:space="preserve">, E. (2020). Critical Thinking in Mathematics Education. In: </w:t>
      </w:r>
      <w:proofErr w:type="spellStart"/>
      <w:r w:rsidRPr="00AD43E9">
        <w:rPr>
          <w:rFonts w:ascii="Arial" w:eastAsia="Arial" w:hAnsi="Arial" w:cs="Arial"/>
          <w:color w:val="000000"/>
        </w:rPr>
        <w:t>Lerman</w:t>
      </w:r>
      <w:proofErr w:type="spellEnd"/>
      <w:r w:rsidRPr="00AD43E9">
        <w:rPr>
          <w:rFonts w:ascii="Arial" w:eastAsia="Arial" w:hAnsi="Arial" w:cs="Arial"/>
          <w:color w:val="000000"/>
        </w:rPr>
        <w:t xml:space="preserve">, S. (eds) Encyclopedia of Mathematics Education. Springer, Cham. </w:t>
      </w:r>
      <w:hyperlink r:id="rId14" w:history="1">
        <w:r w:rsidRPr="000B38A3">
          <w:rPr>
            <w:rStyle w:val="Hyperlink"/>
            <w:rFonts w:ascii="Arial" w:eastAsia="Arial" w:hAnsi="Arial" w:cs="Arial"/>
          </w:rPr>
          <w:t>https://doi.org/10.1007/978-3-030-15789-0_35</w:t>
        </w:r>
      </w:hyperlink>
    </w:p>
    <w:p w14:paraId="4CFFD137" w14:textId="06C8AB87" w:rsidR="00026464" w:rsidRPr="00781DB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81DB3">
        <w:rPr>
          <w:rFonts w:ascii="Arial" w:hAnsi="Arial" w:cs="Arial"/>
        </w:rPr>
        <w:t xml:space="preserve">Jamil, M., </w:t>
      </w:r>
      <w:proofErr w:type="spellStart"/>
      <w:r w:rsidRPr="00781DB3">
        <w:rPr>
          <w:rFonts w:ascii="Arial" w:hAnsi="Arial" w:cs="Arial"/>
        </w:rPr>
        <w:t>Bokhari</w:t>
      </w:r>
      <w:proofErr w:type="spellEnd"/>
      <w:r w:rsidRPr="00781DB3">
        <w:rPr>
          <w:rFonts w:ascii="Arial" w:hAnsi="Arial" w:cs="Arial"/>
        </w:rPr>
        <w:t xml:space="preserve">, T. B., &amp; Rafiq, M. (2024). Critical thinking skills development for 21st century: An analysis of Biology curriculum (2006). Voyage Journal of Educational Studies, 4(1), 127-138. </w:t>
      </w:r>
      <w:hyperlink r:id="rId15" w:history="1">
        <w:r w:rsidRPr="000B38A3">
          <w:rPr>
            <w:rStyle w:val="Hyperlink"/>
            <w:rFonts w:ascii="Arial" w:hAnsi="Arial" w:cs="Arial"/>
          </w:rPr>
          <w:t>https://doi.org/10.58622/vjes.v4i1.132</w:t>
        </w:r>
      </w:hyperlink>
    </w:p>
    <w:p w14:paraId="0D0A086B" w14:textId="3F8A1D44"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F00A67">
        <w:rPr>
          <w:rFonts w:ascii="Arial" w:eastAsia="Arial" w:hAnsi="Arial" w:cs="Arial"/>
          <w:color w:val="000000"/>
        </w:rPr>
        <w:t>Kobylarek</w:t>
      </w:r>
      <w:proofErr w:type="spellEnd"/>
      <w:r w:rsidRPr="00F00A67">
        <w:rPr>
          <w:rFonts w:ascii="Arial" w:eastAsia="Arial" w:hAnsi="Arial" w:cs="Arial"/>
          <w:color w:val="000000"/>
        </w:rPr>
        <w:t xml:space="preserve">, A., </w:t>
      </w:r>
      <w:proofErr w:type="spellStart"/>
      <w:r w:rsidRPr="00F00A67">
        <w:rPr>
          <w:rFonts w:ascii="Arial" w:eastAsia="Arial" w:hAnsi="Arial" w:cs="Arial"/>
          <w:color w:val="000000"/>
        </w:rPr>
        <w:t>Błaszczyński</w:t>
      </w:r>
      <w:proofErr w:type="spellEnd"/>
      <w:r w:rsidRPr="00F00A67">
        <w:rPr>
          <w:rFonts w:ascii="Arial" w:eastAsia="Arial" w:hAnsi="Arial" w:cs="Arial"/>
          <w:color w:val="000000"/>
        </w:rPr>
        <w:t xml:space="preserve">, K., </w:t>
      </w:r>
      <w:proofErr w:type="spellStart"/>
      <w:r w:rsidRPr="00F00A67">
        <w:rPr>
          <w:rFonts w:ascii="Arial" w:eastAsia="Arial" w:hAnsi="Arial" w:cs="Arial"/>
          <w:color w:val="000000"/>
        </w:rPr>
        <w:t>Ślósarz</w:t>
      </w:r>
      <w:proofErr w:type="spellEnd"/>
      <w:r w:rsidRPr="00F00A67">
        <w:rPr>
          <w:rFonts w:ascii="Arial" w:eastAsia="Arial" w:hAnsi="Arial" w:cs="Arial"/>
          <w:color w:val="000000"/>
        </w:rPr>
        <w:t xml:space="preserve">, L., &amp; </w:t>
      </w:r>
      <w:proofErr w:type="spellStart"/>
      <w:r w:rsidRPr="00F00A67">
        <w:rPr>
          <w:rFonts w:ascii="Arial" w:eastAsia="Arial" w:hAnsi="Arial" w:cs="Arial"/>
          <w:color w:val="000000"/>
        </w:rPr>
        <w:t>Madej</w:t>
      </w:r>
      <w:proofErr w:type="spellEnd"/>
      <w:r w:rsidRPr="00F00A67">
        <w:rPr>
          <w:rFonts w:ascii="Arial" w:eastAsia="Arial" w:hAnsi="Arial" w:cs="Arial"/>
          <w:color w:val="000000"/>
        </w:rPr>
        <w:t>, M. (2022). Critical Thinking Questionnaire (</w:t>
      </w:r>
      <w:proofErr w:type="spellStart"/>
      <w:r w:rsidRPr="00F00A67">
        <w:rPr>
          <w:rFonts w:ascii="Arial" w:eastAsia="Arial" w:hAnsi="Arial" w:cs="Arial"/>
          <w:color w:val="000000"/>
        </w:rPr>
        <w:t>CThQ</w:t>
      </w:r>
      <w:proofErr w:type="spellEnd"/>
      <w:r w:rsidRPr="00F00A67">
        <w:rPr>
          <w:rFonts w:ascii="Arial" w:eastAsia="Arial" w:hAnsi="Arial" w:cs="Arial"/>
          <w:color w:val="000000"/>
        </w:rPr>
        <w:t xml:space="preserve">) – construction and application of critical thinking test tool. Andragogy Adult Education and Social Marketing, 2(2), Article 2. </w:t>
      </w:r>
      <w:hyperlink r:id="rId16" w:history="1">
        <w:r w:rsidRPr="000B38A3">
          <w:rPr>
            <w:rStyle w:val="Hyperlink"/>
            <w:rFonts w:ascii="Arial" w:eastAsia="Arial" w:hAnsi="Arial" w:cs="Arial"/>
          </w:rPr>
          <w:t>https://doi.org/10.15503/andr2022.1</w:t>
        </w:r>
      </w:hyperlink>
    </w:p>
    <w:p w14:paraId="54F1B7C1" w14:textId="1872F1CD"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Kumar, B. (2021). Strategies and implication of situated learning: An overview.</w:t>
      </w:r>
    </w:p>
    <w:p w14:paraId="58233A82" w14:textId="77777777" w:rsidR="00026464" w:rsidRPr="008E7900" w:rsidRDefault="00026464" w:rsidP="008E7900">
      <w:pPr>
        <w:ind w:left="720" w:hanging="720"/>
        <w:rPr>
          <w:rFonts w:ascii="Arial" w:eastAsia="Arial" w:hAnsi="Arial" w:cs="Arial"/>
          <w:color w:val="000000"/>
        </w:rPr>
      </w:pPr>
      <w:proofErr w:type="spellStart"/>
      <w:r w:rsidRPr="008E7900">
        <w:rPr>
          <w:rFonts w:ascii="Arial" w:eastAsia="Arial" w:hAnsi="Arial" w:cs="Arial"/>
          <w:color w:val="000000"/>
        </w:rPr>
        <w:lastRenderedPageBreak/>
        <w:t>Lumoto</w:t>
      </w:r>
      <w:proofErr w:type="spellEnd"/>
      <w:r w:rsidRPr="008E7900">
        <w:rPr>
          <w:rFonts w:ascii="Arial" w:eastAsia="Arial" w:hAnsi="Arial" w:cs="Arial"/>
          <w:color w:val="000000"/>
        </w:rPr>
        <w:t xml:space="preserve">, H. Q. A., </w:t>
      </w:r>
      <w:proofErr w:type="spellStart"/>
      <w:r w:rsidRPr="008E7900">
        <w:rPr>
          <w:rFonts w:ascii="Arial" w:eastAsia="Arial" w:hAnsi="Arial" w:cs="Arial"/>
          <w:color w:val="000000"/>
        </w:rPr>
        <w:t>Decolas</w:t>
      </w:r>
      <w:proofErr w:type="spellEnd"/>
      <w:r w:rsidRPr="008E7900">
        <w:rPr>
          <w:rFonts w:ascii="Arial" w:eastAsia="Arial" w:hAnsi="Arial" w:cs="Arial"/>
          <w:color w:val="000000"/>
        </w:rPr>
        <w:t xml:space="preserve">, C. C., </w:t>
      </w:r>
      <w:proofErr w:type="spellStart"/>
      <w:r w:rsidRPr="008E7900">
        <w:rPr>
          <w:rFonts w:ascii="Arial" w:eastAsia="Arial" w:hAnsi="Arial" w:cs="Arial"/>
          <w:color w:val="000000"/>
        </w:rPr>
        <w:t>Cabalquinto</w:t>
      </w:r>
      <w:proofErr w:type="spellEnd"/>
      <w:r w:rsidRPr="008E7900">
        <w:rPr>
          <w:rFonts w:ascii="Arial" w:eastAsia="Arial" w:hAnsi="Arial" w:cs="Arial"/>
          <w:color w:val="000000"/>
        </w:rPr>
        <w:t>, K. E., &amp; Miranda, A. T. (2024). Exploring students’ mathematics performance through self-regulated learning. Asian Journal of Education and Social Studies, 50(8), 240–250.</w:t>
      </w:r>
    </w:p>
    <w:p w14:paraId="5A886D6F" w14:textId="77777777" w:rsidR="00026464" w:rsidRPr="00F214B1"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214B1">
        <w:rPr>
          <w:rFonts w:ascii="Arial" w:eastAsia="Arial" w:hAnsi="Arial" w:cs="Arial"/>
          <w:color w:val="000000"/>
        </w:rPr>
        <w:t xml:space="preserve">Mahdi, O. R., Nassar, I. A., &amp; </w:t>
      </w:r>
      <w:proofErr w:type="spellStart"/>
      <w:r w:rsidRPr="00F214B1">
        <w:rPr>
          <w:rFonts w:ascii="Arial" w:eastAsia="Arial" w:hAnsi="Arial" w:cs="Arial"/>
          <w:color w:val="000000"/>
        </w:rPr>
        <w:t>Almuslamani</w:t>
      </w:r>
      <w:proofErr w:type="spellEnd"/>
      <w:r w:rsidRPr="00F214B1">
        <w:rPr>
          <w:rFonts w:ascii="Arial" w:eastAsia="Arial" w:hAnsi="Arial" w:cs="Arial"/>
          <w:color w:val="000000"/>
        </w:rPr>
        <w:t>, H. A. I. (2020). The Role of Using Case Studies Method in Improving Students' Critical Thinking Skills in Higher Education. International Journal of Higher Education, 9(2), 297-308.</w:t>
      </w:r>
    </w:p>
    <w:p w14:paraId="3EDB1DDB" w14:textId="77777777" w:rsidR="00026464" w:rsidRPr="00831A3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31A33">
        <w:rPr>
          <w:rFonts w:ascii="Arial" w:eastAsia="Arial" w:hAnsi="Arial" w:cs="Arial"/>
          <w:color w:val="000000"/>
        </w:rPr>
        <w:t xml:space="preserve">Mariano, L. A., </w:t>
      </w:r>
      <w:proofErr w:type="spellStart"/>
      <w:r w:rsidRPr="00831A33">
        <w:rPr>
          <w:rFonts w:ascii="Arial" w:eastAsia="Arial" w:hAnsi="Arial" w:cs="Arial"/>
          <w:color w:val="000000"/>
        </w:rPr>
        <w:t>Madel</w:t>
      </w:r>
      <w:proofErr w:type="spellEnd"/>
      <w:r w:rsidRPr="00831A33">
        <w:rPr>
          <w:rFonts w:ascii="Arial" w:eastAsia="Arial" w:hAnsi="Arial" w:cs="Arial"/>
          <w:color w:val="000000"/>
        </w:rPr>
        <w:t>, N. S., &amp; Miranda, A. T. (2022). The relationship between time management skills and academic performance of working students in open high school program. Asian Journal of Education and Social Studies, 36(2), 61-66.</w:t>
      </w:r>
    </w:p>
    <w:p w14:paraId="77152EED" w14:textId="77777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t>Marshall, S. A., &amp; Horn, I. S. (2025). Teachers as agentic synthesizers: Recontextualizing personally meaningful practices from professional development. Journal of the Learning Sciences, 1-39.</w:t>
      </w:r>
    </w:p>
    <w:p w14:paraId="02B6282C"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Mathews, S. R., &amp; Lowe, K. (2011). Classroom environments that foster a disposition for critical thinking. Learning Environments Research, 14, 59-73.</w:t>
      </w:r>
    </w:p>
    <w:p w14:paraId="212FCD05" w14:textId="77777777" w:rsidR="00026464" w:rsidRPr="0006045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1E1277">
        <w:rPr>
          <w:rFonts w:ascii="Arial" w:eastAsia="Arial" w:hAnsi="Arial" w:cs="Arial"/>
          <w:color w:val="000000"/>
        </w:rPr>
        <w:t>Miranda, A. T. (2018). Cognitive Ability, Psycho-sociological Characteristics and Study Habits of Students: A Structural Model on Mathematics Performance. Asian Journal of Multidisciplinary Studies, 1(3), 51-57.</w:t>
      </w:r>
    </w:p>
    <w:p w14:paraId="41D8F2AA"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O’Neill, K., Liu, A., Yin, S., Brady, T., &amp; De </w:t>
      </w:r>
      <w:proofErr w:type="spellStart"/>
      <w:r w:rsidRPr="000D3E39">
        <w:rPr>
          <w:rFonts w:ascii="Arial" w:eastAsia="Arial" w:hAnsi="Arial" w:cs="Arial"/>
          <w:color w:val="000000"/>
        </w:rPr>
        <w:t>Brigard</w:t>
      </w:r>
      <w:proofErr w:type="spellEnd"/>
      <w:r w:rsidRPr="000D3E39">
        <w:rPr>
          <w:rFonts w:ascii="Arial" w:eastAsia="Arial" w:hAnsi="Arial" w:cs="Arial"/>
          <w:color w:val="000000"/>
        </w:rPr>
        <w:t>, F. (2022). Effects of category learning strategies on recognition memory. Memory &amp; Cognition, 50(3), 512-526.</w:t>
      </w:r>
    </w:p>
    <w:p w14:paraId="3AE236EE"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568EB">
        <w:rPr>
          <w:rFonts w:ascii="Arial" w:eastAsia="Arial" w:hAnsi="Arial" w:cs="Arial"/>
          <w:color w:val="000000"/>
          <w:highlight w:val="white"/>
        </w:rPr>
        <w:t xml:space="preserve">Ps, K. P., </w:t>
      </w:r>
      <w:proofErr w:type="spellStart"/>
      <w:r w:rsidRPr="00A568EB">
        <w:rPr>
          <w:rFonts w:ascii="Arial" w:eastAsia="Arial" w:hAnsi="Arial" w:cs="Arial"/>
          <w:color w:val="000000"/>
          <w:highlight w:val="white"/>
        </w:rPr>
        <w:t>Yongsorn</w:t>
      </w:r>
      <w:proofErr w:type="spellEnd"/>
      <w:r w:rsidRPr="00A568EB">
        <w:rPr>
          <w:rFonts w:ascii="Arial" w:eastAsia="Arial" w:hAnsi="Arial" w:cs="Arial"/>
          <w:color w:val="000000"/>
          <w:highlight w:val="white"/>
        </w:rPr>
        <w:t xml:space="preserve">, C., &amp; </w:t>
      </w:r>
      <w:proofErr w:type="spellStart"/>
      <w:r w:rsidRPr="00A568EB">
        <w:rPr>
          <w:rFonts w:ascii="Arial" w:eastAsia="Arial" w:hAnsi="Arial" w:cs="Arial"/>
          <w:color w:val="000000"/>
          <w:highlight w:val="white"/>
        </w:rPr>
        <w:t>Ponathong</w:t>
      </w:r>
      <w:proofErr w:type="spellEnd"/>
      <w:r w:rsidRPr="00A568EB">
        <w:rPr>
          <w:rFonts w:ascii="Arial" w:eastAsia="Arial" w:hAnsi="Arial" w:cs="Arial"/>
          <w:color w:val="000000"/>
          <w:highlight w:val="white"/>
        </w:rPr>
        <w:t>, C. (2023). Developing Critical Thinking Dispositions through Academic Assertiveness among Higher Education Students in Thailand. </w:t>
      </w:r>
      <w:r w:rsidRPr="00A568EB">
        <w:rPr>
          <w:rFonts w:ascii="Arial" w:eastAsia="Arial" w:hAnsi="Arial" w:cs="Arial"/>
          <w:i/>
          <w:iCs/>
          <w:color w:val="000000"/>
          <w:highlight w:val="white"/>
        </w:rPr>
        <w:t>Higher Education Studies</w:t>
      </w:r>
      <w:r w:rsidRPr="00A568EB">
        <w:rPr>
          <w:rFonts w:ascii="Arial" w:eastAsia="Arial" w:hAnsi="Arial" w:cs="Arial"/>
          <w:color w:val="000000"/>
          <w:highlight w:val="white"/>
        </w:rPr>
        <w:t>, </w:t>
      </w:r>
      <w:r w:rsidRPr="00A568EB">
        <w:rPr>
          <w:rFonts w:ascii="Arial" w:eastAsia="Arial" w:hAnsi="Arial" w:cs="Arial"/>
          <w:i/>
          <w:iCs/>
          <w:color w:val="000000"/>
          <w:highlight w:val="white"/>
        </w:rPr>
        <w:t>13</w:t>
      </w:r>
      <w:r w:rsidRPr="00A568EB">
        <w:rPr>
          <w:rFonts w:ascii="Arial" w:eastAsia="Arial" w:hAnsi="Arial" w:cs="Arial"/>
          <w:color w:val="000000"/>
          <w:highlight w:val="white"/>
        </w:rPr>
        <w:t>(4), 208-226.</w:t>
      </w:r>
    </w:p>
    <w:p w14:paraId="136213C4" w14:textId="77777777" w:rsidR="00026464" w:rsidRPr="001E127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Rodzalan</w:t>
      </w:r>
      <w:proofErr w:type="spellEnd"/>
      <w:r w:rsidRPr="00AD43E9">
        <w:rPr>
          <w:rFonts w:ascii="Arial" w:eastAsia="Arial" w:hAnsi="Arial" w:cs="Arial"/>
          <w:color w:val="000000"/>
        </w:rPr>
        <w:t xml:space="preserve">, S., Noor, N. M., </w:t>
      </w:r>
      <w:proofErr w:type="spellStart"/>
      <w:r w:rsidRPr="00AD43E9">
        <w:rPr>
          <w:rFonts w:ascii="Arial" w:eastAsia="Arial" w:hAnsi="Arial" w:cs="Arial"/>
          <w:color w:val="000000"/>
        </w:rPr>
        <w:t>Arif</w:t>
      </w:r>
      <w:proofErr w:type="spellEnd"/>
      <w:r w:rsidRPr="00AD43E9">
        <w:rPr>
          <w:rFonts w:ascii="Arial" w:eastAsia="Arial" w:hAnsi="Arial" w:cs="Arial"/>
          <w:color w:val="000000"/>
        </w:rPr>
        <w:t xml:space="preserve">, L. M., &amp; </w:t>
      </w:r>
      <w:proofErr w:type="spellStart"/>
      <w:r w:rsidRPr="00AD43E9">
        <w:rPr>
          <w:rFonts w:ascii="Arial" w:eastAsia="Arial" w:hAnsi="Arial" w:cs="Arial"/>
          <w:color w:val="000000"/>
        </w:rPr>
        <w:t>Saat</w:t>
      </w:r>
      <w:proofErr w:type="spellEnd"/>
      <w:r w:rsidRPr="00AD43E9">
        <w:rPr>
          <w:rFonts w:ascii="Arial" w:eastAsia="Arial" w:hAnsi="Arial" w:cs="Arial"/>
          <w:color w:val="000000"/>
        </w:rPr>
        <w:t>, M. M. (2020). Factors influencing the improvement of students’ critical thinking and problem-solving skill: An industrial training intervention. International Journal of Emerging Technologies in Learning (</w:t>
      </w:r>
      <w:proofErr w:type="spellStart"/>
      <w:r w:rsidRPr="00AD43E9">
        <w:rPr>
          <w:rFonts w:ascii="Arial" w:eastAsia="Arial" w:hAnsi="Arial" w:cs="Arial"/>
          <w:color w:val="000000"/>
        </w:rPr>
        <w:t>iJET</w:t>
      </w:r>
      <w:proofErr w:type="spellEnd"/>
      <w:r w:rsidRPr="00AD43E9">
        <w:rPr>
          <w:rFonts w:ascii="Arial" w:eastAsia="Arial" w:hAnsi="Arial" w:cs="Arial"/>
          <w:color w:val="000000"/>
        </w:rPr>
        <w:t>), 15(22), 134-145.</w:t>
      </w:r>
    </w:p>
    <w:p w14:paraId="349D0EBC"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831A33">
        <w:rPr>
          <w:rFonts w:ascii="Arial" w:eastAsia="Arial" w:hAnsi="Arial" w:cs="Arial"/>
          <w:color w:val="000000"/>
        </w:rPr>
        <w:t>Sabanal</w:t>
      </w:r>
      <w:proofErr w:type="spellEnd"/>
      <w:r w:rsidRPr="00831A33">
        <w:rPr>
          <w:rFonts w:ascii="Arial" w:eastAsia="Arial" w:hAnsi="Arial" w:cs="Arial"/>
          <w:color w:val="000000"/>
        </w:rPr>
        <w:t xml:space="preserve">, C. S., </w:t>
      </w:r>
      <w:proofErr w:type="spellStart"/>
      <w:r w:rsidRPr="00831A33">
        <w:rPr>
          <w:rFonts w:ascii="Arial" w:eastAsia="Arial" w:hAnsi="Arial" w:cs="Arial"/>
          <w:color w:val="000000"/>
        </w:rPr>
        <w:t>Bago</w:t>
      </w:r>
      <w:proofErr w:type="spellEnd"/>
      <w:r w:rsidRPr="00831A33">
        <w:rPr>
          <w:rFonts w:ascii="Arial" w:eastAsia="Arial" w:hAnsi="Arial" w:cs="Arial"/>
          <w:color w:val="000000"/>
        </w:rPr>
        <w:t xml:space="preserve">, J. S., </w:t>
      </w:r>
      <w:proofErr w:type="spellStart"/>
      <w:r w:rsidRPr="00831A33">
        <w:rPr>
          <w:rFonts w:ascii="Arial" w:eastAsia="Arial" w:hAnsi="Arial" w:cs="Arial"/>
          <w:color w:val="000000"/>
        </w:rPr>
        <w:t>Balandra</w:t>
      </w:r>
      <w:proofErr w:type="spellEnd"/>
      <w:r w:rsidRPr="00831A33">
        <w:rPr>
          <w:rFonts w:ascii="Arial" w:eastAsia="Arial" w:hAnsi="Arial" w:cs="Arial"/>
          <w:color w:val="000000"/>
        </w:rPr>
        <w:t>, C. B., &amp; Miranda, A. T. (2024). Attitudes toward Learning Mathematics and Performance of Grade 11 Students in the New Normal. Asian J Educ Soc Stud, 50(9), 254-263.</w:t>
      </w:r>
    </w:p>
    <w:p w14:paraId="084B158C"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Sabri, M., &amp; </w:t>
      </w:r>
      <w:proofErr w:type="spellStart"/>
      <w:r w:rsidRPr="000D3E39">
        <w:rPr>
          <w:rFonts w:ascii="Arial" w:eastAsia="Arial" w:hAnsi="Arial" w:cs="Arial"/>
          <w:color w:val="000000"/>
        </w:rPr>
        <w:t>Retnawati</w:t>
      </w:r>
      <w:proofErr w:type="spellEnd"/>
      <w:r w:rsidRPr="000D3E39">
        <w:rPr>
          <w:rFonts w:ascii="Arial" w:eastAsia="Arial" w:hAnsi="Arial" w:cs="Arial"/>
          <w:color w:val="000000"/>
        </w:rPr>
        <w:t xml:space="preserve">, H. (2019, March). The implementation of authentic assessment in mathematics learning. In Journal of Physics: Conference Series (Vol. 1200, No. 1, p. 012006). IOP Publishing. </w:t>
      </w:r>
      <w:hyperlink r:id="rId17" w:history="1">
        <w:r w:rsidRPr="000B38A3">
          <w:rPr>
            <w:rStyle w:val="Hyperlink"/>
            <w:rFonts w:ascii="Arial" w:eastAsia="Arial" w:hAnsi="Arial" w:cs="Arial"/>
          </w:rPr>
          <w:t>https://doi.org/10. 1088/1742-6596/1200/1/012006</w:t>
        </w:r>
      </w:hyperlink>
    </w:p>
    <w:p w14:paraId="438647C4"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Saldıray</w:t>
      </w:r>
      <w:proofErr w:type="spellEnd"/>
      <w:r w:rsidRPr="00731C5D">
        <w:rPr>
          <w:rFonts w:ascii="Arial" w:eastAsia="Arial" w:hAnsi="Arial" w:cs="Arial"/>
          <w:color w:val="000000"/>
        </w:rPr>
        <w:t xml:space="preserve">, A., &amp; </w:t>
      </w:r>
      <w:proofErr w:type="spellStart"/>
      <w:r w:rsidRPr="00731C5D">
        <w:rPr>
          <w:rFonts w:ascii="Arial" w:eastAsia="Arial" w:hAnsi="Arial" w:cs="Arial"/>
          <w:color w:val="000000"/>
        </w:rPr>
        <w:t>Doğanay</w:t>
      </w:r>
      <w:proofErr w:type="spellEnd"/>
      <w:r w:rsidRPr="00731C5D">
        <w:rPr>
          <w:rFonts w:ascii="Arial" w:eastAsia="Arial" w:hAnsi="Arial" w:cs="Arial"/>
          <w:color w:val="000000"/>
        </w:rPr>
        <w:t xml:space="preserve">, A. (2024). An action research to develop critical thinking skills in the context of citizenship education in higher education. Thinking Skills and Creativity, 53, 101584. </w:t>
      </w:r>
      <w:hyperlink r:id="rId18" w:history="1">
        <w:r w:rsidRPr="000B38A3">
          <w:rPr>
            <w:rStyle w:val="Hyperlink"/>
            <w:rFonts w:ascii="Arial" w:eastAsia="Arial" w:hAnsi="Arial" w:cs="Arial"/>
          </w:rPr>
          <w:t>https://doi.org/10.1016/j.tsc.2024.101584</w:t>
        </w:r>
      </w:hyperlink>
    </w:p>
    <w:p w14:paraId="117C14FB"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Shing</w:t>
      </w:r>
      <w:proofErr w:type="spellEnd"/>
      <w:r w:rsidRPr="000D3E39">
        <w:rPr>
          <w:rFonts w:ascii="Arial" w:eastAsia="Arial" w:hAnsi="Arial" w:cs="Arial"/>
          <w:color w:val="000000"/>
        </w:rPr>
        <w:t xml:space="preserve">, Y. L., &amp; </w:t>
      </w:r>
      <w:proofErr w:type="spellStart"/>
      <w:r w:rsidRPr="000D3E39">
        <w:rPr>
          <w:rFonts w:ascii="Arial" w:eastAsia="Arial" w:hAnsi="Arial" w:cs="Arial"/>
          <w:color w:val="000000"/>
        </w:rPr>
        <w:t>Brod</w:t>
      </w:r>
      <w:proofErr w:type="spellEnd"/>
      <w:r w:rsidRPr="000D3E39">
        <w:rPr>
          <w:rFonts w:ascii="Arial" w:eastAsia="Arial" w:hAnsi="Arial" w:cs="Arial"/>
          <w:color w:val="000000"/>
        </w:rPr>
        <w:t xml:space="preserve">, G. (2016). Effects of prior knowledge on memory: Implications for education. Mind, Brain, and Education, 10(3), 153-161. </w:t>
      </w:r>
      <w:hyperlink r:id="rId19" w:history="1">
        <w:r w:rsidRPr="000B38A3">
          <w:rPr>
            <w:rStyle w:val="Hyperlink"/>
            <w:rFonts w:ascii="Arial" w:eastAsia="Arial" w:hAnsi="Arial" w:cs="Arial"/>
          </w:rPr>
          <w:t>https://doi.org/10.1111/mbe.12110</w:t>
        </w:r>
      </w:hyperlink>
    </w:p>
    <w:p w14:paraId="603D8E70"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Shorish</w:t>
      </w:r>
      <w:proofErr w:type="spellEnd"/>
      <w:r w:rsidRPr="000D3E39">
        <w:rPr>
          <w:rFonts w:ascii="Arial" w:eastAsia="Arial" w:hAnsi="Arial" w:cs="Arial"/>
          <w:color w:val="000000"/>
        </w:rPr>
        <w:t>, Y. (2015). Data information literacy and undergraduates: A critical competency. College &amp; undergraduate libraries, 22(1), 97-106.</w:t>
      </w:r>
    </w:p>
    <w:p w14:paraId="348E53CD"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Silva, H., Lopes, J., &amp; Dominguez, C. (2018, June). Enhancing college students’ critical thinking skills in cooperative groups. In International Conference on Technology and Innovation in Learning, Teaching and Education (pp. 181-192). Cham: Springer International Publishing.</w:t>
      </w:r>
    </w:p>
    <w:p w14:paraId="5331B5A4" w14:textId="77777777"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t xml:space="preserve">SKORKOVÁ, Z., &amp; GAŽOVÁ-ADAMKOVÁ, H. (2024). Evaluating Critical Thinking in Higher Education: An Analysis of University Students Using the </w:t>
      </w:r>
      <w:proofErr w:type="spellStart"/>
      <w:r w:rsidRPr="00F00A67">
        <w:rPr>
          <w:rFonts w:ascii="Arial" w:eastAsia="Arial" w:hAnsi="Arial" w:cs="Arial"/>
          <w:color w:val="000000"/>
        </w:rPr>
        <w:t>CThQ</w:t>
      </w:r>
      <w:proofErr w:type="spellEnd"/>
      <w:r w:rsidRPr="00F00A67">
        <w:rPr>
          <w:rFonts w:ascii="Arial" w:eastAsia="Arial" w:hAnsi="Arial" w:cs="Arial"/>
          <w:color w:val="000000"/>
        </w:rPr>
        <w:t>. Proceedings of IAC in Budapest 2024, 61.</w:t>
      </w:r>
    </w:p>
    <w:p w14:paraId="35122A13"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Stephen, J. S. (2024). Skills and Strategies for Research and Reading. In Academic Success in Online Programs: A Resource for College Students (pp. 111-124). Cham: Springer Nature Switzerland. </w:t>
      </w:r>
      <w:hyperlink r:id="rId20" w:history="1">
        <w:r w:rsidRPr="000B38A3">
          <w:rPr>
            <w:rStyle w:val="Hyperlink"/>
            <w:rFonts w:ascii="Arial" w:eastAsia="Arial" w:hAnsi="Arial" w:cs="Arial"/>
          </w:rPr>
          <w:t>https://doi.org/10.1007/978-3-031-54439-2_8</w:t>
        </w:r>
      </w:hyperlink>
    </w:p>
    <w:p w14:paraId="14E4D80C" w14:textId="77777777" w:rsidR="00026464" w:rsidRPr="0057730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577306">
        <w:rPr>
          <w:rFonts w:ascii="Arial" w:eastAsia="Arial" w:hAnsi="Arial" w:cs="Arial"/>
          <w:color w:val="000000"/>
        </w:rPr>
        <w:t>Stupple</w:t>
      </w:r>
      <w:proofErr w:type="spellEnd"/>
      <w:r w:rsidRPr="00577306">
        <w:rPr>
          <w:rFonts w:ascii="Arial" w:eastAsia="Arial" w:hAnsi="Arial" w:cs="Arial"/>
          <w:color w:val="000000"/>
        </w:rPr>
        <w:t xml:space="preserve">, Edward JN, Frances A </w:t>
      </w:r>
      <w:proofErr w:type="spellStart"/>
      <w:r w:rsidRPr="00577306">
        <w:rPr>
          <w:rFonts w:ascii="Arial" w:eastAsia="Arial" w:hAnsi="Arial" w:cs="Arial"/>
          <w:color w:val="000000"/>
        </w:rPr>
        <w:t>Maratos</w:t>
      </w:r>
      <w:proofErr w:type="spellEnd"/>
      <w:r w:rsidRPr="00577306">
        <w:rPr>
          <w:rFonts w:ascii="Arial" w:eastAsia="Arial" w:hAnsi="Arial" w:cs="Arial"/>
          <w:color w:val="000000"/>
        </w:rPr>
        <w:t xml:space="preserve">, James </w:t>
      </w:r>
      <w:proofErr w:type="spellStart"/>
      <w:r w:rsidRPr="00577306">
        <w:rPr>
          <w:rFonts w:ascii="Arial" w:eastAsia="Arial" w:hAnsi="Arial" w:cs="Arial"/>
          <w:color w:val="000000"/>
        </w:rPr>
        <w:t>Elander</w:t>
      </w:r>
      <w:proofErr w:type="spellEnd"/>
      <w:r w:rsidRPr="00577306">
        <w:rPr>
          <w:rFonts w:ascii="Arial" w:eastAsia="Arial" w:hAnsi="Arial" w:cs="Arial"/>
          <w:color w:val="000000"/>
        </w:rPr>
        <w:t xml:space="preserve">, Thomas E Hunt, Kevin YF Cheung, and Aimee V </w:t>
      </w:r>
      <w:proofErr w:type="spellStart"/>
      <w:r w:rsidRPr="00577306">
        <w:rPr>
          <w:rFonts w:ascii="Arial" w:eastAsia="Arial" w:hAnsi="Arial" w:cs="Arial"/>
          <w:color w:val="000000"/>
        </w:rPr>
        <w:t>Aubeeluck</w:t>
      </w:r>
      <w:proofErr w:type="spellEnd"/>
      <w:r w:rsidRPr="00577306">
        <w:rPr>
          <w:rFonts w:ascii="Arial" w:eastAsia="Arial" w:hAnsi="Arial" w:cs="Arial"/>
          <w:color w:val="000000"/>
        </w:rPr>
        <w:t>. 2017. “Development of the Critical Thinking Toolkit (</w:t>
      </w:r>
      <w:proofErr w:type="spellStart"/>
      <w:r w:rsidRPr="00577306">
        <w:rPr>
          <w:rFonts w:ascii="Arial" w:eastAsia="Arial" w:hAnsi="Arial" w:cs="Arial"/>
          <w:color w:val="000000"/>
        </w:rPr>
        <w:t>CriTT</w:t>
      </w:r>
      <w:proofErr w:type="spellEnd"/>
      <w:r w:rsidRPr="00577306">
        <w:rPr>
          <w:rFonts w:ascii="Arial" w:eastAsia="Arial" w:hAnsi="Arial" w:cs="Arial"/>
          <w:color w:val="000000"/>
        </w:rPr>
        <w:t xml:space="preserve">): </w:t>
      </w:r>
      <w:r w:rsidRPr="00577306">
        <w:rPr>
          <w:rFonts w:ascii="Arial" w:eastAsia="Arial" w:hAnsi="Arial" w:cs="Arial"/>
          <w:color w:val="000000"/>
        </w:rPr>
        <w:lastRenderedPageBreak/>
        <w:t xml:space="preserve">A Measure of Student Attitudes and Beliefs About Critical Thinking.” Thinking Skills and Creativity 23: 91– 100. </w:t>
      </w:r>
      <w:hyperlink r:id="rId21" w:history="1">
        <w:r w:rsidRPr="000B38A3">
          <w:rPr>
            <w:rStyle w:val="Hyperlink"/>
            <w:rFonts w:ascii="Arial" w:eastAsia="Arial" w:hAnsi="Arial" w:cs="Arial"/>
          </w:rPr>
          <w:t>https://doi.org/10.1016/j.tsc.2016.11.007</w:t>
        </w:r>
      </w:hyperlink>
    </w:p>
    <w:p w14:paraId="2A41003B" w14:textId="77777777" w:rsidR="00026464" w:rsidRPr="00C81E2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Suciu, T. (2014). The importance of creativity in education. Bulletin of the </w:t>
      </w:r>
      <w:proofErr w:type="spellStart"/>
      <w:r w:rsidRPr="000D3E39">
        <w:rPr>
          <w:rFonts w:ascii="Arial" w:eastAsia="Arial" w:hAnsi="Arial" w:cs="Arial"/>
          <w:color w:val="000000"/>
        </w:rPr>
        <w:t>Transilvania</w:t>
      </w:r>
      <w:proofErr w:type="spellEnd"/>
      <w:r w:rsidRPr="000D3E39">
        <w:rPr>
          <w:rFonts w:ascii="Arial" w:eastAsia="Arial" w:hAnsi="Arial" w:cs="Arial"/>
          <w:color w:val="000000"/>
        </w:rPr>
        <w:t xml:space="preserve"> University of Brasov. Series V: Economic Sciences, 151-158.</w:t>
      </w:r>
    </w:p>
    <w:p w14:paraId="1AB28FEF" w14:textId="77777777" w:rsidR="00026464" w:rsidRPr="00A568EB"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Supriyatno</w:t>
      </w:r>
      <w:proofErr w:type="spellEnd"/>
      <w:r w:rsidRPr="00AD43E9">
        <w:rPr>
          <w:rFonts w:ascii="Arial" w:eastAsia="Arial" w:hAnsi="Arial" w:cs="Arial"/>
          <w:color w:val="000000"/>
        </w:rPr>
        <w:t xml:space="preserve">, T., </w:t>
      </w:r>
      <w:proofErr w:type="spellStart"/>
      <w:r w:rsidRPr="00AD43E9">
        <w:rPr>
          <w:rFonts w:ascii="Arial" w:eastAsia="Arial" w:hAnsi="Arial" w:cs="Arial"/>
          <w:color w:val="000000"/>
        </w:rPr>
        <w:t>Susilawati</w:t>
      </w:r>
      <w:proofErr w:type="spellEnd"/>
      <w:r w:rsidRPr="00AD43E9">
        <w:rPr>
          <w:rFonts w:ascii="Arial" w:eastAsia="Arial" w:hAnsi="Arial" w:cs="Arial"/>
          <w:color w:val="000000"/>
        </w:rPr>
        <w:t>, S., &amp; Hassan, A. (2020). E-learning development in improving students' critical thinking ability. Cypriot Journal of Educational Sciences, 15(5), 1099-1106.</w:t>
      </w:r>
    </w:p>
    <w:p w14:paraId="4F4875A7"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Ukobizaba</w:t>
      </w:r>
      <w:proofErr w:type="spellEnd"/>
      <w:r w:rsidRPr="00AD43E9">
        <w:rPr>
          <w:rFonts w:ascii="Arial" w:eastAsia="Arial" w:hAnsi="Arial" w:cs="Arial"/>
          <w:color w:val="000000"/>
        </w:rPr>
        <w:t xml:space="preserve">, F., </w:t>
      </w:r>
      <w:proofErr w:type="spellStart"/>
      <w:r w:rsidRPr="00AD43E9">
        <w:rPr>
          <w:rFonts w:ascii="Arial" w:eastAsia="Arial" w:hAnsi="Arial" w:cs="Arial"/>
          <w:color w:val="000000"/>
        </w:rPr>
        <w:t>Nizeyimana</w:t>
      </w:r>
      <w:proofErr w:type="spellEnd"/>
      <w:r w:rsidRPr="00AD43E9">
        <w:rPr>
          <w:rFonts w:ascii="Arial" w:eastAsia="Arial" w:hAnsi="Arial" w:cs="Arial"/>
          <w:color w:val="000000"/>
        </w:rPr>
        <w:t xml:space="preserve">, G., &amp; </w:t>
      </w:r>
      <w:proofErr w:type="spellStart"/>
      <w:r w:rsidRPr="00AD43E9">
        <w:rPr>
          <w:rFonts w:ascii="Arial" w:eastAsia="Arial" w:hAnsi="Arial" w:cs="Arial"/>
          <w:color w:val="000000"/>
        </w:rPr>
        <w:t>Mukuka</w:t>
      </w:r>
      <w:proofErr w:type="spellEnd"/>
      <w:r w:rsidRPr="00AD43E9">
        <w:rPr>
          <w:rFonts w:ascii="Arial" w:eastAsia="Arial" w:hAnsi="Arial" w:cs="Arial"/>
          <w:color w:val="000000"/>
        </w:rPr>
        <w:t>, A. (2021). Assessment Strategies for Enhancing Students' Mathematical Problem-Solving Skills: A Review of Literature. Eurasia Journal of Mathematics, Science and Technology Education, 17(3).</w:t>
      </w:r>
    </w:p>
    <w:p w14:paraId="29D6597E" w14:textId="77777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t xml:space="preserve">Vargas, E., </w:t>
      </w:r>
      <w:proofErr w:type="spellStart"/>
      <w:r w:rsidRPr="0085238A">
        <w:rPr>
          <w:rFonts w:ascii="Arial" w:eastAsia="Arial" w:hAnsi="Arial" w:cs="Arial"/>
          <w:color w:val="000000"/>
        </w:rPr>
        <w:t>Chiappe</w:t>
      </w:r>
      <w:proofErr w:type="spellEnd"/>
      <w:r w:rsidRPr="0085238A">
        <w:rPr>
          <w:rFonts w:ascii="Arial" w:eastAsia="Arial" w:hAnsi="Arial" w:cs="Arial"/>
          <w:color w:val="000000"/>
        </w:rPr>
        <w:t>, A., &amp; Durand, J. (2024). Reshaping education in the era of artificial intelligence: insights from Situated Learning related literature. Journal of Social Studies Education Research, 15(2), 1-28.</w:t>
      </w:r>
    </w:p>
    <w:p w14:paraId="1F33F7BD" w14:textId="77777777" w:rsidR="00026464" w:rsidRPr="008E7900" w:rsidRDefault="00026464" w:rsidP="008E7900">
      <w:pPr>
        <w:ind w:left="720" w:hanging="720"/>
        <w:rPr>
          <w:rFonts w:ascii="Arial" w:eastAsia="Arial" w:hAnsi="Arial" w:cs="Arial"/>
          <w:color w:val="000000"/>
        </w:rPr>
      </w:pPr>
      <w:r w:rsidRPr="008E7900">
        <w:rPr>
          <w:rFonts w:ascii="Arial" w:eastAsia="Arial" w:hAnsi="Arial" w:cs="Arial"/>
          <w:color w:val="000000"/>
        </w:rPr>
        <w:t xml:space="preserve">Villegas, C. T., </w:t>
      </w:r>
      <w:proofErr w:type="spellStart"/>
      <w:r w:rsidRPr="008E7900">
        <w:rPr>
          <w:rFonts w:ascii="Arial" w:eastAsia="Arial" w:hAnsi="Arial" w:cs="Arial"/>
          <w:color w:val="000000"/>
        </w:rPr>
        <w:t>Estopa</w:t>
      </w:r>
      <w:proofErr w:type="spellEnd"/>
      <w:r w:rsidRPr="008E7900">
        <w:rPr>
          <w:rFonts w:ascii="Arial" w:eastAsia="Arial" w:hAnsi="Arial" w:cs="Arial"/>
          <w:color w:val="000000"/>
        </w:rPr>
        <w:t xml:space="preserve">, M. M. J. S., </w:t>
      </w:r>
      <w:proofErr w:type="spellStart"/>
      <w:r w:rsidRPr="008E7900">
        <w:rPr>
          <w:rFonts w:ascii="Arial" w:eastAsia="Arial" w:hAnsi="Arial" w:cs="Arial"/>
          <w:color w:val="000000"/>
        </w:rPr>
        <w:t>Lagat</w:t>
      </w:r>
      <w:proofErr w:type="spellEnd"/>
      <w:r w:rsidRPr="008E7900">
        <w:rPr>
          <w:rFonts w:ascii="Arial" w:eastAsia="Arial" w:hAnsi="Arial" w:cs="Arial"/>
          <w:color w:val="000000"/>
        </w:rPr>
        <w:t>, R. A., &amp; Miranda, A. T. Problem-Solving Appraisals as Predictors of Mathematics Performance among College Students.</w:t>
      </w:r>
    </w:p>
    <w:p w14:paraId="27B3D3A5" w14:textId="77777777" w:rsidR="00026464" w:rsidRPr="0057730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577306">
        <w:rPr>
          <w:rFonts w:ascii="Arial" w:eastAsia="Arial" w:hAnsi="Arial" w:cs="Arial"/>
          <w:color w:val="000000"/>
        </w:rPr>
        <w:t>Vincent</w:t>
      </w:r>
      <w:r w:rsidRPr="00577306">
        <w:rPr>
          <w:rFonts w:ascii="Cambria Math" w:eastAsia="Arial" w:hAnsi="Cambria Math" w:cs="Cambria Math"/>
          <w:color w:val="000000"/>
        </w:rPr>
        <w:t>‐</w:t>
      </w:r>
      <w:proofErr w:type="spellStart"/>
      <w:r w:rsidRPr="00577306">
        <w:rPr>
          <w:rFonts w:ascii="Arial" w:eastAsia="Arial" w:hAnsi="Arial" w:cs="Arial"/>
          <w:color w:val="000000"/>
        </w:rPr>
        <w:t>Lancrin</w:t>
      </w:r>
      <w:proofErr w:type="spellEnd"/>
      <w:r w:rsidRPr="00577306">
        <w:rPr>
          <w:rFonts w:ascii="Arial" w:eastAsia="Arial" w:hAnsi="Arial" w:cs="Arial"/>
          <w:color w:val="000000"/>
        </w:rPr>
        <w:t xml:space="preserve">, S. (2023). Fostering and assessing student critical thinking: From theory to teaching practice. European Journal of Education, 58(3), 354–368. </w:t>
      </w:r>
      <w:hyperlink r:id="rId22" w:history="1">
        <w:r w:rsidRPr="000B38A3">
          <w:rPr>
            <w:rStyle w:val="Hyperlink"/>
            <w:rFonts w:ascii="Arial" w:eastAsia="Arial" w:hAnsi="Arial" w:cs="Arial"/>
          </w:rPr>
          <w:t>https://doi.org/10.1111/ejed.12569</w:t>
        </w:r>
      </w:hyperlink>
    </w:p>
    <w:p w14:paraId="38CB2D72"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Vos, P. (2018). “How real people really need mathematics in the real world”—Authenticity in mathematics education. Education Sciences, 8(4), 195. </w:t>
      </w:r>
      <w:hyperlink r:id="rId23" w:history="1">
        <w:r w:rsidRPr="000B38A3">
          <w:rPr>
            <w:rStyle w:val="Hyperlink"/>
            <w:rFonts w:ascii="Arial" w:eastAsia="Arial" w:hAnsi="Arial" w:cs="Arial"/>
          </w:rPr>
          <w:t>https://doi.org/10.3390/educsci8040195</w:t>
        </w:r>
      </w:hyperlink>
    </w:p>
    <w:p w14:paraId="659B3359"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Walter, C., &amp; Walter, P. (2018). Is Critical Thinking a Mediator Variable of Student Performance in </w:t>
      </w:r>
      <w:proofErr w:type="gramStart"/>
      <w:r w:rsidRPr="00731C5D">
        <w:rPr>
          <w:rFonts w:ascii="Arial" w:eastAsia="Arial" w:hAnsi="Arial" w:cs="Arial"/>
          <w:color w:val="000000"/>
        </w:rPr>
        <w:t>School?.</w:t>
      </w:r>
      <w:proofErr w:type="gramEnd"/>
      <w:r w:rsidRPr="00731C5D">
        <w:rPr>
          <w:rFonts w:ascii="Arial" w:eastAsia="Arial" w:hAnsi="Arial" w:cs="Arial"/>
          <w:color w:val="000000"/>
        </w:rPr>
        <w:t xml:space="preserve"> Educational Research Quarterly, 41(3), 3-24.</w:t>
      </w:r>
    </w:p>
    <w:p w14:paraId="0E0DBB5F"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Wojahn</w:t>
      </w:r>
      <w:proofErr w:type="spellEnd"/>
      <w:r w:rsidRPr="000D3E39">
        <w:rPr>
          <w:rFonts w:ascii="Arial" w:eastAsia="Arial" w:hAnsi="Arial" w:cs="Arial"/>
          <w:color w:val="000000"/>
        </w:rPr>
        <w:t xml:space="preserve">, P., </w:t>
      </w:r>
      <w:proofErr w:type="spellStart"/>
      <w:r w:rsidRPr="000D3E39">
        <w:rPr>
          <w:rFonts w:ascii="Arial" w:eastAsia="Arial" w:hAnsi="Arial" w:cs="Arial"/>
          <w:color w:val="000000"/>
        </w:rPr>
        <w:t>Westbrock</w:t>
      </w:r>
      <w:proofErr w:type="spellEnd"/>
      <w:r w:rsidRPr="000D3E39">
        <w:rPr>
          <w:rFonts w:ascii="Arial" w:eastAsia="Arial" w:hAnsi="Arial" w:cs="Arial"/>
          <w:color w:val="000000"/>
        </w:rPr>
        <w:t xml:space="preserve">, T., </w:t>
      </w:r>
      <w:proofErr w:type="spellStart"/>
      <w:r w:rsidRPr="000D3E39">
        <w:rPr>
          <w:rFonts w:ascii="Arial" w:eastAsia="Arial" w:hAnsi="Arial" w:cs="Arial"/>
          <w:color w:val="000000"/>
        </w:rPr>
        <w:t>Milloy</w:t>
      </w:r>
      <w:proofErr w:type="spellEnd"/>
      <w:r w:rsidRPr="000D3E39">
        <w:rPr>
          <w:rFonts w:ascii="Arial" w:eastAsia="Arial" w:hAnsi="Arial" w:cs="Arial"/>
          <w:color w:val="000000"/>
        </w:rPr>
        <w:t>, R., Myers, S., Moberly, M., &amp; Ramirez, L. (2015). Understanding and using sources: Student practices and perceptions. Information literacy: Research and collaboration across disciplines.</w:t>
      </w:r>
    </w:p>
    <w:p w14:paraId="3FD9DD6A"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Yan, W., Lowell, V. L., &amp; Yang, L. (2024). Developing English language learners’ speaking skills through applying a situated learning approach in VR-enhanced learning experiences. Virtual Reality, 28(4), 1-23. </w:t>
      </w:r>
      <w:hyperlink r:id="rId24" w:history="1">
        <w:r w:rsidRPr="000B38A3">
          <w:rPr>
            <w:rStyle w:val="Hyperlink"/>
            <w:rFonts w:ascii="Arial" w:eastAsia="Arial" w:hAnsi="Arial" w:cs="Arial"/>
          </w:rPr>
          <w:t>https://doi.org/10.1016/j.tsc.2016.11.007</w:t>
        </w:r>
      </w:hyperlink>
    </w:p>
    <w:p w14:paraId="2410044D"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Zulfqar</w:t>
      </w:r>
      <w:proofErr w:type="spellEnd"/>
      <w:r w:rsidRPr="00731C5D">
        <w:rPr>
          <w:rFonts w:ascii="Arial" w:eastAsia="Arial" w:hAnsi="Arial" w:cs="Arial"/>
          <w:color w:val="000000"/>
        </w:rPr>
        <w:t>, A., &amp; Hayat, A. (2023). Think how to think: studying the relationship between critical thinking skills and academic achievement of learners at higher education. Journal of Social Sciences Review, 3(2), 640-650.</w:t>
      </w:r>
    </w:p>
    <w:sectPr w:rsidR="00026464" w:rsidRPr="00731C5D" w:rsidSect="004E734A">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4164F" w14:textId="77777777" w:rsidR="009C5692" w:rsidRDefault="009C5692">
      <w:r>
        <w:separator/>
      </w:r>
    </w:p>
  </w:endnote>
  <w:endnote w:type="continuationSeparator" w:id="0">
    <w:p w14:paraId="5373BF2C" w14:textId="77777777" w:rsidR="009C5692" w:rsidRDefault="009C5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ylfaen"/>
    <w:charset w:val="00"/>
    <w:family w:val="auto"/>
    <w:pitch w:val="default"/>
    <w:embedRegular r:id="rId1" w:fontKey="{6D046128-8BCB-4D9C-8C1D-DD1CF183E548}"/>
    <w:embedBold r:id="rId2" w:fontKey="{361AD7E0-E37F-40A2-8F41-F7CD8985774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37C8E52-6BED-40D3-B2C0-2140028B6D7C}"/>
    <w:embedItalic r:id="rId4" w:fontKey="{A9F62ABB-69CA-4DD7-94E0-827D28465689}"/>
  </w:font>
  <w:font w:name="Calibri">
    <w:panose1 w:val="020F0502020204030204"/>
    <w:charset w:val="00"/>
    <w:family w:val="swiss"/>
    <w:pitch w:val="variable"/>
    <w:sig w:usb0="E4002EFF" w:usb1="C000247B" w:usb2="00000009" w:usb3="00000000" w:csb0="000001FF" w:csb1="00000000"/>
    <w:embedRegular r:id="rId5" w:fontKey="{69E32E03-A87D-43E8-820F-82795459DA81}"/>
    <w:embedBold r:id="rId6" w:fontKey="{6E1EEC54-0C6B-4577-BE16-980FF8E41B96}"/>
  </w:font>
  <w:font w:name="Cambria">
    <w:panose1 w:val="02040503050406030204"/>
    <w:charset w:val="00"/>
    <w:family w:val="roman"/>
    <w:pitch w:val="variable"/>
    <w:sig w:usb0="E00006FF" w:usb1="420024FF" w:usb2="02000000" w:usb3="00000000" w:csb0="0000019F" w:csb1="00000000"/>
    <w:embedRegular r:id="rId7" w:fontKey="{29F65ABB-3AFA-40F7-9EE7-E88219BBA4E6}"/>
  </w:font>
  <w:font w:name="Cambria Math">
    <w:panose1 w:val="02040503050406030204"/>
    <w:charset w:val="00"/>
    <w:family w:val="roman"/>
    <w:pitch w:val="variable"/>
    <w:sig w:usb0="E00006FF" w:usb1="420024FF" w:usb2="02000000" w:usb3="00000000" w:csb0="0000019F" w:csb1="00000000"/>
    <w:embedRegular r:id="rId8" w:fontKey="{98D7DDDF-57EC-4BAF-BD4C-4ECB59113A9C}"/>
    <w:embedItalic r:id="rId9" w:fontKey="{F66A0F93-6D61-4BFE-8D78-CEB6F271C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9813" w14:textId="77777777" w:rsidR="005F51A3" w:rsidRDefault="005F5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5BE8" w14:textId="77777777" w:rsidR="005F51A3" w:rsidRDefault="005F5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7E5F2" w14:textId="77777777" w:rsidR="009C5692" w:rsidRDefault="009C5692">
      <w:r>
        <w:separator/>
      </w:r>
    </w:p>
  </w:footnote>
  <w:footnote w:type="continuationSeparator" w:id="0">
    <w:p w14:paraId="0B94A3E2" w14:textId="77777777" w:rsidR="009C5692" w:rsidRDefault="009C5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2B254" w14:textId="384A9736" w:rsidR="005F51A3" w:rsidRDefault="009C5692">
    <w:pPr>
      <w:pStyle w:val="Header"/>
    </w:pPr>
    <w:r>
      <w:rPr>
        <w:noProof/>
      </w:rPr>
      <w:pict w14:anchorId="3E1B4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E384" w14:textId="3E57BC1F" w:rsidR="005F51A3" w:rsidRDefault="009C5692">
    <w:pPr>
      <w:pStyle w:val="Header"/>
    </w:pPr>
    <w:r>
      <w:rPr>
        <w:noProof/>
      </w:rPr>
      <w:pict w14:anchorId="03932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A594C" w14:textId="39C842BD" w:rsidR="005F51A3" w:rsidRDefault="009C5692">
    <w:pPr>
      <w:pStyle w:val="Header"/>
    </w:pPr>
    <w:r>
      <w:rPr>
        <w:noProof/>
      </w:rPr>
      <w:pict w14:anchorId="4F8EF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61DC5"/>
    <w:rsid w:val="000B1D44"/>
    <w:rsid w:val="000B62FC"/>
    <w:rsid w:val="000D3E39"/>
    <w:rsid w:val="0016434D"/>
    <w:rsid w:val="001C19D9"/>
    <w:rsid w:val="001E1277"/>
    <w:rsid w:val="00281D48"/>
    <w:rsid w:val="0028364C"/>
    <w:rsid w:val="002A6084"/>
    <w:rsid w:val="002C3BA7"/>
    <w:rsid w:val="003053F7"/>
    <w:rsid w:val="00372B97"/>
    <w:rsid w:val="003770EC"/>
    <w:rsid w:val="003B0CD9"/>
    <w:rsid w:val="003D2254"/>
    <w:rsid w:val="003D708C"/>
    <w:rsid w:val="00427299"/>
    <w:rsid w:val="00435B64"/>
    <w:rsid w:val="004775B6"/>
    <w:rsid w:val="004C24DF"/>
    <w:rsid w:val="004D5915"/>
    <w:rsid w:val="004E4535"/>
    <w:rsid w:val="004E734A"/>
    <w:rsid w:val="0051046C"/>
    <w:rsid w:val="00577306"/>
    <w:rsid w:val="005A368B"/>
    <w:rsid w:val="005B7A59"/>
    <w:rsid w:val="005E601C"/>
    <w:rsid w:val="005F51A3"/>
    <w:rsid w:val="00620FD3"/>
    <w:rsid w:val="00645ED8"/>
    <w:rsid w:val="00656CAC"/>
    <w:rsid w:val="0066505B"/>
    <w:rsid w:val="00666B62"/>
    <w:rsid w:val="00676701"/>
    <w:rsid w:val="006C2388"/>
    <w:rsid w:val="006F102A"/>
    <w:rsid w:val="007049BF"/>
    <w:rsid w:val="00731C5D"/>
    <w:rsid w:val="00737EAD"/>
    <w:rsid w:val="0074259D"/>
    <w:rsid w:val="00745913"/>
    <w:rsid w:val="00781DB3"/>
    <w:rsid w:val="00783B33"/>
    <w:rsid w:val="00802D8C"/>
    <w:rsid w:val="008174FA"/>
    <w:rsid w:val="00831525"/>
    <w:rsid w:val="00831A33"/>
    <w:rsid w:val="0085238A"/>
    <w:rsid w:val="008941BA"/>
    <w:rsid w:val="008959A9"/>
    <w:rsid w:val="008B3A56"/>
    <w:rsid w:val="008E7900"/>
    <w:rsid w:val="008E7EB6"/>
    <w:rsid w:val="008F329B"/>
    <w:rsid w:val="009038A9"/>
    <w:rsid w:val="0090737C"/>
    <w:rsid w:val="0093577A"/>
    <w:rsid w:val="00977B37"/>
    <w:rsid w:val="009C5692"/>
    <w:rsid w:val="009C7F4F"/>
    <w:rsid w:val="009E22E6"/>
    <w:rsid w:val="009E31D0"/>
    <w:rsid w:val="009F019F"/>
    <w:rsid w:val="009F534E"/>
    <w:rsid w:val="00A40F23"/>
    <w:rsid w:val="00A516B4"/>
    <w:rsid w:val="00A568EB"/>
    <w:rsid w:val="00A86980"/>
    <w:rsid w:val="00A949EB"/>
    <w:rsid w:val="00AD43E9"/>
    <w:rsid w:val="00AE2101"/>
    <w:rsid w:val="00AF3C8B"/>
    <w:rsid w:val="00B34EDB"/>
    <w:rsid w:val="00B40869"/>
    <w:rsid w:val="00B80854"/>
    <w:rsid w:val="00BA5566"/>
    <w:rsid w:val="00BB47CB"/>
    <w:rsid w:val="00BD0C1D"/>
    <w:rsid w:val="00BE3714"/>
    <w:rsid w:val="00C16C0C"/>
    <w:rsid w:val="00C7142C"/>
    <w:rsid w:val="00C81E2A"/>
    <w:rsid w:val="00C8646B"/>
    <w:rsid w:val="00D14F01"/>
    <w:rsid w:val="00D43CAC"/>
    <w:rsid w:val="00D64D9C"/>
    <w:rsid w:val="00D70918"/>
    <w:rsid w:val="00D95AE1"/>
    <w:rsid w:val="00DA1C23"/>
    <w:rsid w:val="00DB7934"/>
    <w:rsid w:val="00DB7D56"/>
    <w:rsid w:val="00E26B62"/>
    <w:rsid w:val="00E5275D"/>
    <w:rsid w:val="00E65376"/>
    <w:rsid w:val="00EE2AE9"/>
    <w:rsid w:val="00EF3867"/>
    <w:rsid w:val="00F00A67"/>
    <w:rsid w:val="00F010F8"/>
    <w:rsid w:val="00F13E1D"/>
    <w:rsid w:val="00F214B1"/>
    <w:rsid w:val="00F44832"/>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customStyle="1" w:styleId="TableGrid1">
    <w:name w:val="Table Grid1"/>
    <w:basedOn w:val="TableNormal"/>
    <w:next w:val="TableGrid"/>
    <w:uiPriority w:val="59"/>
    <w:unhideWhenUsed/>
    <w:rsid w:val="00666B6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2973/eu-jer.1.2.155" TargetMode="External"/><Relationship Id="rId13" Type="http://schemas.openxmlformats.org/officeDocument/2006/relationships/hyperlink" Target="https://doi.org/10.15663/wje.a1064" TargetMode="External"/><Relationship Id="rId18" Type="http://schemas.openxmlformats.org/officeDocument/2006/relationships/hyperlink" Target="https://doi.org/10.1016/j.tsc.2024.101584"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tsc.2016.11.007" TargetMode="External"/><Relationship Id="rId7" Type="http://schemas.openxmlformats.org/officeDocument/2006/relationships/hyperlink" Target="https://doi.org/10.5642/jhummath.202002.22" TargetMode="External"/><Relationship Id="rId12" Type="http://schemas.openxmlformats.org/officeDocument/2006/relationships/hyperlink" Target="https://doi.org/10.1891/1945-8959.15.1.24" TargetMode="External"/><Relationship Id="rId17" Type="http://schemas.openxmlformats.org/officeDocument/2006/relationships/hyperlink" Target="https://doi.org/10.%201088/1742-6596/1200/1/01200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503/andr2022.1" TargetMode="External"/><Relationship Id="rId20" Type="http://schemas.openxmlformats.org/officeDocument/2006/relationships/hyperlink" Target="https://doi.org/10.1007/978-3-031-54439-2_8"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tsc.2014.12.002" TargetMode="External"/><Relationship Id="rId24" Type="http://schemas.openxmlformats.org/officeDocument/2006/relationships/hyperlink" Target="https://doi.org/10.1016/j.tsc.2016.11.00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58622/vjes.v4i1.132" TargetMode="External"/><Relationship Id="rId23" Type="http://schemas.openxmlformats.org/officeDocument/2006/relationships/hyperlink" Target="https://doi.org/10.3390/educsci8040195" TargetMode="External"/><Relationship Id="rId28" Type="http://schemas.openxmlformats.org/officeDocument/2006/relationships/footer" Target="footer2.xml"/><Relationship Id="rId10" Type="http://schemas.openxmlformats.org/officeDocument/2006/relationships/hyperlink" Target="https://doi.org/10.1002/ets2.12277" TargetMode="External"/><Relationship Id="rId19" Type="http://schemas.openxmlformats.org/officeDocument/2006/relationships/hyperlink" Target="https://doi.org/10.1111/mbe.1211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4689/ejer.2021.92.6" TargetMode="External"/><Relationship Id="rId14" Type="http://schemas.openxmlformats.org/officeDocument/2006/relationships/hyperlink" Target="https://doi.org/10.1007/978-3-030-15789-0_35" TargetMode="External"/><Relationship Id="rId22" Type="http://schemas.openxmlformats.org/officeDocument/2006/relationships/hyperlink" Target="https://doi.org/10.1111/ejed.12569"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654</TotalTime>
  <Pages>13</Pages>
  <Words>6685</Words>
  <Characters>38111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21</cp:revision>
  <cp:lastPrinted>2025-04-08T00:39:00Z</cp:lastPrinted>
  <dcterms:created xsi:type="dcterms:W3CDTF">2025-05-03T05:44:00Z</dcterms:created>
  <dcterms:modified xsi:type="dcterms:W3CDTF">2025-05-09T11:18:00Z</dcterms:modified>
</cp:coreProperties>
</file>