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E24957" w14:textId="77777777" w:rsidR="008959A9" w:rsidRDefault="008959A9">
      <w:pPr>
        <w:tabs>
          <w:tab w:val="left" w:pos="8505"/>
        </w:tabs>
        <w:jc w:val="right"/>
        <w:rPr>
          <w:rFonts w:ascii="Arial" w:eastAsia="Arial" w:hAnsi="Arial" w:cs="Arial"/>
          <w:b/>
          <w:sz w:val="36"/>
          <w:szCs w:val="36"/>
        </w:rPr>
      </w:pPr>
      <w:r w:rsidRPr="008959A9">
        <w:rPr>
          <w:rFonts w:ascii="Arial" w:eastAsia="Arial" w:hAnsi="Arial" w:cs="Arial"/>
          <w:b/>
          <w:sz w:val="36"/>
          <w:szCs w:val="36"/>
        </w:rPr>
        <w:t>Original Research Article</w:t>
      </w:r>
    </w:p>
    <w:p w14:paraId="02CCF522" w14:textId="77777777" w:rsidR="008959A9" w:rsidRDefault="008959A9">
      <w:pPr>
        <w:tabs>
          <w:tab w:val="left" w:pos="8505"/>
        </w:tabs>
        <w:jc w:val="right"/>
        <w:rPr>
          <w:rFonts w:ascii="Arial" w:eastAsia="Arial" w:hAnsi="Arial" w:cs="Arial"/>
          <w:b/>
          <w:sz w:val="36"/>
          <w:szCs w:val="36"/>
        </w:rPr>
      </w:pPr>
    </w:p>
    <w:p w14:paraId="75894061" w14:textId="22250F69" w:rsidR="000B1D44" w:rsidRDefault="00C7142C">
      <w:pPr>
        <w:tabs>
          <w:tab w:val="left" w:pos="8505"/>
        </w:tabs>
        <w:jc w:val="right"/>
        <w:rPr>
          <w:rFonts w:ascii="Arial" w:eastAsia="Arial" w:hAnsi="Arial" w:cs="Arial"/>
          <w:b/>
          <w:color w:val="000000"/>
          <w:sz w:val="36"/>
          <w:szCs w:val="36"/>
        </w:rPr>
      </w:pPr>
      <w:r>
        <w:rPr>
          <w:rFonts w:ascii="Arial" w:eastAsia="Arial" w:hAnsi="Arial" w:cs="Arial"/>
          <w:b/>
          <w:sz w:val="36"/>
          <w:szCs w:val="36"/>
        </w:rPr>
        <w:t xml:space="preserve">Teachers’ </w:t>
      </w:r>
      <w:r w:rsidR="005E601C">
        <w:rPr>
          <w:rFonts w:ascii="Arial" w:eastAsia="Arial" w:hAnsi="Arial" w:cs="Arial"/>
          <w:b/>
          <w:sz w:val="36"/>
          <w:szCs w:val="36"/>
        </w:rPr>
        <w:t>Situated Learning Practices</w:t>
      </w:r>
      <w:r>
        <w:rPr>
          <w:rFonts w:ascii="Arial" w:eastAsia="Arial" w:hAnsi="Arial" w:cs="Arial"/>
          <w:b/>
          <w:sz w:val="36"/>
          <w:szCs w:val="36"/>
        </w:rPr>
        <w:t xml:space="preserve"> on</w:t>
      </w:r>
      <w:r w:rsidR="00DB7D56">
        <w:rPr>
          <w:rFonts w:ascii="Arial" w:eastAsia="Arial" w:hAnsi="Arial" w:cs="Arial"/>
          <w:b/>
          <w:sz w:val="36"/>
          <w:szCs w:val="36"/>
        </w:rPr>
        <w:t xml:space="preserve"> </w:t>
      </w:r>
      <w:r>
        <w:rPr>
          <w:rFonts w:ascii="Arial" w:eastAsia="Arial" w:hAnsi="Arial" w:cs="Arial"/>
          <w:b/>
          <w:sz w:val="36"/>
          <w:szCs w:val="36"/>
        </w:rPr>
        <w:t>College Students’ Critical Thinking</w:t>
      </w:r>
    </w:p>
    <w:p w14:paraId="2D77B07E" w14:textId="77777777" w:rsidR="000B1D44" w:rsidRDefault="000B1D44">
      <w:pPr>
        <w:pBdr>
          <w:top w:val="nil"/>
          <w:left w:val="nil"/>
          <w:bottom w:val="nil"/>
          <w:right w:val="nil"/>
          <w:between w:val="nil"/>
        </w:pBdr>
        <w:jc w:val="both"/>
        <w:rPr>
          <w:rFonts w:ascii="Arial" w:eastAsia="Arial" w:hAnsi="Arial" w:cs="Arial"/>
          <w:b/>
          <w:color w:val="000000"/>
          <w:sz w:val="36"/>
          <w:szCs w:val="36"/>
        </w:rPr>
      </w:pPr>
    </w:p>
    <w:p w14:paraId="72A29A22" w14:textId="77777777" w:rsidR="000B1D44" w:rsidRDefault="000B62F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2FFFF1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B1D44" w14:paraId="568A22D6" w14:textId="77777777">
        <w:tc>
          <w:tcPr>
            <w:tcW w:w="8198" w:type="dxa"/>
            <w:shd w:val="clear" w:color="auto" w:fill="F2F2F2"/>
          </w:tcPr>
          <w:p w14:paraId="11E9EF33" w14:textId="1C4BA2BD" w:rsidR="000B1D44" w:rsidRDefault="001C19D9">
            <w:pPr>
              <w:jc w:val="both"/>
              <w:rPr>
                <w:rFonts w:ascii="Arial" w:eastAsia="Arial" w:hAnsi="Arial" w:cs="Arial"/>
              </w:rPr>
            </w:pPr>
            <w:r w:rsidRPr="001C19D9">
              <w:rPr>
                <w:rFonts w:ascii="Arial" w:eastAsia="Arial" w:hAnsi="Arial" w:cs="Arial"/>
              </w:rPr>
              <w:t xml:space="preserve">This study explored the relationship between situated learning practices employed by mathematics teachers and critical thinking skills </w:t>
            </w:r>
            <w:bookmarkStart w:id="0" w:name="_Hlk197366764"/>
            <w:r w:rsidRPr="001C19D9">
              <w:rPr>
                <w:rFonts w:ascii="Arial" w:eastAsia="Arial" w:hAnsi="Arial" w:cs="Arial"/>
              </w:rPr>
              <w:t>among college students from one of the campuses of a state university in Southeastern Philippines</w:t>
            </w:r>
            <w:bookmarkEnd w:id="0"/>
            <w:r w:rsidRPr="001C19D9">
              <w:rPr>
                <w:rFonts w:ascii="Arial" w:eastAsia="Arial" w:hAnsi="Arial" w:cs="Arial"/>
              </w:rPr>
              <w:t xml:space="preserve"> using a descriptive correlational design. Data were gathered from 275 students through a survey. The findings revealed mathematics teachers frequently use situated learning practices 2 to 4 times a week in terms of authentic context, authentic activities and authentic assessment. Students generally demonstrate an average to high level on their critical thinking, though there are few who achieved low level. Correlation analysis indicated positive relationships between teachers’ situated learning practices and students’ critical thinking. Regression analysis further identified teachers’ situated learning practices as significant predictor of college students’ critical thinking, explaining 30.50% of the variance. These results highlight the importance of promoting situated learning practices to improve their critical thinking.</w:t>
            </w:r>
          </w:p>
        </w:tc>
      </w:tr>
    </w:tbl>
    <w:p w14:paraId="0C674523" w14:textId="77777777" w:rsidR="000B1D44" w:rsidRDefault="000B1D44">
      <w:pPr>
        <w:pBdr>
          <w:top w:val="nil"/>
          <w:left w:val="nil"/>
          <w:bottom w:val="nil"/>
          <w:right w:val="nil"/>
          <w:between w:val="nil"/>
        </w:pBdr>
        <w:jc w:val="both"/>
        <w:rPr>
          <w:rFonts w:ascii="Arial" w:eastAsia="Arial" w:hAnsi="Arial" w:cs="Arial"/>
          <w:i/>
          <w:color w:val="000000"/>
        </w:rPr>
      </w:pPr>
    </w:p>
    <w:p w14:paraId="70D3F793" w14:textId="35D3BE17" w:rsidR="000B1D44" w:rsidRDefault="000B62FC">
      <w:pPr>
        <w:pBdr>
          <w:top w:val="nil"/>
          <w:left w:val="nil"/>
          <w:bottom w:val="nil"/>
          <w:right w:val="nil"/>
          <w:between w:val="nil"/>
        </w:pBdr>
        <w:ind w:left="1080" w:hanging="1080"/>
        <w:jc w:val="both"/>
        <w:rPr>
          <w:rFonts w:ascii="Arial" w:eastAsia="Arial" w:hAnsi="Arial" w:cs="Arial"/>
          <w:i/>
          <w:color w:val="000000"/>
        </w:rPr>
      </w:pPr>
      <w:r>
        <w:rPr>
          <w:rFonts w:ascii="Arial" w:eastAsia="Arial" w:hAnsi="Arial" w:cs="Arial"/>
          <w:i/>
          <w:color w:val="000000"/>
        </w:rPr>
        <w:t xml:space="preserve">Keywords: </w:t>
      </w:r>
      <w:r w:rsidR="00781DB3">
        <w:rPr>
          <w:rFonts w:ascii="Arial" w:eastAsia="Arial" w:hAnsi="Arial" w:cs="Arial"/>
          <w:i/>
          <w:color w:val="000000"/>
        </w:rPr>
        <w:t>Situated learning practices</w:t>
      </w:r>
      <w:r>
        <w:rPr>
          <w:rFonts w:ascii="Arial" w:eastAsia="Arial" w:hAnsi="Arial" w:cs="Arial"/>
          <w:i/>
          <w:color w:val="000000"/>
        </w:rPr>
        <w:t xml:space="preserve">, </w:t>
      </w:r>
      <w:r w:rsidR="00781DB3">
        <w:rPr>
          <w:rFonts w:ascii="Arial" w:eastAsia="Arial" w:hAnsi="Arial" w:cs="Arial"/>
          <w:i/>
          <w:color w:val="000000"/>
        </w:rPr>
        <w:t>students’ critical thinking</w:t>
      </w:r>
      <w:r>
        <w:rPr>
          <w:rFonts w:ascii="Arial" w:eastAsia="Arial" w:hAnsi="Arial" w:cs="Arial"/>
          <w:i/>
          <w:color w:val="000000"/>
        </w:rPr>
        <w:t xml:space="preserve">, </w:t>
      </w:r>
      <w:r w:rsidR="00781DB3">
        <w:rPr>
          <w:rFonts w:ascii="Arial" w:eastAsia="Arial" w:hAnsi="Arial" w:cs="Arial"/>
          <w:i/>
          <w:color w:val="000000"/>
        </w:rPr>
        <w:t>authentic context, authentic activities, authentic assessment</w:t>
      </w:r>
    </w:p>
    <w:p w14:paraId="0ECDB485" w14:textId="77777777" w:rsidR="000B1D44" w:rsidRDefault="000B1D44">
      <w:pPr>
        <w:pBdr>
          <w:top w:val="nil"/>
          <w:left w:val="nil"/>
          <w:bottom w:val="nil"/>
          <w:right w:val="nil"/>
          <w:between w:val="nil"/>
        </w:pBdr>
        <w:jc w:val="both"/>
        <w:rPr>
          <w:rFonts w:ascii="Arial" w:eastAsia="Arial" w:hAnsi="Arial" w:cs="Arial"/>
          <w:i/>
          <w:color w:val="000000"/>
        </w:rPr>
      </w:pPr>
    </w:p>
    <w:p w14:paraId="04931E5F" w14:textId="77777777" w:rsidR="000B1D44" w:rsidRDefault="000B1D44">
      <w:pPr>
        <w:pBdr>
          <w:top w:val="nil"/>
          <w:left w:val="nil"/>
          <w:bottom w:val="nil"/>
          <w:right w:val="nil"/>
          <w:between w:val="nil"/>
        </w:pBdr>
        <w:jc w:val="both"/>
        <w:rPr>
          <w:rFonts w:ascii="Arial" w:eastAsia="Arial" w:hAnsi="Arial" w:cs="Arial"/>
          <w:i/>
          <w:color w:val="000000"/>
        </w:rPr>
      </w:pPr>
    </w:p>
    <w:p w14:paraId="1B00E400" w14:textId="77777777" w:rsidR="000B1D44" w:rsidRDefault="000B62F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0C37A46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p w14:paraId="34A0C779" w14:textId="77777777" w:rsidR="00060459" w:rsidRPr="00060459" w:rsidRDefault="00060459" w:rsidP="00060459">
      <w:pPr>
        <w:ind w:firstLine="720"/>
        <w:jc w:val="both"/>
        <w:rPr>
          <w:rFonts w:ascii="Arial" w:eastAsia="Arial" w:hAnsi="Arial" w:cs="Arial"/>
        </w:rPr>
      </w:pPr>
      <w:r w:rsidRPr="00060459">
        <w:rPr>
          <w:rFonts w:ascii="Arial" w:eastAsia="Arial" w:hAnsi="Arial" w:cs="Arial"/>
        </w:rPr>
        <w:t>Critical thinking is one of the essential skills needed to meet the demands of the 21st century—a time marked by innovation and digitalization (Jamil et al., 2024). In higher education, critical thinking enables students to effectively express ideas, analyze information, and make sound decisions. It is widely recognized as a key factor in academic success and is increasingly valued in the workforce (Vincent</w:t>
      </w:r>
      <w:r w:rsidRPr="00060459">
        <w:rPr>
          <w:rFonts w:ascii="Cambria Math" w:eastAsia="Arial" w:hAnsi="Cambria Math" w:cs="Cambria Math"/>
        </w:rPr>
        <w:t>‐</w:t>
      </w:r>
      <w:r w:rsidRPr="00060459">
        <w:rPr>
          <w:rFonts w:ascii="Arial" w:eastAsia="Arial" w:hAnsi="Arial" w:cs="Arial"/>
        </w:rPr>
        <w:t>Lancrin, 2023). Developing this skill not only boosts students’ career prospects but also contributes to their personal growth and lifelong learning.</w:t>
      </w:r>
    </w:p>
    <w:p w14:paraId="0BAADF3C" w14:textId="77777777" w:rsidR="00060459" w:rsidRPr="00060459" w:rsidRDefault="00060459" w:rsidP="00060459">
      <w:pPr>
        <w:ind w:firstLine="720"/>
        <w:jc w:val="both"/>
        <w:rPr>
          <w:rFonts w:ascii="Arial" w:eastAsia="Arial" w:hAnsi="Arial" w:cs="Arial"/>
        </w:rPr>
      </w:pPr>
      <w:r w:rsidRPr="00060459">
        <w:rPr>
          <w:rFonts w:ascii="Arial" w:eastAsia="Arial" w:hAnsi="Arial" w:cs="Arial"/>
        </w:rPr>
        <w:t>Despite its recognized importance, developing critical thinking among students remains a challenge (Stupple et al., 2017). One of the major tasks of modern education is preparing students to adapt to a fast-changing world (Adeyemi, 2012). Many students struggle with critical thinking because they lack exposure to real-life applications and hands-on learning experiences (Mahdi et al., 2020). Nevertheless, higher education has the potential to equip students with the necessary thinking skills to face complex issues in adulthood (Huber &amp; Kuncel, 2016). Miranda (2018) supports this by showing that aside from cognitive ability, psycho-sociological traits also influence performance, highlighting the multifaceted nature of students’ thinking skills development.</w:t>
      </w:r>
    </w:p>
    <w:p w14:paraId="3542BA6B" w14:textId="77777777" w:rsidR="00060459" w:rsidRPr="00060459" w:rsidRDefault="00060459" w:rsidP="00060459">
      <w:pPr>
        <w:ind w:firstLine="720"/>
        <w:jc w:val="both"/>
        <w:rPr>
          <w:rFonts w:ascii="Arial" w:eastAsia="Arial" w:hAnsi="Arial" w:cs="Arial"/>
        </w:rPr>
      </w:pPr>
    </w:p>
    <w:p w14:paraId="5BF6687F" w14:textId="7C630D1F" w:rsidR="00060459" w:rsidRPr="00060459" w:rsidRDefault="00060459" w:rsidP="00060459">
      <w:pPr>
        <w:ind w:firstLine="720"/>
        <w:jc w:val="both"/>
        <w:rPr>
          <w:rFonts w:ascii="Arial" w:eastAsia="Arial" w:hAnsi="Arial" w:cs="Arial"/>
        </w:rPr>
      </w:pPr>
      <w:r w:rsidRPr="00060459">
        <w:rPr>
          <w:rFonts w:ascii="Arial" w:eastAsia="Arial" w:hAnsi="Arial" w:cs="Arial"/>
        </w:rPr>
        <w:t xml:space="preserve">The development of critical thinking has become a central focus in education (Walter &amp; Walter, 2018), not only because it enhances learning outcomes but also because it promotes positive student attitudes and perseverance (Saldıray &amp; Doğanay, 2024; Arisoy &amp; Aybek, 2021). Furthermore, critical thinking contributes to long-term professional success (Dwyer et al., 2015). Therefore, it is essential for schools and universities to deliberately integrate critical thinking into their instructional approaches. </w:t>
      </w:r>
      <w:r w:rsidR="008B3A56" w:rsidRPr="008B3A56">
        <w:rPr>
          <w:rFonts w:ascii="Arial" w:eastAsia="Arial" w:hAnsi="Arial" w:cs="Arial"/>
        </w:rPr>
        <w:t xml:space="preserve">Recent studies have also emphasized that a </w:t>
      </w:r>
      <w:r w:rsidR="008B3A56" w:rsidRPr="008B3A56">
        <w:rPr>
          <w:rFonts w:ascii="Arial" w:eastAsia="Arial" w:hAnsi="Arial" w:cs="Arial"/>
          <w:highlight w:val="yellow"/>
        </w:rPr>
        <w:lastRenderedPageBreak/>
        <w:t>learner's ability to actively control their own learning process</w:t>
      </w:r>
      <w:r w:rsidR="008B3A56" w:rsidRPr="008B3A56">
        <w:rPr>
          <w:rFonts w:ascii="Arial" w:eastAsia="Arial" w:hAnsi="Arial" w:cs="Arial"/>
        </w:rPr>
        <w:t xml:space="preserve">, known as self-regulated learning (Lumoto et al., 2024), </w:t>
      </w:r>
      <w:r w:rsidR="008B3A56" w:rsidRPr="008B3A56">
        <w:rPr>
          <w:rFonts w:ascii="Arial" w:eastAsia="Arial" w:hAnsi="Arial" w:cs="Arial"/>
          <w:highlight w:val="yellow"/>
        </w:rPr>
        <w:t>individuals’ evaluations of their ability to cope with and resolve problems</w:t>
      </w:r>
      <w:r w:rsidR="008B3A56" w:rsidRPr="008B3A56">
        <w:rPr>
          <w:rFonts w:ascii="Arial" w:eastAsia="Arial" w:hAnsi="Arial" w:cs="Arial"/>
        </w:rPr>
        <w:t xml:space="preserve">, referred to as problem-solving appraisals (Villegas et al., 2024), </w:t>
      </w:r>
      <w:r w:rsidR="008B3A56" w:rsidRPr="008B3A56">
        <w:rPr>
          <w:rFonts w:ascii="Arial" w:eastAsia="Arial" w:hAnsi="Arial" w:cs="Arial"/>
          <w:highlight w:val="yellow"/>
        </w:rPr>
        <w:t>and their capacity to effectively deal with academic challenges and bounce back from setbacks</w:t>
      </w:r>
      <w:r w:rsidR="008B3A56" w:rsidRPr="008B3A56">
        <w:rPr>
          <w:rFonts w:ascii="Arial" w:eastAsia="Arial" w:hAnsi="Arial" w:cs="Arial"/>
        </w:rPr>
        <w:t>, known as academic resiliency (Agtarap &amp; Miranda, 2022), are strongly associated with critical thinking, as they involve metacognitive strategies, logical reasoning, and reflective decision-making that support deeper learning and performance.</w:t>
      </w:r>
    </w:p>
    <w:p w14:paraId="69752198" w14:textId="77777777" w:rsidR="00060459" w:rsidRPr="00060459" w:rsidRDefault="00060459" w:rsidP="00060459">
      <w:pPr>
        <w:ind w:firstLine="720"/>
        <w:jc w:val="both"/>
        <w:rPr>
          <w:rFonts w:ascii="Arial" w:eastAsia="Arial" w:hAnsi="Arial" w:cs="Arial"/>
        </w:rPr>
      </w:pPr>
      <w:r w:rsidRPr="00060459">
        <w:rPr>
          <w:rFonts w:ascii="Arial" w:eastAsia="Arial" w:hAnsi="Arial" w:cs="Arial"/>
        </w:rPr>
        <w:t>To better support students’ thinking development, educational practices must be designed to provide meaningful and practical learning experiences. Situated learning offers a promising approach in this regard. It allows students to connect academic knowledge with real-world contexts, enhancing the relevance and usefulness of what they learn (Catalano, 2015). Effective teaching, in this framework, involves guiding students through authentic tasks and engaging them in problem-solving within real-life scenarios (binti Pengiran &amp; Besar, 2018).</w:t>
      </w:r>
    </w:p>
    <w:p w14:paraId="26D5B024" w14:textId="77777777" w:rsidR="00060459" w:rsidRPr="00060459" w:rsidRDefault="00060459" w:rsidP="00060459">
      <w:pPr>
        <w:ind w:firstLine="720"/>
        <w:jc w:val="both"/>
        <w:rPr>
          <w:rFonts w:ascii="Arial" w:eastAsia="Arial" w:hAnsi="Arial" w:cs="Arial"/>
        </w:rPr>
      </w:pPr>
      <w:r w:rsidRPr="00060459">
        <w:rPr>
          <w:rFonts w:ascii="Arial" w:eastAsia="Arial" w:hAnsi="Arial" w:cs="Arial"/>
        </w:rPr>
        <w:t>Situated learning is both a theory and a method that emphasizes acquiring knowledge through practical experiences (Yan et al., 2024). It aims to bridge the gap between classroom instruction and real-world applications (Brown et al., 1989). As such, educators are encouraged to refine their teaching strategies to promote student engagement and thinking (Zulfqar &amp; Hayat, 2023). Research has shown that learning is more effective when it is grounded in authentic contexts, social interaction, and collaborative tasks (Kumar, 2021; Silva et al., 2018). These elements contribute to the development of students’ critical thinking by encouraging reflective and active learning (Isakesen, 2017).</w:t>
      </w:r>
    </w:p>
    <w:p w14:paraId="320FF4D8" w14:textId="77777777" w:rsidR="00060459" w:rsidRPr="00060459" w:rsidRDefault="00060459" w:rsidP="00060459">
      <w:pPr>
        <w:ind w:firstLine="720"/>
        <w:jc w:val="both"/>
        <w:rPr>
          <w:rFonts w:ascii="Arial" w:eastAsia="Arial" w:hAnsi="Arial" w:cs="Arial"/>
        </w:rPr>
      </w:pPr>
      <w:r w:rsidRPr="00060459">
        <w:rPr>
          <w:rFonts w:ascii="Arial" w:eastAsia="Arial" w:hAnsi="Arial" w:cs="Arial"/>
        </w:rPr>
        <w:t>Although several studies support the positive effects of situated learning on knowledge application and student engagement (Catalano, 2015; Silva et al., 2018), there is limited empirical evidence that directly links situated learning practices to measurable improvements in critical thinking skills. While both situated learning and critical thinking are well studied independently, there is a research gap when it comes to exploring their connection in the context of college students.</w:t>
      </w:r>
    </w:p>
    <w:p w14:paraId="50A92994" w14:textId="77777777" w:rsidR="00060459" w:rsidRPr="00060459" w:rsidRDefault="00060459" w:rsidP="00060459">
      <w:pPr>
        <w:ind w:firstLine="720"/>
        <w:jc w:val="both"/>
        <w:rPr>
          <w:rFonts w:ascii="Arial" w:eastAsia="Arial" w:hAnsi="Arial" w:cs="Arial"/>
        </w:rPr>
      </w:pPr>
      <w:r w:rsidRPr="00060459">
        <w:rPr>
          <w:rFonts w:ascii="Arial" w:eastAsia="Arial" w:hAnsi="Arial" w:cs="Arial"/>
        </w:rPr>
        <w:t>This study investigates the relationship between mathematics teachers’ use of situated learning practices and the critical thinking skills of college students. Specifically, it examines the extent to which these teaching practices predict students’ critical thinking levels. The results aim to provide evidence that can help improve teaching strategies and enhance the learning experience of both educators and students.</w:t>
      </w:r>
    </w:p>
    <w:p w14:paraId="1C538952" w14:textId="799718D6" w:rsidR="00A949EB" w:rsidRDefault="00A949EB" w:rsidP="00831525">
      <w:pPr>
        <w:ind w:firstLine="720"/>
        <w:jc w:val="both"/>
        <w:rPr>
          <w:rFonts w:ascii="Arial" w:eastAsia="Arial" w:hAnsi="Arial" w:cs="Arial"/>
        </w:rPr>
      </w:pPr>
    </w:p>
    <w:p w14:paraId="12C2661E"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46D43AD4" w14:textId="77777777" w:rsidR="000B1D44" w:rsidRDefault="000B62F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OBJECTIVES </w:t>
      </w:r>
    </w:p>
    <w:p w14:paraId="56E1BE1E"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p w14:paraId="25AE4E79" w14:textId="4BBF0D71" w:rsidR="000B1D44" w:rsidRDefault="00E26B62" w:rsidP="00E26B62">
      <w:pPr>
        <w:pBdr>
          <w:top w:val="nil"/>
          <w:left w:val="nil"/>
          <w:bottom w:val="nil"/>
          <w:right w:val="nil"/>
          <w:between w:val="nil"/>
        </w:pBdr>
        <w:ind w:firstLine="360"/>
        <w:jc w:val="both"/>
        <w:rPr>
          <w:rFonts w:ascii="Arial" w:eastAsia="Arial" w:hAnsi="Arial" w:cs="Arial"/>
          <w:color w:val="000000"/>
        </w:rPr>
      </w:pPr>
      <w:r w:rsidRPr="00E26B62">
        <w:rPr>
          <w:rFonts w:ascii="Arial" w:eastAsia="Arial" w:hAnsi="Arial" w:cs="Arial"/>
          <w:color w:val="000000"/>
        </w:rPr>
        <w:t xml:space="preserve">This study aims to determine the level of </w:t>
      </w:r>
      <w:r w:rsidR="00DA1C23">
        <w:rPr>
          <w:rFonts w:ascii="Arial" w:eastAsia="Arial" w:hAnsi="Arial" w:cs="Arial"/>
          <w:color w:val="000000"/>
        </w:rPr>
        <w:t xml:space="preserve">college </w:t>
      </w:r>
      <w:r w:rsidRPr="00E26B62">
        <w:rPr>
          <w:rFonts w:ascii="Arial" w:eastAsia="Arial" w:hAnsi="Arial" w:cs="Arial"/>
          <w:color w:val="000000"/>
        </w:rPr>
        <w:t xml:space="preserve">students’ critical thinking skills and its relationship with </w:t>
      </w:r>
      <w:r w:rsidR="00DA1C23">
        <w:rPr>
          <w:rFonts w:ascii="Arial" w:eastAsia="Arial" w:hAnsi="Arial" w:cs="Arial"/>
          <w:color w:val="000000"/>
        </w:rPr>
        <w:t xml:space="preserve">mathematics teachers’ </w:t>
      </w:r>
      <w:r w:rsidRPr="00E26B62">
        <w:rPr>
          <w:rFonts w:ascii="Arial" w:eastAsia="Arial" w:hAnsi="Arial" w:cs="Arial"/>
          <w:color w:val="000000"/>
        </w:rPr>
        <w:t>situated learning practices in a state university in Southeastern Philippines during the first semester of the academic year 2024-2025. Specifically, it sought to:</w:t>
      </w:r>
    </w:p>
    <w:p w14:paraId="0A316069" w14:textId="77777777" w:rsidR="00E26B62" w:rsidRDefault="00E26B62">
      <w:pPr>
        <w:pBdr>
          <w:top w:val="nil"/>
          <w:left w:val="nil"/>
          <w:bottom w:val="nil"/>
          <w:right w:val="nil"/>
          <w:between w:val="nil"/>
        </w:pBdr>
        <w:jc w:val="both"/>
        <w:rPr>
          <w:rFonts w:ascii="Arial" w:eastAsia="Arial" w:hAnsi="Arial" w:cs="Arial"/>
          <w:color w:val="000000"/>
          <w:highlight w:val="white"/>
        </w:rPr>
      </w:pPr>
    </w:p>
    <w:p w14:paraId="2B053BC5" w14:textId="38A7CC6B" w:rsidR="000B1D44" w:rsidRDefault="00060459">
      <w:pPr>
        <w:numPr>
          <w:ilvl w:val="0"/>
          <w:numId w:val="1"/>
        </w:numPr>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t>Determine</w:t>
      </w:r>
      <w:r w:rsidR="00E26B62">
        <w:rPr>
          <w:rFonts w:ascii="Arial" w:eastAsia="Arial" w:hAnsi="Arial" w:cs="Arial"/>
          <w:color w:val="000000"/>
          <w:highlight w:val="white"/>
        </w:rPr>
        <w:t xml:space="preserve"> the </w:t>
      </w:r>
      <w:r>
        <w:rPr>
          <w:rFonts w:ascii="Arial" w:eastAsia="Arial" w:hAnsi="Arial" w:cs="Arial"/>
          <w:color w:val="000000"/>
          <w:highlight w:val="white"/>
        </w:rPr>
        <w:t xml:space="preserve">level of </w:t>
      </w:r>
      <w:r w:rsidR="00E26B62">
        <w:rPr>
          <w:rFonts w:ascii="Arial" w:eastAsia="Arial" w:hAnsi="Arial" w:cs="Arial"/>
          <w:color w:val="000000"/>
          <w:highlight w:val="white"/>
        </w:rPr>
        <w:t>situated learning practices employed by college mathematics teachers in terms of:</w:t>
      </w:r>
    </w:p>
    <w:p w14:paraId="02D2B6CF" w14:textId="2BBAACE8" w:rsidR="000B1D44" w:rsidRDefault="000B62FC">
      <w:pPr>
        <w:pBdr>
          <w:top w:val="nil"/>
          <w:left w:val="nil"/>
          <w:bottom w:val="nil"/>
          <w:right w:val="nil"/>
          <w:between w:val="nil"/>
        </w:pBdr>
        <w:ind w:left="720"/>
        <w:jc w:val="both"/>
        <w:rPr>
          <w:rFonts w:ascii="Arial" w:eastAsia="Arial" w:hAnsi="Arial" w:cs="Arial"/>
          <w:color w:val="000000"/>
          <w:highlight w:val="white"/>
        </w:rPr>
      </w:pPr>
      <w:r>
        <w:rPr>
          <w:rFonts w:ascii="Arial" w:eastAsia="Arial" w:hAnsi="Arial" w:cs="Arial"/>
          <w:color w:val="000000"/>
          <w:highlight w:val="white"/>
        </w:rPr>
        <w:t xml:space="preserve">1.1 </w:t>
      </w:r>
      <w:r w:rsidR="00E26B62">
        <w:rPr>
          <w:rFonts w:ascii="Arial" w:eastAsia="Arial" w:hAnsi="Arial" w:cs="Arial"/>
          <w:color w:val="000000"/>
          <w:highlight w:val="white"/>
        </w:rPr>
        <w:t>Authentic Context;</w:t>
      </w:r>
    </w:p>
    <w:p w14:paraId="68BBC630" w14:textId="117F89AA" w:rsidR="000B1D44" w:rsidRDefault="000B62FC">
      <w:pPr>
        <w:pBdr>
          <w:top w:val="nil"/>
          <w:left w:val="nil"/>
          <w:bottom w:val="nil"/>
          <w:right w:val="nil"/>
          <w:between w:val="nil"/>
        </w:pBdr>
        <w:ind w:left="720"/>
        <w:jc w:val="both"/>
        <w:rPr>
          <w:rFonts w:ascii="Arial" w:eastAsia="Arial" w:hAnsi="Arial" w:cs="Arial"/>
          <w:color w:val="000000"/>
          <w:highlight w:val="white"/>
        </w:rPr>
      </w:pPr>
      <w:r>
        <w:rPr>
          <w:rFonts w:ascii="Arial" w:eastAsia="Arial" w:hAnsi="Arial" w:cs="Arial"/>
          <w:color w:val="000000"/>
          <w:highlight w:val="white"/>
        </w:rPr>
        <w:t xml:space="preserve">1.2 </w:t>
      </w:r>
      <w:r w:rsidR="00E26B62">
        <w:rPr>
          <w:rFonts w:ascii="Arial" w:eastAsia="Arial" w:hAnsi="Arial" w:cs="Arial"/>
          <w:color w:val="000000"/>
          <w:highlight w:val="white"/>
        </w:rPr>
        <w:t>Authentic Activities</w:t>
      </w:r>
      <w:r>
        <w:rPr>
          <w:rFonts w:ascii="Arial" w:eastAsia="Arial" w:hAnsi="Arial" w:cs="Arial"/>
          <w:color w:val="000000"/>
          <w:highlight w:val="white"/>
        </w:rPr>
        <w:t xml:space="preserve">; and </w:t>
      </w:r>
    </w:p>
    <w:p w14:paraId="065DEAC4" w14:textId="210B7244" w:rsidR="000B1D44" w:rsidRDefault="000B62FC" w:rsidP="00737EAD">
      <w:pPr>
        <w:pBdr>
          <w:top w:val="nil"/>
          <w:left w:val="nil"/>
          <w:bottom w:val="nil"/>
          <w:right w:val="nil"/>
          <w:between w:val="nil"/>
        </w:pBdr>
        <w:ind w:left="720"/>
        <w:jc w:val="both"/>
        <w:rPr>
          <w:rFonts w:ascii="Arial" w:eastAsia="Arial" w:hAnsi="Arial" w:cs="Arial"/>
          <w:color w:val="000000"/>
          <w:highlight w:val="white"/>
        </w:rPr>
      </w:pPr>
      <w:r>
        <w:rPr>
          <w:rFonts w:ascii="Arial" w:eastAsia="Arial" w:hAnsi="Arial" w:cs="Arial"/>
          <w:color w:val="000000"/>
          <w:highlight w:val="white"/>
        </w:rPr>
        <w:t xml:space="preserve">1.3 </w:t>
      </w:r>
      <w:r w:rsidR="00E26B62">
        <w:rPr>
          <w:rFonts w:ascii="Arial" w:eastAsia="Arial" w:hAnsi="Arial" w:cs="Arial"/>
          <w:color w:val="000000"/>
          <w:highlight w:val="white"/>
        </w:rPr>
        <w:t>Authentic Assessment</w:t>
      </w:r>
      <w:r>
        <w:rPr>
          <w:rFonts w:ascii="Arial" w:eastAsia="Arial" w:hAnsi="Arial" w:cs="Arial"/>
          <w:color w:val="000000"/>
          <w:highlight w:val="white"/>
        </w:rPr>
        <w:t>.</w:t>
      </w:r>
    </w:p>
    <w:p w14:paraId="094AD7A6" w14:textId="1C4C1E2E" w:rsidR="00737EAD" w:rsidRPr="00737EAD" w:rsidRDefault="00E26B62" w:rsidP="00FE37DC">
      <w:pPr>
        <w:pStyle w:val="ListParagraph"/>
        <w:numPr>
          <w:ilvl w:val="0"/>
          <w:numId w:val="1"/>
        </w:numPr>
        <w:jc w:val="both"/>
        <w:rPr>
          <w:rFonts w:ascii="Arial" w:eastAsia="Arial" w:hAnsi="Arial" w:cs="Arial"/>
          <w:color w:val="000000"/>
        </w:rPr>
      </w:pPr>
      <w:r w:rsidRPr="00060459">
        <w:rPr>
          <w:rFonts w:ascii="Arial" w:eastAsia="Arial" w:hAnsi="Arial" w:cs="Arial"/>
          <w:color w:val="000000"/>
        </w:rPr>
        <w:t>Determine the level of critical thinking skills among college students</w:t>
      </w:r>
      <w:r w:rsidR="00060459">
        <w:rPr>
          <w:rFonts w:ascii="Arial" w:eastAsia="Arial" w:hAnsi="Arial" w:cs="Arial"/>
          <w:color w:val="000000"/>
        </w:rPr>
        <w:t>;</w:t>
      </w:r>
    </w:p>
    <w:p w14:paraId="6268521C" w14:textId="56ECADAD" w:rsidR="00E26B62" w:rsidRPr="00E26B62" w:rsidRDefault="00E26B62" w:rsidP="004775B6">
      <w:pPr>
        <w:pStyle w:val="ListParagraph"/>
        <w:numPr>
          <w:ilvl w:val="0"/>
          <w:numId w:val="1"/>
        </w:numPr>
        <w:jc w:val="both"/>
        <w:rPr>
          <w:rFonts w:ascii="Arial" w:eastAsia="Arial" w:hAnsi="Arial" w:cs="Arial"/>
          <w:color w:val="000000"/>
        </w:rPr>
      </w:pPr>
      <w:r w:rsidRPr="00E26B62">
        <w:rPr>
          <w:rFonts w:ascii="Arial" w:eastAsia="Arial" w:hAnsi="Arial" w:cs="Arial"/>
          <w:color w:val="000000"/>
        </w:rPr>
        <w:t>Determine the significant relationship between the situated learning practices of college teachers and the students’ critical thinking skills.</w:t>
      </w:r>
    </w:p>
    <w:p w14:paraId="1585B372" w14:textId="77777777" w:rsidR="000B1D44" w:rsidRDefault="000B1D44">
      <w:pPr>
        <w:pBdr>
          <w:top w:val="nil"/>
          <w:left w:val="nil"/>
          <w:bottom w:val="nil"/>
          <w:right w:val="nil"/>
          <w:between w:val="nil"/>
        </w:pBdr>
        <w:ind w:left="720"/>
        <w:jc w:val="both"/>
        <w:rPr>
          <w:rFonts w:ascii="Arial" w:eastAsia="Arial" w:hAnsi="Arial" w:cs="Arial"/>
          <w:color w:val="000000"/>
          <w:highlight w:val="white"/>
        </w:rPr>
      </w:pPr>
    </w:p>
    <w:p w14:paraId="2356A562" w14:textId="4332726A" w:rsidR="00E26B62" w:rsidRPr="00E26B62" w:rsidRDefault="00E26B62" w:rsidP="004775B6">
      <w:pPr>
        <w:pStyle w:val="ListParagraph"/>
        <w:numPr>
          <w:ilvl w:val="0"/>
          <w:numId w:val="1"/>
        </w:numPr>
        <w:jc w:val="both"/>
        <w:rPr>
          <w:rFonts w:ascii="Arial" w:eastAsia="Arial" w:hAnsi="Arial" w:cs="Arial"/>
          <w:color w:val="000000"/>
        </w:rPr>
      </w:pPr>
      <w:r w:rsidRPr="00E26B62">
        <w:rPr>
          <w:rFonts w:ascii="Arial" w:eastAsia="Arial" w:hAnsi="Arial" w:cs="Arial"/>
          <w:color w:val="000000"/>
        </w:rPr>
        <w:t>Determine whether situated learning practices of college teachers predict the students’ critical thinking skills.</w:t>
      </w:r>
    </w:p>
    <w:p w14:paraId="0880B320" w14:textId="77777777" w:rsidR="000B1D44" w:rsidRDefault="000B62FC">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t xml:space="preserve"> </w:t>
      </w:r>
    </w:p>
    <w:p w14:paraId="4C6485F3" w14:textId="77777777" w:rsidR="000B1D44" w:rsidRDefault="000B62F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 xml:space="preserve">3. MATERIALS AND METHODS </w:t>
      </w:r>
    </w:p>
    <w:p w14:paraId="4773A560"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A9C3582" w14:textId="77777777" w:rsidR="000B1D44" w:rsidRDefault="000B62FC">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Research Design</w:t>
      </w:r>
    </w:p>
    <w:p w14:paraId="17C6AD44" w14:textId="6379FB70" w:rsidR="000B1D44" w:rsidRDefault="008174FA" w:rsidP="00E26B62">
      <w:pPr>
        <w:pBdr>
          <w:top w:val="nil"/>
          <w:left w:val="nil"/>
          <w:bottom w:val="nil"/>
          <w:right w:val="nil"/>
          <w:between w:val="nil"/>
        </w:pBdr>
        <w:ind w:firstLine="720"/>
        <w:jc w:val="both"/>
        <w:rPr>
          <w:rFonts w:ascii="Arial" w:eastAsia="Arial" w:hAnsi="Arial" w:cs="Arial"/>
          <w:color w:val="000000"/>
        </w:rPr>
      </w:pPr>
      <w:r w:rsidRPr="008174FA">
        <w:rPr>
          <w:rFonts w:ascii="Arial" w:eastAsia="Arial" w:hAnsi="Arial" w:cs="Arial"/>
          <w:color w:val="000000"/>
        </w:rPr>
        <w:t>This study used a descriptive-correlational design to describe the variables and examine the natural relationship between them (Creswell &amp; Creswell, 2017). The primary focus was to determine the significant relationship between mathematics teachers’ situated learning practices and college students’ critical thinking skills. Data collection involved descriptive surveys, using questionnaires to assess teachers’ situated learning practices and measure students’ critical thinking.</w:t>
      </w:r>
    </w:p>
    <w:p w14:paraId="666B4737" w14:textId="77777777" w:rsidR="00E26B62" w:rsidRDefault="00E26B62">
      <w:pPr>
        <w:pBdr>
          <w:top w:val="nil"/>
          <w:left w:val="nil"/>
          <w:bottom w:val="nil"/>
          <w:right w:val="nil"/>
          <w:between w:val="nil"/>
        </w:pBdr>
        <w:jc w:val="both"/>
        <w:rPr>
          <w:rFonts w:ascii="Arial" w:eastAsia="Arial" w:hAnsi="Arial" w:cs="Arial"/>
          <w:color w:val="000000"/>
          <w:highlight w:val="white"/>
        </w:rPr>
      </w:pPr>
    </w:p>
    <w:p w14:paraId="3BF1C07A" w14:textId="77777777" w:rsidR="000B1D44" w:rsidRDefault="000B62FC">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Research Instrument</w:t>
      </w:r>
    </w:p>
    <w:p w14:paraId="6F6D2F7E" w14:textId="5A2DD251" w:rsidR="008174FA" w:rsidRPr="008174FA" w:rsidRDefault="008174FA" w:rsidP="008174FA">
      <w:pPr>
        <w:pBdr>
          <w:top w:val="nil"/>
          <w:left w:val="nil"/>
          <w:bottom w:val="nil"/>
          <w:right w:val="nil"/>
          <w:between w:val="nil"/>
        </w:pBdr>
        <w:ind w:firstLine="720"/>
        <w:jc w:val="both"/>
        <w:rPr>
          <w:rFonts w:ascii="Arial" w:eastAsia="Arial" w:hAnsi="Arial" w:cs="Arial"/>
          <w:color w:val="000000"/>
        </w:rPr>
      </w:pPr>
      <w:r w:rsidRPr="008174FA">
        <w:rPr>
          <w:rFonts w:ascii="Arial" w:eastAsia="Arial" w:hAnsi="Arial" w:cs="Arial"/>
          <w:color w:val="000000"/>
        </w:rPr>
        <w:t xml:space="preserve">The main instrument used to assess students’ critical thinking was the Critical Thinking Questionnaire (CThQ), developed by Kobylarek et al. (2022). The CThQ is designed to evaluate critical thinking among adolescents and adults. It was developed based on Benjamin Bloom’s </w:t>
      </w:r>
      <w:r w:rsidR="00A86980" w:rsidRPr="00A86980">
        <w:rPr>
          <w:rFonts w:ascii="Arial" w:eastAsia="Arial" w:hAnsi="Arial" w:cs="Arial"/>
          <w:color w:val="000000"/>
          <w:highlight w:val="yellow"/>
        </w:rPr>
        <w:t>learning</w:t>
      </w:r>
      <w:r w:rsidRPr="008174FA">
        <w:rPr>
          <w:rFonts w:ascii="Arial" w:eastAsia="Arial" w:hAnsi="Arial" w:cs="Arial"/>
          <w:color w:val="000000"/>
        </w:rPr>
        <w:t xml:space="preserve"> objectives and supported by a team of experts in critical thinking. The CThQ consists of 25 statements targeting the participants’ ability to remember, understand, apply, analyze, evaluate, and create. It has a reported composite reliability of 0.877, indicating strong internal consistency. According to Skorková and Gažová-Adamková (2024), the CThQ is a useful tool for assessing critical thinking levels in university students across different educational contexts.</w:t>
      </w:r>
    </w:p>
    <w:p w14:paraId="562D5F85" w14:textId="77777777" w:rsidR="008174FA" w:rsidRPr="008174FA" w:rsidRDefault="008174FA" w:rsidP="008174FA">
      <w:pPr>
        <w:pBdr>
          <w:top w:val="nil"/>
          <w:left w:val="nil"/>
          <w:bottom w:val="nil"/>
          <w:right w:val="nil"/>
          <w:between w:val="nil"/>
        </w:pBdr>
        <w:ind w:firstLine="720"/>
        <w:jc w:val="both"/>
        <w:rPr>
          <w:rFonts w:ascii="Arial" w:eastAsia="Arial" w:hAnsi="Arial" w:cs="Arial"/>
          <w:color w:val="000000"/>
        </w:rPr>
      </w:pPr>
      <w:r w:rsidRPr="008174FA">
        <w:rPr>
          <w:rFonts w:ascii="Arial" w:eastAsia="Arial" w:hAnsi="Arial" w:cs="Arial"/>
          <w:color w:val="000000"/>
        </w:rPr>
        <w:t>Another instrument used was adapted from the original questionnaire developed by Hortelano and Prudente (2024) to assess mathematics teachers’ situated learning practices in the Philippines. The adapted version was modified to include items that reflect college students’ perceptions and experiences, while still preserving the original content. This version was found to be comprehensive and suitable for the study’s context.</w:t>
      </w:r>
    </w:p>
    <w:p w14:paraId="60454E7B" w14:textId="77777777" w:rsidR="008174FA" w:rsidRPr="008174FA" w:rsidRDefault="008174FA" w:rsidP="008174FA">
      <w:pPr>
        <w:pBdr>
          <w:top w:val="nil"/>
          <w:left w:val="nil"/>
          <w:bottom w:val="nil"/>
          <w:right w:val="nil"/>
          <w:between w:val="nil"/>
        </w:pBdr>
        <w:ind w:firstLine="720"/>
        <w:jc w:val="both"/>
        <w:rPr>
          <w:rFonts w:ascii="Arial" w:eastAsia="Arial" w:hAnsi="Arial" w:cs="Arial"/>
          <w:color w:val="000000"/>
        </w:rPr>
      </w:pPr>
      <w:r w:rsidRPr="008174FA">
        <w:rPr>
          <w:rFonts w:ascii="Arial" w:eastAsia="Arial" w:hAnsi="Arial" w:cs="Arial"/>
          <w:color w:val="000000"/>
        </w:rPr>
        <w:t>The internal consistency of the Mathematics Teachers’ Situated Learning Practices Questionnaire (MTSLPQ) was tested using Cronbach’s alpha. The result for the 22-item questionnaire was 0.801, indicating good reliability based on the interpretation scale by Hair et al. (2010). This suggests that the instrument is reliable for use among college students.</w:t>
      </w:r>
    </w:p>
    <w:p w14:paraId="1A931719" w14:textId="2282134A" w:rsidR="00E26B62" w:rsidRDefault="008174FA" w:rsidP="008174FA">
      <w:pPr>
        <w:pBdr>
          <w:top w:val="nil"/>
          <w:left w:val="nil"/>
          <w:bottom w:val="nil"/>
          <w:right w:val="nil"/>
          <w:between w:val="nil"/>
        </w:pBdr>
        <w:ind w:firstLine="720"/>
        <w:jc w:val="both"/>
        <w:rPr>
          <w:rFonts w:ascii="Arial" w:eastAsia="Arial" w:hAnsi="Arial" w:cs="Arial"/>
          <w:color w:val="000000"/>
          <w:highlight w:val="white"/>
        </w:rPr>
      </w:pPr>
      <w:r w:rsidRPr="008174FA">
        <w:rPr>
          <w:rFonts w:ascii="Arial" w:eastAsia="Arial" w:hAnsi="Arial" w:cs="Arial"/>
          <w:color w:val="000000"/>
        </w:rPr>
        <w:t>To ensure the validity of the MTSLPQ, three experts in Mathematics Education conducted a validation process. They evaluated the instrument using an institutional validation form based on several criteria: clarity of language, presentation and organization of topics, appropriateness of items, adequacy and attainment of purpose, respondent-friendliness, and objectivity. Validity was measured using Azwar’s (2012) scale and interpreted using the Aiken V formula.</w:t>
      </w:r>
      <w:r>
        <w:rPr>
          <w:rFonts w:ascii="Arial" w:eastAsia="Arial" w:hAnsi="Arial" w:cs="Arial"/>
          <w:color w:val="000000"/>
        </w:rPr>
        <w:t xml:space="preserve"> </w:t>
      </w:r>
      <w:r w:rsidRPr="008174FA">
        <w:rPr>
          <w:rFonts w:ascii="Arial" w:eastAsia="Arial" w:hAnsi="Arial" w:cs="Arial"/>
          <w:color w:val="000000"/>
        </w:rPr>
        <w:t xml:space="preserve">The results of the validity test showed very high validity across most criteria. </w:t>
      </w:r>
      <w:r>
        <w:rPr>
          <w:rFonts w:ascii="Arial" w:eastAsia="Arial" w:hAnsi="Arial" w:cs="Arial"/>
          <w:color w:val="000000"/>
        </w:rPr>
        <w:t>T</w:t>
      </w:r>
      <w:r w:rsidRPr="008174FA">
        <w:rPr>
          <w:rFonts w:ascii="Arial" w:eastAsia="Arial" w:hAnsi="Arial" w:cs="Arial"/>
          <w:color w:val="000000"/>
        </w:rPr>
        <w:t>he instrument achieved an Overall Validity Score of 0.95, which falls within the “very high” category. This confirms that the MTSLPQ is a valid and reliable tool for assessing the situated learning practices of mathematics teachers in the college setting.</w:t>
      </w:r>
    </w:p>
    <w:p w14:paraId="03B9A66D"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0432477E" w14:textId="77777777" w:rsidR="000B1D44" w:rsidRDefault="000B62FC">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Respondents of the Study</w:t>
      </w:r>
    </w:p>
    <w:p w14:paraId="39D79CCC" w14:textId="4C566BD9" w:rsidR="000B1D44" w:rsidRDefault="009E31D0">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ab/>
      </w:r>
      <w:r w:rsidR="008174FA" w:rsidRPr="008174FA">
        <w:rPr>
          <w:rFonts w:ascii="Arial" w:eastAsia="Arial" w:hAnsi="Arial" w:cs="Arial"/>
          <w:color w:val="000000"/>
        </w:rPr>
        <w:t xml:space="preserve">In this study, Table 1 showed the distribution of respondents. The respondents were college students enrolled in the five (5) programs offered at one of the campuses of a state university in Southeastern Philippines during the academic year 2024–2025. </w:t>
      </w:r>
      <w:r w:rsidR="0090737C" w:rsidRPr="0090737C">
        <w:rPr>
          <w:rFonts w:ascii="Arial" w:eastAsia="Arial" w:hAnsi="Arial" w:cs="Arial"/>
          <w:color w:val="000000"/>
        </w:rPr>
        <w:t xml:space="preserve">The researcher </w:t>
      </w:r>
      <w:r w:rsidR="0090737C" w:rsidRPr="0090737C">
        <w:rPr>
          <w:rFonts w:ascii="Arial" w:eastAsia="Arial" w:hAnsi="Arial" w:cs="Arial"/>
          <w:color w:val="000000"/>
          <w:highlight w:val="yellow"/>
        </w:rPr>
        <w:t>employed a probabilistic sampling method, specifically a stratified random sampling technique</w:t>
      </w:r>
      <w:r w:rsidR="008174FA" w:rsidRPr="008174FA">
        <w:rPr>
          <w:rFonts w:ascii="Arial" w:eastAsia="Arial" w:hAnsi="Arial" w:cs="Arial"/>
          <w:color w:val="000000"/>
        </w:rPr>
        <w:t>, which involved dividing the population into smaller subgroups or strata to ensure that each subgroup was proportionally represented. Slovin's formula was used to calculate the sample size, allowing for a statistically representative sample with the desired level of accuracy. To ensure proportional distribution of respondents across different programs, the stratified random sampling technique was applied. The lottery method was used to randomly select participants from each stratum, minimizing selection bias. The randomly selected students answered the adopted and adapted survey questionnaires. See Table 1 for the details of the distribution of respondents.</w:t>
      </w:r>
    </w:p>
    <w:p w14:paraId="2AE2DA6A" w14:textId="77777777" w:rsidR="009E31D0" w:rsidRDefault="009E31D0">
      <w:pPr>
        <w:pBdr>
          <w:top w:val="nil"/>
          <w:left w:val="nil"/>
          <w:bottom w:val="nil"/>
          <w:right w:val="nil"/>
          <w:between w:val="nil"/>
        </w:pBdr>
        <w:jc w:val="both"/>
        <w:rPr>
          <w:rFonts w:ascii="Arial" w:eastAsia="Arial" w:hAnsi="Arial" w:cs="Arial"/>
          <w:color w:val="000000"/>
          <w:highlight w:val="white"/>
        </w:rPr>
      </w:pPr>
    </w:p>
    <w:p w14:paraId="1FA70D76" w14:textId="77777777" w:rsidR="000B1D44" w:rsidRDefault="000B62FC">
      <w:pPr>
        <w:pBdr>
          <w:top w:val="nil"/>
          <w:left w:val="nil"/>
          <w:bottom w:val="nil"/>
          <w:right w:val="nil"/>
          <w:between w:val="nil"/>
        </w:pBdr>
        <w:rPr>
          <w:rFonts w:ascii="Arial" w:eastAsia="Arial" w:hAnsi="Arial" w:cs="Arial"/>
          <w:color w:val="000000"/>
          <w:highlight w:val="white"/>
        </w:rPr>
      </w:pPr>
      <w:r>
        <w:rPr>
          <w:rFonts w:ascii="Arial" w:eastAsia="Arial" w:hAnsi="Arial" w:cs="Arial"/>
          <w:color w:val="000000"/>
          <w:highlight w:val="white"/>
        </w:rPr>
        <w:lastRenderedPageBreak/>
        <w:t>Table 1. Distribution of Respondents</w:t>
      </w:r>
    </w:p>
    <w:tbl>
      <w:tblPr>
        <w:tblStyle w:val="a0"/>
        <w:tblW w:w="8190" w:type="dxa"/>
        <w:tblBorders>
          <w:top w:val="nil"/>
          <w:bottom w:val="nil"/>
        </w:tblBorders>
        <w:tblLayout w:type="fixed"/>
        <w:tblLook w:val="0660" w:firstRow="1" w:lastRow="1" w:firstColumn="0" w:lastColumn="0" w:noHBand="1" w:noVBand="1"/>
      </w:tblPr>
      <w:tblGrid>
        <w:gridCol w:w="1440"/>
        <w:gridCol w:w="2250"/>
        <w:gridCol w:w="1980"/>
        <w:gridCol w:w="2520"/>
      </w:tblGrid>
      <w:tr w:rsidR="000B1D44" w:rsidRPr="00E65376" w14:paraId="556A7BC5" w14:textId="77777777" w:rsidTr="000B1D44">
        <w:trPr>
          <w:cnfStyle w:val="100000000000" w:firstRow="1" w:lastRow="0" w:firstColumn="0" w:lastColumn="0" w:oddVBand="0" w:evenVBand="0" w:oddHBand="0" w:evenHBand="0" w:firstRowFirstColumn="0" w:firstRowLastColumn="0" w:lastRowFirstColumn="0" w:lastRowLastColumn="0"/>
          <w:trHeight w:val="91"/>
        </w:trPr>
        <w:tc>
          <w:tcPr>
            <w:tcW w:w="1440" w:type="dxa"/>
            <w:tcBorders>
              <w:top w:val="single" w:sz="24" w:space="0" w:color="000000"/>
              <w:bottom w:val="single" w:sz="4" w:space="0" w:color="000000"/>
            </w:tcBorders>
            <w:vAlign w:val="bottom"/>
          </w:tcPr>
          <w:p w14:paraId="66BC290E" w14:textId="1C8A0A5C" w:rsidR="000B1D44" w:rsidRPr="00E65376" w:rsidRDefault="009E31D0">
            <w:pPr>
              <w:pBdr>
                <w:top w:val="nil"/>
                <w:left w:val="nil"/>
                <w:bottom w:val="nil"/>
                <w:right w:val="nil"/>
                <w:between w:val="nil"/>
              </w:pBdr>
              <w:jc w:val="center"/>
              <w:rPr>
                <w:rFonts w:ascii="Arial" w:eastAsia="Arial" w:hAnsi="Arial" w:cs="Arial"/>
                <w:highlight w:val="white"/>
              </w:rPr>
            </w:pPr>
            <w:r w:rsidRPr="00E65376">
              <w:rPr>
                <w:rFonts w:ascii="Arial" w:eastAsia="Arial" w:hAnsi="Arial" w:cs="Arial"/>
                <w:b w:val="0"/>
                <w:highlight w:val="white"/>
              </w:rPr>
              <w:t>COLLEGE</w:t>
            </w:r>
          </w:p>
          <w:p w14:paraId="5B7FD8F9" w14:textId="77777777" w:rsidR="000B1D44" w:rsidRPr="00E65376" w:rsidRDefault="000B1D44">
            <w:pPr>
              <w:pBdr>
                <w:top w:val="nil"/>
                <w:left w:val="nil"/>
                <w:bottom w:val="nil"/>
                <w:right w:val="nil"/>
                <w:between w:val="nil"/>
              </w:pBdr>
              <w:jc w:val="center"/>
              <w:rPr>
                <w:rFonts w:ascii="Arial" w:eastAsia="Arial" w:hAnsi="Arial" w:cs="Arial"/>
                <w:highlight w:val="white"/>
              </w:rPr>
            </w:pPr>
          </w:p>
        </w:tc>
        <w:tc>
          <w:tcPr>
            <w:tcW w:w="2250" w:type="dxa"/>
            <w:tcBorders>
              <w:top w:val="single" w:sz="24" w:space="0" w:color="000000"/>
              <w:bottom w:val="single" w:sz="4" w:space="0" w:color="000000"/>
            </w:tcBorders>
            <w:vAlign w:val="bottom"/>
          </w:tcPr>
          <w:p w14:paraId="52B3AEF5" w14:textId="77777777" w:rsidR="000B1D44" w:rsidRPr="00E65376" w:rsidRDefault="000B62FC">
            <w:pPr>
              <w:pBdr>
                <w:top w:val="nil"/>
                <w:left w:val="nil"/>
                <w:bottom w:val="nil"/>
                <w:right w:val="nil"/>
                <w:between w:val="nil"/>
              </w:pBdr>
              <w:jc w:val="center"/>
              <w:rPr>
                <w:rFonts w:ascii="Arial" w:eastAsia="Arial" w:hAnsi="Arial" w:cs="Arial"/>
                <w:highlight w:val="white"/>
              </w:rPr>
            </w:pPr>
            <w:r w:rsidRPr="00E65376">
              <w:rPr>
                <w:rFonts w:ascii="Arial" w:eastAsia="Arial" w:hAnsi="Arial" w:cs="Arial"/>
                <w:b w:val="0"/>
                <w:highlight w:val="white"/>
              </w:rPr>
              <w:t>POPULATION</w:t>
            </w:r>
          </w:p>
          <w:p w14:paraId="524BD96D" w14:textId="77777777" w:rsidR="000B1D44" w:rsidRPr="00E65376" w:rsidRDefault="000B62FC">
            <w:pPr>
              <w:pBdr>
                <w:top w:val="nil"/>
                <w:left w:val="nil"/>
                <w:bottom w:val="nil"/>
                <w:right w:val="nil"/>
                <w:between w:val="nil"/>
              </w:pBdr>
              <w:jc w:val="center"/>
              <w:rPr>
                <w:rFonts w:ascii="Arial" w:eastAsia="Arial" w:hAnsi="Arial" w:cs="Arial"/>
                <w:highlight w:val="white"/>
              </w:rPr>
            </w:pPr>
            <w:r w:rsidRPr="00E65376">
              <w:rPr>
                <w:rFonts w:ascii="Arial" w:eastAsia="Arial" w:hAnsi="Arial" w:cs="Arial"/>
                <w:b w:val="0"/>
                <w:highlight w:val="white"/>
              </w:rPr>
              <w:t>(N)</w:t>
            </w:r>
          </w:p>
        </w:tc>
        <w:tc>
          <w:tcPr>
            <w:tcW w:w="1980" w:type="dxa"/>
            <w:tcBorders>
              <w:top w:val="single" w:sz="24" w:space="0" w:color="000000"/>
              <w:bottom w:val="single" w:sz="4" w:space="0" w:color="000000"/>
            </w:tcBorders>
            <w:vAlign w:val="bottom"/>
          </w:tcPr>
          <w:p w14:paraId="42E0FE11" w14:textId="77777777" w:rsidR="000B1D44" w:rsidRPr="00E65376" w:rsidRDefault="000B62FC">
            <w:pPr>
              <w:pBdr>
                <w:top w:val="nil"/>
                <w:left w:val="nil"/>
                <w:bottom w:val="nil"/>
                <w:right w:val="nil"/>
                <w:between w:val="nil"/>
              </w:pBdr>
              <w:jc w:val="center"/>
              <w:rPr>
                <w:rFonts w:ascii="Arial" w:eastAsia="Arial" w:hAnsi="Arial" w:cs="Arial"/>
                <w:highlight w:val="white"/>
              </w:rPr>
            </w:pPr>
            <w:r w:rsidRPr="00E65376">
              <w:rPr>
                <w:rFonts w:ascii="Arial" w:eastAsia="Arial" w:hAnsi="Arial" w:cs="Arial"/>
                <w:b w:val="0"/>
                <w:highlight w:val="white"/>
              </w:rPr>
              <w:t>SAMPLE SIZE</w:t>
            </w:r>
          </w:p>
          <w:p w14:paraId="4C7FB95A" w14:textId="77777777" w:rsidR="000B1D44" w:rsidRPr="00E65376" w:rsidRDefault="000B62FC">
            <w:pPr>
              <w:pBdr>
                <w:top w:val="nil"/>
                <w:left w:val="nil"/>
                <w:bottom w:val="nil"/>
                <w:right w:val="nil"/>
                <w:between w:val="nil"/>
              </w:pBdr>
              <w:jc w:val="center"/>
              <w:rPr>
                <w:rFonts w:ascii="Arial" w:eastAsia="Arial" w:hAnsi="Arial" w:cs="Arial"/>
                <w:highlight w:val="white"/>
              </w:rPr>
            </w:pPr>
            <w:r w:rsidRPr="00E65376">
              <w:rPr>
                <w:rFonts w:ascii="Arial" w:eastAsia="Arial" w:hAnsi="Arial" w:cs="Arial"/>
                <w:b w:val="0"/>
                <w:highlight w:val="white"/>
              </w:rPr>
              <w:t>(n)</w:t>
            </w:r>
          </w:p>
        </w:tc>
        <w:tc>
          <w:tcPr>
            <w:tcW w:w="2520" w:type="dxa"/>
            <w:tcBorders>
              <w:top w:val="single" w:sz="24" w:space="0" w:color="000000"/>
              <w:bottom w:val="single" w:sz="4" w:space="0" w:color="000000"/>
            </w:tcBorders>
            <w:vAlign w:val="bottom"/>
          </w:tcPr>
          <w:p w14:paraId="5AF6901B" w14:textId="77777777" w:rsidR="000B1D44" w:rsidRPr="00E65376" w:rsidRDefault="000B62FC">
            <w:pPr>
              <w:pBdr>
                <w:top w:val="nil"/>
                <w:left w:val="nil"/>
                <w:bottom w:val="nil"/>
                <w:right w:val="nil"/>
                <w:between w:val="nil"/>
              </w:pBdr>
              <w:jc w:val="center"/>
              <w:rPr>
                <w:rFonts w:ascii="Arial" w:eastAsia="Arial" w:hAnsi="Arial" w:cs="Arial"/>
                <w:highlight w:val="white"/>
              </w:rPr>
            </w:pPr>
            <w:r w:rsidRPr="00E65376">
              <w:rPr>
                <w:rFonts w:ascii="Arial" w:eastAsia="Arial" w:hAnsi="Arial" w:cs="Arial"/>
                <w:b w:val="0"/>
                <w:highlight w:val="white"/>
              </w:rPr>
              <w:t>PERCENTAGE</w:t>
            </w:r>
          </w:p>
          <w:p w14:paraId="4003308E" w14:textId="77777777" w:rsidR="000B1D44" w:rsidRPr="00E65376" w:rsidRDefault="000B62FC">
            <w:pPr>
              <w:pBdr>
                <w:top w:val="nil"/>
                <w:left w:val="nil"/>
                <w:bottom w:val="nil"/>
                <w:right w:val="nil"/>
                <w:between w:val="nil"/>
              </w:pBdr>
              <w:jc w:val="center"/>
              <w:rPr>
                <w:rFonts w:ascii="Arial" w:eastAsia="Arial" w:hAnsi="Arial" w:cs="Arial"/>
                <w:highlight w:val="white"/>
              </w:rPr>
            </w:pPr>
            <w:r w:rsidRPr="00E65376">
              <w:rPr>
                <w:rFonts w:ascii="Arial" w:eastAsia="Arial" w:hAnsi="Arial" w:cs="Arial"/>
                <w:b w:val="0"/>
                <w:highlight w:val="white"/>
              </w:rPr>
              <w:t>(%)</w:t>
            </w:r>
          </w:p>
        </w:tc>
      </w:tr>
      <w:tr w:rsidR="009E31D0" w:rsidRPr="00E65376" w14:paraId="7D751AF4" w14:textId="77777777" w:rsidTr="009158CD">
        <w:trPr>
          <w:trHeight w:val="87"/>
        </w:trPr>
        <w:tc>
          <w:tcPr>
            <w:tcW w:w="1440" w:type="dxa"/>
            <w:tcBorders>
              <w:top w:val="single" w:sz="4" w:space="0" w:color="000000"/>
            </w:tcBorders>
          </w:tcPr>
          <w:p w14:paraId="711B19A4" w14:textId="5D28D848"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1</w:t>
            </w:r>
          </w:p>
        </w:tc>
        <w:tc>
          <w:tcPr>
            <w:tcW w:w="2250" w:type="dxa"/>
            <w:tcBorders>
              <w:top w:val="single" w:sz="4" w:space="0" w:color="000000"/>
            </w:tcBorders>
          </w:tcPr>
          <w:p w14:paraId="37B3AA0E" w14:textId="6981F770"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210</w:t>
            </w:r>
          </w:p>
        </w:tc>
        <w:tc>
          <w:tcPr>
            <w:tcW w:w="1980" w:type="dxa"/>
            <w:tcBorders>
              <w:top w:val="single" w:sz="4" w:space="0" w:color="000000"/>
            </w:tcBorders>
          </w:tcPr>
          <w:p w14:paraId="028FB022" w14:textId="6EE3C661"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66</w:t>
            </w:r>
          </w:p>
        </w:tc>
        <w:tc>
          <w:tcPr>
            <w:tcW w:w="2520" w:type="dxa"/>
            <w:tcBorders>
              <w:top w:val="single" w:sz="4" w:space="0" w:color="000000"/>
            </w:tcBorders>
          </w:tcPr>
          <w:p w14:paraId="5D64C20B" w14:textId="7B87DDAD"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24.00</w:t>
            </w:r>
          </w:p>
        </w:tc>
      </w:tr>
      <w:tr w:rsidR="009E31D0" w:rsidRPr="00E65376" w14:paraId="06528342" w14:textId="77777777" w:rsidTr="009158CD">
        <w:trPr>
          <w:trHeight w:val="87"/>
        </w:trPr>
        <w:tc>
          <w:tcPr>
            <w:tcW w:w="1440" w:type="dxa"/>
          </w:tcPr>
          <w:p w14:paraId="1097F642" w14:textId="70052D92"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2</w:t>
            </w:r>
          </w:p>
        </w:tc>
        <w:tc>
          <w:tcPr>
            <w:tcW w:w="2250" w:type="dxa"/>
          </w:tcPr>
          <w:p w14:paraId="30CEFFF2" w14:textId="7BADE2A5"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175</w:t>
            </w:r>
          </w:p>
        </w:tc>
        <w:tc>
          <w:tcPr>
            <w:tcW w:w="1980" w:type="dxa"/>
          </w:tcPr>
          <w:p w14:paraId="103DA2B6" w14:textId="2C0272E9"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55</w:t>
            </w:r>
          </w:p>
        </w:tc>
        <w:tc>
          <w:tcPr>
            <w:tcW w:w="2520" w:type="dxa"/>
          </w:tcPr>
          <w:p w14:paraId="2797D1A6" w14:textId="795CE29C"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20.00</w:t>
            </w:r>
          </w:p>
        </w:tc>
      </w:tr>
      <w:tr w:rsidR="009E31D0" w:rsidRPr="00E65376" w14:paraId="3FFD4DC0" w14:textId="77777777" w:rsidTr="009158CD">
        <w:trPr>
          <w:trHeight w:val="87"/>
        </w:trPr>
        <w:tc>
          <w:tcPr>
            <w:tcW w:w="1440" w:type="dxa"/>
          </w:tcPr>
          <w:p w14:paraId="1FBC8E01" w14:textId="7B6E6657" w:rsidR="009E31D0" w:rsidRPr="00E65376" w:rsidRDefault="009E31D0" w:rsidP="009E31D0">
            <w:pPr>
              <w:pBdr>
                <w:top w:val="nil"/>
                <w:left w:val="nil"/>
                <w:bottom w:val="nil"/>
                <w:right w:val="nil"/>
                <w:between w:val="nil"/>
              </w:pBdr>
              <w:jc w:val="center"/>
              <w:rPr>
                <w:rFonts w:ascii="Arial" w:eastAsia="Arial" w:hAnsi="Arial" w:cs="Arial"/>
              </w:rPr>
            </w:pPr>
            <w:r w:rsidRPr="00E65376">
              <w:rPr>
                <w:rFonts w:ascii="Arial" w:hAnsi="Arial" w:cs="Arial"/>
              </w:rPr>
              <w:t>3</w:t>
            </w:r>
          </w:p>
        </w:tc>
        <w:tc>
          <w:tcPr>
            <w:tcW w:w="2250" w:type="dxa"/>
          </w:tcPr>
          <w:p w14:paraId="1FA073E3" w14:textId="5559188E" w:rsidR="009E31D0" w:rsidRPr="00E65376" w:rsidRDefault="009E31D0" w:rsidP="009E31D0">
            <w:pPr>
              <w:pBdr>
                <w:top w:val="nil"/>
                <w:left w:val="nil"/>
                <w:bottom w:val="nil"/>
                <w:right w:val="nil"/>
                <w:between w:val="nil"/>
              </w:pBdr>
              <w:jc w:val="center"/>
              <w:rPr>
                <w:rFonts w:ascii="Arial" w:eastAsia="Arial" w:hAnsi="Arial" w:cs="Arial"/>
              </w:rPr>
            </w:pPr>
            <w:r w:rsidRPr="00E65376">
              <w:rPr>
                <w:rFonts w:ascii="Arial" w:hAnsi="Arial" w:cs="Arial"/>
              </w:rPr>
              <w:t>174</w:t>
            </w:r>
          </w:p>
        </w:tc>
        <w:tc>
          <w:tcPr>
            <w:tcW w:w="1980" w:type="dxa"/>
          </w:tcPr>
          <w:p w14:paraId="698A95CB" w14:textId="560FF0A7" w:rsidR="009E31D0" w:rsidRPr="00E65376" w:rsidRDefault="009E31D0" w:rsidP="009E31D0">
            <w:pPr>
              <w:pBdr>
                <w:top w:val="nil"/>
                <w:left w:val="nil"/>
                <w:bottom w:val="nil"/>
                <w:right w:val="nil"/>
                <w:between w:val="nil"/>
              </w:pBdr>
              <w:jc w:val="center"/>
              <w:rPr>
                <w:rFonts w:ascii="Arial" w:eastAsia="Arial" w:hAnsi="Arial" w:cs="Arial"/>
              </w:rPr>
            </w:pPr>
            <w:r w:rsidRPr="00E65376">
              <w:rPr>
                <w:rFonts w:ascii="Arial" w:hAnsi="Arial" w:cs="Arial"/>
              </w:rPr>
              <w:t>54</w:t>
            </w:r>
          </w:p>
        </w:tc>
        <w:tc>
          <w:tcPr>
            <w:tcW w:w="2520" w:type="dxa"/>
          </w:tcPr>
          <w:p w14:paraId="04A16DC8" w14:textId="3C90142E"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19.63</w:t>
            </w:r>
          </w:p>
        </w:tc>
      </w:tr>
      <w:tr w:rsidR="009E31D0" w:rsidRPr="00E65376" w14:paraId="736EAE12" w14:textId="77777777" w:rsidTr="009158CD">
        <w:trPr>
          <w:trHeight w:val="87"/>
        </w:trPr>
        <w:tc>
          <w:tcPr>
            <w:tcW w:w="1440" w:type="dxa"/>
          </w:tcPr>
          <w:p w14:paraId="26822610" w14:textId="3599C196"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4</w:t>
            </w:r>
          </w:p>
        </w:tc>
        <w:tc>
          <w:tcPr>
            <w:tcW w:w="2250" w:type="dxa"/>
          </w:tcPr>
          <w:p w14:paraId="69FAF84B" w14:textId="4EA50FA7"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183</w:t>
            </w:r>
          </w:p>
        </w:tc>
        <w:tc>
          <w:tcPr>
            <w:tcW w:w="1980" w:type="dxa"/>
          </w:tcPr>
          <w:p w14:paraId="5C145632" w14:textId="6469ACEA"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57</w:t>
            </w:r>
          </w:p>
        </w:tc>
        <w:tc>
          <w:tcPr>
            <w:tcW w:w="2520" w:type="dxa"/>
          </w:tcPr>
          <w:p w14:paraId="133BAD29" w14:textId="48595817"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20.73</w:t>
            </w:r>
          </w:p>
        </w:tc>
      </w:tr>
      <w:tr w:rsidR="009E31D0" w:rsidRPr="00E65376" w14:paraId="35F8583D" w14:textId="77777777" w:rsidTr="009158CD">
        <w:trPr>
          <w:trHeight w:val="45"/>
        </w:trPr>
        <w:tc>
          <w:tcPr>
            <w:tcW w:w="1440" w:type="dxa"/>
            <w:tcBorders>
              <w:bottom w:val="single" w:sz="4" w:space="0" w:color="000000"/>
            </w:tcBorders>
          </w:tcPr>
          <w:p w14:paraId="7818E0DF" w14:textId="4588D94E"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5</w:t>
            </w:r>
          </w:p>
        </w:tc>
        <w:tc>
          <w:tcPr>
            <w:tcW w:w="2250" w:type="dxa"/>
            <w:tcBorders>
              <w:bottom w:val="single" w:sz="4" w:space="0" w:color="000000"/>
            </w:tcBorders>
          </w:tcPr>
          <w:p w14:paraId="6D77C06C" w14:textId="1E189EEB"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139</w:t>
            </w:r>
          </w:p>
        </w:tc>
        <w:tc>
          <w:tcPr>
            <w:tcW w:w="1980" w:type="dxa"/>
            <w:tcBorders>
              <w:bottom w:val="single" w:sz="4" w:space="0" w:color="000000"/>
            </w:tcBorders>
          </w:tcPr>
          <w:p w14:paraId="261DE15A" w14:textId="4D4D6CD3"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43</w:t>
            </w:r>
          </w:p>
        </w:tc>
        <w:tc>
          <w:tcPr>
            <w:tcW w:w="2520" w:type="dxa"/>
            <w:tcBorders>
              <w:bottom w:val="single" w:sz="4" w:space="0" w:color="000000"/>
            </w:tcBorders>
          </w:tcPr>
          <w:p w14:paraId="635B05BF" w14:textId="03101247"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15.64</w:t>
            </w:r>
          </w:p>
        </w:tc>
      </w:tr>
      <w:tr w:rsidR="009E31D0" w:rsidRPr="00E65376" w14:paraId="3ADA2434" w14:textId="77777777" w:rsidTr="009158CD">
        <w:trPr>
          <w:cnfStyle w:val="010000000000" w:firstRow="0" w:lastRow="1" w:firstColumn="0" w:lastColumn="0" w:oddVBand="0" w:evenVBand="0" w:oddHBand="0" w:evenHBand="0" w:firstRowFirstColumn="0" w:firstRowLastColumn="0" w:lastRowFirstColumn="0" w:lastRowLastColumn="0"/>
          <w:trHeight w:val="41"/>
        </w:trPr>
        <w:tc>
          <w:tcPr>
            <w:tcW w:w="1440" w:type="dxa"/>
            <w:tcBorders>
              <w:top w:val="single" w:sz="4" w:space="0" w:color="000000"/>
              <w:bottom w:val="single" w:sz="24" w:space="0" w:color="000000"/>
            </w:tcBorders>
          </w:tcPr>
          <w:p w14:paraId="135DEC90" w14:textId="52A6F84D"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Total</w:t>
            </w:r>
          </w:p>
        </w:tc>
        <w:tc>
          <w:tcPr>
            <w:tcW w:w="2250" w:type="dxa"/>
            <w:tcBorders>
              <w:top w:val="single" w:sz="4" w:space="0" w:color="000000"/>
              <w:bottom w:val="single" w:sz="24" w:space="0" w:color="000000"/>
            </w:tcBorders>
          </w:tcPr>
          <w:p w14:paraId="1548FFF8" w14:textId="75648234"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881</w:t>
            </w:r>
          </w:p>
        </w:tc>
        <w:tc>
          <w:tcPr>
            <w:tcW w:w="1980" w:type="dxa"/>
            <w:tcBorders>
              <w:top w:val="single" w:sz="4" w:space="0" w:color="000000"/>
              <w:bottom w:val="single" w:sz="24" w:space="0" w:color="000000"/>
            </w:tcBorders>
          </w:tcPr>
          <w:p w14:paraId="2C9094A7" w14:textId="668D10EA"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275</w:t>
            </w:r>
          </w:p>
        </w:tc>
        <w:tc>
          <w:tcPr>
            <w:tcW w:w="2520" w:type="dxa"/>
            <w:tcBorders>
              <w:top w:val="single" w:sz="4" w:space="0" w:color="000000"/>
              <w:bottom w:val="single" w:sz="24" w:space="0" w:color="000000"/>
            </w:tcBorders>
          </w:tcPr>
          <w:p w14:paraId="41A3900D" w14:textId="3389757E" w:rsidR="009E31D0" w:rsidRPr="00E65376" w:rsidRDefault="009E31D0" w:rsidP="009E31D0">
            <w:pPr>
              <w:pBdr>
                <w:top w:val="nil"/>
                <w:left w:val="nil"/>
                <w:bottom w:val="nil"/>
                <w:right w:val="nil"/>
                <w:between w:val="nil"/>
              </w:pBdr>
              <w:jc w:val="center"/>
              <w:rPr>
                <w:rFonts w:ascii="Arial" w:eastAsia="Arial" w:hAnsi="Arial" w:cs="Arial"/>
                <w:highlight w:val="white"/>
              </w:rPr>
            </w:pPr>
            <w:r w:rsidRPr="00E65376">
              <w:rPr>
                <w:rFonts w:ascii="Arial" w:hAnsi="Arial" w:cs="Arial"/>
              </w:rPr>
              <w:t>100.00</w:t>
            </w:r>
          </w:p>
        </w:tc>
      </w:tr>
    </w:tbl>
    <w:p w14:paraId="5DABC4CB" w14:textId="77777777" w:rsidR="000B1D44" w:rsidRDefault="000B1D44">
      <w:pPr>
        <w:pBdr>
          <w:top w:val="nil"/>
          <w:left w:val="nil"/>
          <w:bottom w:val="nil"/>
          <w:right w:val="nil"/>
          <w:between w:val="nil"/>
        </w:pBdr>
        <w:rPr>
          <w:rFonts w:ascii="Arial" w:eastAsia="Arial" w:hAnsi="Arial" w:cs="Arial"/>
          <w:b/>
          <w:color w:val="000000"/>
          <w:highlight w:val="white"/>
        </w:rPr>
      </w:pPr>
    </w:p>
    <w:p w14:paraId="21A97AC9" w14:textId="77777777" w:rsidR="000B1D44" w:rsidRDefault="000B62FC">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Data Gathering</w:t>
      </w:r>
    </w:p>
    <w:p w14:paraId="7DD83F17"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122E765C" w14:textId="1A44D4F1" w:rsidR="00C16C0C" w:rsidRPr="00C16C0C" w:rsidRDefault="009F534E" w:rsidP="00C16C0C">
      <w:pPr>
        <w:keepNext/>
        <w:pBdr>
          <w:top w:val="nil"/>
          <w:left w:val="nil"/>
          <w:bottom w:val="nil"/>
          <w:right w:val="nil"/>
          <w:between w:val="nil"/>
        </w:pBdr>
        <w:ind w:firstLine="720"/>
        <w:jc w:val="both"/>
        <w:rPr>
          <w:rFonts w:ascii="Arial" w:eastAsia="Arial" w:hAnsi="Arial" w:cs="Arial"/>
          <w:color w:val="000000"/>
        </w:rPr>
      </w:pPr>
      <w:r w:rsidRPr="009F534E">
        <w:rPr>
          <w:rFonts w:ascii="Arial" w:eastAsia="Arial" w:hAnsi="Arial" w:cs="Arial"/>
          <w:color w:val="000000"/>
          <w:highlight w:val="yellow"/>
        </w:rPr>
        <w:t>The data gathering process involved coordination with academic offices and program chairpersons to facilitate the distribution and completion of the survey questionnaires by the selected student participants. Prior approval was secured from the appropriate authorities, and data collection commenced thereafter</w:t>
      </w:r>
      <w:r w:rsidRPr="009F534E">
        <w:rPr>
          <w:rFonts w:ascii="Arial" w:eastAsia="Arial" w:hAnsi="Arial" w:cs="Arial"/>
          <w:color w:val="000000"/>
        </w:rPr>
        <w:t>.</w:t>
      </w:r>
    </w:p>
    <w:p w14:paraId="0172A859" w14:textId="77777777" w:rsidR="00C16C0C" w:rsidRPr="00C16C0C" w:rsidRDefault="00C16C0C" w:rsidP="00C16C0C">
      <w:pPr>
        <w:keepNext/>
        <w:pBdr>
          <w:top w:val="nil"/>
          <w:left w:val="nil"/>
          <w:bottom w:val="nil"/>
          <w:right w:val="nil"/>
          <w:between w:val="nil"/>
        </w:pBdr>
        <w:ind w:firstLine="720"/>
        <w:jc w:val="both"/>
        <w:rPr>
          <w:rFonts w:ascii="Arial" w:eastAsia="Arial" w:hAnsi="Arial" w:cs="Arial"/>
          <w:color w:val="000000"/>
        </w:rPr>
      </w:pPr>
      <w:r w:rsidRPr="00C16C0C">
        <w:rPr>
          <w:rFonts w:ascii="Arial" w:eastAsia="Arial" w:hAnsi="Arial" w:cs="Arial"/>
          <w:color w:val="000000"/>
        </w:rPr>
        <w:t>The adopted and adapted questionnaires were used as the data collection instruments. The researcher distributed the questionnaires to the respondents in person, administering them through survey forms while carefully supervising the process. In adherence to data privacy, the researcher asked permission from the students to use the data they provided. Once the students signed the consent forms, this signified their acceptance and willingness to participate in the study. The importance of honesty in answering the survey questionnaires was emphasized, and anonymity was also stressed.</w:t>
      </w:r>
    </w:p>
    <w:p w14:paraId="00948F44" w14:textId="5C943939" w:rsidR="00C16C0C" w:rsidRDefault="00C16C0C" w:rsidP="00C16C0C">
      <w:pPr>
        <w:keepNext/>
        <w:pBdr>
          <w:top w:val="nil"/>
          <w:left w:val="nil"/>
          <w:bottom w:val="nil"/>
          <w:right w:val="nil"/>
          <w:between w:val="nil"/>
        </w:pBdr>
        <w:ind w:firstLine="720"/>
        <w:jc w:val="both"/>
        <w:rPr>
          <w:rFonts w:ascii="Arial" w:eastAsia="Arial" w:hAnsi="Arial" w:cs="Arial"/>
          <w:b/>
          <w:smallCaps/>
          <w:color w:val="000000"/>
          <w:sz w:val="22"/>
          <w:szCs w:val="22"/>
        </w:rPr>
      </w:pPr>
      <w:r w:rsidRPr="00C16C0C">
        <w:rPr>
          <w:rFonts w:ascii="Arial" w:eastAsia="Arial" w:hAnsi="Arial" w:cs="Arial"/>
          <w:color w:val="000000"/>
        </w:rPr>
        <w:t>Upon completion of the survey questionnaires, the researcher ensured that all data collected were handled with respect and confidentiality. The data were then tallied, collated, and tabulated for further analysis. Tables were provided to visually present the data, and the results were summarized and analyzed using appropriate statistical tools and software.</w:t>
      </w:r>
    </w:p>
    <w:p w14:paraId="5977491F" w14:textId="77777777" w:rsidR="00C16C0C" w:rsidRDefault="00C16C0C" w:rsidP="00C16C0C">
      <w:pPr>
        <w:keepNext/>
        <w:pBdr>
          <w:top w:val="nil"/>
          <w:left w:val="nil"/>
          <w:bottom w:val="nil"/>
          <w:right w:val="nil"/>
          <w:between w:val="nil"/>
        </w:pBdr>
        <w:jc w:val="both"/>
        <w:rPr>
          <w:rFonts w:ascii="Arial" w:eastAsia="Arial" w:hAnsi="Arial" w:cs="Arial"/>
          <w:b/>
          <w:smallCaps/>
          <w:color w:val="000000"/>
          <w:sz w:val="22"/>
          <w:szCs w:val="22"/>
        </w:rPr>
      </w:pPr>
    </w:p>
    <w:p w14:paraId="6C563B75" w14:textId="77777777" w:rsidR="00D70918" w:rsidRDefault="00D70918" w:rsidP="00C16C0C">
      <w:pPr>
        <w:keepNext/>
        <w:pBdr>
          <w:top w:val="nil"/>
          <w:left w:val="nil"/>
          <w:bottom w:val="nil"/>
          <w:right w:val="nil"/>
          <w:between w:val="nil"/>
        </w:pBdr>
        <w:jc w:val="both"/>
        <w:rPr>
          <w:rFonts w:ascii="Arial" w:eastAsia="Arial" w:hAnsi="Arial" w:cs="Arial"/>
          <w:b/>
          <w:smallCaps/>
          <w:color w:val="000000"/>
          <w:sz w:val="22"/>
          <w:szCs w:val="22"/>
        </w:rPr>
      </w:pPr>
    </w:p>
    <w:p w14:paraId="7DF68475" w14:textId="7E6E6644" w:rsidR="000B1D44" w:rsidRDefault="00C16C0C" w:rsidP="00C16C0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RESULTS AND DISCUSSION </w:t>
      </w:r>
    </w:p>
    <w:p w14:paraId="7544670D"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FB95BBD" w14:textId="77777777" w:rsidR="00737EAD" w:rsidRDefault="00737EAD">
      <w:pPr>
        <w:pBdr>
          <w:top w:val="nil"/>
          <w:left w:val="nil"/>
          <w:bottom w:val="nil"/>
          <w:right w:val="nil"/>
          <w:between w:val="nil"/>
        </w:pBdr>
        <w:jc w:val="center"/>
        <w:rPr>
          <w:rFonts w:ascii="Arial" w:eastAsia="Arial" w:hAnsi="Arial" w:cs="Arial"/>
          <w:b/>
          <w:color w:val="000000"/>
        </w:rPr>
      </w:pPr>
    </w:p>
    <w:p w14:paraId="0F3F4D68" w14:textId="154629AC" w:rsidR="000B1D44" w:rsidRDefault="009E31D0">
      <w:pPr>
        <w:pBdr>
          <w:top w:val="nil"/>
          <w:left w:val="nil"/>
          <w:bottom w:val="nil"/>
          <w:right w:val="nil"/>
          <w:between w:val="nil"/>
        </w:pBdr>
        <w:jc w:val="center"/>
        <w:rPr>
          <w:rFonts w:ascii="Arial" w:eastAsia="Arial" w:hAnsi="Arial" w:cs="Arial"/>
          <w:b/>
          <w:color w:val="000000"/>
        </w:rPr>
      </w:pPr>
      <w:r w:rsidRPr="009E31D0">
        <w:rPr>
          <w:rFonts w:ascii="Arial" w:eastAsia="Arial" w:hAnsi="Arial" w:cs="Arial"/>
          <w:b/>
          <w:color w:val="000000"/>
        </w:rPr>
        <w:t>Mathematics Teachers’ Situated Learning Practices</w:t>
      </w:r>
    </w:p>
    <w:p w14:paraId="59C4A7E2" w14:textId="77777777" w:rsidR="009E31D0" w:rsidRDefault="009E31D0">
      <w:pPr>
        <w:pBdr>
          <w:top w:val="nil"/>
          <w:left w:val="nil"/>
          <w:bottom w:val="nil"/>
          <w:right w:val="nil"/>
          <w:between w:val="nil"/>
        </w:pBdr>
        <w:jc w:val="center"/>
        <w:rPr>
          <w:rFonts w:ascii="Arial" w:eastAsia="Arial" w:hAnsi="Arial" w:cs="Arial"/>
          <w:b/>
          <w:color w:val="000000"/>
          <w:highlight w:val="white"/>
        </w:rPr>
      </w:pPr>
    </w:p>
    <w:p w14:paraId="043E116D" w14:textId="7579E0DC" w:rsidR="00C16C0C" w:rsidRPr="00C16C0C" w:rsidRDefault="00C16C0C" w:rsidP="006F102A">
      <w:pPr>
        <w:ind w:right="-14"/>
        <w:jc w:val="both"/>
        <w:rPr>
          <w:rFonts w:ascii="Arial" w:eastAsia="Arial" w:hAnsi="Arial" w:cs="Arial"/>
          <w:color w:val="000000"/>
        </w:rPr>
      </w:pPr>
      <w:r>
        <w:rPr>
          <w:rFonts w:ascii="Arial" w:eastAsia="Arial" w:hAnsi="Arial" w:cs="Arial"/>
          <w:color w:val="000000"/>
        </w:rPr>
        <w:tab/>
      </w:r>
      <w:r w:rsidRPr="00C16C0C">
        <w:rPr>
          <w:rFonts w:ascii="Arial" w:eastAsia="Arial" w:hAnsi="Arial" w:cs="Arial"/>
          <w:color w:val="000000"/>
        </w:rPr>
        <w:t>Table 2 presents the descriptive results for the application of the three primary aspects of situated learning practices by mathematics teachers: authentic context, authentic activities, and authentic assessment. It was observed that mathematics teachers practiced all three aspects of situated learning frequently—typically two to four times per week (M = 3.71, SD = 0.99). This indicates a strong implementation of situated learning practices. The interpretation of these results was based on the scale developed by Buzick, Rhoad-Drogalis, Laitusis, and King (2019) to assess the extent of these educational practices.</w:t>
      </w:r>
    </w:p>
    <w:p w14:paraId="65B694A0" w14:textId="77777777" w:rsidR="00C16C0C" w:rsidRDefault="00C16C0C" w:rsidP="00C16C0C">
      <w:pPr>
        <w:tabs>
          <w:tab w:val="left" w:pos="2173"/>
        </w:tabs>
        <w:ind w:right="-630"/>
        <w:jc w:val="both"/>
        <w:rPr>
          <w:rFonts w:ascii="Arial" w:eastAsia="Arial" w:hAnsi="Arial" w:cs="Arial"/>
          <w:b/>
          <w:bCs/>
          <w:color w:val="000000"/>
        </w:rPr>
      </w:pPr>
    </w:p>
    <w:p w14:paraId="5C2F3ED7" w14:textId="4BBB263B" w:rsidR="00C16C0C" w:rsidRPr="00C16C0C" w:rsidRDefault="00C16C0C" w:rsidP="00C16C0C">
      <w:pPr>
        <w:tabs>
          <w:tab w:val="left" w:pos="2173"/>
        </w:tabs>
        <w:ind w:right="-630"/>
        <w:jc w:val="both"/>
        <w:rPr>
          <w:rFonts w:ascii="Arial" w:eastAsia="Arial" w:hAnsi="Arial" w:cs="Arial"/>
          <w:b/>
          <w:bCs/>
          <w:color w:val="000000"/>
        </w:rPr>
      </w:pPr>
      <w:r w:rsidRPr="00C16C0C">
        <w:rPr>
          <w:rFonts w:ascii="Arial" w:eastAsia="Arial" w:hAnsi="Arial" w:cs="Arial"/>
          <w:b/>
          <w:bCs/>
          <w:color w:val="000000"/>
        </w:rPr>
        <w:t>Authentic Context</w:t>
      </w:r>
    </w:p>
    <w:p w14:paraId="1B8A9972" w14:textId="43D52E8E" w:rsidR="00C16C0C" w:rsidRPr="00C16C0C" w:rsidRDefault="00C16C0C" w:rsidP="006F102A">
      <w:pPr>
        <w:tabs>
          <w:tab w:val="left" w:pos="720"/>
        </w:tabs>
        <w:ind w:right="-14"/>
        <w:jc w:val="both"/>
        <w:rPr>
          <w:rFonts w:ascii="Arial" w:eastAsia="Arial" w:hAnsi="Arial" w:cs="Arial"/>
          <w:color w:val="000000"/>
        </w:rPr>
      </w:pPr>
      <w:r>
        <w:rPr>
          <w:rFonts w:ascii="Arial" w:eastAsia="Arial" w:hAnsi="Arial" w:cs="Arial"/>
          <w:color w:val="000000"/>
        </w:rPr>
        <w:tab/>
      </w:r>
      <w:r w:rsidRPr="00C16C0C">
        <w:rPr>
          <w:rFonts w:ascii="Arial" w:eastAsia="Arial" w:hAnsi="Arial" w:cs="Arial"/>
          <w:color w:val="000000"/>
        </w:rPr>
        <w:t xml:space="preserve">The data showed that mathematics teachers frequently practiced </w:t>
      </w:r>
      <w:r w:rsidRPr="00C16C0C">
        <w:rPr>
          <w:rFonts w:ascii="Arial" w:eastAsia="Arial" w:hAnsi="Arial" w:cs="Arial"/>
          <w:i/>
          <w:iCs/>
          <w:color w:val="000000"/>
        </w:rPr>
        <w:t>authentic context</w:t>
      </w:r>
      <w:r w:rsidRPr="00C16C0C">
        <w:rPr>
          <w:rFonts w:ascii="Arial" w:eastAsia="Arial" w:hAnsi="Arial" w:cs="Arial"/>
          <w:color w:val="000000"/>
        </w:rPr>
        <w:t xml:space="preserve"> (M = 3.59, SD = 1.00), implementing this approach two to four times per week. This finding aligns with Marshall and Horn (2025), who emphasized that math teachers used personalized and meaningful practices through diverse contexts and objectives, allowing students to align their learning with personal goals and values. Vargas, Chiappe, and Durand (2024) supported this view, stating that students learned best in real-time situations and through interactive technological models based on real-life experiences. Similarly, Hortelano and Prudente (2024) found that the use of real-world contexts in mathematics classrooms positively correlated with students’ critical thinking, creating more involved and meaningful learning experiences.</w:t>
      </w:r>
    </w:p>
    <w:p w14:paraId="72CA2367" w14:textId="77777777" w:rsidR="00C16C0C" w:rsidRDefault="00C16C0C" w:rsidP="00C16C0C">
      <w:pPr>
        <w:tabs>
          <w:tab w:val="left" w:pos="2173"/>
        </w:tabs>
        <w:ind w:right="-630"/>
        <w:jc w:val="both"/>
        <w:rPr>
          <w:rFonts w:ascii="Arial" w:eastAsia="Arial" w:hAnsi="Arial" w:cs="Arial"/>
          <w:b/>
          <w:bCs/>
          <w:color w:val="000000"/>
        </w:rPr>
      </w:pPr>
    </w:p>
    <w:p w14:paraId="2F2D6E00" w14:textId="64DFA502" w:rsidR="00C16C0C" w:rsidRPr="00C16C0C" w:rsidRDefault="00C16C0C" w:rsidP="00C16C0C">
      <w:pPr>
        <w:tabs>
          <w:tab w:val="left" w:pos="2173"/>
        </w:tabs>
        <w:ind w:right="-630"/>
        <w:jc w:val="both"/>
        <w:rPr>
          <w:rFonts w:ascii="Arial" w:eastAsia="Arial" w:hAnsi="Arial" w:cs="Arial"/>
          <w:b/>
          <w:bCs/>
          <w:color w:val="000000"/>
        </w:rPr>
      </w:pPr>
      <w:r w:rsidRPr="00C16C0C">
        <w:rPr>
          <w:rFonts w:ascii="Arial" w:eastAsia="Arial" w:hAnsi="Arial" w:cs="Arial"/>
          <w:b/>
          <w:bCs/>
          <w:color w:val="000000"/>
        </w:rPr>
        <w:t>Authentic Activities</w:t>
      </w:r>
    </w:p>
    <w:p w14:paraId="7CE1C9B1" w14:textId="16B31512" w:rsidR="00C16C0C" w:rsidRPr="00C16C0C" w:rsidRDefault="00C16C0C" w:rsidP="006F102A">
      <w:pPr>
        <w:tabs>
          <w:tab w:val="left" w:pos="720"/>
        </w:tabs>
        <w:ind w:right="-14"/>
        <w:jc w:val="both"/>
        <w:rPr>
          <w:rFonts w:ascii="Arial" w:eastAsia="Arial" w:hAnsi="Arial" w:cs="Arial"/>
          <w:color w:val="000000"/>
        </w:rPr>
      </w:pPr>
      <w:r>
        <w:rPr>
          <w:rFonts w:ascii="Arial" w:eastAsia="Arial" w:hAnsi="Arial" w:cs="Arial"/>
          <w:color w:val="000000"/>
        </w:rPr>
        <w:tab/>
      </w:r>
      <w:r w:rsidRPr="00C16C0C">
        <w:rPr>
          <w:rFonts w:ascii="Arial" w:eastAsia="Arial" w:hAnsi="Arial" w:cs="Arial"/>
          <w:color w:val="000000"/>
        </w:rPr>
        <w:t xml:space="preserve">Results indicated that </w:t>
      </w:r>
      <w:r w:rsidRPr="00C16C0C">
        <w:rPr>
          <w:rFonts w:ascii="Arial" w:eastAsia="Arial" w:hAnsi="Arial" w:cs="Arial"/>
          <w:i/>
          <w:iCs/>
          <w:color w:val="000000"/>
        </w:rPr>
        <w:t>authentic activities</w:t>
      </w:r>
      <w:r w:rsidRPr="00C16C0C">
        <w:rPr>
          <w:rFonts w:ascii="Arial" w:eastAsia="Arial" w:hAnsi="Arial" w:cs="Arial"/>
          <w:color w:val="000000"/>
        </w:rPr>
        <w:t xml:space="preserve"> (M = 3.74, SD = 0.98) were also frequently incorporated into classroom instruction, typically two to four times a week. This observation is consistent with Clayden, Desforges, Mills, and Rawson (2002), who noted that mathematics teachers implemented a variety of authentic tasks linked to other subjects such as science and technology to enhance real-world application and information transfer. According to Vos (2018), such activities effectively connect theoretical lessons to real-life problems, motivating students to participate more actively. Hortelano and Prudente (2024) further emphasized that authentic activities significantly enriched student engagement and enhanced their critical thinking skills.</w:t>
      </w:r>
    </w:p>
    <w:p w14:paraId="63C6EBE1" w14:textId="77777777" w:rsidR="00C16C0C" w:rsidRDefault="00C16C0C" w:rsidP="00C16C0C">
      <w:pPr>
        <w:tabs>
          <w:tab w:val="left" w:pos="2173"/>
        </w:tabs>
        <w:ind w:right="-630"/>
        <w:jc w:val="both"/>
        <w:rPr>
          <w:rFonts w:ascii="Arial" w:eastAsia="Arial" w:hAnsi="Arial" w:cs="Arial"/>
          <w:b/>
          <w:bCs/>
          <w:color w:val="000000"/>
        </w:rPr>
      </w:pPr>
    </w:p>
    <w:p w14:paraId="7D038761" w14:textId="59F33F0E" w:rsidR="00C16C0C" w:rsidRPr="00C16C0C" w:rsidRDefault="00C16C0C" w:rsidP="00C16C0C">
      <w:pPr>
        <w:tabs>
          <w:tab w:val="left" w:pos="2173"/>
        </w:tabs>
        <w:ind w:right="-630"/>
        <w:jc w:val="both"/>
        <w:rPr>
          <w:rFonts w:ascii="Arial" w:eastAsia="Arial" w:hAnsi="Arial" w:cs="Arial"/>
          <w:b/>
          <w:bCs/>
          <w:color w:val="000000"/>
        </w:rPr>
      </w:pPr>
      <w:r w:rsidRPr="00C16C0C">
        <w:rPr>
          <w:rFonts w:ascii="Arial" w:eastAsia="Arial" w:hAnsi="Arial" w:cs="Arial"/>
          <w:b/>
          <w:bCs/>
          <w:color w:val="000000"/>
        </w:rPr>
        <w:t>Authentic Assessment</w:t>
      </w:r>
    </w:p>
    <w:p w14:paraId="0B6D8CA7" w14:textId="182C08F1" w:rsidR="00C16C0C" w:rsidRPr="00C16C0C" w:rsidRDefault="00C16C0C" w:rsidP="006F102A">
      <w:pPr>
        <w:tabs>
          <w:tab w:val="left" w:pos="720"/>
        </w:tabs>
        <w:ind w:right="-14"/>
        <w:jc w:val="both"/>
        <w:rPr>
          <w:rFonts w:ascii="Arial" w:eastAsia="Arial" w:hAnsi="Arial" w:cs="Arial"/>
          <w:color w:val="000000"/>
        </w:rPr>
      </w:pPr>
      <w:r>
        <w:rPr>
          <w:rFonts w:ascii="Arial" w:eastAsia="Arial" w:hAnsi="Arial" w:cs="Arial"/>
          <w:color w:val="000000"/>
        </w:rPr>
        <w:tab/>
      </w:r>
      <w:r w:rsidRPr="00C16C0C">
        <w:rPr>
          <w:rFonts w:ascii="Arial" w:eastAsia="Arial" w:hAnsi="Arial" w:cs="Arial"/>
          <w:color w:val="000000"/>
        </w:rPr>
        <w:t xml:space="preserve">The results showed that </w:t>
      </w:r>
      <w:r w:rsidRPr="00C16C0C">
        <w:rPr>
          <w:rFonts w:ascii="Arial" w:eastAsia="Arial" w:hAnsi="Arial" w:cs="Arial"/>
          <w:i/>
          <w:iCs/>
          <w:color w:val="000000"/>
        </w:rPr>
        <w:t>authentic assessment</w:t>
      </w:r>
      <w:r w:rsidRPr="00C16C0C">
        <w:rPr>
          <w:rFonts w:ascii="Arial" w:eastAsia="Arial" w:hAnsi="Arial" w:cs="Arial"/>
          <w:color w:val="000000"/>
        </w:rPr>
        <w:t xml:space="preserve"> (M = 3.88, SD = 0.96) was used frequently—again, two to four times per week. This finding echoes Sabri and Retnawati (2019), who observed that mathematics teachers employed various assessment tools to evaluate not just final outcomes but the overall understanding and development of students. Adams (2020) added that students generally exhibited positive attitudes toward authentic assessment, as it enabled them to demonstrate their knowledge creatively, often improving their academic performance. Hortelano and Prudente (2024) concluded that authentic assessments represent one of the most effective educational practices, as they contribute meaningfully to the development of students’ critical thinking skills and foster a more engaging learning environment.</w:t>
      </w:r>
    </w:p>
    <w:p w14:paraId="7FA8272E" w14:textId="77777777" w:rsidR="000B1D44" w:rsidRDefault="000B1D44">
      <w:pPr>
        <w:tabs>
          <w:tab w:val="left" w:pos="2173"/>
        </w:tabs>
        <w:ind w:right="-630"/>
        <w:jc w:val="both"/>
        <w:rPr>
          <w:rFonts w:ascii="Arial" w:eastAsia="Arial" w:hAnsi="Arial" w:cs="Arial"/>
        </w:rPr>
      </w:pPr>
    </w:p>
    <w:p w14:paraId="5D1F00D2" w14:textId="029F25AF" w:rsidR="000B1D44" w:rsidRPr="00656CAC" w:rsidRDefault="000B62FC">
      <w:pPr>
        <w:tabs>
          <w:tab w:val="left" w:pos="2173"/>
        </w:tabs>
        <w:ind w:right="-630"/>
        <w:jc w:val="both"/>
        <w:rPr>
          <w:rFonts w:ascii="Arial" w:eastAsia="Arial" w:hAnsi="Arial" w:cs="Arial"/>
        </w:rPr>
      </w:pPr>
      <w:r>
        <w:rPr>
          <w:rFonts w:ascii="Arial" w:eastAsia="Arial" w:hAnsi="Arial" w:cs="Arial"/>
        </w:rPr>
        <w:t xml:space="preserve">Table 2: </w:t>
      </w:r>
      <w:r w:rsidR="004D5915" w:rsidRPr="004D5915">
        <w:rPr>
          <w:rFonts w:ascii="Arial" w:eastAsia="Arial" w:hAnsi="Arial" w:cs="Arial"/>
        </w:rPr>
        <w:t>Descriptive Results of Math Teachers’ Situated Learning Practices</w:t>
      </w:r>
    </w:p>
    <w:tbl>
      <w:tblPr>
        <w:tblStyle w:val="a1"/>
        <w:tblW w:w="8208" w:type="dxa"/>
        <w:tblBorders>
          <w:top w:val="nil"/>
          <w:left w:val="nil"/>
          <w:bottom w:val="nil"/>
          <w:right w:val="nil"/>
          <w:insideH w:val="nil"/>
          <w:insideV w:val="nil"/>
        </w:tblBorders>
        <w:tblLayout w:type="fixed"/>
        <w:tblLook w:val="0400" w:firstRow="0" w:lastRow="0" w:firstColumn="0" w:lastColumn="0" w:noHBand="0" w:noVBand="1"/>
      </w:tblPr>
      <w:tblGrid>
        <w:gridCol w:w="2410"/>
        <w:gridCol w:w="1276"/>
        <w:gridCol w:w="709"/>
        <w:gridCol w:w="3813"/>
      </w:tblGrid>
      <w:tr w:rsidR="000B1D44" w:rsidRPr="00656CAC" w14:paraId="76B24626" w14:textId="77777777" w:rsidTr="004D5915">
        <w:trPr>
          <w:trHeight w:val="253"/>
        </w:trPr>
        <w:tc>
          <w:tcPr>
            <w:tcW w:w="2410" w:type="dxa"/>
            <w:tcBorders>
              <w:top w:val="single" w:sz="18" w:space="0" w:color="000000"/>
              <w:bottom w:val="single" w:sz="4" w:space="0" w:color="000000"/>
            </w:tcBorders>
          </w:tcPr>
          <w:p w14:paraId="096F64B7" w14:textId="6AB1AA1C" w:rsidR="000B1D44" w:rsidRPr="00656CAC" w:rsidRDefault="004D5915">
            <w:pPr>
              <w:rPr>
                <w:rFonts w:ascii="Arial" w:eastAsia="Arial" w:hAnsi="Arial" w:cs="Arial"/>
                <w:b/>
                <w:sz w:val="20"/>
                <w:szCs w:val="20"/>
              </w:rPr>
            </w:pPr>
            <w:r w:rsidRPr="00656CAC">
              <w:rPr>
                <w:rFonts w:ascii="Arial" w:eastAsia="Arial" w:hAnsi="Arial" w:cs="Arial"/>
                <w:b/>
                <w:sz w:val="20"/>
                <w:szCs w:val="20"/>
              </w:rPr>
              <w:t>CHARACTERISTIC</w:t>
            </w:r>
          </w:p>
        </w:tc>
        <w:tc>
          <w:tcPr>
            <w:tcW w:w="1276" w:type="dxa"/>
            <w:tcBorders>
              <w:top w:val="single" w:sz="18" w:space="0" w:color="000000"/>
              <w:bottom w:val="single" w:sz="4" w:space="0" w:color="000000"/>
            </w:tcBorders>
          </w:tcPr>
          <w:p w14:paraId="11776D97" w14:textId="77777777" w:rsidR="000B1D44" w:rsidRPr="00656CAC" w:rsidRDefault="000B62FC">
            <w:pPr>
              <w:jc w:val="center"/>
              <w:rPr>
                <w:rFonts w:ascii="Arial" w:eastAsia="Arial" w:hAnsi="Arial" w:cs="Arial"/>
                <w:b/>
                <w:sz w:val="20"/>
                <w:szCs w:val="20"/>
              </w:rPr>
            </w:pPr>
            <w:r w:rsidRPr="00656CAC">
              <w:rPr>
                <w:rFonts w:ascii="Arial" w:eastAsia="Arial" w:hAnsi="Arial" w:cs="Arial"/>
                <w:b/>
                <w:sz w:val="20"/>
                <w:szCs w:val="20"/>
              </w:rPr>
              <w:t>MEAN</w:t>
            </w:r>
          </w:p>
        </w:tc>
        <w:tc>
          <w:tcPr>
            <w:tcW w:w="709" w:type="dxa"/>
            <w:tcBorders>
              <w:top w:val="single" w:sz="18" w:space="0" w:color="000000"/>
              <w:bottom w:val="single" w:sz="4" w:space="0" w:color="000000"/>
            </w:tcBorders>
          </w:tcPr>
          <w:p w14:paraId="2DB3FAAB" w14:textId="77777777" w:rsidR="000B1D44" w:rsidRPr="00656CAC" w:rsidRDefault="000B62FC">
            <w:pPr>
              <w:jc w:val="center"/>
              <w:rPr>
                <w:rFonts w:ascii="Arial" w:eastAsia="Arial" w:hAnsi="Arial" w:cs="Arial"/>
                <w:b/>
                <w:sz w:val="20"/>
                <w:szCs w:val="20"/>
              </w:rPr>
            </w:pPr>
            <w:r w:rsidRPr="00656CAC">
              <w:rPr>
                <w:rFonts w:ascii="Arial" w:eastAsia="Arial" w:hAnsi="Arial" w:cs="Arial"/>
                <w:b/>
                <w:sz w:val="20"/>
                <w:szCs w:val="20"/>
              </w:rPr>
              <w:t>SD</w:t>
            </w:r>
          </w:p>
        </w:tc>
        <w:tc>
          <w:tcPr>
            <w:tcW w:w="3813" w:type="dxa"/>
            <w:tcBorders>
              <w:top w:val="single" w:sz="18" w:space="0" w:color="000000"/>
              <w:bottom w:val="single" w:sz="4" w:space="0" w:color="000000"/>
            </w:tcBorders>
          </w:tcPr>
          <w:p w14:paraId="6CA45087" w14:textId="77777777" w:rsidR="000B1D44" w:rsidRPr="00656CAC" w:rsidRDefault="000B62FC">
            <w:pPr>
              <w:jc w:val="center"/>
              <w:rPr>
                <w:rFonts w:ascii="Arial" w:eastAsia="Arial" w:hAnsi="Arial" w:cs="Arial"/>
                <w:b/>
                <w:sz w:val="20"/>
                <w:szCs w:val="20"/>
              </w:rPr>
            </w:pPr>
            <w:r w:rsidRPr="00656CAC">
              <w:rPr>
                <w:rFonts w:ascii="Arial" w:eastAsia="Arial" w:hAnsi="Arial" w:cs="Arial"/>
                <w:b/>
                <w:sz w:val="20"/>
                <w:szCs w:val="20"/>
              </w:rPr>
              <w:t>DESCRIPTION</w:t>
            </w:r>
          </w:p>
        </w:tc>
      </w:tr>
      <w:tr w:rsidR="003D708C" w:rsidRPr="00656CAC" w14:paraId="22434457" w14:textId="77777777" w:rsidTr="004D5915">
        <w:trPr>
          <w:trHeight w:val="253"/>
        </w:trPr>
        <w:tc>
          <w:tcPr>
            <w:tcW w:w="2410" w:type="dxa"/>
            <w:tcBorders>
              <w:top w:val="single" w:sz="4" w:space="0" w:color="000000"/>
            </w:tcBorders>
          </w:tcPr>
          <w:p w14:paraId="303A0A6E" w14:textId="06A5ACA6" w:rsidR="003D708C" w:rsidRPr="00656CAC" w:rsidRDefault="003D708C" w:rsidP="003D708C">
            <w:pPr>
              <w:rPr>
                <w:rFonts w:ascii="Arial" w:eastAsia="Arial" w:hAnsi="Arial" w:cs="Arial"/>
                <w:sz w:val="20"/>
                <w:szCs w:val="20"/>
              </w:rPr>
            </w:pPr>
            <w:r w:rsidRPr="00656CAC">
              <w:rPr>
                <w:rFonts w:ascii="Arial" w:hAnsi="Arial" w:cs="Arial"/>
                <w:sz w:val="20"/>
                <w:szCs w:val="20"/>
              </w:rPr>
              <w:t>Authentic Context</w:t>
            </w:r>
          </w:p>
        </w:tc>
        <w:tc>
          <w:tcPr>
            <w:tcW w:w="1276" w:type="dxa"/>
            <w:tcBorders>
              <w:top w:val="single" w:sz="4" w:space="0" w:color="000000"/>
            </w:tcBorders>
          </w:tcPr>
          <w:p w14:paraId="3DAEE3B8" w14:textId="664ECD5D" w:rsidR="003D708C" w:rsidRPr="00656CAC" w:rsidRDefault="003D708C" w:rsidP="003D708C">
            <w:pPr>
              <w:jc w:val="center"/>
              <w:rPr>
                <w:rFonts w:ascii="Arial" w:eastAsia="Arial" w:hAnsi="Arial" w:cs="Arial"/>
                <w:sz w:val="20"/>
                <w:szCs w:val="20"/>
              </w:rPr>
            </w:pPr>
            <w:r w:rsidRPr="00656CAC">
              <w:rPr>
                <w:rFonts w:ascii="Arial" w:hAnsi="Arial" w:cs="Arial"/>
                <w:sz w:val="20"/>
                <w:szCs w:val="20"/>
              </w:rPr>
              <w:t>3.59</w:t>
            </w:r>
          </w:p>
        </w:tc>
        <w:tc>
          <w:tcPr>
            <w:tcW w:w="709" w:type="dxa"/>
            <w:tcBorders>
              <w:top w:val="single" w:sz="4" w:space="0" w:color="000000"/>
            </w:tcBorders>
          </w:tcPr>
          <w:p w14:paraId="7962E7CD" w14:textId="63B3F15D" w:rsidR="003D708C" w:rsidRPr="00656CAC" w:rsidRDefault="003D708C" w:rsidP="003D708C">
            <w:pPr>
              <w:jc w:val="center"/>
              <w:rPr>
                <w:rFonts w:ascii="Arial" w:eastAsia="Arial" w:hAnsi="Arial" w:cs="Arial"/>
                <w:sz w:val="20"/>
                <w:szCs w:val="20"/>
              </w:rPr>
            </w:pPr>
            <w:r w:rsidRPr="00656CAC">
              <w:rPr>
                <w:rFonts w:ascii="Arial" w:hAnsi="Arial" w:cs="Arial"/>
                <w:sz w:val="20"/>
                <w:szCs w:val="20"/>
              </w:rPr>
              <w:t>1.00</w:t>
            </w:r>
          </w:p>
        </w:tc>
        <w:tc>
          <w:tcPr>
            <w:tcW w:w="3813" w:type="dxa"/>
            <w:tcBorders>
              <w:top w:val="single" w:sz="4" w:space="0" w:color="000000"/>
            </w:tcBorders>
          </w:tcPr>
          <w:p w14:paraId="62639B22" w14:textId="5E0208C3" w:rsidR="003D708C" w:rsidRPr="00656CAC" w:rsidRDefault="003D708C" w:rsidP="003D708C">
            <w:pPr>
              <w:jc w:val="center"/>
              <w:rPr>
                <w:rFonts w:ascii="Arial" w:eastAsia="Arial" w:hAnsi="Arial" w:cs="Arial"/>
                <w:sz w:val="20"/>
                <w:szCs w:val="20"/>
              </w:rPr>
            </w:pPr>
            <w:r w:rsidRPr="00656CAC">
              <w:rPr>
                <w:rFonts w:ascii="Arial" w:hAnsi="Arial" w:cs="Arial"/>
                <w:sz w:val="20"/>
                <w:szCs w:val="20"/>
              </w:rPr>
              <w:t>Teachers do this 2-4 times a week in math class.</w:t>
            </w:r>
          </w:p>
        </w:tc>
      </w:tr>
      <w:tr w:rsidR="003D708C" w:rsidRPr="00656CAC" w14:paraId="1A944571" w14:textId="77777777" w:rsidTr="004D5915">
        <w:trPr>
          <w:trHeight w:val="253"/>
        </w:trPr>
        <w:tc>
          <w:tcPr>
            <w:tcW w:w="2410" w:type="dxa"/>
          </w:tcPr>
          <w:p w14:paraId="09A1810B" w14:textId="00596E5A" w:rsidR="003D708C" w:rsidRPr="00656CAC" w:rsidRDefault="003D708C" w:rsidP="003D708C">
            <w:pPr>
              <w:rPr>
                <w:rFonts w:ascii="Arial" w:eastAsia="Arial" w:hAnsi="Arial" w:cs="Arial"/>
                <w:sz w:val="20"/>
                <w:szCs w:val="20"/>
              </w:rPr>
            </w:pPr>
            <w:r w:rsidRPr="00656CAC">
              <w:rPr>
                <w:rFonts w:ascii="Arial" w:hAnsi="Arial" w:cs="Arial"/>
                <w:sz w:val="20"/>
                <w:szCs w:val="20"/>
              </w:rPr>
              <w:t>Authentic Activities</w:t>
            </w:r>
          </w:p>
        </w:tc>
        <w:tc>
          <w:tcPr>
            <w:tcW w:w="1276" w:type="dxa"/>
          </w:tcPr>
          <w:p w14:paraId="13E048C2" w14:textId="348EBE62" w:rsidR="003D708C" w:rsidRPr="00656CAC" w:rsidRDefault="003D708C" w:rsidP="003D708C">
            <w:pPr>
              <w:jc w:val="center"/>
              <w:rPr>
                <w:rFonts w:ascii="Arial" w:eastAsia="Arial" w:hAnsi="Arial" w:cs="Arial"/>
                <w:sz w:val="20"/>
                <w:szCs w:val="20"/>
              </w:rPr>
            </w:pPr>
            <w:r w:rsidRPr="00656CAC">
              <w:rPr>
                <w:rFonts w:ascii="Arial" w:hAnsi="Arial" w:cs="Arial"/>
                <w:sz w:val="20"/>
                <w:szCs w:val="20"/>
              </w:rPr>
              <w:t>3.74</w:t>
            </w:r>
          </w:p>
        </w:tc>
        <w:tc>
          <w:tcPr>
            <w:tcW w:w="709" w:type="dxa"/>
          </w:tcPr>
          <w:p w14:paraId="1E53F213" w14:textId="7282841B" w:rsidR="003D708C" w:rsidRPr="00656CAC" w:rsidRDefault="003D708C" w:rsidP="003D708C">
            <w:pPr>
              <w:jc w:val="center"/>
              <w:rPr>
                <w:rFonts w:ascii="Arial" w:eastAsia="Arial" w:hAnsi="Arial" w:cs="Arial"/>
                <w:sz w:val="20"/>
                <w:szCs w:val="20"/>
              </w:rPr>
            </w:pPr>
            <w:r w:rsidRPr="00656CAC">
              <w:rPr>
                <w:rFonts w:ascii="Arial" w:hAnsi="Arial" w:cs="Arial"/>
                <w:sz w:val="20"/>
                <w:szCs w:val="20"/>
              </w:rPr>
              <w:t>0.98</w:t>
            </w:r>
          </w:p>
        </w:tc>
        <w:tc>
          <w:tcPr>
            <w:tcW w:w="3813" w:type="dxa"/>
          </w:tcPr>
          <w:p w14:paraId="157A9434" w14:textId="35620287" w:rsidR="003D708C" w:rsidRPr="00656CAC" w:rsidRDefault="003D708C" w:rsidP="003D708C">
            <w:pPr>
              <w:jc w:val="center"/>
              <w:rPr>
                <w:rFonts w:ascii="Arial" w:eastAsia="Arial" w:hAnsi="Arial" w:cs="Arial"/>
                <w:sz w:val="20"/>
                <w:szCs w:val="20"/>
              </w:rPr>
            </w:pPr>
            <w:r w:rsidRPr="00656CAC">
              <w:rPr>
                <w:rFonts w:ascii="Arial" w:hAnsi="Arial" w:cs="Arial"/>
                <w:sz w:val="20"/>
                <w:szCs w:val="20"/>
              </w:rPr>
              <w:t>Teachers do this 2-4 times a week in math class.</w:t>
            </w:r>
          </w:p>
        </w:tc>
      </w:tr>
      <w:tr w:rsidR="003D708C" w:rsidRPr="00656CAC" w14:paraId="6B9F2531" w14:textId="77777777" w:rsidTr="004D5915">
        <w:trPr>
          <w:trHeight w:val="253"/>
        </w:trPr>
        <w:tc>
          <w:tcPr>
            <w:tcW w:w="2410" w:type="dxa"/>
            <w:tcBorders>
              <w:bottom w:val="single" w:sz="4" w:space="0" w:color="000000"/>
            </w:tcBorders>
          </w:tcPr>
          <w:p w14:paraId="4538BC85" w14:textId="2250A902" w:rsidR="003D708C" w:rsidRPr="00656CAC" w:rsidRDefault="003D708C" w:rsidP="003D708C">
            <w:pPr>
              <w:rPr>
                <w:rFonts w:ascii="Arial" w:eastAsia="Arial" w:hAnsi="Arial" w:cs="Arial"/>
                <w:sz w:val="20"/>
                <w:szCs w:val="20"/>
              </w:rPr>
            </w:pPr>
            <w:r w:rsidRPr="00656CAC">
              <w:rPr>
                <w:rFonts w:ascii="Arial" w:hAnsi="Arial" w:cs="Arial"/>
                <w:sz w:val="20"/>
                <w:szCs w:val="20"/>
              </w:rPr>
              <w:t>Authentic Assessments</w:t>
            </w:r>
          </w:p>
        </w:tc>
        <w:tc>
          <w:tcPr>
            <w:tcW w:w="1276" w:type="dxa"/>
            <w:tcBorders>
              <w:bottom w:val="single" w:sz="4" w:space="0" w:color="000000"/>
            </w:tcBorders>
          </w:tcPr>
          <w:p w14:paraId="2CA50432" w14:textId="75C700F1" w:rsidR="003D708C" w:rsidRPr="00656CAC" w:rsidRDefault="003D708C" w:rsidP="003D708C">
            <w:pPr>
              <w:jc w:val="center"/>
              <w:rPr>
                <w:rFonts w:ascii="Arial" w:eastAsia="Arial" w:hAnsi="Arial" w:cs="Arial"/>
                <w:sz w:val="20"/>
                <w:szCs w:val="20"/>
              </w:rPr>
            </w:pPr>
            <w:r w:rsidRPr="00656CAC">
              <w:rPr>
                <w:rFonts w:ascii="Arial" w:hAnsi="Arial" w:cs="Arial"/>
                <w:sz w:val="20"/>
                <w:szCs w:val="20"/>
              </w:rPr>
              <w:t>3.88</w:t>
            </w:r>
          </w:p>
        </w:tc>
        <w:tc>
          <w:tcPr>
            <w:tcW w:w="709" w:type="dxa"/>
            <w:tcBorders>
              <w:bottom w:val="single" w:sz="4" w:space="0" w:color="000000"/>
            </w:tcBorders>
          </w:tcPr>
          <w:p w14:paraId="519ECFC0" w14:textId="2A23EBB9" w:rsidR="003D708C" w:rsidRPr="00656CAC" w:rsidRDefault="003D708C" w:rsidP="003D708C">
            <w:pPr>
              <w:jc w:val="center"/>
              <w:rPr>
                <w:rFonts w:ascii="Arial" w:eastAsia="Arial" w:hAnsi="Arial" w:cs="Arial"/>
                <w:sz w:val="20"/>
                <w:szCs w:val="20"/>
              </w:rPr>
            </w:pPr>
            <w:r w:rsidRPr="00656CAC">
              <w:rPr>
                <w:rFonts w:ascii="Arial" w:hAnsi="Arial" w:cs="Arial"/>
                <w:sz w:val="20"/>
                <w:szCs w:val="20"/>
              </w:rPr>
              <w:t>0.96</w:t>
            </w:r>
          </w:p>
        </w:tc>
        <w:tc>
          <w:tcPr>
            <w:tcW w:w="3813" w:type="dxa"/>
            <w:tcBorders>
              <w:bottom w:val="single" w:sz="4" w:space="0" w:color="000000"/>
            </w:tcBorders>
          </w:tcPr>
          <w:p w14:paraId="5494CD91" w14:textId="6A73B484" w:rsidR="003D708C" w:rsidRPr="00656CAC" w:rsidRDefault="003D708C" w:rsidP="003D708C">
            <w:pPr>
              <w:jc w:val="center"/>
              <w:rPr>
                <w:rFonts w:ascii="Arial" w:eastAsia="Arial" w:hAnsi="Arial" w:cs="Arial"/>
                <w:sz w:val="20"/>
                <w:szCs w:val="20"/>
              </w:rPr>
            </w:pPr>
            <w:r w:rsidRPr="00656CAC">
              <w:rPr>
                <w:rFonts w:ascii="Arial" w:hAnsi="Arial" w:cs="Arial"/>
                <w:sz w:val="20"/>
                <w:szCs w:val="20"/>
              </w:rPr>
              <w:t>Teachers do this 2-4 times a week in math class.</w:t>
            </w:r>
          </w:p>
        </w:tc>
      </w:tr>
      <w:tr w:rsidR="000B1D44" w:rsidRPr="00656CAC" w14:paraId="66139F0C" w14:textId="77777777" w:rsidTr="004D5915">
        <w:trPr>
          <w:trHeight w:val="253"/>
        </w:trPr>
        <w:tc>
          <w:tcPr>
            <w:tcW w:w="2410" w:type="dxa"/>
            <w:tcBorders>
              <w:top w:val="single" w:sz="4" w:space="0" w:color="000000"/>
              <w:bottom w:val="single" w:sz="18" w:space="0" w:color="000000"/>
            </w:tcBorders>
          </w:tcPr>
          <w:p w14:paraId="5362A9C2" w14:textId="4D4B54ED" w:rsidR="000B1D44" w:rsidRPr="00656CAC" w:rsidRDefault="000B62FC">
            <w:pPr>
              <w:rPr>
                <w:rFonts w:ascii="Arial" w:eastAsia="Arial" w:hAnsi="Arial" w:cs="Arial"/>
                <w:b/>
                <w:sz w:val="20"/>
                <w:szCs w:val="20"/>
              </w:rPr>
            </w:pPr>
            <w:r w:rsidRPr="00656CAC">
              <w:rPr>
                <w:rFonts w:ascii="Arial" w:eastAsia="Arial" w:hAnsi="Arial" w:cs="Arial"/>
                <w:b/>
                <w:sz w:val="20"/>
                <w:szCs w:val="20"/>
              </w:rPr>
              <w:t>(OVERALL)</w:t>
            </w:r>
          </w:p>
        </w:tc>
        <w:tc>
          <w:tcPr>
            <w:tcW w:w="1276" w:type="dxa"/>
            <w:tcBorders>
              <w:top w:val="single" w:sz="4" w:space="0" w:color="000000"/>
              <w:bottom w:val="single" w:sz="18" w:space="0" w:color="000000"/>
            </w:tcBorders>
          </w:tcPr>
          <w:p w14:paraId="0B17531E" w14:textId="6FB7103C" w:rsidR="000B1D44" w:rsidRPr="00656CAC" w:rsidRDefault="000B62FC">
            <w:pPr>
              <w:jc w:val="center"/>
              <w:rPr>
                <w:rFonts w:ascii="Arial" w:eastAsia="Arial" w:hAnsi="Arial" w:cs="Arial"/>
                <w:b/>
                <w:sz w:val="20"/>
                <w:szCs w:val="20"/>
              </w:rPr>
            </w:pPr>
            <w:r w:rsidRPr="00656CAC">
              <w:rPr>
                <w:rFonts w:ascii="Arial" w:eastAsia="Arial" w:hAnsi="Arial" w:cs="Arial"/>
                <w:b/>
                <w:sz w:val="20"/>
                <w:szCs w:val="20"/>
              </w:rPr>
              <w:t>3.</w:t>
            </w:r>
            <w:r w:rsidR="004D5915" w:rsidRPr="00656CAC">
              <w:rPr>
                <w:rFonts w:ascii="Arial" w:eastAsia="Arial" w:hAnsi="Arial" w:cs="Arial"/>
                <w:b/>
                <w:sz w:val="20"/>
                <w:szCs w:val="20"/>
              </w:rPr>
              <w:t>71</w:t>
            </w:r>
          </w:p>
        </w:tc>
        <w:tc>
          <w:tcPr>
            <w:tcW w:w="709" w:type="dxa"/>
            <w:tcBorders>
              <w:top w:val="single" w:sz="4" w:space="0" w:color="000000"/>
              <w:bottom w:val="single" w:sz="18" w:space="0" w:color="000000"/>
            </w:tcBorders>
          </w:tcPr>
          <w:p w14:paraId="18DC5EFF" w14:textId="0CB9A9D6" w:rsidR="000B1D44" w:rsidRPr="00656CAC" w:rsidRDefault="000B62FC">
            <w:pPr>
              <w:jc w:val="center"/>
              <w:rPr>
                <w:rFonts w:ascii="Arial" w:eastAsia="Arial" w:hAnsi="Arial" w:cs="Arial"/>
                <w:b/>
                <w:sz w:val="20"/>
                <w:szCs w:val="20"/>
              </w:rPr>
            </w:pPr>
            <w:r w:rsidRPr="00656CAC">
              <w:rPr>
                <w:rFonts w:ascii="Arial" w:eastAsia="Arial" w:hAnsi="Arial" w:cs="Arial"/>
                <w:b/>
                <w:sz w:val="20"/>
                <w:szCs w:val="20"/>
              </w:rPr>
              <w:t>0.</w:t>
            </w:r>
            <w:r w:rsidR="004D5915" w:rsidRPr="00656CAC">
              <w:rPr>
                <w:rFonts w:ascii="Arial" w:eastAsia="Arial" w:hAnsi="Arial" w:cs="Arial"/>
                <w:b/>
                <w:sz w:val="20"/>
                <w:szCs w:val="20"/>
              </w:rPr>
              <w:t>99</w:t>
            </w:r>
          </w:p>
        </w:tc>
        <w:tc>
          <w:tcPr>
            <w:tcW w:w="3813" w:type="dxa"/>
            <w:tcBorders>
              <w:top w:val="single" w:sz="4" w:space="0" w:color="000000"/>
              <w:bottom w:val="single" w:sz="18" w:space="0" w:color="000000"/>
            </w:tcBorders>
          </w:tcPr>
          <w:p w14:paraId="59351FD9" w14:textId="3605B45D" w:rsidR="000B1D44" w:rsidRPr="00656CAC" w:rsidRDefault="004D5915">
            <w:pPr>
              <w:jc w:val="center"/>
              <w:rPr>
                <w:rFonts w:ascii="Arial" w:eastAsia="Arial" w:hAnsi="Arial" w:cs="Arial"/>
                <w:b/>
                <w:bCs/>
                <w:sz w:val="20"/>
                <w:szCs w:val="20"/>
              </w:rPr>
            </w:pPr>
            <w:r w:rsidRPr="00656CAC">
              <w:rPr>
                <w:rFonts w:ascii="Arial" w:hAnsi="Arial" w:cs="Arial"/>
                <w:b/>
                <w:bCs/>
                <w:sz w:val="20"/>
                <w:szCs w:val="20"/>
              </w:rPr>
              <w:t>Teachers do this 2-4 times a week in math class.</w:t>
            </w:r>
          </w:p>
        </w:tc>
      </w:tr>
    </w:tbl>
    <w:p w14:paraId="19C979AF" w14:textId="77777777" w:rsidR="000B1D44" w:rsidRDefault="000B1D44">
      <w:pPr>
        <w:tabs>
          <w:tab w:val="left" w:pos="2173"/>
        </w:tabs>
        <w:ind w:right="-630"/>
        <w:jc w:val="both"/>
        <w:rPr>
          <w:rFonts w:ascii="Arial" w:eastAsia="Arial" w:hAnsi="Arial" w:cs="Arial"/>
        </w:rPr>
      </w:pPr>
    </w:p>
    <w:p w14:paraId="16114FB8" w14:textId="77777777" w:rsidR="00656CAC" w:rsidRDefault="00656CAC">
      <w:pPr>
        <w:tabs>
          <w:tab w:val="left" w:pos="2173"/>
        </w:tabs>
        <w:ind w:right="-72"/>
        <w:jc w:val="center"/>
        <w:rPr>
          <w:rFonts w:ascii="Arial" w:eastAsia="Arial" w:hAnsi="Arial" w:cs="Arial"/>
          <w:b/>
        </w:rPr>
      </w:pPr>
      <w:bookmarkStart w:id="1" w:name="_ak9k0tslw6xz" w:colFirst="0" w:colLast="0"/>
      <w:bookmarkEnd w:id="1"/>
    </w:p>
    <w:p w14:paraId="614DFEBF" w14:textId="73260EC3" w:rsidR="000B1D44" w:rsidRDefault="000B62FC">
      <w:pPr>
        <w:tabs>
          <w:tab w:val="left" w:pos="2173"/>
        </w:tabs>
        <w:ind w:right="-72"/>
        <w:jc w:val="center"/>
        <w:rPr>
          <w:rFonts w:ascii="Arial" w:eastAsia="Arial" w:hAnsi="Arial" w:cs="Arial"/>
          <w:b/>
        </w:rPr>
      </w:pPr>
      <w:r>
        <w:rPr>
          <w:rFonts w:ascii="Arial" w:eastAsia="Arial" w:hAnsi="Arial" w:cs="Arial"/>
          <w:b/>
        </w:rPr>
        <w:t>Level of College Students</w:t>
      </w:r>
      <w:r w:rsidR="004D5915">
        <w:rPr>
          <w:rFonts w:ascii="Arial" w:eastAsia="Arial" w:hAnsi="Arial" w:cs="Arial"/>
          <w:b/>
        </w:rPr>
        <w:t>’ Critical Thinking</w:t>
      </w:r>
    </w:p>
    <w:p w14:paraId="0832CCDE" w14:textId="77777777" w:rsidR="000B1D44" w:rsidRDefault="000B1D44">
      <w:pPr>
        <w:tabs>
          <w:tab w:val="left" w:pos="2173"/>
        </w:tabs>
        <w:ind w:right="-72"/>
        <w:jc w:val="center"/>
        <w:rPr>
          <w:rFonts w:ascii="Arial" w:eastAsia="Arial" w:hAnsi="Arial" w:cs="Arial"/>
          <w:b/>
        </w:rPr>
      </w:pPr>
    </w:p>
    <w:p w14:paraId="2A3224A7" w14:textId="4EBDDD77" w:rsidR="00BD0C1D" w:rsidRPr="00BD0C1D" w:rsidRDefault="000B62FC" w:rsidP="00BD0C1D">
      <w:pPr>
        <w:jc w:val="both"/>
        <w:rPr>
          <w:rFonts w:ascii="Arial" w:eastAsia="Arial" w:hAnsi="Arial" w:cs="Arial"/>
        </w:rPr>
      </w:pPr>
      <w:r>
        <w:rPr>
          <w:rFonts w:ascii="Arial" w:eastAsia="Arial" w:hAnsi="Arial" w:cs="Arial"/>
        </w:rPr>
        <w:tab/>
      </w:r>
      <w:r w:rsidR="00BD0C1D" w:rsidRPr="00BD0C1D">
        <w:rPr>
          <w:rFonts w:ascii="Arial" w:eastAsia="Arial" w:hAnsi="Arial" w:cs="Arial"/>
        </w:rPr>
        <w:t>Table 3 presents the results of the sample across individual parameters. Based on the framework from Kobylarek et al. (2022), the scores for each cognitive domain were assessed as follows:</w:t>
      </w:r>
    </w:p>
    <w:p w14:paraId="60B4ECB6" w14:textId="77777777" w:rsidR="00BD0C1D" w:rsidRPr="00BD0C1D" w:rsidRDefault="00BD0C1D" w:rsidP="00BD0C1D">
      <w:pPr>
        <w:ind w:firstLine="720"/>
        <w:jc w:val="both"/>
        <w:rPr>
          <w:rFonts w:ascii="Arial" w:eastAsia="Arial" w:hAnsi="Arial" w:cs="Arial"/>
        </w:rPr>
      </w:pPr>
      <w:r w:rsidRPr="00BD0C1D">
        <w:rPr>
          <w:rFonts w:ascii="Arial" w:eastAsia="Arial" w:hAnsi="Arial" w:cs="Arial"/>
        </w:rPr>
        <w:t>In the Remembering category, 42.18% of the respondents were classified at a high level. These individuals demonstrated a strong ability to accurately recall key concepts and important details from prior experiences and lessons (Clayden et al., 2002). Meanwhile, 52.73% reached the average level, suggesting they were able to remember and retrieve information more effectively when they had a solid foundation of prior knowledge (O’Neill et al., 2022; Shing &amp; Brod, 2016). Only 5.09% of respondents fell into the low-level category, indicating challenges with information recall.</w:t>
      </w:r>
    </w:p>
    <w:p w14:paraId="06CF7C52" w14:textId="77777777" w:rsidR="00BD0C1D" w:rsidRPr="00BD0C1D" w:rsidRDefault="00BD0C1D" w:rsidP="00BD0C1D">
      <w:pPr>
        <w:ind w:firstLine="720"/>
        <w:jc w:val="both"/>
        <w:rPr>
          <w:rFonts w:ascii="Arial" w:eastAsia="Arial" w:hAnsi="Arial" w:cs="Arial"/>
        </w:rPr>
      </w:pPr>
      <w:r w:rsidRPr="00BD0C1D">
        <w:rPr>
          <w:rFonts w:ascii="Arial" w:eastAsia="Arial" w:hAnsi="Arial" w:cs="Arial"/>
        </w:rPr>
        <w:t xml:space="preserve">In terms of Understanding, 41.09% achieved a high level, indicating that they could interpret information from diverse sources, appreciate multiple perspectives, and grasp deeper meanings beyond literal interpretations (Wojahn et al., 2015). Such abilities are indicative of well-developed critical thinking skills (Stephen, 2024). Additionally, 54.91% of respondents were at the average level, showing adequate comprehension with room for improvement </w:t>
      </w:r>
      <w:r w:rsidRPr="00BD0C1D">
        <w:rPr>
          <w:rFonts w:ascii="Arial" w:eastAsia="Arial" w:hAnsi="Arial" w:cs="Arial"/>
        </w:rPr>
        <w:lastRenderedPageBreak/>
        <w:t>(Clayden et al., 2002). A small portion (4.00%) was at the low level, potentially struggling with interpreting and making sense of information.</w:t>
      </w:r>
    </w:p>
    <w:p w14:paraId="3258BC75" w14:textId="77777777" w:rsidR="00BD0C1D" w:rsidRPr="00BD0C1D" w:rsidRDefault="00BD0C1D" w:rsidP="00BD0C1D">
      <w:pPr>
        <w:ind w:firstLine="720"/>
        <w:jc w:val="both"/>
        <w:rPr>
          <w:rFonts w:ascii="Arial" w:eastAsia="Arial" w:hAnsi="Arial" w:cs="Arial"/>
        </w:rPr>
      </w:pPr>
      <w:r w:rsidRPr="00BD0C1D">
        <w:rPr>
          <w:rFonts w:ascii="Arial" w:eastAsia="Arial" w:hAnsi="Arial" w:cs="Arial"/>
        </w:rPr>
        <w:t>Regarding Applying, a substantial 62.55% of respondents reached a high level. These students demonstrated advanced ability in using theoretical knowledge to solve real-world problems (Clayden et al., 2002). About 33.45% were classified as average, showing standard performance in applying knowledge to practical scenarios. Students who connected their learning to real-life contexts were found to exhibit stronger critical thinking (Galbraith, 2013; Benson-O'Connor et al., 2019). Conversely, 4.00% were at the low level, suggesting difficulty in applying knowledge to everyday situations.</w:t>
      </w:r>
    </w:p>
    <w:p w14:paraId="434478E1" w14:textId="77777777" w:rsidR="00BD0C1D" w:rsidRPr="00BD0C1D" w:rsidRDefault="00BD0C1D" w:rsidP="00BD0C1D">
      <w:pPr>
        <w:ind w:firstLine="720"/>
        <w:jc w:val="both"/>
        <w:rPr>
          <w:rFonts w:ascii="Arial" w:eastAsia="Arial" w:hAnsi="Arial" w:cs="Arial"/>
        </w:rPr>
      </w:pPr>
      <w:r w:rsidRPr="00BD0C1D">
        <w:rPr>
          <w:rFonts w:ascii="Arial" w:eastAsia="Arial" w:hAnsi="Arial" w:cs="Arial"/>
        </w:rPr>
        <w:t>In the Analyzing domain, 53.46% of respondents were at the high level. These students could evaluate the relevance and validity of information, make informed decisions, and solve problems effectively (Wojahn et al., 2015). Another 41.45% performed at the average level, reflecting moderate analytical abilities (Shorish, 2015). Effective analysis skills are closely linked to informed decision-making (Ardyawin, 2024). Meanwhile, 5.09% were categorized at a low level, indicating difficulty in dissecting complex information and drawing meaningful conclusions.</w:t>
      </w:r>
    </w:p>
    <w:p w14:paraId="479ADF35" w14:textId="77777777" w:rsidR="00BD0C1D" w:rsidRPr="00BD0C1D" w:rsidRDefault="00BD0C1D" w:rsidP="00BD0C1D">
      <w:pPr>
        <w:ind w:firstLine="720"/>
        <w:jc w:val="both"/>
        <w:rPr>
          <w:rFonts w:ascii="Arial" w:eastAsia="Arial" w:hAnsi="Arial" w:cs="Arial"/>
        </w:rPr>
      </w:pPr>
      <w:r w:rsidRPr="00BD0C1D">
        <w:rPr>
          <w:rFonts w:ascii="Arial" w:eastAsia="Arial" w:hAnsi="Arial" w:cs="Arial"/>
        </w:rPr>
        <w:t>For Evaluating, 71.27% of respondents scored at a high level. This suggests strong proficiency in critically assessing and interpreting data, identifying essential elements, and drawing accurate conclusions (Wojahn et al., 2015). Students at this level also showed a positive disposition toward evidence-based decision-making (Ariyachandra, 2020). About 25.09% were at the average level, showing satisfactory performance but with potential for growth. Only 3.64% fell into the low-level category, indicating the need for targeted training (Clayden et al., 2002).</w:t>
      </w:r>
    </w:p>
    <w:p w14:paraId="7946D184" w14:textId="77777777" w:rsidR="00BD0C1D" w:rsidRPr="00BD0C1D" w:rsidRDefault="00BD0C1D" w:rsidP="00BD0C1D">
      <w:pPr>
        <w:ind w:firstLine="720"/>
        <w:jc w:val="both"/>
        <w:rPr>
          <w:rFonts w:ascii="Arial" w:eastAsia="Arial" w:hAnsi="Arial" w:cs="Arial"/>
        </w:rPr>
      </w:pPr>
      <w:r w:rsidRPr="00BD0C1D">
        <w:rPr>
          <w:rFonts w:ascii="Arial" w:eastAsia="Arial" w:hAnsi="Arial" w:cs="Arial"/>
        </w:rPr>
        <w:t>In the Creating category, a majority (92.73%) of respondents were at the average level. These individuals demonstrated improved memory retention and emerging skills in idea generation (Suciu, 2014). A smaller group (3.27%) reached the high level, showcasing innovation, originality, and creative problem-solving (Wojahn et al., 2015; Clayden et al., 2002). Students reported improved creativity through engagement with open-ended tasks and iterative problem-solving (Grégoire, 2016). However, 4.00% were at a low level, suggesting difficulty in generating novel ideas and solutions.</w:t>
      </w:r>
    </w:p>
    <w:p w14:paraId="41790963" w14:textId="77777777" w:rsidR="00BD0C1D" w:rsidRPr="00BD0C1D" w:rsidRDefault="00BD0C1D" w:rsidP="00BD0C1D">
      <w:pPr>
        <w:ind w:firstLine="720"/>
        <w:jc w:val="both"/>
        <w:rPr>
          <w:rFonts w:ascii="Arial" w:eastAsia="Arial" w:hAnsi="Arial" w:cs="Arial"/>
        </w:rPr>
      </w:pPr>
      <w:r w:rsidRPr="00BD0C1D">
        <w:rPr>
          <w:rFonts w:ascii="Arial" w:eastAsia="Arial" w:hAnsi="Arial" w:cs="Arial"/>
        </w:rPr>
        <w:t>Overall, the Total Score results revealed an equal distribution: 49.45% of respondents achieved high-level performance, while another 49.45% were at the average level. This balance suggests that nearly half of the students demonstrated strong capabilities, while the other half showed adequate proficiency. Improvements in critical thinking can be attributed to the integration of practical and effective strategies in modern educational practices (Supriyatno et al., 2020). High performance was particularly evident in the areas of applying, analyzing, and evaluating. Students with stronger critical thinking skills were observed to be more assertive and self-aware, enabling them to confidently defend arguments and engage in logical discourse (Demir, 2022; Ps et al., 2023). A small group (1.09%) fell into the low-level category, indicating challenges in essential thinking processes that are crucial for both academic learning and real-world problem-solving. Areas such as understanding and creating require further attention and resources to support student development.</w:t>
      </w:r>
    </w:p>
    <w:p w14:paraId="5B69F7BA" w14:textId="77777777" w:rsidR="00BD0C1D" w:rsidRPr="00BD0C1D" w:rsidRDefault="00BD0C1D" w:rsidP="00BD0C1D">
      <w:pPr>
        <w:jc w:val="both"/>
        <w:rPr>
          <w:rFonts w:ascii="Arial" w:eastAsia="Arial" w:hAnsi="Arial" w:cs="Arial"/>
        </w:rPr>
      </w:pPr>
    </w:p>
    <w:p w14:paraId="519F4CA3" w14:textId="402598AF" w:rsidR="000B1D44" w:rsidRDefault="000B62FC">
      <w:pPr>
        <w:tabs>
          <w:tab w:val="left" w:pos="2173"/>
        </w:tabs>
        <w:ind w:right="-72"/>
        <w:jc w:val="both"/>
        <w:rPr>
          <w:rFonts w:ascii="Arial" w:eastAsia="Arial" w:hAnsi="Arial" w:cs="Arial"/>
        </w:rPr>
      </w:pPr>
      <w:r>
        <w:rPr>
          <w:rFonts w:ascii="Arial" w:eastAsia="Arial" w:hAnsi="Arial" w:cs="Arial"/>
        </w:rPr>
        <w:t xml:space="preserve">Table 3: </w:t>
      </w:r>
      <w:r w:rsidR="007049BF" w:rsidRPr="007049BF">
        <w:rPr>
          <w:rFonts w:ascii="Arial" w:eastAsia="Arial" w:hAnsi="Arial" w:cs="Arial"/>
        </w:rPr>
        <w:t>Descriptive Result of Students’ Critical Thinking</w:t>
      </w:r>
    </w:p>
    <w:tbl>
      <w:tblPr>
        <w:tblStyle w:val="a2"/>
        <w:tblW w:w="8207" w:type="dxa"/>
        <w:tblInd w:w="-10" w:type="dxa"/>
        <w:tblLayout w:type="fixed"/>
        <w:tblLook w:val="0400" w:firstRow="0" w:lastRow="0" w:firstColumn="0" w:lastColumn="0" w:noHBand="0" w:noVBand="1"/>
      </w:tblPr>
      <w:tblGrid>
        <w:gridCol w:w="1570"/>
        <w:gridCol w:w="1701"/>
        <w:gridCol w:w="1701"/>
        <w:gridCol w:w="1559"/>
        <w:gridCol w:w="1676"/>
      </w:tblGrid>
      <w:tr w:rsidR="007049BF" w:rsidRPr="00656CAC" w14:paraId="24781F74" w14:textId="77777777" w:rsidTr="00656CAC">
        <w:trPr>
          <w:trHeight w:val="294"/>
        </w:trPr>
        <w:tc>
          <w:tcPr>
            <w:tcW w:w="1570" w:type="dxa"/>
            <w:tcBorders>
              <w:top w:val="single" w:sz="24" w:space="0" w:color="000000"/>
              <w:bottom w:val="single" w:sz="4" w:space="0" w:color="000000"/>
            </w:tcBorders>
            <w:vAlign w:val="center"/>
          </w:tcPr>
          <w:p w14:paraId="64EAE669" w14:textId="2F024B0A" w:rsidR="007049BF" w:rsidRPr="00656CAC" w:rsidRDefault="007049BF" w:rsidP="007049BF">
            <w:pPr>
              <w:ind w:right="-72"/>
              <w:jc w:val="center"/>
              <w:rPr>
                <w:rFonts w:ascii="Arial" w:eastAsia="Arial" w:hAnsi="Arial" w:cs="Arial"/>
                <w:b/>
                <w:bCs/>
                <w:color w:val="000000"/>
                <w:sz w:val="20"/>
                <w:szCs w:val="20"/>
              </w:rPr>
            </w:pPr>
          </w:p>
        </w:tc>
        <w:tc>
          <w:tcPr>
            <w:tcW w:w="1701" w:type="dxa"/>
            <w:tcBorders>
              <w:top w:val="single" w:sz="24" w:space="0" w:color="000000"/>
              <w:bottom w:val="single" w:sz="4" w:space="0" w:color="000000"/>
            </w:tcBorders>
            <w:vAlign w:val="center"/>
          </w:tcPr>
          <w:p w14:paraId="70D8D783" w14:textId="77777777" w:rsidR="00656CAC" w:rsidRPr="00656CAC" w:rsidRDefault="00656CAC" w:rsidP="007049BF">
            <w:pPr>
              <w:ind w:right="-72"/>
              <w:jc w:val="center"/>
              <w:rPr>
                <w:rFonts w:ascii="Arial" w:hAnsi="Arial" w:cs="Arial"/>
                <w:b/>
                <w:bCs/>
                <w:sz w:val="20"/>
                <w:szCs w:val="20"/>
              </w:rPr>
            </w:pPr>
            <w:r w:rsidRPr="00656CAC">
              <w:rPr>
                <w:rFonts w:ascii="Arial" w:hAnsi="Arial" w:cs="Arial"/>
                <w:b/>
                <w:bCs/>
                <w:sz w:val="20"/>
                <w:szCs w:val="20"/>
              </w:rPr>
              <w:t xml:space="preserve">LOW </w:t>
            </w:r>
          </w:p>
          <w:p w14:paraId="79DA5392" w14:textId="5A682CD5" w:rsidR="007049BF" w:rsidRPr="00656CAC" w:rsidRDefault="00676701" w:rsidP="007049BF">
            <w:pPr>
              <w:ind w:right="-72"/>
              <w:jc w:val="center"/>
              <w:rPr>
                <w:rFonts w:ascii="Arial" w:eastAsia="Arial" w:hAnsi="Arial" w:cs="Arial"/>
                <w:b/>
                <w:bCs/>
                <w:color w:val="000000"/>
                <w:sz w:val="20"/>
                <w:szCs w:val="20"/>
              </w:rPr>
            </w:pPr>
            <w:r>
              <w:rPr>
                <w:rFonts w:ascii="Arial" w:hAnsi="Arial" w:cs="Arial"/>
                <w:b/>
                <w:bCs/>
                <w:sz w:val="20"/>
                <w:szCs w:val="20"/>
              </w:rPr>
              <w:t>LEVEL</w:t>
            </w:r>
          </w:p>
        </w:tc>
        <w:tc>
          <w:tcPr>
            <w:tcW w:w="1701" w:type="dxa"/>
            <w:tcBorders>
              <w:top w:val="single" w:sz="24" w:space="0" w:color="000000"/>
              <w:bottom w:val="single" w:sz="4" w:space="0" w:color="000000"/>
            </w:tcBorders>
            <w:vAlign w:val="center"/>
          </w:tcPr>
          <w:p w14:paraId="2A58355A" w14:textId="70FD42EE" w:rsidR="00656CAC" w:rsidRPr="00656CAC" w:rsidRDefault="00656CAC" w:rsidP="007049BF">
            <w:pPr>
              <w:ind w:right="-72"/>
              <w:jc w:val="center"/>
              <w:rPr>
                <w:rFonts w:ascii="Arial" w:hAnsi="Arial" w:cs="Arial"/>
                <w:b/>
                <w:bCs/>
                <w:sz w:val="20"/>
                <w:szCs w:val="20"/>
              </w:rPr>
            </w:pPr>
            <w:r w:rsidRPr="00656CAC">
              <w:rPr>
                <w:rFonts w:ascii="Arial" w:hAnsi="Arial" w:cs="Arial"/>
                <w:b/>
                <w:bCs/>
                <w:sz w:val="20"/>
                <w:szCs w:val="20"/>
              </w:rPr>
              <w:t xml:space="preserve">AVERAGE </w:t>
            </w:r>
          </w:p>
          <w:p w14:paraId="6C7E0868" w14:textId="21A99987" w:rsidR="007049BF" w:rsidRPr="00656CAC" w:rsidRDefault="00676701" w:rsidP="007049BF">
            <w:pPr>
              <w:ind w:right="-72"/>
              <w:jc w:val="center"/>
              <w:rPr>
                <w:rFonts w:ascii="Arial" w:eastAsia="Arial" w:hAnsi="Arial" w:cs="Arial"/>
                <w:b/>
                <w:bCs/>
                <w:color w:val="000000"/>
                <w:sz w:val="20"/>
                <w:szCs w:val="20"/>
              </w:rPr>
            </w:pPr>
            <w:r>
              <w:rPr>
                <w:rFonts w:ascii="Arial" w:hAnsi="Arial" w:cs="Arial"/>
                <w:b/>
                <w:bCs/>
                <w:sz w:val="20"/>
                <w:szCs w:val="20"/>
              </w:rPr>
              <w:t>LEVEL</w:t>
            </w:r>
          </w:p>
        </w:tc>
        <w:tc>
          <w:tcPr>
            <w:tcW w:w="1559" w:type="dxa"/>
            <w:tcBorders>
              <w:top w:val="single" w:sz="24" w:space="0" w:color="000000"/>
              <w:bottom w:val="single" w:sz="4" w:space="0" w:color="000000"/>
            </w:tcBorders>
            <w:vAlign w:val="center"/>
          </w:tcPr>
          <w:p w14:paraId="11FC958E" w14:textId="151AC6E3" w:rsidR="00656CAC" w:rsidRPr="00656CAC" w:rsidRDefault="00656CAC" w:rsidP="007049BF">
            <w:pPr>
              <w:ind w:right="-72"/>
              <w:jc w:val="center"/>
              <w:rPr>
                <w:rFonts w:ascii="Arial" w:hAnsi="Arial" w:cs="Arial"/>
                <w:b/>
                <w:bCs/>
                <w:sz w:val="20"/>
                <w:szCs w:val="20"/>
              </w:rPr>
            </w:pPr>
            <w:r w:rsidRPr="00656CAC">
              <w:rPr>
                <w:rFonts w:ascii="Arial" w:hAnsi="Arial" w:cs="Arial"/>
                <w:b/>
                <w:bCs/>
                <w:sz w:val="20"/>
                <w:szCs w:val="20"/>
              </w:rPr>
              <w:t xml:space="preserve">HIGH </w:t>
            </w:r>
          </w:p>
          <w:p w14:paraId="7A1C16EC" w14:textId="50D36B8D" w:rsidR="007049BF" w:rsidRPr="00656CAC" w:rsidRDefault="00676701" w:rsidP="007049BF">
            <w:pPr>
              <w:ind w:right="-72"/>
              <w:jc w:val="center"/>
              <w:rPr>
                <w:rFonts w:ascii="Arial" w:hAnsi="Arial" w:cs="Arial"/>
                <w:b/>
                <w:bCs/>
                <w:sz w:val="20"/>
                <w:szCs w:val="20"/>
              </w:rPr>
            </w:pPr>
            <w:r>
              <w:rPr>
                <w:rFonts w:ascii="Arial" w:hAnsi="Arial" w:cs="Arial"/>
                <w:b/>
                <w:bCs/>
                <w:sz w:val="20"/>
                <w:szCs w:val="20"/>
              </w:rPr>
              <w:t>LEVEL</w:t>
            </w:r>
          </w:p>
        </w:tc>
        <w:tc>
          <w:tcPr>
            <w:tcW w:w="1676" w:type="dxa"/>
            <w:tcBorders>
              <w:top w:val="single" w:sz="24" w:space="0" w:color="000000"/>
              <w:bottom w:val="single" w:sz="4" w:space="0" w:color="000000"/>
            </w:tcBorders>
            <w:vAlign w:val="center"/>
          </w:tcPr>
          <w:p w14:paraId="634D385C" w14:textId="6598D756" w:rsidR="007049BF" w:rsidRPr="00656CAC" w:rsidRDefault="00656CAC" w:rsidP="007049BF">
            <w:pPr>
              <w:ind w:right="-72"/>
              <w:jc w:val="center"/>
              <w:rPr>
                <w:rFonts w:ascii="Arial" w:eastAsia="Arial" w:hAnsi="Arial" w:cs="Arial"/>
                <w:b/>
                <w:bCs/>
                <w:color w:val="000000"/>
                <w:sz w:val="20"/>
                <w:szCs w:val="20"/>
              </w:rPr>
            </w:pPr>
            <w:r w:rsidRPr="00656CAC">
              <w:rPr>
                <w:rFonts w:ascii="Arial" w:eastAsia="Arial" w:hAnsi="Arial" w:cs="Arial"/>
                <w:b/>
                <w:bCs/>
                <w:color w:val="000000"/>
                <w:sz w:val="20"/>
                <w:szCs w:val="20"/>
              </w:rPr>
              <w:t>TOTAL</w:t>
            </w:r>
          </w:p>
        </w:tc>
      </w:tr>
      <w:tr w:rsidR="007049BF" w:rsidRPr="00656CAC" w14:paraId="206F01D8" w14:textId="77777777" w:rsidTr="00656CAC">
        <w:trPr>
          <w:trHeight w:val="294"/>
        </w:trPr>
        <w:tc>
          <w:tcPr>
            <w:tcW w:w="1570" w:type="dxa"/>
            <w:tcBorders>
              <w:top w:val="single" w:sz="4" w:space="0" w:color="000000"/>
            </w:tcBorders>
          </w:tcPr>
          <w:p w14:paraId="2F5B6C8C" w14:textId="7ED44949"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Remembering</w:t>
            </w:r>
          </w:p>
        </w:tc>
        <w:tc>
          <w:tcPr>
            <w:tcW w:w="1701" w:type="dxa"/>
            <w:tcBorders>
              <w:top w:val="single" w:sz="4" w:space="0" w:color="000000"/>
            </w:tcBorders>
          </w:tcPr>
          <w:p w14:paraId="616014AB" w14:textId="478B5AAE"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14</w:t>
            </w:r>
          </w:p>
        </w:tc>
        <w:tc>
          <w:tcPr>
            <w:tcW w:w="1701" w:type="dxa"/>
            <w:tcBorders>
              <w:top w:val="single" w:sz="4" w:space="0" w:color="000000"/>
            </w:tcBorders>
          </w:tcPr>
          <w:p w14:paraId="3E05CDD8" w14:textId="7184BB2E"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145</w:t>
            </w:r>
          </w:p>
        </w:tc>
        <w:tc>
          <w:tcPr>
            <w:tcW w:w="1559" w:type="dxa"/>
            <w:tcBorders>
              <w:top w:val="single" w:sz="4" w:space="0" w:color="000000"/>
            </w:tcBorders>
          </w:tcPr>
          <w:p w14:paraId="2E99E66C" w14:textId="0C0DBDD0"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116</w:t>
            </w:r>
          </w:p>
        </w:tc>
        <w:tc>
          <w:tcPr>
            <w:tcW w:w="1676" w:type="dxa"/>
            <w:tcBorders>
              <w:top w:val="single" w:sz="4" w:space="0" w:color="000000"/>
            </w:tcBorders>
          </w:tcPr>
          <w:p w14:paraId="7FB6BC9E" w14:textId="1C95ABDB"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275</w:t>
            </w:r>
          </w:p>
        </w:tc>
      </w:tr>
      <w:tr w:rsidR="007049BF" w:rsidRPr="00656CAC" w14:paraId="46A3B7CD" w14:textId="77777777" w:rsidTr="00656CAC">
        <w:trPr>
          <w:trHeight w:val="312"/>
        </w:trPr>
        <w:tc>
          <w:tcPr>
            <w:tcW w:w="1570" w:type="dxa"/>
          </w:tcPr>
          <w:p w14:paraId="5DA68C77" w14:textId="46C948E2"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w:t>
            </w:r>
          </w:p>
        </w:tc>
        <w:tc>
          <w:tcPr>
            <w:tcW w:w="1701" w:type="dxa"/>
          </w:tcPr>
          <w:p w14:paraId="596798A1" w14:textId="51036C88"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(5.09)</w:t>
            </w:r>
          </w:p>
        </w:tc>
        <w:tc>
          <w:tcPr>
            <w:tcW w:w="1701" w:type="dxa"/>
          </w:tcPr>
          <w:p w14:paraId="76574BCD" w14:textId="1CD7AC3B"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(52.73)</w:t>
            </w:r>
          </w:p>
        </w:tc>
        <w:tc>
          <w:tcPr>
            <w:tcW w:w="1559" w:type="dxa"/>
          </w:tcPr>
          <w:p w14:paraId="0EFDDA79" w14:textId="18F71DB1"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(42.18)</w:t>
            </w:r>
          </w:p>
        </w:tc>
        <w:tc>
          <w:tcPr>
            <w:tcW w:w="1676" w:type="dxa"/>
          </w:tcPr>
          <w:p w14:paraId="0E03E638" w14:textId="7857BD93"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(100.00)</w:t>
            </w:r>
          </w:p>
        </w:tc>
      </w:tr>
      <w:tr w:rsidR="007049BF" w:rsidRPr="00656CAC" w14:paraId="58832392" w14:textId="77777777" w:rsidTr="00656CAC">
        <w:trPr>
          <w:trHeight w:val="312"/>
        </w:trPr>
        <w:tc>
          <w:tcPr>
            <w:tcW w:w="1570" w:type="dxa"/>
          </w:tcPr>
          <w:p w14:paraId="0CBBD236" w14:textId="5910A3CA"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Understanding</w:t>
            </w:r>
          </w:p>
        </w:tc>
        <w:tc>
          <w:tcPr>
            <w:tcW w:w="1701" w:type="dxa"/>
          </w:tcPr>
          <w:p w14:paraId="1C7C1E16" w14:textId="6E687218"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11</w:t>
            </w:r>
          </w:p>
        </w:tc>
        <w:tc>
          <w:tcPr>
            <w:tcW w:w="1701" w:type="dxa"/>
          </w:tcPr>
          <w:p w14:paraId="609AFBDF" w14:textId="37EDEA45"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151</w:t>
            </w:r>
          </w:p>
        </w:tc>
        <w:tc>
          <w:tcPr>
            <w:tcW w:w="1559" w:type="dxa"/>
          </w:tcPr>
          <w:p w14:paraId="34BD7799" w14:textId="3D41341B"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113</w:t>
            </w:r>
          </w:p>
        </w:tc>
        <w:tc>
          <w:tcPr>
            <w:tcW w:w="1676" w:type="dxa"/>
          </w:tcPr>
          <w:p w14:paraId="63A1FD66" w14:textId="0978BDE3"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275</w:t>
            </w:r>
          </w:p>
        </w:tc>
      </w:tr>
      <w:tr w:rsidR="007049BF" w:rsidRPr="00656CAC" w14:paraId="16652768" w14:textId="77777777" w:rsidTr="00656CAC">
        <w:trPr>
          <w:trHeight w:val="312"/>
        </w:trPr>
        <w:tc>
          <w:tcPr>
            <w:tcW w:w="1570" w:type="dxa"/>
          </w:tcPr>
          <w:p w14:paraId="65094997" w14:textId="78196B47"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w:t>
            </w:r>
          </w:p>
        </w:tc>
        <w:tc>
          <w:tcPr>
            <w:tcW w:w="1701" w:type="dxa"/>
          </w:tcPr>
          <w:p w14:paraId="305908E9" w14:textId="02357D61"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(4.00)</w:t>
            </w:r>
          </w:p>
        </w:tc>
        <w:tc>
          <w:tcPr>
            <w:tcW w:w="1701" w:type="dxa"/>
          </w:tcPr>
          <w:p w14:paraId="62B7B16D" w14:textId="5917AC02"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(54.91)</w:t>
            </w:r>
          </w:p>
        </w:tc>
        <w:tc>
          <w:tcPr>
            <w:tcW w:w="1559" w:type="dxa"/>
          </w:tcPr>
          <w:p w14:paraId="3C1E9A2F" w14:textId="7C2EA44A"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41.09</w:t>
            </w:r>
          </w:p>
        </w:tc>
        <w:tc>
          <w:tcPr>
            <w:tcW w:w="1676" w:type="dxa"/>
          </w:tcPr>
          <w:p w14:paraId="7D0DD303" w14:textId="24619A61"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(100.00)</w:t>
            </w:r>
          </w:p>
        </w:tc>
      </w:tr>
      <w:tr w:rsidR="007049BF" w:rsidRPr="00656CAC" w14:paraId="276AAE2E" w14:textId="77777777" w:rsidTr="00656CAC">
        <w:trPr>
          <w:trHeight w:val="312"/>
        </w:trPr>
        <w:tc>
          <w:tcPr>
            <w:tcW w:w="1570" w:type="dxa"/>
          </w:tcPr>
          <w:p w14:paraId="07094181" w14:textId="4F6C3981"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Applying</w:t>
            </w:r>
          </w:p>
        </w:tc>
        <w:tc>
          <w:tcPr>
            <w:tcW w:w="1701" w:type="dxa"/>
          </w:tcPr>
          <w:p w14:paraId="0922B71A" w14:textId="05E6E189"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11</w:t>
            </w:r>
          </w:p>
        </w:tc>
        <w:tc>
          <w:tcPr>
            <w:tcW w:w="1701" w:type="dxa"/>
          </w:tcPr>
          <w:p w14:paraId="13D70DA1" w14:textId="0566E5D1"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92</w:t>
            </w:r>
          </w:p>
        </w:tc>
        <w:tc>
          <w:tcPr>
            <w:tcW w:w="1559" w:type="dxa"/>
          </w:tcPr>
          <w:p w14:paraId="3C32A145" w14:textId="578B3A5F"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172</w:t>
            </w:r>
          </w:p>
        </w:tc>
        <w:tc>
          <w:tcPr>
            <w:tcW w:w="1676" w:type="dxa"/>
          </w:tcPr>
          <w:p w14:paraId="7D61AE5A" w14:textId="134B383D"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275</w:t>
            </w:r>
          </w:p>
        </w:tc>
      </w:tr>
      <w:tr w:rsidR="007049BF" w:rsidRPr="00656CAC" w14:paraId="2ACAD303" w14:textId="77777777" w:rsidTr="00656CAC">
        <w:trPr>
          <w:trHeight w:val="312"/>
        </w:trPr>
        <w:tc>
          <w:tcPr>
            <w:tcW w:w="1570" w:type="dxa"/>
          </w:tcPr>
          <w:p w14:paraId="3D5195A7" w14:textId="47B93AF3"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lastRenderedPageBreak/>
              <w:t>(%)</w:t>
            </w:r>
          </w:p>
        </w:tc>
        <w:tc>
          <w:tcPr>
            <w:tcW w:w="1701" w:type="dxa"/>
          </w:tcPr>
          <w:p w14:paraId="7DE6E9D4" w14:textId="28175E5C"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(4.00)</w:t>
            </w:r>
          </w:p>
        </w:tc>
        <w:tc>
          <w:tcPr>
            <w:tcW w:w="1701" w:type="dxa"/>
          </w:tcPr>
          <w:p w14:paraId="1EA552C5" w14:textId="238BC059"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(33.45)</w:t>
            </w:r>
          </w:p>
        </w:tc>
        <w:tc>
          <w:tcPr>
            <w:tcW w:w="1559" w:type="dxa"/>
          </w:tcPr>
          <w:p w14:paraId="476500A5" w14:textId="435ED067"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62.55</w:t>
            </w:r>
          </w:p>
        </w:tc>
        <w:tc>
          <w:tcPr>
            <w:tcW w:w="1676" w:type="dxa"/>
          </w:tcPr>
          <w:p w14:paraId="08D692CF" w14:textId="276DD07E"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(100.00)</w:t>
            </w:r>
          </w:p>
        </w:tc>
      </w:tr>
      <w:tr w:rsidR="007049BF" w:rsidRPr="00656CAC" w14:paraId="1AE737BF" w14:textId="77777777" w:rsidTr="00656CAC">
        <w:trPr>
          <w:trHeight w:val="312"/>
        </w:trPr>
        <w:tc>
          <w:tcPr>
            <w:tcW w:w="1570" w:type="dxa"/>
          </w:tcPr>
          <w:p w14:paraId="2556F05F" w14:textId="3AE439C8"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Analyzing</w:t>
            </w:r>
          </w:p>
        </w:tc>
        <w:tc>
          <w:tcPr>
            <w:tcW w:w="1701" w:type="dxa"/>
          </w:tcPr>
          <w:p w14:paraId="1350296E" w14:textId="6089767C"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14</w:t>
            </w:r>
          </w:p>
        </w:tc>
        <w:tc>
          <w:tcPr>
            <w:tcW w:w="1701" w:type="dxa"/>
          </w:tcPr>
          <w:p w14:paraId="05522E4A" w14:textId="1493622B"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114</w:t>
            </w:r>
          </w:p>
        </w:tc>
        <w:tc>
          <w:tcPr>
            <w:tcW w:w="1559" w:type="dxa"/>
          </w:tcPr>
          <w:p w14:paraId="3CC691BE" w14:textId="7529CD68"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147</w:t>
            </w:r>
          </w:p>
        </w:tc>
        <w:tc>
          <w:tcPr>
            <w:tcW w:w="1676" w:type="dxa"/>
          </w:tcPr>
          <w:p w14:paraId="28D1FD18" w14:textId="5FB9FB0D"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275</w:t>
            </w:r>
          </w:p>
        </w:tc>
      </w:tr>
      <w:tr w:rsidR="007049BF" w:rsidRPr="00656CAC" w14:paraId="7F2C7762" w14:textId="77777777" w:rsidTr="00656CAC">
        <w:trPr>
          <w:trHeight w:val="312"/>
        </w:trPr>
        <w:tc>
          <w:tcPr>
            <w:tcW w:w="1570" w:type="dxa"/>
          </w:tcPr>
          <w:p w14:paraId="4A98CC2A" w14:textId="7CE10DB1"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w:t>
            </w:r>
          </w:p>
        </w:tc>
        <w:tc>
          <w:tcPr>
            <w:tcW w:w="1701" w:type="dxa"/>
          </w:tcPr>
          <w:p w14:paraId="62DD4A16" w14:textId="60D735B0"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(5.09)</w:t>
            </w:r>
          </w:p>
        </w:tc>
        <w:tc>
          <w:tcPr>
            <w:tcW w:w="1701" w:type="dxa"/>
          </w:tcPr>
          <w:p w14:paraId="5E701E3C" w14:textId="3B337A7A"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(41.45)</w:t>
            </w:r>
          </w:p>
        </w:tc>
        <w:tc>
          <w:tcPr>
            <w:tcW w:w="1559" w:type="dxa"/>
          </w:tcPr>
          <w:p w14:paraId="0E44C163" w14:textId="40EE767B"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(53.46)</w:t>
            </w:r>
          </w:p>
        </w:tc>
        <w:tc>
          <w:tcPr>
            <w:tcW w:w="1676" w:type="dxa"/>
          </w:tcPr>
          <w:p w14:paraId="7EBBA16B" w14:textId="1744368F"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(100.00)</w:t>
            </w:r>
          </w:p>
        </w:tc>
      </w:tr>
      <w:tr w:rsidR="007049BF" w:rsidRPr="00656CAC" w14:paraId="114731B8" w14:textId="77777777" w:rsidTr="00656CAC">
        <w:trPr>
          <w:trHeight w:val="312"/>
        </w:trPr>
        <w:tc>
          <w:tcPr>
            <w:tcW w:w="1570" w:type="dxa"/>
          </w:tcPr>
          <w:p w14:paraId="71E763A1" w14:textId="2EEDD8AD"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Evaluating</w:t>
            </w:r>
          </w:p>
        </w:tc>
        <w:tc>
          <w:tcPr>
            <w:tcW w:w="1701" w:type="dxa"/>
          </w:tcPr>
          <w:p w14:paraId="54E61AFD" w14:textId="759E3EAF"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10</w:t>
            </w:r>
          </w:p>
        </w:tc>
        <w:tc>
          <w:tcPr>
            <w:tcW w:w="1701" w:type="dxa"/>
          </w:tcPr>
          <w:p w14:paraId="1AA62D5C" w14:textId="52D7B79C"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69</w:t>
            </w:r>
          </w:p>
        </w:tc>
        <w:tc>
          <w:tcPr>
            <w:tcW w:w="1559" w:type="dxa"/>
          </w:tcPr>
          <w:p w14:paraId="7426E6E7" w14:textId="38ABB536"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196</w:t>
            </w:r>
          </w:p>
        </w:tc>
        <w:tc>
          <w:tcPr>
            <w:tcW w:w="1676" w:type="dxa"/>
          </w:tcPr>
          <w:p w14:paraId="13752CDF" w14:textId="2E53B4C8"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275</w:t>
            </w:r>
          </w:p>
        </w:tc>
      </w:tr>
      <w:tr w:rsidR="007049BF" w:rsidRPr="00656CAC" w14:paraId="1AB65F99" w14:textId="77777777" w:rsidTr="00656CAC">
        <w:trPr>
          <w:trHeight w:val="312"/>
        </w:trPr>
        <w:tc>
          <w:tcPr>
            <w:tcW w:w="1570" w:type="dxa"/>
          </w:tcPr>
          <w:p w14:paraId="25DB3975" w14:textId="5C4B202A"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w:t>
            </w:r>
          </w:p>
        </w:tc>
        <w:tc>
          <w:tcPr>
            <w:tcW w:w="1701" w:type="dxa"/>
          </w:tcPr>
          <w:p w14:paraId="66381073" w14:textId="491DDE59"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(3.64)</w:t>
            </w:r>
          </w:p>
        </w:tc>
        <w:tc>
          <w:tcPr>
            <w:tcW w:w="1701" w:type="dxa"/>
          </w:tcPr>
          <w:p w14:paraId="0FDBE88B" w14:textId="19E7D62C"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(25.09)</w:t>
            </w:r>
          </w:p>
        </w:tc>
        <w:tc>
          <w:tcPr>
            <w:tcW w:w="1559" w:type="dxa"/>
          </w:tcPr>
          <w:p w14:paraId="0274CB08" w14:textId="6E1027A7"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(71.27)</w:t>
            </w:r>
          </w:p>
        </w:tc>
        <w:tc>
          <w:tcPr>
            <w:tcW w:w="1676" w:type="dxa"/>
          </w:tcPr>
          <w:p w14:paraId="559D9DAA" w14:textId="7CCE316B"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(100.00)</w:t>
            </w:r>
          </w:p>
        </w:tc>
      </w:tr>
      <w:tr w:rsidR="007049BF" w:rsidRPr="00656CAC" w14:paraId="1BE98496" w14:textId="77777777" w:rsidTr="00656CAC">
        <w:trPr>
          <w:trHeight w:val="312"/>
        </w:trPr>
        <w:tc>
          <w:tcPr>
            <w:tcW w:w="1570" w:type="dxa"/>
          </w:tcPr>
          <w:p w14:paraId="6F5451ED" w14:textId="0D4ACA8A"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Creating</w:t>
            </w:r>
          </w:p>
        </w:tc>
        <w:tc>
          <w:tcPr>
            <w:tcW w:w="1701" w:type="dxa"/>
          </w:tcPr>
          <w:p w14:paraId="10D7E0D2" w14:textId="0948BC92"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11</w:t>
            </w:r>
          </w:p>
        </w:tc>
        <w:tc>
          <w:tcPr>
            <w:tcW w:w="1701" w:type="dxa"/>
          </w:tcPr>
          <w:p w14:paraId="44D8852C" w14:textId="4676D580"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255</w:t>
            </w:r>
          </w:p>
        </w:tc>
        <w:tc>
          <w:tcPr>
            <w:tcW w:w="1559" w:type="dxa"/>
          </w:tcPr>
          <w:p w14:paraId="4179BB42" w14:textId="57E96CA2"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9</w:t>
            </w:r>
          </w:p>
        </w:tc>
        <w:tc>
          <w:tcPr>
            <w:tcW w:w="1676" w:type="dxa"/>
          </w:tcPr>
          <w:p w14:paraId="76119762" w14:textId="30F97A97"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275</w:t>
            </w:r>
          </w:p>
        </w:tc>
      </w:tr>
      <w:tr w:rsidR="007049BF" w:rsidRPr="00656CAC" w14:paraId="612C2F2C" w14:textId="77777777" w:rsidTr="00656CAC">
        <w:trPr>
          <w:trHeight w:val="312"/>
        </w:trPr>
        <w:tc>
          <w:tcPr>
            <w:tcW w:w="1570" w:type="dxa"/>
            <w:tcBorders>
              <w:bottom w:val="single" w:sz="4" w:space="0" w:color="auto"/>
            </w:tcBorders>
          </w:tcPr>
          <w:p w14:paraId="78853446" w14:textId="6DE0B05E"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w:t>
            </w:r>
          </w:p>
        </w:tc>
        <w:tc>
          <w:tcPr>
            <w:tcW w:w="1701" w:type="dxa"/>
            <w:tcBorders>
              <w:bottom w:val="single" w:sz="4" w:space="0" w:color="auto"/>
            </w:tcBorders>
          </w:tcPr>
          <w:p w14:paraId="293353C6" w14:textId="5FDB0B38"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(4.00)</w:t>
            </w:r>
          </w:p>
        </w:tc>
        <w:tc>
          <w:tcPr>
            <w:tcW w:w="1701" w:type="dxa"/>
            <w:tcBorders>
              <w:bottom w:val="single" w:sz="4" w:space="0" w:color="auto"/>
            </w:tcBorders>
          </w:tcPr>
          <w:p w14:paraId="31218D9A" w14:textId="714A53F5"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(92.73)</w:t>
            </w:r>
          </w:p>
        </w:tc>
        <w:tc>
          <w:tcPr>
            <w:tcW w:w="1559" w:type="dxa"/>
            <w:tcBorders>
              <w:bottom w:val="single" w:sz="4" w:space="0" w:color="auto"/>
            </w:tcBorders>
          </w:tcPr>
          <w:p w14:paraId="6F420909" w14:textId="4B83DE6E"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(3.27)</w:t>
            </w:r>
          </w:p>
        </w:tc>
        <w:tc>
          <w:tcPr>
            <w:tcW w:w="1676" w:type="dxa"/>
            <w:tcBorders>
              <w:bottom w:val="single" w:sz="4" w:space="0" w:color="auto"/>
            </w:tcBorders>
          </w:tcPr>
          <w:p w14:paraId="53619208" w14:textId="1CF908B1"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(100.00)</w:t>
            </w:r>
          </w:p>
        </w:tc>
      </w:tr>
      <w:tr w:rsidR="007049BF" w:rsidRPr="00656CAC" w14:paraId="073D17A3" w14:textId="77777777" w:rsidTr="00656CAC">
        <w:trPr>
          <w:trHeight w:val="312"/>
        </w:trPr>
        <w:tc>
          <w:tcPr>
            <w:tcW w:w="1570" w:type="dxa"/>
            <w:tcBorders>
              <w:top w:val="single" w:sz="4" w:space="0" w:color="auto"/>
            </w:tcBorders>
          </w:tcPr>
          <w:p w14:paraId="6F784E27" w14:textId="18CF22E7"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Overall Score</w:t>
            </w:r>
          </w:p>
        </w:tc>
        <w:tc>
          <w:tcPr>
            <w:tcW w:w="1701" w:type="dxa"/>
            <w:tcBorders>
              <w:top w:val="single" w:sz="4" w:space="0" w:color="auto"/>
            </w:tcBorders>
          </w:tcPr>
          <w:p w14:paraId="755B0EBF" w14:textId="5D7ABF06"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3</w:t>
            </w:r>
          </w:p>
        </w:tc>
        <w:tc>
          <w:tcPr>
            <w:tcW w:w="1701" w:type="dxa"/>
            <w:tcBorders>
              <w:top w:val="single" w:sz="4" w:space="0" w:color="auto"/>
            </w:tcBorders>
          </w:tcPr>
          <w:p w14:paraId="4151BAD6" w14:textId="48FF317B"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136</w:t>
            </w:r>
          </w:p>
        </w:tc>
        <w:tc>
          <w:tcPr>
            <w:tcW w:w="1559" w:type="dxa"/>
            <w:tcBorders>
              <w:top w:val="single" w:sz="4" w:space="0" w:color="auto"/>
            </w:tcBorders>
          </w:tcPr>
          <w:p w14:paraId="77796A8C" w14:textId="011A0F88"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136</w:t>
            </w:r>
          </w:p>
        </w:tc>
        <w:tc>
          <w:tcPr>
            <w:tcW w:w="1676" w:type="dxa"/>
            <w:tcBorders>
              <w:top w:val="single" w:sz="4" w:space="0" w:color="auto"/>
            </w:tcBorders>
          </w:tcPr>
          <w:p w14:paraId="07F96FA7" w14:textId="5FD291B2"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275</w:t>
            </w:r>
          </w:p>
        </w:tc>
      </w:tr>
      <w:tr w:rsidR="007049BF" w:rsidRPr="00656CAC" w14:paraId="7EFC1571" w14:textId="77777777" w:rsidTr="00656CAC">
        <w:trPr>
          <w:trHeight w:val="294"/>
        </w:trPr>
        <w:tc>
          <w:tcPr>
            <w:tcW w:w="1570" w:type="dxa"/>
            <w:tcBorders>
              <w:bottom w:val="single" w:sz="24" w:space="0" w:color="000000"/>
            </w:tcBorders>
          </w:tcPr>
          <w:p w14:paraId="6A16FED2" w14:textId="1757AFA7"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w:t>
            </w:r>
          </w:p>
        </w:tc>
        <w:tc>
          <w:tcPr>
            <w:tcW w:w="1701" w:type="dxa"/>
            <w:tcBorders>
              <w:bottom w:val="single" w:sz="24" w:space="0" w:color="000000"/>
            </w:tcBorders>
          </w:tcPr>
          <w:p w14:paraId="0F3AB32E" w14:textId="36D2438C"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(1.10)</w:t>
            </w:r>
          </w:p>
        </w:tc>
        <w:tc>
          <w:tcPr>
            <w:tcW w:w="1701" w:type="dxa"/>
            <w:tcBorders>
              <w:bottom w:val="single" w:sz="24" w:space="0" w:color="000000"/>
            </w:tcBorders>
          </w:tcPr>
          <w:p w14:paraId="59F8ACF9" w14:textId="3F63249B"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(49.45)</w:t>
            </w:r>
          </w:p>
        </w:tc>
        <w:tc>
          <w:tcPr>
            <w:tcW w:w="1559" w:type="dxa"/>
            <w:tcBorders>
              <w:bottom w:val="single" w:sz="24" w:space="0" w:color="000000"/>
            </w:tcBorders>
          </w:tcPr>
          <w:p w14:paraId="3257E0DD" w14:textId="2312BCAE" w:rsidR="007049BF" w:rsidRPr="00656CAC" w:rsidRDefault="007049BF" w:rsidP="007049BF">
            <w:pPr>
              <w:ind w:right="-72"/>
              <w:jc w:val="center"/>
              <w:rPr>
                <w:rFonts w:ascii="Arial" w:hAnsi="Arial" w:cs="Arial"/>
                <w:sz w:val="20"/>
                <w:szCs w:val="20"/>
              </w:rPr>
            </w:pPr>
            <w:r w:rsidRPr="00656CAC">
              <w:rPr>
                <w:rFonts w:ascii="Arial" w:hAnsi="Arial" w:cs="Arial"/>
                <w:sz w:val="20"/>
                <w:szCs w:val="20"/>
              </w:rPr>
              <w:t>(49.45)</w:t>
            </w:r>
          </w:p>
        </w:tc>
        <w:tc>
          <w:tcPr>
            <w:tcW w:w="1676" w:type="dxa"/>
            <w:tcBorders>
              <w:bottom w:val="single" w:sz="24" w:space="0" w:color="000000"/>
            </w:tcBorders>
          </w:tcPr>
          <w:p w14:paraId="3410AE50" w14:textId="5DB8095F" w:rsidR="007049BF" w:rsidRPr="00656CAC" w:rsidRDefault="007049BF" w:rsidP="007049BF">
            <w:pPr>
              <w:ind w:right="-72"/>
              <w:jc w:val="center"/>
              <w:rPr>
                <w:rFonts w:ascii="Arial" w:eastAsia="Arial" w:hAnsi="Arial" w:cs="Arial"/>
                <w:color w:val="000000"/>
                <w:sz w:val="20"/>
                <w:szCs w:val="20"/>
              </w:rPr>
            </w:pPr>
            <w:r w:rsidRPr="00656CAC">
              <w:rPr>
                <w:rFonts w:ascii="Arial" w:hAnsi="Arial" w:cs="Arial"/>
                <w:sz w:val="20"/>
                <w:szCs w:val="20"/>
              </w:rPr>
              <w:t>(100.00)</w:t>
            </w:r>
          </w:p>
        </w:tc>
      </w:tr>
    </w:tbl>
    <w:p w14:paraId="27CF7CD9" w14:textId="0E4849D0" w:rsidR="000B1D44" w:rsidRDefault="000B62FC">
      <w:pPr>
        <w:tabs>
          <w:tab w:val="left" w:pos="2173"/>
        </w:tabs>
        <w:ind w:right="-630"/>
        <w:jc w:val="both"/>
        <w:rPr>
          <w:rFonts w:ascii="Arial" w:eastAsia="Arial" w:hAnsi="Arial" w:cs="Arial"/>
        </w:rPr>
      </w:pPr>
      <w:r>
        <w:rPr>
          <w:rFonts w:ascii="Arial" w:eastAsia="Arial" w:hAnsi="Arial" w:cs="Arial"/>
        </w:rPr>
        <w:t>n=</w:t>
      </w:r>
      <w:r w:rsidR="007049BF">
        <w:rPr>
          <w:rFonts w:ascii="Arial" w:eastAsia="Arial" w:hAnsi="Arial" w:cs="Arial"/>
        </w:rPr>
        <w:t>275</w:t>
      </w:r>
      <w:r>
        <w:rPr>
          <w:rFonts w:ascii="Arial" w:eastAsia="Arial" w:hAnsi="Arial" w:cs="Arial"/>
        </w:rPr>
        <w:t>; %=100; Mean=</w:t>
      </w:r>
      <w:r w:rsidR="00656CAC">
        <w:rPr>
          <w:rFonts w:ascii="Arial" w:eastAsia="Arial" w:hAnsi="Arial" w:cs="Arial"/>
        </w:rPr>
        <w:t>3.66</w:t>
      </w:r>
      <w:r>
        <w:rPr>
          <w:rFonts w:ascii="Arial" w:eastAsia="Arial" w:hAnsi="Arial" w:cs="Arial"/>
        </w:rPr>
        <w:t>; SD=0.4</w:t>
      </w:r>
      <w:r w:rsidR="00656CAC">
        <w:rPr>
          <w:rFonts w:ascii="Arial" w:eastAsia="Arial" w:hAnsi="Arial" w:cs="Arial"/>
        </w:rPr>
        <w:t>95</w:t>
      </w:r>
    </w:p>
    <w:p w14:paraId="5DF560C7" w14:textId="77777777" w:rsidR="000B1D44" w:rsidRDefault="000B1D44">
      <w:pPr>
        <w:ind w:right="-72"/>
        <w:jc w:val="center"/>
        <w:rPr>
          <w:rFonts w:ascii="Arial" w:eastAsia="Arial" w:hAnsi="Arial" w:cs="Arial"/>
          <w:b/>
        </w:rPr>
      </w:pPr>
    </w:p>
    <w:p w14:paraId="73218EF6" w14:textId="77777777" w:rsidR="00656CAC" w:rsidRDefault="00656CAC">
      <w:pPr>
        <w:ind w:right="-72"/>
        <w:jc w:val="center"/>
        <w:rPr>
          <w:rFonts w:ascii="Arial" w:eastAsia="Arial" w:hAnsi="Arial" w:cs="Arial"/>
          <w:b/>
        </w:rPr>
      </w:pPr>
    </w:p>
    <w:p w14:paraId="7B83F4D4" w14:textId="77777777" w:rsidR="00656CAC" w:rsidRDefault="000B62FC" w:rsidP="00656CAC">
      <w:pPr>
        <w:ind w:right="-72"/>
        <w:jc w:val="center"/>
        <w:rPr>
          <w:rFonts w:ascii="Arial" w:eastAsia="Arial" w:hAnsi="Arial" w:cs="Arial"/>
          <w:b/>
        </w:rPr>
      </w:pPr>
      <w:r>
        <w:rPr>
          <w:rFonts w:ascii="Arial" w:eastAsia="Arial" w:hAnsi="Arial" w:cs="Arial"/>
          <w:b/>
        </w:rPr>
        <w:t xml:space="preserve">Relationship Between the </w:t>
      </w:r>
      <w:r w:rsidR="00656CAC">
        <w:rPr>
          <w:rFonts w:ascii="Arial" w:eastAsia="Arial" w:hAnsi="Arial" w:cs="Arial"/>
          <w:b/>
        </w:rPr>
        <w:t xml:space="preserve">Teacher’ Situated Learning Practices and  </w:t>
      </w:r>
    </w:p>
    <w:p w14:paraId="614BB05A" w14:textId="33771C43" w:rsidR="000B1D44" w:rsidRDefault="00656CAC" w:rsidP="00656CAC">
      <w:pPr>
        <w:ind w:right="-72"/>
        <w:jc w:val="center"/>
        <w:rPr>
          <w:rFonts w:ascii="Arial" w:eastAsia="Arial" w:hAnsi="Arial" w:cs="Arial"/>
          <w:b/>
        </w:rPr>
      </w:pPr>
      <w:r>
        <w:rPr>
          <w:rFonts w:ascii="Arial" w:eastAsia="Arial" w:hAnsi="Arial" w:cs="Arial"/>
          <w:b/>
        </w:rPr>
        <w:t xml:space="preserve">College Students’ Critical Thinking </w:t>
      </w:r>
    </w:p>
    <w:p w14:paraId="2FB95632"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18E2F3F5" w14:textId="77777777" w:rsidR="00D64D9C" w:rsidRPr="00D64D9C" w:rsidRDefault="00D64D9C" w:rsidP="00D64D9C">
      <w:pPr>
        <w:spacing w:after="4"/>
        <w:ind w:right="8" w:firstLine="720"/>
        <w:jc w:val="both"/>
        <w:rPr>
          <w:rFonts w:ascii="Arial" w:eastAsia="Arial" w:hAnsi="Arial" w:cs="Arial"/>
          <w:color w:val="000000"/>
        </w:rPr>
      </w:pPr>
      <w:r w:rsidRPr="00D64D9C">
        <w:rPr>
          <w:rFonts w:ascii="Arial" w:eastAsia="Arial" w:hAnsi="Arial" w:cs="Arial"/>
          <w:color w:val="000000"/>
        </w:rPr>
        <w:t>The results in Table 4 show the relationship between math teachers' situated learning practices and students' critical thinking in the context of the study. The situated learning practice characteristic "authentic context" employed by math teachers was found to have a strong correlation with students' critical thinking skills, indicated by an r-value of 0.502. This relationship is also statistically significant, as indicated by a p-value less than 0.05. This finding is supported by the study of Dolapcioglu and Doğanay (2016), who found that integrating authentic contexts—such as connecting mathematical problems and concepts to real-world applications—can increase student motivation, enthusiasm, and interest, which are crucial for developing critical thinking skills.</w:t>
      </w:r>
    </w:p>
    <w:p w14:paraId="38635677" w14:textId="77777777" w:rsidR="00D64D9C" w:rsidRPr="00D64D9C" w:rsidRDefault="00D64D9C" w:rsidP="00D64D9C">
      <w:pPr>
        <w:spacing w:after="4"/>
        <w:ind w:right="8" w:firstLine="720"/>
        <w:jc w:val="both"/>
        <w:rPr>
          <w:rFonts w:ascii="Arial" w:eastAsia="Arial" w:hAnsi="Arial" w:cs="Arial"/>
          <w:color w:val="000000"/>
        </w:rPr>
      </w:pPr>
      <w:r w:rsidRPr="00D64D9C">
        <w:rPr>
          <w:rFonts w:ascii="Arial" w:eastAsia="Arial" w:hAnsi="Arial" w:cs="Arial"/>
          <w:color w:val="000000"/>
        </w:rPr>
        <w:t>Furthermore, the situated learning practice characteristic "authentic activities," utilized by math teachers in their classes, was found to have a strong correlation with students' critical thinking skills, indicated by an r-value of 0.517. This relationship is also significant, as evidenced by a p-value less than 0.05. This finding aligns with Jablonka’s (2003) study, which found that students develop a better understanding of the practical applications of mathematics and enhance their critical thinking by engaging in authentic activities that use different mathematical models.</w:t>
      </w:r>
    </w:p>
    <w:p w14:paraId="49863EE4" w14:textId="77777777" w:rsidR="00D64D9C" w:rsidRPr="00D64D9C" w:rsidRDefault="00D64D9C" w:rsidP="00D64D9C">
      <w:pPr>
        <w:spacing w:after="4"/>
        <w:ind w:right="8" w:firstLine="720"/>
        <w:jc w:val="both"/>
        <w:rPr>
          <w:rFonts w:ascii="Arial" w:eastAsia="Arial" w:hAnsi="Arial" w:cs="Arial"/>
          <w:color w:val="000000"/>
        </w:rPr>
      </w:pPr>
      <w:r w:rsidRPr="00D64D9C">
        <w:rPr>
          <w:rFonts w:ascii="Arial" w:eastAsia="Arial" w:hAnsi="Arial" w:cs="Arial"/>
          <w:color w:val="000000"/>
        </w:rPr>
        <w:t>On the other hand, the situated learning practice characteristic "authentic assessment" used by math teachers in evaluating students' learning was found to have a moderate correlation with students' critical thinking skills, indicated by an r-value of 0.434. This relationship is also statistically significant, as indicated by a p-value less than 0.05. This result is supported by the study of Ukobizaba et al. (2020), which found that math teachers who use authentic assessments, such as employing varied and appropriate assessments that allow students to evaluate their own learning and progress, foster self-reflection and critical thinking.</w:t>
      </w:r>
    </w:p>
    <w:p w14:paraId="1035DA52" w14:textId="77777777" w:rsidR="00D64D9C" w:rsidRPr="00D64D9C" w:rsidRDefault="00D64D9C" w:rsidP="00D64D9C">
      <w:pPr>
        <w:spacing w:after="4"/>
        <w:ind w:right="8" w:firstLine="720"/>
        <w:jc w:val="both"/>
        <w:rPr>
          <w:rFonts w:ascii="Arial" w:eastAsia="Arial" w:hAnsi="Arial" w:cs="Arial"/>
          <w:color w:val="000000"/>
        </w:rPr>
      </w:pPr>
      <w:r w:rsidRPr="00D64D9C">
        <w:rPr>
          <w:rFonts w:ascii="Arial" w:eastAsia="Arial" w:hAnsi="Arial" w:cs="Arial"/>
          <w:color w:val="000000"/>
        </w:rPr>
        <w:t>The overall result of the situated learning practices employed by math teachers in relation to students' critical thinking shows a strong correlation with an r-value of 0.553 and a significant relationship, as indicated by a p-value less than 0.05. This suggests that situated learning practices—or the adoption of innovative and contextually relevant teaching methods—can enhance students' learning experiences in mathematics and improve their critical thinking. Therefore, we can reject the null hypothesis and conclude that there is a significant relationship between the situated learning practices employed by math teachers and students' critical thinking skills.</w:t>
      </w:r>
    </w:p>
    <w:p w14:paraId="7D052898" w14:textId="77777777" w:rsidR="00D64D9C" w:rsidRPr="00D64D9C" w:rsidRDefault="00D64D9C" w:rsidP="00D64D9C">
      <w:pPr>
        <w:spacing w:after="4"/>
        <w:ind w:right="8" w:firstLine="720"/>
        <w:jc w:val="both"/>
        <w:rPr>
          <w:rFonts w:ascii="Arial" w:eastAsia="Arial" w:hAnsi="Arial" w:cs="Arial"/>
          <w:color w:val="000000"/>
        </w:rPr>
      </w:pPr>
    </w:p>
    <w:p w14:paraId="49F340E2" w14:textId="77777777" w:rsidR="00D64D9C" w:rsidRPr="00D64D9C" w:rsidRDefault="00D64D9C" w:rsidP="00D64D9C">
      <w:pPr>
        <w:spacing w:after="4"/>
        <w:ind w:right="8" w:firstLine="720"/>
        <w:jc w:val="both"/>
        <w:rPr>
          <w:rFonts w:ascii="Arial" w:eastAsia="Arial" w:hAnsi="Arial" w:cs="Arial"/>
          <w:color w:val="000000"/>
        </w:rPr>
      </w:pPr>
      <w:r w:rsidRPr="00D64D9C">
        <w:rPr>
          <w:rFonts w:ascii="Arial" w:eastAsia="Arial" w:hAnsi="Arial" w:cs="Arial"/>
          <w:color w:val="000000"/>
        </w:rPr>
        <w:t xml:space="preserve">Although there appears to be limited empirical research specifically examining how situated learning practices directly influence the enhancement of critical thinking skills among college students, the study by D'Souza and Clare (2019) highlights the effectiveness of </w:t>
      </w:r>
      <w:r w:rsidRPr="00D64D9C">
        <w:rPr>
          <w:rFonts w:ascii="Arial" w:eastAsia="Arial" w:hAnsi="Arial" w:cs="Arial"/>
          <w:color w:val="000000"/>
        </w:rPr>
        <w:lastRenderedPageBreak/>
        <w:t xml:space="preserve">situated learning models, such as the use of contextual knowledge and authentic tasks in mathematics discussions. These practices demonstrate a notable improvement in students' abilities to comprehend, apply, analyze, synthesize, and evaluate information to solve problems, which fosters critical thinking. Another study that supports these findings is that situated learning environments—such as the use of real-world contexts, interactive learning, and collaborative activities—can significantly improve students' mathematical reasoning and foster critical thinking (Schunk, 2018). Additionally, the study of Alnuaim </w:t>
      </w:r>
      <w:bookmarkStart w:id="2" w:name="_Hlk197292534"/>
      <w:r w:rsidRPr="00D64D9C">
        <w:rPr>
          <w:rFonts w:ascii="Arial" w:eastAsia="Arial" w:hAnsi="Arial" w:cs="Arial"/>
          <w:color w:val="000000"/>
        </w:rPr>
        <w:t>et al.</w:t>
      </w:r>
      <w:bookmarkEnd w:id="2"/>
      <w:r w:rsidRPr="00D64D9C">
        <w:rPr>
          <w:rFonts w:ascii="Arial" w:eastAsia="Arial" w:hAnsi="Arial" w:cs="Arial"/>
          <w:color w:val="000000"/>
        </w:rPr>
        <w:t xml:space="preserve"> (2021) emphasized that there is a significant improvement in students' critical thinking through mobile location-based learning, such as real-world interactive activities and personalized feedback, which also fall under situated learning practices and help students improve their critical thinking skills.</w:t>
      </w:r>
    </w:p>
    <w:p w14:paraId="4DD930EF" w14:textId="65CA31BC" w:rsidR="000B1D44" w:rsidRDefault="000B1D44" w:rsidP="00656CAC">
      <w:pPr>
        <w:spacing w:after="4"/>
        <w:ind w:right="8" w:firstLine="720"/>
        <w:jc w:val="both"/>
        <w:rPr>
          <w:rFonts w:ascii="Arial" w:eastAsia="Arial" w:hAnsi="Arial" w:cs="Arial"/>
          <w:color w:val="000000"/>
        </w:rPr>
      </w:pPr>
    </w:p>
    <w:p w14:paraId="4E4B5E23" w14:textId="77777777" w:rsidR="00656CAC" w:rsidRDefault="00656CAC" w:rsidP="00656CAC">
      <w:pPr>
        <w:spacing w:after="4"/>
        <w:ind w:right="8" w:firstLine="720"/>
        <w:jc w:val="both"/>
        <w:rPr>
          <w:rFonts w:ascii="Arial" w:eastAsia="Arial" w:hAnsi="Arial" w:cs="Arial"/>
          <w:b/>
          <w:color w:val="000000"/>
        </w:rPr>
      </w:pPr>
    </w:p>
    <w:p w14:paraId="2037265B" w14:textId="74C53A78" w:rsidR="000B1D44" w:rsidRDefault="000B62FC">
      <w:pPr>
        <w:spacing w:after="4"/>
        <w:ind w:left="900" w:right="8" w:hanging="900"/>
        <w:jc w:val="both"/>
        <w:rPr>
          <w:rFonts w:ascii="Arial" w:eastAsia="Arial" w:hAnsi="Arial" w:cs="Arial"/>
          <w:color w:val="000000"/>
        </w:rPr>
      </w:pPr>
      <w:bookmarkStart w:id="3" w:name="_awgo808q6br3" w:colFirst="0" w:colLast="0"/>
      <w:bookmarkEnd w:id="3"/>
      <w:r>
        <w:rPr>
          <w:rFonts w:ascii="Arial" w:eastAsia="Arial" w:hAnsi="Arial" w:cs="Arial"/>
          <w:b/>
          <w:color w:val="000000"/>
        </w:rPr>
        <w:t xml:space="preserve">Table 4. </w:t>
      </w:r>
      <w:r>
        <w:rPr>
          <w:rFonts w:ascii="Arial" w:eastAsia="Arial" w:hAnsi="Arial" w:cs="Arial"/>
          <w:color w:val="000000"/>
        </w:rPr>
        <w:t xml:space="preserve">The Relationship Between the </w:t>
      </w:r>
      <w:r w:rsidR="00EE2AE9">
        <w:rPr>
          <w:rFonts w:ascii="Arial" w:eastAsia="Arial" w:hAnsi="Arial" w:cs="Arial"/>
          <w:color w:val="000000"/>
        </w:rPr>
        <w:t>Teachers’ Situated Learning Practices and College Students’ Critical Thinking Skills</w:t>
      </w:r>
    </w:p>
    <w:tbl>
      <w:tblPr>
        <w:tblStyle w:val="a3"/>
        <w:tblW w:w="8200" w:type="dxa"/>
        <w:tblInd w:w="-10" w:type="dxa"/>
        <w:tblLayout w:type="fixed"/>
        <w:tblLook w:val="0400" w:firstRow="0" w:lastRow="0" w:firstColumn="0" w:lastColumn="0" w:noHBand="0" w:noVBand="1"/>
      </w:tblPr>
      <w:tblGrid>
        <w:gridCol w:w="3340"/>
        <w:gridCol w:w="1620"/>
        <w:gridCol w:w="1890"/>
        <w:gridCol w:w="1350"/>
      </w:tblGrid>
      <w:tr w:rsidR="000B1D44" w:rsidRPr="00EE2AE9" w14:paraId="7E17ABAE" w14:textId="77777777">
        <w:tc>
          <w:tcPr>
            <w:tcW w:w="3340" w:type="dxa"/>
            <w:tcBorders>
              <w:top w:val="single" w:sz="24" w:space="0" w:color="000000"/>
              <w:bottom w:val="single" w:sz="4" w:space="0" w:color="000000"/>
            </w:tcBorders>
          </w:tcPr>
          <w:p w14:paraId="7EC72940" w14:textId="01FDFDC4" w:rsidR="000B1D44" w:rsidRPr="00EE2AE9" w:rsidRDefault="00EE2AE9">
            <w:pPr>
              <w:jc w:val="center"/>
              <w:rPr>
                <w:rFonts w:ascii="Arial" w:eastAsia="Arial" w:hAnsi="Arial" w:cs="Arial"/>
                <w:b/>
                <w:color w:val="000000"/>
                <w:sz w:val="20"/>
                <w:szCs w:val="20"/>
              </w:rPr>
            </w:pPr>
            <w:r w:rsidRPr="00EE2AE9">
              <w:rPr>
                <w:rFonts w:ascii="Arial" w:eastAsia="Arial" w:hAnsi="Arial" w:cs="Arial"/>
                <w:b/>
                <w:color w:val="000000"/>
                <w:sz w:val="20"/>
                <w:szCs w:val="20"/>
              </w:rPr>
              <w:t>CHARACTERISTICS</w:t>
            </w:r>
          </w:p>
        </w:tc>
        <w:tc>
          <w:tcPr>
            <w:tcW w:w="1620" w:type="dxa"/>
            <w:tcBorders>
              <w:top w:val="single" w:sz="24" w:space="0" w:color="000000"/>
              <w:bottom w:val="single" w:sz="4" w:space="0" w:color="000000"/>
            </w:tcBorders>
          </w:tcPr>
          <w:p w14:paraId="3986854B" w14:textId="77777777" w:rsidR="000B1D44" w:rsidRPr="00EE2AE9" w:rsidRDefault="000B62FC">
            <w:pPr>
              <w:jc w:val="center"/>
              <w:rPr>
                <w:rFonts w:ascii="Arial" w:eastAsia="Arial" w:hAnsi="Arial" w:cs="Arial"/>
                <w:b/>
                <w:color w:val="000000"/>
                <w:sz w:val="20"/>
                <w:szCs w:val="20"/>
              </w:rPr>
            </w:pPr>
            <w:r w:rsidRPr="00EE2AE9">
              <w:rPr>
                <w:rFonts w:ascii="Arial" w:eastAsia="Arial" w:hAnsi="Arial" w:cs="Arial"/>
                <w:b/>
                <w:color w:val="000000"/>
                <w:sz w:val="20"/>
                <w:szCs w:val="20"/>
              </w:rPr>
              <w:t>r-VALUE</w:t>
            </w:r>
          </w:p>
        </w:tc>
        <w:tc>
          <w:tcPr>
            <w:tcW w:w="1890" w:type="dxa"/>
            <w:tcBorders>
              <w:top w:val="single" w:sz="24" w:space="0" w:color="000000"/>
              <w:bottom w:val="single" w:sz="4" w:space="0" w:color="000000"/>
            </w:tcBorders>
          </w:tcPr>
          <w:p w14:paraId="78B470A0" w14:textId="77777777" w:rsidR="000B1D44" w:rsidRPr="00EE2AE9" w:rsidRDefault="000B62FC">
            <w:pPr>
              <w:jc w:val="center"/>
              <w:rPr>
                <w:rFonts w:ascii="Arial" w:eastAsia="Arial" w:hAnsi="Arial" w:cs="Arial"/>
                <w:b/>
                <w:color w:val="000000"/>
                <w:sz w:val="20"/>
                <w:szCs w:val="20"/>
              </w:rPr>
            </w:pPr>
            <w:r w:rsidRPr="00EE2AE9">
              <w:rPr>
                <w:rFonts w:ascii="Arial" w:eastAsia="Arial" w:hAnsi="Arial" w:cs="Arial"/>
                <w:b/>
                <w:color w:val="000000"/>
                <w:sz w:val="20"/>
                <w:szCs w:val="20"/>
              </w:rPr>
              <w:t>DESCRIPTION</w:t>
            </w:r>
          </w:p>
        </w:tc>
        <w:tc>
          <w:tcPr>
            <w:tcW w:w="1350" w:type="dxa"/>
            <w:tcBorders>
              <w:top w:val="single" w:sz="24" w:space="0" w:color="000000"/>
              <w:bottom w:val="single" w:sz="4" w:space="0" w:color="000000"/>
            </w:tcBorders>
          </w:tcPr>
          <w:p w14:paraId="3D5196EC" w14:textId="77777777" w:rsidR="000B1D44" w:rsidRPr="00EE2AE9" w:rsidRDefault="000B62FC">
            <w:pPr>
              <w:jc w:val="center"/>
              <w:rPr>
                <w:rFonts w:ascii="Arial" w:eastAsia="Arial" w:hAnsi="Arial" w:cs="Arial"/>
                <w:b/>
                <w:color w:val="000000"/>
                <w:sz w:val="20"/>
                <w:szCs w:val="20"/>
              </w:rPr>
            </w:pPr>
            <w:r w:rsidRPr="00EE2AE9">
              <w:rPr>
                <w:rFonts w:ascii="Arial" w:eastAsia="Arial" w:hAnsi="Arial" w:cs="Arial"/>
                <w:b/>
                <w:color w:val="000000"/>
                <w:sz w:val="20"/>
                <w:szCs w:val="20"/>
              </w:rPr>
              <w:t>p-VALUE</w:t>
            </w:r>
          </w:p>
        </w:tc>
      </w:tr>
      <w:tr w:rsidR="00EE2AE9" w:rsidRPr="00EE2AE9" w14:paraId="5FB58CBD" w14:textId="77777777">
        <w:trPr>
          <w:trHeight w:val="197"/>
        </w:trPr>
        <w:tc>
          <w:tcPr>
            <w:tcW w:w="3340" w:type="dxa"/>
            <w:tcBorders>
              <w:top w:val="single" w:sz="4" w:space="0" w:color="000000"/>
            </w:tcBorders>
          </w:tcPr>
          <w:p w14:paraId="6D222B25" w14:textId="5336F9EA" w:rsidR="00EE2AE9" w:rsidRPr="00EE2AE9" w:rsidRDefault="00EE2AE9" w:rsidP="00EE2AE9">
            <w:pPr>
              <w:rPr>
                <w:rFonts w:ascii="Arial" w:eastAsia="Arial" w:hAnsi="Arial" w:cs="Arial"/>
                <w:color w:val="000000"/>
                <w:sz w:val="20"/>
                <w:szCs w:val="20"/>
              </w:rPr>
            </w:pPr>
            <w:r w:rsidRPr="00EE2AE9">
              <w:rPr>
                <w:rFonts w:ascii="Arial" w:eastAsia="Arial" w:hAnsi="Arial" w:cs="Arial"/>
                <w:sz w:val="20"/>
                <w:szCs w:val="20"/>
              </w:rPr>
              <w:t>Authentic Context</w:t>
            </w:r>
          </w:p>
        </w:tc>
        <w:tc>
          <w:tcPr>
            <w:tcW w:w="1620" w:type="dxa"/>
            <w:tcBorders>
              <w:top w:val="single" w:sz="4" w:space="0" w:color="000000"/>
            </w:tcBorders>
          </w:tcPr>
          <w:p w14:paraId="52DE0AE0" w14:textId="0AAA6692" w:rsidR="00EE2AE9" w:rsidRPr="00EE2AE9" w:rsidRDefault="00EE2AE9" w:rsidP="00EE2AE9">
            <w:pPr>
              <w:jc w:val="center"/>
              <w:rPr>
                <w:rFonts w:ascii="Arial" w:eastAsia="Arial" w:hAnsi="Arial" w:cs="Arial"/>
                <w:color w:val="000000"/>
                <w:sz w:val="20"/>
                <w:szCs w:val="20"/>
              </w:rPr>
            </w:pPr>
            <w:r w:rsidRPr="00EE2AE9">
              <w:rPr>
                <w:rFonts w:ascii="Arial" w:hAnsi="Arial" w:cs="Arial"/>
                <w:sz w:val="20"/>
                <w:szCs w:val="20"/>
              </w:rPr>
              <w:t>0.502</w:t>
            </w:r>
          </w:p>
        </w:tc>
        <w:tc>
          <w:tcPr>
            <w:tcW w:w="1890" w:type="dxa"/>
            <w:tcBorders>
              <w:top w:val="single" w:sz="4" w:space="0" w:color="000000"/>
            </w:tcBorders>
          </w:tcPr>
          <w:p w14:paraId="2B540486" w14:textId="5FA694CA" w:rsidR="00EE2AE9" w:rsidRPr="00EE2AE9" w:rsidRDefault="00EE2AE9" w:rsidP="00EE2AE9">
            <w:pPr>
              <w:jc w:val="center"/>
              <w:rPr>
                <w:rFonts w:ascii="Arial" w:eastAsia="Arial" w:hAnsi="Arial" w:cs="Arial"/>
                <w:color w:val="000000"/>
                <w:sz w:val="20"/>
                <w:szCs w:val="20"/>
              </w:rPr>
            </w:pPr>
            <w:r w:rsidRPr="00EE2AE9">
              <w:rPr>
                <w:rFonts w:ascii="Arial" w:hAnsi="Arial" w:cs="Arial"/>
                <w:sz w:val="20"/>
                <w:szCs w:val="20"/>
              </w:rPr>
              <w:t>Strong Correlation</w:t>
            </w:r>
          </w:p>
        </w:tc>
        <w:tc>
          <w:tcPr>
            <w:tcW w:w="1350" w:type="dxa"/>
            <w:tcBorders>
              <w:top w:val="single" w:sz="4" w:space="0" w:color="000000"/>
            </w:tcBorders>
          </w:tcPr>
          <w:p w14:paraId="513E57A7" w14:textId="77777777" w:rsidR="00EE2AE9" w:rsidRPr="00EE2AE9" w:rsidRDefault="00EE2AE9" w:rsidP="00EE2AE9">
            <w:pPr>
              <w:jc w:val="center"/>
              <w:rPr>
                <w:rFonts w:ascii="Arial" w:eastAsia="Arial" w:hAnsi="Arial" w:cs="Arial"/>
                <w:color w:val="000000"/>
                <w:sz w:val="20"/>
                <w:szCs w:val="20"/>
              </w:rPr>
            </w:pPr>
            <w:r w:rsidRPr="00EE2AE9">
              <w:rPr>
                <w:rFonts w:ascii="Arial" w:eastAsia="Arial" w:hAnsi="Arial" w:cs="Arial"/>
                <w:color w:val="000000"/>
                <w:sz w:val="20"/>
                <w:szCs w:val="20"/>
              </w:rPr>
              <w:t>&lt;0.001</w:t>
            </w:r>
          </w:p>
        </w:tc>
      </w:tr>
      <w:tr w:rsidR="00EE2AE9" w:rsidRPr="00EE2AE9" w14:paraId="3F4EE0D7" w14:textId="77777777">
        <w:tc>
          <w:tcPr>
            <w:tcW w:w="3340" w:type="dxa"/>
          </w:tcPr>
          <w:p w14:paraId="52E51E27" w14:textId="52AD1323" w:rsidR="00EE2AE9" w:rsidRPr="00EE2AE9" w:rsidRDefault="00EE2AE9" w:rsidP="00EE2AE9">
            <w:pPr>
              <w:rPr>
                <w:rFonts w:ascii="Arial" w:eastAsia="Arial" w:hAnsi="Arial" w:cs="Arial"/>
                <w:color w:val="000000"/>
                <w:sz w:val="20"/>
                <w:szCs w:val="20"/>
              </w:rPr>
            </w:pPr>
            <w:bookmarkStart w:id="4" w:name="_jr37szrvi17t" w:colFirst="0" w:colLast="0"/>
            <w:bookmarkEnd w:id="4"/>
            <w:r w:rsidRPr="00EE2AE9">
              <w:rPr>
                <w:rFonts w:ascii="Arial" w:eastAsia="Arial" w:hAnsi="Arial" w:cs="Arial"/>
                <w:sz w:val="20"/>
                <w:szCs w:val="20"/>
              </w:rPr>
              <w:t>Authentic Activities</w:t>
            </w:r>
          </w:p>
        </w:tc>
        <w:tc>
          <w:tcPr>
            <w:tcW w:w="1620" w:type="dxa"/>
          </w:tcPr>
          <w:p w14:paraId="3AC2A2CC" w14:textId="6125B65A" w:rsidR="00EE2AE9" w:rsidRPr="00EE2AE9" w:rsidRDefault="00EE2AE9" w:rsidP="00EE2AE9">
            <w:pPr>
              <w:jc w:val="center"/>
              <w:rPr>
                <w:rFonts w:ascii="Arial" w:eastAsia="Arial" w:hAnsi="Arial" w:cs="Arial"/>
                <w:color w:val="000000"/>
                <w:sz w:val="20"/>
                <w:szCs w:val="20"/>
              </w:rPr>
            </w:pPr>
            <w:r w:rsidRPr="00EE2AE9">
              <w:rPr>
                <w:rFonts w:ascii="Arial" w:hAnsi="Arial" w:cs="Arial"/>
                <w:sz w:val="20"/>
                <w:szCs w:val="20"/>
              </w:rPr>
              <w:t>0.517</w:t>
            </w:r>
          </w:p>
        </w:tc>
        <w:tc>
          <w:tcPr>
            <w:tcW w:w="1890" w:type="dxa"/>
          </w:tcPr>
          <w:p w14:paraId="57EC43C6" w14:textId="4713FF0D" w:rsidR="00EE2AE9" w:rsidRPr="00EE2AE9" w:rsidRDefault="00EE2AE9" w:rsidP="00EE2AE9">
            <w:pPr>
              <w:jc w:val="center"/>
              <w:rPr>
                <w:rFonts w:ascii="Arial" w:eastAsia="Arial" w:hAnsi="Arial" w:cs="Arial"/>
                <w:color w:val="000000"/>
                <w:sz w:val="20"/>
                <w:szCs w:val="20"/>
              </w:rPr>
            </w:pPr>
            <w:r w:rsidRPr="00EE2AE9">
              <w:rPr>
                <w:rFonts w:ascii="Arial" w:hAnsi="Arial" w:cs="Arial"/>
                <w:sz w:val="20"/>
                <w:szCs w:val="20"/>
              </w:rPr>
              <w:t>Strong Correlation</w:t>
            </w:r>
          </w:p>
        </w:tc>
        <w:tc>
          <w:tcPr>
            <w:tcW w:w="1350" w:type="dxa"/>
          </w:tcPr>
          <w:p w14:paraId="1DF0F0B4" w14:textId="77777777" w:rsidR="00EE2AE9" w:rsidRPr="00EE2AE9" w:rsidRDefault="00EE2AE9" w:rsidP="00EE2AE9">
            <w:pPr>
              <w:jc w:val="center"/>
              <w:rPr>
                <w:rFonts w:ascii="Arial" w:eastAsia="Arial" w:hAnsi="Arial" w:cs="Arial"/>
                <w:color w:val="000000"/>
                <w:sz w:val="20"/>
                <w:szCs w:val="20"/>
              </w:rPr>
            </w:pPr>
            <w:r w:rsidRPr="00EE2AE9">
              <w:rPr>
                <w:rFonts w:ascii="Arial" w:eastAsia="Arial" w:hAnsi="Arial" w:cs="Arial"/>
                <w:color w:val="000000"/>
                <w:sz w:val="20"/>
                <w:szCs w:val="20"/>
              </w:rPr>
              <w:t>&lt;0.001</w:t>
            </w:r>
          </w:p>
        </w:tc>
      </w:tr>
      <w:tr w:rsidR="00EE2AE9" w:rsidRPr="00EE2AE9" w14:paraId="5DA15091" w14:textId="77777777">
        <w:tc>
          <w:tcPr>
            <w:tcW w:w="3340" w:type="dxa"/>
          </w:tcPr>
          <w:p w14:paraId="50145B77" w14:textId="11FA42FE" w:rsidR="00EE2AE9" w:rsidRPr="00EE2AE9" w:rsidRDefault="00EE2AE9" w:rsidP="00EE2AE9">
            <w:pPr>
              <w:rPr>
                <w:rFonts w:ascii="Arial" w:eastAsia="Arial" w:hAnsi="Arial" w:cs="Arial"/>
                <w:color w:val="000000"/>
                <w:sz w:val="20"/>
                <w:szCs w:val="20"/>
              </w:rPr>
            </w:pPr>
            <w:r w:rsidRPr="00EE2AE9">
              <w:rPr>
                <w:rFonts w:ascii="Arial" w:eastAsia="Arial" w:hAnsi="Arial" w:cs="Arial"/>
                <w:sz w:val="20"/>
                <w:szCs w:val="20"/>
              </w:rPr>
              <w:t>Authentic Assessment</w:t>
            </w:r>
          </w:p>
        </w:tc>
        <w:tc>
          <w:tcPr>
            <w:tcW w:w="1620" w:type="dxa"/>
          </w:tcPr>
          <w:p w14:paraId="3805C962" w14:textId="734B09CB" w:rsidR="00EE2AE9" w:rsidRPr="00EE2AE9" w:rsidRDefault="00EE2AE9" w:rsidP="00EE2AE9">
            <w:pPr>
              <w:jc w:val="center"/>
              <w:rPr>
                <w:rFonts w:ascii="Arial" w:eastAsia="Arial" w:hAnsi="Arial" w:cs="Arial"/>
                <w:color w:val="000000"/>
                <w:sz w:val="20"/>
                <w:szCs w:val="20"/>
              </w:rPr>
            </w:pPr>
            <w:r w:rsidRPr="00EE2AE9">
              <w:rPr>
                <w:rFonts w:ascii="Arial" w:hAnsi="Arial" w:cs="Arial"/>
                <w:sz w:val="20"/>
                <w:szCs w:val="20"/>
              </w:rPr>
              <w:t>0.434</w:t>
            </w:r>
          </w:p>
        </w:tc>
        <w:tc>
          <w:tcPr>
            <w:tcW w:w="1890" w:type="dxa"/>
          </w:tcPr>
          <w:p w14:paraId="510B96AF" w14:textId="0E232F22" w:rsidR="00EE2AE9" w:rsidRPr="00EE2AE9" w:rsidRDefault="00EE2AE9" w:rsidP="00EE2AE9">
            <w:pPr>
              <w:jc w:val="center"/>
              <w:rPr>
                <w:rFonts w:ascii="Arial" w:eastAsia="Arial" w:hAnsi="Arial" w:cs="Arial"/>
                <w:color w:val="000000"/>
                <w:sz w:val="20"/>
                <w:szCs w:val="20"/>
              </w:rPr>
            </w:pPr>
            <w:r w:rsidRPr="00EE2AE9">
              <w:rPr>
                <w:rFonts w:ascii="Arial" w:hAnsi="Arial" w:cs="Arial"/>
                <w:sz w:val="20"/>
                <w:szCs w:val="20"/>
              </w:rPr>
              <w:t>Moderate Correlation</w:t>
            </w:r>
          </w:p>
        </w:tc>
        <w:tc>
          <w:tcPr>
            <w:tcW w:w="1350" w:type="dxa"/>
          </w:tcPr>
          <w:p w14:paraId="44A0887F" w14:textId="77777777" w:rsidR="00EE2AE9" w:rsidRPr="00EE2AE9" w:rsidRDefault="00EE2AE9" w:rsidP="00EE2AE9">
            <w:pPr>
              <w:jc w:val="center"/>
              <w:rPr>
                <w:rFonts w:ascii="Arial" w:eastAsia="Arial" w:hAnsi="Arial" w:cs="Arial"/>
                <w:color w:val="000000"/>
                <w:sz w:val="20"/>
                <w:szCs w:val="20"/>
              </w:rPr>
            </w:pPr>
            <w:r w:rsidRPr="00EE2AE9">
              <w:rPr>
                <w:rFonts w:ascii="Arial" w:eastAsia="Arial" w:hAnsi="Arial" w:cs="Arial"/>
                <w:color w:val="000000"/>
                <w:sz w:val="20"/>
                <w:szCs w:val="20"/>
              </w:rPr>
              <w:t>&lt;0.001</w:t>
            </w:r>
          </w:p>
        </w:tc>
      </w:tr>
      <w:tr w:rsidR="00EE2AE9" w:rsidRPr="00EE2AE9" w14:paraId="2314094B" w14:textId="77777777">
        <w:tc>
          <w:tcPr>
            <w:tcW w:w="3340" w:type="dxa"/>
            <w:tcBorders>
              <w:bottom w:val="single" w:sz="24" w:space="0" w:color="000000"/>
            </w:tcBorders>
          </w:tcPr>
          <w:p w14:paraId="109CC21D" w14:textId="6C069283" w:rsidR="00EE2AE9" w:rsidRPr="00EE2AE9" w:rsidRDefault="00EE2AE9" w:rsidP="00EE2AE9">
            <w:pPr>
              <w:rPr>
                <w:rFonts w:ascii="Arial" w:eastAsia="Arial" w:hAnsi="Arial" w:cs="Arial"/>
                <w:color w:val="000000"/>
                <w:sz w:val="20"/>
                <w:szCs w:val="20"/>
              </w:rPr>
            </w:pPr>
            <w:r w:rsidRPr="00EE2AE9">
              <w:rPr>
                <w:rFonts w:ascii="Arial" w:eastAsia="Arial" w:hAnsi="Arial" w:cs="Arial"/>
                <w:sz w:val="20"/>
                <w:szCs w:val="20"/>
              </w:rPr>
              <w:t>Situated Learning Practices (Overall)</w:t>
            </w:r>
          </w:p>
        </w:tc>
        <w:tc>
          <w:tcPr>
            <w:tcW w:w="1620" w:type="dxa"/>
            <w:tcBorders>
              <w:bottom w:val="single" w:sz="24" w:space="0" w:color="000000"/>
            </w:tcBorders>
          </w:tcPr>
          <w:p w14:paraId="68CF9A8A" w14:textId="37A56D5F" w:rsidR="00EE2AE9" w:rsidRPr="00EE2AE9" w:rsidRDefault="00EE2AE9" w:rsidP="00EE2AE9">
            <w:pPr>
              <w:jc w:val="center"/>
              <w:rPr>
                <w:rFonts w:ascii="Arial" w:eastAsia="Arial" w:hAnsi="Arial" w:cs="Arial"/>
                <w:color w:val="000000"/>
                <w:sz w:val="20"/>
                <w:szCs w:val="20"/>
              </w:rPr>
            </w:pPr>
            <w:r w:rsidRPr="00EE2AE9">
              <w:rPr>
                <w:rFonts w:ascii="Arial" w:hAnsi="Arial" w:cs="Arial"/>
                <w:sz w:val="20"/>
                <w:szCs w:val="20"/>
              </w:rPr>
              <w:t>0.553</w:t>
            </w:r>
          </w:p>
        </w:tc>
        <w:tc>
          <w:tcPr>
            <w:tcW w:w="1890" w:type="dxa"/>
            <w:tcBorders>
              <w:bottom w:val="single" w:sz="24" w:space="0" w:color="000000"/>
            </w:tcBorders>
          </w:tcPr>
          <w:p w14:paraId="7F688F53" w14:textId="1DB0AB75" w:rsidR="00EE2AE9" w:rsidRPr="00EE2AE9" w:rsidRDefault="00EE2AE9" w:rsidP="00EE2AE9">
            <w:pPr>
              <w:jc w:val="center"/>
              <w:rPr>
                <w:rFonts w:ascii="Arial" w:eastAsia="Arial" w:hAnsi="Arial" w:cs="Arial"/>
                <w:color w:val="000000"/>
                <w:sz w:val="20"/>
                <w:szCs w:val="20"/>
              </w:rPr>
            </w:pPr>
            <w:r w:rsidRPr="00EE2AE9">
              <w:rPr>
                <w:rFonts w:ascii="Arial" w:hAnsi="Arial" w:cs="Arial"/>
                <w:sz w:val="20"/>
                <w:szCs w:val="20"/>
              </w:rPr>
              <w:t>Strong Correlation</w:t>
            </w:r>
          </w:p>
        </w:tc>
        <w:tc>
          <w:tcPr>
            <w:tcW w:w="1350" w:type="dxa"/>
            <w:tcBorders>
              <w:bottom w:val="single" w:sz="24" w:space="0" w:color="000000"/>
            </w:tcBorders>
          </w:tcPr>
          <w:p w14:paraId="694F5245" w14:textId="77777777" w:rsidR="00EE2AE9" w:rsidRPr="00EE2AE9" w:rsidRDefault="00EE2AE9" w:rsidP="00EE2AE9">
            <w:pPr>
              <w:jc w:val="center"/>
              <w:rPr>
                <w:rFonts w:ascii="Arial" w:eastAsia="Arial" w:hAnsi="Arial" w:cs="Arial"/>
                <w:color w:val="000000"/>
                <w:sz w:val="20"/>
                <w:szCs w:val="20"/>
              </w:rPr>
            </w:pPr>
            <w:r w:rsidRPr="00EE2AE9">
              <w:rPr>
                <w:rFonts w:ascii="Arial" w:eastAsia="Arial" w:hAnsi="Arial" w:cs="Arial"/>
                <w:color w:val="000000"/>
                <w:sz w:val="20"/>
                <w:szCs w:val="20"/>
              </w:rPr>
              <w:t>&lt;0.001</w:t>
            </w:r>
          </w:p>
        </w:tc>
      </w:tr>
    </w:tbl>
    <w:p w14:paraId="61578996" w14:textId="77777777" w:rsidR="0016434D" w:rsidRDefault="0016434D" w:rsidP="00EE2AE9">
      <w:pPr>
        <w:pBdr>
          <w:top w:val="nil"/>
          <w:left w:val="nil"/>
          <w:bottom w:val="nil"/>
          <w:right w:val="nil"/>
          <w:between w:val="nil"/>
        </w:pBdr>
        <w:jc w:val="center"/>
        <w:rPr>
          <w:rFonts w:ascii="Arial" w:eastAsia="Arial" w:hAnsi="Arial" w:cs="Arial"/>
          <w:b/>
          <w:color w:val="000000"/>
          <w:highlight w:val="white"/>
        </w:rPr>
      </w:pPr>
    </w:p>
    <w:p w14:paraId="7F443612" w14:textId="7721A8D9" w:rsidR="00EE2AE9" w:rsidRDefault="000B62FC" w:rsidP="00EE2AE9">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highlight w:val="white"/>
        </w:rPr>
        <w:t xml:space="preserve">Regression </w:t>
      </w:r>
      <w:r w:rsidR="00EE2AE9">
        <w:rPr>
          <w:rFonts w:ascii="Arial" w:eastAsia="Arial" w:hAnsi="Arial" w:cs="Arial"/>
          <w:b/>
          <w:color w:val="000000"/>
          <w:highlight w:val="white"/>
        </w:rPr>
        <w:t>Analysis of</w:t>
      </w:r>
      <w:r>
        <w:rPr>
          <w:rFonts w:ascii="Arial" w:eastAsia="Arial" w:hAnsi="Arial" w:cs="Arial"/>
          <w:b/>
          <w:color w:val="000000"/>
          <w:highlight w:val="white"/>
        </w:rPr>
        <w:t xml:space="preserve"> </w:t>
      </w:r>
      <w:r w:rsidR="00EE2AE9" w:rsidRPr="00EE2AE9">
        <w:rPr>
          <w:rFonts w:ascii="Arial" w:eastAsia="Arial" w:hAnsi="Arial" w:cs="Arial"/>
          <w:b/>
          <w:color w:val="000000"/>
        </w:rPr>
        <w:t xml:space="preserve">Teachers’ </w:t>
      </w:r>
      <w:bookmarkStart w:id="5" w:name="_Hlk197293011"/>
      <w:r w:rsidR="00EE2AE9" w:rsidRPr="00EE2AE9">
        <w:rPr>
          <w:rFonts w:ascii="Arial" w:eastAsia="Arial" w:hAnsi="Arial" w:cs="Arial"/>
          <w:b/>
          <w:color w:val="000000"/>
        </w:rPr>
        <w:t>Situated Learning Practices</w:t>
      </w:r>
      <w:bookmarkEnd w:id="5"/>
      <w:r w:rsidR="00EE2AE9" w:rsidRPr="00EE2AE9">
        <w:rPr>
          <w:rFonts w:ascii="Arial" w:eastAsia="Arial" w:hAnsi="Arial" w:cs="Arial"/>
          <w:b/>
          <w:color w:val="000000"/>
        </w:rPr>
        <w:t xml:space="preserve"> and </w:t>
      </w:r>
    </w:p>
    <w:p w14:paraId="573904F3" w14:textId="5A0EA7B2" w:rsidR="000B1D44" w:rsidRDefault="00EE2AE9" w:rsidP="00EE2AE9">
      <w:pPr>
        <w:pBdr>
          <w:top w:val="nil"/>
          <w:left w:val="nil"/>
          <w:bottom w:val="nil"/>
          <w:right w:val="nil"/>
          <w:between w:val="nil"/>
        </w:pBdr>
        <w:jc w:val="center"/>
        <w:rPr>
          <w:rFonts w:ascii="Arial" w:eastAsia="Arial" w:hAnsi="Arial" w:cs="Arial"/>
          <w:b/>
          <w:color w:val="000000"/>
        </w:rPr>
      </w:pPr>
      <w:r w:rsidRPr="00EE2AE9">
        <w:rPr>
          <w:rFonts w:ascii="Arial" w:eastAsia="Arial" w:hAnsi="Arial" w:cs="Arial"/>
          <w:b/>
          <w:color w:val="000000"/>
        </w:rPr>
        <w:t>College Students’ Critical Thinking Skills</w:t>
      </w:r>
    </w:p>
    <w:p w14:paraId="6B9BFB94" w14:textId="77777777" w:rsidR="00EE2AE9" w:rsidRDefault="00EE2AE9" w:rsidP="00EE2AE9">
      <w:pPr>
        <w:pBdr>
          <w:top w:val="nil"/>
          <w:left w:val="nil"/>
          <w:bottom w:val="nil"/>
          <w:right w:val="nil"/>
          <w:between w:val="nil"/>
        </w:pBdr>
        <w:jc w:val="center"/>
        <w:rPr>
          <w:rFonts w:ascii="Arial" w:eastAsia="Arial" w:hAnsi="Arial" w:cs="Arial"/>
          <w:color w:val="000000"/>
          <w:highlight w:val="white"/>
        </w:rPr>
      </w:pPr>
    </w:p>
    <w:p w14:paraId="7D22527E" w14:textId="38241024" w:rsidR="0066505B" w:rsidRDefault="000B62FC" w:rsidP="00831A33">
      <w:pPr>
        <w:tabs>
          <w:tab w:val="left" w:pos="720"/>
        </w:tabs>
        <w:jc w:val="both"/>
        <w:rPr>
          <w:rFonts w:ascii="Arial" w:eastAsia="Arial" w:hAnsi="Arial" w:cs="Arial"/>
        </w:rPr>
      </w:pPr>
      <w:r>
        <w:rPr>
          <w:rFonts w:ascii="Arial" w:eastAsia="Arial" w:hAnsi="Arial" w:cs="Arial"/>
        </w:rPr>
        <w:tab/>
      </w:r>
      <w:r w:rsidR="00831A33" w:rsidRPr="00831A33">
        <w:rPr>
          <w:rFonts w:ascii="Arial" w:eastAsia="Arial" w:hAnsi="Arial" w:cs="Arial"/>
        </w:rPr>
        <w:t>Table 5 summarizes the results of the regression analysis conducted to determine whether the situated learning practices of college teachers predict students’ critical thinking skills. The regression coefficient for teachers’ situated learning practices is 0.47</w:t>
      </w:r>
      <w:r w:rsidR="00DB7934">
        <w:rPr>
          <w:rFonts w:ascii="Arial" w:eastAsia="Arial" w:hAnsi="Arial" w:cs="Arial"/>
        </w:rPr>
        <w:t>6</w:t>
      </w:r>
      <w:r w:rsidR="00831A33" w:rsidRPr="00831A33">
        <w:rPr>
          <w:rFonts w:ascii="Arial" w:eastAsia="Arial" w:hAnsi="Arial" w:cs="Arial"/>
        </w:rPr>
        <w:t>, indicating a positive relationship. In other words, as teachers' use of situated learning practices increases, students' critical thinking skills also tend to improve. Furthermore, the p-value is less than 0.05, suggesting that the result is statistically significant. This means there is strong evidence to support the existence of a real relationship between the situated learning practices employed by mathematics teachers and students' critical thinking skills.</w:t>
      </w:r>
      <w:r w:rsidR="0066505B">
        <w:rPr>
          <w:rFonts w:ascii="Arial" w:eastAsia="Arial" w:hAnsi="Arial" w:cs="Arial"/>
        </w:rPr>
        <w:t xml:space="preserve"> </w:t>
      </w:r>
    </w:p>
    <w:p w14:paraId="0C68A14F" w14:textId="2E2B7DE7" w:rsidR="0066505B" w:rsidRDefault="00831A33" w:rsidP="00831A33">
      <w:pPr>
        <w:tabs>
          <w:tab w:val="left" w:pos="720"/>
        </w:tabs>
        <w:jc w:val="both"/>
        <w:rPr>
          <w:rFonts w:ascii="Arial" w:eastAsia="Arial" w:hAnsi="Arial" w:cs="Arial"/>
        </w:rPr>
      </w:pPr>
      <w:r>
        <w:rPr>
          <w:rFonts w:ascii="Arial" w:eastAsia="Arial" w:hAnsi="Arial" w:cs="Arial"/>
        </w:rPr>
        <w:tab/>
      </w:r>
      <w:r w:rsidRPr="00831A33">
        <w:rPr>
          <w:rFonts w:ascii="Arial" w:eastAsia="Arial" w:hAnsi="Arial" w:cs="Arial"/>
        </w:rPr>
        <w:t>The overall regression model explains 30.5% of the variance in students’ critical thinking (R² = 0.305), indicating that other factors also contribute to students’ development of critical thinking skills. Factors such as the classroom environment (Smith &amp; Brown, 2017), cultural and societal influences (Lee, 2018), and professional development for educators (Garcia &amp; Thomas, 2020) may also affect students’ critical thinking, highlighting the need for a more comprehensive approach to educational interventions. Additionally, studies have shown that time management (Mariano</w:t>
      </w:r>
      <w:r>
        <w:rPr>
          <w:rFonts w:ascii="Arial" w:eastAsia="Arial" w:hAnsi="Arial" w:cs="Arial"/>
        </w:rPr>
        <w:t xml:space="preserve">, </w:t>
      </w:r>
      <w:r w:rsidRPr="00D64D9C">
        <w:rPr>
          <w:rFonts w:ascii="Arial" w:eastAsia="Arial" w:hAnsi="Arial" w:cs="Arial"/>
          <w:color w:val="000000"/>
        </w:rPr>
        <w:t>et al.</w:t>
      </w:r>
      <w:r w:rsidRPr="00831A33">
        <w:rPr>
          <w:rFonts w:ascii="Arial" w:eastAsia="Arial" w:hAnsi="Arial" w:cs="Arial"/>
        </w:rPr>
        <w:t>, 2022), self-concept (Adlawon, et al.</w:t>
      </w:r>
      <w:r>
        <w:rPr>
          <w:rFonts w:ascii="Arial" w:eastAsia="Arial" w:hAnsi="Arial" w:cs="Arial"/>
        </w:rPr>
        <w:t>,</w:t>
      </w:r>
      <w:r w:rsidRPr="00831A33">
        <w:rPr>
          <w:rFonts w:ascii="Arial" w:eastAsia="Arial" w:hAnsi="Arial" w:cs="Arial"/>
        </w:rPr>
        <w:t xml:space="preserve"> 2023), and attitudes toward learning mathematics (Sabanal, </w:t>
      </w:r>
      <w:r w:rsidRPr="00D64D9C">
        <w:rPr>
          <w:rFonts w:ascii="Arial" w:eastAsia="Arial" w:hAnsi="Arial" w:cs="Arial"/>
          <w:color w:val="000000"/>
        </w:rPr>
        <w:t>et al.</w:t>
      </w:r>
      <w:r w:rsidRPr="00831A33">
        <w:rPr>
          <w:rFonts w:ascii="Arial" w:eastAsia="Arial" w:hAnsi="Arial" w:cs="Arial"/>
        </w:rPr>
        <w:t>, 2024) play important roles in students’ academic and cognitive outcomes. These findings suggest that future interventions to enhance critical thinking should consider a broader set of psychological, behavioral, and contextual factors. Policymakers and educators should take these elements into account when designing programs aimed at improving students’ critical thinking skills.</w:t>
      </w:r>
    </w:p>
    <w:p w14:paraId="2C7A7820" w14:textId="77777777" w:rsidR="0066505B" w:rsidRDefault="0066505B" w:rsidP="00831A33">
      <w:pPr>
        <w:tabs>
          <w:tab w:val="left" w:pos="720"/>
        </w:tabs>
        <w:jc w:val="both"/>
        <w:rPr>
          <w:rFonts w:ascii="Arial" w:eastAsia="Arial" w:hAnsi="Arial" w:cs="Arial"/>
        </w:rPr>
      </w:pPr>
    </w:p>
    <w:p w14:paraId="7BA61F82" w14:textId="298FFC2B" w:rsidR="000B1D44" w:rsidRDefault="000B62FC">
      <w:pPr>
        <w:ind w:firstLine="720"/>
        <w:jc w:val="both"/>
        <w:rPr>
          <w:rFonts w:ascii="Arial" w:eastAsia="Arial" w:hAnsi="Arial" w:cs="Arial"/>
          <w:b/>
        </w:rPr>
      </w:pPr>
      <w:r>
        <w:rPr>
          <w:rFonts w:ascii="Arial" w:eastAsia="Arial" w:hAnsi="Arial" w:cs="Arial"/>
        </w:rPr>
        <w:t xml:space="preserve">Table 5.  Summary of Regression Analysis </w:t>
      </w:r>
    </w:p>
    <w:tbl>
      <w:tblPr>
        <w:tblStyle w:val="a4"/>
        <w:tblW w:w="8055" w:type="dxa"/>
        <w:tblInd w:w="135" w:type="dxa"/>
        <w:tblBorders>
          <w:top w:val="single" w:sz="24" w:space="0" w:color="000000"/>
          <w:left w:val="nil"/>
          <w:bottom w:val="single" w:sz="24" w:space="0" w:color="000000"/>
          <w:right w:val="nil"/>
          <w:insideH w:val="nil"/>
          <w:insideV w:val="nil"/>
        </w:tblBorders>
        <w:tblLayout w:type="fixed"/>
        <w:tblLook w:val="0400" w:firstRow="0" w:lastRow="0" w:firstColumn="0" w:lastColumn="0" w:noHBand="0" w:noVBand="1"/>
      </w:tblPr>
      <w:tblGrid>
        <w:gridCol w:w="2559"/>
        <w:gridCol w:w="1984"/>
        <w:gridCol w:w="1701"/>
        <w:gridCol w:w="1811"/>
      </w:tblGrid>
      <w:tr w:rsidR="000B1D44" w:rsidRPr="00061DC5" w14:paraId="6E2E4BFF" w14:textId="77777777" w:rsidTr="00061DC5">
        <w:tc>
          <w:tcPr>
            <w:tcW w:w="2559" w:type="dxa"/>
            <w:tcBorders>
              <w:top w:val="single" w:sz="24" w:space="0" w:color="000000"/>
              <w:bottom w:val="single" w:sz="4" w:space="0" w:color="auto"/>
            </w:tcBorders>
            <w:vAlign w:val="center"/>
          </w:tcPr>
          <w:p w14:paraId="2F13B48A" w14:textId="77777777" w:rsidR="000B1D44" w:rsidRPr="00061DC5" w:rsidRDefault="000B62FC" w:rsidP="00061DC5">
            <w:pPr>
              <w:tabs>
                <w:tab w:val="left" w:pos="1680"/>
              </w:tabs>
              <w:jc w:val="center"/>
              <w:rPr>
                <w:rFonts w:ascii="Arial" w:eastAsia="Arial" w:hAnsi="Arial" w:cs="Arial"/>
                <w:b/>
                <w:bCs/>
                <w:sz w:val="20"/>
                <w:szCs w:val="20"/>
              </w:rPr>
            </w:pPr>
            <w:r w:rsidRPr="00061DC5">
              <w:rPr>
                <w:rFonts w:ascii="Arial" w:eastAsia="Arial" w:hAnsi="Arial" w:cs="Arial"/>
                <w:b/>
                <w:bCs/>
                <w:sz w:val="20"/>
                <w:szCs w:val="20"/>
              </w:rPr>
              <w:t>Predictor</w:t>
            </w:r>
          </w:p>
        </w:tc>
        <w:tc>
          <w:tcPr>
            <w:tcW w:w="1984" w:type="dxa"/>
            <w:tcBorders>
              <w:top w:val="single" w:sz="24" w:space="0" w:color="000000"/>
              <w:bottom w:val="single" w:sz="4" w:space="0" w:color="auto"/>
            </w:tcBorders>
            <w:vAlign w:val="center"/>
          </w:tcPr>
          <w:p w14:paraId="2201E4C8" w14:textId="77777777" w:rsidR="000B1D44" w:rsidRPr="00061DC5" w:rsidRDefault="000B62FC">
            <w:pPr>
              <w:tabs>
                <w:tab w:val="left" w:pos="1680"/>
              </w:tabs>
              <w:jc w:val="center"/>
              <w:rPr>
                <w:rFonts w:ascii="Arial" w:eastAsia="Arial" w:hAnsi="Arial" w:cs="Arial"/>
                <w:b/>
                <w:bCs/>
                <w:sz w:val="20"/>
                <w:szCs w:val="20"/>
              </w:rPr>
            </w:pPr>
            <w:r w:rsidRPr="00061DC5">
              <w:rPr>
                <w:rFonts w:ascii="Arial" w:eastAsia="Arial" w:hAnsi="Arial" w:cs="Arial"/>
                <w:b/>
                <w:bCs/>
                <w:color w:val="000000"/>
                <w:sz w:val="20"/>
                <w:szCs w:val="20"/>
              </w:rPr>
              <w:t>Unstandardized Coefficients</w:t>
            </w:r>
          </w:p>
        </w:tc>
        <w:tc>
          <w:tcPr>
            <w:tcW w:w="1701" w:type="dxa"/>
            <w:tcBorders>
              <w:top w:val="single" w:sz="24" w:space="0" w:color="000000"/>
              <w:bottom w:val="single" w:sz="4" w:space="0" w:color="auto"/>
            </w:tcBorders>
            <w:vAlign w:val="center"/>
          </w:tcPr>
          <w:p w14:paraId="3DB28D8B" w14:textId="77777777" w:rsidR="000B1D44" w:rsidRPr="00061DC5" w:rsidRDefault="000B62FC">
            <w:pPr>
              <w:tabs>
                <w:tab w:val="left" w:pos="1680"/>
              </w:tabs>
              <w:jc w:val="center"/>
              <w:rPr>
                <w:rFonts w:ascii="Arial" w:eastAsia="Arial" w:hAnsi="Arial" w:cs="Arial"/>
                <w:b/>
                <w:bCs/>
                <w:color w:val="000000"/>
                <w:sz w:val="20"/>
                <w:szCs w:val="20"/>
              </w:rPr>
            </w:pPr>
            <w:r w:rsidRPr="00061DC5">
              <w:rPr>
                <w:rFonts w:ascii="Arial" w:eastAsia="Arial" w:hAnsi="Arial" w:cs="Arial"/>
                <w:b/>
                <w:bCs/>
                <w:color w:val="000000"/>
                <w:sz w:val="20"/>
                <w:szCs w:val="20"/>
              </w:rPr>
              <w:t>p-value</w:t>
            </w:r>
          </w:p>
        </w:tc>
        <w:tc>
          <w:tcPr>
            <w:tcW w:w="1811" w:type="dxa"/>
            <w:tcBorders>
              <w:top w:val="single" w:sz="24" w:space="0" w:color="000000"/>
              <w:bottom w:val="single" w:sz="4" w:space="0" w:color="auto"/>
            </w:tcBorders>
            <w:vAlign w:val="center"/>
          </w:tcPr>
          <w:p w14:paraId="05ECF2E1" w14:textId="77777777" w:rsidR="000B1D44" w:rsidRPr="00061DC5" w:rsidRDefault="000B62FC">
            <w:pPr>
              <w:tabs>
                <w:tab w:val="left" w:pos="1680"/>
              </w:tabs>
              <w:jc w:val="center"/>
              <w:rPr>
                <w:rFonts w:ascii="Arial" w:eastAsia="Arial" w:hAnsi="Arial" w:cs="Arial"/>
                <w:b/>
                <w:bCs/>
                <w:color w:val="000000"/>
                <w:sz w:val="20"/>
                <w:szCs w:val="20"/>
              </w:rPr>
            </w:pPr>
            <w:r w:rsidRPr="00061DC5">
              <w:rPr>
                <w:rFonts w:ascii="Arial" w:eastAsia="Arial" w:hAnsi="Arial" w:cs="Arial"/>
                <w:b/>
                <w:bCs/>
                <w:color w:val="000000"/>
                <w:sz w:val="20"/>
                <w:szCs w:val="20"/>
              </w:rPr>
              <w:t>Interpretation</w:t>
            </w:r>
          </w:p>
        </w:tc>
      </w:tr>
      <w:tr w:rsidR="00AF3C8B" w14:paraId="5666F0FA" w14:textId="77777777" w:rsidTr="00061DC5">
        <w:trPr>
          <w:trHeight w:val="90"/>
        </w:trPr>
        <w:tc>
          <w:tcPr>
            <w:tcW w:w="2559" w:type="dxa"/>
            <w:tcBorders>
              <w:top w:val="nil"/>
              <w:left w:val="nil"/>
              <w:bottom w:val="nil"/>
              <w:right w:val="nil"/>
            </w:tcBorders>
            <w:vAlign w:val="center"/>
          </w:tcPr>
          <w:p w14:paraId="347E4878" w14:textId="06041B40" w:rsidR="00AF3C8B" w:rsidRDefault="00D70918" w:rsidP="00AF3C8B">
            <w:pPr>
              <w:ind w:left="60" w:right="60"/>
              <w:rPr>
                <w:rFonts w:ascii="Arial" w:eastAsia="Arial" w:hAnsi="Arial" w:cs="Arial"/>
                <w:color w:val="000000"/>
                <w:sz w:val="20"/>
                <w:szCs w:val="20"/>
              </w:rPr>
            </w:pPr>
            <w:r>
              <w:rPr>
                <w:rFonts w:ascii="Arial" w:eastAsia="Arial" w:hAnsi="Arial" w:cs="Arial"/>
                <w:sz w:val="20"/>
                <w:szCs w:val="20"/>
              </w:rPr>
              <w:t>(</w:t>
            </w:r>
            <w:r w:rsidR="00D95AE1">
              <w:rPr>
                <w:rFonts w:ascii="Arial" w:eastAsia="Arial" w:hAnsi="Arial" w:cs="Arial"/>
                <w:sz w:val="20"/>
                <w:szCs w:val="20"/>
              </w:rPr>
              <w:t>Constant</w:t>
            </w:r>
            <w:r>
              <w:rPr>
                <w:rFonts w:ascii="Arial" w:eastAsia="Arial" w:hAnsi="Arial" w:cs="Arial"/>
                <w:sz w:val="20"/>
                <w:szCs w:val="20"/>
              </w:rPr>
              <w:t>)</w:t>
            </w:r>
          </w:p>
        </w:tc>
        <w:tc>
          <w:tcPr>
            <w:tcW w:w="1984" w:type="dxa"/>
            <w:tcBorders>
              <w:top w:val="nil"/>
              <w:left w:val="nil"/>
              <w:bottom w:val="nil"/>
              <w:right w:val="nil"/>
            </w:tcBorders>
            <w:vAlign w:val="center"/>
          </w:tcPr>
          <w:p w14:paraId="6BAEE9A6" w14:textId="69AC13EB" w:rsidR="00AF3C8B" w:rsidRPr="0028364C" w:rsidRDefault="00D70918" w:rsidP="00AF3C8B">
            <w:pPr>
              <w:ind w:left="60" w:right="60"/>
              <w:jc w:val="center"/>
              <w:rPr>
                <w:rFonts w:ascii="Arial" w:eastAsia="Arial" w:hAnsi="Arial" w:cs="Arial"/>
                <w:color w:val="000000"/>
                <w:sz w:val="20"/>
                <w:szCs w:val="20"/>
              </w:rPr>
            </w:pPr>
            <w:r>
              <w:rPr>
                <w:rFonts w:ascii="Arial" w:hAnsi="Arial" w:cs="Arial"/>
                <w:sz w:val="20"/>
                <w:szCs w:val="20"/>
              </w:rPr>
              <w:t>3.662</w:t>
            </w:r>
          </w:p>
        </w:tc>
        <w:tc>
          <w:tcPr>
            <w:tcW w:w="1701" w:type="dxa"/>
            <w:tcBorders>
              <w:top w:val="nil"/>
              <w:left w:val="nil"/>
              <w:bottom w:val="nil"/>
              <w:right w:val="nil"/>
            </w:tcBorders>
            <w:vAlign w:val="center"/>
          </w:tcPr>
          <w:p w14:paraId="30467F24" w14:textId="6CD291DF" w:rsidR="00AF3C8B" w:rsidRPr="0028364C" w:rsidRDefault="00AF3C8B" w:rsidP="00AF3C8B">
            <w:pPr>
              <w:ind w:left="60" w:right="60"/>
              <w:jc w:val="center"/>
              <w:rPr>
                <w:rFonts w:ascii="Arial" w:eastAsia="Arial" w:hAnsi="Arial" w:cs="Arial"/>
                <w:color w:val="000000"/>
                <w:sz w:val="20"/>
                <w:szCs w:val="20"/>
              </w:rPr>
            </w:pPr>
            <w:r w:rsidRPr="0028364C">
              <w:rPr>
                <w:rFonts w:ascii="Arial" w:hAnsi="Arial" w:cs="Arial"/>
                <w:sz w:val="20"/>
                <w:szCs w:val="20"/>
              </w:rPr>
              <w:t>&lt;0.001</w:t>
            </w:r>
          </w:p>
        </w:tc>
        <w:tc>
          <w:tcPr>
            <w:tcW w:w="1811" w:type="dxa"/>
            <w:tcBorders>
              <w:top w:val="nil"/>
              <w:left w:val="nil"/>
              <w:bottom w:val="nil"/>
              <w:right w:val="nil"/>
            </w:tcBorders>
            <w:vAlign w:val="center"/>
          </w:tcPr>
          <w:p w14:paraId="1B88490B" w14:textId="77777777" w:rsidR="00AF3C8B" w:rsidRPr="0028364C" w:rsidRDefault="00AF3C8B" w:rsidP="00AF3C8B">
            <w:pPr>
              <w:jc w:val="center"/>
              <w:rPr>
                <w:rFonts w:ascii="Arial" w:eastAsia="Arial" w:hAnsi="Arial" w:cs="Arial"/>
                <w:sz w:val="20"/>
                <w:szCs w:val="20"/>
              </w:rPr>
            </w:pPr>
            <w:r w:rsidRPr="0028364C">
              <w:rPr>
                <w:rFonts w:ascii="Arial" w:eastAsia="Arial" w:hAnsi="Arial" w:cs="Arial"/>
                <w:color w:val="000000"/>
                <w:sz w:val="20"/>
                <w:szCs w:val="20"/>
              </w:rPr>
              <w:t>Significant</w:t>
            </w:r>
          </w:p>
        </w:tc>
      </w:tr>
      <w:tr w:rsidR="00D95AE1" w14:paraId="0EB2A31A" w14:textId="77777777" w:rsidTr="00061DC5">
        <w:trPr>
          <w:trHeight w:val="90"/>
        </w:trPr>
        <w:tc>
          <w:tcPr>
            <w:tcW w:w="2559" w:type="dxa"/>
            <w:tcBorders>
              <w:top w:val="nil"/>
              <w:left w:val="nil"/>
              <w:bottom w:val="single" w:sz="24" w:space="0" w:color="000000"/>
              <w:right w:val="nil"/>
            </w:tcBorders>
            <w:vAlign w:val="center"/>
          </w:tcPr>
          <w:p w14:paraId="03603B34" w14:textId="77777777" w:rsidR="00D95AE1" w:rsidRDefault="00D95AE1" w:rsidP="00D95AE1">
            <w:pPr>
              <w:ind w:left="60" w:right="60"/>
              <w:rPr>
                <w:rFonts w:ascii="Arial" w:eastAsia="Arial" w:hAnsi="Arial" w:cs="Arial"/>
                <w:sz w:val="20"/>
                <w:szCs w:val="20"/>
              </w:rPr>
            </w:pPr>
            <w:r>
              <w:rPr>
                <w:rFonts w:ascii="Arial" w:eastAsia="Arial" w:hAnsi="Arial" w:cs="Arial"/>
                <w:sz w:val="20"/>
                <w:szCs w:val="20"/>
              </w:rPr>
              <w:t xml:space="preserve">Teachers’ Situated </w:t>
            </w:r>
          </w:p>
          <w:p w14:paraId="30EFABE0" w14:textId="1DCBF8D5" w:rsidR="00D95AE1" w:rsidRDefault="00D95AE1" w:rsidP="00D95AE1">
            <w:pPr>
              <w:ind w:left="60" w:right="60"/>
              <w:rPr>
                <w:rFonts w:ascii="Arial" w:eastAsia="Arial" w:hAnsi="Arial" w:cs="Arial"/>
              </w:rPr>
            </w:pPr>
            <w:r>
              <w:rPr>
                <w:rFonts w:ascii="Arial" w:eastAsia="Arial" w:hAnsi="Arial" w:cs="Arial"/>
                <w:sz w:val="20"/>
                <w:szCs w:val="20"/>
              </w:rPr>
              <w:t>Learning Practices</w:t>
            </w:r>
          </w:p>
        </w:tc>
        <w:tc>
          <w:tcPr>
            <w:tcW w:w="1984" w:type="dxa"/>
            <w:tcBorders>
              <w:top w:val="nil"/>
              <w:left w:val="nil"/>
              <w:bottom w:val="single" w:sz="24" w:space="0" w:color="000000"/>
              <w:right w:val="nil"/>
            </w:tcBorders>
            <w:vAlign w:val="center"/>
          </w:tcPr>
          <w:p w14:paraId="75A17156" w14:textId="7033EA5C" w:rsidR="00D95AE1" w:rsidRPr="0028364C" w:rsidRDefault="00D95AE1" w:rsidP="00D95AE1">
            <w:pPr>
              <w:ind w:left="60" w:right="60"/>
              <w:jc w:val="center"/>
              <w:rPr>
                <w:rFonts w:ascii="Arial" w:hAnsi="Arial" w:cs="Arial"/>
                <w:sz w:val="20"/>
                <w:szCs w:val="20"/>
              </w:rPr>
            </w:pPr>
            <w:r w:rsidRPr="0028364C">
              <w:rPr>
                <w:rFonts w:ascii="Arial" w:hAnsi="Arial" w:cs="Arial"/>
                <w:sz w:val="20"/>
                <w:szCs w:val="20"/>
              </w:rPr>
              <w:t>0.47</w:t>
            </w:r>
            <w:r w:rsidR="00061DC5" w:rsidRPr="0028364C">
              <w:rPr>
                <w:rFonts w:ascii="Arial" w:hAnsi="Arial" w:cs="Arial"/>
                <w:sz w:val="20"/>
                <w:szCs w:val="20"/>
              </w:rPr>
              <w:t>6</w:t>
            </w:r>
          </w:p>
        </w:tc>
        <w:tc>
          <w:tcPr>
            <w:tcW w:w="1701" w:type="dxa"/>
            <w:tcBorders>
              <w:top w:val="nil"/>
              <w:left w:val="nil"/>
              <w:bottom w:val="single" w:sz="24" w:space="0" w:color="000000"/>
              <w:right w:val="nil"/>
            </w:tcBorders>
            <w:vAlign w:val="center"/>
          </w:tcPr>
          <w:p w14:paraId="4D85DC97" w14:textId="20679AF4" w:rsidR="00D95AE1" w:rsidRPr="0028364C" w:rsidRDefault="00D95AE1" w:rsidP="00D95AE1">
            <w:pPr>
              <w:ind w:left="60" w:right="60"/>
              <w:jc w:val="center"/>
              <w:rPr>
                <w:rFonts w:ascii="Arial" w:hAnsi="Arial" w:cs="Arial"/>
                <w:sz w:val="20"/>
                <w:szCs w:val="20"/>
              </w:rPr>
            </w:pPr>
            <w:r w:rsidRPr="0028364C">
              <w:rPr>
                <w:rFonts w:ascii="Arial" w:hAnsi="Arial" w:cs="Arial"/>
                <w:sz w:val="20"/>
                <w:szCs w:val="20"/>
              </w:rPr>
              <w:t>&lt;0.001</w:t>
            </w:r>
          </w:p>
        </w:tc>
        <w:tc>
          <w:tcPr>
            <w:tcW w:w="1811" w:type="dxa"/>
            <w:tcBorders>
              <w:top w:val="nil"/>
              <w:left w:val="nil"/>
              <w:bottom w:val="single" w:sz="24" w:space="0" w:color="000000"/>
              <w:right w:val="nil"/>
            </w:tcBorders>
            <w:vAlign w:val="center"/>
          </w:tcPr>
          <w:p w14:paraId="236C5982" w14:textId="41B03D76" w:rsidR="00D95AE1" w:rsidRPr="0028364C" w:rsidRDefault="00D95AE1" w:rsidP="00D95AE1">
            <w:pPr>
              <w:jc w:val="center"/>
              <w:rPr>
                <w:rFonts w:ascii="Arial" w:eastAsia="Arial" w:hAnsi="Arial" w:cs="Arial"/>
                <w:color w:val="000000"/>
              </w:rPr>
            </w:pPr>
            <w:r w:rsidRPr="0028364C">
              <w:rPr>
                <w:rFonts w:ascii="Arial" w:eastAsia="Arial" w:hAnsi="Arial" w:cs="Arial"/>
                <w:color w:val="000000"/>
                <w:sz w:val="20"/>
                <w:szCs w:val="20"/>
              </w:rPr>
              <w:t>Significant</w:t>
            </w:r>
          </w:p>
        </w:tc>
      </w:tr>
    </w:tbl>
    <w:p w14:paraId="463799AF" w14:textId="3F8E808D" w:rsidR="000B1D44" w:rsidRPr="00D70918" w:rsidRDefault="00000000">
      <w:pPr>
        <w:tabs>
          <w:tab w:val="left" w:pos="1680"/>
        </w:tabs>
        <w:rPr>
          <w:rFonts w:ascii="Arial" w:eastAsia="Arial" w:hAnsi="Arial" w:cs="Arial"/>
        </w:rPr>
      </w:pPr>
      <m:oMath>
        <m:sSup>
          <m:sSupPr>
            <m:ctrlPr>
              <w:rPr>
                <w:rFonts w:ascii="Cambria Math" w:eastAsia="Cambria Math" w:hAnsi="Cambria Math" w:cs="Arial"/>
              </w:rPr>
            </m:ctrlPr>
          </m:sSupPr>
          <m:e>
            <m:r>
              <w:rPr>
                <w:rFonts w:ascii="Cambria Math" w:eastAsia="Cambria Math" w:hAnsi="Cambria Math" w:cs="Arial"/>
              </w:rPr>
              <m:t xml:space="preserve">     r</m:t>
            </m:r>
          </m:e>
          <m:sup>
            <m:r>
              <w:rPr>
                <w:rFonts w:ascii="Cambria Math" w:eastAsia="Cambria Math" w:hAnsi="Cambria Math" w:cs="Arial"/>
              </w:rPr>
              <m:t>2</m:t>
            </m:r>
          </m:sup>
        </m:sSup>
        <m:r>
          <w:rPr>
            <w:rFonts w:ascii="Cambria Math" w:eastAsia="Cambria Math" w:hAnsi="Cambria Math" w:cs="Arial"/>
          </w:rPr>
          <m:t>=</m:t>
        </m:r>
        <m:r>
          <w:rPr>
            <w:rFonts w:ascii="Cambria Math" w:eastAsia="Cambria Math" w:hAnsi="Cambria Math" w:cs="Arial"/>
            <w:color w:val="000000"/>
          </w:rPr>
          <m:t>0.305</m:t>
        </m:r>
      </m:oMath>
      <w:r w:rsidR="000B62FC" w:rsidRPr="00D70918">
        <w:rPr>
          <w:rFonts w:ascii="Arial" w:eastAsia="Arial" w:hAnsi="Arial" w:cs="Arial"/>
          <w:color w:val="000000"/>
        </w:rPr>
        <w:t xml:space="preserve"> </w:t>
      </w:r>
    </w:p>
    <w:p w14:paraId="5E0FB9DF" w14:textId="77777777" w:rsidR="000B1D44" w:rsidRDefault="000B1D44">
      <w:pPr>
        <w:pBdr>
          <w:top w:val="nil"/>
          <w:left w:val="nil"/>
          <w:bottom w:val="nil"/>
          <w:right w:val="nil"/>
          <w:between w:val="nil"/>
        </w:pBdr>
        <w:tabs>
          <w:tab w:val="left" w:pos="6510"/>
        </w:tabs>
        <w:ind w:left="1260" w:hanging="1260"/>
        <w:jc w:val="both"/>
        <w:rPr>
          <w:rFonts w:ascii="Arial" w:eastAsia="Arial" w:hAnsi="Arial" w:cs="Arial"/>
          <w:color w:val="000000"/>
        </w:rPr>
      </w:pPr>
    </w:p>
    <w:p w14:paraId="1C5A7E0D" w14:textId="77777777" w:rsidR="000B1D44" w:rsidRDefault="000B1D44">
      <w:pPr>
        <w:rPr>
          <w:rFonts w:ascii="Arial" w:eastAsia="Arial" w:hAnsi="Arial" w:cs="Arial"/>
        </w:rPr>
      </w:pPr>
    </w:p>
    <w:p w14:paraId="56A26AA0"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2FE154EB" w14:textId="77777777" w:rsidR="000B1D44" w:rsidRDefault="000B62F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5. CONCLUSIONS AND RECOMMENDATIONS </w:t>
      </w:r>
    </w:p>
    <w:p w14:paraId="72837836"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8A79C57" w14:textId="77777777" w:rsidR="000B1D44" w:rsidRDefault="000B62FC">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Conclusion</w:t>
      </w:r>
      <w:r>
        <w:rPr>
          <w:rFonts w:ascii="Arial" w:eastAsia="Arial" w:hAnsi="Arial" w:cs="Arial"/>
          <w:b/>
          <w:color w:val="000000"/>
          <w:highlight w:val="white"/>
        </w:rPr>
        <w:br/>
      </w:r>
    </w:p>
    <w:p w14:paraId="09B58947" w14:textId="77777777" w:rsidR="00026464" w:rsidRPr="00026464" w:rsidRDefault="00026464" w:rsidP="00026464">
      <w:pPr>
        <w:ind w:firstLine="360"/>
        <w:jc w:val="both"/>
        <w:rPr>
          <w:rFonts w:ascii="Arial" w:eastAsia="Arial" w:hAnsi="Arial" w:cs="Arial"/>
          <w:color w:val="000000"/>
        </w:rPr>
      </w:pPr>
      <w:r w:rsidRPr="00026464">
        <w:rPr>
          <w:rFonts w:ascii="Arial" w:eastAsia="Arial" w:hAnsi="Arial" w:cs="Arial"/>
          <w:color w:val="000000"/>
        </w:rPr>
        <w:t>Based on the findings and statistical results of the study, the following conclusions were drawn:</w:t>
      </w:r>
    </w:p>
    <w:p w14:paraId="4609B629" w14:textId="77777777" w:rsidR="00026464" w:rsidRPr="00026464" w:rsidRDefault="00026464" w:rsidP="00026464">
      <w:pPr>
        <w:pStyle w:val="ListParagraph"/>
        <w:numPr>
          <w:ilvl w:val="0"/>
          <w:numId w:val="3"/>
        </w:numPr>
        <w:jc w:val="both"/>
        <w:rPr>
          <w:rFonts w:ascii="Arial" w:eastAsia="Arial" w:hAnsi="Arial" w:cs="Arial"/>
          <w:color w:val="000000"/>
        </w:rPr>
      </w:pPr>
      <w:r w:rsidRPr="00026464">
        <w:rPr>
          <w:rFonts w:ascii="Arial" w:eastAsia="Arial" w:hAnsi="Arial" w:cs="Arial"/>
          <w:color w:val="000000"/>
        </w:rPr>
        <w:t>The results of the study showed that math teachers used situated learning practices approximately two to four times a week. This indicates that the implementation of situated learning practices is highly evident in higher education settings.</w:t>
      </w:r>
    </w:p>
    <w:p w14:paraId="36BB3EB8" w14:textId="77777777" w:rsidR="00026464" w:rsidRPr="00026464" w:rsidRDefault="00026464" w:rsidP="00026464">
      <w:pPr>
        <w:pStyle w:val="ListParagraph"/>
        <w:numPr>
          <w:ilvl w:val="0"/>
          <w:numId w:val="3"/>
        </w:numPr>
        <w:jc w:val="both"/>
        <w:rPr>
          <w:rFonts w:ascii="Arial" w:eastAsia="Arial" w:hAnsi="Arial" w:cs="Arial"/>
          <w:color w:val="000000"/>
        </w:rPr>
      </w:pPr>
      <w:r w:rsidRPr="00026464">
        <w:rPr>
          <w:rFonts w:ascii="Arial" w:eastAsia="Arial" w:hAnsi="Arial" w:cs="Arial"/>
          <w:color w:val="000000"/>
        </w:rPr>
        <w:t>In terms of students’ critical thinking, the majority of students were at average and high levels, while a few were at the low level. This suggests that although most students demonstrate adequate critical thinking skills, there remains room for improvement to help more students reach higher levels of cognitive performance.</w:t>
      </w:r>
    </w:p>
    <w:p w14:paraId="6E9CCCC8" w14:textId="77777777" w:rsidR="00026464" w:rsidRPr="00026464" w:rsidRDefault="00026464" w:rsidP="00026464">
      <w:pPr>
        <w:pStyle w:val="ListParagraph"/>
        <w:numPr>
          <w:ilvl w:val="0"/>
          <w:numId w:val="3"/>
        </w:numPr>
        <w:jc w:val="both"/>
        <w:rPr>
          <w:rFonts w:ascii="Arial" w:eastAsia="Arial" w:hAnsi="Arial" w:cs="Arial"/>
          <w:color w:val="000000"/>
        </w:rPr>
      </w:pPr>
      <w:r w:rsidRPr="00026464">
        <w:rPr>
          <w:rFonts w:ascii="Arial" w:eastAsia="Arial" w:hAnsi="Arial" w:cs="Arial"/>
          <w:color w:val="000000"/>
        </w:rPr>
        <w:t>The correlation analysis revealed that all three characteristics of situated learning practices—authentic context, authentic activities, and authentic assessment—have a positive relationship with students’ critical thinking skills. This implies that situated learning helps college students apply their knowledge in diverse situations and fosters critical thinking by encouraging them to analyze, evaluate, and synthesize information.</w:t>
      </w:r>
    </w:p>
    <w:p w14:paraId="27ABAC31" w14:textId="77777777" w:rsidR="00026464" w:rsidRPr="00026464" w:rsidRDefault="00026464" w:rsidP="00026464">
      <w:pPr>
        <w:pStyle w:val="ListParagraph"/>
        <w:numPr>
          <w:ilvl w:val="0"/>
          <w:numId w:val="3"/>
        </w:numPr>
        <w:jc w:val="both"/>
        <w:rPr>
          <w:rFonts w:ascii="Arial" w:eastAsia="Arial" w:hAnsi="Arial" w:cs="Arial"/>
          <w:color w:val="000000"/>
        </w:rPr>
      </w:pPr>
      <w:r w:rsidRPr="00026464">
        <w:rPr>
          <w:rFonts w:ascii="Arial" w:eastAsia="Arial" w:hAnsi="Arial" w:cs="Arial"/>
          <w:color w:val="000000"/>
        </w:rPr>
        <w:t>The regression analysis showed that math teachers’ situated learning practices significantly influence students' critical thinking. These practices account for 30.50% of the variation in students’ critical thinking, indicating that other contributing factors are also important.</w:t>
      </w:r>
    </w:p>
    <w:p w14:paraId="23C36720" w14:textId="301B7D72" w:rsidR="00AF3C8B" w:rsidRPr="00AF3C8B" w:rsidRDefault="00AF3C8B" w:rsidP="00026464">
      <w:pPr>
        <w:pStyle w:val="ListParagraph"/>
        <w:jc w:val="both"/>
        <w:rPr>
          <w:rFonts w:ascii="Arial" w:eastAsia="Arial" w:hAnsi="Arial" w:cs="Arial"/>
          <w:color w:val="000000"/>
        </w:rPr>
      </w:pPr>
    </w:p>
    <w:p w14:paraId="675E8701" w14:textId="77777777" w:rsidR="00AF3C8B" w:rsidRDefault="00AF3C8B">
      <w:pPr>
        <w:pBdr>
          <w:top w:val="nil"/>
          <w:left w:val="nil"/>
          <w:bottom w:val="nil"/>
          <w:right w:val="nil"/>
          <w:between w:val="nil"/>
        </w:pBdr>
        <w:jc w:val="both"/>
        <w:rPr>
          <w:rFonts w:ascii="Arial" w:eastAsia="Arial" w:hAnsi="Arial" w:cs="Arial"/>
          <w:b/>
          <w:color w:val="000000"/>
          <w:highlight w:val="white"/>
        </w:rPr>
      </w:pPr>
    </w:p>
    <w:p w14:paraId="430B1868" w14:textId="610A68AC" w:rsidR="000B1D44" w:rsidRDefault="000B62FC">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b/>
          <w:color w:val="000000"/>
          <w:highlight w:val="white"/>
        </w:rPr>
        <w:t>Recommendation</w:t>
      </w:r>
    </w:p>
    <w:p w14:paraId="1BB424DA"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60C2E5BD" w14:textId="77777777" w:rsidR="00026464" w:rsidRPr="00026464" w:rsidRDefault="00026464" w:rsidP="00026464">
      <w:pPr>
        <w:pStyle w:val="ListParagraph"/>
        <w:numPr>
          <w:ilvl w:val="0"/>
          <w:numId w:val="4"/>
        </w:numPr>
        <w:jc w:val="both"/>
        <w:rPr>
          <w:rFonts w:ascii="Arial" w:eastAsia="Arial" w:hAnsi="Arial" w:cs="Arial"/>
          <w:color w:val="000000"/>
        </w:rPr>
      </w:pPr>
      <w:r w:rsidRPr="00026464">
        <w:rPr>
          <w:rFonts w:ascii="Arial" w:eastAsia="Arial" w:hAnsi="Arial" w:cs="Arial"/>
          <w:color w:val="000000"/>
        </w:rPr>
        <w:t>Given that math teachers implement situated learning practices two to four times a week, it is recommended that institutions provide ongoing professional development to strengthen teachers’ skills in designing and delivering effective situated learning strategies. This continuous enhancement will ensure the consistent and meaningful use of real-world and contextually relevant teaching practices in college mathematics instruction.</w:t>
      </w:r>
    </w:p>
    <w:p w14:paraId="4FC1A5FF" w14:textId="77777777" w:rsidR="00026464" w:rsidRPr="00026464" w:rsidRDefault="00026464" w:rsidP="00026464">
      <w:pPr>
        <w:pStyle w:val="ListParagraph"/>
        <w:numPr>
          <w:ilvl w:val="0"/>
          <w:numId w:val="4"/>
        </w:numPr>
        <w:jc w:val="both"/>
        <w:rPr>
          <w:rFonts w:ascii="Arial" w:eastAsia="Arial" w:hAnsi="Arial" w:cs="Arial"/>
          <w:color w:val="000000"/>
        </w:rPr>
      </w:pPr>
      <w:r w:rsidRPr="00026464">
        <w:rPr>
          <w:rFonts w:ascii="Arial" w:eastAsia="Arial" w:hAnsi="Arial" w:cs="Arial"/>
          <w:color w:val="000000"/>
        </w:rPr>
        <w:t>As the majority of students fall within the average and high levels of critical thinking, while a few are still at the low level, it is recommended that educators apply differentiated instruction. This approach should include enrichment activities for advanced learners and targeted interventions for those needing support, enabling all students to develop and strengthen their critical thinking abilities according to their individual learning needs.</w:t>
      </w:r>
    </w:p>
    <w:p w14:paraId="40944641" w14:textId="77777777" w:rsidR="00026464" w:rsidRPr="00026464" w:rsidRDefault="00026464" w:rsidP="00026464">
      <w:pPr>
        <w:pStyle w:val="ListParagraph"/>
        <w:numPr>
          <w:ilvl w:val="0"/>
          <w:numId w:val="4"/>
        </w:numPr>
        <w:jc w:val="both"/>
        <w:rPr>
          <w:rFonts w:ascii="Arial" w:eastAsia="Arial" w:hAnsi="Arial" w:cs="Arial"/>
          <w:color w:val="000000"/>
        </w:rPr>
      </w:pPr>
      <w:r w:rsidRPr="00026464">
        <w:rPr>
          <w:rFonts w:ascii="Arial" w:eastAsia="Arial" w:hAnsi="Arial" w:cs="Arial"/>
          <w:color w:val="000000"/>
        </w:rPr>
        <w:t>Since the study found a positive relationship between the three characteristics of situated learning practices—authentic context, authentic activities, and authentic assessment—and students’ critical thinking skills, it is recommended that teachers purposefully integrate these elements into their instructional design. Using real-life problems, collaborative projects, and performance-based assessments can challenge students to apply, analyze, and evaluate information, thereby enhancing their critical thinking.</w:t>
      </w:r>
    </w:p>
    <w:p w14:paraId="2E812897" w14:textId="77777777" w:rsidR="00026464" w:rsidRDefault="00026464" w:rsidP="00026464">
      <w:pPr>
        <w:pStyle w:val="ListParagraph"/>
        <w:numPr>
          <w:ilvl w:val="0"/>
          <w:numId w:val="4"/>
        </w:numPr>
        <w:jc w:val="both"/>
        <w:rPr>
          <w:rFonts w:ascii="Arial" w:eastAsia="Arial" w:hAnsi="Arial" w:cs="Arial"/>
          <w:color w:val="000000"/>
        </w:rPr>
      </w:pPr>
      <w:r w:rsidRPr="00026464">
        <w:rPr>
          <w:rFonts w:ascii="Arial" w:eastAsia="Arial" w:hAnsi="Arial" w:cs="Arial"/>
          <w:color w:val="000000"/>
        </w:rPr>
        <w:t>Given that situated learning practices explain 30.50% of the variation in students' critical thinking, it is recommended that these practices be formally incorporated into the mathematics curriculum. Course designers should embed situated learning principles in syllabi, instructional plans, and assessment strategies to ensure a structured and consistent impact on students’ higher-order thinking skills.</w:t>
      </w:r>
    </w:p>
    <w:p w14:paraId="5401BE11" w14:textId="447E80A8" w:rsidR="00AF3C8B" w:rsidRDefault="00AF3C8B" w:rsidP="00026464">
      <w:pPr>
        <w:pStyle w:val="ListParagraph"/>
        <w:numPr>
          <w:ilvl w:val="0"/>
          <w:numId w:val="4"/>
        </w:numPr>
        <w:jc w:val="both"/>
        <w:rPr>
          <w:rFonts w:ascii="Arial" w:eastAsia="Arial" w:hAnsi="Arial" w:cs="Arial"/>
          <w:color w:val="000000"/>
        </w:rPr>
      </w:pPr>
      <w:r w:rsidRPr="00AF3C8B">
        <w:rPr>
          <w:rFonts w:ascii="Arial" w:eastAsia="Arial" w:hAnsi="Arial" w:cs="Arial"/>
          <w:color w:val="000000"/>
        </w:rPr>
        <w:lastRenderedPageBreak/>
        <w:t xml:space="preserve">Future research could explore other factors that can contribute to students’ critical thinking, such as the disposition of classroom environment, influence of cultural and societal norms and educators’ professional development. This broader approach could offer more comprehensive insights into how to achieve a high level of critical thinking skills. </w:t>
      </w:r>
    </w:p>
    <w:p w14:paraId="441A7410" w14:textId="2DDD8300" w:rsidR="009E22E6" w:rsidRDefault="009E22E6" w:rsidP="009E22E6">
      <w:pPr>
        <w:jc w:val="both"/>
        <w:rPr>
          <w:rFonts w:ascii="Arial" w:eastAsia="Arial" w:hAnsi="Arial" w:cs="Arial"/>
          <w:color w:val="000000"/>
        </w:rPr>
      </w:pPr>
    </w:p>
    <w:p w14:paraId="3351D3F8" w14:textId="77777777" w:rsidR="005A368B" w:rsidRPr="005A368B" w:rsidRDefault="005A368B" w:rsidP="005A368B">
      <w:pPr>
        <w:spacing w:after="200" w:line="276" w:lineRule="auto"/>
        <w:rPr>
          <w:rFonts w:ascii="Calibri" w:eastAsia="Calibri" w:hAnsi="Calibri" w:cs="Times New Roman"/>
          <w:kern w:val="2"/>
          <w:sz w:val="22"/>
          <w:szCs w:val="22"/>
          <w:highlight w:val="yellow"/>
          <w:lang w:eastAsia="en-US"/>
        </w:rPr>
      </w:pPr>
      <w:bookmarkStart w:id="6" w:name="_Hlk180402183"/>
      <w:bookmarkStart w:id="7" w:name="_Hlk183680988"/>
      <w:r w:rsidRPr="005A368B">
        <w:rPr>
          <w:rFonts w:ascii="Calibri" w:eastAsia="Calibri" w:hAnsi="Calibri" w:cs="Times New Roman"/>
          <w:kern w:val="2"/>
          <w:sz w:val="22"/>
          <w:szCs w:val="22"/>
          <w:highlight w:val="yellow"/>
          <w:lang w:eastAsia="en-US"/>
        </w:rPr>
        <w:t>Disclaimer (Artificial intelligence)</w:t>
      </w:r>
    </w:p>
    <w:bookmarkEnd w:id="6"/>
    <w:bookmarkEnd w:id="7"/>
    <w:p w14:paraId="25F76F7E" w14:textId="13D998E1" w:rsidR="009E22E6" w:rsidRPr="0093577A" w:rsidRDefault="0093577A" w:rsidP="009E22E6">
      <w:pPr>
        <w:jc w:val="both"/>
        <w:rPr>
          <w:rFonts w:ascii="Arial" w:eastAsia="Arial" w:hAnsi="Arial" w:cs="Arial"/>
          <w:color w:val="000000"/>
          <w:highlight w:val="yellow"/>
        </w:rPr>
      </w:pPr>
      <w:r w:rsidRPr="0093577A">
        <w:rPr>
          <w:rFonts w:ascii="Calibri" w:eastAsia="Calibri" w:hAnsi="Calibri" w:cs="Times New Roman"/>
          <w:kern w:val="2"/>
          <w:sz w:val="22"/>
          <w:szCs w:val="22"/>
          <w:highlight w:val="yellow"/>
          <w:lang w:eastAsia="en-US"/>
        </w:rPr>
        <w:t>The authors declare that generative AI technology, specifically GPT-4, was used exclusively for grammar correction and improving the clarity and composition of sentences and paragraphs in this manuscript.</w:t>
      </w:r>
    </w:p>
    <w:p w14:paraId="6031E49D" w14:textId="77777777" w:rsidR="00AF3C8B" w:rsidRPr="0093577A" w:rsidRDefault="00AF3C8B" w:rsidP="00AF3C8B">
      <w:pPr>
        <w:pBdr>
          <w:top w:val="nil"/>
          <w:left w:val="nil"/>
          <w:bottom w:val="nil"/>
          <w:right w:val="nil"/>
          <w:between w:val="nil"/>
        </w:pBdr>
        <w:jc w:val="both"/>
        <w:rPr>
          <w:rFonts w:ascii="Arial" w:eastAsia="Arial" w:hAnsi="Arial" w:cs="Arial"/>
          <w:b/>
          <w:color w:val="000000"/>
          <w:highlight w:val="yellow"/>
        </w:rPr>
      </w:pPr>
    </w:p>
    <w:p w14:paraId="228B7727" w14:textId="77777777" w:rsidR="000B1D44" w:rsidRDefault="000B1D44" w:rsidP="00AF3C8B">
      <w:pPr>
        <w:pBdr>
          <w:top w:val="nil"/>
          <w:left w:val="nil"/>
          <w:bottom w:val="nil"/>
          <w:right w:val="nil"/>
          <w:between w:val="nil"/>
        </w:pBdr>
        <w:jc w:val="both"/>
        <w:rPr>
          <w:rFonts w:ascii="Arial" w:eastAsia="Arial" w:hAnsi="Arial" w:cs="Arial"/>
          <w:color w:val="000000"/>
          <w:highlight w:val="white"/>
        </w:rPr>
      </w:pPr>
    </w:p>
    <w:p w14:paraId="5B66E60A" w14:textId="77777777" w:rsidR="000B1D44" w:rsidRDefault="000B62FC"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REFERENCES</w:t>
      </w:r>
    </w:p>
    <w:p w14:paraId="1FD64782" w14:textId="77777777" w:rsidR="00026464" w:rsidRDefault="00026464" w:rsidP="00AF3C8B">
      <w:pPr>
        <w:pBdr>
          <w:top w:val="nil"/>
          <w:left w:val="nil"/>
          <w:bottom w:val="nil"/>
          <w:right w:val="nil"/>
          <w:between w:val="nil"/>
        </w:pBdr>
        <w:jc w:val="both"/>
        <w:rPr>
          <w:rFonts w:ascii="Arial" w:eastAsia="Arial" w:hAnsi="Arial" w:cs="Arial"/>
          <w:color w:val="000000"/>
          <w:highlight w:val="white"/>
        </w:rPr>
      </w:pPr>
    </w:p>
    <w:p w14:paraId="7A81FC3F" w14:textId="10ADD6AC"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 xml:space="preserve">Adams, M. (2020). Three creativity-fostering projects implemented in a statistics class. Journal of Humanistic Mathematics, 10(2), 484–510. </w:t>
      </w:r>
      <w:hyperlink r:id="rId7" w:history="1">
        <w:r w:rsidRPr="000B38A3">
          <w:rPr>
            <w:rStyle w:val="Hyperlink"/>
            <w:rFonts w:ascii="Arial" w:eastAsia="Arial" w:hAnsi="Arial" w:cs="Arial"/>
          </w:rPr>
          <w:t>https://doi.org/10.5642/jhummath.202002.22</w:t>
        </w:r>
      </w:hyperlink>
    </w:p>
    <w:p w14:paraId="67B6FBAA" w14:textId="5886BA22" w:rsidR="00026464" w:rsidRPr="00F214B1"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F214B1">
        <w:rPr>
          <w:rFonts w:ascii="Arial" w:eastAsia="Arial" w:hAnsi="Arial" w:cs="Arial"/>
          <w:color w:val="000000"/>
        </w:rPr>
        <w:t xml:space="preserve">Adeyemi, S. B. (2012). Developing Critical Thinking Skills in Students: A Mandate for Higher Education in Nigeria. European Journal of Educational Research, 1(2), 155-161. </w:t>
      </w:r>
      <w:hyperlink r:id="rId8" w:history="1">
        <w:r w:rsidRPr="000B38A3">
          <w:rPr>
            <w:rStyle w:val="Hyperlink"/>
            <w:rFonts w:ascii="Arial" w:eastAsia="Arial" w:hAnsi="Arial" w:cs="Arial"/>
          </w:rPr>
          <w:t>https://doi.org/10.12973/eu-jer.1.2.155</w:t>
        </w:r>
      </w:hyperlink>
    </w:p>
    <w:p w14:paraId="71E18F7B" w14:textId="6CCDA406" w:rsidR="00026464" w:rsidRPr="00831A33"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831A33">
        <w:rPr>
          <w:rFonts w:ascii="Arial" w:eastAsia="Arial" w:hAnsi="Arial" w:cs="Arial"/>
          <w:color w:val="000000"/>
        </w:rPr>
        <w:t>Adlawon, C. M. C., Valdevarona, A. M. G., &amp; Miranda, A. T. (2022). The Relationship of Self-Concept and Mathematics Performance of College Students in the New Normal. Asian J. Educ. Soc. Stud, 37(3), 39-47.</w:t>
      </w:r>
    </w:p>
    <w:p w14:paraId="754A6302" w14:textId="7FE0B4EF" w:rsidR="00026464" w:rsidRPr="008E7900" w:rsidRDefault="00026464" w:rsidP="008E7900">
      <w:pPr>
        <w:ind w:left="720" w:hanging="720"/>
        <w:rPr>
          <w:rFonts w:ascii="Arial" w:eastAsia="Arial" w:hAnsi="Arial" w:cs="Arial"/>
          <w:color w:val="000000"/>
        </w:rPr>
      </w:pPr>
      <w:r w:rsidRPr="008E7900">
        <w:rPr>
          <w:rFonts w:ascii="Arial" w:eastAsia="Arial" w:hAnsi="Arial" w:cs="Arial"/>
          <w:color w:val="000000"/>
        </w:rPr>
        <w:t>Agtarap, R., &amp; Miranda, A. T. (2022). The mediating effect of students’ resiliency on the relationship of self-concept and mathematics performance. Asian Journal of Education and Social Studies, 36(2), 1–10.</w:t>
      </w:r>
    </w:p>
    <w:p w14:paraId="41C53159" w14:textId="1ACC6C89"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AD43E9">
        <w:rPr>
          <w:rFonts w:ascii="Arial" w:eastAsia="Arial" w:hAnsi="Arial" w:cs="Arial"/>
          <w:color w:val="000000"/>
        </w:rPr>
        <w:t>Alnuaim, A., Caleb-Solly, P., &amp; Perry, C. (2014). A mobile location-based situated learning framework for supporting critical thinking: A requirements analysis study (pp. 139-158). Springer International Publishing.</w:t>
      </w:r>
    </w:p>
    <w:p w14:paraId="4502F348" w14:textId="43E9D7F3"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Ardyawin, I. (2024). The role of Information Literacy in Enhancing Students' Critical Thinking Skills. Jurnal Literasi Perpustakaan dan Informasi UHO: Jurnal Penelitian Kajian Perpustakaan dan Informasi, 4(3), 129-139.</w:t>
      </w:r>
    </w:p>
    <w:p w14:paraId="1D3BE3BB" w14:textId="6013B2A2"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 xml:space="preserve">Arisoy, B., &amp; Aybek, B. (2021). The Effects of Subject-Based Critical Thinking Education in Mathematics on Students’ Critical Thinking Skills and Virtues. Eurasian Journal of Educational Research, 21(92). </w:t>
      </w:r>
      <w:hyperlink r:id="rId9" w:history="1">
        <w:r w:rsidRPr="000B38A3">
          <w:rPr>
            <w:rStyle w:val="Hyperlink"/>
            <w:rFonts w:ascii="Arial" w:eastAsia="Arial" w:hAnsi="Arial" w:cs="Arial"/>
          </w:rPr>
          <w:t>https://doi.org/10.14689/ejer.2021.92.6</w:t>
        </w:r>
      </w:hyperlink>
    </w:p>
    <w:p w14:paraId="1D9C36DB" w14:textId="58B9CFDE"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Ariyachandra, T. (2020). Encouraging Analytics Skills Development in All Undergraduates: A Taste of Microsoft Data Analytics. Information Systems Education Journal, 18(2), 58-68.</w:t>
      </w:r>
    </w:p>
    <w:p w14:paraId="0CF132B3" w14:textId="7948D777" w:rsidR="00026464" w:rsidRPr="0085238A"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85238A">
        <w:rPr>
          <w:rFonts w:ascii="Arial" w:eastAsia="Arial" w:hAnsi="Arial" w:cs="Arial"/>
          <w:color w:val="000000"/>
        </w:rPr>
        <w:t>Azwar, S. (2012). Reliability and Validity. Yogyakarta: Pustaka Pelajar</w:t>
      </w:r>
    </w:p>
    <w:p w14:paraId="1C32A6EA" w14:textId="53FD6A33"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Benson-O'Connor, C. D., McDaniel, C., &amp; Carr, J. (2019). Bringing Math to Life: Provide Students Opportunities to Connect Their Lives to Math. Networks: An Online Journal for Teacher Research, 21(2), 3.</w:t>
      </w:r>
    </w:p>
    <w:p w14:paraId="5E3A2716" w14:textId="3626CDDC"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binti Pengiran, P. H. S. N., &amp; Besar, H. (2018). Situated learning theory: the key to effective classroom teaching?. HONAI, 1(1).</w:t>
      </w:r>
    </w:p>
    <w:p w14:paraId="77FA6D27" w14:textId="5760F55C"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Brown JS, Collins A, Duguid P (1989) Situated cognition and the cul-ture of learning. Educational Researcher 18(1):32–42</w:t>
      </w:r>
    </w:p>
    <w:p w14:paraId="5D3A5C2A" w14:textId="29E878AE" w:rsidR="00026464" w:rsidRPr="00E65376"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E65376">
        <w:rPr>
          <w:rFonts w:ascii="Arial" w:eastAsia="Arial" w:hAnsi="Arial" w:cs="Arial"/>
          <w:color w:val="000000"/>
          <w:highlight w:val="white"/>
        </w:rPr>
        <w:t xml:space="preserve">Buzick, H. M., Rhoad-Drogalis, A., Laitusis, C. C., &amp; King, T. C. (2019). Teachers' views of their practices related to common core state standards-aligned assessments. ETS Research Report Series, 2019(1), 1–18. </w:t>
      </w:r>
      <w:hyperlink r:id="rId10" w:history="1">
        <w:r w:rsidRPr="00C4257C">
          <w:rPr>
            <w:rStyle w:val="Hyperlink"/>
            <w:rFonts w:ascii="Arial" w:eastAsia="Arial" w:hAnsi="Arial" w:cs="Arial"/>
            <w:highlight w:val="white"/>
          </w:rPr>
          <w:t>https://doi.org/10.1002/ets2.12277</w:t>
        </w:r>
      </w:hyperlink>
    </w:p>
    <w:p w14:paraId="22EE9FC9" w14:textId="16AEB8A2"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Catalano, A. (2015). The effect of a situated learning environment in a distance education information literacy course. The Journal of Academic Librarianship, 41(5), 653-659.</w:t>
      </w:r>
    </w:p>
    <w:p w14:paraId="3774A468" w14:textId="6BBB3F5D"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lastRenderedPageBreak/>
        <w:t>Clayden, E., Desforges, C., Mills, C., &amp; Rawson, W. (2002). Authentic activity and learning. In Primary Education (pp. 115-124). Routledge.</w:t>
      </w:r>
    </w:p>
    <w:p w14:paraId="10D40113" w14:textId="521D00E9" w:rsidR="00026464" w:rsidRPr="00F00A67"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F00A67">
        <w:rPr>
          <w:rFonts w:ascii="Arial" w:eastAsia="Arial" w:hAnsi="Arial" w:cs="Arial"/>
          <w:color w:val="000000"/>
        </w:rPr>
        <w:t>Cresswell, J. &amp; Cresswell, D. (2017). Research Design: Qualitative, Quantitative, and Mixed Methods Approaches. SAGE Publication.</w:t>
      </w:r>
    </w:p>
    <w:p w14:paraId="303A00D5" w14:textId="08101A50" w:rsidR="00026464"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A568EB">
        <w:rPr>
          <w:rFonts w:ascii="Arial" w:eastAsia="Arial" w:hAnsi="Arial" w:cs="Arial"/>
          <w:color w:val="000000"/>
          <w:highlight w:val="white"/>
        </w:rPr>
        <w:t>Demir, E. (2022). An Examination of High School Students' Critical Thinking Dispositions and Analytical Thinking Skills. </w:t>
      </w:r>
      <w:r w:rsidRPr="00A568EB">
        <w:rPr>
          <w:rFonts w:ascii="Arial" w:eastAsia="Arial" w:hAnsi="Arial" w:cs="Arial"/>
          <w:i/>
          <w:iCs/>
          <w:color w:val="000000"/>
          <w:highlight w:val="white"/>
        </w:rPr>
        <w:t>Journal of Pedagogical Research</w:t>
      </w:r>
      <w:r w:rsidRPr="00A568EB">
        <w:rPr>
          <w:rFonts w:ascii="Arial" w:eastAsia="Arial" w:hAnsi="Arial" w:cs="Arial"/>
          <w:color w:val="000000"/>
          <w:highlight w:val="white"/>
        </w:rPr>
        <w:t>, </w:t>
      </w:r>
      <w:r w:rsidRPr="00A568EB">
        <w:rPr>
          <w:rFonts w:ascii="Arial" w:eastAsia="Arial" w:hAnsi="Arial" w:cs="Arial"/>
          <w:i/>
          <w:iCs/>
          <w:color w:val="000000"/>
          <w:highlight w:val="white"/>
        </w:rPr>
        <w:t>6</w:t>
      </w:r>
      <w:r w:rsidRPr="00A568EB">
        <w:rPr>
          <w:rFonts w:ascii="Arial" w:eastAsia="Arial" w:hAnsi="Arial" w:cs="Arial"/>
          <w:color w:val="000000"/>
          <w:highlight w:val="white"/>
        </w:rPr>
        <w:t>(4), 190-200.</w:t>
      </w:r>
    </w:p>
    <w:p w14:paraId="3C3EB76F" w14:textId="349034F3"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AD43E9">
        <w:rPr>
          <w:rFonts w:ascii="Arial" w:eastAsia="Arial" w:hAnsi="Arial" w:cs="Arial"/>
          <w:color w:val="000000"/>
        </w:rPr>
        <w:t>Dolapcioglu, S., &amp; Doğanay, A. (2022). Development of critical thinking in mathematics classes via authentic learning: an action research. International Journal of Mathematical Education in Science and Technology, 53(6), 1363-1386.</w:t>
      </w:r>
    </w:p>
    <w:p w14:paraId="4D0FDED0" w14:textId="2AAA2AAB"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AD43E9">
        <w:rPr>
          <w:rFonts w:ascii="Arial" w:eastAsia="Arial" w:hAnsi="Arial" w:cs="Arial"/>
          <w:color w:val="000000"/>
        </w:rPr>
        <w:t>D'Souza, D. A., &amp; Clare, A. C. (2018). Effect of Situated Learning Model on Critical Problem Solving Skills among Higher Secondary Pupils. Journal on School Educational Technology, 14(1), 27-34.</w:t>
      </w:r>
    </w:p>
    <w:p w14:paraId="74E3A1F5" w14:textId="380B24BE"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 xml:space="preserve">Dwyer, C. P., Hogan, M. J., &amp; Stewart, I. (2015). The effects of argument mapping-infused critical thinking instruction on reflective judgement performance. Thinking Skills and Creativity, 16, 11–26. </w:t>
      </w:r>
      <w:hyperlink r:id="rId11" w:history="1">
        <w:r w:rsidRPr="000B38A3">
          <w:rPr>
            <w:rStyle w:val="Hyperlink"/>
            <w:rFonts w:ascii="Arial" w:eastAsia="Arial" w:hAnsi="Arial" w:cs="Arial"/>
          </w:rPr>
          <w:t>https://doi.org/10.1016/j.tsc.2014.12.002</w:t>
        </w:r>
      </w:hyperlink>
    </w:p>
    <w:p w14:paraId="5BC93062" w14:textId="66461C16"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AD43E9">
        <w:rPr>
          <w:rFonts w:ascii="Arial" w:eastAsia="Arial" w:hAnsi="Arial" w:cs="Arial"/>
          <w:color w:val="000000"/>
        </w:rPr>
        <w:t>Fadhlullah, A., &amp; Ahmad, N. (2017). Thinking outside of the box: Determining students’ level of critical thinking skills in teaching and learning. Asian Journal of University Education (AJUE), 13(2), 51-70.</w:t>
      </w:r>
    </w:p>
    <w:p w14:paraId="50520D85" w14:textId="2EAAAD95"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AD43E9">
        <w:rPr>
          <w:rFonts w:ascii="Arial" w:eastAsia="Arial" w:hAnsi="Arial" w:cs="Arial"/>
          <w:color w:val="000000"/>
        </w:rPr>
        <w:t>Fraihat, M. A. K., Khasawneh, A. A., &amp; Al-Barakat, A. A. (2022). The effect of situated learning environment in enhancing mathematical reasoning and proof among tenth grade students. Eurasia Journal of Mathematics, Science and Technology Education, 18(6), em2120.</w:t>
      </w:r>
    </w:p>
    <w:p w14:paraId="76DD930F" w14:textId="4B0B1260" w:rsidR="00026464" w:rsidRPr="009F019F"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Galbraith, P. (2013). Students and Real World Applications: Still a Challenging Mix. Mathematics Education Research Group of Australasia.</w:t>
      </w:r>
    </w:p>
    <w:p w14:paraId="2D5FAE4C" w14:textId="0AB8D921" w:rsidR="00026464" w:rsidRPr="00C81E2A"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 xml:space="preserve">Grégoire, J. (2016). Understanding creativity in mathematics for improving mathematical education. Journal of Cognitive Education and Psychology, 15(1), 24-36. </w:t>
      </w:r>
      <w:hyperlink r:id="rId12" w:history="1">
        <w:r w:rsidRPr="000B38A3">
          <w:rPr>
            <w:rStyle w:val="Hyperlink"/>
            <w:rFonts w:ascii="Arial" w:eastAsia="Arial" w:hAnsi="Arial" w:cs="Arial"/>
          </w:rPr>
          <w:t>https://doi.org/10.1891/1945-8959.15.1.24</w:t>
        </w:r>
      </w:hyperlink>
    </w:p>
    <w:p w14:paraId="4AAE5939" w14:textId="518C678B" w:rsidR="00026464"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F00A67">
        <w:rPr>
          <w:rFonts w:ascii="Arial" w:eastAsia="Arial" w:hAnsi="Arial" w:cs="Arial"/>
          <w:color w:val="000000"/>
          <w:highlight w:val="white"/>
        </w:rPr>
        <w:t>Hair, J.F., Black, W.C., Babin, B.J. and Anderson, R.E. (2010) Multivariate Data Analysis, 7th ed., Prentice Hall, Upper Saddle River, NJ.</w:t>
      </w:r>
    </w:p>
    <w:p w14:paraId="1DA1C1B7" w14:textId="6B3567EF" w:rsidR="00026464" w:rsidRPr="00F00A67"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F00A67">
        <w:rPr>
          <w:rFonts w:ascii="Arial" w:eastAsia="Arial" w:hAnsi="Arial" w:cs="Arial"/>
          <w:color w:val="000000"/>
        </w:rPr>
        <w:t xml:space="preserve">Hortelano, J. C., &amp; Prudente, M. (2024). Development of a questionnaire for understanding mathematics teachers' situated learning practices in the Philippines. Waikato Journal of Education. Advance online publication. </w:t>
      </w:r>
      <w:hyperlink r:id="rId13" w:history="1">
        <w:r w:rsidRPr="000B38A3">
          <w:rPr>
            <w:rStyle w:val="Hyperlink"/>
            <w:rFonts w:ascii="Arial" w:eastAsia="Arial" w:hAnsi="Arial" w:cs="Arial"/>
          </w:rPr>
          <w:t>https://doi.org/10.15663/wje.a1064</w:t>
        </w:r>
      </w:hyperlink>
    </w:p>
    <w:p w14:paraId="6191536F" w14:textId="0B50E051"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Huber, C. R., &amp; Kuncel, N. R. (2016). Does college teach critical thinking? A meta-analysis. Review of educational research, 86(2), 431-468.</w:t>
      </w:r>
    </w:p>
    <w:p w14:paraId="1F3AADE1" w14:textId="6AD0796A"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Isakesen, G. S. (2017). The Creative Problem Solving. The Thinking Mind.</w:t>
      </w:r>
    </w:p>
    <w:p w14:paraId="292D6170" w14:textId="6D6C2E04"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AD43E9">
        <w:rPr>
          <w:rFonts w:ascii="Arial" w:eastAsia="Arial" w:hAnsi="Arial" w:cs="Arial"/>
          <w:color w:val="000000"/>
        </w:rPr>
        <w:t xml:space="preserve">Jablonka, E. (2020). Critical Thinking in Mathematics Education. In: Lerman, S. (eds) Encyclopedia of Mathematics Education. Springer, Cham. </w:t>
      </w:r>
      <w:hyperlink r:id="rId14" w:history="1">
        <w:r w:rsidRPr="000B38A3">
          <w:rPr>
            <w:rStyle w:val="Hyperlink"/>
            <w:rFonts w:ascii="Arial" w:eastAsia="Arial" w:hAnsi="Arial" w:cs="Arial"/>
          </w:rPr>
          <w:t>https://doi.org/10.1007/978-3-030-15789-0_35</w:t>
        </w:r>
      </w:hyperlink>
    </w:p>
    <w:p w14:paraId="4CFFD137" w14:textId="06C8AB87" w:rsidR="00026464" w:rsidRPr="00781DB3"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81DB3">
        <w:rPr>
          <w:rFonts w:ascii="Arial" w:hAnsi="Arial" w:cs="Arial"/>
        </w:rPr>
        <w:t xml:space="preserve">Jamil, M., Bokhari, T. B., &amp; Rafiq, M. (2024). Critical thinking skills development for 21st century: An analysis of Biology curriculum (2006). Voyage Journal of Educational Studies, 4(1), 127-138. </w:t>
      </w:r>
      <w:hyperlink r:id="rId15" w:history="1">
        <w:r w:rsidRPr="000B38A3">
          <w:rPr>
            <w:rStyle w:val="Hyperlink"/>
            <w:rFonts w:ascii="Arial" w:hAnsi="Arial" w:cs="Arial"/>
          </w:rPr>
          <w:t>https://doi.org/10.58622/vjes.v4i1.132</w:t>
        </w:r>
      </w:hyperlink>
    </w:p>
    <w:p w14:paraId="0D0A086B" w14:textId="3F8A1D44" w:rsidR="00026464" w:rsidRPr="00F00A67"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F00A67">
        <w:rPr>
          <w:rFonts w:ascii="Arial" w:eastAsia="Arial" w:hAnsi="Arial" w:cs="Arial"/>
          <w:color w:val="000000"/>
        </w:rPr>
        <w:t xml:space="preserve">Kobylarek, A., Błaszczyński, K., Ślósarz, L., &amp; Madej, M. (2022). Critical Thinking Questionnaire (CThQ) – construction and application of critical thinking test tool. Andragogy Adult Education and Social Marketing, 2(2), Article 2. </w:t>
      </w:r>
      <w:hyperlink r:id="rId16" w:history="1">
        <w:r w:rsidRPr="000B38A3">
          <w:rPr>
            <w:rStyle w:val="Hyperlink"/>
            <w:rFonts w:ascii="Arial" w:eastAsia="Arial" w:hAnsi="Arial" w:cs="Arial"/>
          </w:rPr>
          <w:t>https://doi.org/10.15503/andr2022.1</w:t>
        </w:r>
      </w:hyperlink>
    </w:p>
    <w:p w14:paraId="54F1B7C1" w14:textId="1872F1CD"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Kumar, B. (2021). Strategies and implication of situated learning: An overview.</w:t>
      </w:r>
    </w:p>
    <w:p w14:paraId="58233A82" w14:textId="77777777" w:rsidR="00026464" w:rsidRPr="008E7900" w:rsidRDefault="00026464" w:rsidP="008E7900">
      <w:pPr>
        <w:ind w:left="720" w:hanging="720"/>
        <w:rPr>
          <w:rFonts w:ascii="Arial" w:eastAsia="Arial" w:hAnsi="Arial" w:cs="Arial"/>
          <w:color w:val="000000"/>
        </w:rPr>
      </w:pPr>
      <w:r w:rsidRPr="008E7900">
        <w:rPr>
          <w:rFonts w:ascii="Arial" w:eastAsia="Arial" w:hAnsi="Arial" w:cs="Arial"/>
          <w:color w:val="000000"/>
        </w:rPr>
        <w:t>Lumoto, H. Q. A., Decolas, C. C., Cabalquinto, K. E., &amp; Miranda, A. T. (2024). Exploring students’ mathematics performance through self-regulated learning. Asian Journal of Education and Social Studies, 50(8), 240–250.</w:t>
      </w:r>
    </w:p>
    <w:p w14:paraId="5A886D6F" w14:textId="77777777" w:rsidR="00026464" w:rsidRPr="00F214B1"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F214B1">
        <w:rPr>
          <w:rFonts w:ascii="Arial" w:eastAsia="Arial" w:hAnsi="Arial" w:cs="Arial"/>
          <w:color w:val="000000"/>
        </w:rPr>
        <w:t>Mahdi, O. R., Nassar, I. A., &amp; Almuslamani, H. A. I. (2020). The Role of Using Case Studies Method in Improving Students' Critical Thinking Skills in Higher Education. International Journal of Higher Education, 9(2), 297-308.</w:t>
      </w:r>
    </w:p>
    <w:p w14:paraId="3EDB1DDB" w14:textId="77777777" w:rsidR="00026464" w:rsidRPr="00831A33"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831A33">
        <w:rPr>
          <w:rFonts w:ascii="Arial" w:eastAsia="Arial" w:hAnsi="Arial" w:cs="Arial"/>
          <w:color w:val="000000"/>
        </w:rPr>
        <w:lastRenderedPageBreak/>
        <w:t>Mariano, L. A., Madel, N. S., &amp; Miranda, A. T. (2022). The relationship between time management skills and academic performance of working students in open high school program. Asian Journal of Education and Social Studies, 36(2), 61-66.</w:t>
      </w:r>
    </w:p>
    <w:p w14:paraId="77152EED" w14:textId="77777777" w:rsidR="00026464" w:rsidRPr="0085238A"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85238A">
        <w:rPr>
          <w:rFonts w:ascii="Arial" w:eastAsia="Arial" w:hAnsi="Arial" w:cs="Arial"/>
          <w:color w:val="000000"/>
        </w:rPr>
        <w:t>Marshall, S. A., &amp; Horn, I. S. (2025). Teachers as agentic synthesizers: Recontextualizing personally meaningful practices from professional development. Journal of the Learning Sciences, 1-39.</w:t>
      </w:r>
    </w:p>
    <w:p w14:paraId="02B6282C" w14:textId="77777777"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AD43E9">
        <w:rPr>
          <w:rFonts w:ascii="Arial" w:eastAsia="Arial" w:hAnsi="Arial" w:cs="Arial"/>
          <w:color w:val="000000"/>
        </w:rPr>
        <w:t>Mathews, S. R., &amp; Lowe, K. (2011). Classroom environments that foster a disposition for critical thinking. Learning Environments Research, 14, 59-73.</w:t>
      </w:r>
    </w:p>
    <w:p w14:paraId="212FCD05" w14:textId="77777777" w:rsidR="00026464" w:rsidRPr="0006045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1E1277">
        <w:rPr>
          <w:rFonts w:ascii="Arial" w:eastAsia="Arial" w:hAnsi="Arial" w:cs="Arial"/>
          <w:color w:val="000000"/>
        </w:rPr>
        <w:t>Miranda, A. T. (2018). Cognitive Ability, Psycho-sociological Characteristics and Study Habits of Students: A Structural Model on Mathematics Performance. Asian Journal of Multidisciplinary Studies, 1(3), 51-57.</w:t>
      </w:r>
    </w:p>
    <w:p w14:paraId="41D8F2AA" w14:textId="77777777"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O’Neill, K., Liu, A., Yin, S., Brady, T., &amp; De Brigard, F. (2022). Effects of category learning strategies on recognition memory. Memory &amp; Cognition, 50(3), 512-526.</w:t>
      </w:r>
    </w:p>
    <w:p w14:paraId="3AE236EE" w14:textId="77777777"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A568EB">
        <w:rPr>
          <w:rFonts w:ascii="Arial" w:eastAsia="Arial" w:hAnsi="Arial" w:cs="Arial"/>
          <w:color w:val="000000"/>
          <w:highlight w:val="white"/>
        </w:rPr>
        <w:t>Ps, K. P., Yongsorn, C., &amp; Ponathong, C. (2023). Developing Critical Thinking Dispositions through Academic Assertiveness among Higher Education Students in Thailand. </w:t>
      </w:r>
      <w:r w:rsidRPr="00A568EB">
        <w:rPr>
          <w:rFonts w:ascii="Arial" w:eastAsia="Arial" w:hAnsi="Arial" w:cs="Arial"/>
          <w:i/>
          <w:iCs/>
          <w:color w:val="000000"/>
          <w:highlight w:val="white"/>
        </w:rPr>
        <w:t>Higher Education Studies</w:t>
      </w:r>
      <w:r w:rsidRPr="00A568EB">
        <w:rPr>
          <w:rFonts w:ascii="Arial" w:eastAsia="Arial" w:hAnsi="Arial" w:cs="Arial"/>
          <w:color w:val="000000"/>
          <w:highlight w:val="white"/>
        </w:rPr>
        <w:t>, </w:t>
      </w:r>
      <w:r w:rsidRPr="00A568EB">
        <w:rPr>
          <w:rFonts w:ascii="Arial" w:eastAsia="Arial" w:hAnsi="Arial" w:cs="Arial"/>
          <w:i/>
          <w:iCs/>
          <w:color w:val="000000"/>
          <w:highlight w:val="white"/>
        </w:rPr>
        <w:t>13</w:t>
      </w:r>
      <w:r w:rsidRPr="00A568EB">
        <w:rPr>
          <w:rFonts w:ascii="Arial" w:eastAsia="Arial" w:hAnsi="Arial" w:cs="Arial"/>
          <w:color w:val="000000"/>
          <w:highlight w:val="white"/>
        </w:rPr>
        <w:t>(4), 208-226.</w:t>
      </w:r>
    </w:p>
    <w:p w14:paraId="136213C4" w14:textId="77777777" w:rsidR="00026464" w:rsidRPr="001E1277"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AD43E9">
        <w:rPr>
          <w:rFonts w:ascii="Arial" w:eastAsia="Arial" w:hAnsi="Arial" w:cs="Arial"/>
          <w:color w:val="000000"/>
        </w:rPr>
        <w:t>Rodzalan, S., Noor, N. M., Arif, L. M., &amp; Saat, M. M. (2020). Factors influencing the improvement of students’ critical thinking and problem-solving skill: An industrial training intervention. International Journal of Emerging Technologies in Learning (iJET), 15(22), 134-145.</w:t>
      </w:r>
    </w:p>
    <w:p w14:paraId="349D0EBC" w14:textId="77777777"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831A33">
        <w:rPr>
          <w:rFonts w:ascii="Arial" w:eastAsia="Arial" w:hAnsi="Arial" w:cs="Arial"/>
          <w:color w:val="000000"/>
        </w:rPr>
        <w:t>Sabanal, C. S., Bago, J. S., Balandra, C. B., &amp; Miranda, A. T. (2024). Attitudes toward Learning Mathematics and Performance of Grade 11 Students in the New Normal. Asian J Educ Soc Stud, 50(9), 254-263.</w:t>
      </w:r>
    </w:p>
    <w:p w14:paraId="084B158C" w14:textId="77777777"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 xml:space="preserve">Sabri, M., &amp; Retnawati, H. (2019, March). The implementation of authentic assessment in mathematics learning. In Journal of Physics: Conference Series (Vol. 1200, No. 1, p. 012006). IOP Publishing. </w:t>
      </w:r>
      <w:hyperlink r:id="rId17" w:history="1">
        <w:r w:rsidRPr="000B38A3">
          <w:rPr>
            <w:rStyle w:val="Hyperlink"/>
            <w:rFonts w:ascii="Arial" w:eastAsia="Arial" w:hAnsi="Arial" w:cs="Arial"/>
          </w:rPr>
          <w:t>https://doi.org/10. 1088/1742-6596/1200/1/012006</w:t>
        </w:r>
      </w:hyperlink>
    </w:p>
    <w:p w14:paraId="438647C4" w14:textId="77777777"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 xml:space="preserve">Saldıray, A., &amp; Doğanay, A. (2024). An action research to develop critical thinking skills in the context of citizenship education in higher education. Thinking Skills and Creativity, 53, 101584. </w:t>
      </w:r>
      <w:hyperlink r:id="rId18" w:history="1">
        <w:r w:rsidRPr="000B38A3">
          <w:rPr>
            <w:rStyle w:val="Hyperlink"/>
            <w:rFonts w:ascii="Arial" w:eastAsia="Arial" w:hAnsi="Arial" w:cs="Arial"/>
          </w:rPr>
          <w:t>https://doi.org/10.1016/j.tsc.2024.101584</w:t>
        </w:r>
      </w:hyperlink>
    </w:p>
    <w:p w14:paraId="117C14FB" w14:textId="77777777"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 xml:space="preserve">Shing, Y. L., &amp; Brod, G. (2016). Effects of prior knowledge on memory: Implications for education. Mind, Brain, and Education, 10(3), 153-161. </w:t>
      </w:r>
      <w:hyperlink r:id="rId19" w:history="1">
        <w:r w:rsidRPr="000B38A3">
          <w:rPr>
            <w:rStyle w:val="Hyperlink"/>
            <w:rFonts w:ascii="Arial" w:eastAsia="Arial" w:hAnsi="Arial" w:cs="Arial"/>
          </w:rPr>
          <w:t>https://doi.org/10.1111/mbe.12110</w:t>
        </w:r>
      </w:hyperlink>
    </w:p>
    <w:p w14:paraId="603D8E70" w14:textId="77777777"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Shorish, Y. (2015). Data information literacy and undergraduates: A critical competency. College &amp; undergraduate libraries, 22(1), 97-106.</w:t>
      </w:r>
    </w:p>
    <w:p w14:paraId="348E53CD" w14:textId="77777777"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Silva, H., Lopes, J., &amp; Dominguez, C. (2018, June). Enhancing college students’ critical thinking skills in cooperative groups. In International Conference on Technology and Innovation in Learning, Teaching and Education (pp. 181-192). Cham: Springer International Publishing.</w:t>
      </w:r>
    </w:p>
    <w:p w14:paraId="5331B5A4" w14:textId="77777777" w:rsidR="00026464" w:rsidRPr="00F00A67"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F00A67">
        <w:rPr>
          <w:rFonts w:ascii="Arial" w:eastAsia="Arial" w:hAnsi="Arial" w:cs="Arial"/>
          <w:color w:val="000000"/>
        </w:rPr>
        <w:t>SKORKOVÁ, Z., &amp; GAŽOVÁ-ADAMKOVÁ, H. (2024). Evaluating Critical Thinking in Higher Education: An Analysis of University Students Using the CThQ. Proceedings of IAC in Budapest 2024, 61.</w:t>
      </w:r>
    </w:p>
    <w:p w14:paraId="35122A13" w14:textId="77777777"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 xml:space="preserve">Stephen, J. S. (2024). Skills and Strategies for Research and Reading. In Academic Success in Online Programs: A Resource for College Students (pp. 111-124). Cham: Springer Nature Switzerland. </w:t>
      </w:r>
      <w:hyperlink r:id="rId20" w:history="1">
        <w:r w:rsidRPr="000B38A3">
          <w:rPr>
            <w:rStyle w:val="Hyperlink"/>
            <w:rFonts w:ascii="Arial" w:eastAsia="Arial" w:hAnsi="Arial" w:cs="Arial"/>
          </w:rPr>
          <w:t>https://doi.org/10.1007/978-3-031-54439-2_8</w:t>
        </w:r>
      </w:hyperlink>
    </w:p>
    <w:p w14:paraId="14E4D80C" w14:textId="77777777" w:rsidR="00026464" w:rsidRPr="00577306"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577306">
        <w:rPr>
          <w:rFonts w:ascii="Arial" w:eastAsia="Arial" w:hAnsi="Arial" w:cs="Arial"/>
          <w:color w:val="000000"/>
        </w:rPr>
        <w:t xml:space="preserve">Stupple, Edward JN, Frances A Maratos, James Elander, Thomas E Hunt, Kevin YF Cheung, and Aimee V Aubeeluck. 2017. “Development of the Critical Thinking Toolkit (CriTT): A Measure of Student Attitudes and Beliefs About Critical Thinking.” Thinking Skills and Creativity 23: 91– 100. </w:t>
      </w:r>
      <w:hyperlink r:id="rId21" w:history="1">
        <w:r w:rsidRPr="000B38A3">
          <w:rPr>
            <w:rStyle w:val="Hyperlink"/>
            <w:rFonts w:ascii="Arial" w:eastAsia="Arial" w:hAnsi="Arial" w:cs="Arial"/>
          </w:rPr>
          <w:t>https://doi.org/10.1016/j.tsc.2016.11.007</w:t>
        </w:r>
      </w:hyperlink>
    </w:p>
    <w:p w14:paraId="2A41003B" w14:textId="77777777" w:rsidR="00026464" w:rsidRPr="00C81E2A"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Suciu, T. (2014). The importance of creativity in education. Bulletin of the Transilvania University of Brasov. Series V: Economic Sciences, 151-158.</w:t>
      </w:r>
    </w:p>
    <w:p w14:paraId="1AB28FEF" w14:textId="77777777" w:rsidR="00026464" w:rsidRPr="00A568EB"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AD43E9">
        <w:rPr>
          <w:rFonts w:ascii="Arial" w:eastAsia="Arial" w:hAnsi="Arial" w:cs="Arial"/>
          <w:color w:val="000000"/>
        </w:rPr>
        <w:t>Supriyatno, T., Susilawati, S., &amp; Hassan, A. (2020). E-learning development in improving students' critical thinking ability. Cypriot Journal of Educational Sciences, 15(5), 1099-1106.</w:t>
      </w:r>
    </w:p>
    <w:p w14:paraId="4F4875A7" w14:textId="77777777" w:rsidR="00026464" w:rsidRPr="00AD43E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AD43E9">
        <w:rPr>
          <w:rFonts w:ascii="Arial" w:eastAsia="Arial" w:hAnsi="Arial" w:cs="Arial"/>
          <w:color w:val="000000"/>
        </w:rPr>
        <w:lastRenderedPageBreak/>
        <w:t>Ukobizaba, F., Nizeyimana, G., &amp; Mukuka, A. (2021). Assessment Strategies for Enhancing Students' Mathematical Problem-Solving Skills: A Review of Literature. Eurasia Journal of Mathematics, Science and Technology Education, 17(3).</w:t>
      </w:r>
    </w:p>
    <w:p w14:paraId="29D6597E" w14:textId="77777777" w:rsidR="00026464" w:rsidRPr="0085238A"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85238A">
        <w:rPr>
          <w:rFonts w:ascii="Arial" w:eastAsia="Arial" w:hAnsi="Arial" w:cs="Arial"/>
          <w:color w:val="000000"/>
        </w:rPr>
        <w:t>Vargas, E., Chiappe, A., &amp; Durand, J. (2024). Reshaping education in the era of artificial intelligence: insights from Situated Learning related literature. Journal of Social Studies Education Research, 15(2), 1-28.</w:t>
      </w:r>
    </w:p>
    <w:p w14:paraId="1F33F7BD" w14:textId="77777777" w:rsidR="00026464" w:rsidRPr="008E7900" w:rsidRDefault="00026464" w:rsidP="008E7900">
      <w:pPr>
        <w:ind w:left="720" w:hanging="720"/>
        <w:rPr>
          <w:rFonts w:ascii="Arial" w:eastAsia="Arial" w:hAnsi="Arial" w:cs="Arial"/>
          <w:color w:val="000000"/>
        </w:rPr>
      </w:pPr>
      <w:r w:rsidRPr="008E7900">
        <w:rPr>
          <w:rFonts w:ascii="Arial" w:eastAsia="Arial" w:hAnsi="Arial" w:cs="Arial"/>
          <w:color w:val="000000"/>
        </w:rPr>
        <w:t>Villegas, C. T., Estopa, M. M. J. S., Lagat, R. A., &amp; Miranda, A. T. Problem-Solving Appraisals as Predictors of Mathematics Performance among College Students.</w:t>
      </w:r>
    </w:p>
    <w:p w14:paraId="27B3D3A5" w14:textId="77777777" w:rsidR="00026464" w:rsidRPr="00577306"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577306">
        <w:rPr>
          <w:rFonts w:ascii="Arial" w:eastAsia="Arial" w:hAnsi="Arial" w:cs="Arial"/>
          <w:color w:val="000000"/>
        </w:rPr>
        <w:t>Vincent</w:t>
      </w:r>
      <w:r w:rsidRPr="00577306">
        <w:rPr>
          <w:rFonts w:ascii="Cambria Math" w:eastAsia="Arial" w:hAnsi="Cambria Math" w:cs="Cambria Math"/>
          <w:color w:val="000000"/>
        </w:rPr>
        <w:t>‐</w:t>
      </w:r>
      <w:r w:rsidRPr="00577306">
        <w:rPr>
          <w:rFonts w:ascii="Arial" w:eastAsia="Arial" w:hAnsi="Arial" w:cs="Arial"/>
          <w:color w:val="000000"/>
        </w:rPr>
        <w:t xml:space="preserve">Lancrin, S. (2023). Fostering and assessing student critical thinking: From theory to teaching practice. European Journal of Education, 58(3), 354–368. </w:t>
      </w:r>
      <w:hyperlink r:id="rId22" w:history="1">
        <w:r w:rsidRPr="000B38A3">
          <w:rPr>
            <w:rStyle w:val="Hyperlink"/>
            <w:rFonts w:ascii="Arial" w:eastAsia="Arial" w:hAnsi="Arial" w:cs="Arial"/>
          </w:rPr>
          <w:t>https://doi.org/10.1111/ejed.12569</w:t>
        </w:r>
      </w:hyperlink>
    </w:p>
    <w:p w14:paraId="38CB2D72" w14:textId="77777777"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 xml:space="preserve">Vos, P. (2018). “How real people really need mathematics in the real world”—Authenticity in mathematics education. Education Sciences, 8(4), 195. </w:t>
      </w:r>
      <w:hyperlink r:id="rId23" w:history="1">
        <w:r w:rsidRPr="000B38A3">
          <w:rPr>
            <w:rStyle w:val="Hyperlink"/>
            <w:rFonts w:ascii="Arial" w:eastAsia="Arial" w:hAnsi="Arial" w:cs="Arial"/>
          </w:rPr>
          <w:t>https://doi.org/10.3390/educsci8040195</w:t>
        </w:r>
      </w:hyperlink>
    </w:p>
    <w:p w14:paraId="659B3359" w14:textId="77777777"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Walter, C., &amp; Walter, P. (2018). Is Critical Thinking a Mediator Variable of Student Performance in School?. Educational Research Quarterly, 41(3), 3-24.</w:t>
      </w:r>
    </w:p>
    <w:p w14:paraId="0E0DBB5F" w14:textId="77777777" w:rsidR="00026464" w:rsidRPr="000D3E39"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0D3E39">
        <w:rPr>
          <w:rFonts w:ascii="Arial" w:eastAsia="Arial" w:hAnsi="Arial" w:cs="Arial"/>
          <w:color w:val="000000"/>
        </w:rPr>
        <w:t>Wojahn, P., Westbrock, T., Milloy, R., Myers, S., Moberly, M., &amp; Ramirez, L. (2015). Understanding and using sources: Student practices and perceptions. Information literacy: Research and collaboration across disciplines.</w:t>
      </w:r>
    </w:p>
    <w:p w14:paraId="3FD9DD6A" w14:textId="77777777"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 xml:space="preserve">Yan, W., Lowell, V. L., &amp; Yang, L. (2024). Developing English language learners’ speaking skills through applying a situated learning approach in VR-enhanced learning experiences. Virtual Reality, 28(4), 1-23. </w:t>
      </w:r>
      <w:hyperlink r:id="rId24" w:history="1">
        <w:r w:rsidRPr="000B38A3">
          <w:rPr>
            <w:rStyle w:val="Hyperlink"/>
            <w:rFonts w:ascii="Arial" w:eastAsia="Arial" w:hAnsi="Arial" w:cs="Arial"/>
          </w:rPr>
          <w:t>https://doi.org/10.1016/j.tsc.2016.11.007</w:t>
        </w:r>
      </w:hyperlink>
    </w:p>
    <w:p w14:paraId="2410044D" w14:textId="77777777" w:rsidR="00026464" w:rsidRPr="00731C5D" w:rsidRDefault="00026464" w:rsidP="008E7900">
      <w:pPr>
        <w:pBdr>
          <w:top w:val="nil"/>
          <w:left w:val="nil"/>
          <w:bottom w:val="nil"/>
          <w:right w:val="nil"/>
          <w:between w:val="nil"/>
        </w:pBdr>
        <w:ind w:left="720" w:hanging="720"/>
        <w:jc w:val="both"/>
        <w:rPr>
          <w:rFonts w:ascii="Arial" w:eastAsia="Arial" w:hAnsi="Arial" w:cs="Arial"/>
          <w:color w:val="000000"/>
          <w:highlight w:val="white"/>
        </w:rPr>
      </w:pPr>
      <w:r w:rsidRPr="00731C5D">
        <w:rPr>
          <w:rFonts w:ascii="Arial" w:eastAsia="Arial" w:hAnsi="Arial" w:cs="Arial"/>
          <w:color w:val="000000"/>
        </w:rPr>
        <w:t>Zulfqar, A., &amp; Hayat, A. (2023). Think how to think: studying the relationship between critical thinking skills and academic achievement of learners at higher education. Journal of Social Sciences Review, 3(2), 640-650.</w:t>
      </w:r>
    </w:p>
    <w:sectPr w:rsidR="00026464" w:rsidRPr="00731C5D" w:rsidSect="004E734A">
      <w:headerReference w:type="even" r:id="rId25"/>
      <w:headerReference w:type="default" r:id="rId26"/>
      <w:footerReference w:type="even" r:id="rId27"/>
      <w:footerReference w:type="default" r:id="rId28"/>
      <w:headerReference w:type="first" r:id="rId29"/>
      <w:footerReference w:type="first" r:id="rId30"/>
      <w:type w:val="continuous"/>
      <w:pgSz w:w="12240" w:h="15840"/>
      <w:pgMar w:top="1440" w:right="2016" w:bottom="2016" w:left="2016"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00301" w14:textId="77777777" w:rsidR="00427299" w:rsidRDefault="00427299">
      <w:r>
        <w:separator/>
      </w:r>
    </w:p>
  </w:endnote>
  <w:endnote w:type="continuationSeparator" w:id="0">
    <w:p w14:paraId="37D2D251" w14:textId="77777777" w:rsidR="00427299" w:rsidRDefault="00427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Arial"/>
    <w:charset w:val="00"/>
    <w:family w:val="auto"/>
    <w:pitch w:val="default"/>
    <w:embedRegular r:id="rId1" w:fontKey="{562D5AB7-5EB8-46B6-917D-665D44235BE3}"/>
    <w:embedBold r:id="rId2" w:fontKey="{13075263-5E59-4096-BDAD-F6171F11D41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DE1044A-3788-4DA6-A9AE-886BF61E9466}"/>
    <w:embedItalic r:id="rId4" w:fontKey="{9EF7F294-E344-4B38-B36E-70B063D4FA5F}"/>
  </w:font>
  <w:font w:name="Calibri">
    <w:panose1 w:val="020F0502020204030204"/>
    <w:charset w:val="00"/>
    <w:family w:val="swiss"/>
    <w:pitch w:val="variable"/>
    <w:sig w:usb0="E4002EFF" w:usb1="C200247B" w:usb2="00000009" w:usb3="00000000" w:csb0="000001FF" w:csb1="00000000"/>
    <w:embedRegular r:id="rId5" w:fontKey="{F9CCD612-8B2B-4717-BF4B-E578D49265EC}"/>
    <w:embedBold r:id="rId6" w:fontKey="{15F6B2DA-B8F9-457C-9BFB-CC92690CBF31}"/>
  </w:font>
  <w:font w:name="Cambria">
    <w:panose1 w:val="02040503050406030204"/>
    <w:charset w:val="00"/>
    <w:family w:val="roman"/>
    <w:pitch w:val="variable"/>
    <w:sig w:usb0="E00006FF" w:usb1="420024FF" w:usb2="02000000" w:usb3="00000000" w:csb0="0000019F" w:csb1="00000000"/>
    <w:embedRegular r:id="rId7" w:fontKey="{35220B93-6B5E-42DA-8677-89082B061B41}"/>
  </w:font>
  <w:font w:name="Cambria Math">
    <w:panose1 w:val="02040503050406030204"/>
    <w:charset w:val="00"/>
    <w:family w:val="roman"/>
    <w:pitch w:val="variable"/>
    <w:sig w:usb0="E00006FF" w:usb1="420024FF" w:usb2="02000000" w:usb3="00000000" w:csb0="0000019F" w:csb1="00000000"/>
    <w:embedRegular r:id="rId8" w:fontKey="{28043B19-4D0D-4F3A-B0F8-4A1109DC4745}"/>
    <w:embedItalic r:id="rId9" w:fontKey="{C2BDCD90-5B1F-4DEA-B949-08487E19B0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A9813" w14:textId="77777777" w:rsidR="005F51A3" w:rsidRDefault="005F51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965E7" w14:textId="77777777" w:rsidR="000B1D44" w:rsidRDefault="000B1D44">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35BE8" w14:textId="77777777" w:rsidR="005F51A3" w:rsidRDefault="005F5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3C170" w14:textId="77777777" w:rsidR="00427299" w:rsidRDefault="00427299">
      <w:r>
        <w:separator/>
      </w:r>
    </w:p>
  </w:footnote>
  <w:footnote w:type="continuationSeparator" w:id="0">
    <w:p w14:paraId="1DA10D34" w14:textId="77777777" w:rsidR="00427299" w:rsidRDefault="004272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2B254" w14:textId="384A9736" w:rsidR="005F51A3" w:rsidRDefault="00000000">
    <w:pPr>
      <w:pStyle w:val="Header"/>
    </w:pPr>
    <w:r>
      <w:rPr>
        <w:noProof/>
      </w:rPr>
      <w:pict w14:anchorId="3E1B4C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82540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8E384" w14:textId="3E57BC1F" w:rsidR="005F51A3" w:rsidRDefault="00000000">
    <w:pPr>
      <w:pStyle w:val="Header"/>
    </w:pPr>
    <w:r>
      <w:rPr>
        <w:noProof/>
      </w:rPr>
      <w:pict w14:anchorId="039320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82540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A594C" w14:textId="39C842BD" w:rsidR="005F51A3" w:rsidRDefault="00000000">
    <w:pPr>
      <w:pStyle w:val="Header"/>
    </w:pPr>
    <w:r>
      <w:rPr>
        <w:noProof/>
      </w:rPr>
      <w:pict w14:anchorId="4F8EF1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825406" o:spid="_x0000_s1025"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B5367"/>
    <w:multiLevelType w:val="multilevel"/>
    <w:tmpl w:val="A3521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613B09"/>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54B01E0"/>
    <w:multiLevelType w:val="multilevel"/>
    <w:tmpl w:val="54CEE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5BD24B7"/>
    <w:multiLevelType w:val="multilevel"/>
    <w:tmpl w:val="927ABBEE"/>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59025096">
    <w:abstractNumId w:val="1"/>
  </w:num>
  <w:num w:numId="2" w16cid:durableId="1589656405">
    <w:abstractNumId w:val="3"/>
  </w:num>
  <w:num w:numId="3" w16cid:durableId="1508982441">
    <w:abstractNumId w:val="2"/>
  </w:num>
  <w:num w:numId="4" w16cid:durableId="313726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44"/>
    <w:rsid w:val="00026464"/>
    <w:rsid w:val="00060459"/>
    <w:rsid w:val="00061DC5"/>
    <w:rsid w:val="000B1D44"/>
    <w:rsid w:val="000B62FC"/>
    <w:rsid w:val="000D3E39"/>
    <w:rsid w:val="0016434D"/>
    <w:rsid w:val="001C19D9"/>
    <w:rsid w:val="001E1277"/>
    <w:rsid w:val="00281D48"/>
    <w:rsid w:val="0028364C"/>
    <w:rsid w:val="002A6084"/>
    <w:rsid w:val="002C3BA7"/>
    <w:rsid w:val="003053F7"/>
    <w:rsid w:val="00372B97"/>
    <w:rsid w:val="003770EC"/>
    <w:rsid w:val="003B0CD9"/>
    <w:rsid w:val="003D2254"/>
    <w:rsid w:val="003D708C"/>
    <w:rsid w:val="00427299"/>
    <w:rsid w:val="00435B64"/>
    <w:rsid w:val="004775B6"/>
    <w:rsid w:val="004C24DF"/>
    <w:rsid w:val="004D5915"/>
    <w:rsid w:val="004E4535"/>
    <w:rsid w:val="004E734A"/>
    <w:rsid w:val="0051046C"/>
    <w:rsid w:val="00577306"/>
    <w:rsid w:val="005A368B"/>
    <w:rsid w:val="005B7A59"/>
    <w:rsid w:val="005E601C"/>
    <w:rsid w:val="005F51A3"/>
    <w:rsid w:val="00620FD3"/>
    <w:rsid w:val="00645ED8"/>
    <w:rsid w:val="00656CAC"/>
    <w:rsid w:val="0066505B"/>
    <w:rsid w:val="00666B62"/>
    <w:rsid w:val="00676701"/>
    <w:rsid w:val="006C2388"/>
    <w:rsid w:val="006F102A"/>
    <w:rsid w:val="007049BF"/>
    <w:rsid w:val="00731C5D"/>
    <w:rsid w:val="00737EAD"/>
    <w:rsid w:val="0074259D"/>
    <w:rsid w:val="00745913"/>
    <w:rsid w:val="00781DB3"/>
    <w:rsid w:val="00783B33"/>
    <w:rsid w:val="00802D8C"/>
    <w:rsid w:val="008174FA"/>
    <w:rsid w:val="00831525"/>
    <w:rsid w:val="00831A33"/>
    <w:rsid w:val="0085238A"/>
    <w:rsid w:val="008941BA"/>
    <w:rsid w:val="008959A9"/>
    <w:rsid w:val="008B3A56"/>
    <w:rsid w:val="008E7900"/>
    <w:rsid w:val="008E7EB6"/>
    <w:rsid w:val="008F329B"/>
    <w:rsid w:val="009038A9"/>
    <w:rsid w:val="0090737C"/>
    <w:rsid w:val="0093577A"/>
    <w:rsid w:val="00977B37"/>
    <w:rsid w:val="009C7F4F"/>
    <w:rsid w:val="009E22E6"/>
    <w:rsid w:val="009E31D0"/>
    <w:rsid w:val="009F019F"/>
    <w:rsid w:val="009F534E"/>
    <w:rsid w:val="00A40F23"/>
    <w:rsid w:val="00A516B4"/>
    <w:rsid w:val="00A568EB"/>
    <w:rsid w:val="00A86980"/>
    <w:rsid w:val="00A949EB"/>
    <w:rsid w:val="00AD43E9"/>
    <w:rsid w:val="00AE2101"/>
    <w:rsid w:val="00AF3C8B"/>
    <w:rsid w:val="00B34EDB"/>
    <w:rsid w:val="00B40869"/>
    <w:rsid w:val="00B80854"/>
    <w:rsid w:val="00BA5566"/>
    <w:rsid w:val="00BB47CB"/>
    <w:rsid w:val="00BD0C1D"/>
    <w:rsid w:val="00BE3714"/>
    <w:rsid w:val="00C16C0C"/>
    <w:rsid w:val="00C7142C"/>
    <w:rsid w:val="00C81E2A"/>
    <w:rsid w:val="00C8646B"/>
    <w:rsid w:val="00D14F01"/>
    <w:rsid w:val="00D43CAC"/>
    <w:rsid w:val="00D64D9C"/>
    <w:rsid w:val="00D70918"/>
    <w:rsid w:val="00D95AE1"/>
    <w:rsid w:val="00DA1C23"/>
    <w:rsid w:val="00DB7934"/>
    <w:rsid w:val="00DB7D56"/>
    <w:rsid w:val="00E26B62"/>
    <w:rsid w:val="00E5275D"/>
    <w:rsid w:val="00E65376"/>
    <w:rsid w:val="00EE2AE9"/>
    <w:rsid w:val="00EF3867"/>
    <w:rsid w:val="00F00A67"/>
    <w:rsid w:val="00F010F8"/>
    <w:rsid w:val="00F13E1D"/>
    <w:rsid w:val="00F214B1"/>
    <w:rsid w:val="00F92D59"/>
    <w:rsid w:val="00FA38A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3D69D"/>
  <w15:docId w15:val="{AE90EC52-7876-4CF6-803C-59CABA9D8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3">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4">
    <w:basedOn w:val="TableNormal"/>
    <w:rPr>
      <w:rFonts w:ascii="Calibri" w:eastAsia="Calibri" w:hAnsi="Calibri" w:cs="Calibri"/>
      <w:sz w:val="22"/>
      <w:szCs w:val="22"/>
    </w:rPr>
    <w:tblPr>
      <w:tblStyleRowBandSize w:val="1"/>
      <w:tblStyleColBandSize w:val="1"/>
    </w:tblPr>
  </w:style>
  <w:style w:type="character" w:styleId="LineNumber">
    <w:name w:val="line number"/>
    <w:basedOn w:val="DefaultParagraphFont"/>
    <w:uiPriority w:val="99"/>
    <w:semiHidden/>
    <w:unhideWhenUsed/>
    <w:rsid w:val="005E601C"/>
  </w:style>
  <w:style w:type="paragraph" w:styleId="ListParagraph">
    <w:name w:val="List Paragraph"/>
    <w:basedOn w:val="Normal"/>
    <w:uiPriority w:val="34"/>
    <w:qFormat/>
    <w:rsid w:val="00781DB3"/>
    <w:pPr>
      <w:ind w:left="720"/>
      <w:contextualSpacing/>
    </w:pPr>
  </w:style>
  <w:style w:type="character" w:styleId="Hyperlink">
    <w:name w:val="Hyperlink"/>
    <w:basedOn w:val="DefaultParagraphFont"/>
    <w:uiPriority w:val="99"/>
    <w:unhideWhenUsed/>
    <w:rsid w:val="00781DB3"/>
    <w:rPr>
      <w:color w:val="0000FF" w:themeColor="hyperlink"/>
      <w:u w:val="single"/>
    </w:rPr>
  </w:style>
  <w:style w:type="character" w:styleId="UnresolvedMention">
    <w:name w:val="Unresolved Mention"/>
    <w:basedOn w:val="DefaultParagraphFont"/>
    <w:uiPriority w:val="99"/>
    <w:semiHidden/>
    <w:unhideWhenUsed/>
    <w:rsid w:val="00781DB3"/>
    <w:rPr>
      <w:color w:val="605E5C"/>
      <w:shd w:val="clear" w:color="auto" w:fill="E1DFDD"/>
    </w:rPr>
  </w:style>
  <w:style w:type="paragraph" w:styleId="NoSpacing">
    <w:name w:val="No Spacing"/>
    <w:uiPriority w:val="1"/>
    <w:qFormat/>
    <w:rsid w:val="007049BF"/>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AE2101"/>
    <w:pPr>
      <w:tabs>
        <w:tab w:val="center" w:pos="4680"/>
        <w:tab w:val="right" w:pos="9360"/>
      </w:tabs>
    </w:pPr>
  </w:style>
  <w:style w:type="character" w:customStyle="1" w:styleId="HeaderChar">
    <w:name w:val="Header Char"/>
    <w:basedOn w:val="DefaultParagraphFont"/>
    <w:link w:val="Header"/>
    <w:uiPriority w:val="99"/>
    <w:rsid w:val="00AE2101"/>
  </w:style>
  <w:style w:type="paragraph" w:styleId="Footer">
    <w:name w:val="footer"/>
    <w:basedOn w:val="Normal"/>
    <w:link w:val="FooterChar"/>
    <w:uiPriority w:val="99"/>
    <w:unhideWhenUsed/>
    <w:rsid w:val="00AE2101"/>
    <w:pPr>
      <w:tabs>
        <w:tab w:val="center" w:pos="4680"/>
        <w:tab w:val="right" w:pos="9360"/>
      </w:tabs>
    </w:pPr>
  </w:style>
  <w:style w:type="character" w:customStyle="1" w:styleId="FooterChar">
    <w:name w:val="Footer Char"/>
    <w:basedOn w:val="DefaultParagraphFont"/>
    <w:link w:val="Footer"/>
    <w:uiPriority w:val="99"/>
    <w:rsid w:val="00AE2101"/>
  </w:style>
  <w:style w:type="table" w:customStyle="1" w:styleId="TableGrid1">
    <w:name w:val="Table Grid1"/>
    <w:basedOn w:val="TableNormal"/>
    <w:next w:val="TableGrid"/>
    <w:uiPriority w:val="59"/>
    <w:unhideWhenUsed/>
    <w:rsid w:val="00666B62"/>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66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8102902">
      <w:bodyDiv w:val="1"/>
      <w:marLeft w:val="0"/>
      <w:marRight w:val="0"/>
      <w:marTop w:val="0"/>
      <w:marBottom w:val="0"/>
      <w:divBdr>
        <w:top w:val="none" w:sz="0" w:space="0" w:color="auto"/>
        <w:left w:val="none" w:sz="0" w:space="0" w:color="auto"/>
        <w:bottom w:val="none" w:sz="0" w:space="0" w:color="auto"/>
        <w:right w:val="none" w:sz="0" w:space="0" w:color="auto"/>
      </w:divBdr>
    </w:div>
    <w:div w:id="1931502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2973/eu-jer.1.2.155" TargetMode="External"/><Relationship Id="rId13" Type="http://schemas.openxmlformats.org/officeDocument/2006/relationships/hyperlink" Target="https://doi.org/10.15663/wje.a1064" TargetMode="External"/><Relationship Id="rId18" Type="http://schemas.openxmlformats.org/officeDocument/2006/relationships/hyperlink" Target="https://doi.org/10.1016/j.tsc.2024.101584"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1016/j.tsc.2016.11.007" TargetMode="External"/><Relationship Id="rId7" Type="http://schemas.openxmlformats.org/officeDocument/2006/relationships/hyperlink" Target="https://doi.org/10.5642/jhummath.202002.22" TargetMode="External"/><Relationship Id="rId12" Type="http://schemas.openxmlformats.org/officeDocument/2006/relationships/hyperlink" Target="https://doi.org/10.1891/1945-8959.15.1.24" TargetMode="External"/><Relationship Id="rId17" Type="http://schemas.openxmlformats.org/officeDocument/2006/relationships/hyperlink" Target="https://doi.org/10.%201088/1742-6596/1200/1/012006"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5503/andr2022.1" TargetMode="External"/><Relationship Id="rId20" Type="http://schemas.openxmlformats.org/officeDocument/2006/relationships/hyperlink" Target="https://doi.org/10.1007/978-3-031-54439-2_8"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tsc.2014.12.002" TargetMode="External"/><Relationship Id="rId24" Type="http://schemas.openxmlformats.org/officeDocument/2006/relationships/hyperlink" Target="https://doi.org/10.1016/j.tsc.2016.11.007"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58622/vjes.v4i1.132" TargetMode="External"/><Relationship Id="rId23" Type="http://schemas.openxmlformats.org/officeDocument/2006/relationships/hyperlink" Target="https://doi.org/10.3390/educsci8040195" TargetMode="External"/><Relationship Id="rId28" Type="http://schemas.openxmlformats.org/officeDocument/2006/relationships/footer" Target="footer2.xml"/><Relationship Id="rId10" Type="http://schemas.openxmlformats.org/officeDocument/2006/relationships/hyperlink" Target="https://doi.org/10.1002/ets2.12277" TargetMode="External"/><Relationship Id="rId19" Type="http://schemas.openxmlformats.org/officeDocument/2006/relationships/hyperlink" Target="https://doi.org/10.1111/mbe.1211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4689/ejer.2021.92.6" TargetMode="External"/><Relationship Id="rId14" Type="http://schemas.openxmlformats.org/officeDocument/2006/relationships/hyperlink" Target="https://doi.org/10.1007/978-3-030-15789-0_35" TargetMode="External"/><Relationship Id="rId22" Type="http://schemas.openxmlformats.org/officeDocument/2006/relationships/hyperlink" Target="https://doi.org/10.1111/ejed.12569"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649</TotalTime>
  <Pages>13</Pages>
  <Words>6648</Words>
  <Characters>37900</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Rannie  Bartolome</cp:lastModifiedBy>
  <cp:revision>20</cp:revision>
  <cp:lastPrinted>2025-04-08T00:39:00Z</cp:lastPrinted>
  <dcterms:created xsi:type="dcterms:W3CDTF">2025-05-03T05:44:00Z</dcterms:created>
  <dcterms:modified xsi:type="dcterms:W3CDTF">2025-05-09T01:02:00Z</dcterms:modified>
</cp:coreProperties>
</file>