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EF727" w14:textId="77777777" w:rsidR="003C1C58" w:rsidRDefault="003C1C58" w:rsidP="003C1C58">
      <w:pPr>
        <w:pStyle w:val="Author"/>
        <w:jc w:val="left"/>
        <w:rPr>
          <w:rFonts w:ascii="Arial" w:hAnsi="Arial" w:cs="Arial"/>
          <w:bCs/>
          <w:iCs/>
          <w:kern w:val="28"/>
          <w:szCs w:val="24"/>
        </w:rPr>
      </w:pPr>
    </w:p>
    <w:p w14:paraId="596DAC08" w14:textId="77777777" w:rsidR="003C1C58" w:rsidRDefault="003C1C58" w:rsidP="003C1C58">
      <w:pPr>
        <w:pStyle w:val="Author"/>
        <w:jc w:val="left"/>
        <w:rPr>
          <w:rFonts w:ascii="Arial" w:hAnsi="Arial" w:cs="Arial"/>
          <w:bCs/>
          <w:iCs/>
          <w:kern w:val="28"/>
          <w:szCs w:val="24"/>
        </w:rPr>
      </w:pPr>
    </w:p>
    <w:p w14:paraId="1545E1B5" w14:textId="6A32DA8E" w:rsidR="003C1C58" w:rsidRDefault="008A2454" w:rsidP="003C1C58">
      <w:pPr>
        <w:pStyle w:val="Author"/>
        <w:rPr>
          <w:rFonts w:ascii="Arial" w:hAnsi="Arial" w:cs="Arial"/>
          <w:noProof/>
          <w:sz w:val="28"/>
          <w:szCs w:val="28"/>
          <w:lang w:val="en-PH" w:eastAsia="en-PH"/>
        </w:rPr>
      </w:pPr>
      <w:bookmarkStart w:id="0" w:name="_Hlk197166086"/>
      <w:r w:rsidRPr="003C1C58">
        <w:rPr>
          <w:rFonts w:ascii="Arial" w:hAnsi="Arial" w:cs="Arial"/>
          <w:noProof/>
          <w:sz w:val="28"/>
          <w:szCs w:val="28"/>
          <w:lang w:val="en-PH" w:eastAsia="en-PH"/>
        </w:rPr>
        <w:t xml:space="preserve">Learning Approaches </w:t>
      </w:r>
      <w:r>
        <w:rPr>
          <w:rFonts w:ascii="Arial" w:hAnsi="Arial" w:cs="Arial"/>
          <w:noProof/>
          <w:sz w:val="28"/>
          <w:szCs w:val="28"/>
          <w:lang w:val="en-PH" w:eastAsia="en-PH"/>
        </w:rPr>
        <w:t>a</w:t>
      </w:r>
      <w:r w:rsidRPr="003C1C58">
        <w:rPr>
          <w:rFonts w:ascii="Arial" w:hAnsi="Arial" w:cs="Arial"/>
          <w:noProof/>
          <w:sz w:val="28"/>
          <w:szCs w:val="28"/>
          <w:lang w:val="en-PH" w:eastAsia="en-PH"/>
        </w:rPr>
        <w:t xml:space="preserve">nd Willingness </w:t>
      </w:r>
      <w:r>
        <w:rPr>
          <w:rFonts w:ascii="Arial" w:hAnsi="Arial" w:cs="Arial"/>
          <w:noProof/>
          <w:sz w:val="28"/>
          <w:szCs w:val="28"/>
          <w:lang w:val="en-PH" w:eastAsia="en-PH"/>
        </w:rPr>
        <w:t>a</w:t>
      </w:r>
      <w:r w:rsidRPr="003C1C58">
        <w:rPr>
          <w:rFonts w:ascii="Arial" w:hAnsi="Arial" w:cs="Arial"/>
          <w:noProof/>
          <w:sz w:val="28"/>
          <w:szCs w:val="28"/>
          <w:lang w:val="en-PH" w:eastAsia="en-PH"/>
        </w:rPr>
        <w:t xml:space="preserve">s Predictors </w:t>
      </w:r>
      <w:r>
        <w:rPr>
          <w:rFonts w:ascii="Arial" w:hAnsi="Arial" w:cs="Arial"/>
          <w:noProof/>
          <w:sz w:val="28"/>
          <w:szCs w:val="28"/>
          <w:lang w:val="en-PH" w:eastAsia="en-PH"/>
        </w:rPr>
        <w:t>o</w:t>
      </w:r>
      <w:r w:rsidRPr="003C1C58">
        <w:rPr>
          <w:rFonts w:ascii="Arial" w:hAnsi="Arial" w:cs="Arial"/>
          <w:noProof/>
          <w:sz w:val="28"/>
          <w:szCs w:val="28"/>
          <w:lang w:val="en-PH" w:eastAsia="en-PH"/>
        </w:rPr>
        <w:t xml:space="preserve">f The Gratification </w:t>
      </w:r>
      <w:r>
        <w:rPr>
          <w:rFonts w:ascii="Arial" w:hAnsi="Arial" w:cs="Arial"/>
          <w:noProof/>
          <w:sz w:val="28"/>
          <w:szCs w:val="28"/>
          <w:lang w:val="en-PH" w:eastAsia="en-PH"/>
        </w:rPr>
        <w:t>o</w:t>
      </w:r>
      <w:r w:rsidRPr="003C1C58">
        <w:rPr>
          <w:rFonts w:ascii="Arial" w:hAnsi="Arial" w:cs="Arial"/>
          <w:noProof/>
          <w:sz w:val="28"/>
          <w:szCs w:val="28"/>
          <w:lang w:val="en-PH" w:eastAsia="en-PH"/>
        </w:rPr>
        <w:t>f Public Elementary Schools Students Towards Merged Learning During Pandemic</w:t>
      </w:r>
    </w:p>
    <w:bookmarkEnd w:id="0"/>
    <w:p w14:paraId="22592714" w14:textId="77777777" w:rsidR="00C92845" w:rsidRDefault="00C92845" w:rsidP="003C1C58">
      <w:pPr>
        <w:pStyle w:val="Author"/>
        <w:rPr>
          <w:rFonts w:ascii="Arial" w:hAnsi="Arial" w:cs="Arial"/>
          <w:noProof/>
          <w:sz w:val="28"/>
          <w:szCs w:val="28"/>
          <w:lang w:val="en-PH" w:eastAsia="en-PH"/>
        </w:rPr>
      </w:pPr>
    </w:p>
    <w:p w14:paraId="46B3DCDD" w14:textId="724E2FC3" w:rsidR="00717F2E" w:rsidRDefault="00717F2E">
      <w:pPr>
        <w:pStyle w:val="Affiliation"/>
        <w:spacing w:line="240" w:lineRule="auto"/>
        <w:jc w:val="left"/>
        <w:rPr>
          <w:rFonts w:ascii="Arial" w:hAnsi="Arial" w:cs="Arial"/>
          <w:i/>
        </w:rPr>
        <w:sectPr w:rsidR="00717F2E" w:rsidSect="00BB1E3C">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p>
    <w:p w14:paraId="7D2CDF66" w14:textId="77777777" w:rsidR="00717F2E" w:rsidRDefault="008714D6">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4E61B8">
        <w:trPr>
          <w:trHeight w:val="3239"/>
        </w:trPr>
        <w:tc>
          <w:tcPr>
            <w:tcW w:w="9576" w:type="dxa"/>
            <w:shd w:val="clear" w:color="auto" w:fill="F2F2F2"/>
          </w:tcPr>
          <w:p w14:paraId="10E1D353" w14:textId="2B417FD8" w:rsidR="00717F2E" w:rsidRPr="000763D2" w:rsidRDefault="004E61B8">
            <w:pPr>
              <w:jc w:val="both"/>
              <w:rPr>
                <w:rFonts w:ascii="Arial" w:hAnsi="Arial" w:cs="Arial"/>
                <w:iCs/>
              </w:rPr>
            </w:pPr>
            <w:r w:rsidRPr="004E61B8">
              <w:rPr>
                <w:rFonts w:ascii="Arial" w:hAnsi="Arial" w:cs="Arial"/>
                <w:iCs/>
              </w:rPr>
              <w:t>This study aimed to determine if learning approaches and willingness significantly predict students’ gratification in merged learning environments. A descriptive-correlational research design was utilized, involving a total of 200 public elementary school students in Davao Oriental during the 2022–2023 school year. Standardized questionnaires were used for data collection. The data were analyzed using mean, standard deviation (SD), Pearson product-moment correlation, and simple and multiple linear regression. The results revealed that the level of learning approaches, willingness, and gratification was described as high. Correlation analysis showed significant relationships between learning approaches and willingness on gratification. Furthermore, both learning approaches and willingness significantly influenced gratification in merged learning. It is recommended that schools may foster students’ learning approaches by promoting time management, collaboration, and reflective thinking. Likewise, willingness may be enhanced by developing technological self-efficacy, motivation, and digital communication skills. By doing so, students may experience greater gratification in merged learning environments.</w:t>
            </w:r>
          </w:p>
        </w:tc>
      </w:tr>
    </w:tbl>
    <w:p w14:paraId="175A3F79" w14:textId="77777777" w:rsidR="00717F2E" w:rsidRDefault="00717F2E">
      <w:pPr>
        <w:pStyle w:val="Body"/>
        <w:spacing w:after="0"/>
        <w:rPr>
          <w:rFonts w:ascii="Arial" w:hAnsi="Arial" w:cs="Arial"/>
          <w:i/>
        </w:rPr>
      </w:pPr>
    </w:p>
    <w:p w14:paraId="4E116D24" w14:textId="157E1121" w:rsidR="007B6F20" w:rsidRDefault="008714D6" w:rsidP="007B6F20">
      <w:pPr>
        <w:jc w:val="both"/>
        <w:rPr>
          <w:rFonts w:ascii="Arial" w:hAnsi="Arial" w:cs="Arial"/>
          <w:iCs/>
        </w:rPr>
      </w:pPr>
      <w:r w:rsidRPr="000763D2">
        <w:rPr>
          <w:rFonts w:ascii="Arial" w:hAnsi="Arial" w:cs="Arial"/>
          <w:i/>
          <w:iCs/>
        </w:rPr>
        <w:t>Keywords</w:t>
      </w:r>
      <w:r>
        <w:rPr>
          <w:rFonts w:ascii="Arial" w:hAnsi="Arial" w:cs="Arial"/>
        </w:rPr>
        <w:t xml:space="preserve">: </w:t>
      </w:r>
      <w:r w:rsidR="004E61B8" w:rsidRPr="004E61B8">
        <w:rPr>
          <w:rFonts w:ascii="Arial" w:hAnsi="Arial" w:cs="Arial"/>
          <w:iCs/>
        </w:rPr>
        <w:t>Learning Approaches, Willingness, Gratification, Merged Learning, Descriptive-Correlational, Davao Oriental, Public Elementary Schools</w:t>
      </w:r>
    </w:p>
    <w:p w14:paraId="1AF2D538" w14:textId="77777777" w:rsidR="007B6F20" w:rsidRDefault="007B6F20" w:rsidP="007B6F20">
      <w:pPr>
        <w:jc w:val="both"/>
        <w:rPr>
          <w:rFonts w:ascii="Arial" w:hAnsi="Arial" w:cs="Arial"/>
          <w:iCs/>
        </w:rPr>
      </w:pPr>
    </w:p>
    <w:p w14:paraId="0880B3FC" w14:textId="77777777" w:rsidR="007B6F20" w:rsidRDefault="007B6F20" w:rsidP="007B6F20">
      <w:pPr>
        <w:jc w:val="both"/>
        <w:rPr>
          <w:rFonts w:ascii="Arial" w:hAnsi="Arial" w:cs="Arial"/>
          <w:iCs/>
        </w:rPr>
      </w:pPr>
    </w:p>
    <w:p w14:paraId="0C7D9A8E" w14:textId="0F27E4C9" w:rsidR="00717F2E" w:rsidRDefault="008714D6" w:rsidP="007B6F20">
      <w:pPr>
        <w:jc w:val="both"/>
        <w:rPr>
          <w:rFonts w:ascii="Arial" w:hAnsi="Arial" w:cs="Arial"/>
        </w:rPr>
      </w:pPr>
      <w:r>
        <w:rPr>
          <w:rFonts w:ascii="Arial" w:hAnsi="Arial" w:cs="Arial"/>
        </w:rPr>
        <w:t>1. INTRODUCTION</w:t>
      </w:r>
    </w:p>
    <w:p w14:paraId="499EF934" w14:textId="77777777" w:rsidR="00717F2E" w:rsidRDefault="00717F2E">
      <w:pPr>
        <w:pStyle w:val="AbstHead"/>
        <w:spacing w:after="0"/>
        <w:jc w:val="both"/>
        <w:rPr>
          <w:rFonts w:ascii="Arial" w:hAnsi="Arial" w:cs="Arial"/>
          <w:sz w:val="20"/>
        </w:rPr>
      </w:pPr>
    </w:p>
    <w:p w14:paraId="0C07EC95" w14:textId="77777777" w:rsidR="006838DC" w:rsidRDefault="006838DC" w:rsidP="006838DC">
      <w:pPr>
        <w:jc w:val="both"/>
        <w:rPr>
          <w:rFonts w:ascii="Arial" w:hAnsi="Arial"/>
        </w:rPr>
      </w:pPr>
      <w:r w:rsidRPr="006838DC">
        <w:rPr>
          <w:rFonts w:ascii="Arial" w:hAnsi="Arial"/>
        </w:rPr>
        <w:t>The outbreak of COVID-19 in 2019 resulted in the rapid closure of educational institutions worldwide by late March 2020, as a critical measure to curb the spread of the virus (Esposito &amp; Principi, 2020). This abrupt disruption prompted a significant shift in educational delivery models, leading to the widespread adoption of merged learning formats—combinations of face-to-face and online instruction (Viner et al., 2020). Despite its potential, the implementation of merged learning posed numerous challenges, particularly in the basic education sector (</w:t>
      </w:r>
      <w:proofErr w:type="spellStart"/>
      <w:r w:rsidRPr="006838DC">
        <w:rPr>
          <w:rFonts w:ascii="Arial" w:hAnsi="Arial"/>
        </w:rPr>
        <w:t>Buonsenso</w:t>
      </w:r>
      <w:proofErr w:type="spellEnd"/>
      <w:r w:rsidRPr="006838DC">
        <w:rPr>
          <w:rFonts w:ascii="Arial" w:hAnsi="Arial"/>
        </w:rPr>
        <w:t xml:space="preserve"> et al., 2021).</w:t>
      </w:r>
    </w:p>
    <w:p w14:paraId="558999BE" w14:textId="77777777" w:rsidR="004E61B8" w:rsidRPr="006838DC" w:rsidRDefault="004E61B8" w:rsidP="006838DC">
      <w:pPr>
        <w:jc w:val="both"/>
        <w:rPr>
          <w:rFonts w:ascii="Arial" w:hAnsi="Arial"/>
        </w:rPr>
      </w:pPr>
    </w:p>
    <w:p w14:paraId="270BCD1F" w14:textId="77777777" w:rsidR="006838DC" w:rsidRPr="006838DC" w:rsidRDefault="006838DC" w:rsidP="006838DC">
      <w:pPr>
        <w:jc w:val="both"/>
        <w:rPr>
          <w:rFonts w:ascii="Arial" w:hAnsi="Arial"/>
        </w:rPr>
      </w:pPr>
      <w:r w:rsidRPr="006838DC">
        <w:rPr>
          <w:rFonts w:ascii="Arial" w:hAnsi="Arial"/>
        </w:rPr>
        <w:t>Merged learning, though not a novel concept, had not been uniformly embraced across many basic education institutions prior to the pandemic (Agung et al., 2020). In several Asian countries, such as Saudi Arabia, the integration of merged learning into public education systems remained limited (</w:t>
      </w:r>
      <w:proofErr w:type="spellStart"/>
      <w:r w:rsidRPr="006838DC">
        <w:rPr>
          <w:rFonts w:ascii="Arial" w:hAnsi="Arial"/>
        </w:rPr>
        <w:t>Linjawi</w:t>
      </w:r>
      <w:proofErr w:type="spellEnd"/>
      <w:r w:rsidRPr="006838DC">
        <w:rPr>
          <w:rFonts w:ascii="Arial" w:hAnsi="Arial"/>
        </w:rPr>
        <w:t xml:space="preserve"> &amp; </w:t>
      </w:r>
      <w:proofErr w:type="spellStart"/>
      <w:r w:rsidRPr="006838DC">
        <w:rPr>
          <w:rFonts w:ascii="Arial" w:hAnsi="Arial"/>
        </w:rPr>
        <w:t>Alfadda</w:t>
      </w:r>
      <w:proofErr w:type="spellEnd"/>
      <w:r w:rsidRPr="006838DC">
        <w:rPr>
          <w:rFonts w:ascii="Arial" w:hAnsi="Arial"/>
        </w:rPr>
        <w:t>, 2018). Similarly, in Southeast Asia, the model was not commonly recognized as a standard method of instruction (</w:t>
      </w:r>
      <w:proofErr w:type="spellStart"/>
      <w:r w:rsidRPr="006838DC">
        <w:rPr>
          <w:rFonts w:ascii="Arial" w:hAnsi="Arial"/>
        </w:rPr>
        <w:t>Pasaribu</w:t>
      </w:r>
      <w:proofErr w:type="spellEnd"/>
      <w:r w:rsidRPr="006838DC">
        <w:rPr>
          <w:rFonts w:ascii="Arial" w:hAnsi="Arial"/>
        </w:rPr>
        <w:t xml:space="preserve"> &amp; </w:t>
      </w:r>
      <w:proofErr w:type="spellStart"/>
      <w:r w:rsidRPr="006838DC">
        <w:rPr>
          <w:rFonts w:ascii="Arial" w:hAnsi="Arial"/>
        </w:rPr>
        <w:t>Dewi</w:t>
      </w:r>
      <w:proofErr w:type="spellEnd"/>
      <w:r w:rsidRPr="006838DC">
        <w:rPr>
          <w:rFonts w:ascii="Arial" w:hAnsi="Arial"/>
        </w:rPr>
        <w:t>, 2021).</w:t>
      </w:r>
    </w:p>
    <w:p w14:paraId="0AC8F28F" w14:textId="0020CFAE" w:rsidR="006838DC" w:rsidRDefault="006838DC" w:rsidP="006838DC">
      <w:pPr>
        <w:jc w:val="both"/>
        <w:rPr>
          <w:rFonts w:ascii="Arial" w:hAnsi="Arial"/>
        </w:rPr>
      </w:pPr>
      <w:r w:rsidRPr="006838DC">
        <w:rPr>
          <w:rFonts w:ascii="Arial" w:hAnsi="Arial"/>
        </w:rPr>
        <w:t xml:space="preserve">During the early stages of the pandemic in the Philippines, the Department of Education (DepEd) introduced limited merged learning strategies to maintain instructional continuity. These included live and pre-recorded lectures, voice-over demonstrations, and picture-in-picture presentations (DepEd Order 12, s. 2020). While these adaptations were instrumental in continuing education, the rapid transition exposed significant gaps in </w:t>
      </w:r>
      <w:proofErr w:type="spellStart"/>
      <w:r w:rsidR="004E61B8">
        <w:rPr>
          <w:rFonts w:ascii="Arial" w:hAnsi="Arial"/>
        </w:rPr>
        <w:t>willingess</w:t>
      </w:r>
      <w:proofErr w:type="spellEnd"/>
      <w:r w:rsidRPr="006838DC">
        <w:rPr>
          <w:rFonts w:ascii="Arial" w:hAnsi="Arial"/>
        </w:rPr>
        <w:t xml:space="preserve"> and </w:t>
      </w:r>
      <w:r w:rsidR="004E61B8">
        <w:rPr>
          <w:rFonts w:ascii="Arial" w:hAnsi="Arial"/>
        </w:rPr>
        <w:t>gratification</w:t>
      </w:r>
      <w:r w:rsidRPr="006838DC">
        <w:rPr>
          <w:rFonts w:ascii="Arial" w:hAnsi="Arial"/>
        </w:rPr>
        <w:t xml:space="preserve"> among learners, particularly those in public elementary schools.</w:t>
      </w:r>
    </w:p>
    <w:p w14:paraId="7E5BB6ED" w14:textId="77777777" w:rsidR="004E61B8" w:rsidRPr="006838DC" w:rsidRDefault="004E61B8" w:rsidP="006838DC">
      <w:pPr>
        <w:jc w:val="both"/>
        <w:rPr>
          <w:rFonts w:ascii="Arial" w:hAnsi="Arial"/>
        </w:rPr>
      </w:pPr>
    </w:p>
    <w:p w14:paraId="5A0E18B0" w14:textId="77777777" w:rsidR="006838DC" w:rsidRDefault="006838DC" w:rsidP="006838DC">
      <w:pPr>
        <w:jc w:val="both"/>
        <w:rPr>
          <w:rFonts w:ascii="Arial" w:hAnsi="Arial"/>
        </w:rPr>
      </w:pPr>
      <w:r w:rsidRPr="006838DC">
        <w:rPr>
          <w:rFonts w:ascii="Arial" w:hAnsi="Arial"/>
        </w:rPr>
        <w:t xml:space="preserve">Research has identified multiple barriers affecting the effective implementation of merged learning. These include concerns about academic integrity, cyber threats such as cyberbullying, limited internet access, subpar quality of online instruction, financial challenges, insufficient teacher training, lack of technical infrastructure, and inadequate tools (Rasheed et </w:t>
      </w:r>
      <w:r w:rsidRPr="006838DC">
        <w:rPr>
          <w:rFonts w:ascii="Arial" w:hAnsi="Arial"/>
        </w:rPr>
        <w:lastRenderedPageBreak/>
        <w:t>al., 2020). Furthermore, educators often struggle with modifying lessons for online formats, monitoring student engagement, and creating assessments suited for merged learning environments (Boelens et al., 2017). Successful implementation thus requires a broad set of competencies, including pedagogical skill, instructional design, technical literacy, and effective communication (</w:t>
      </w:r>
      <w:proofErr w:type="spellStart"/>
      <w:r w:rsidRPr="006838DC">
        <w:rPr>
          <w:rFonts w:ascii="Arial" w:hAnsi="Arial"/>
        </w:rPr>
        <w:t>Albiladi</w:t>
      </w:r>
      <w:proofErr w:type="spellEnd"/>
      <w:r w:rsidRPr="006838DC">
        <w:rPr>
          <w:rFonts w:ascii="Arial" w:hAnsi="Arial"/>
        </w:rPr>
        <w:t xml:space="preserve"> &amp; </w:t>
      </w:r>
      <w:proofErr w:type="spellStart"/>
      <w:r w:rsidRPr="006838DC">
        <w:rPr>
          <w:rFonts w:ascii="Arial" w:hAnsi="Arial"/>
        </w:rPr>
        <w:t>Alshareef</w:t>
      </w:r>
      <w:proofErr w:type="spellEnd"/>
      <w:r w:rsidRPr="006838DC">
        <w:rPr>
          <w:rFonts w:ascii="Arial" w:hAnsi="Arial"/>
        </w:rPr>
        <w:t>, 2019).</w:t>
      </w:r>
    </w:p>
    <w:p w14:paraId="4B28D458" w14:textId="77777777" w:rsidR="004E61B8" w:rsidRPr="006838DC" w:rsidRDefault="004E61B8" w:rsidP="006838DC">
      <w:pPr>
        <w:jc w:val="both"/>
        <w:rPr>
          <w:rFonts w:ascii="Arial" w:hAnsi="Arial"/>
        </w:rPr>
      </w:pPr>
    </w:p>
    <w:p w14:paraId="69D5EF60" w14:textId="77777777" w:rsidR="006838DC" w:rsidRDefault="006838DC" w:rsidP="006838DC">
      <w:pPr>
        <w:jc w:val="both"/>
        <w:rPr>
          <w:rFonts w:ascii="Arial" w:hAnsi="Arial"/>
        </w:rPr>
      </w:pPr>
      <w:r w:rsidRPr="006838DC">
        <w:rPr>
          <w:rFonts w:ascii="Arial" w:hAnsi="Arial"/>
        </w:rPr>
        <w:t>Effective communication strategies—such as the use of case studies, storytelling, video content, online discussion forums, and interactive platforms—have been shown to enhance student engagement and satisfaction in merged settings (Chin et al., 2018). In addition, learners’ individual preferences and emotional readiness are critical to their overall experience. For instance, many students have reported that personalized video lectures support their understanding and improve satisfaction (Broadbent, 2017; Pisoni, 2019). Moreover, integrating diverse technological tools into the learning process has proven essential for promoting interaction and critical thinking (Boelens et al., 2018). Student preferences for these tools, along with their readiness to adopt merged learning, significantly impact their perceived gratification (Lim et al., 2021; Adams et al., 2018).</w:t>
      </w:r>
    </w:p>
    <w:p w14:paraId="4127120A" w14:textId="77777777" w:rsidR="004E61B8" w:rsidRPr="006838DC" w:rsidRDefault="004E61B8" w:rsidP="006838DC">
      <w:pPr>
        <w:jc w:val="both"/>
        <w:rPr>
          <w:rFonts w:ascii="Arial" w:hAnsi="Arial"/>
        </w:rPr>
      </w:pPr>
    </w:p>
    <w:p w14:paraId="4F4D351A" w14:textId="77777777" w:rsidR="006838DC" w:rsidRDefault="006838DC" w:rsidP="006838DC">
      <w:pPr>
        <w:jc w:val="both"/>
        <w:rPr>
          <w:rFonts w:ascii="Arial" w:hAnsi="Arial"/>
        </w:rPr>
      </w:pPr>
      <w:r w:rsidRPr="006838DC">
        <w:rPr>
          <w:rFonts w:ascii="Arial" w:hAnsi="Arial"/>
        </w:rPr>
        <w:t>In response to these needs, DepEd continues to align its initiatives with the Basic Education-Learning Continuity Plan (BE-LCP) to ensure consistent implementation of merged learning across all educational levels (DO 12, s. 2020). The department recognizes the need to strengthen digital infrastructure, secure financial support, and cultivate adaptable mindsets among both students and educators to facilitate the effective delivery of education during crises.</w:t>
      </w:r>
    </w:p>
    <w:p w14:paraId="202313D7" w14:textId="77777777" w:rsidR="004E61B8" w:rsidRPr="006838DC" w:rsidRDefault="004E61B8" w:rsidP="006838DC">
      <w:pPr>
        <w:jc w:val="both"/>
        <w:rPr>
          <w:rFonts w:ascii="Arial" w:hAnsi="Arial"/>
        </w:rPr>
      </w:pPr>
    </w:p>
    <w:p w14:paraId="5FFB109E" w14:textId="77777777" w:rsidR="006838DC" w:rsidRDefault="006838DC" w:rsidP="006838DC">
      <w:pPr>
        <w:jc w:val="both"/>
        <w:rPr>
          <w:rFonts w:ascii="Arial" w:hAnsi="Arial"/>
        </w:rPr>
      </w:pPr>
      <w:r w:rsidRPr="006838DC">
        <w:rPr>
          <w:rFonts w:ascii="Arial" w:hAnsi="Arial"/>
        </w:rPr>
        <w:t>Merged learning is generally defined as an instructional model that combines in-person and online educational experiences (Friesen, 2012; Tucker, 2013). Graham (2016) emphasized that it merges traditional classroom methods with digital tools, potentially enhancing student outcomes more effectively than conventional models alone.</w:t>
      </w:r>
    </w:p>
    <w:p w14:paraId="7F60355B" w14:textId="77777777" w:rsidR="004E61B8" w:rsidRPr="006838DC" w:rsidRDefault="004E61B8" w:rsidP="006838DC">
      <w:pPr>
        <w:jc w:val="both"/>
        <w:rPr>
          <w:rFonts w:ascii="Arial" w:hAnsi="Arial"/>
        </w:rPr>
      </w:pPr>
    </w:p>
    <w:p w14:paraId="4E203E42" w14:textId="3DB96600" w:rsidR="00866DD1" w:rsidRDefault="006838DC" w:rsidP="006838DC">
      <w:pPr>
        <w:jc w:val="both"/>
        <w:rPr>
          <w:rFonts w:ascii="Arial" w:eastAsia="MS Mincho" w:hAnsi="Arial" w:cs="Arial"/>
          <w:b/>
          <w:bCs/>
          <w:lang w:eastAsia="ja-JP"/>
        </w:rPr>
      </w:pPr>
      <w:r w:rsidRPr="006838DC">
        <w:rPr>
          <w:rFonts w:ascii="Arial" w:hAnsi="Arial"/>
        </w:rPr>
        <w:t>In the context of public elementary schools in the Philippines, the sudden transition to merged learning during the pandemic highlighted the importance of understanding students' learning approaches and willingness to adapt. These factors are crucial in predicting their overall satisfaction or gratification with this new mode of learning. Thus, this study aims to explore the relationship between learning approaches, student willingness, and their gratification with merged learning during the COVID-19 pandemic—providing insights that could inform future educational strategies and support systems for elementary learners.</w:t>
      </w:r>
    </w:p>
    <w:p w14:paraId="43325AFF" w14:textId="44AE70CE" w:rsidR="00866DD1" w:rsidRDefault="00866DD1">
      <w:pPr>
        <w:jc w:val="center"/>
        <w:rPr>
          <w:rFonts w:ascii="Arial" w:eastAsia="MS Mincho" w:hAnsi="Arial" w:cs="Arial"/>
          <w:b/>
          <w:bCs/>
          <w:lang w:eastAsia="ja-JP"/>
        </w:rPr>
      </w:pPr>
    </w:p>
    <w:p w14:paraId="36D92BBD" w14:textId="77777777" w:rsidR="007C6585" w:rsidRDefault="007C6585">
      <w:pPr>
        <w:jc w:val="center"/>
        <w:rPr>
          <w:rFonts w:ascii="Arial" w:eastAsia="MS Mincho" w:hAnsi="Arial" w:cs="Arial"/>
          <w:b/>
          <w:bCs/>
          <w:lang w:eastAsia="ja-JP"/>
        </w:rPr>
      </w:pPr>
    </w:p>
    <w:p w14:paraId="06BBABA9" w14:textId="77777777" w:rsidR="007C6585" w:rsidRDefault="007C6585">
      <w:pPr>
        <w:jc w:val="center"/>
        <w:rPr>
          <w:rFonts w:ascii="Arial" w:eastAsia="MS Mincho" w:hAnsi="Arial" w:cs="Arial"/>
          <w:b/>
          <w:bCs/>
          <w:lang w:eastAsia="ja-JP"/>
        </w:rPr>
      </w:pPr>
    </w:p>
    <w:p w14:paraId="3A1AFD7D" w14:textId="77777777" w:rsidR="007C6585" w:rsidRDefault="007C6585">
      <w:pPr>
        <w:jc w:val="center"/>
        <w:rPr>
          <w:rFonts w:ascii="Arial" w:eastAsia="MS Mincho" w:hAnsi="Arial" w:cs="Arial"/>
          <w:b/>
          <w:bCs/>
          <w:lang w:eastAsia="ja-JP"/>
        </w:rPr>
      </w:pPr>
    </w:p>
    <w:p w14:paraId="0F26ACB0" w14:textId="77777777" w:rsidR="007C6585" w:rsidRDefault="007C6585">
      <w:pPr>
        <w:jc w:val="center"/>
        <w:rPr>
          <w:rFonts w:ascii="Arial" w:eastAsia="MS Mincho" w:hAnsi="Arial" w:cs="Arial"/>
          <w:b/>
          <w:bCs/>
          <w:lang w:eastAsia="ja-JP"/>
        </w:rPr>
      </w:pPr>
    </w:p>
    <w:p w14:paraId="69CEB50E" w14:textId="77777777" w:rsidR="007C6585" w:rsidRDefault="007C6585">
      <w:pPr>
        <w:jc w:val="center"/>
        <w:rPr>
          <w:rFonts w:ascii="Arial" w:eastAsia="MS Mincho" w:hAnsi="Arial" w:cs="Arial"/>
          <w:b/>
          <w:bCs/>
          <w:lang w:eastAsia="ja-JP"/>
        </w:rPr>
      </w:pPr>
    </w:p>
    <w:p w14:paraId="37EEA75C" w14:textId="77777777" w:rsidR="007C6585" w:rsidRDefault="007C6585">
      <w:pPr>
        <w:jc w:val="center"/>
        <w:rPr>
          <w:rFonts w:ascii="Arial" w:eastAsia="MS Mincho" w:hAnsi="Arial" w:cs="Arial"/>
          <w:b/>
          <w:bCs/>
          <w:lang w:eastAsia="ja-JP"/>
        </w:rPr>
      </w:pPr>
    </w:p>
    <w:p w14:paraId="1EDD9C38" w14:textId="77777777" w:rsidR="007C6585" w:rsidRDefault="007C6585">
      <w:pPr>
        <w:jc w:val="center"/>
        <w:rPr>
          <w:rFonts w:ascii="Arial" w:eastAsia="MS Mincho" w:hAnsi="Arial" w:cs="Arial"/>
          <w:b/>
          <w:bCs/>
          <w:lang w:eastAsia="ja-JP"/>
        </w:rPr>
      </w:pPr>
    </w:p>
    <w:p w14:paraId="2B8B53B3" w14:textId="3B4426CB" w:rsidR="007C6585" w:rsidRDefault="007C6585">
      <w:pPr>
        <w:jc w:val="center"/>
        <w:rPr>
          <w:rFonts w:ascii="Arial" w:eastAsia="MS Mincho" w:hAnsi="Arial" w:cs="Arial"/>
          <w:b/>
          <w:bCs/>
          <w:lang w:eastAsia="ja-JP"/>
        </w:rPr>
      </w:pPr>
      <w:r>
        <w:rPr>
          <w:noProof/>
        </w:rPr>
        <w:lastRenderedPageBreak/>
        <w:drawing>
          <wp:inline distT="0" distB="0" distL="0" distR="0" wp14:anchorId="4091068C" wp14:editId="6650EEA2">
            <wp:extent cx="3210630" cy="3863340"/>
            <wp:effectExtent l="0" t="0" r="8890" b="3810"/>
            <wp:docPr id="1630289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289570" name=""/>
                    <pic:cNvPicPr/>
                  </pic:nvPicPr>
                  <pic:blipFill rotWithShape="1">
                    <a:blip r:embed="rId14"/>
                    <a:srcRect l="22223" t="28850" r="51169" b="14230"/>
                    <a:stretch/>
                  </pic:blipFill>
                  <pic:spPr bwMode="auto">
                    <a:xfrm>
                      <a:off x="0" y="0"/>
                      <a:ext cx="3220127" cy="3874768"/>
                    </a:xfrm>
                    <a:prstGeom prst="rect">
                      <a:avLst/>
                    </a:prstGeom>
                    <a:ln>
                      <a:noFill/>
                    </a:ln>
                    <a:extLst>
                      <a:ext uri="{53640926-AAD7-44D8-BBD7-CCE9431645EC}">
                        <a14:shadowObscured xmlns:a14="http://schemas.microsoft.com/office/drawing/2010/main"/>
                      </a:ext>
                    </a:extLst>
                  </pic:spPr>
                </pic:pic>
              </a:graphicData>
            </a:graphic>
          </wp:inline>
        </w:drawing>
      </w:r>
    </w:p>
    <w:p w14:paraId="55F3F65E" w14:textId="77777777" w:rsidR="00866DD1" w:rsidRDefault="00866DD1" w:rsidP="00866DD1">
      <w:pPr>
        <w:rPr>
          <w:rFonts w:ascii="Arial" w:eastAsia="MS Mincho" w:hAnsi="Arial" w:cs="Arial"/>
          <w:b/>
          <w:bCs/>
          <w:lang w:eastAsia="ja-JP"/>
        </w:rPr>
      </w:pPr>
    </w:p>
    <w:p w14:paraId="45607481" w14:textId="77777777" w:rsidR="00B71C11" w:rsidRDefault="00B71C11" w:rsidP="00866DD1">
      <w:pPr>
        <w:rPr>
          <w:rFonts w:ascii="Arial" w:eastAsia="MS Mincho" w:hAnsi="Arial" w:cs="Arial"/>
          <w:b/>
          <w:bCs/>
          <w:lang w:eastAsia="ja-JP"/>
        </w:rPr>
      </w:pPr>
    </w:p>
    <w:p w14:paraId="388A769A" w14:textId="52453DCB" w:rsidR="00717F2E" w:rsidRDefault="008714D6">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374BC160" w14:textId="77777777" w:rsidR="00C12C45" w:rsidRDefault="00C12C45" w:rsidP="00C12C45">
      <w:pPr>
        <w:rPr>
          <w:rFonts w:ascii="Arial" w:eastAsia="MS Mincho" w:hAnsi="Arial" w:cs="Arial"/>
          <w:lang w:eastAsia="ja-JP"/>
        </w:rPr>
      </w:pPr>
    </w:p>
    <w:p w14:paraId="523ADDB3" w14:textId="77777777" w:rsidR="00C12C45" w:rsidRPr="00C12C45" w:rsidRDefault="00C12C45" w:rsidP="00C12C45">
      <w:pPr>
        <w:rPr>
          <w:rFonts w:ascii="Arial" w:eastAsia="MS Mincho" w:hAnsi="Arial" w:cs="Arial"/>
          <w:b/>
          <w:bCs/>
          <w:lang w:eastAsia="ja-JP"/>
        </w:rPr>
      </w:pPr>
    </w:p>
    <w:p w14:paraId="46DFB6A2" w14:textId="59D9B10F" w:rsidR="00C12C45" w:rsidRPr="00C12C45" w:rsidRDefault="00C12C45" w:rsidP="00C12C45">
      <w:pPr>
        <w:rPr>
          <w:rFonts w:ascii="Arial" w:eastAsia="MS Mincho" w:hAnsi="Arial" w:cs="Arial"/>
          <w:b/>
          <w:bCs/>
          <w:highlight w:val="yellow"/>
          <w:lang w:eastAsia="ja-JP"/>
        </w:rPr>
      </w:pPr>
      <w:r w:rsidRPr="00C12C45">
        <w:rPr>
          <w:rFonts w:ascii="Arial" w:eastAsia="MS Mincho" w:hAnsi="Arial" w:cs="Arial"/>
          <w:b/>
          <w:bCs/>
          <w:highlight w:val="yellow"/>
          <w:lang w:eastAsia="ja-JP"/>
        </w:rPr>
        <w:t>1.1 Statement of the Problem</w:t>
      </w:r>
    </w:p>
    <w:p w14:paraId="0F6E4609" w14:textId="77777777" w:rsidR="00C12C45" w:rsidRPr="00C12C45" w:rsidRDefault="00C12C45" w:rsidP="00C12C45">
      <w:pPr>
        <w:rPr>
          <w:rFonts w:ascii="Arial" w:eastAsia="MS Mincho" w:hAnsi="Arial" w:cs="Arial"/>
          <w:highlight w:val="yellow"/>
          <w:lang w:eastAsia="ja-JP"/>
        </w:rPr>
      </w:pPr>
    </w:p>
    <w:p w14:paraId="1481914D" w14:textId="77777777" w:rsidR="00C12C45" w:rsidRPr="00C12C45" w:rsidRDefault="00C12C45" w:rsidP="00C12C45">
      <w:pPr>
        <w:rPr>
          <w:rFonts w:ascii="Arial" w:eastAsia="MS Mincho" w:hAnsi="Arial" w:cs="Arial"/>
          <w:highlight w:val="yellow"/>
          <w:lang w:eastAsia="ja-JP"/>
        </w:rPr>
      </w:pPr>
    </w:p>
    <w:p w14:paraId="49AFFC22" w14:textId="77777777" w:rsidR="00C12C45" w:rsidRPr="00C12C45" w:rsidRDefault="00C12C45" w:rsidP="00C12C45">
      <w:pPr>
        <w:rPr>
          <w:rFonts w:ascii="Arial" w:eastAsia="MS Mincho" w:hAnsi="Arial" w:cs="Arial"/>
          <w:highlight w:val="yellow"/>
          <w:lang w:eastAsia="ja-JP"/>
        </w:rPr>
      </w:pPr>
      <w:r w:rsidRPr="00C12C45">
        <w:rPr>
          <w:rFonts w:ascii="Arial" w:eastAsia="MS Mincho" w:hAnsi="Arial" w:cs="Arial"/>
          <w:highlight w:val="yellow"/>
          <w:lang w:eastAsia="ja-JP"/>
        </w:rPr>
        <w:tab/>
        <w:t>The present study aimed to determine the learning approaches and willingness towards merged learning and their relationship with the gratification of students. Specifically, it sought to answer the following questions:</w:t>
      </w:r>
    </w:p>
    <w:p w14:paraId="7F6870ED" w14:textId="41BAA005" w:rsidR="00C12C45" w:rsidRPr="00C12C45" w:rsidRDefault="00C12C45" w:rsidP="00C12C45">
      <w:pPr>
        <w:rPr>
          <w:rFonts w:ascii="Arial" w:eastAsia="MS Mincho" w:hAnsi="Arial" w:cs="Arial"/>
          <w:highlight w:val="yellow"/>
          <w:lang w:eastAsia="ja-JP"/>
        </w:rPr>
      </w:pPr>
      <w:r w:rsidRPr="00C12C45">
        <w:rPr>
          <w:rFonts w:ascii="Arial" w:eastAsia="MS Mincho" w:hAnsi="Arial" w:cs="Arial"/>
          <w:highlight w:val="yellow"/>
          <w:lang w:eastAsia="ja-JP"/>
        </w:rPr>
        <w:t>1. What is the level of learning approaches of the students in terms of:</w:t>
      </w:r>
    </w:p>
    <w:p w14:paraId="64C1265D" w14:textId="77777777" w:rsidR="00C12C45" w:rsidRPr="00C12C45" w:rsidRDefault="00C12C45" w:rsidP="00C12C45">
      <w:pPr>
        <w:ind w:left="720"/>
        <w:rPr>
          <w:rFonts w:ascii="Arial" w:eastAsia="MS Mincho" w:hAnsi="Arial" w:cs="Arial"/>
          <w:highlight w:val="yellow"/>
          <w:lang w:eastAsia="ja-JP"/>
        </w:rPr>
      </w:pPr>
      <w:r w:rsidRPr="00C12C45">
        <w:rPr>
          <w:rFonts w:ascii="Arial" w:eastAsia="MS Mincho" w:hAnsi="Arial" w:cs="Arial"/>
          <w:highlight w:val="yellow"/>
          <w:lang w:eastAsia="ja-JP"/>
        </w:rPr>
        <w:t>1.1 effective use of time and effort;</w:t>
      </w:r>
    </w:p>
    <w:p w14:paraId="60E997C6" w14:textId="77777777" w:rsidR="00C12C45" w:rsidRPr="00C12C45" w:rsidRDefault="00C12C45" w:rsidP="00C12C45">
      <w:pPr>
        <w:ind w:left="720"/>
        <w:rPr>
          <w:rFonts w:ascii="Arial" w:eastAsia="MS Mincho" w:hAnsi="Arial" w:cs="Arial"/>
          <w:highlight w:val="yellow"/>
          <w:lang w:eastAsia="ja-JP"/>
        </w:rPr>
      </w:pPr>
      <w:r w:rsidRPr="00C12C45">
        <w:rPr>
          <w:rFonts w:ascii="Arial" w:eastAsia="MS Mincho" w:hAnsi="Arial" w:cs="Arial"/>
          <w:highlight w:val="yellow"/>
          <w:lang w:eastAsia="ja-JP"/>
        </w:rPr>
        <w:t>1.2 advanced cognitive approaches;</w:t>
      </w:r>
    </w:p>
    <w:p w14:paraId="7C706689" w14:textId="77777777" w:rsidR="00C12C45" w:rsidRPr="00C12C45" w:rsidRDefault="00C12C45" w:rsidP="00C12C45">
      <w:pPr>
        <w:ind w:left="720"/>
        <w:rPr>
          <w:rFonts w:ascii="Arial" w:eastAsia="MS Mincho" w:hAnsi="Arial" w:cs="Arial"/>
          <w:highlight w:val="yellow"/>
          <w:lang w:eastAsia="ja-JP"/>
        </w:rPr>
      </w:pPr>
      <w:r w:rsidRPr="00C12C45">
        <w:rPr>
          <w:rFonts w:ascii="Arial" w:eastAsia="MS Mincho" w:hAnsi="Arial" w:cs="Arial"/>
          <w:highlight w:val="yellow"/>
          <w:lang w:eastAsia="ja-JP"/>
        </w:rPr>
        <w:t>1.3 basic cognitive approaches;</w:t>
      </w:r>
    </w:p>
    <w:p w14:paraId="7F1A8D47" w14:textId="77777777" w:rsidR="00C12C45" w:rsidRPr="00C12C45" w:rsidRDefault="00C12C45" w:rsidP="00C12C45">
      <w:pPr>
        <w:ind w:left="720"/>
        <w:rPr>
          <w:rFonts w:ascii="Arial" w:eastAsia="MS Mincho" w:hAnsi="Arial" w:cs="Arial"/>
          <w:highlight w:val="yellow"/>
          <w:lang w:eastAsia="ja-JP"/>
        </w:rPr>
      </w:pPr>
      <w:r w:rsidRPr="00C12C45">
        <w:rPr>
          <w:rFonts w:ascii="Arial" w:eastAsia="MS Mincho" w:hAnsi="Arial" w:cs="Arial"/>
          <w:highlight w:val="yellow"/>
          <w:lang w:eastAsia="ja-JP"/>
        </w:rPr>
        <w:t>1.4 interaction with others; and</w:t>
      </w:r>
    </w:p>
    <w:p w14:paraId="38AAD235" w14:textId="77777777" w:rsidR="00C12C45" w:rsidRPr="00C12C45" w:rsidRDefault="00C12C45" w:rsidP="00C12C45">
      <w:pPr>
        <w:ind w:left="720"/>
        <w:rPr>
          <w:rFonts w:ascii="Arial" w:eastAsia="MS Mincho" w:hAnsi="Arial" w:cs="Arial"/>
          <w:highlight w:val="yellow"/>
          <w:lang w:eastAsia="ja-JP"/>
        </w:rPr>
      </w:pPr>
      <w:r w:rsidRPr="00C12C45">
        <w:rPr>
          <w:rFonts w:ascii="Arial" w:eastAsia="MS Mincho" w:hAnsi="Arial" w:cs="Arial"/>
          <w:highlight w:val="yellow"/>
          <w:lang w:eastAsia="ja-JP"/>
        </w:rPr>
        <w:t>1.5 cognitive thinking?</w:t>
      </w:r>
    </w:p>
    <w:p w14:paraId="0C4F0703" w14:textId="65159EBC" w:rsidR="00C12C45" w:rsidRPr="00C12C45" w:rsidRDefault="00C12C45" w:rsidP="00C12C45">
      <w:pPr>
        <w:rPr>
          <w:rFonts w:ascii="Arial" w:eastAsia="MS Mincho" w:hAnsi="Arial" w:cs="Arial"/>
          <w:highlight w:val="yellow"/>
          <w:lang w:eastAsia="ja-JP"/>
        </w:rPr>
      </w:pPr>
      <w:r w:rsidRPr="00C12C45">
        <w:rPr>
          <w:rFonts w:ascii="Arial" w:eastAsia="MS Mincho" w:hAnsi="Arial" w:cs="Arial"/>
          <w:highlight w:val="yellow"/>
          <w:lang w:eastAsia="ja-JP"/>
        </w:rPr>
        <w:t>2. What is the level of willingness of the students towards merged learning in terms of:</w:t>
      </w:r>
    </w:p>
    <w:p w14:paraId="1BB11147" w14:textId="1F2FFCCD" w:rsidR="00C12C45" w:rsidRPr="00C12C45" w:rsidRDefault="00C12C45" w:rsidP="00C12C45">
      <w:pPr>
        <w:ind w:left="720"/>
        <w:rPr>
          <w:rFonts w:ascii="Arial" w:eastAsia="MS Mincho" w:hAnsi="Arial" w:cs="Arial"/>
          <w:highlight w:val="yellow"/>
          <w:lang w:eastAsia="ja-JP"/>
        </w:rPr>
      </w:pPr>
      <w:r w:rsidRPr="00C12C45">
        <w:rPr>
          <w:rFonts w:ascii="Arial" w:eastAsia="MS Mincho" w:hAnsi="Arial" w:cs="Arial"/>
          <w:highlight w:val="yellow"/>
          <w:lang w:eastAsia="ja-JP"/>
        </w:rPr>
        <w:t>2.1 technological self-efficacy;</w:t>
      </w:r>
    </w:p>
    <w:p w14:paraId="0F4305EC" w14:textId="0F020F08" w:rsidR="00C12C45" w:rsidRPr="00C12C45" w:rsidRDefault="00C12C45" w:rsidP="00C12C45">
      <w:pPr>
        <w:ind w:left="720"/>
        <w:rPr>
          <w:rFonts w:ascii="Arial" w:eastAsia="MS Mincho" w:hAnsi="Arial" w:cs="Arial"/>
          <w:highlight w:val="yellow"/>
          <w:lang w:eastAsia="ja-JP"/>
        </w:rPr>
      </w:pPr>
      <w:r w:rsidRPr="00C12C45">
        <w:rPr>
          <w:rFonts w:ascii="Arial" w:eastAsia="MS Mincho" w:hAnsi="Arial" w:cs="Arial"/>
          <w:highlight w:val="yellow"/>
          <w:lang w:eastAsia="ja-JP"/>
        </w:rPr>
        <w:t>2.2 self-regulated learning;</w:t>
      </w:r>
    </w:p>
    <w:p w14:paraId="52ED5A6C" w14:textId="5D074F1E" w:rsidR="00C12C45" w:rsidRPr="00C12C45" w:rsidRDefault="00C12C45" w:rsidP="00C12C45">
      <w:pPr>
        <w:ind w:left="720"/>
        <w:rPr>
          <w:rFonts w:ascii="Arial" w:eastAsia="MS Mincho" w:hAnsi="Arial" w:cs="Arial"/>
          <w:highlight w:val="yellow"/>
          <w:lang w:eastAsia="ja-JP"/>
        </w:rPr>
      </w:pPr>
      <w:r w:rsidRPr="00C12C45">
        <w:rPr>
          <w:rFonts w:ascii="Arial" w:eastAsia="MS Mincho" w:hAnsi="Arial" w:cs="Arial"/>
          <w:highlight w:val="yellow"/>
          <w:lang w:eastAsia="ja-JP"/>
        </w:rPr>
        <w:t>2.3 control over learning;</w:t>
      </w:r>
    </w:p>
    <w:p w14:paraId="41FED6BB" w14:textId="7C7307FD" w:rsidR="00C12C45" w:rsidRPr="00C12C45" w:rsidRDefault="00C12C45" w:rsidP="00C12C45">
      <w:pPr>
        <w:ind w:left="720"/>
        <w:rPr>
          <w:rFonts w:ascii="Arial" w:eastAsia="MS Mincho" w:hAnsi="Arial" w:cs="Arial"/>
          <w:highlight w:val="yellow"/>
          <w:lang w:eastAsia="ja-JP"/>
        </w:rPr>
      </w:pPr>
      <w:r w:rsidRPr="00C12C45">
        <w:rPr>
          <w:rFonts w:ascii="Arial" w:eastAsia="MS Mincho" w:hAnsi="Arial" w:cs="Arial"/>
          <w:highlight w:val="yellow"/>
          <w:lang w:eastAsia="ja-JP"/>
        </w:rPr>
        <w:t>2.4 learning motivation;</w:t>
      </w:r>
    </w:p>
    <w:p w14:paraId="68808F62" w14:textId="77777777" w:rsidR="00C12C45" w:rsidRPr="00C12C45" w:rsidRDefault="00C12C45" w:rsidP="00C12C45">
      <w:pPr>
        <w:ind w:left="720"/>
        <w:rPr>
          <w:rFonts w:ascii="Arial" w:eastAsia="MS Mincho" w:hAnsi="Arial" w:cs="Arial"/>
          <w:highlight w:val="yellow"/>
          <w:lang w:eastAsia="ja-JP"/>
        </w:rPr>
      </w:pPr>
      <w:r w:rsidRPr="00C12C45">
        <w:rPr>
          <w:rFonts w:ascii="Arial" w:eastAsia="MS Mincho" w:hAnsi="Arial" w:cs="Arial"/>
          <w:highlight w:val="yellow"/>
          <w:lang w:eastAsia="ja-JP"/>
        </w:rPr>
        <w:t>2.5 digital communication?</w:t>
      </w:r>
    </w:p>
    <w:p w14:paraId="27099F6F" w14:textId="77777777" w:rsidR="00C12C45" w:rsidRPr="00C12C45" w:rsidRDefault="00C12C45" w:rsidP="00C12C45">
      <w:pPr>
        <w:rPr>
          <w:rFonts w:ascii="Arial" w:eastAsia="MS Mincho" w:hAnsi="Arial" w:cs="Arial"/>
          <w:highlight w:val="yellow"/>
          <w:lang w:eastAsia="ja-JP"/>
        </w:rPr>
      </w:pPr>
    </w:p>
    <w:p w14:paraId="37363054" w14:textId="46AFDE8C" w:rsidR="00C12C45" w:rsidRPr="00C12C45" w:rsidRDefault="00C12C45" w:rsidP="00C12C45">
      <w:pPr>
        <w:rPr>
          <w:rFonts w:ascii="Arial" w:eastAsia="MS Mincho" w:hAnsi="Arial" w:cs="Arial"/>
          <w:highlight w:val="yellow"/>
          <w:lang w:eastAsia="ja-JP"/>
        </w:rPr>
      </w:pPr>
      <w:r w:rsidRPr="00C12C45">
        <w:rPr>
          <w:rFonts w:ascii="Arial" w:eastAsia="MS Mincho" w:hAnsi="Arial" w:cs="Arial"/>
          <w:highlight w:val="yellow"/>
          <w:lang w:eastAsia="ja-JP"/>
        </w:rPr>
        <w:t>3. What is the level of gratification of the students towards merged learning in terms of:</w:t>
      </w:r>
    </w:p>
    <w:p w14:paraId="34E8D98A" w14:textId="77BC35FA" w:rsidR="00C12C45" w:rsidRPr="00C12C45" w:rsidRDefault="00C12C45" w:rsidP="00C12C45">
      <w:pPr>
        <w:ind w:firstLine="720"/>
        <w:rPr>
          <w:rFonts w:ascii="Arial" w:eastAsia="MS Mincho" w:hAnsi="Arial" w:cs="Arial"/>
          <w:highlight w:val="yellow"/>
          <w:lang w:eastAsia="ja-JP"/>
        </w:rPr>
      </w:pPr>
      <w:r w:rsidRPr="00C12C45">
        <w:rPr>
          <w:rFonts w:ascii="Arial" w:eastAsia="MS Mincho" w:hAnsi="Arial" w:cs="Arial"/>
          <w:highlight w:val="yellow"/>
          <w:lang w:eastAsia="ja-JP"/>
        </w:rPr>
        <w:t>3.1 engagement;</w:t>
      </w:r>
    </w:p>
    <w:p w14:paraId="63EE407F" w14:textId="79DCBC8B" w:rsidR="00C12C45" w:rsidRPr="00C12C45" w:rsidRDefault="00C12C45" w:rsidP="00C12C45">
      <w:pPr>
        <w:ind w:left="720"/>
        <w:rPr>
          <w:rFonts w:ascii="Arial" w:eastAsia="MS Mincho" w:hAnsi="Arial" w:cs="Arial"/>
          <w:highlight w:val="yellow"/>
          <w:lang w:eastAsia="ja-JP"/>
        </w:rPr>
      </w:pPr>
      <w:r w:rsidRPr="00C12C45">
        <w:rPr>
          <w:rFonts w:ascii="Arial" w:eastAsia="MS Mincho" w:hAnsi="Arial" w:cs="Arial"/>
          <w:highlight w:val="yellow"/>
          <w:lang w:eastAsia="ja-JP"/>
        </w:rPr>
        <w:t>3.2 learning facilitation;</w:t>
      </w:r>
    </w:p>
    <w:p w14:paraId="462D3F46" w14:textId="63B4F3FA" w:rsidR="00C12C45" w:rsidRPr="00C12C45" w:rsidRDefault="00C12C45" w:rsidP="00C12C45">
      <w:pPr>
        <w:ind w:left="720"/>
        <w:rPr>
          <w:rFonts w:ascii="Arial" w:eastAsia="MS Mincho" w:hAnsi="Arial" w:cs="Arial"/>
          <w:highlight w:val="yellow"/>
          <w:lang w:eastAsia="ja-JP"/>
        </w:rPr>
      </w:pPr>
      <w:r w:rsidRPr="00C12C45">
        <w:rPr>
          <w:rFonts w:ascii="Arial" w:eastAsia="MS Mincho" w:hAnsi="Arial" w:cs="Arial"/>
          <w:highlight w:val="yellow"/>
          <w:lang w:eastAsia="ja-JP"/>
        </w:rPr>
        <w:lastRenderedPageBreak/>
        <w:t>3.3 education influence;</w:t>
      </w:r>
    </w:p>
    <w:p w14:paraId="50E132ED" w14:textId="2710E328" w:rsidR="00C12C45" w:rsidRPr="00C12C45" w:rsidRDefault="00C12C45" w:rsidP="00C12C45">
      <w:pPr>
        <w:ind w:left="720"/>
        <w:rPr>
          <w:rFonts w:ascii="Arial" w:eastAsia="MS Mincho" w:hAnsi="Arial" w:cs="Arial"/>
          <w:highlight w:val="yellow"/>
          <w:lang w:eastAsia="ja-JP"/>
        </w:rPr>
      </w:pPr>
      <w:r w:rsidRPr="00C12C45">
        <w:rPr>
          <w:rFonts w:ascii="Arial" w:eastAsia="MS Mincho" w:hAnsi="Arial" w:cs="Arial"/>
          <w:highlight w:val="yellow"/>
          <w:lang w:eastAsia="ja-JP"/>
        </w:rPr>
        <w:t>3.4 subject management; and</w:t>
      </w:r>
    </w:p>
    <w:p w14:paraId="6A6B8769" w14:textId="3A5EC968" w:rsidR="00C12C45" w:rsidRPr="00C12C45" w:rsidRDefault="00C12C45" w:rsidP="00C12C45">
      <w:pPr>
        <w:ind w:left="720"/>
        <w:rPr>
          <w:rFonts w:ascii="Arial" w:eastAsia="MS Mincho" w:hAnsi="Arial" w:cs="Arial"/>
          <w:highlight w:val="yellow"/>
          <w:lang w:eastAsia="ja-JP"/>
        </w:rPr>
      </w:pPr>
      <w:r w:rsidRPr="00C12C45">
        <w:rPr>
          <w:rFonts w:ascii="Arial" w:eastAsia="MS Mincho" w:hAnsi="Arial" w:cs="Arial"/>
          <w:highlight w:val="yellow"/>
          <w:lang w:eastAsia="ja-JP"/>
        </w:rPr>
        <w:t>3.5 tools and resources?</w:t>
      </w:r>
    </w:p>
    <w:p w14:paraId="6F4B9165" w14:textId="77777777" w:rsidR="00C12C45" w:rsidRPr="00C12C45" w:rsidRDefault="00C12C45" w:rsidP="00C12C45">
      <w:pPr>
        <w:rPr>
          <w:rFonts w:ascii="Arial" w:eastAsia="MS Mincho" w:hAnsi="Arial" w:cs="Arial"/>
          <w:highlight w:val="yellow"/>
          <w:lang w:eastAsia="ja-JP"/>
        </w:rPr>
      </w:pPr>
    </w:p>
    <w:p w14:paraId="3A36B4C4" w14:textId="7820EC0C" w:rsidR="00C12C45" w:rsidRPr="00C12C45" w:rsidRDefault="00C12C45" w:rsidP="00C12C45">
      <w:pPr>
        <w:rPr>
          <w:rFonts w:ascii="Arial" w:eastAsia="MS Mincho" w:hAnsi="Arial" w:cs="Arial"/>
          <w:highlight w:val="yellow"/>
          <w:lang w:eastAsia="ja-JP"/>
        </w:rPr>
      </w:pPr>
      <w:r w:rsidRPr="00C12C45">
        <w:rPr>
          <w:rFonts w:ascii="Arial" w:eastAsia="MS Mincho" w:hAnsi="Arial" w:cs="Arial"/>
          <w:highlight w:val="yellow"/>
          <w:lang w:eastAsia="ja-JP"/>
        </w:rPr>
        <w:t>4. Is there a significant relationship between learning approaches and gratification towards merged learning?</w:t>
      </w:r>
    </w:p>
    <w:p w14:paraId="730CE9FD" w14:textId="77777777" w:rsidR="00C12C45" w:rsidRPr="00C12C45" w:rsidRDefault="00C12C45" w:rsidP="00C12C45">
      <w:pPr>
        <w:rPr>
          <w:rFonts w:ascii="Arial" w:eastAsia="MS Mincho" w:hAnsi="Arial" w:cs="Arial"/>
          <w:highlight w:val="yellow"/>
          <w:lang w:eastAsia="ja-JP"/>
        </w:rPr>
      </w:pPr>
    </w:p>
    <w:p w14:paraId="5FC19313" w14:textId="55DCEE43" w:rsidR="00C12C45" w:rsidRPr="00C12C45" w:rsidRDefault="00C12C45" w:rsidP="00C12C45">
      <w:pPr>
        <w:rPr>
          <w:rFonts w:ascii="Arial" w:eastAsia="MS Mincho" w:hAnsi="Arial" w:cs="Arial"/>
          <w:highlight w:val="yellow"/>
          <w:lang w:eastAsia="ja-JP"/>
        </w:rPr>
      </w:pPr>
      <w:r w:rsidRPr="00C12C45">
        <w:rPr>
          <w:rFonts w:ascii="Arial" w:eastAsia="MS Mincho" w:hAnsi="Arial" w:cs="Arial"/>
          <w:highlight w:val="yellow"/>
          <w:lang w:eastAsia="ja-JP"/>
        </w:rPr>
        <w:t>5. Is there a significant relationship between willingness and gratification towards merged learning?</w:t>
      </w:r>
    </w:p>
    <w:p w14:paraId="0635A49C" w14:textId="77777777" w:rsidR="00C12C45" w:rsidRPr="00C12C45" w:rsidRDefault="00C12C45" w:rsidP="00C12C45">
      <w:pPr>
        <w:rPr>
          <w:rFonts w:ascii="Arial" w:eastAsia="MS Mincho" w:hAnsi="Arial" w:cs="Arial"/>
          <w:highlight w:val="yellow"/>
          <w:lang w:eastAsia="ja-JP"/>
        </w:rPr>
      </w:pPr>
    </w:p>
    <w:p w14:paraId="203431DF" w14:textId="3DFB8E26" w:rsidR="00C12C45" w:rsidRPr="00C12C45" w:rsidRDefault="00C12C45" w:rsidP="00C12C45">
      <w:pPr>
        <w:rPr>
          <w:rFonts w:ascii="Arial" w:eastAsia="MS Mincho" w:hAnsi="Arial" w:cs="Arial"/>
          <w:lang w:eastAsia="ja-JP"/>
        </w:rPr>
      </w:pPr>
      <w:r w:rsidRPr="00C12C45">
        <w:rPr>
          <w:rFonts w:ascii="Arial" w:eastAsia="MS Mincho" w:hAnsi="Arial" w:cs="Arial"/>
          <w:highlight w:val="yellow"/>
          <w:lang w:eastAsia="ja-JP"/>
        </w:rPr>
        <w:t>6. Do learning approaches and willingness significantly influence gratification of the students in merged learning?</w:t>
      </w:r>
    </w:p>
    <w:p w14:paraId="0D69F60E" w14:textId="77777777" w:rsidR="00C12C45" w:rsidRPr="00C12C45" w:rsidRDefault="00C12C45" w:rsidP="00C12C45">
      <w:pPr>
        <w:rPr>
          <w:rFonts w:ascii="Arial" w:eastAsia="MS Mincho" w:hAnsi="Arial" w:cs="Arial"/>
          <w:lang w:eastAsia="ja-JP"/>
        </w:rPr>
      </w:pPr>
    </w:p>
    <w:p w14:paraId="351139D9" w14:textId="0060B232" w:rsidR="00C12C45" w:rsidRPr="00955D5A" w:rsidRDefault="00C12C45" w:rsidP="00C12C45">
      <w:pPr>
        <w:rPr>
          <w:rFonts w:ascii="Arial" w:eastAsia="MS Mincho" w:hAnsi="Arial" w:cs="Arial"/>
          <w:b/>
          <w:bCs/>
          <w:highlight w:val="yellow"/>
          <w:lang w:eastAsia="ja-JP"/>
        </w:rPr>
      </w:pPr>
      <w:r w:rsidRPr="00955D5A">
        <w:rPr>
          <w:rFonts w:ascii="Arial" w:eastAsia="MS Mincho" w:hAnsi="Arial" w:cs="Arial"/>
          <w:b/>
          <w:bCs/>
          <w:highlight w:val="yellow"/>
          <w:lang w:eastAsia="ja-JP"/>
        </w:rPr>
        <w:t>1.2 Hypothesis</w:t>
      </w:r>
    </w:p>
    <w:p w14:paraId="70E50D99" w14:textId="77777777" w:rsidR="00C12C45" w:rsidRPr="00955D5A" w:rsidRDefault="00C12C45" w:rsidP="00C12C45">
      <w:pPr>
        <w:rPr>
          <w:rFonts w:ascii="Arial" w:eastAsia="MS Mincho" w:hAnsi="Arial" w:cs="Arial"/>
          <w:highlight w:val="yellow"/>
          <w:lang w:eastAsia="ja-JP"/>
        </w:rPr>
      </w:pPr>
    </w:p>
    <w:p w14:paraId="1E47A9A2" w14:textId="6AFD97F1" w:rsidR="00C12C45" w:rsidRPr="00955D5A" w:rsidRDefault="00C12C45" w:rsidP="00C12C45">
      <w:pPr>
        <w:ind w:left="720"/>
        <w:rPr>
          <w:rFonts w:ascii="Arial" w:eastAsia="MS Mincho" w:hAnsi="Arial" w:cs="Arial"/>
          <w:highlight w:val="yellow"/>
          <w:lang w:eastAsia="ja-JP"/>
        </w:rPr>
      </w:pPr>
      <w:r w:rsidRPr="00955D5A">
        <w:rPr>
          <w:rFonts w:ascii="Arial" w:eastAsia="MS Mincho" w:hAnsi="Arial" w:cs="Arial"/>
          <w:highlight w:val="yellow"/>
          <w:lang w:eastAsia="ja-JP"/>
        </w:rPr>
        <w:t>1. There is no significant relationship between learning approaches and gratification of students towards merged learning.</w:t>
      </w:r>
    </w:p>
    <w:p w14:paraId="3E4379DA" w14:textId="28F65D10" w:rsidR="00C12C45" w:rsidRPr="00955D5A" w:rsidRDefault="00C12C45" w:rsidP="00C12C45">
      <w:pPr>
        <w:ind w:left="720"/>
        <w:rPr>
          <w:rFonts w:ascii="Arial" w:eastAsia="MS Mincho" w:hAnsi="Arial" w:cs="Arial"/>
          <w:highlight w:val="yellow"/>
          <w:lang w:eastAsia="ja-JP"/>
        </w:rPr>
      </w:pPr>
      <w:r w:rsidRPr="00955D5A">
        <w:rPr>
          <w:rFonts w:ascii="Arial" w:eastAsia="MS Mincho" w:hAnsi="Arial" w:cs="Arial"/>
          <w:highlight w:val="yellow"/>
          <w:lang w:eastAsia="ja-JP"/>
        </w:rPr>
        <w:t>2. There is no significant relationship between willingness and gratification of students towards merged learning.</w:t>
      </w:r>
    </w:p>
    <w:p w14:paraId="4668C156" w14:textId="1EC64703" w:rsidR="00C12C45" w:rsidRDefault="00C12C45" w:rsidP="00C12C45">
      <w:pPr>
        <w:ind w:left="720"/>
        <w:rPr>
          <w:rFonts w:ascii="Arial" w:eastAsia="MS Mincho" w:hAnsi="Arial" w:cs="Arial"/>
          <w:lang w:eastAsia="ja-JP"/>
        </w:rPr>
      </w:pPr>
      <w:r w:rsidRPr="00955D5A">
        <w:rPr>
          <w:rFonts w:ascii="Arial" w:eastAsia="MS Mincho" w:hAnsi="Arial" w:cs="Arial"/>
          <w:highlight w:val="yellow"/>
          <w:lang w:eastAsia="ja-JP"/>
        </w:rPr>
        <w:t>3. Learning approaches and gratification do not significantly influence the gratification of students towards merged learning.</w:t>
      </w:r>
    </w:p>
    <w:p w14:paraId="32F4B48F" w14:textId="77777777" w:rsidR="00717F2E" w:rsidRDefault="00717F2E">
      <w:pPr>
        <w:pStyle w:val="AbstHead"/>
        <w:spacing w:after="0"/>
        <w:jc w:val="both"/>
        <w:rPr>
          <w:rFonts w:ascii="Arial" w:hAnsi="Arial" w:cs="Arial"/>
          <w:sz w:val="20"/>
        </w:rPr>
      </w:pPr>
    </w:p>
    <w:p w14:paraId="3EEACBB3" w14:textId="77777777" w:rsidR="00C12C45" w:rsidRDefault="00C12C45">
      <w:pPr>
        <w:pStyle w:val="AbstHead"/>
        <w:spacing w:after="0"/>
        <w:jc w:val="both"/>
        <w:rPr>
          <w:rFonts w:ascii="Arial" w:hAnsi="Arial" w:cs="Arial"/>
          <w:sz w:val="20"/>
        </w:rPr>
      </w:pPr>
    </w:p>
    <w:p w14:paraId="70BF97C8" w14:textId="77777777" w:rsidR="00717F2E" w:rsidRDefault="00717F2E">
      <w:pPr>
        <w:pStyle w:val="AbstHead"/>
        <w:spacing w:after="0"/>
        <w:jc w:val="both"/>
        <w:rPr>
          <w:rFonts w:ascii="Arial" w:hAnsi="Arial" w:cs="Arial"/>
          <w:sz w:val="20"/>
        </w:rPr>
      </w:pPr>
    </w:p>
    <w:p w14:paraId="012EB897" w14:textId="77777777" w:rsidR="00717F2E" w:rsidRDefault="008714D6">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8714D6">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331BE3A1" w14:textId="73328E74" w:rsidR="009522BB" w:rsidRPr="009522BB" w:rsidRDefault="009522BB" w:rsidP="009522BB">
      <w:pPr>
        <w:jc w:val="both"/>
        <w:rPr>
          <w:rFonts w:ascii="Arial" w:hAnsi="Arial" w:cs="Arial"/>
        </w:rPr>
      </w:pPr>
      <w:r w:rsidRPr="009522BB">
        <w:rPr>
          <w:rFonts w:ascii="Arial" w:hAnsi="Arial" w:cs="Arial"/>
        </w:rPr>
        <w:t>The study utilized a quantitative research design, specifically adopting a descriptive-correlational approach. Quantitative research is a structured method that involves collecting and analyzing numerical data to objectively assess variables and identify patterns and relationships between them (</w:t>
      </w:r>
      <w:proofErr w:type="spellStart"/>
      <w:r w:rsidRPr="009522BB">
        <w:rPr>
          <w:rFonts w:ascii="Arial" w:hAnsi="Arial" w:cs="Arial"/>
        </w:rPr>
        <w:t>Ghanad</w:t>
      </w:r>
      <w:proofErr w:type="spellEnd"/>
      <w:r w:rsidRPr="009522BB">
        <w:rPr>
          <w:rFonts w:ascii="Arial" w:hAnsi="Arial" w:cs="Arial"/>
        </w:rPr>
        <w:t>, 20</w:t>
      </w:r>
      <w:r>
        <w:rPr>
          <w:rFonts w:ascii="Arial" w:hAnsi="Arial" w:cs="Arial"/>
        </w:rPr>
        <w:t>2</w:t>
      </w:r>
      <w:r w:rsidRPr="009522BB">
        <w:rPr>
          <w:rFonts w:ascii="Arial" w:hAnsi="Arial" w:cs="Arial"/>
        </w:rPr>
        <w:t>3). In this study, structured survey instruments were used to collect data from public elementary school students, ensuring consistency, reliability, and accuracy in capturing responses related to their learning experiences.</w:t>
      </w:r>
    </w:p>
    <w:p w14:paraId="4FF87320" w14:textId="77777777" w:rsidR="009522BB" w:rsidRPr="009522BB" w:rsidRDefault="009522BB" w:rsidP="009522BB">
      <w:pPr>
        <w:jc w:val="both"/>
        <w:rPr>
          <w:rFonts w:ascii="Arial" w:hAnsi="Arial" w:cs="Arial"/>
        </w:rPr>
      </w:pPr>
    </w:p>
    <w:p w14:paraId="09657216" w14:textId="72E4484C" w:rsidR="009522BB" w:rsidRPr="009522BB" w:rsidRDefault="009522BB" w:rsidP="009522BB">
      <w:pPr>
        <w:jc w:val="both"/>
        <w:rPr>
          <w:rFonts w:ascii="Arial" w:hAnsi="Arial" w:cs="Arial"/>
        </w:rPr>
      </w:pPr>
      <w:r w:rsidRPr="009522BB">
        <w:rPr>
          <w:rFonts w:ascii="Arial" w:hAnsi="Arial" w:cs="Arial"/>
        </w:rPr>
        <w:t>Additionally, the study followed a non-experimental approach, focusing on observing and analyzing existing conditions without altering any variables. This approach is particularly suited for investigating natural associations in real-world settings, such as how students adjust to educational changes during a pandemic (</w:t>
      </w:r>
      <w:r w:rsidR="00621A3E" w:rsidRPr="00621A3E">
        <w:rPr>
          <w:rFonts w:ascii="Arial" w:hAnsi="Arial" w:cs="Arial"/>
        </w:rPr>
        <w:t>Manca</w:t>
      </w:r>
      <w:r w:rsidR="00621A3E">
        <w:rPr>
          <w:rFonts w:ascii="Arial" w:hAnsi="Arial" w:cs="Arial"/>
        </w:rPr>
        <w:t xml:space="preserve"> et al. 2021).</w:t>
      </w:r>
      <w:r w:rsidRPr="009522BB">
        <w:rPr>
          <w:rFonts w:ascii="Arial" w:hAnsi="Arial" w:cs="Arial"/>
        </w:rPr>
        <w:t xml:space="preserve"> Since no interventions were introduced, this design provided a more genuine understanding of the students' experiences in a merged learning environment.</w:t>
      </w:r>
    </w:p>
    <w:p w14:paraId="13D67935" w14:textId="77777777" w:rsidR="009522BB" w:rsidRPr="009522BB" w:rsidRDefault="009522BB" w:rsidP="009522BB">
      <w:pPr>
        <w:jc w:val="both"/>
        <w:rPr>
          <w:rFonts w:ascii="Arial" w:hAnsi="Arial" w:cs="Arial"/>
        </w:rPr>
      </w:pPr>
    </w:p>
    <w:p w14:paraId="2D994DAF" w14:textId="77777777" w:rsidR="009522BB" w:rsidRDefault="009522BB" w:rsidP="009522BB">
      <w:pPr>
        <w:jc w:val="both"/>
        <w:rPr>
          <w:rFonts w:ascii="Arial" w:hAnsi="Arial" w:cs="Arial"/>
        </w:rPr>
      </w:pPr>
      <w:r w:rsidRPr="009522BB">
        <w:rPr>
          <w:rFonts w:ascii="Arial" w:hAnsi="Arial" w:cs="Arial"/>
        </w:rPr>
        <w:t>The descriptive-correlational method was the most suitable for this research, as it aimed to describe and evaluate the relationships between variables without attempting to establish causal links. This approach allowed the researcher to examine how learning strategies and willingness relate to gratification in the context of merged learning during the COVID-19 pandemic. Descriptive-correlational research is valuable for identifying the strength and direction of relationships between variables, offering valuable insights into the dynamics of education (Schober et al., 2018).</w:t>
      </w:r>
    </w:p>
    <w:p w14:paraId="4AA0EBC5" w14:textId="77777777" w:rsidR="009522BB" w:rsidRDefault="009522BB" w:rsidP="009522BB">
      <w:pPr>
        <w:jc w:val="both"/>
        <w:rPr>
          <w:rFonts w:ascii="Arial" w:hAnsi="Arial" w:cs="Arial"/>
        </w:rPr>
      </w:pPr>
    </w:p>
    <w:p w14:paraId="404BDFFE" w14:textId="188BEA1C" w:rsidR="00046D90" w:rsidRDefault="007C6585" w:rsidP="009522BB">
      <w:pPr>
        <w:jc w:val="both"/>
        <w:rPr>
          <w:rFonts w:ascii="Arial" w:hAnsi="Arial" w:cs="Arial"/>
        </w:rPr>
      </w:pPr>
      <w:r w:rsidRPr="007C6585">
        <w:rPr>
          <w:rFonts w:ascii="Arial" w:hAnsi="Arial" w:cs="Arial"/>
        </w:rPr>
        <w:t xml:space="preserve">The descriptive-correlational design provided a comprehensive framework for analyzing data objectively and meaningfully. It was the most suitable approach to determine the learning </w:t>
      </w:r>
      <w:r w:rsidRPr="007C6585">
        <w:rPr>
          <w:rFonts w:ascii="Arial" w:hAnsi="Arial" w:cs="Arial"/>
        </w:rPr>
        <w:lastRenderedPageBreak/>
        <w:t>approaches and willingness towards merged learning and their relationship with the gratification of students.</w:t>
      </w:r>
    </w:p>
    <w:p w14:paraId="53000901" w14:textId="77777777" w:rsidR="007C6585" w:rsidRDefault="007C6585" w:rsidP="007C6585">
      <w:pPr>
        <w:jc w:val="both"/>
        <w:rPr>
          <w:rFonts w:ascii="Arial" w:hAnsi="Arial" w:cs="Arial"/>
          <w:b/>
          <w:bCs/>
        </w:rPr>
      </w:pPr>
    </w:p>
    <w:p w14:paraId="318F0781" w14:textId="77777777" w:rsidR="00717F2E" w:rsidRDefault="008714D6">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6EC6261E" w14:textId="6A90A5EB" w:rsidR="002A5088" w:rsidRDefault="004E5E16" w:rsidP="004E5E16">
      <w:pPr>
        <w:jc w:val="both"/>
        <w:rPr>
          <w:rFonts w:ascii="Arial" w:hAnsi="Arial" w:cs="Arial"/>
        </w:rPr>
      </w:pPr>
      <w:r w:rsidRPr="004E5E16">
        <w:rPr>
          <w:rFonts w:ascii="Arial" w:hAnsi="Arial" w:cs="Arial"/>
        </w:rPr>
        <w:t>A total of 200 public elementary school students were included in the study. The following inclusion criteria were applied to ensure a homogeneous sample: First, the student must be currently enrolled in a public elementary school within the Division of Davao Oriental during the 2022–2023 school year. Second, the student must have participated in merged learning modalities (e.g., modular and scheduled face-to-face) during the pandemic. Furthermore, the sample was selected using a simple random sampling technique. According to Demir (2022), in simple random sampling, each member of a population has an equal chance of being selected through an unbiased method. Each student in the population was assigned a number, and the sample was chosen randomly. The sample was drawn using a lottery method after compiling a population frame of eligible students. This approach allows for a thorough examination of public elementary students within the selected division, ensuring that the sample accurately represents the broader student population while maintaining homogeneity based on the specified criteria.</w:t>
      </w:r>
    </w:p>
    <w:p w14:paraId="6404299D" w14:textId="77777777" w:rsidR="00930640" w:rsidRDefault="00930640">
      <w:pPr>
        <w:rPr>
          <w:rFonts w:ascii="Arial" w:hAnsi="Arial" w:cs="Arial"/>
          <w:b/>
          <w:bCs/>
        </w:rPr>
      </w:pPr>
    </w:p>
    <w:p w14:paraId="6BE2C45C" w14:textId="77777777" w:rsidR="00717F2E" w:rsidRDefault="008714D6">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6B229596" w14:textId="77777777" w:rsidR="00321807" w:rsidRPr="00321807" w:rsidRDefault="00321807" w:rsidP="00321807">
      <w:pPr>
        <w:jc w:val="both"/>
        <w:rPr>
          <w:rFonts w:ascii="Arial" w:hAnsi="Arial" w:cs="Arial"/>
        </w:rPr>
      </w:pPr>
      <w:r w:rsidRPr="00321807">
        <w:rPr>
          <w:rFonts w:ascii="Arial" w:hAnsi="Arial" w:cs="Arial"/>
        </w:rPr>
        <w:t>The study employed standardized questionnaires to collect data aligned with the research objectives. Minor adjustments were made to tailor the questionnaire to the study's specific objectives and respondents. The questionnaire consisted of three sections. The first section assessed the learning strategies of the participants, with items derived from the Motivated Approaches for Learning Questionnaire (MSLQ) developed by Meijs et al. (2019), specifically designed for students engaged in merged learning. Participants rated their responses on a 5-point scale, ranging from strongly disagree (1) to strongly agree (5), with intermediate points also described descriptively. According to Meijs et al. (2019), the Cronbach's alpha values for this scale ranged from 0.80 to 0.90. In this study, the Cronbach’s alpha coefficient was calculated at 0.953, demonstrating excellent internal consistency and reliability of the measurement tools used.</w:t>
      </w:r>
    </w:p>
    <w:p w14:paraId="28D190C2" w14:textId="77777777" w:rsidR="00321807" w:rsidRPr="00321807" w:rsidRDefault="00321807" w:rsidP="00321807">
      <w:pPr>
        <w:jc w:val="both"/>
        <w:rPr>
          <w:rFonts w:ascii="Arial" w:hAnsi="Arial" w:cs="Arial"/>
        </w:rPr>
      </w:pPr>
    </w:p>
    <w:p w14:paraId="0AAB204C" w14:textId="77777777" w:rsidR="00321807" w:rsidRPr="00321807" w:rsidRDefault="00321807" w:rsidP="00321807">
      <w:pPr>
        <w:jc w:val="both"/>
        <w:rPr>
          <w:rFonts w:ascii="Arial" w:hAnsi="Arial" w:cs="Arial"/>
        </w:rPr>
      </w:pPr>
      <w:r w:rsidRPr="00321807">
        <w:rPr>
          <w:rFonts w:ascii="Arial" w:hAnsi="Arial" w:cs="Arial"/>
        </w:rPr>
        <w:t>The second section evaluated the students' willingness to engage in merged learning. The items for this section were adapted from the Learners' Willingness for Merged Learning Scale, created by Hung et al. (2010). Participants again rated their responses on a 5-point scale, ranging from strongly disagree (1) to strongly agree (5). Hung et al. (2010) reported Cronbach's alpha values ranging from 0.85 to 0.90. In this study, the Cronbach’s alpha coefficient was found to be 0.934, indicating high internal consistency and reliability of the measurement instruments.</w:t>
      </w:r>
    </w:p>
    <w:p w14:paraId="6202B177" w14:textId="77777777" w:rsidR="00321807" w:rsidRPr="00321807" w:rsidRDefault="00321807" w:rsidP="00321807">
      <w:pPr>
        <w:jc w:val="both"/>
        <w:rPr>
          <w:rFonts w:ascii="Arial" w:hAnsi="Arial" w:cs="Arial"/>
        </w:rPr>
      </w:pPr>
    </w:p>
    <w:p w14:paraId="406E6B43" w14:textId="77777777" w:rsidR="00321807" w:rsidRDefault="00321807" w:rsidP="00321807">
      <w:pPr>
        <w:jc w:val="both"/>
        <w:rPr>
          <w:rFonts w:ascii="Arial" w:hAnsi="Arial" w:cs="Arial"/>
        </w:rPr>
      </w:pPr>
      <w:r w:rsidRPr="00321807">
        <w:rPr>
          <w:rFonts w:ascii="Arial" w:hAnsi="Arial" w:cs="Arial"/>
        </w:rPr>
        <w:t>The third section focused on measuring the students' gratification with the delivery of merged learning during the COVID-19 pandemic. The items in this section were derived from the Student Gratification with Merged Learning Scale developed by Abou Naaj et al. (2012). Respondents rated each item on a 5-point scale, ranging from totally disagree (1) to totally agree (5). The Cronbach’s alpha for this scale ranged from 0.82 to 0.89. In this study, the Cronbach’s alpha coefficient was calculated at 0.968, indicating excellent internal consistency and reliability of the measurement instruments used.</w:t>
      </w:r>
    </w:p>
    <w:p w14:paraId="73AEDD7D" w14:textId="77777777" w:rsidR="00321807" w:rsidRDefault="00321807" w:rsidP="00321807">
      <w:pPr>
        <w:rPr>
          <w:rFonts w:ascii="Arial" w:hAnsi="Arial" w:cs="Arial"/>
        </w:rPr>
      </w:pPr>
    </w:p>
    <w:p w14:paraId="7821138E" w14:textId="275E9CB7" w:rsidR="00717F2E" w:rsidRDefault="008714D6" w:rsidP="00321807">
      <w:pPr>
        <w:rPr>
          <w:rFonts w:ascii="Arial" w:hAnsi="Arial" w:cs="Arial"/>
          <w:b/>
          <w:bCs/>
        </w:rPr>
      </w:pPr>
      <w:r>
        <w:rPr>
          <w:rFonts w:ascii="Arial" w:hAnsi="Arial" w:cs="Arial"/>
          <w:b/>
          <w:bCs/>
        </w:rPr>
        <w:t>2.4 Data Gathering Procedure</w:t>
      </w:r>
    </w:p>
    <w:p w14:paraId="3DB958FA" w14:textId="4D098412" w:rsidR="00B67467" w:rsidRPr="00B67467" w:rsidRDefault="00B67467" w:rsidP="00B67467">
      <w:pPr>
        <w:pStyle w:val="Heading1"/>
        <w:rPr>
          <w:rFonts w:cs="Arial"/>
          <w:b w:val="0"/>
          <w:kern w:val="0"/>
          <w:sz w:val="20"/>
        </w:rPr>
      </w:pPr>
      <w:r w:rsidRPr="00B67467">
        <w:rPr>
          <w:rFonts w:cs="Arial"/>
          <w:b w:val="0"/>
          <w:kern w:val="0"/>
          <w:sz w:val="20"/>
        </w:rPr>
        <w:lastRenderedPageBreak/>
        <w:t>The following steps were undertaken by the researcher for data collection:</w:t>
      </w:r>
    </w:p>
    <w:p w14:paraId="0A975061" w14:textId="77777777" w:rsidR="00B67467" w:rsidRPr="00B67467" w:rsidRDefault="00B67467" w:rsidP="00B67467">
      <w:pPr>
        <w:pStyle w:val="Heading1"/>
        <w:jc w:val="both"/>
        <w:rPr>
          <w:rFonts w:cs="Arial"/>
          <w:b w:val="0"/>
          <w:kern w:val="0"/>
          <w:sz w:val="20"/>
        </w:rPr>
      </w:pPr>
      <w:r w:rsidRPr="00B67467">
        <w:rPr>
          <w:rFonts w:cs="Arial"/>
          <w:b w:val="0"/>
          <w:kern w:val="0"/>
          <w:sz w:val="20"/>
        </w:rPr>
        <w:t>Request for Permission. A formal letter requesting permission to conduct the study was sent to the District Supervisor and the Principals of the selected public elementary schools in the Division of Davao Oriental. The purpose of the letter was to seek approval for distributing the questionnaire and collecting data from the teachers.</w:t>
      </w:r>
    </w:p>
    <w:p w14:paraId="69F35FBE" w14:textId="77777777" w:rsidR="00B67467" w:rsidRPr="00B67467" w:rsidRDefault="00B67467" w:rsidP="00B67467">
      <w:pPr>
        <w:pStyle w:val="Heading1"/>
        <w:jc w:val="both"/>
        <w:rPr>
          <w:rFonts w:cs="Arial"/>
          <w:b w:val="0"/>
          <w:kern w:val="0"/>
          <w:sz w:val="20"/>
        </w:rPr>
      </w:pPr>
      <w:r w:rsidRPr="00B67467">
        <w:rPr>
          <w:rFonts w:cs="Arial"/>
          <w:b w:val="0"/>
          <w:kern w:val="0"/>
          <w:sz w:val="20"/>
        </w:rPr>
        <w:t>Distribution of the Questionnaire.  After receiving the necessary approvals, the researcher proceeded to the selected elementary schools. The questionnaires were handed over to the school heads along with the official endorsements from the supervisor and division superintendent. These documents ensured that the process complied with the necessary administrative requirements.</w:t>
      </w:r>
    </w:p>
    <w:p w14:paraId="38ACF94E" w14:textId="23E42476" w:rsidR="00B67467" w:rsidRPr="00B67467" w:rsidRDefault="00B67467" w:rsidP="00B67467">
      <w:pPr>
        <w:pStyle w:val="Heading1"/>
        <w:jc w:val="both"/>
        <w:rPr>
          <w:rFonts w:cs="Arial"/>
          <w:b w:val="0"/>
          <w:kern w:val="0"/>
          <w:sz w:val="20"/>
        </w:rPr>
      </w:pPr>
      <w:r w:rsidRPr="00B67467">
        <w:rPr>
          <w:rFonts w:cs="Arial"/>
          <w:b w:val="0"/>
          <w:kern w:val="0"/>
          <w:sz w:val="20"/>
        </w:rPr>
        <w:t xml:space="preserve">Retrieval of the Questionnaire. </w:t>
      </w:r>
      <w:r w:rsidRPr="00EF0890">
        <w:rPr>
          <w:rFonts w:cs="Arial"/>
          <w:b w:val="0"/>
          <w:kern w:val="0"/>
          <w:sz w:val="20"/>
          <w:highlight w:val="yellow"/>
        </w:rPr>
        <w:t xml:space="preserve">After the </w:t>
      </w:r>
      <w:r w:rsidR="00EF0890" w:rsidRPr="00EF0890">
        <w:rPr>
          <w:rFonts w:cs="Arial"/>
          <w:b w:val="0"/>
          <w:kern w:val="0"/>
          <w:sz w:val="20"/>
          <w:highlight w:val="yellow"/>
        </w:rPr>
        <w:t>students</w:t>
      </w:r>
      <w:r w:rsidRPr="00EF0890">
        <w:rPr>
          <w:rFonts w:cs="Arial"/>
          <w:b w:val="0"/>
          <w:kern w:val="0"/>
          <w:sz w:val="20"/>
          <w:highlight w:val="yellow"/>
        </w:rPr>
        <w:t xml:space="preserve"> completed the questionnaires, the researcher scheduled a follow-up for the retrieval of the completed forms. The questionnaires were collected in a timely manner, ensuring that all target respondents had the opportunity to participate.</w:t>
      </w:r>
    </w:p>
    <w:p w14:paraId="5EE4F3C9" w14:textId="77777777" w:rsidR="00B67467" w:rsidRPr="00B67467" w:rsidRDefault="00B67467" w:rsidP="00B67467">
      <w:pPr>
        <w:pStyle w:val="Heading1"/>
        <w:jc w:val="both"/>
        <w:rPr>
          <w:rFonts w:cs="Arial"/>
          <w:b w:val="0"/>
          <w:kern w:val="0"/>
          <w:sz w:val="20"/>
        </w:rPr>
      </w:pPr>
      <w:r w:rsidRPr="00B67467">
        <w:rPr>
          <w:rFonts w:cs="Arial"/>
          <w:b w:val="0"/>
          <w:kern w:val="0"/>
          <w:sz w:val="20"/>
        </w:rPr>
        <w:t>Scoring and Collation of Data. The researcher followed the pre-established scoring system as outlined in the research instrument. The responses were inputted and tabulated using Microsoft Excel software to ensure accurate organization and processing of the collected data.</w:t>
      </w:r>
    </w:p>
    <w:p w14:paraId="35617229" w14:textId="77777777" w:rsidR="00B67467" w:rsidRDefault="00B67467" w:rsidP="00B67467">
      <w:pPr>
        <w:pStyle w:val="Heading1"/>
        <w:jc w:val="both"/>
        <w:rPr>
          <w:rFonts w:cs="Arial"/>
          <w:b w:val="0"/>
          <w:kern w:val="0"/>
          <w:sz w:val="20"/>
        </w:rPr>
      </w:pPr>
      <w:r w:rsidRPr="00B67467">
        <w:rPr>
          <w:rFonts w:cs="Arial"/>
          <w:b w:val="0"/>
          <w:kern w:val="0"/>
          <w:sz w:val="20"/>
        </w:rPr>
        <w:t>Analysis and Interpretation of Data. Once the data was collated, the responses were presented in tabular format. The researcher then analyzed and interpreted the data, applying appropriate statistical methods to derive meaningful insights and present the study's findings clearly.</w:t>
      </w:r>
    </w:p>
    <w:p w14:paraId="1C13872C" w14:textId="64531343" w:rsidR="00717F2E" w:rsidRDefault="008714D6" w:rsidP="00B67467">
      <w:pPr>
        <w:pStyle w:val="Heading1"/>
        <w:rPr>
          <w:rFonts w:cs="Arial"/>
          <w:sz w:val="20"/>
        </w:rPr>
      </w:pPr>
      <w:r>
        <w:rPr>
          <w:rFonts w:cs="Arial"/>
          <w:sz w:val="20"/>
        </w:rPr>
        <w:t>2.5 Data Analysis</w:t>
      </w:r>
    </w:p>
    <w:p w14:paraId="79466B3C" w14:textId="77777777" w:rsidR="00B67467" w:rsidRPr="00B67467" w:rsidRDefault="00B67467" w:rsidP="00B67467"/>
    <w:p w14:paraId="137CB131" w14:textId="77777777" w:rsidR="00B67467" w:rsidRPr="00B67467" w:rsidRDefault="00B67467" w:rsidP="00B67467">
      <w:pPr>
        <w:pStyle w:val="Head1"/>
        <w:jc w:val="both"/>
        <w:rPr>
          <w:rFonts w:ascii="Arial" w:hAnsi="Arial" w:cs="Arial"/>
          <w:b w:val="0"/>
          <w:caps w:val="0"/>
          <w:sz w:val="20"/>
        </w:rPr>
      </w:pPr>
      <w:r w:rsidRPr="00B67467">
        <w:rPr>
          <w:rFonts w:ascii="Arial" w:hAnsi="Arial" w:cs="Arial"/>
          <w:b w:val="0"/>
          <w:caps w:val="0"/>
          <w:sz w:val="20"/>
        </w:rPr>
        <w:t>This study utilized the following statistical tools:</w:t>
      </w:r>
    </w:p>
    <w:p w14:paraId="31A65D73" w14:textId="77777777" w:rsidR="00B67467" w:rsidRPr="00B67467" w:rsidRDefault="00B67467" w:rsidP="00B67467">
      <w:pPr>
        <w:pStyle w:val="Head1"/>
        <w:jc w:val="both"/>
        <w:rPr>
          <w:rFonts w:ascii="Arial" w:hAnsi="Arial" w:cs="Arial"/>
          <w:b w:val="0"/>
          <w:caps w:val="0"/>
          <w:sz w:val="20"/>
        </w:rPr>
      </w:pPr>
      <w:r w:rsidRPr="00B67467">
        <w:rPr>
          <w:rFonts w:ascii="Arial" w:hAnsi="Arial" w:cs="Arial"/>
          <w:b w:val="0"/>
          <w:caps w:val="0"/>
          <w:sz w:val="20"/>
        </w:rPr>
        <w:t>Mean. This was used to determine the learning approaches, willingness and to determine the students’ gratification with the delivery of merged learning.</w:t>
      </w:r>
    </w:p>
    <w:p w14:paraId="565BC48A" w14:textId="77777777" w:rsidR="00B67467" w:rsidRPr="00B67467" w:rsidRDefault="00B67467" w:rsidP="00B67467">
      <w:pPr>
        <w:pStyle w:val="Head1"/>
        <w:jc w:val="both"/>
        <w:rPr>
          <w:rFonts w:ascii="Arial" w:hAnsi="Arial" w:cs="Arial"/>
          <w:b w:val="0"/>
          <w:caps w:val="0"/>
          <w:sz w:val="20"/>
        </w:rPr>
      </w:pPr>
      <w:r w:rsidRPr="00B67467">
        <w:rPr>
          <w:rFonts w:ascii="Arial" w:hAnsi="Arial" w:cs="Arial"/>
          <w:b w:val="0"/>
          <w:caps w:val="0"/>
          <w:sz w:val="20"/>
        </w:rPr>
        <w:t xml:space="preserve">Pearson Product-Moment Correlation. This was used to determine the significant relationship between learning approaches and willingness on gratification of the students towards merged learning. </w:t>
      </w:r>
    </w:p>
    <w:p w14:paraId="198FD214" w14:textId="5E6FEBC8" w:rsidR="00B67467" w:rsidRDefault="00B67467" w:rsidP="00B67467">
      <w:pPr>
        <w:pStyle w:val="Head1"/>
        <w:jc w:val="both"/>
        <w:rPr>
          <w:rFonts w:ascii="Arial" w:hAnsi="Arial" w:cs="Arial"/>
          <w:b w:val="0"/>
          <w:caps w:val="0"/>
          <w:sz w:val="20"/>
        </w:rPr>
      </w:pPr>
      <w:r w:rsidRPr="00B67467">
        <w:rPr>
          <w:rFonts w:ascii="Arial" w:hAnsi="Arial" w:cs="Arial"/>
          <w:b w:val="0"/>
          <w:caps w:val="0"/>
          <w:sz w:val="20"/>
        </w:rPr>
        <w:t xml:space="preserve">Simple and Multiple Linear Regression. This was used to determine the significance of the singular and combined influence of learning approaches and willingness on the gratification of the students towards merged learning. </w:t>
      </w:r>
    </w:p>
    <w:p w14:paraId="44C8E3B5" w14:textId="1529F1D1" w:rsidR="008A2454" w:rsidRPr="008A2454" w:rsidRDefault="008A2454" w:rsidP="008A2454">
      <w:pPr>
        <w:pStyle w:val="Head1"/>
        <w:jc w:val="both"/>
        <w:rPr>
          <w:rFonts w:ascii="Arial" w:hAnsi="Arial" w:cs="Arial"/>
          <w:caps w:val="0"/>
          <w:sz w:val="20"/>
        </w:rPr>
      </w:pPr>
      <w:r w:rsidRPr="008A2454">
        <w:rPr>
          <w:rFonts w:ascii="Arial" w:hAnsi="Arial" w:cs="Arial"/>
          <w:caps w:val="0"/>
          <w:sz w:val="20"/>
        </w:rPr>
        <w:t xml:space="preserve">Ethical Consideration: </w:t>
      </w:r>
    </w:p>
    <w:p w14:paraId="242D8C10" w14:textId="69D46B6C" w:rsidR="008A2454" w:rsidRPr="008A2454" w:rsidRDefault="008A2454" w:rsidP="008A2454">
      <w:pPr>
        <w:pStyle w:val="Head1"/>
        <w:jc w:val="both"/>
        <w:rPr>
          <w:rFonts w:ascii="Arial" w:hAnsi="Arial" w:cs="Arial"/>
          <w:b w:val="0"/>
          <w:caps w:val="0"/>
          <w:sz w:val="20"/>
        </w:rPr>
      </w:pPr>
      <w:r w:rsidRPr="008A2454">
        <w:rPr>
          <w:rFonts w:ascii="Arial" w:hAnsi="Arial" w:cs="Arial"/>
          <w:b w:val="0"/>
          <w:caps w:val="0"/>
          <w:sz w:val="20"/>
        </w:rPr>
        <w:t xml:space="preserve">This quantitative study adhered to strict ethical guidelines to safeguard the privacy and confidentiality of all participants. Before data collection, informed consent was obtained from each participant, who was thoroughly briefed on the study's objectives and the measures in place to ensure confidentiality. To maintain anonymity, no personally identifiable information was gathered, and participants were assigned a unique code for data analysis. The collected data were securely stored on encrypted servers, with access limited to the research team. The findings were presented in an aggregated form, ensuring that individual responses could not be traced back to any specific participant. Furthermore, statistical analyses were carried out </w:t>
      </w:r>
      <w:r w:rsidRPr="008A2454">
        <w:rPr>
          <w:rFonts w:ascii="Arial" w:hAnsi="Arial" w:cs="Arial"/>
          <w:b w:val="0"/>
          <w:caps w:val="0"/>
          <w:sz w:val="20"/>
        </w:rPr>
        <w:lastRenderedPageBreak/>
        <w:t>in a manner that preserved the anonymity and protected the privacy of the respondents throughout the entire study.</w:t>
      </w:r>
    </w:p>
    <w:p w14:paraId="2E7E568B" w14:textId="77777777" w:rsidR="00272068" w:rsidRDefault="00272068" w:rsidP="00272068">
      <w:pPr>
        <w:pStyle w:val="Head1"/>
        <w:spacing w:after="0"/>
        <w:jc w:val="both"/>
        <w:rPr>
          <w:rFonts w:ascii="Arial" w:hAnsi="Arial" w:cs="Arial"/>
          <w:b w:val="0"/>
          <w:caps w:val="0"/>
          <w:sz w:val="20"/>
        </w:rPr>
      </w:pPr>
    </w:p>
    <w:p w14:paraId="406904FE" w14:textId="77777777" w:rsidR="00272068" w:rsidRDefault="00272068" w:rsidP="00272068">
      <w:pPr>
        <w:pStyle w:val="Head1"/>
        <w:spacing w:after="0"/>
        <w:jc w:val="both"/>
        <w:rPr>
          <w:rFonts w:ascii="Arial" w:hAnsi="Arial" w:cs="Arial"/>
          <w:sz w:val="20"/>
        </w:rPr>
      </w:pPr>
    </w:p>
    <w:p w14:paraId="54D02440" w14:textId="77777777" w:rsidR="00717F2E" w:rsidRDefault="008714D6">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2ED6BB98" w14:textId="39CF2CDD" w:rsidR="00930640" w:rsidRDefault="008714D6">
      <w:pPr>
        <w:suppressAutoHyphens/>
        <w:jc w:val="both"/>
        <w:rPr>
          <w:rFonts w:ascii="Arial" w:hAnsi="Arial" w:cs="Arial"/>
          <w:i/>
        </w:rPr>
      </w:pPr>
      <w:r>
        <w:rPr>
          <w:rFonts w:ascii="Arial" w:hAnsi="Arial" w:cs="Arial"/>
          <w:b/>
        </w:rPr>
        <w:t xml:space="preserve">3.1 </w:t>
      </w:r>
      <w:r w:rsidR="001E1936" w:rsidRPr="001E1936">
        <w:rPr>
          <w:rFonts w:ascii="Arial" w:hAnsi="Arial" w:cs="Arial"/>
          <w:b/>
        </w:rPr>
        <w:t>Level of Learning Approaches in Merged Learning among Public Elementary School Students</w:t>
      </w:r>
    </w:p>
    <w:p w14:paraId="449CF7FF" w14:textId="02F0A971" w:rsidR="001E1936" w:rsidRDefault="008714D6" w:rsidP="001E1936">
      <w:pPr>
        <w:suppressAutoHyphens/>
        <w:jc w:val="both"/>
        <w:rPr>
          <w:rFonts w:ascii="Arial" w:hAnsi="Arial" w:cs="Arial"/>
          <w:i/>
        </w:rPr>
      </w:pPr>
      <w:r w:rsidRPr="00781D5E">
        <w:rPr>
          <w:rFonts w:ascii="Arial" w:hAnsi="Arial" w:cs="Arial"/>
          <w:iCs/>
        </w:rPr>
        <w:t>Table 1</w:t>
      </w:r>
      <w:r w:rsidR="00781D5E" w:rsidRPr="00781D5E">
        <w:rPr>
          <w:rFonts w:ascii="Arial" w:hAnsi="Arial" w:cs="Arial"/>
          <w:iCs/>
        </w:rPr>
        <w:t>.</w:t>
      </w:r>
      <w:r w:rsidR="00A366FA" w:rsidRPr="00A366FA">
        <w:rPr>
          <w:rFonts w:ascii="Arial" w:hAnsi="Arial" w:cs="Arial"/>
          <w:i/>
        </w:rPr>
        <w:t xml:space="preserve"> </w:t>
      </w:r>
      <w:r w:rsidR="001E1936" w:rsidRPr="001E1936">
        <w:rPr>
          <w:rFonts w:ascii="Arial" w:hAnsi="Arial" w:cs="Arial"/>
          <w:i/>
        </w:rPr>
        <w:t xml:space="preserve">Level of Learning Approaches in Merged Learning </w:t>
      </w:r>
      <w:r w:rsidR="00930640" w:rsidRPr="00930640">
        <w:rPr>
          <w:rFonts w:ascii="Arial" w:hAnsi="Arial" w:cs="Arial"/>
          <w:i/>
        </w:rPr>
        <w:t xml:space="preserve">among Public Elementary School </w:t>
      </w:r>
      <w:r w:rsidR="001E1936">
        <w:rPr>
          <w:rFonts w:ascii="Arial" w:hAnsi="Arial" w:cs="Arial"/>
          <w:i/>
        </w:rPr>
        <w:t>Students</w:t>
      </w:r>
    </w:p>
    <w:p w14:paraId="03CE3687" w14:textId="77777777" w:rsidR="001E1936" w:rsidRPr="001E1936" w:rsidRDefault="001E1936" w:rsidP="001E1936">
      <w:pPr>
        <w:suppressAutoHyphens/>
        <w:jc w:val="both"/>
        <w:rPr>
          <w:rFonts w:ascii="Arial" w:hAnsi="Arial" w:cs="Arial"/>
          <w:i/>
        </w:rPr>
      </w:pPr>
    </w:p>
    <w:tbl>
      <w:tblPr>
        <w:tblW w:w="7982" w:type="dxa"/>
        <w:tblInd w:w="55" w:type="dxa"/>
        <w:tblLayout w:type="fixed"/>
        <w:tblCellMar>
          <w:top w:w="55" w:type="dxa"/>
          <w:left w:w="55" w:type="dxa"/>
          <w:bottom w:w="55" w:type="dxa"/>
          <w:right w:w="55" w:type="dxa"/>
        </w:tblCellMar>
        <w:tblLook w:val="0000" w:firstRow="0" w:lastRow="0" w:firstColumn="0" w:lastColumn="0" w:noHBand="0" w:noVBand="0"/>
      </w:tblPr>
      <w:tblGrid>
        <w:gridCol w:w="3621"/>
        <w:gridCol w:w="1234"/>
        <w:gridCol w:w="1317"/>
        <w:gridCol w:w="1810"/>
      </w:tblGrid>
      <w:tr w:rsidR="001E1936" w:rsidRPr="00382BD0" w14:paraId="784D3D43" w14:textId="77777777" w:rsidTr="001E1936">
        <w:trPr>
          <w:trHeight w:val="606"/>
        </w:trPr>
        <w:tc>
          <w:tcPr>
            <w:tcW w:w="3621" w:type="dxa"/>
            <w:tcBorders>
              <w:top w:val="single" w:sz="4" w:space="0" w:color="auto"/>
              <w:bottom w:val="single" w:sz="4" w:space="0" w:color="auto"/>
            </w:tcBorders>
            <w:vAlign w:val="center"/>
          </w:tcPr>
          <w:p w14:paraId="54E2B931" w14:textId="3081E627" w:rsidR="001E1936" w:rsidRPr="001E1936" w:rsidRDefault="001E1936" w:rsidP="00E16885">
            <w:pPr>
              <w:pStyle w:val="TableContents"/>
              <w:snapToGrid w:val="0"/>
              <w:jc w:val="center"/>
              <w:rPr>
                <w:rFonts w:ascii="Arial" w:hAnsi="Arial" w:cs="Arial"/>
                <w:b/>
                <w:bCs/>
                <w:sz w:val="20"/>
                <w:szCs w:val="20"/>
              </w:rPr>
            </w:pPr>
            <w:r w:rsidRPr="001E1936">
              <w:rPr>
                <w:rFonts w:ascii="Arial" w:hAnsi="Arial" w:cs="Arial"/>
                <w:b/>
                <w:bCs/>
                <w:sz w:val="20"/>
                <w:szCs w:val="20"/>
              </w:rPr>
              <w:t>Domains</w:t>
            </w:r>
          </w:p>
        </w:tc>
        <w:tc>
          <w:tcPr>
            <w:tcW w:w="1234" w:type="dxa"/>
            <w:tcBorders>
              <w:top w:val="single" w:sz="4" w:space="0" w:color="auto"/>
              <w:bottom w:val="single" w:sz="4" w:space="0" w:color="auto"/>
            </w:tcBorders>
            <w:vAlign w:val="center"/>
          </w:tcPr>
          <w:p w14:paraId="18E7788D" w14:textId="77777777" w:rsidR="001E1936" w:rsidRPr="001E1936" w:rsidRDefault="001E1936" w:rsidP="00E16885">
            <w:pPr>
              <w:pStyle w:val="TableContents"/>
              <w:snapToGrid w:val="0"/>
              <w:jc w:val="center"/>
              <w:rPr>
                <w:rFonts w:ascii="Arial" w:hAnsi="Arial" w:cs="Arial"/>
                <w:b/>
                <w:bCs/>
                <w:sz w:val="20"/>
                <w:szCs w:val="20"/>
              </w:rPr>
            </w:pPr>
            <w:r w:rsidRPr="001E1936">
              <w:rPr>
                <w:rFonts w:ascii="Arial" w:hAnsi="Arial" w:cs="Arial"/>
                <w:b/>
                <w:bCs/>
                <w:sz w:val="20"/>
                <w:szCs w:val="20"/>
              </w:rPr>
              <w:t>SD</w:t>
            </w:r>
          </w:p>
        </w:tc>
        <w:tc>
          <w:tcPr>
            <w:tcW w:w="1317" w:type="dxa"/>
            <w:tcBorders>
              <w:top w:val="single" w:sz="4" w:space="0" w:color="auto"/>
              <w:bottom w:val="single" w:sz="4" w:space="0" w:color="auto"/>
            </w:tcBorders>
            <w:vAlign w:val="center"/>
          </w:tcPr>
          <w:p w14:paraId="03087458" w14:textId="77777777" w:rsidR="001E1936" w:rsidRPr="001E1936" w:rsidRDefault="001E1936" w:rsidP="00E16885">
            <w:pPr>
              <w:pStyle w:val="TableContents"/>
              <w:snapToGrid w:val="0"/>
              <w:jc w:val="center"/>
              <w:rPr>
                <w:rFonts w:ascii="Arial" w:hAnsi="Arial" w:cs="Arial"/>
                <w:b/>
                <w:bCs/>
                <w:sz w:val="20"/>
                <w:szCs w:val="20"/>
              </w:rPr>
            </w:pPr>
            <w:r w:rsidRPr="001E1936">
              <w:rPr>
                <w:rFonts w:ascii="Arial" w:hAnsi="Arial" w:cs="Arial"/>
                <w:b/>
                <w:bCs/>
                <w:sz w:val="20"/>
                <w:szCs w:val="20"/>
              </w:rPr>
              <w:t>Mean</w:t>
            </w:r>
          </w:p>
        </w:tc>
        <w:tc>
          <w:tcPr>
            <w:tcW w:w="1810" w:type="dxa"/>
            <w:tcBorders>
              <w:top w:val="single" w:sz="4" w:space="0" w:color="auto"/>
              <w:bottom w:val="single" w:sz="4" w:space="0" w:color="auto"/>
            </w:tcBorders>
            <w:vAlign w:val="center"/>
          </w:tcPr>
          <w:p w14:paraId="76641381" w14:textId="77777777" w:rsidR="001E1936" w:rsidRPr="001E1936" w:rsidRDefault="001E1936" w:rsidP="00E16885">
            <w:pPr>
              <w:pStyle w:val="TableContents"/>
              <w:snapToGrid w:val="0"/>
              <w:jc w:val="center"/>
              <w:rPr>
                <w:rFonts w:ascii="Arial" w:hAnsi="Arial" w:cs="Arial"/>
                <w:b/>
                <w:bCs/>
                <w:sz w:val="20"/>
                <w:szCs w:val="20"/>
              </w:rPr>
            </w:pPr>
            <w:r w:rsidRPr="001E1936">
              <w:rPr>
                <w:rFonts w:ascii="Arial" w:hAnsi="Arial" w:cs="Arial"/>
                <w:b/>
                <w:bCs/>
                <w:sz w:val="20"/>
                <w:szCs w:val="20"/>
              </w:rPr>
              <w:t>Descriptive Level</w:t>
            </w:r>
          </w:p>
        </w:tc>
      </w:tr>
      <w:tr w:rsidR="001E1936" w:rsidRPr="00382BD0" w14:paraId="1619D1BC" w14:textId="77777777" w:rsidTr="001E1936">
        <w:trPr>
          <w:trHeight w:val="58"/>
        </w:trPr>
        <w:tc>
          <w:tcPr>
            <w:tcW w:w="3621" w:type="dxa"/>
            <w:tcBorders>
              <w:top w:val="single" w:sz="4" w:space="0" w:color="auto"/>
            </w:tcBorders>
          </w:tcPr>
          <w:p w14:paraId="46343EC8" w14:textId="77777777" w:rsidR="001E1936" w:rsidRPr="001E1936" w:rsidRDefault="001E1936" w:rsidP="00E16885">
            <w:pPr>
              <w:pStyle w:val="ListParagraph"/>
              <w:ind w:hanging="685"/>
              <w:rPr>
                <w:rFonts w:ascii="Arial" w:hAnsi="Arial" w:cs="Arial"/>
              </w:rPr>
            </w:pPr>
            <w:r w:rsidRPr="001E1936">
              <w:rPr>
                <w:rFonts w:ascii="Arial" w:hAnsi="Arial" w:cs="Arial"/>
              </w:rPr>
              <w:t>Effective Use of Time and Effort</w:t>
            </w:r>
          </w:p>
        </w:tc>
        <w:tc>
          <w:tcPr>
            <w:tcW w:w="1234" w:type="dxa"/>
            <w:tcBorders>
              <w:top w:val="single" w:sz="4" w:space="0" w:color="auto"/>
            </w:tcBorders>
            <w:vAlign w:val="center"/>
          </w:tcPr>
          <w:p w14:paraId="5D5959D8"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0.60</w:t>
            </w:r>
          </w:p>
        </w:tc>
        <w:tc>
          <w:tcPr>
            <w:tcW w:w="1317" w:type="dxa"/>
            <w:tcBorders>
              <w:top w:val="single" w:sz="4" w:space="0" w:color="auto"/>
            </w:tcBorders>
            <w:vAlign w:val="center"/>
          </w:tcPr>
          <w:p w14:paraId="47D88F7B"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4.12</w:t>
            </w:r>
          </w:p>
        </w:tc>
        <w:tc>
          <w:tcPr>
            <w:tcW w:w="1810" w:type="dxa"/>
            <w:tcBorders>
              <w:top w:val="single" w:sz="4" w:space="0" w:color="auto"/>
            </w:tcBorders>
            <w:vAlign w:val="center"/>
          </w:tcPr>
          <w:p w14:paraId="5A053D9F"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High</w:t>
            </w:r>
          </w:p>
        </w:tc>
      </w:tr>
      <w:tr w:rsidR="001E1936" w:rsidRPr="00382BD0" w14:paraId="6195BCA8" w14:textId="77777777" w:rsidTr="001E1936">
        <w:trPr>
          <w:trHeight w:val="24"/>
        </w:trPr>
        <w:tc>
          <w:tcPr>
            <w:tcW w:w="3621" w:type="dxa"/>
          </w:tcPr>
          <w:p w14:paraId="778FCC05" w14:textId="77777777" w:rsidR="001E1936" w:rsidRPr="001E1936" w:rsidRDefault="001E1936" w:rsidP="00E16885">
            <w:pPr>
              <w:pStyle w:val="ListParagraph"/>
              <w:ind w:hanging="685"/>
              <w:rPr>
                <w:rFonts w:ascii="Arial" w:hAnsi="Arial" w:cs="Arial"/>
              </w:rPr>
            </w:pPr>
            <w:r w:rsidRPr="001E1936">
              <w:rPr>
                <w:rFonts w:ascii="Arial" w:hAnsi="Arial" w:cs="Arial"/>
              </w:rPr>
              <w:t>Advanced Cognitive Approaches</w:t>
            </w:r>
          </w:p>
        </w:tc>
        <w:tc>
          <w:tcPr>
            <w:tcW w:w="1234" w:type="dxa"/>
            <w:vAlign w:val="center"/>
          </w:tcPr>
          <w:p w14:paraId="6292DAE5"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0.64</w:t>
            </w:r>
          </w:p>
        </w:tc>
        <w:tc>
          <w:tcPr>
            <w:tcW w:w="1317" w:type="dxa"/>
            <w:vAlign w:val="center"/>
          </w:tcPr>
          <w:p w14:paraId="36E45F6E"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4.10</w:t>
            </w:r>
          </w:p>
        </w:tc>
        <w:tc>
          <w:tcPr>
            <w:tcW w:w="1810" w:type="dxa"/>
            <w:vAlign w:val="center"/>
          </w:tcPr>
          <w:p w14:paraId="722DC970" w14:textId="77777777" w:rsidR="001E1936" w:rsidRPr="001E1936" w:rsidRDefault="001E1936" w:rsidP="00E16885">
            <w:pPr>
              <w:jc w:val="center"/>
              <w:rPr>
                <w:rFonts w:ascii="Arial" w:hAnsi="Arial" w:cs="Arial"/>
              </w:rPr>
            </w:pPr>
            <w:r w:rsidRPr="001E1936">
              <w:rPr>
                <w:rFonts w:ascii="Arial" w:hAnsi="Arial" w:cs="Arial"/>
              </w:rPr>
              <w:t>High</w:t>
            </w:r>
          </w:p>
        </w:tc>
      </w:tr>
      <w:tr w:rsidR="001E1936" w:rsidRPr="00382BD0" w14:paraId="07F7BBF9" w14:textId="77777777" w:rsidTr="001E1936">
        <w:trPr>
          <w:trHeight w:val="24"/>
        </w:trPr>
        <w:tc>
          <w:tcPr>
            <w:tcW w:w="3621" w:type="dxa"/>
          </w:tcPr>
          <w:p w14:paraId="48735352" w14:textId="77777777" w:rsidR="001E1936" w:rsidRPr="001E1936" w:rsidRDefault="001E1936" w:rsidP="00E16885">
            <w:pPr>
              <w:pStyle w:val="ListParagraph"/>
              <w:ind w:hanging="685"/>
              <w:rPr>
                <w:rFonts w:ascii="Arial" w:hAnsi="Arial" w:cs="Arial"/>
              </w:rPr>
            </w:pPr>
            <w:r w:rsidRPr="001E1936">
              <w:rPr>
                <w:rFonts w:ascii="Arial" w:hAnsi="Arial" w:cs="Arial"/>
              </w:rPr>
              <w:t>Basic Cognitive Approaches</w:t>
            </w:r>
          </w:p>
        </w:tc>
        <w:tc>
          <w:tcPr>
            <w:tcW w:w="1234" w:type="dxa"/>
            <w:vAlign w:val="center"/>
          </w:tcPr>
          <w:p w14:paraId="0B5045E9"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0.73</w:t>
            </w:r>
          </w:p>
        </w:tc>
        <w:tc>
          <w:tcPr>
            <w:tcW w:w="1317" w:type="dxa"/>
            <w:vAlign w:val="center"/>
          </w:tcPr>
          <w:p w14:paraId="2196BC4F"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4.01</w:t>
            </w:r>
          </w:p>
        </w:tc>
        <w:tc>
          <w:tcPr>
            <w:tcW w:w="1810" w:type="dxa"/>
            <w:vAlign w:val="center"/>
          </w:tcPr>
          <w:p w14:paraId="2EC2F32C" w14:textId="77777777" w:rsidR="001E1936" w:rsidRPr="001E1936" w:rsidRDefault="001E1936" w:rsidP="00E16885">
            <w:pPr>
              <w:jc w:val="center"/>
              <w:rPr>
                <w:rFonts w:ascii="Arial" w:hAnsi="Arial" w:cs="Arial"/>
              </w:rPr>
            </w:pPr>
            <w:r w:rsidRPr="001E1936">
              <w:rPr>
                <w:rFonts w:ascii="Arial" w:hAnsi="Arial" w:cs="Arial"/>
              </w:rPr>
              <w:t>High</w:t>
            </w:r>
          </w:p>
        </w:tc>
      </w:tr>
      <w:tr w:rsidR="001E1936" w:rsidRPr="00382BD0" w14:paraId="3C9DFE6A" w14:textId="77777777" w:rsidTr="001E1936">
        <w:trPr>
          <w:trHeight w:val="24"/>
        </w:trPr>
        <w:tc>
          <w:tcPr>
            <w:tcW w:w="3621" w:type="dxa"/>
          </w:tcPr>
          <w:p w14:paraId="45F302E4" w14:textId="77777777" w:rsidR="001E1936" w:rsidRPr="001E1936" w:rsidRDefault="001E1936" w:rsidP="00E16885">
            <w:pPr>
              <w:pStyle w:val="ListParagraph"/>
              <w:ind w:hanging="685"/>
              <w:rPr>
                <w:rFonts w:ascii="Arial" w:hAnsi="Arial" w:cs="Arial"/>
              </w:rPr>
            </w:pPr>
            <w:r w:rsidRPr="001E1936">
              <w:rPr>
                <w:rFonts w:ascii="Arial" w:hAnsi="Arial" w:cs="Arial"/>
              </w:rPr>
              <w:t>Interaction with Others</w:t>
            </w:r>
          </w:p>
        </w:tc>
        <w:tc>
          <w:tcPr>
            <w:tcW w:w="1234" w:type="dxa"/>
            <w:vAlign w:val="center"/>
          </w:tcPr>
          <w:p w14:paraId="16C2D0F4"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0.67</w:t>
            </w:r>
          </w:p>
        </w:tc>
        <w:tc>
          <w:tcPr>
            <w:tcW w:w="1317" w:type="dxa"/>
            <w:vAlign w:val="center"/>
          </w:tcPr>
          <w:p w14:paraId="4AD6D83D"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3.94</w:t>
            </w:r>
          </w:p>
        </w:tc>
        <w:tc>
          <w:tcPr>
            <w:tcW w:w="1810" w:type="dxa"/>
            <w:vAlign w:val="center"/>
          </w:tcPr>
          <w:p w14:paraId="2F326D75" w14:textId="77777777" w:rsidR="001E1936" w:rsidRPr="001E1936" w:rsidRDefault="001E1936" w:rsidP="00E16885">
            <w:pPr>
              <w:jc w:val="center"/>
              <w:rPr>
                <w:rFonts w:ascii="Arial" w:hAnsi="Arial" w:cs="Arial"/>
              </w:rPr>
            </w:pPr>
            <w:r w:rsidRPr="001E1936">
              <w:rPr>
                <w:rFonts w:ascii="Arial" w:hAnsi="Arial" w:cs="Arial"/>
              </w:rPr>
              <w:t>High</w:t>
            </w:r>
          </w:p>
        </w:tc>
      </w:tr>
      <w:tr w:rsidR="001E1936" w:rsidRPr="00382BD0" w14:paraId="4665DC82" w14:textId="77777777" w:rsidTr="001E1936">
        <w:trPr>
          <w:trHeight w:val="24"/>
        </w:trPr>
        <w:tc>
          <w:tcPr>
            <w:tcW w:w="3621" w:type="dxa"/>
          </w:tcPr>
          <w:p w14:paraId="14360B57" w14:textId="77777777" w:rsidR="001E1936" w:rsidRPr="001E1936" w:rsidRDefault="001E1936" w:rsidP="00E16885">
            <w:pPr>
              <w:pStyle w:val="ListParagraph"/>
              <w:ind w:hanging="685"/>
              <w:rPr>
                <w:rFonts w:ascii="Arial" w:hAnsi="Arial" w:cs="Arial"/>
              </w:rPr>
            </w:pPr>
            <w:r w:rsidRPr="001E1936">
              <w:rPr>
                <w:rFonts w:ascii="Arial" w:hAnsi="Arial" w:cs="Arial"/>
              </w:rPr>
              <w:t>Cognitive Thinking</w:t>
            </w:r>
          </w:p>
        </w:tc>
        <w:tc>
          <w:tcPr>
            <w:tcW w:w="1234" w:type="dxa"/>
            <w:vAlign w:val="center"/>
          </w:tcPr>
          <w:p w14:paraId="785DD27B"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0.62</w:t>
            </w:r>
          </w:p>
        </w:tc>
        <w:tc>
          <w:tcPr>
            <w:tcW w:w="1317" w:type="dxa"/>
            <w:vAlign w:val="center"/>
          </w:tcPr>
          <w:p w14:paraId="4260BCA2"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3.98</w:t>
            </w:r>
          </w:p>
        </w:tc>
        <w:tc>
          <w:tcPr>
            <w:tcW w:w="1810" w:type="dxa"/>
            <w:vAlign w:val="center"/>
          </w:tcPr>
          <w:p w14:paraId="143167C0" w14:textId="77777777" w:rsidR="001E1936" w:rsidRPr="001E1936" w:rsidRDefault="001E1936" w:rsidP="00E16885">
            <w:pPr>
              <w:jc w:val="center"/>
              <w:rPr>
                <w:rFonts w:ascii="Arial" w:hAnsi="Arial" w:cs="Arial"/>
              </w:rPr>
            </w:pPr>
            <w:r w:rsidRPr="001E1936">
              <w:rPr>
                <w:rFonts w:ascii="Arial" w:hAnsi="Arial" w:cs="Arial"/>
              </w:rPr>
              <w:t>High</w:t>
            </w:r>
          </w:p>
        </w:tc>
      </w:tr>
      <w:tr w:rsidR="001E1936" w:rsidRPr="00B63CF1" w14:paraId="1591EB57" w14:textId="77777777" w:rsidTr="001E1936">
        <w:trPr>
          <w:trHeight w:val="24"/>
        </w:trPr>
        <w:tc>
          <w:tcPr>
            <w:tcW w:w="3621" w:type="dxa"/>
            <w:tcBorders>
              <w:bottom w:val="single" w:sz="4" w:space="0" w:color="auto"/>
            </w:tcBorders>
            <w:vAlign w:val="center"/>
          </w:tcPr>
          <w:p w14:paraId="4CC94410" w14:textId="77777777" w:rsidR="001E1936" w:rsidRPr="001E1936" w:rsidRDefault="001E1936" w:rsidP="00E16885">
            <w:pPr>
              <w:snapToGrid w:val="0"/>
              <w:ind w:left="755" w:hanging="755"/>
              <w:rPr>
                <w:rFonts w:ascii="Arial" w:hAnsi="Arial" w:cs="Arial"/>
                <w:b/>
              </w:rPr>
            </w:pPr>
            <w:r w:rsidRPr="001E1936">
              <w:rPr>
                <w:rFonts w:ascii="Arial" w:hAnsi="Arial" w:cs="Arial"/>
                <w:b/>
              </w:rPr>
              <w:t>Overall</w:t>
            </w:r>
          </w:p>
        </w:tc>
        <w:tc>
          <w:tcPr>
            <w:tcW w:w="1234" w:type="dxa"/>
            <w:tcBorders>
              <w:bottom w:val="single" w:sz="4" w:space="0" w:color="auto"/>
            </w:tcBorders>
            <w:vAlign w:val="center"/>
          </w:tcPr>
          <w:p w14:paraId="6044F5AC" w14:textId="77777777" w:rsidR="001E1936" w:rsidRPr="001E1936" w:rsidRDefault="001E1936" w:rsidP="00E16885">
            <w:pPr>
              <w:pStyle w:val="TableContents"/>
              <w:snapToGrid w:val="0"/>
              <w:jc w:val="center"/>
              <w:rPr>
                <w:rFonts w:ascii="Arial" w:hAnsi="Arial" w:cs="Arial"/>
                <w:b/>
                <w:sz w:val="20"/>
                <w:szCs w:val="20"/>
              </w:rPr>
            </w:pPr>
            <w:r w:rsidRPr="001E1936">
              <w:rPr>
                <w:rFonts w:ascii="Arial" w:hAnsi="Arial" w:cs="Arial"/>
                <w:b/>
                <w:sz w:val="20"/>
                <w:szCs w:val="20"/>
              </w:rPr>
              <w:t>0.52</w:t>
            </w:r>
          </w:p>
        </w:tc>
        <w:tc>
          <w:tcPr>
            <w:tcW w:w="1317" w:type="dxa"/>
            <w:tcBorders>
              <w:bottom w:val="single" w:sz="4" w:space="0" w:color="auto"/>
            </w:tcBorders>
            <w:vAlign w:val="center"/>
          </w:tcPr>
          <w:p w14:paraId="5091BBD9" w14:textId="77777777" w:rsidR="001E1936" w:rsidRPr="001E1936" w:rsidRDefault="001E1936" w:rsidP="00E16885">
            <w:pPr>
              <w:pStyle w:val="TableContents"/>
              <w:snapToGrid w:val="0"/>
              <w:jc w:val="center"/>
              <w:rPr>
                <w:rFonts w:ascii="Arial" w:hAnsi="Arial" w:cs="Arial"/>
                <w:b/>
                <w:sz w:val="20"/>
                <w:szCs w:val="20"/>
              </w:rPr>
            </w:pPr>
            <w:r w:rsidRPr="001E1936">
              <w:rPr>
                <w:rFonts w:ascii="Arial" w:hAnsi="Arial" w:cs="Arial"/>
                <w:b/>
                <w:sz w:val="20"/>
                <w:szCs w:val="20"/>
              </w:rPr>
              <w:t>3.98</w:t>
            </w:r>
          </w:p>
        </w:tc>
        <w:tc>
          <w:tcPr>
            <w:tcW w:w="1810" w:type="dxa"/>
            <w:tcBorders>
              <w:bottom w:val="single" w:sz="4" w:space="0" w:color="auto"/>
            </w:tcBorders>
            <w:vAlign w:val="center"/>
          </w:tcPr>
          <w:p w14:paraId="01E0510C" w14:textId="77777777" w:rsidR="001E1936" w:rsidRPr="001E1936" w:rsidRDefault="001E1936" w:rsidP="00E16885">
            <w:pPr>
              <w:jc w:val="center"/>
              <w:rPr>
                <w:rFonts w:ascii="Arial" w:hAnsi="Arial" w:cs="Arial"/>
                <w:b/>
              </w:rPr>
            </w:pPr>
            <w:r w:rsidRPr="001E1936">
              <w:rPr>
                <w:rFonts w:ascii="Arial" w:hAnsi="Arial" w:cs="Arial"/>
                <w:b/>
              </w:rPr>
              <w:t>High</w:t>
            </w:r>
          </w:p>
        </w:tc>
      </w:tr>
    </w:tbl>
    <w:p w14:paraId="19FE2201" w14:textId="77777777" w:rsidR="001E1936" w:rsidRDefault="001E1936" w:rsidP="001E1936">
      <w:pPr>
        <w:ind w:firstLine="720"/>
        <w:jc w:val="both"/>
        <w:rPr>
          <w:rFonts w:ascii="Arial" w:hAnsi="Arial" w:cs="Arial"/>
        </w:rPr>
      </w:pPr>
    </w:p>
    <w:p w14:paraId="691E3ED4" w14:textId="77777777" w:rsidR="00930640" w:rsidRDefault="00930640" w:rsidP="003248E3">
      <w:pPr>
        <w:jc w:val="both"/>
        <w:rPr>
          <w:rFonts w:ascii="Arial" w:hAnsi="Arial" w:cs="Arial"/>
        </w:rPr>
      </w:pPr>
    </w:p>
    <w:p w14:paraId="1E916F22" w14:textId="2B0AB392" w:rsidR="001E1936" w:rsidRDefault="001E1936" w:rsidP="001E1936">
      <w:pPr>
        <w:jc w:val="both"/>
        <w:rPr>
          <w:rFonts w:ascii="Arial" w:hAnsi="Arial" w:cs="Arial"/>
        </w:rPr>
      </w:pPr>
      <w:r w:rsidRPr="001E1936">
        <w:rPr>
          <w:rFonts w:ascii="Arial" w:hAnsi="Arial" w:cs="Arial"/>
        </w:rPr>
        <w:t xml:space="preserve">Presented in Table </w:t>
      </w:r>
      <w:r>
        <w:rPr>
          <w:rFonts w:ascii="Arial" w:hAnsi="Arial" w:cs="Arial"/>
        </w:rPr>
        <w:t>1</w:t>
      </w:r>
      <w:r w:rsidRPr="001E1936">
        <w:rPr>
          <w:rFonts w:ascii="Arial" w:hAnsi="Arial" w:cs="Arial"/>
        </w:rPr>
        <w:t xml:space="preserve"> is the level of learning approaches in merged learning based on the mean scores and standard deviations. The indicator effective use of time and effort has the highest mean of 4.12, followed closely by advanced cognitive approaches with a mean of 4.10. Basic cognitive approaches received a mean of 4.01, while interaction with others and cognitive thinking were slightly lower, with means of 3.94 and 3.98, respectively. The overall mean of 3.98 is described as "high," indicating that students demonstrate a strong proficiency in employing various learning approaches across these indicators. The overall standard deviation of 0.52 suggests that the ratings were relatively consistent, with responses clustering closely around the mean.</w:t>
      </w:r>
    </w:p>
    <w:p w14:paraId="64373B4C" w14:textId="77777777" w:rsidR="001E1936" w:rsidRPr="001E1936" w:rsidRDefault="001E1936" w:rsidP="001E1936">
      <w:pPr>
        <w:jc w:val="both"/>
        <w:rPr>
          <w:rFonts w:ascii="Arial" w:hAnsi="Arial" w:cs="Arial"/>
        </w:rPr>
      </w:pPr>
    </w:p>
    <w:p w14:paraId="7855148F" w14:textId="4C613754" w:rsidR="00272068" w:rsidRDefault="001E1936" w:rsidP="001E1936">
      <w:pPr>
        <w:jc w:val="both"/>
        <w:rPr>
          <w:rFonts w:ascii="Arial" w:hAnsi="Arial" w:cs="Arial"/>
        </w:rPr>
      </w:pPr>
      <w:r w:rsidRPr="001E1936">
        <w:rPr>
          <w:rFonts w:ascii="Arial" w:hAnsi="Arial" w:cs="Arial"/>
        </w:rPr>
        <w:t>This suggests that students are effectively utilizing a range of learning approaches in the context of merged learning, particularly in managing their time and effort and engaging in advanced cognitive strategies. While interaction with others and cognitive thinking show slightly lower scores, students demonstrate a generally high level of engagement and critical thinking in their learning approach. Their ability to integrate different cognitive strategies further reflects their readiness for success in a merged learning environment.</w:t>
      </w:r>
    </w:p>
    <w:p w14:paraId="757B54EB" w14:textId="77777777" w:rsidR="001E1936" w:rsidRDefault="001E1936" w:rsidP="001E1936">
      <w:pPr>
        <w:jc w:val="both"/>
        <w:rPr>
          <w:rFonts w:ascii="Arial" w:hAnsi="Arial" w:cs="Arial"/>
        </w:rPr>
      </w:pPr>
    </w:p>
    <w:p w14:paraId="1EB7189E" w14:textId="74F20F26" w:rsidR="001E1936" w:rsidRDefault="001E1936" w:rsidP="001E1936">
      <w:pPr>
        <w:jc w:val="both"/>
        <w:rPr>
          <w:rFonts w:ascii="Arial" w:hAnsi="Arial" w:cs="Arial"/>
        </w:rPr>
      </w:pPr>
      <w:r w:rsidRPr="001E1936">
        <w:rPr>
          <w:rFonts w:ascii="Arial" w:hAnsi="Arial" w:cs="Arial"/>
        </w:rPr>
        <w:t>This finding reflects the research of Halverson and Graham (2019), who suggested that high levels of learning approaches in merged learning contribute to more effective engagement and comprehension in blended learning environments. According to Lapitan et al. (2021), students who employ various learning approaches in merged learning tend to perform better, especially when balancing online and face-to-face learning components. Furthermore, research by Anthonysamy et al. (2020) indicates that students who actively use these learning approaches in merged learning can better navigate the challenges of blended learning, leading to improved academic outcomes and greater satisfaction with their learning experiences.</w:t>
      </w:r>
    </w:p>
    <w:p w14:paraId="0107D9EB" w14:textId="77777777" w:rsidR="001E1936" w:rsidRDefault="001E1936" w:rsidP="001E1936">
      <w:pPr>
        <w:jc w:val="both"/>
        <w:rPr>
          <w:rFonts w:ascii="Arial" w:hAnsi="Arial" w:cs="Arial"/>
        </w:rPr>
      </w:pPr>
    </w:p>
    <w:p w14:paraId="6EFBCE3A" w14:textId="77777777" w:rsidR="00272068" w:rsidRDefault="00272068" w:rsidP="00930640">
      <w:pPr>
        <w:jc w:val="both"/>
        <w:rPr>
          <w:rFonts w:ascii="Arial" w:hAnsi="Arial" w:cs="Arial"/>
        </w:rPr>
      </w:pPr>
    </w:p>
    <w:p w14:paraId="274C1D0F" w14:textId="77777777" w:rsidR="00272068" w:rsidRDefault="00272068" w:rsidP="00930640">
      <w:pPr>
        <w:jc w:val="both"/>
        <w:rPr>
          <w:rFonts w:ascii="Arial" w:hAnsi="Arial" w:cs="Arial"/>
        </w:rPr>
      </w:pPr>
    </w:p>
    <w:p w14:paraId="0761D3CB" w14:textId="77777777" w:rsidR="00272068" w:rsidRDefault="00272068" w:rsidP="00930640">
      <w:pPr>
        <w:jc w:val="both"/>
        <w:rPr>
          <w:rFonts w:ascii="Arial" w:hAnsi="Arial" w:cs="Arial"/>
        </w:rPr>
      </w:pPr>
    </w:p>
    <w:p w14:paraId="7F931D6F" w14:textId="77777777" w:rsidR="00272068" w:rsidRDefault="00272068" w:rsidP="00930640">
      <w:pPr>
        <w:jc w:val="both"/>
        <w:rPr>
          <w:rFonts w:ascii="Arial" w:hAnsi="Arial" w:cs="Arial"/>
        </w:rPr>
      </w:pPr>
    </w:p>
    <w:p w14:paraId="04E542A3" w14:textId="77777777" w:rsidR="00272068" w:rsidRDefault="00272068" w:rsidP="00930640">
      <w:pPr>
        <w:jc w:val="both"/>
        <w:rPr>
          <w:rFonts w:ascii="Arial" w:hAnsi="Arial" w:cs="Arial"/>
        </w:rPr>
      </w:pPr>
    </w:p>
    <w:p w14:paraId="0C428501" w14:textId="77777777" w:rsidR="00ED00E1" w:rsidRDefault="00ED00E1" w:rsidP="00930640">
      <w:pPr>
        <w:jc w:val="both"/>
        <w:rPr>
          <w:rFonts w:ascii="Arial" w:hAnsi="Arial" w:cs="Arial"/>
        </w:rPr>
      </w:pPr>
    </w:p>
    <w:p w14:paraId="47849CA5" w14:textId="77777777" w:rsidR="00ED00E1" w:rsidRDefault="00ED00E1" w:rsidP="00930640">
      <w:pPr>
        <w:jc w:val="both"/>
        <w:rPr>
          <w:rFonts w:ascii="Arial" w:hAnsi="Arial" w:cs="Arial"/>
        </w:rPr>
      </w:pPr>
    </w:p>
    <w:p w14:paraId="7DAE70EE" w14:textId="77777777" w:rsidR="00ED00E1" w:rsidRDefault="00ED00E1" w:rsidP="00930640">
      <w:pPr>
        <w:jc w:val="both"/>
        <w:rPr>
          <w:rFonts w:ascii="Arial" w:hAnsi="Arial" w:cs="Arial"/>
        </w:rPr>
      </w:pPr>
    </w:p>
    <w:p w14:paraId="743C5D32" w14:textId="77777777" w:rsidR="00272068" w:rsidRDefault="00272068" w:rsidP="00930640">
      <w:pPr>
        <w:jc w:val="both"/>
        <w:rPr>
          <w:rFonts w:ascii="Arial" w:hAnsi="Arial" w:cs="Arial"/>
        </w:rPr>
      </w:pPr>
    </w:p>
    <w:p w14:paraId="778DAEBB" w14:textId="77777777" w:rsidR="00930640" w:rsidRDefault="00930640" w:rsidP="00930640">
      <w:pPr>
        <w:jc w:val="both"/>
        <w:rPr>
          <w:rFonts w:ascii="Arial" w:hAnsi="Arial" w:cs="Arial"/>
        </w:rPr>
      </w:pPr>
    </w:p>
    <w:p w14:paraId="73523F39" w14:textId="1D9D992D" w:rsidR="00717F2E" w:rsidRDefault="008714D6" w:rsidP="00652FDB">
      <w:pPr>
        <w:jc w:val="both"/>
        <w:rPr>
          <w:rFonts w:ascii="Arial" w:hAnsi="Arial" w:cs="Arial"/>
          <w:b/>
        </w:rPr>
      </w:pPr>
      <w:r>
        <w:rPr>
          <w:rFonts w:ascii="Arial" w:hAnsi="Arial" w:cs="Arial"/>
          <w:b/>
        </w:rPr>
        <w:t xml:space="preserve">3.2 </w:t>
      </w:r>
      <w:r w:rsidR="001E1936" w:rsidRPr="001E1936">
        <w:rPr>
          <w:rFonts w:ascii="Arial" w:hAnsi="Arial" w:cs="Arial"/>
          <w:b/>
        </w:rPr>
        <w:t xml:space="preserve">Level of Willingness in Integrating Merged Learning </w:t>
      </w:r>
      <w:r w:rsidR="00930640" w:rsidRPr="00930640">
        <w:rPr>
          <w:rFonts w:ascii="Arial" w:hAnsi="Arial" w:cs="Arial"/>
          <w:b/>
        </w:rPr>
        <w:t xml:space="preserve">among Public Elementary School </w:t>
      </w:r>
      <w:r w:rsidR="001E1936">
        <w:rPr>
          <w:rFonts w:ascii="Arial" w:hAnsi="Arial" w:cs="Arial"/>
          <w:b/>
        </w:rPr>
        <w:t>Students</w:t>
      </w:r>
    </w:p>
    <w:p w14:paraId="55F82C25" w14:textId="77777777" w:rsidR="0073677C" w:rsidRDefault="0073677C" w:rsidP="00781D5E">
      <w:pPr>
        <w:jc w:val="both"/>
        <w:rPr>
          <w:rFonts w:ascii="Arial" w:hAnsi="Arial" w:cs="Arial"/>
        </w:rPr>
      </w:pPr>
    </w:p>
    <w:p w14:paraId="58FA531C" w14:textId="2C3D0AAC" w:rsidR="00781D5E" w:rsidRDefault="008714D6" w:rsidP="0073677C">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1E1936" w:rsidRPr="001E1936">
        <w:rPr>
          <w:rFonts w:ascii="Arial" w:hAnsi="Arial" w:cs="Arial"/>
          <w:i/>
        </w:rPr>
        <w:t>Level of Willingness in Integrating Merged Learning among Public Elementary School Students</w:t>
      </w:r>
    </w:p>
    <w:p w14:paraId="730FF3B4" w14:textId="77777777" w:rsidR="00930640" w:rsidRDefault="00930640" w:rsidP="0073677C">
      <w:pPr>
        <w:jc w:val="both"/>
        <w:rPr>
          <w:rFonts w:ascii="Arial" w:hAnsi="Arial" w:cs="Arial"/>
        </w:rPr>
      </w:pPr>
    </w:p>
    <w:tbl>
      <w:tblPr>
        <w:tblW w:w="8235" w:type="dxa"/>
        <w:tblInd w:w="55" w:type="dxa"/>
        <w:tblLayout w:type="fixed"/>
        <w:tblCellMar>
          <w:top w:w="55" w:type="dxa"/>
          <w:left w:w="55" w:type="dxa"/>
          <w:bottom w:w="55" w:type="dxa"/>
          <w:right w:w="55" w:type="dxa"/>
        </w:tblCellMar>
        <w:tblLook w:val="0000" w:firstRow="0" w:lastRow="0" w:firstColumn="0" w:lastColumn="0" w:noHBand="0" w:noVBand="0"/>
      </w:tblPr>
      <w:tblGrid>
        <w:gridCol w:w="3736"/>
        <w:gridCol w:w="1273"/>
        <w:gridCol w:w="1358"/>
        <w:gridCol w:w="1868"/>
      </w:tblGrid>
      <w:tr w:rsidR="001E1936" w:rsidRPr="008B5B32" w14:paraId="1940BA74" w14:textId="77777777" w:rsidTr="001E1936">
        <w:trPr>
          <w:trHeight w:val="15"/>
        </w:trPr>
        <w:tc>
          <w:tcPr>
            <w:tcW w:w="3736" w:type="dxa"/>
            <w:tcBorders>
              <w:top w:val="single" w:sz="4" w:space="0" w:color="auto"/>
              <w:bottom w:val="single" w:sz="4" w:space="0" w:color="auto"/>
            </w:tcBorders>
            <w:vAlign w:val="center"/>
          </w:tcPr>
          <w:p w14:paraId="7E21B6E1" w14:textId="77777777" w:rsidR="001E1936" w:rsidRPr="001E1936" w:rsidRDefault="001E1936" w:rsidP="00E16885">
            <w:pPr>
              <w:pStyle w:val="TableContents"/>
              <w:snapToGrid w:val="0"/>
              <w:rPr>
                <w:rFonts w:ascii="Arial" w:hAnsi="Arial" w:cs="Arial"/>
                <w:b/>
                <w:bCs/>
                <w:sz w:val="20"/>
                <w:szCs w:val="20"/>
              </w:rPr>
            </w:pPr>
            <w:r w:rsidRPr="001E1936">
              <w:rPr>
                <w:rFonts w:ascii="Arial" w:hAnsi="Arial" w:cs="Arial"/>
                <w:b/>
                <w:bCs/>
                <w:sz w:val="20"/>
                <w:szCs w:val="20"/>
              </w:rPr>
              <w:t>Indicators</w:t>
            </w:r>
          </w:p>
        </w:tc>
        <w:tc>
          <w:tcPr>
            <w:tcW w:w="1273" w:type="dxa"/>
            <w:tcBorders>
              <w:top w:val="single" w:sz="4" w:space="0" w:color="auto"/>
              <w:bottom w:val="single" w:sz="4" w:space="0" w:color="auto"/>
            </w:tcBorders>
            <w:vAlign w:val="center"/>
          </w:tcPr>
          <w:p w14:paraId="6E71C7A0" w14:textId="77777777" w:rsidR="001E1936" w:rsidRPr="001E1936" w:rsidRDefault="001E1936" w:rsidP="00E16885">
            <w:pPr>
              <w:pStyle w:val="TableContents"/>
              <w:snapToGrid w:val="0"/>
              <w:jc w:val="center"/>
              <w:rPr>
                <w:rFonts w:ascii="Arial" w:hAnsi="Arial" w:cs="Arial"/>
                <w:b/>
                <w:bCs/>
                <w:sz w:val="20"/>
                <w:szCs w:val="20"/>
              </w:rPr>
            </w:pPr>
            <w:r w:rsidRPr="001E1936">
              <w:rPr>
                <w:rFonts w:ascii="Arial" w:hAnsi="Arial" w:cs="Arial"/>
                <w:b/>
                <w:bCs/>
                <w:sz w:val="20"/>
                <w:szCs w:val="20"/>
              </w:rPr>
              <w:t>SD</w:t>
            </w:r>
          </w:p>
        </w:tc>
        <w:tc>
          <w:tcPr>
            <w:tcW w:w="1358" w:type="dxa"/>
            <w:tcBorders>
              <w:top w:val="single" w:sz="4" w:space="0" w:color="auto"/>
              <w:bottom w:val="single" w:sz="4" w:space="0" w:color="auto"/>
            </w:tcBorders>
            <w:vAlign w:val="center"/>
          </w:tcPr>
          <w:p w14:paraId="1E0448ED" w14:textId="77777777" w:rsidR="001E1936" w:rsidRPr="001E1936" w:rsidRDefault="001E1936" w:rsidP="00E16885">
            <w:pPr>
              <w:pStyle w:val="TableContents"/>
              <w:snapToGrid w:val="0"/>
              <w:jc w:val="center"/>
              <w:rPr>
                <w:rFonts w:ascii="Arial" w:hAnsi="Arial" w:cs="Arial"/>
                <w:b/>
                <w:bCs/>
                <w:sz w:val="20"/>
                <w:szCs w:val="20"/>
              </w:rPr>
            </w:pPr>
            <w:r w:rsidRPr="001E1936">
              <w:rPr>
                <w:rFonts w:ascii="Arial" w:hAnsi="Arial" w:cs="Arial"/>
                <w:b/>
                <w:bCs/>
                <w:sz w:val="20"/>
                <w:szCs w:val="20"/>
              </w:rPr>
              <w:t>Mean</w:t>
            </w:r>
          </w:p>
        </w:tc>
        <w:tc>
          <w:tcPr>
            <w:tcW w:w="1868" w:type="dxa"/>
            <w:tcBorders>
              <w:top w:val="single" w:sz="4" w:space="0" w:color="auto"/>
              <w:bottom w:val="single" w:sz="4" w:space="0" w:color="auto"/>
            </w:tcBorders>
            <w:vAlign w:val="center"/>
          </w:tcPr>
          <w:p w14:paraId="256E730F" w14:textId="77777777" w:rsidR="001E1936" w:rsidRPr="001E1936" w:rsidRDefault="001E1936" w:rsidP="00E16885">
            <w:pPr>
              <w:pStyle w:val="TableContents"/>
              <w:snapToGrid w:val="0"/>
              <w:jc w:val="center"/>
              <w:rPr>
                <w:rFonts w:ascii="Arial" w:hAnsi="Arial" w:cs="Arial"/>
                <w:b/>
                <w:bCs/>
                <w:sz w:val="20"/>
                <w:szCs w:val="20"/>
              </w:rPr>
            </w:pPr>
            <w:r w:rsidRPr="001E1936">
              <w:rPr>
                <w:rFonts w:ascii="Arial" w:hAnsi="Arial" w:cs="Arial"/>
                <w:b/>
                <w:bCs/>
                <w:sz w:val="20"/>
                <w:szCs w:val="20"/>
              </w:rPr>
              <w:t>Descriptive Level</w:t>
            </w:r>
          </w:p>
        </w:tc>
      </w:tr>
      <w:tr w:rsidR="001E1936" w:rsidRPr="008B5B32" w14:paraId="4DB3F5C2" w14:textId="77777777" w:rsidTr="001E1936">
        <w:trPr>
          <w:trHeight w:val="15"/>
        </w:trPr>
        <w:tc>
          <w:tcPr>
            <w:tcW w:w="3736" w:type="dxa"/>
            <w:tcBorders>
              <w:top w:val="single" w:sz="4" w:space="0" w:color="auto"/>
            </w:tcBorders>
          </w:tcPr>
          <w:p w14:paraId="633DA9DD" w14:textId="77777777" w:rsidR="001E1936" w:rsidRPr="001E1936" w:rsidRDefault="001E1936" w:rsidP="00E16885">
            <w:pPr>
              <w:pStyle w:val="ListParagraph"/>
              <w:ind w:left="75" w:hanging="40"/>
              <w:jc w:val="both"/>
              <w:rPr>
                <w:rFonts w:ascii="Arial" w:hAnsi="Arial" w:cs="Arial"/>
              </w:rPr>
            </w:pPr>
            <w:r w:rsidRPr="001E1936">
              <w:rPr>
                <w:rFonts w:ascii="Arial" w:hAnsi="Arial" w:cs="Arial"/>
              </w:rPr>
              <w:t>Technological Self-Efficacy</w:t>
            </w:r>
          </w:p>
        </w:tc>
        <w:tc>
          <w:tcPr>
            <w:tcW w:w="1273" w:type="dxa"/>
            <w:tcBorders>
              <w:top w:val="single" w:sz="4" w:space="0" w:color="auto"/>
            </w:tcBorders>
            <w:vAlign w:val="center"/>
          </w:tcPr>
          <w:p w14:paraId="4FAA6631"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0.69</w:t>
            </w:r>
          </w:p>
        </w:tc>
        <w:tc>
          <w:tcPr>
            <w:tcW w:w="1358" w:type="dxa"/>
            <w:tcBorders>
              <w:top w:val="single" w:sz="4" w:space="0" w:color="auto"/>
            </w:tcBorders>
            <w:vAlign w:val="center"/>
          </w:tcPr>
          <w:p w14:paraId="571F36A6"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4.06</w:t>
            </w:r>
          </w:p>
        </w:tc>
        <w:tc>
          <w:tcPr>
            <w:tcW w:w="1868" w:type="dxa"/>
            <w:tcBorders>
              <w:top w:val="single" w:sz="4" w:space="0" w:color="auto"/>
            </w:tcBorders>
            <w:vAlign w:val="center"/>
          </w:tcPr>
          <w:p w14:paraId="638057C4"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High</w:t>
            </w:r>
          </w:p>
        </w:tc>
      </w:tr>
      <w:tr w:rsidR="001E1936" w:rsidRPr="008B5B32" w14:paraId="0ACAF32A" w14:textId="77777777" w:rsidTr="001E1936">
        <w:trPr>
          <w:trHeight w:val="116"/>
        </w:trPr>
        <w:tc>
          <w:tcPr>
            <w:tcW w:w="3736" w:type="dxa"/>
          </w:tcPr>
          <w:p w14:paraId="0BE8017A" w14:textId="77777777" w:rsidR="001E1936" w:rsidRPr="001E1936" w:rsidRDefault="001E1936" w:rsidP="00E16885">
            <w:pPr>
              <w:contextualSpacing/>
              <w:jc w:val="both"/>
              <w:rPr>
                <w:rFonts w:ascii="Arial" w:hAnsi="Arial" w:cs="Arial"/>
              </w:rPr>
            </w:pPr>
            <w:r w:rsidRPr="001E1936">
              <w:rPr>
                <w:rFonts w:ascii="Arial" w:hAnsi="Arial" w:cs="Arial"/>
              </w:rPr>
              <w:t>Self-regulated learning</w:t>
            </w:r>
          </w:p>
        </w:tc>
        <w:tc>
          <w:tcPr>
            <w:tcW w:w="1273" w:type="dxa"/>
            <w:vAlign w:val="center"/>
          </w:tcPr>
          <w:p w14:paraId="5E8D4B4F"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0.70</w:t>
            </w:r>
          </w:p>
        </w:tc>
        <w:tc>
          <w:tcPr>
            <w:tcW w:w="1358" w:type="dxa"/>
            <w:vAlign w:val="center"/>
          </w:tcPr>
          <w:p w14:paraId="6D8EF30F"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3.88</w:t>
            </w:r>
          </w:p>
        </w:tc>
        <w:tc>
          <w:tcPr>
            <w:tcW w:w="1868" w:type="dxa"/>
            <w:vAlign w:val="center"/>
          </w:tcPr>
          <w:p w14:paraId="200F6CBB" w14:textId="77777777" w:rsidR="001E1936" w:rsidRPr="001E1936" w:rsidRDefault="001E1936" w:rsidP="00E16885">
            <w:pPr>
              <w:jc w:val="center"/>
              <w:rPr>
                <w:rFonts w:ascii="Arial" w:hAnsi="Arial" w:cs="Arial"/>
              </w:rPr>
            </w:pPr>
            <w:r w:rsidRPr="001E1936">
              <w:rPr>
                <w:rFonts w:ascii="Arial" w:hAnsi="Arial" w:cs="Arial"/>
              </w:rPr>
              <w:t>High</w:t>
            </w:r>
          </w:p>
        </w:tc>
      </w:tr>
      <w:tr w:rsidR="001E1936" w:rsidRPr="008B5B32" w14:paraId="61DC6C04" w14:textId="77777777" w:rsidTr="001E1936">
        <w:trPr>
          <w:trHeight w:val="25"/>
        </w:trPr>
        <w:tc>
          <w:tcPr>
            <w:tcW w:w="3736" w:type="dxa"/>
          </w:tcPr>
          <w:p w14:paraId="26DF52B3" w14:textId="77777777" w:rsidR="001E1936" w:rsidRPr="001E1936" w:rsidRDefault="001E1936" w:rsidP="00E16885">
            <w:pPr>
              <w:contextualSpacing/>
              <w:jc w:val="both"/>
              <w:rPr>
                <w:rFonts w:ascii="Arial" w:hAnsi="Arial" w:cs="Arial"/>
              </w:rPr>
            </w:pPr>
            <w:r w:rsidRPr="001E1936">
              <w:rPr>
                <w:rFonts w:ascii="Arial" w:hAnsi="Arial" w:cs="Arial"/>
              </w:rPr>
              <w:t>Control Over Learning</w:t>
            </w:r>
          </w:p>
        </w:tc>
        <w:tc>
          <w:tcPr>
            <w:tcW w:w="1273" w:type="dxa"/>
            <w:vAlign w:val="center"/>
          </w:tcPr>
          <w:p w14:paraId="60745898"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0.65</w:t>
            </w:r>
          </w:p>
        </w:tc>
        <w:tc>
          <w:tcPr>
            <w:tcW w:w="1358" w:type="dxa"/>
            <w:vAlign w:val="center"/>
          </w:tcPr>
          <w:p w14:paraId="6A77A891"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3.68</w:t>
            </w:r>
          </w:p>
        </w:tc>
        <w:tc>
          <w:tcPr>
            <w:tcW w:w="1868" w:type="dxa"/>
            <w:vAlign w:val="center"/>
          </w:tcPr>
          <w:p w14:paraId="0B8AAB5B" w14:textId="77777777" w:rsidR="001E1936" w:rsidRPr="001E1936" w:rsidRDefault="001E1936" w:rsidP="00E16885">
            <w:pPr>
              <w:jc w:val="center"/>
              <w:rPr>
                <w:rFonts w:ascii="Arial" w:hAnsi="Arial" w:cs="Arial"/>
              </w:rPr>
            </w:pPr>
            <w:r w:rsidRPr="001E1936">
              <w:rPr>
                <w:rFonts w:ascii="Arial" w:hAnsi="Arial" w:cs="Arial"/>
              </w:rPr>
              <w:t>High</w:t>
            </w:r>
          </w:p>
        </w:tc>
      </w:tr>
      <w:tr w:rsidR="001E1936" w:rsidRPr="008B5B32" w14:paraId="1E282FB9" w14:textId="77777777" w:rsidTr="001E1936">
        <w:trPr>
          <w:trHeight w:val="25"/>
        </w:trPr>
        <w:tc>
          <w:tcPr>
            <w:tcW w:w="3736" w:type="dxa"/>
          </w:tcPr>
          <w:p w14:paraId="6028CADD" w14:textId="77777777" w:rsidR="001E1936" w:rsidRPr="001E1936" w:rsidRDefault="001E1936" w:rsidP="00E16885">
            <w:pPr>
              <w:pStyle w:val="ListParagraph"/>
              <w:ind w:left="75" w:hanging="40"/>
              <w:jc w:val="both"/>
              <w:rPr>
                <w:rFonts w:ascii="Arial" w:hAnsi="Arial" w:cs="Arial"/>
              </w:rPr>
            </w:pPr>
            <w:r w:rsidRPr="001E1936">
              <w:rPr>
                <w:rFonts w:ascii="Arial" w:hAnsi="Arial" w:cs="Arial"/>
              </w:rPr>
              <w:t>Learning Motivation</w:t>
            </w:r>
          </w:p>
        </w:tc>
        <w:tc>
          <w:tcPr>
            <w:tcW w:w="1273" w:type="dxa"/>
            <w:vAlign w:val="center"/>
          </w:tcPr>
          <w:p w14:paraId="17FB7254"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0.68</w:t>
            </w:r>
          </w:p>
        </w:tc>
        <w:tc>
          <w:tcPr>
            <w:tcW w:w="1358" w:type="dxa"/>
            <w:vAlign w:val="center"/>
          </w:tcPr>
          <w:p w14:paraId="245DC587"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4.12</w:t>
            </w:r>
          </w:p>
        </w:tc>
        <w:tc>
          <w:tcPr>
            <w:tcW w:w="1868" w:type="dxa"/>
            <w:vAlign w:val="center"/>
          </w:tcPr>
          <w:p w14:paraId="3C6F8AAF" w14:textId="77777777" w:rsidR="001E1936" w:rsidRPr="001E1936" w:rsidRDefault="001E1936" w:rsidP="00E16885">
            <w:pPr>
              <w:jc w:val="center"/>
              <w:rPr>
                <w:rFonts w:ascii="Arial" w:hAnsi="Arial" w:cs="Arial"/>
              </w:rPr>
            </w:pPr>
            <w:r w:rsidRPr="001E1936">
              <w:rPr>
                <w:rFonts w:ascii="Arial" w:hAnsi="Arial" w:cs="Arial"/>
              </w:rPr>
              <w:t>High</w:t>
            </w:r>
          </w:p>
        </w:tc>
      </w:tr>
      <w:tr w:rsidR="001E1936" w:rsidRPr="008B5B32" w14:paraId="097F6340" w14:textId="77777777" w:rsidTr="001E1936">
        <w:trPr>
          <w:trHeight w:val="25"/>
        </w:trPr>
        <w:tc>
          <w:tcPr>
            <w:tcW w:w="3736" w:type="dxa"/>
          </w:tcPr>
          <w:p w14:paraId="06BB7F03" w14:textId="77777777" w:rsidR="001E1936" w:rsidRPr="001E1936" w:rsidRDefault="001E1936" w:rsidP="00E16885">
            <w:pPr>
              <w:pStyle w:val="ListParagraph"/>
              <w:ind w:left="75" w:hanging="40"/>
              <w:jc w:val="both"/>
              <w:rPr>
                <w:rFonts w:ascii="Arial" w:hAnsi="Arial" w:cs="Arial"/>
              </w:rPr>
            </w:pPr>
            <w:r w:rsidRPr="001E1936">
              <w:rPr>
                <w:rFonts w:ascii="Arial" w:hAnsi="Arial" w:cs="Arial"/>
              </w:rPr>
              <w:t>Digital Communication</w:t>
            </w:r>
          </w:p>
        </w:tc>
        <w:tc>
          <w:tcPr>
            <w:tcW w:w="1273" w:type="dxa"/>
            <w:vAlign w:val="center"/>
          </w:tcPr>
          <w:p w14:paraId="62044F69"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0.75</w:t>
            </w:r>
          </w:p>
        </w:tc>
        <w:tc>
          <w:tcPr>
            <w:tcW w:w="1358" w:type="dxa"/>
            <w:vAlign w:val="center"/>
          </w:tcPr>
          <w:p w14:paraId="5A674742"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3.81</w:t>
            </w:r>
          </w:p>
        </w:tc>
        <w:tc>
          <w:tcPr>
            <w:tcW w:w="1868" w:type="dxa"/>
            <w:vAlign w:val="center"/>
          </w:tcPr>
          <w:p w14:paraId="4725A031" w14:textId="77777777" w:rsidR="001E1936" w:rsidRPr="001E1936" w:rsidRDefault="001E1936" w:rsidP="00E16885">
            <w:pPr>
              <w:jc w:val="center"/>
              <w:rPr>
                <w:rFonts w:ascii="Arial" w:hAnsi="Arial" w:cs="Arial"/>
              </w:rPr>
            </w:pPr>
            <w:r w:rsidRPr="001E1936">
              <w:rPr>
                <w:rFonts w:ascii="Arial" w:hAnsi="Arial" w:cs="Arial"/>
              </w:rPr>
              <w:t>High</w:t>
            </w:r>
          </w:p>
        </w:tc>
      </w:tr>
      <w:tr w:rsidR="001E1936" w:rsidRPr="00885DD4" w14:paraId="3F8664FF" w14:textId="77777777" w:rsidTr="001E1936">
        <w:trPr>
          <w:trHeight w:val="25"/>
        </w:trPr>
        <w:tc>
          <w:tcPr>
            <w:tcW w:w="3736" w:type="dxa"/>
            <w:tcBorders>
              <w:bottom w:val="single" w:sz="4" w:space="0" w:color="auto"/>
            </w:tcBorders>
            <w:vAlign w:val="center"/>
          </w:tcPr>
          <w:p w14:paraId="770F53DB" w14:textId="77777777" w:rsidR="001E1936" w:rsidRPr="001E1936" w:rsidRDefault="001E1936" w:rsidP="00E16885">
            <w:pPr>
              <w:snapToGrid w:val="0"/>
              <w:ind w:left="755" w:hanging="755"/>
              <w:rPr>
                <w:rFonts w:ascii="Arial" w:hAnsi="Arial" w:cs="Arial"/>
                <w:b/>
              </w:rPr>
            </w:pPr>
            <w:r w:rsidRPr="001E1936">
              <w:rPr>
                <w:rFonts w:ascii="Arial" w:hAnsi="Arial" w:cs="Arial"/>
                <w:b/>
              </w:rPr>
              <w:t>Overall</w:t>
            </w:r>
          </w:p>
        </w:tc>
        <w:tc>
          <w:tcPr>
            <w:tcW w:w="1273" w:type="dxa"/>
            <w:tcBorders>
              <w:bottom w:val="single" w:sz="4" w:space="0" w:color="auto"/>
            </w:tcBorders>
            <w:vAlign w:val="center"/>
          </w:tcPr>
          <w:p w14:paraId="2210EEF3" w14:textId="77777777" w:rsidR="001E1936" w:rsidRPr="001E1936" w:rsidRDefault="001E1936" w:rsidP="00E16885">
            <w:pPr>
              <w:pStyle w:val="TableContents"/>
              <w:snapToGrid w:val="0"/>
              <w:jc w:val="center"/>
              <w:rPr>
                <w:rFonts w:ascii="Arial" w:hAnsi="Arial" w:cs="Arial"/>
                <w:b/>
                <w:sz w:val="20"/>
                <w:szCs w:val="20"/>
              </w:rPr>
            </w:pPr>
            <w:r w:rsidRPr="001E1936">
              <w:rPr>
                <w:rFonts w:ascii="Arial" w:hAnsi="Arial" w:cs="Arial"/>
                <w:b/>
                <w:sz w:val="20"/>
                <w:szCs w:val="20"/>
              </w:rPr>
              <w:t>0.55</w:t>
            </w:r>
          </w:p>
        </w:tc>
        <w:tc>
          <w:tcPr>
            <w:tcW w:w="1358" w:type="dxa"/>
            <w:tcBorders>
              <w:bottom w:val="single" w:sz="4" w:space="0" w:color="auto"/>
            </w:tcBorders>
            <w:vAlign w:val="center"/>
          </w:tcPr>
          <w:p w14:paraId="7EAB9373" w14:textId="77777777" w:rsidR="001E1936" w:rsidRPr="001E1936" w:rsidRDefault="001E1936" w:rsidP="00E16885">
            <w:pPr>
              <w:pStyle w:val="TableContents"/>
              <w:snapToGrid w:val="0"/>
              <w:jc w:val="center"/>
              <w:rPr>
                <w:rFonts w:ascii="Arial" w:hAnsi="Arial" w:cs="Arial"/>
                <w:b/>
                <w:sz w:val="20"/>
                <w:szCs w:val="20"/>
              </w:rPr>
            </w:pPr>
            <w:r w:rsidRPr="001E1936">
              <w:rPr>
                <w:rFonts w:ascii="Arial" w:hAnsi="Arial" w:cs="Arial"/>
                <w:b/>
                <w:sz w:val="20"/>
                <w:szCs w:val="20"/>
              </w:rPr>
              <w:t>3.91</w:t>
            </w:r>
          </w:p>
        </w:tc>
        <w:tc>
          <w:tcPr>
            <w:tcW w:w="1868" w:type="dxa"/>
            <w:tcBorders>
              <w:bottom w:val="single" w:sz="4" w:space="0" w:color="auto"/>
            </w:tcBorders>
            <w:vAlign w:val="center"/>
          </w:tcPr>
          <w:p w14:paraId="1744A54E" w14:textId="77777777" w:rsidR="001E1936" w:rsidRPr="001E1936" w:rsidRDefault="001E1936" w:rsidP="00E16885">
            <w:pPr>
              <w:jc w:val="center"/>
              <w:rPr>
                <w:rFonts w:ascii="Arial" w:hAnsi="Arial" w:cs="Arial"/>
                <w:b/>
              </w:rPr>
            </w:pPr>
            <w:r w:rsidRPr="001E1936">
              <w:rPr>
                <w:rFonts w:ascii="Arial" w:hAnsi="Arial" w:cs="Arial"/>
                <w:b/>
              </w:rPr>
              <w:t>High</w:t>
            </w:r>
          </w:p>
        </w:tc>
      </w:tr>
    </w:tbl>
    <w:p w14:paraId="21ED3F61" w14:textId="77777777" w:rsidR="0073677C" w:rsidRDefault="0073677C" w:rsidP="0073677C">
      <w:pPr>
        <w:jc w:val="both"/>
        <w:rPr>
          <w:rFonts w:ascii="Arial" w:hAnsi="Arial" w:cs="Arial"/>
        </w:rPr>
      </w:pPr>
    </w:p>
    <w:p w14:paraId="6B4DCA68" w14:textId="65B52FBA" w:rsidR="001E1936" w:rsidRDefault="001E1936" w:rsidP="001E1936">
      <w:pPr>
        <w:jc w:val="both"/>
        <w:rPr>
          <w:rFonts w:ascii="Arial" w:hAnsi="Arial" w:cs="Arial"/>
        </w:rPr>
      </w:pPr>
      <w:r w:rsidRPr="001E1936">
        <w:rPr>
          <w:rFonts w:ascii="Arial" w:hAnsi="Arial" w:cs="Arial"/>
        </w:rPr>
        <w:t>Presented in Table 2 is the level of willingness to integrate merged learning, based on the mean scores and standard deviations. The indicator learning motivation has the highest mean of 4.12, followed by technological self-efficacy with a mean of 4.06. Self-regulated learning received a mean of 3.88, while digital communication was slightly lower with a mean of 3.81. The indicator control over learning received the lowest mean of 3.68. The overall mean of 3.91 is described as "high," indicating that students generally demonstrate a strong willingness to engage in merged learning across these various areas. The overall standard deviation of 0.55 suggests that the ratings were relatively consistent, with responses clustering closely around the mean.</w:t>
      </w:r>
    </w:p>
    <w:p w14:paraId="260F5E72" w14:textId="77777777" w:rsidR="001E1936" w:rsidRPr="001E1936" w:rsidRDefault="001E1936" w:rsidP="001E1936">
      <w:pPr>
        <w:jc w:val="both"/>
        <w:rPr>
          <w:rFonts w:ascii="Arial" w:hAnsi="Arial" w:cs="Arial"/>
        </w:rPr>
      </w:pPr>
    </w:p>
    <w:p w14:paraId="0A618F85" w14:textId="225AF9B6" w:rsidR="00272068" w:rsidRDefault="001E1936" w:rsidP="001E1936">
      <w:pPr>
        <w:jc w:val="both"/>
        <w:rPr>
          <w:rFonts w:ascii="Arial" w:hAnsi="Arial" w:cs="Arial"/>
        </w:rPr>
      </w:pPr>
      <w:r w:rsidRPr="001E1936">
        <w:rPr>
          <w:rFonts w:ascii="Arial" w:hAnsi="Arial" w:cs="Arial"/>
        </w:rPr>
        <w:t>This suggests that students feel generally willing to engage in merged learning, particularly in terms of their motivation to learn and their confidence with technology. While areas like control over learning and digital communication show slightly lower scores, the overall willingness to engage with merged learning remains high. Students' motivation and technological self-efficacy stand out as key strengths in their readiness to engage with merged learning environments.</w:t>
      </w:r>
    </w:p>
    <w:p w14:paraId="27D0375C" w14:textId="77777777" w:rsidR="001E1936" w:rsidRDefault="001E1936" w:rsidP="00930640">
      <w:pPr>
        <w:jc w:val="both"/>
        <w:rPr>
          <w:rFonts w:ascii="Arial" w:hAnsi="Arial" w:cs="Arial"/>
        </w:rPr>
      </w:pPr>
    </w:p>
    <w:p w14:paraId="616C91C7" w14:textId="11FCB66F" w:rsidR="001E1936" w:rsidRDefault="001E1936" w:rsidP="00930640">
      <w:pPr>
        <w:jc w:val="both"/>
        <w:rPr>
          <w:rFonts w:ascii="Arial" w:hAnsi="Arial" w:cs="Arial"/>
        </w:rPr>
      </w:pPr>
      <w:r w:rsidRPr="001E1936">
        <w:rPr>
          <w:rFonts w:ascii="Arial" w:hAnsi="Arial" w:cs="Arial"/>
        </w:rPr>
        <w:t>This finding aligns with the research of Geng et al. (2019), who highlighted the significance of willingness in merged learning, especially regarding students' ability to independently manage their learning. Similarly, McHone (2020) observed that students' willingness to engage with merged learning has a positive influence on their participation and success, particularly in academic subjects. Furthermore, a study by Emelyanova and Voronina (2017) revealed that when students are adequately prepared for merged learning, they demonstrate greater confidence in utilizing technology and are more involved in both online and in-person learning activities, thereby enhancing their overall learning experience.</w:t>
      </w:r>
    </w:p>
    <w:p w14:paraId="5DB7B208" w14:textId="77777777" w:rsidR="001E1936" w:rsidRDefault="001E1936" w:rsidP="00930640">
      <w:pPr>
        <w:jc w:val="both"/>
        <w:rPr>
          <w:rFonts w:ascii="Arial" w:hAnsi="Arial" w:cs="Arial"/>
        </w:rPr>
      </w:pPr>
    </w:p>
    <w:p w14:paraId="4E59889A" w14:textId="77777777" w:rsidR="001E1936" w:rsidRDefault="001E1936" w:rsidP="00930640">
      <w:pPr>
        <w:jc w:val="both"/>
        <w:rPr>
          <w:rFonts w:ascii="Arial" w:hAnsi="Arial" w:cs="Arial"/>
        </w:rPr>
      </w:pPr>
    </w:p>
    <w:p w14:paraId="21682074" w14:textId="77777777" w:rsidR="001E1936" w:rsidRDefault="001E1936" w:rsidP="00930640">
      <w:pPr>
        <w:jc w:val="both"/>
        <w:rPr>
          <w:rFonts w:ascii="Arial" w:hAnsi="Arial" w:cs="Arial"/>
        </w:rPr>
      </w:pPr>
    </w:p>
    <w:p w14:paraId="517D34D8" w14:textId="77777777" w:rsidR="001E1936" w:rsidRDefault="001E1936" w:rsidP="00930640">
      <w:pPr>
        <w:jc w:val="both"/>
        <w:rPr>
          <w:rFonts w:ascii="Arial" w:hAnsi="Arial" w:cs="Arial"/>
        </w:rPr>
      </w:pPr>
    </w:p>
    <w:p w14:paraId="23951256" w14:textId="77777777" w:rsidR="001E1936" w:rsidRDefault="001E1936" w:rsidP="00930640">
      <w:pPr>
        <w:jc w:val="both"/>
        <w:rPr>
          <w:rFonts w:ascii="Arial" w:hAnsi="Arial" w:cs="Arial"/>
        </w:rPr>
      </w:pPr>
    </w:p>
    <w:p w14:paraId="195EDCF7" w14:textId="77777777" w:rsidR="001E1936" w:rsidRDefault="001E1936" w:rsidP="00930640">
      <w:pPr>
        <w:jc w:val="both"/>
        <w:rPr>
          <w:rFonts w:ascii="Arial" w:hAnsi="Arial" w:cs="Arial"/>
        </w:rPr>
      </w:pPr>
    </w:p>
    <w:p w14:paraId="329713BE" w14:textId="77777777" w:rsidR="001E1936" w:rsidRDefault="001E1936" w:rsidP="00930640">
      <w:pPr>
        <w:jc w:val="both"/>
        <w:rPr>
          <w:rFonts w:ascii="Arial" w:hAnsi="Arial" w:cs="Arial"/>
        </w:rPr>
      </w:pPr>
    </w:p>
    <w:p w14:paraId="6EE4724E" w14:textId="77777777" w:rsidR="001E1936" w:rsidRDefault="001E1936" w:rsidP="00930640">
      <w:pPr>
        <w:jc w:val="both"/>
        <w:rPr>
          <w:rFonts w:ascii="Arial" w:hAnsi="Arial" w:cs="Arial"/>
        </w:rPr>
      </w:pPr>
    </w:p>
    <w:p w14:paraId="1E01C75B" w14:textId="77777777" w:rsidR="001E1936" w:rsidRDefault="001E1936" w:rsidP="00930640">
      <w:pPr>
        <w:jc w:val="both"/>
        <w:rPr>
          <w:rFonts w:ascii="Arial" w:hAnsi="Arial" w:cs="Arial"/>
        </w:rPr>
      </w:pPr>
    </w:p>
    <w:p w14:paraId="2EC65AE2" w14:textId="77777777" w:rsidR="001E1936" w:rsidRDefault="001E1936" w:rsidP="00930640">
      <w:pPr>
        <w:jc w:val="both"/>
        <w:rPr>
          <w:rFonts w:ascii="Arial" w:hAnsi="Arial" w:cs="Arial"/>
        </w:rPr>
      </w:pPr>
    </w:p>
    <w:p w14:paraId="772343D1" w14:textId="77777777" w:rsidR="001E1936" w:rsidRDefault="001E1936" w:rsidP="00930640">
      <w:pPr>
        <w:jc w:val="both"/>
        <w:rPr>
          <w:rFonts w:ascii="Arial" w:hAnsi="Arial" w:cs="Arial"/>
        </w:rPr>
      </w:pPr>
    </w:p>
    <w:p w14:paraId="2B5D5EBC" w14:textId="339E4449" w:rsidR="001E1936" w:rsidRDefault="001E1936" w:rsidP="001E1936">
      <w:pPr>
        <w:jc w:val="both"/>
        <w:rPr>
          <w:rFonts w:ascii="Arial" w:hAnsi="Arial" w:cs="Arial"/>
          <w:b/>
        </w:rPr>
      </w:pPr>
      <w:r>
        <w:rPr>
          <w:rFonts w:ascii="Arial" w:hAnsi="Arial" w:cs="Arial"/>
          <w:b/>
        </w:rPr>
        <w:t xml:space="preserve">3.3 </w:t>
      </w:r>
      <w:r w:rsidR="00880A60" w:rsidRPr="00880A60">
        <w:rPr>
          <w:rFonts w:ascii="Arial" w:hAnsi="Arial" w:cs="Arial"/>
          <w:b/>
        </w:rPr>
        <w:t xml:space="preserve">Level of Gratification towards Merged Learning </w:t>
      </w:r>
      <w:r w:rsidRPr="00930640">
        <w:rPr>
          <w:rFonts w:ascii="Arial" w:hAnsi="Arial" w:cs="Arial"/>
          <w:b/>
        </w:rPr>
        <w:t xml:space="preserve">among Public Elementary School </w:t>
      </w:r>
      <w:r>
        <w:rPr>
          <w:rFonts w:ascii="Arial" w:hAnsi="Arial" w:cs="Arial"/>
          <w:b/>
        </w:rPr>
        <w:t>Students</w:t>
      </w:r>
    </w:p>
    <w:p w14:paraId="38082B8A" w14:textId="77777777" w:rsidR="001E1936" w:rsidRDefault="001E1936" w:rsidP="001E1936">
      <w:pPr>
        <w:jc w:val="both"/>
        <w:rPr>
          <w:rFonts w:ascii="Arial" w:hAnsi="Arial" w:cs="Arial"/>
        </w:rPr>
      </w:pPr>
    </w:p>
    <w:p w14:paraId="07BEBC3C" w14:textId="4BCE44B2" w:rsidR="001E1936" w:rsidRDefault="001E1936" w:rsidP="001E1936">
      <w:pPr>
        <w:jc w:val="both"/>
        <w:rPr>
          <w:rFonts w:ascii="Arial" w:hAnsi="Arial" w:cs="Arial"/>
          <w:i/>
        </w:rPr>
      </w:pPr>
      <w:r>
        <w:rPr>
          <w:rFonts w:ascii="Arial" w:hAnsi="Arial" w:cs="Arial"/>
          <w:iCs/>
        </w:rPr>
        <w:t xml:space="preserve">Table </w:t>
      </w:r>
      <w:r w:rsidR="00880A60">
        <w:rPr>
          <w:rFonts w:ascii="Arial" w:hAnsi="Arial" w:cs="Arial"/>
          <w:iCs/>
        </w:rPr>
        <w:t>3</w:t>
      </w:r>
      <w:r>
        <w:rPr>
          <w:rFonts w:ascii="Arial" w:hAnsi="Arial" w:cs="Arial"/>
          <w:iCs/>
        </w:rPr>
        <w:t xml:space="preserve">. </w:t>
      </w:r>
      <w:r w:rsidR="00880A60" w:rsidRPr="00880A60">
        <w:rPr>
          <w:rFonts w:ascii="Arial" w:hAnsi="Arial" w:cs="Arial"/>
          <w:i/>
        </w:rPr>
        <w:t>Level of Gratification towards Merged Learning among Public Elementary School Students</w:t>
      </w:r>
    </w:p>
    <w:p w14:paraId="768439F1" w14:textId="77777777" w:rsidR="00880A60" w:rsidRDefault="00880A60" w:rsidP="001E1936">
      <w:pPr>
        <w:jc w:val="both"/>
        <w:rPr>
          <w:rFonts w:ascii="Arial" w:hAnsi="Arial" w:cs="Arial"/>
        </w:rPr>
      </w:pPr>
    </w:p>
    <w:tbl>
      <w:tblPr>
        <w:tblW w:w="8175" w:type="dxa"/>
        <w:tblInd w:w="55" w:type="dxa"/>
        <w:tblLayout w:type="fixed"/>
        <w:tblCellMar>
          <w:top w:w="55" w:type="dxa"/>
          <w:left w:w="55" w:type="dxa"/>
          <w:bottom w:w="55" w:type="dxa"/>
          <w:right w:w="55" w:type="dxa"/>
        </w:tblCellMar>
        <w:tblLook w:val="0000" w:firstRow="0" w:lastRow="0" w:firstColumn="0" w:lastColumn="0" w:noHBand="0" w:noVBand="0"/>
      </w:tblPr>
      <w:tblGrid>
        <w:gridCol w:w="3709"/>
        <w:gridCol w:w="1264"/>
        <w:gridCol w:w="1348"/>
        <w:gridCol w:w="1854"/>
      </w:tblGrid>
      <w:tr w:rsidR="00710AA0" w:rsidRPr="00A71613" w14:paraId="20F6B4AD" w14:textId="77777777" w:rsidTr="00710AA0">
        <w:trPr>
          <w:trHeight w:val="13"/>
        </w:trPr>
        <w:tc>
          <w:tcPr>
            <w:tcW w:w="3709" w:type="dxa"/>
            <w:tcBorders>
              <w:top w:val="single" w:sz="4" w:space="0" w:color="auto"/>
              <w:bottom w:val="single" w:sz="4" w:space="0" w:color="auto"/>
            </w:tcBorders>
            <w:vAlign w:val="center"/>
          </w:tcPr>
          <w:p w14:paraId="14394CCB" w14:textId="77777777" w:rsidR="00710AA0" w:rsidRPr="00710AA0" w:rsidRDefault="00710AA0" w:rsidP="00E16885">
            <w:pPr>
              <w:pStyle w:val="TableContents"/>
              <w:snapToGrid w:val="0"/>
              <w:rPr>
                <w:rFonts w:ascii="Arial" w:hAnsi="Arial" w:cs="Arial"/>
                <w:b/>
                <w:bCs/>
                <w:sz w:val="20"/>
                <w:szCs w:val="20"/>
              </w:rPr>
            </w:pPr>
            <w:r w:rsidRPr="00710AA0">
              <w:rPr>
                <w:rFonts w:ascii="Arial" w:hAnsi="Arial" w:cs="Arial"/>
                <w:b/>
                <w:bCs/>
                <w:sz w:val="20"/>
                <w:szCs w:val="20"/>
              </w:rPr>
              <w:t>Indicators</w:t>
            </w:r>
          </w:p>
        </w:tc>
        <w:tc>
          <w:tcPr>
            <w:tcW w:w="1264" w:type="dxa"/>
            <w:tcBorders>
              <w:top w:val="single" w:sz="4" w:space="0" w:color="auto"/>
              <w:bottom w:val="single" w:sz="4" w:space="0" w:color="auto"/>
            </w:tcBorders>
            <w:vAlign w:val="center"/>
          </w:tcPr>
          <w:p w14:paraId="7543CA5B" w14:textId="77777777" w:rsidR="00710AA0" w:rsidRPr="00710AA0" w:rsidRDefault="00710AA0" w:rsidP="00E16885">
            <w:pPr>
              <w:pStyle w:val="TableContents"/>
              <w:snapToGrid w:val="0"/>
              <w:jc w:val="center"/>
              <w:rPr>
                <w:rFonts w:ascii="Arial" w:hAnsi="Arial" w:cs="Arial"/>
                <w:b/>
                <w:bCs/>
                <w:sz w:val="20"/>
                <w:szCs w:val="20"/>
              </w:rPr>
            </w:pPr>
            <w:r w:rsidRPr="00710AA0">
              <w:rPr>
                <w:rFonts w:ascii="Arial" w:hAnsi="Arial" w:cs="Arial"/>
                <w:b/>
                <w:bCs/>
                <w:sz w:val="20"/>
                <w:szCs w:val="20"/>
              </w:rPr>
              <w:t>SD</w:t>
            </w:r>
          </w:p>
        </w:tc>
        <w:tc>
          <w:tcPr>
            <w:tcW w:w="1348" w:type="dxa"/>
            <w:tcBorders>
              <w:top w:val="single" w:sz="4" w:space="0" w:color="auto"/>
              <w:bottom w:val="single" w:sz="4" w:space="0" w:color="auto"/>
            </w:tcBorders>
            <w:vAlign w:val="center"/>
          </w:tcPr>
          <w:p w14:paraId="44B6F141" w14:textId="77777777" w:rsidR="00710AA0" w:rsidRPr="00710AA0" w:rsidRDefault="00710AA0" w:rsidP="00E16885">
            <w:pPr>
              <w:pStyle w:val="TableContents"/>
              <w:snapToGrid w:val="0"/>
              <w:jc w:val="center"/>
              <w:rPr>
                <w:rFonts w:ascii="Arial" w:hAnsi="Arial" w:cs="Arial"/>
                <w:b/>
                <w:bCs/>
                <w:sz w:val="20"/>
                <w:szCs w:val="20"/>
              </w:rPr>
            </w:pPr>
            <w:r w:rsidRPr="00710AA0">
              <w:rPr>
                <w:rFonts w:ascii="Arial" w:hAnsi="Arial" w:cs="Arial"/>
                <w:b/>
                <w:bCs/>
                <w:sz w:val="20"/>
                <w:szCs w:val="20"/>
              </w:rPr>
              <w:t>Mean</w:t>
            </w:r>
          </w:p>
        </w:tc>
        <w:tc>
          <w:tcPr>
            <w:tcW w:w="1854" w:type="dxa"/>
            <w:tcBorders>
              <w:top w:val="single" w:sz="4" w:space="0" w:color="auto"/>
              <w:bottom w:val="single" w:sz="4" w:space="0" w:color="auto"/>
            </w:tcBorders>
            <w:vAlign w:val="center"/>
          </w:tcPr>
          <w:p w14:paraId="39522F8B" w14:textId="77777777" w:rsidR="00710AA0" w:rsidRPr="00710AA0" w:rsidRDefault="00710AA0" w:rsidP="00E16885">
            <w:pPr>
              <w:pStyle w:val="TableContents"/>
              <w:snapToGrid w:val="0"/>
              <w:jc w:val="center"/>
              <w:rPr>
                <w:rFonts w:ascii="Arial" w:hAnsi="Arial" w:cs="Arial"/>
                <w:b/>
                <w:bCs/>
                <w:sz w:val="20"/>
                <w:szCs w:val="20"/>
              </w:rPr>
            </w:pPr>
            <w:r w:rsidRPr="00710AA0">
              <w:rPr>
                <w:rFonts w:ascii="Arial" w:hAnsi="Arial" w:cs="Arial"/>
                <w:b/>
                <w:bCs/>
                <w:sz w:val="20"/>
                <w:szCs w:val="20"/>
              </w:rPr>
              <w:t>Descriptive Level</w:t>
            </w:r>
          </w:p>
        </w:tc>
      </w:tr>
      <w:tr w:rsidR="00710AA0" w:rsidRPr="00A71613" w14:paraId="0AB9EE96" w14:textId="77777777" w:rsidTr="00710AA0">
        <w:trPr>
          <w:trHeight w:val="13"/>
        </w:trPr>
        <w:tc>
          <w:tcPr>
            <w:tcW w:w="3709" w:type="dxa"/>
            <w:tcBorders>
              <w:top w:val="single" w:sz="4" w:space="0" w:color="auto"/>
            </w:tcBorders>
          </w:tcPr>
          <w:p w14:paraId="337E07C5" w14:textId="77777777" w:rsidR="00710AA0" w:rsidRPr="00710AA0" w:rsidRDefault="00710AA0" w:rsidP="00E16885">
            <w:pPr>
              <w:pStyle w:val="ListParagraph"/>
              <w:ind w:left="75" w:hanging="40"/>
              <w:jc w:val="both"/>
              <w:rPr>
                <w:rFonts w:ascii="Arial" w:hAnsi="Arial" w:cs="Arial"/>
              </w:rPr>
            </w:pPr>
            <w:r w:rsidRPr="00710AA0">
              <w:rPr>
                <w:rFonts w:ascii="Arial" w:hAnsi="Arial" w:cs="Arial"/>
              </w:rPr>
              <w:t>Engagement</w:t>
            </w:r>
          </w:p>
        </w:tc>
        <w:tc>
          <w:tcPr>
            <w:tcW w:w="1264" w:type="dxa"/>
            <w:tcBorders>
              <w:top w:val="single" w:sz="4" w:space="0" w:color="auto"/>
            </w:tcBorders>
            <w:vAlign w:val="center"/>
          </w:tcPr>
          <w:p w14:paraId="04FCEFE1" w14:textId="77777777" w:rsidR="00710AA0" w:rsidRPr="00710AA0" w:rsidRDefault="00710AA0" w:rsidP="00E16885">
            <w:pPr>
              <w:pStyle w:val="TableContents"/>
              <w:snapToGrid w:val="0"/>
              <w:jc w:val="center"/>
              <w:rPr>
                <w:rFonts w:ascii="Arial" w:hAnsi="Arial" w:cs="Arial"/>
                <w:sz w:val="20"/>
                <w:szCs w:val="20"/>
              </w:rPr>
            </w:pPr>
            <w:r w:rsidRPr="00710AA0">
              <w:rPr>
                <w:rFonts w:ascii="Arial" w:hAnsi="Arial" w:cs="Arial"/>
                <w:sz w:val="20"/>
                <w:szCs w:val="20"/>
              </w:rPr>
              <w:t>0.63</w:t>
            </w:r>
          </w:p>
        </w:tc>
        <w:tc>
          <w:tcPr>
            <w:tcW w:w="1348" w:type="dxa"/>
            <w:tcBorders>
              <w:top w:val="single" w:sz="4" w:space="0" w:color="auto"/>
            </w:tcBorders>
            <w:vAlign w:val="center"/>
          </w:tcPr>
          <w:p w14:paraId="768B4002" w14:textId="77777777" w:rsidR="00710AA0" w:rsidRPr="00710AA0" w:rsidRDefault="00710AA0" w:rsidP="00E16885">
            <w:pPr>
              <w:pStyle w:val="TableContents"/>
              <w:snapToGrid w:val="0"/>
              <w:jc w:val="center"/>
              <w:rPr>
                <w:rFonts w:ascii="Arial" w:hAnsi="Arial" w:cs="Arial"/>
                <w:sz w:val="20"/>
                <w:szCs w:val="20"/>
              </w:rPr>
            </w:pPr>
            <w:r w:rsidRPr="00710AA0">
              <w:rPr>
                <w:rFonts w:ascii="Arial" w:hAnsi="Arial" w:cs="Arial"/>
                <w:sz w:val="20"/>
                <w:szCs w:val="20"/>
              </w:rPr>
              <w:t>3.57</w:t>
            </w:r>
          </w:p>
        </w:tc>
        <w:tc>
          <w:tcPr>
            <w:tcW w:w="1854" w:type="dxa"/>
            <w:tcBorders>
              <w:top w:val="single" w:sz="4" w:space="0" w:color="auto"/>
            </w:tcBorders>
            <w:vAlign w:val="center"/>
          </w:tcPr>
          <w:p w14:paraId="5723928C" w14:textId="77777777" w:rsidR="00710AA0" w:rsidRPr="00710AA0" w:rsidRDefault="00710AA0" w:rsidP="00E16885">
            <w:pPr>
              <w:pStyle w:val="TableContents"/>
              <w:snapToGrid w:val="0"/>
              <w:jc w:val="center"/>
              <w:rPr>
                <w:rFonts w:ascii="Arial" w:hAnsi="Arial" w:cs="Arial"/>
                <w:sz w:val="20"/>
                <w:szCs w:val="20"/>
              </w:rPr>
            </w:pPr>
            <w:r w:rsidRPr="00710AA0">
              <w:rPr>
                <w:rFonts w:ascii="Arial" w:hAnsi="Arial" w:cs="Arial"/>
                <w:sz w:val="20"/>
                <w:szCs w:val="20"/>
              </w:rPr>
              <w:t>High</w:t>
            </w:r>
          </w:p>
        </w:tc>
      </w:tr>
      <w:tr w:rsidR="00710AA0" w:rsidRPr="00A71613" w14:paraId="1053FCF7" w14:textId="77777777" w:rsidTr="00710AA0">
        <w:trPr>
          <w:trHeight w:val="22"/>
        </w:trPr>
        <w:tc>
          <w:tcPr>
            <w:tcW w:w="3709" w:type="dxa"/>
          </w:tcPr>
          <w:p w14:paraId="1A02AF49" w14:textId="77777777" w:rsidR="00710AA0" w:rsidRPr="00710AA0" w:rsidRDefault="00710AA0" w:rsidP="00E16885">
            <w:pPr>
              <w:contextualSpacing/>
              <w:jc w:val="both"/>
              <w:rPr>
                <w:rFonts w:ascii="Arial" w:hAnsi="Arial" w:cs="Arial"/>
              </w:rPr>
            </w:pPr>
            <w:r w:rsidRPr="00710AA0">
              <w:rPr>
                <w:rFonts w:ascii="Arial" w:hAnsi="Arial" w:cs="Arial"/>
              </w:rPr>
              <w:t>Learning Facilitation</w:t>
            </w:r>
          </w:p>
        </w:tc>
        <w:tc>
          <w:tcPr>
            <w:tcW w:w="1264" w:type="dxa"/>
            <w:vAlign w:val="center"/>
          </w:tcPr>
          <w:p w14:paraId="740B3F3C" w14:textId="77777777" w:rsidR="00710AA0" w:rsidRPr="00710AA0" w:rsidRDefault="00710AA0" w:rsidP="00E16885">
            <w:pPr>
              <w:pStyle w:val="TableContents"/>
              <w:snapToGrid w:val="0"/>
              <w:jc w:val="center"/>
              <w:rPr>
                <w:rFonts w:ascii="Arial" w:hAnsi="Arial" w:cs="Arial"/>
                <w:sz w:val="20"/>
                <w:szCs w:val="20"/>
              </w:rPr>
            </w:pPr>
            <w:r w:rsidRPr="00710AA0">
              <w:rPr>
                <w:rFonts w:ascii="Arial" w:hAnsi="Arial" w:cs="Arial"/>
                <w:sz w:val="20"/>
                <w:szCs w:val="20"/>
              </w:rPr>
              <w:t>0.55</w:t>
            </w:r>
          </w:p>
        </w:tc>
        <w:tc>
          <w:tcPr>
            <w:tcW w:w="1348" w:type="dxa"/>
            <w:vAlign w:val="center"/>
          </w:tcPr>
          <w:p w14:paraId="6E85D815" w14:textId="77777777" w:rsidR="00710AA0" w:rsidRPr="00710AA0" w:rsidRDefault="00710AA0" w:rsidP="00E16885">
            <w:pPr>
              <w:pStyle w:val="TableContents"/>
              <w:snapToGrid w:val="0"/>
              <w:jc w:val="center"/>
              <w:rPr>
                <w:rFonts w:ascii="Arial" w:hAnsi="Arial" w:cs="Arial"/>
                <w:sz w:val="20"/>
                <w:szCs w:val="20"/>
              </w:rPr>
            </w:pPr>
            <w:r w:rsidRPr="00710AA0">
              <w:rPr>
                <w:rFonts w:ascii="Arial" w:hAnsi="Arial" w:cs="Arial"/>
                <w:sz w:val="20"/>
                <w:szCs w:val="20"/>
              </w:rPr>
              <w:t>3.68</w:t>
            </w:r>
          </w:p>
        </w:tc>
        <w:tc>
          <w:tcPr>
            <w:tcW w:w="1854" w:type="dxa"/>
            <w:vAlign w:val="center"/>
          </w:tcPr>
          <w:p w14:paraId="1FBF7E10" w14:textId="77777777" w:rsidR="00710AA0" w:rsidRPr="00710AA0" w:rsidRDefault="00710AA0" w:rsidP="00E16885">
            <w:pPr>
              <w:jc w:val="center"/>
              <w:rPr>
                <w:rFonts w:ascii="Arial" w:hAnsi="Arial" w:cs="Arial"/>
              </w:rPr>
            </w:pPr>
            <w:r w:rsidRPr="00710AA0">
              <w:rPr>
                <w:rFonts w:ascii="Arial" w:hAnsi="Arial" w:cs="Arial"/>
              </w:rPr>
              <w:t>High</w:t>
            </w:r>
          </w:p>
        </w:tc>
      </w:tr>
      <w:tr w:rsidR="00710AA0" w:rsidRPr="00A71613" w14:paraId="2130BFA7" w14:textId="77777777" w:rsidTr="00710AA0">
        <w:trPr>
          <w:trHeight w:val="22"/>
        </w:trPr>
        <w:tc>
          <w:tcPr>
            <w:tcW w:w="3709" w:type="dxa"/>
          </w:tcPr>
          <w:p w14:paraId="011C3859" w14:textId="77777777" w:rsidR="00710AA0" w:rsidRPr="00710AA0" w:rsidRDefault="00710AA0" w:rsidP="00E16885">
            <w:pPr>
              <w:contextualSpacing/>
              <w:jc w:val="both"/>
              <w:rPr>
                <w:rFonts w:ascii="Arial" w:hAnsi="Arial" w:cs="Arial"/>
              </w:rPr>
            </w:pPr>
            <w:r w:rsidRPr="00710AA0">
              <w:rPr>
                <w:rFonts w:ascii="Arial" w:hAnsi="Arial" w:cs="Arial"/>
              </w:rPr>
              <w:t>Education Influence</w:t>
            </w:r>
          </w:p>
        </w:tc>
        <w:tc>
          <w:tcPr>
            <w:tcW w:w="1264" w:type="dxa"/>
            <w:vAlign w:val="center"/>
          </w:tcPr>
          <w:p w14:paraId="32AA4CAE" w14:textId="77777777" w:rsidR="00710AA0" w:rsidRPr="00710AA0" w:rsidRDefault="00710AA0" w:rsidP="00E16885">
            <w:pPr>
              <w:pStyle w:val="TableContents"/>
              <w:snapToGrid w:val="0"/>
              <w:jc w:val="center"/>
              <w:rPr>
                <w:rFonts w:ascii="Arial" w:hAnsi="Arial" w:cs="Arial"/>
                <w:sz w:val="20"/>
                <w:szCs w:val="20"/>
              </w:rPr>
            </w:pPr>
            <w:r w:rsidRPr="00710AA0">
              <w:rPr>
                <w:rFonts w:ascii="Arial" w:hAnsi="Arial" w:cs="Arial"/>
                <w:sz w:val="20"/>
                <w:szCs w:val="20"/>
              </w:rPr>
              <w:t>0.62</w:t>
            </w:r>
          </w:p>
        </w:tc>
        <w:tc>
          <w:tcPr>
            <w:tcW w:w="1348" w:type="dxa"/>
            <w:vAlign w:val="center"/>
          </w:tcPr>
          <w:p w14:paraId="4A4C7858" w14:textId="77777777" w:rsidR="00710AA0" w:rsidRPr="00710AA0" w:rsidRDefault="00710AA0" w:rsidP="00E16885">
            <w:pPr>
              <w:pStyle w:val="TableContents"/>
              <w:snapToGrid w:val="0"/>
              <w:jc w:val="center"/>
              <w:rPr>
                <w:rFonts w:ascii="Arial" w:hAnsi="Arial" w:cs="Arial"/>
                <w:sz w:val="20"/>
                <w:szCs w:val="20"/>
              </w:rPr>
            </w:pPr>
            <w:r w:rsidRPr="00710AA0">
              <w:rPr>
                <w:rFonts w:ascii="Arial" w:hAnsi="Arial" w:cs="Arial"/>
                <w:sz w:val="20"/>
                <w:szCs w:val="20"/>
              </w:rPr>
              <w:t>3.84</w:t>
            </w:r>
          </w:p>
        </w:tc>
        <w:tc>
          <w:tcPr>
            <w:tcW w:w="1854" w:type="dxa"/>
            <w:vAlign w:val="center"/>
          </w:tcPr>
          <w:p w14:paraId="72B191BC" w14:textId="77777777" w:rsidR="00710AA0" w:rsidRPr="00710AA0" w:rsidRDefault="00710AA0" w:rsidP="00E16885">
            <w:pPr>
              <w:jc w:val="center"/>
              <w:rPr>
                <w:rFonts w:ascii="Arial" w:hAnsi="Arial" w:cs="Arial"/>
              </w:rPr>
            </w:pPr>
            <w:r w:rsidRPr="00710AA0">
              <w:rPr>
                <w:rFonts w:ascii="Arial" w:hAnsi="Arial" w:cs="Arial"/>
              </w:rPr>
              <w:t>High</w:t>
            </w:r>
          </w:p>
        </w:tc>
      </w:tr>
      <w:tr w:rsidR="00710AA0" w:rsidRPr="00A71613" w14:paraId="47C0D485" w14:textId="77777777" w:rsidTr="00710AA0">
        <w:trPr>
          <w:trHeight w:val="22"/>
        </w:trPr>
        <w:tc>
          <w:tcPr>
            <w:tcW w:w="3709" w:type="dxa"/>
          </w:tcPr>
          <w:p w14:paraId="663521F0" w14:textId="77777777" w:rsidR="00710AA0" w:rsidRPr="00710AA0" w:rsidRDefault="00710AA0" w:rsidP="00E16885">
            <w:pPr>
              <w:contextualSpacing/>
              <w:jc w:val="both"/>
              <w:rPr>
                <w:rFonts w:ascii="Arial" w:hAnsi="Arial" w:cs="Arial"/>
              </w:rPr>
            </w:pPr>
            <w:r w:rsidRPr="00710AA0">
              <w:rPr>
                <w:rFonts w:ascii="Arial" w:hAnsi="Arial" w:cs="Arial"/>
              </w:rPr>
              <w:t>Subject Management</w:t>
            </w:r>
          </w:p>
        </w:tc>
        <w:tc>
          <w:tcPr>
            <w:tcW w:w="1264" w:type="dxa"/>
            <w:vAlign w:val="center"/>
          </w:tcPr>
          <w:p w14:paraId="1F63DDD7" w14:textId="77777777" w:rsidR="00710AA0" w:rsidRPr="00710AA0" w:rsidRDefault="00710AA0" w:rsidP="00E16885">
            <w:pPr>
              <w:pStyle w:val="TableContents"/>
              <w:snapToGrid w:val="0"/>
              <w:jc w:val="center"/>
              <w:rPr>
                <w:rFonts w:ascii="Arial" w:hAnsi="Arial" w:cs="Arial"/>
                <w:sz w:val="20"/>
                <w:szCs w:val="20"/>
              </w:rPr>
            </w:pPr>
            <w:r w:rsidRPr="00710AA0">
              <w:rPr>
                <w:rFonts w:ascii="Arial" w:hAnsi="Arial" w:cs="Arial"/>
                <w:sz w:val="20"/>
                <w:szCs w:val="20"/>
              </w:rPr>
              <w:t>0.70</w:t>
            </w:r>
          </w:p>
        </w:tc>
        <w:tc>
          <w:tcPr>
            <w:tcW w:w="1348" w:type="dxa"/>
            <w:vAlign w:val="center"/>
          </w:tcPr>
          <w:p w14:paraId="554238ED" w14:textId="77777777" w:rsidR="00710AA0" w:rsidRPr="00710AA0" w:rsidRDefault="00710AA0" w:rsidP="00E16885">
            <w:pPr>
              <w:pStyle w:val="TableContents"/>
              <w:snapToGrid w:val="0"/>
              <w:jc w:val="center"/>
              <w:rPr>
                <w:rFonts w:ascii="Arial" w:hAnsi="Arial" w:cs="Arial"/>
                <w:sz w:val="20"/>
                <w:szCs w:val="20"/>
              </w:rPr>
            </w:pPr>
            <w:r w:rsidRPr="00710AA0">
              <w:rPr>
                <w:rFonts w:ascii="Arial" w:hAnsi="Arial" w:cs="Arial"/>
                <w:sz w:val="20"/>
                <w:szCs w:val="20"/>
              </w:rPr>
              <w:t>4.16</w:t>
            </w:r>
          </w:p>
        </w:tc>
        <w:tc>
          <w:tcPr>
            <w:tcW w:w="1854" w:type="dxa"/>
            <w:vAlign w:val="center"/>
          </w:tcPr>
          <w:p w14:paraId="688EC24C" w14:textId="77777777" w:rsidR="00710AA0" w:rsidRPr="00710AA0" w:rsidRDefault="00710AA0" w:rsidP="00E16885">
            <w:pPr>
              <w:jc w:val="center"/>
              <w:rPr>
                <w:rFonts w:ascii="Arial" w:hAnsi="Arial" w:cs="Arial"/>
              </w:rPr>
            </w:pPr>
            <w:r w:rsidRPr="00710AA0">
              <w:rPr>
                <w:rFonts w:ascii="Arial" w:hAnsi="Arial" w:cs="Arial"/>
              </w:rPr>
              <w:t>High</w:t>
            </w:r>
          </w:p>
        </w:tc>
      </w:tr>
      <w:tr w:rsidR="00710AA0" w:rsidRPr="00A71613" w14:paraId="6FA5A62A" w14:textId="77777777" w:rsidTr="00710AA0">
        <w:trPr>
          <w:trHeight w:val="22"/>
        </w:trPr>
        <w:tc>
          <w:tcPr>
            <w:tcW w:w="3709" w:type="dxa"/>
          </w:tcPr>
          <w:p w14:paraId="4BA5D645" w14:textId="77777777" w:rsidR="00710AA0" w:rsidRPr="00710AA0" w:rsidRDefault="00710AA0" w:rsidP="00E16885">
            <w:pPr>
              <w:contextualSpacing/>
              <w:jc w:val="both"/>
              <w:rPr>
                <w:rFonts w:ascii="Arial" w:hAnsi="Arial" w:cs="Arial"/>
              </w:rPr>
            </w:pPr>
            <w:r w:rsidRPr="00710AA0">
              <w:rPr>
                <w:rFonts w:ascii="Arial" w:hAnsi="Arial" w:cs="Arial"/>
              </w:rPr>
              <w:t>Tools and Resources</w:t>
            </w:r>
          </w:p>
        </w:tc>
        <w:tc>
          <w:tcPr>
            <w:tcW w:w="1264" w:type="dxa"/>
            <w:vAlign w:val="center"/>
          </w:tcPr>
          <w:p w14:paraId="3419FABF" w14:textId="77777777" w:rsidR="00710AA0" w:rsidRPr="00710AA0" w:rsidRDefault="00710AA0" w:rsidP="00E16885">
            <w:pPr>
              <w:pStyle w:val="TableContents"/>
              <w:snapToGrid w:val="0"/>
              <w:jc w:val="center"/>
              <w:rPr>
                <w:rFonts w:ascii="Arial" w:hAnsi="Arial" w:cs="Arial"/>
                <w:sz w:val="20"/>
                <w:szCs w:val="20"/>
              </w:rPr>
            </w:pPr>
            <w:r w:rsidRPr="00710AA0">
              <w:rPr>
                <w:rFonts w:ascii="Arial" w:hAnsi="Arial" w:cs="Arial"/>
                <w:sz w:val="20"/>
                <w:szCs w:val="20"/>
              </w:rPr>
              <w:t>0.71</w:t>
            </w:r>
          </w:p>
        </w:tc>
        <w:tc>
          <w:tcPr>
            <w:tcW w:w="1348" w:type="dxa"/>
            <w:vAlign w:val="center"/>
          </w:tcPr>
          <w:p w14:paraId="63B53785" w14:textId="77777777" w:rsidR="00710AA0" w:rsidRPr="00710AA0" w:rsidRDefault="00710AA0" w:rsidP="00E16885">
            <w:pPr>
              <w:pStyle w:val="TableContents"/>
              <w:snapToGrid w:val="0"/>
              <w:jc w:val="center"/>
              <w:rPr>
                <w:rFonts w:ascii="Arial" w:hAnsi="Arial" w:cs="Arial"/>
                <w:sz w:val="20"/>
                <w:szCs w:val="20"/>
              </w:rPr>
            </w:pPr>
            <w:r w:rsidRPr="00710AA0">
              <w:rPr>
                <w:rFonts w:ascii="Arial" w:hAnsi="Arial" w:cs="Arial"/>
                <w:sz w:val="20"/>
                <w:szCs w:val="20"/>
              </w:rPr>
              <w:t>4.11</w:t>
            </w:r>
          </w:p>
        </w:tc>
        <w:tc>
          <w:tcPr>
            <w:tcW w:w="1854" w:type="dxa"/>
            <w:vAlign w:val="center"/>
          </w:tcPr>
          <w:p w14:paraId="3A1FC3C1" w14:textId="77777777" w:rsidR="00710AA0" w:rsidRPr="00710AA0" w:rsidRDefault="00710AA0" w:rsidP="00E16885">
            <w:pPr>
              <w:jc w:val="center"/>
              <w:rPr>
                <w:rFonts w:ascii="Arial" w:hAnsi="Arial" w:cs="Arial"/>
              </w:rPr>
            </w:pPr>
            <w:r w:rsidRPr="00710AA0">
              <w:rPr>
                <w:rFonts w:ascii="Arial" w:hAnsi="Arial" w:cs="Arial"/>
              </w:rPr>
              <w:t>High</w:t>
            </w:r>
          </w:p>
        </w:tc>
      </w:tr>
      <w:tr w:rsidR="00710AA0" w:rsidRPr="00A71613" w14:paraId="4737E897" w14:textId="77777777" w:rsidTr="00710AA0">
        <w:trPr>
          <w:trHeight w:val="88"/>
        </w:trPr>
        <w:tc>
          <w:tcPr>
            <w:tcW w:w="3709" w:type="dxa"/>
            <w:tcBorders>
              <w:bottom w:val="single" w:sz="4" w:space="0" w:color="auto"/>
            </w:tcBorders>
            <w:vAlign w:val="center"/>
          </w:tcPr>
          <w:p w14:paraId="40E49E68" w14:textId="77777777" w:rsidR="00710AA0" w:rsidRPr="00710AA0" w:rsidRDefault="00710AA0" w:rsidP="00E16885">
            <w:pPr>
              <w:snapToGrid w:val="0"/>
              <w:ind w:left="755" w:hanging="755"/>
              <w:rPr>
                <w:rFonts w:ascii="Arial" w:hAnsi="Arial" w:cs="Arial"/>
                <w:b/>
              </w:rPr>
            </w:pPr>
            <w:r w:rsidRPr="00710AA0">
              <w:rPr>
                <w:rFonts w:ascii="Arial" w:hAnsi="Arial" w:cs="Arial"/>
                <w:b/>
              </w:rPr>
              <w:t>Overall</w:t>
            </w:r>
          </w:p>
        </w:tc>
        <w:tc>
          <w:tcPr>
            <w:tcW w:w="1264" w:type="dxa"/>
            <w:tcBorders>
              <w:bottom w:val="single" w:sz="4" w:space="0" w:color="auto"/>
            </w:tcBorders>
            <w:vAlign w:val="center"/>
          </w:tcPr>
          <w:p w14:paraId="1D9DCD15" w14:textId="77777777" w:rsidR="00710AA0" w:rsidRPr="00710AA0" w:rsidRDefault="00710AA0" w:rsidP="00E16885">
            <w:pPr>
              <w:pStyle w:val="TableContents"/>
              <w:snapToGrid w:val="0"/>
              <w:jc w:val="center"/>
              <w:rPr>
                <w:rFonts w:ascii="Arial" w:hAnsi="Arial" w:cs="Arial"/>
                <w:b/>
                <w:sz w:val="20"/>
                <w:szCs w:val="20"/>
              </w:rPr>
            </w:pPr>
            <w:r w:rsidRPr="00710AA0">
              <w:rPr>
                <w:rFonts w:ascii="Arial" w:hAnsi="Arial" w:cs="Arial"/>
                <w:b/>
                <w:sz w:val="20"/>
                <w:szCs w:val="20"/>
              </w:rPr>
              <w:t>0.54</w:t>
            </w:r>
          </w:p>
        </w:tc>
        <w:tc>
          <w:tcPr>
            <w:tcW w:w="1348" w:type="dxa"/>
            <w:tcBorders>
              <w:bottom w:val="single" w:sz="4" w:space="0" w:color="auto"/>
            </w:tcBorders>
            <w:vAlign w:val="center"/>
          </w:tcPr>
          <w:p w14:paraId="49D1552D" w14:textId="77777777" w:rsidR="00710AA0" w:rsidRPr="00710AA0" w:rsidRDefault="00710AA0" w:rsidP="00E16885">
            <w:pPr>
              <w:pStyle w:val="TableContents"/>
              <w:snapToGrid w:val="0"/>
              <w:jc w:val="center"/>
              <w:rPr>
                <w:rFonts w:ascii="Arial" w:hAnsi="Arial" w:cs="Arial"/>
                <w:b/>
                <w:sz w:val="20"/>
                <w:szCs w:val="20"/>
              </w:rPr>
            </w:pPr>
            <w:r w:rsidRPr="00710AA0">
              <w:rPr>
                <w:rFonts w:ascii="Arial" w:hAnsi="Arial" w:cs="Arial"/>
                <w:b/>
                <w:sz w:val="20"/>
                <w:szCs w:val="20"/>
              </w:rPr>
              <w:t>3.87</w:t>
            </w:r>
          </w:p>
        </w:tc>
        <w:tc>
          <w:tcPr>
            <w:tcW w:w="1854" w:type="dxa"/>
            <w:tcBorders>
              <w:bottom w:val="single" w:sz="4" w:space="0" w:color="auto"/>
            </w:tcBorders>
            <w:vAlign w:val="center"/>
          </w:tcPr>
          <w:p w14:paraId="7EBD822D" w14:textId="77777777" w:rsidR="00710AA0" w:rsidRPr="00710AA0" w:rsidRDefault="00710AA0" w:rsidP="00E16885">
            <w:pPr>
              <w:jc w:val="center"/>
              <w:rPr>
                <w:rFonts w:ascii="Arial" w:hAnsi="Arial" w:cs="Arial"/>
                <w:b/>
              </w:rPr>
            </w:pPr>
            <w:r w:rsidRPr="00710AA0">
              <w:rPr>
                <w:rFonts w:ascii="Arial" w:hAnsi="Arial" w:cs="Arial"/>
                <w:b/>
              </w:rPr>
              <w:t>High</w:t>
            </w:r>
          </w:p>
        </w:tc>
      </w:tr>
    </w:tbl>
    <w:p w14:paraId="7DD1150B" w14:textId="77777777" w:rsidR="001E1936" w:rsidRDefault="001E1936" w:rsidP="001E1936">
      <w:pPr>
        <w:jc w:val="both"/>
        <w:rPr>
          <w:rFonts w:ascii="Arial" w:hAnsi="Arial" w:cs="Arial"/>
        </w:rPr>
      </w:pPr>
    </w:p>
    <w:p w14:paraId="3B7F2EF2" w14:textId="449E8B14" w:rsidR="00710AA0" w:rsidRDefault="00710AA0" w:rsidP="00710AA0">
      <w:pPr>
        <w:jc w:val="both"/>
        <w:rPr>
          <w:rFonts w:ascii="Arial" w:hAnsi="Arial" w:cs="Arial"/>
        </w:rPr>
      </w:pPr>
      <w:r w:rsidRPr="00710AA0">
        <w:rPr>
          <w:rFonts w:ascii="Arial" w:hAnsi="Arial" w:cs="Arial"/>
        </w:rPr>
        <w:t xml:space="preserve">Presented in Table </w:t>
      </w:r>
      <w:r>
        <w:rPr>
          <w:rFonts w:ascii="Arial" w:hAnsi="Arial" w:cs="Arial"/>
        </w:rPr>
        <w:t>3</w:t>
      </w:r>
      <w:r w:rsidRPr="00710AA0">
        <w:rPr>
          <w:rFonts w:ascii="Arial" w:hAnsi="Arial" w:cs="Arial"/>
        </w:rPr>
        <w:t xml:space="preserve"> is the level of gratification towards merged learning. The indicator subject management has the highest mean of 4.16, followed by tools and resources with a mean of 4.11. Education influence received a mean of 3.84, while learning facilitation and engagement were slightly lower, with means of 3.68 and 3.57, respectively. The overall mean of 3.87 is described as "high," indicating that students generally express a high level of gratification with their merged learning experience across these indicators. The overall standard deviation of 0.54 suggests that the ratings were relatively consistent, with responses clustering closely around the mean.</w:t>
      </w:r>
    </w:p>
    <w:p w14:paraId="507D6444" w14:textId="77777777" w:rsidR="00710AA0" w:rsidRPr="00710AA0" w:rsidRDefault="00710AA0" w:rsidP="00710AA0">
      <w:pPr>
        <w:jc w:val="both"/>
        <w:rPr>
          <w:rFonts w:ascii="Arial" w:hAnsi="Arial" w:cs="Arial"/>
        </w:rPr>
      </w:pPr>
    </w:p>
    <w:p w14:paraId="6C6ED25C" w14:textId="1938CB37" w:rsidR="001E1936" w:rsidRDefault="00710AA0" w:rsidP="00710AA0">
      <w:pPr>
        <w:jc w:val="both"/>
        <w:rPr>
          <w:rFonts w:ascii="Arial" w:hAnsi="Arial" w:cs="Arial"/>
        </w:rPr>
      </w:pPr>
      <w:r w:rsidRPr="00710AA0">
        <w:rPr>
          <w:rFonts w:ascii="Arial" w:hAnsi="Arial" w:cs="Arial"/>
        </w:rPr>
        <w:t>This suggests that students are generally satisfied with the various aspects of merged learning, particularly in subject management and tools and resources. While engagement and learning facilitation show slightly lower satisfaction, the overall results highlight a positive reception of the merged learning approach. Students seem to appreciate the organization, support, and technological tools provided, which contribute to their learning experience.</w:t>
      </w:r>
    </w:p>
    <w:p w14:paraId="4F7D70D3" w14:textId="77777777" w:rsidR="00272068" w:rsidRDefault="00272068" w:rsidP="00930640">
      <w:pPr>
        <w:jc w:val="both"/>
        <w:rPr>
          <w:rFonts w:ascii="Arial" w:hAnsi="Arial" w:cs="Arial"/>
        </w:rPr>
      </w:pPr>
    </w:p>
    <w:p w14:paraId="639558AE" w14:textId="68AF58B3" w:rsidR="00272068" w:rsidRDefault="00710AA0" w:rsidP="00930640">
      <w:pPr>
        <w:jc w:val="both"/>
        <w:rPr>
          <w:rFonts w:ascii="Arial" w:hAnsi="Arial" w:cs="Arial"/>
        </w:rPr>
      </w:pPr>
      <w:r w:rsidRPr="00710AA0">
        <w:rPr>
          <w:rFonts w:ascii="Arial" w:hAnsi="Arial" w:cs="Arial"/>
        </w:rPr>
        <w:t>This finding reflects the research of Dragon (2017), who highlighted that students' overall gratification with merged learning is often high when both interactive and technological components are well-integrated. Similarly, Wang et al. (2018) found that students who experience smooth interaction and support from teachers in merged learning environments are more likely to report higher gratification levels. Furthermore, studies by Ho et al. (2021) indicated that when students feel their learning needs are met through a combination of in-person and online resources, their gratification with the subject increases significantly.</w:t>
      </w:r>
    </w:p>
    <w:p w14:paraId="79CE84C3" w14:textId="77777777" w:rsidR="00272068" w:rsidRDefault="00272068" w:rsidP="00930640">
      <w:pPr>
        <w:jc w:val="both"/>
        <w:rPr>
          <w:rFonts w:ascii="Arial" w:hAnsi="Arial" w:cs="Arial"/>
        </w:rPr>
      </w:pPr>
    </w:p>
    <w:p w14:paraId="3D8A294E" w14:textId="77777777" w:rsidR="001E1936" w:rsidRDefault="001E1936" w:rsidP="00930640">
      <w:pPr>
        <w:jc w:val="both"/>
        <w:rPr>
          <w:rFonts w:ascii="Arial" w:hAnsi="Arial" w:cs="Arial"/>
        </w:rPr>
      </w:pPr>
    </w:p>
    <w:p w14:paraId="197BC58D" w14:textId="77777777" w:rsidR="00710AA0" w:rsidRDefault="00710AA0" w:rsidP="00796B7D">
      <w:pPr>
        <w:jc w:val="both"/>
        <w:rPr>
          <w:rFonts w:ascii="Arial" w:hAnsi="Arial" w:cs="Arial"/>
          <w:b/>
          <w:bCs/>
          <w:iCs/>
        </w:rPr>
      </w:pPr>
    </w:p>
    <w:p w14:paraId="00B55B42" w14:textId="77777777" w:rsidR="00710AA0" w:rsidRDefault="00710AA0" w:rsidP="00796B7D">
      <w:pPr>
        <w:jc w:val="both"/>
        <w:rPr>
          <w:rFonts w:ascii="Arial" w:hAnsi="Arial" w:cs="Arial"/>
          <w:b/>
          <w:bCs/>
          <w:iCs/>
        </w:rPr>
      </w:pPr>
    </w:p>
    <w:p w14:paraId="39282BFD" w14:textId="77777777" w:rsidR="00710AA0" w:rsidRDefault="00710AA0" w:rsidP="00796B7D">
      <w:pPr>
        <w:jc w:val="both"/>
        <w:rPr>
          <w:rFonts w:ascii="Arial" w:hAnsi="Arial" w:cs="Arial"/>
          <w:b/>
          <w:bCs/>
          <w:iCs/>
        </w:rPr>
      </w:pPr>
    </w:p>
    <w:p w14:paraId="6E3B55C4" w14:textId="77777777" w:rsidR="00710AA0" w:rsidRDefault="00710AA0" w:rsidP="00796B7D">
      <w:pPr>
        <w:jc w:val="both"/>
        <w:rPr>
          <w:rFonts w:ascii="Arial" w:hAnsi="Arial" w:cs="Arial"/>
          <w:b/>
          <w:bCs/>
          <w:iCs/>
        </w:rPr>
      </w:pPr>
    </w:p>
    <w:p w14:paraId="777678F1" w14:textId="77777777" w:rsidR="00710AA0" w:rsidRDefault="00710AA0" w:rsidP="00796B7D">
      <w:pPr>
        <w:jc w:val="both"/>
        <w:rPr>
          <w:rFonts w:ascii="Arial" w:hAnsi="Arial" w:cs="Arial"/>
          <w:b/>
          <w:bCs/>
          <w:iCs/>
        </w:rPr>
      </w:pPr>
    </w:p>
    <w:p w14:paraId="4B9384D7" w14:textId="77777777" w:rsidR="00710AA0" w:rsidRDefault="00710AA0" w:rsidP="00796B7D">
      <w:pPr>
        <w:jc w:val="both"/>
        <w:rPr>
          <w:rFonts w:ascii="Arial" w:hAnsi="Arial" w:cs="Arial"/>
          <w:b/>
          <w:bCs/>
          <w:iCs/>
        </w:rPr>
      </w:pPr>
    </w:p>
    <w:p w14:paraId="45B6AA7E" w14:textId="77777777" w:rsidR="00710AA0" w:rsidRDefault="00710AA0" w:rsidP="00796B7D">
      <w:pPr>
        <w:jc w:val="both"/>
        <w:rPr>
          <w:rFonts w:ascii="Arial" w:hAnsi="Arial" w:cs="Arial"/>
          <w:b/>
          <w:bCs/>
          <w:iCs/>
        </w:rPr>
      </w:pPr>
    </w:p>
    <w:p w14:paraId="6E0CCD86" w14:textId="77777777" w:rsidR="00710AA0" w:rsidRDefault="00710AA0" w:rsidP="00796B7D">
      <w:pPr>
        <w:jc w:val="both"/>
        <w:rPr>
          <w:rFonts w:ascii="Arial" w:hAnsi="Arial" w:cs="Arial"/>
          <w:b/>
          <w:bCs/>
          <w:iCs/>
        </w:rPr>
      </w:pPr>
    </w:p>
    <w:p w14:paraId="245B19E7" w14:textId="77777777" w:rsidR="00710AA0" w:rsidRDefault="00710AA0" w:rsidP="00796B7D">
      <w:pPr>
        <w:jc w:val="both"/>
        <w:rPr>
          <w:rFonts w:ascii="Arial" w:hAnsi="Arial" w:cs="Arial"/>
          <w:b/>
          <w:bCs/>
          <w:iCs/>
        </w:rPr>
      </w:pPr>
    </w:p>
    <w:p w14:paraId="73DBBE88" w14:textId="77777777" w:rsidR="00710AA0" w:rsidRDefault="00710AA0" w:rsidP="00796B7D">
      <w:pPr>
        <w:jc w:val="both"/>
        <w:rPr>
          <w:rFonts w:ascii="Arial" w:hAnsi="Arial" w:cs="Arial"/>
          <w:b/>
          <w:bCs/>
          <w:iCs/>
        </w:rPr>
      </w:pPr>
    </w:p>
    <w:p w14:paraId="063370FA" w14:textId="77777777" w:rsidR="00710AA0" w:rsidRDefault="00710AA0" w:rsidP="00796B7D">
      <w:pPr>
        <w:jc w:val="both"/>
        <w:rPr>
          <w:rFonts w:ascii="Arial" w:hAnsi="Arial" w:cs="Arial"/>
          <w:b/>
          <w:bCs/>
          <w:iCs/>
        </w:rPr>
      </w:pPr>
    </w:p>
    <w:p w14:paraId="59320546" w14:textId="427E669D" w:rsidR="00717F2E" w:rsidRDefault="00781D5E" w:rsidP="00796B7D">
      <w:pPr>
        <w:jc w:val="both"/>
        <w:rPr>
          <w:rFonts w:ascii="Arial" w:hAnsi="Arial" w:cs="Arial"/>
          <w:b/>
          <w:bCs/>
          <w:iCs/>
        </w:rPr>
      </w:pPr>
      <w:r>
        <w:rPr>
          <w:rFonts w:ascii="Arial" w:hAnsi="Arial" w:cs="Arial"/>
          <w:b/>
          <w:bCs/>
          <w:iCs/>
        </w:rPr>
        <w:t>3.</w:t>
      </w:r>
      <w:r w:rsidR="00710AA0">
        <w:rPr>
          <w:rFonts w:ascii="Arial" w:hAnsi="Arial" w:cs="Arial"/>
          <w:b/>
          <w:bCs/>
          <w:iCs/>
        </w:rPr>
        <w:t>4</w:t>
      </w:r>
      <w:r>
        <w:rPr>
          <w:rFonts w:ascii="Arial" w:hAnsi="Arial" w:cs="Arial"/>
          <w:b/>
          <w:bCs/>
          <w:iCs/>
        </w:rPr>
        <w:t xml:space="preserve"> </w:t>
      </w:r>
      <w:r w:rsidR="00710AA0" w:rsidRPr="00710AA0">
        <w:rPr>
          <w:rFonts w:ascii="Arial" w:hAnsi="Arial" w:cs="Arial"/>
          <w:b/>
          <w:bCs/>
          <w:iCs/>
        </w:rPr>
        <w:t>Significant Relationship Between Learning Approaches and Gratification towards Merged Learning</w:t>
      </w:r>
    </w:p>
    <w:p w14:paraId="1295EBEE" w14:textId="77777777" w:rsidR="008204D0" w:rsidRDefault="008204D0">
      <w:pPr>
        <w:rPr>
          <w:rFonts w:ascii="Arial" w:hAnsi="Arial" w:cs="Arial"/>
          <w:iCs/>
        </w:rPr>
      </w:pPr>
    </w:p>
    <w:p w14:paraId="63DDB743" w14:textId="77F50BA4" w:rsidR="00796B7D" w:rsidRDefault="008714D6">
      <w:pPr>
        <w:rPr>
          <w:rFonts w:ascii="Arial" w:hAnsi="Arial" w:cs="Arial"/>
          <w:i/>
        </w:rPr>
      </w:pPr>
      <w:r>
        <w:rPr>
          <w:rFonts w:ascii="Arial" w:hAnsi="Arial" w:cs="Arial"/>
          <w:iCs/>
        </w:rPr>
        <w:t xml:space="preserve">Table </w:t>
      </w:r>
      <w:r w:rsidR="00710AA0">
        <w:rPr>
          <w:rFonts w:ascii="Arial" w:hAnsi="Arial" w:cs="Arial"/>
          <w:iCs/>
        </w:rPr>
        <w:t>4</w:t>
      </w:r>
      <w:r w:rsidR="00781D5E">
        <w:rPr>
          <w:rFonts w:ascii="Arial" w:hAnsi="Arial" w:cs="Arial"/>
          <w:iCs/>
        </w:rPr>
        <w:t>.</w:t>
      </w:r>
      <w:r>
        <w:rPr>
          <w:rFonts w:ascii="Arial" w:hAnsi="Arial" w:cs="Arial"/>
          <w:iCs/>
        </w:rPr>
        <w:t xml:space="preserve">  </w:t>
      </w:r>
      <w:r w:rsidR="00710AA0" w:rsidRPr="00710AA0">
        <w:rPr>
          <w:rFonts w:ascii="Arial" w:hAnsi="Arial" w:cs="Arial"/>
          <w:i/>
        </w:rPr>
        <w:t>Significant Relationship Between Learning Approaches and Gratification towards Merged Learning</w:t>
      </w:r>
    </w:p>
    <w:p w14:paraId="78305A3A" w14:textId="77777777" w:rsidR="00272068" w:rsidRDefault="00272068">
      <w:pPr>
        <w:rPr>
          <w:rFonts w:ascii="Arial" w:hAnsi="Arial" w:cs="Arial"/>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3"/>
        <w:gridCol w:w="1209"/>
        <w:gridCol w:w="1900"/>
        <w:gridCol w:w="1334"/>
        <w:gridCol w:w="1242"/>
      </w:tblGrid>
      <w:tr w:rsidR="00710AA0" w:rsidRPr="00A662D5" w14:paraId="22A6DDD3" w14:textId="77777777" w:rsidTr="00E16885">
        <w:trPr>
          <w:trHeight w:val="776"/>
        </w:trPr>
        <w:tc>
          <w:tcPr>
            <w:tcW w:w="2694" w:type="dxa"/>
            <w:tcBorders>
              <w:top w:val="single" w:sz="4" w:space="0" w:color="auto"/>
              <w:bottom w:val="single" w:sz="4" w:space="0" w:color="auto"/>
            </w:tcBorders>
            <w:vAlign w:val="center"/>
          </w:tcPr>
          <w:p w14:paraId="3C2A742A" w14:textId="77777777" w:rsidR="00710AA0" w:rsidRPr="00710AA0" w:rsidRDefault="00710AA0" w:rsidP="00710AA0">
            <w:pPr>
              <w:pStyle w:val="BodyText"/>
              <w:spacing w:after="0"/>
              <w:jc w:val="center"/>
              <w:rPr>
                <w:rFonts w:ascii="Arial" w:hAnsi="Arial" w:cs="Arial"/>
                <w:b/>
                <w:bCs/>
                <w:iCs/>
                <w:sz w:val="20"/>
                <w:szCs w:val="20"/>
              </w:rPr>
            </w:pPr>
            <w:r w:rsidRPr="00710AA0">
              <w:rPr>
                <w:rFonts w:ascii="Arial" w:hAnsi="Arial" w:cs="Arial"/>
                <w:b/>
                <w:bCs/>
                <w:iCs/>
                <w:sz w:val="20"/>
                <w:szCs w:val="20"/>
              </w:rPr>
              <w:t>Variables</w:t>
            </w:r>
          </w:p>
        </w:tc>
        <w:tc>
          <w:tcPr>
            <w:tcW w:w="1275" w:type="dxa"/>
            <w:tcBorders>
              <w:top w:val="single" w:sz="4" w:space="0" w:color="auto"/>
              <w:bottom w:val="single" w:sz="4" w:space="0" w:color="auto"/>
            </w:tcBorders>
            <w:vAlign w:val="center"/>
          </w:tcPr>
          <w:p w14:paraId="43B73624" w14:textId="77777777" w:rsidR="00710AA0" w:rsidRPr="00710AA0" w:rsidRDefault="00710AA0" w:rsidP="00710AA0">
            <w:pPr>
              <w:pStyle w:val="BodyText"/>
              <w:spacing w:after="0"/>
              <w:jc w:val="center"/>
              <w:rPr>
                <w:rFonts w:ascii="Arial" w:hAnsi="Arial" w:cs="Arial"/>
                <w:b/>
                <w:bCs/>
                <w:iCs/>
                <w:sz w:val="20"/>
                <w:szCs w:val="20"/>
              </w:rPr>
            </w:pPr>
            <w:r w:rsidRPr="00710AA0">
              <w:rPr>
                <w:rFonts w:ascii="Arial" w:hAnsi="Arial" w:cs="Arial"/>
                <w:b/>
                <w:bCs/>
                <w:iCs/>
                <w:sz w:val="20"/>
                <w:szCs w:val="20"/>
              </w:rPr>
              <w:t>r-value</w:t>
            </w:r>
          </w:p>
        </w:tc>
        <w:tc>
          <w:tcPr>
            <w:tcW w:w="1985" w:type="dxa"/>
            <w:tcBorders>
              <w:top w:val="single" w:sz="4" w:space="0" w:color="auto"/>
              <w:bottom w:val="single" w:sz="4" w:space="0" w:color="auto"/>
            </w:tcBorders>
            <w:vAlign w:val="center"/>
          </w:tcPr>
          <w:p w14:paraId="66A4D679" w14:textId="77777777" w:rsidR="00710AA0" w:rsidRPr="00710AA0" w:rsidRDefault="00710AA0" w:rsidP="00710AA0">
            <w:pPr>
              <w:pStyle w:val="BodyText"/>
              <w:spacing w:after="0"/>
              <w:jc w:val="center"/>
              <w:rPr>
                <w:rFonts w:ascii="Arial" w:hAnsi="Arial" w:cs="Arial"/>
                <w:b/>
                <w:bCs/>
                <w:iCs/>
                <w:sz w:val="20"/>
                <w:szCs w:val="20"/>
              </w:rPr>
            </w:pPr>
            <w:r w:rsidRPr="00710AA0">
              <w:rPr>
                <w:rFonts w:ascii="Arial" w:hAnsi="Arial" w:cs="Arial"/>
                <w:b/>
                <w:bCs/>
                <w:iCs/>
                <w:sz w:val="20"/>
                <w:szCs w:val="20"/>
              </w:rPr>
              <w:t>Degree of Correlation</w:t>
            </w:r>
          </w:p>
        </w:tc>
        <w:tc>
          <w:tcPr>
            <w:tcW w:w="1417" w:type="dxa"/>
            <w:tcBorders>
              <w:top w:val="single" w:sz="4" w:space="0" w:color="auto"/>
              <w:bottom w:val="single" w:sz="4" w:space="0" w:color="auto"/>
            </w:tcBorders>
            <w:vAlign w:val="center"/>
          </w:tcPr>
          <w:p w14:paraId="5CC4C02A" w14:textId="77777777" w:rsidR="00710AA0" w:rsidRPr="00710AA0" w:rsidRDefault="00710AA0" w:rsidP="00710AA0">
            <w:pPr>
              <w:pStyle w:val="BodyText"/>
              <w:spacing w:after="0"/>
              <w:jc w:val="center"/>
              <w:rPr>
                <w:rFonts w:ascii="Arial" w:hAnsi="Arial" w:cs="Arial"/>
                <w:b/>
                <w:bCs/>
                <w:iCs/>
                <w:sz w:val="20"/>
                <w:szCs w:val="20"/>
              </w:rPr>
            </w:pPr>
            <w:r w:rsidRPr="00710AA0">
              <w:rPr>
                <w:rFonts w:ascii="Arial" w:hAnsi="Arial" w:cs="Arial"/>
                <w:b/>
                <w:bCs/>
                <w:iCs/>
                <w:sz w:val="20"/>
                <w:szCs w:val="20"/>
              </w:rPr>
              <w:t>p-value</w:t>
            </w:r>
          </w:p>
        </w:tc>
        <w:tc>
          <w:tcPr>
            <w:tcW w:w="1269" w:type="dxa"/>
            <w:tcBorders>
              <w:top w:val="single" w:sz="4" w:space="0" w:color="auto"/>
              <w:bottom w:val="single" w:sz="4" w:space="0" w:color="auto"/>
            </w:tcBorders>
            <w:vAlign w:val="center"/>
          </w:tcPr>
          <w:p w14:paraId="030CEDCB" w14:textId="77777777" w:rsidR="00710AA0" w:rsidRPr="00710AA0" w:rsidRDefault="00710AA0" w:rsidP="00710AA0">
            <w:pPr>
              <w:pStyle w:val="BodyText"/>
              <w:spacing w:after="0"/>
              <w:jc w:val="center"/>
              <w:rPr>
                <w:rFonts w:ascii="Arial" w:hAnsi="Arial" w:cs="Arial"/>
                <w:b/>
                <w:bCs/>
                <w:iCs/>
                <w:sz w:val="20"/>
                <w:szCs w:val="20"/>
              </w:rPr>
            </w:pPr>
            <w:r w:rsidRPr="00710AA0">
              <w:rPr>
                <w:rFonts w:ascii="Arial" w:hAnsi="Arial" w:cs="Arial"/>
                <w:b/>
                <w:bCs/>
                <w:iCs/>
                <w:sz w:val="20"/>
                <w:szCs w:val="20"/>
              </w:rPr>
              <w:t>Decision</w:t>
            </w:r>
          </w:p>
          <w:p w14:paraId="220B32C1" w14:textId="77777777" w:rsidR="00710AA0" w:rsidRPr="00710AA0" w:rsidRDefault="00710AA0" w:rsidP="00710AA0">
            <w:pPr>
              <w:pStyle w:val="BodyText"/>
              <w:spacing w:after="0"/>
              <w:jc w:val="center"/>
              <w:rPr>
                <w:rFonts w:ascii="Arial" w:hAnsi="Arial" w:cs="Arial"/>
                <w:b/>
                <w:bCs/>
                <w:iCs/>
                <w:sz w:val="20"/>
                <w:szCs w:val="20"/>
                <w:vertAlign w:val="subscript"/>
              </w:rPr>
            </w:pPr>
            <w:r w:rsidRPr="00710AA0">
              <w:rPr>
                <w:rFonts w:ascii="Arial" w:hAnsi="Arial" w:cs="Arial"/>
                <w:b/>
                <w:bCs/>
                <w:iCs/>
                <w:sz w:val="20"/>
                <w:szCs w:val="20"/>
              </w:rPr>
              <w:t>(Ho)</w:t>
            </w:r>
          </w:p>
        </w:tc>
      </w:tr>
      <w:tr w:rsidR="00710AA0" w:rsidRPr="00A662D5" w14:paraId="4A77EE61" w14:textId="77777777" w:rsidTr="00710AA0">
        <w:trPr>
          <w:trHeight w:val="58"/>
        </w:trPr>
        <w:tc>
          <w:tcPr>
            <w:tcW w:w="2694" w:type="dxa"/>
            <w:tcBorders>
              <w:top w:val="single" w:sz="4" w:space="0" w:color="auto"/>
            </w:tcBorders>
            <w:vAlign w:val="center"/>
          </w:tcPr>
          <w:p w14:paraId="7698AB9C" w14:textId="77777777" w:rsidR="00710AA0" w:rsidRPr="00710AA0" w:rsidRDefault="00710AA0" w:rsidP="00710AA0">
            <w:pPr>
              <w:pStyle w:val="BodyText"/>
              <w:spacing w:after="0"/>
              <w:rPr>
                <w:rFonts w:ascii="Arial" w:hAnsi="Arial" w:cs="Arial"/>
                <w:b/>
                <w:iCs/>
                <w:sz w:val="20"/>
                <w:szCs w:val="20"/>
              </w:rPr>
            </w:pPr>
            <w:r w:rsidRPr="00710AA0">
              <w:rPr>
                <w:rFonts w:ascii="Arial" w:hAnsi="Arial" w:cs="Arial"/>
                <w:iCs/>
                <w:sz w:val="20"/>
                <w:szCs w:val="20"/>
              </w:rPr>
              <w:t>Learning Approaches</w:t>
            </w:r>
          </w:p>
        </w:tc>
        <w:tc>
          <w:tcPr>
            <w:tcW w:w="1275" w:type="dxa"/>
            <w:tcBorders>
              <w:top w:val="single" w:sz="4" w:space="0" w:color="auto"/>
            </w:tcBorders>
            <w:vAlign w:val="center"/>
          </w:tcPr>
          <w:p w14:paraId="59FC7635" w14:textId="77777777" w:rsidR="00710AA0" w:rsidRPr="00710AA0" w:rsidRDefault="00710AA0" w:rsidP="00710AA0">
            <w:pPr>
              <w:pStyle w:val="BodyText"/>
              <w:spacing w:after="0"/>
              <w:rPr>
                <w:rFonts w:ascii="Arial" w:hAnsi="Arial" w:cs="Arial"/>
                <w:b/>
                <w:i/>
                <w:sz w:val="20"/>
                <w:szCs w:val="20"/>
              </w:rPr>
            </w:pPr>
          </w:p>
        </w:tc>
        <w:tc>
          <w:tcPr>
            <w:tcW w:w="1985" w:type="dxa"/>
            <w:tcBorders>
              <w:top w:val="single" w:sz="4" w:space="0" w:color="auto"/>
            </w:tcBorders>
            <w:vAlign w:val="center"/>
          </w:tcPr>
          <w:p w14:paraId="454FB6E1" w14:textId="77777777" w:rsidR="00710AA0" w:rsidRPr="00710AA0" w:rsidRDefault="00710AA0" w:rsidP="00710AA0">
            <w:pPr>
              <w:pStyle w:val="BodyText"/>
              <w:spacing w:after="0"/>
              <w:rPr>
                <w:rFonts w:ascii="Arial" w:hAnsi="Arial" w:cs="Arial"/>
                <w:b/>
                <w:i/>
                <w:sz w:val="20"/>
                <w:szCs w:val="20"/>
              </w:rPr>
            </w:pPr>
          </w:p>
        </w:tc>
        <w:tc>
          <w:tcPr>
            <w:tcW w:w="1417" w:type="dxa"/>
            <w:tcBorders>
              <w:top w:val="single" w:sz="4" w:space="0" w:color="auto"/>
            </w:tcBorders>
            <w:vAlign w:val="center"/>
          </w:tcPr>
          <w:p w14:paraId="1E27B799" w14:textId="77777777" w:rsidR="00710AA0" w:rsidRPr="00710AA0" w:rsidRDefault="00710AA0" w:rsidP="00710AA0">
            <w:pPr>
              <w:pStyle w:val="BodyText"/>
              <w:spacing w:after="0"/>
              <w:rPr>
                <w:rFonts w:ascii="Arial" w:hAnsi="Arial" w:cs="Arial"/>
                <w:b/>
                <w:i/>
                <w:sz w:val="20"/>
                <w:szCs w:val="20"/>
              </w:rPr>
            </w:pPr>
          </w:p>
        </w:tc>
        <w:tc>
          <w:tcPr>
            <w:tcW w:w="1269" w:type="dxa"/>
            <w:tcBorders>
              <w:top w:val="single" w:sz="4" w:space="0" w:color="auto"/>
            </w:tcBorders>
            <w:vAlign w:val="center"/>
          </w:tcPr>
          <w:p w14:paraId="74BB2499" w14:textId="77777777" w:rsidR="00710AA0" w:rsidRPr="00710AA0" w:rsidRDefault="00710AA0" w:rsidP="00710AA0">
            <w:pPr>
              <w:pStyle w:val="BodyText"/>
              <w:spacing w:after="0"/>
              <w:rPr>
                <w:rFonts w:ascii="Arial" w:hAnsi="Arial" w:cs="Arial"/>
                <w:b/>
                <w:i/>
                <w:sz w:val="20"/>
                <w:szCs w:val="20"/>
              </w:rPr>
            </w:pPr>
          </w:p>
        </w:tc>
      </w:tr>
      <w:tr w:rsidR="00710AA0" w:rsidRPr="00A662D5" w14:paraId="0D05BD5B" w14:textId="77777777" w:rsidTr="00710AA0">
        <w:trPr>
          <w:trHeight w:val="68"/>
        </w:trPr>
        <w:tc>
          <w:tcPr>
            <w:tcW w:w="2694" w:type="dxa"/>
            <w:vAlign w:val="center"/>
          </w:tcPr>
          <w:p w14:paraId="7600CF2F" w14:textId="77777777" w:rsidR="00710AA0" w:rsidRPr="00710AA0" w:rsidRDefault="00710AA0" w:rsidP="00710AA0">
            <w:pPr>
              <w:pStyle w:val="BodyText"/>
              <w:spacing w:after="0"/>
              <w:rPr>
                <w:rFonts w:ascii="Arial" w:hAnsi="Arial" w:cs="Arial"/>
                <w:b/>
                <w:i/>
                <w:sz w:val="20"/>
                <w:szCs w:val="20"/>
              </w:rPr>
            </w:pPr>
          </w:p>
        </w:tc>
        <w:tc>
          <w:tcPr>
            <w:tcW w:w="1275" w:type="dxa"/>
            <w:vAlign w:val="center"/>
          </w:tcPr>
          <w:p w14:paraId="18193703" w14:textId="77777777" w:rsidR="00710AA0" w:rsidRPr="00710AA0" w:rsidRDefault="00710AA0" w:rsidP="00710AA0">
            <w:pPr>
              <w:pStyle w:val="BodyText"/>
              <w:spacing w:after="0"/>
              <w:jc w:val="center"/>
              <w:rPr>
                <w:rFonts w:ascii="Arial" w:hAnsi="Arial" w:cs="Arial"/>
                <w:b/>
                <w:iCs/>
                <w:sz w:val="20"/>
                <w:szCs w:val="20"/>
              </w:rPr>
            </w:pPr>
            <w:r w:rsidRPr="00710AA0">
              <w:rPr>
                <w:rFonts w:ascii="Arial" w:hAnsi="Arial" w:cs="Arial"/>
                <w:iCs/>
                <w:sz w:val="20"/>
                <w:szCs w:val="20"/>
              </w:rPr>
              <w:t>.689</w:t>
            </w:r>
          </w:p>
        </w:tc>
        <w:tc>
          <w:tcPr>
            <w:tcW w:w="1985" w:type="dxa"/>
            <w:vAlign w:val="center"/>
          </w:tcPr>
          <w:p w14:paraId="1A602829" w14:textId="77777777" w:rsidR="00710AA0" w:rsidRPr="00710AA0" w:rsidRDefault="00710AA0" w:rsidP="00710AA0">
            <w:pPr>
              <w:pStyle w:val="BodyText"/>
              <w:spacing w:after="0"/>
              <w:jc w:val="center"/>
              <w:rPr>
                <w:rFonts w:ascii="Arial" w:hAnsi="Arial" w:cs="Arial"/>
                <w:b/>
                <w:iCs/>
                <w:sz w:val="20"/>
                <w:szCs w:val="20"/>
              </w:rPr>
            </w:pPr>
            <w:r w:rsidRPr="00710AA0">
              <w:rPr>
                <w:rFonts w:ascii="Arial" w:hAnsi="Arial" w:cs="Arial"/>
                <w:iCs/>
                <w:sz w:val="20"/>
                <w:szCs w:val="20"/>
              </w:rPr>
              <w:t>Moderate</w:t>
            </w:r>
          </w:p>
        </w:tc>
        <w:tc>
          <w:tcPr>
            <w:tcW w:w="1417" w:type="dxa"/>
            <w:vAlign w:val="center"/>
          </w:tcPr>
          <w:p w14:paraId="75F17DF7" w14:textId="35022BEA" w:rsidR="00710AA0" w:rsidRPr="00710AA0" w:rsidRDefault="00710AA0" w:rsidP="00710AA0">
            <w:pPr>
              <w:pStyle w:val="BodyText"/>
              <w:spacing w:after="0"/>
              <w:jc w:val="center"/>
              <w:rPr>
                <w:rFonts w:ascii="Arial" w:hAnsi="Arial" w:cs="Arial"/>
                <w:b/>
                <w:iCs/>
                <w:sz w:val="20"/>
                <w:szCs w:val="20"/>
              </w:rPr>
            </w:pPr>
            <w:r w:rsidRPr="00710AA0">
              <w:rPr>
                <w:rFonts w:ascii="Arial" w:hAnsi="Arial" w:cs="Arial"/>
                <w:iCs/>
                <w:sz w:val="20"/>
                <w:szCs w:val="20"/>
              </w:rPr>
              <w:t>.000</w:t>
            </w:r>
          </w:p>
        </w:tc>
        <w:tc>
          <w:tcPr>
            <w:tcW w:w="1269" w:type="dxa"/>
            <w:vAlign w:val="center"/>
          </w:tcPr>
          <w:p w14:paraId="4C7A5B19" w14:textId="2F5B7B63" w:rsidR="00710AA0" w:rsidRPr="00710AA0" w:rsidRDefault="00710AA0" w:rsidP="00710AA0">
            <w:pPr>
              <w:pStyle w:val="BodyText"/>
              <w:spacing w:after="0"/>
              <w:jc w:val="center"/>
              <w:rPr>
                <w:rFonts w:ascii="Arial" w:hAnsi="Arial" w:cs="Arial"/>
                <w:b/>
                <w:iCs/>
                <w:sz w:val="20"/>
                <w:szCs w:val="20"/>
              </w:rPr>
            </w:pPr>
            <w:r w:rsidRPr="00710AA0">
              <w:rPr>
                <w:rFonts w:ascii="Arial" w:hAnsi="Arial" w:cs="Arial"/>
                <w:iCs/>
                <w:sz w:val="20"/>
                <w:szCs w:val="20"/>
              </w:rPr>
              <w:t>Reject</w:t>
            </w:r>
          </w:p>
        </w:tc>
      </w:tr>
      <w:tr w:rsidR="00710AA0" w:rsidRPr="00A662D5" w14:paraId="589ADA77" w14:textId="77777777" w:rsidTr="00710AA0">
        <w:trPr>
          <w:trHeight w:val="68"/>
        </w:trPr>
        <w:tc>
          <w:tcPr>
            <w:tcW w:w="2694" w:type="dxa"/>
            <w:tcBorders>
              <w:bottom w:val="single" w:sz="4" w:space="0" w:color="auto"/>
            </w:tcBorders>
            <w:vAlign w:val="center"/>
          </w:tcPr>
          <w:p w14:paraId="303DF56C" w14:textId="77777777" w:rsidR="00710AA0" w:rsidRPr="00710AA0" w:rsidRDefault="00710AA0" w:rsidP="00710AA0">
            <w:pPr>
              <w:pStyle w:val="BodyText"/>
              <w:spacing w:after="0"/>
              <w:rPr>
                <w:rFonts w:ascii="Arial" w:hAnsi="Arial" w:cs="Arial"/>
                <w:b/>
                <w:iCs/>
                <w:sz w:val="20"/>
                <w:szCs w:val="20"/>
              </w:rPr>
            </w:pPr>
            <w:r w:rsidRPr="00710AA0">
              <w:rPr>
                <w:rFonts w:ascii="Arial" w:hAnsi="Arial" w:cs="Arial"/>
                <w:iCs/>
                <w:sz w:val="20"/>
                <w:szCs w:val="20"/>
              </w:rPr>
              <w:t>Gratification</w:t>
            </w:r>
          </w:p>
        </w:tc>
        <w:tc>
          <w:tcPr>
            <w:tcW w:w="1275" w:type="dxa"/>
            <w:tcBorders>
              <w:bottom w:val="single" w:sz="4" w:space="0" w:color="auto"/>
            </w:tcBorders>
            <w:vAlign w:val="center"/>
          </w:tcPr>
          <w:p w14:paraId="53FCEDE6" w14:textId="77777777" w:rsidR="00710AA0" w:rsidRPr="00710AA0" w:rsidRDefault="00710AA0" w:rsidP="00710AA0">
            <w:pPr>
              <w:pStyle w:val="BodyText"/>
              <w:spacing w:after="0"/>
              <w:rPr>
                <w:rFonts w:ascii="Arial" w:hAnsi="Arial" w:cs="Arial"/>
                <w:b/>
                <w:i/>
                <w:sz w:val="20"/>
                <w:szCs w:val="20"/>
              </w:rPr>
            </w:pPr>
          </w:p>
        </w:tc>
        <w:tc>
          <w:tcPr>
            <w:tcW w:w="1985" w:type="dxa"/>
            <w:tcBorders>
              <w:bottom w:val="single" w:sz="4" w:space="0" w:color="auto"/>
            </w:tcBorders>
            <w:vAlign w:val="center"/>
          </w:tcPr>
          <w:p w14:paraId="293F7D34" w14:textId="77777777" w:rsidR="00710AA0" w:rsidRPr="00710AA0" w:rsidRDefault="00710AA0" w:rsidP="00710AA0">
            <w:pPr>
              <w:pStyle w:val="BodyText"/>
              <w:spacing w:after="0"/>
              <w:rPr>
                <w:rFonts w:ascii="Arial" w:hAnsi="Arial" w:cs="Arial"/>
                <w:b/>
                <w:i/>
                <w:sz w:val="20"/>
                <w:szCs w:val="20"/>
              </w:rPr>
            </w:pPr>
          </w:p>
        </w:tc>
        <w:tc>
          <w:tcPr>
            <w:tcW w:w="1417" w:type="dxa"/>
            <w:tcBorders>
              <w:bottom w:val="single" w:sz="4" w:space="0" w:color="auto"/>
            </w:tcBorders>
            <w:vAlign w:val="center"/>
          </w:tcPr>
          <w:p w14:paraId="03B2F5E8" w14:textId="77777777" w:rsidR="00710AA0" w:rsidRPr="00710AA0" w:rsidRDefault="00710AA0" w:rsidP="00710AA0">
            <w:pPr>
              <w:pStyle w:val="BodyText"/>
              <w:spacing w:after="0"/>
              <w:rPr>
                <w:rFonts w:ascii="Arial" w:hAnsi="Arial" w:cs="Arial"/>
                <w:b/>
                <w:i/>
                <w:sz w:val="20"/>
                <w:szCs w:val="20"/>
              </w:rPr>
            </w:pPr>
          </w:p>
        </w:tc>
        <w:tc>
          <w:tcPr>
            <w:tcW w:w="1269" w:type="dxa"/>
            <w:tcBorders>
              <w:bottom w:val="single" w:sz="4" w:space="0" w:color="auto"/>
            </w:tcBorders>
            <w:vAlign w:val="center"/>
          </w:tcPr>
          <w:p w14:paraId="039079BC" w14:textId="77777777" w:rsidR="00710AA0" w:rsidRPr="00710AA0" w:rsidRDefault="00710AA0" w:rsidP="00710AA0">
            <w:pPr>
              <w:pStyle w:val="BodyText"/>
              <w:spacing w:after="0"/>
              <w:rPr>
                <w:rFonts w:ascii="Arial" w:hAnsi="Arial" w:cs="Arial"/>
                <w:b/>
                <w:i/>
                <w:sz w:val="20"/>
                <w:szCs w:val="20"/>
              </w:rPr>
            </w:pPr>
          </w:p>
        </w:tc>
      </w:tr>
    </w:tbl>
    <w:p w14:paraId="1BDBE2B2" w14:textId="77777777" w:rsidR="00717F2E" w:rsidRDefault="00717F2E">
      <w:pPr>
        <w:jc w:val="both"/>
        <w:rPr>
          <w:rFonts w:ascii="Arial" w:hAnsi="Arial" w:cs="Arial"/>
        </w:rPr>
      </w:pPr>
    </w:p>
    <w:p w14:paraId="0EF762FC" w14:textId="3B73913A" w:rsidR="00272068" w:rsidRDefault="00710AA0" w:rsidP="00272068">
      <w:pPr>
        <w:jc w:val="both"/>
        <w:rPr>
          <w:rFonts w:ascii="Arial" w:hAnsi="Arial" w:cs="Arial"/>
        </w:rPr>
      </w:pPr>
      <w:r w:rsidRPr="00710AA0">
        <w:rPr>
          <w:rFonts w:ascii="Arial" w:hAnsi="Arial" w:cs="Arial"/>
        </w:rPr>
        <w:t xml:space="preserve">Presented in Table </w:t>
      </w:r>
      <w:r>
        <w:rPr>
          <w:rFonts w:ascii="Arial" w:hAnsi="Arial" w:cs="Arial"/>
        </w:rPr>
        <w:t>4</w:t>
      </w:r>
      <w:r w:rsidRPr="00710AA0">
        <w:rPr>
          <w:rFonts w:ascii="Arial" w:hAnsi="Arial" w:cs="Arial"/>
        </w:rPr>
        <w:t xml:space="preserve"> is the correlation analysis between learning approaches and gratification towards merged learning. The relationship between learning approaches and gratification has a correlation coefficient (r-value) of 0.689 with a p-value of 0.000, which is less than the 0.05 significance level. This indicates a moderate and statistically significant positive relationship between learning approaches and gratification towards merged learning. Given that the p-value is less than 0.05, the null hypothesis (Ho) is rejected, supporting the claim that learning approaches are significantly related to gratification towards merged learning.</w:t>
      </w:r>
    </w:p>
    <w:p w14:paraId="2E4CDF8E" w14:textId="77777777" w:rsidR="00272068" w:rsidRDefault="00272068" w:rsidP="00272068">
      <w:pPr>
        <w:jc w:val="both"/>
        <w:rPr>
          <w:rFonts w:ascii="Arial" w:hAnsi="Arial" w:cs="Arial"/>
        </w:rPr>
      </w:pPr>
    </w:p>
    <w:p w14:paraId="13D2F7F3" w14:textId="77777777" w:rsidR="00710AA0" w:rsidRDefault="00710AA0" w:rsidP="00710AA0">
      <w:pPr>
        <w:jc w:val="both"/>
        <w:rPr>
          <w:rFonts w:ascii="Arial" w:hAnsi="Arial" w:cs="Arial"/>
        </w:rPr>
      </w:pPr>
      <w:r w:rsidRPr="00710AA0">
        <w:rPr>
          <w:rFonts w:ascii="Arial" w:hAnsi="Arial" w:cs="Arial"/>
        </w:rPr>
        <w:t>This suggests that students who engage in more effective learning approaches are likely to experience higher levels of gratification with the merged learning experience. The use of various learning strategies, particularly those focused on active engagement and cognitive development, may enhance students' overall satisfaction and sense of fulfillment in the merged learning environment.</w:t>
      </w:r>
    </w:p>
    <w:p w14:paraId="743016DB" w14:textId="77777777" w:rsidR="00710AA0" w:rsidRPr="00710AA0" w:rsidRDefault="00710AA0" w:rsidP="00710AA0">
      <w:pPr>
        <w:jc w:val="both"/>
        <w:rPr>
          <w:rFonts w:ascii="Arial" w:hAnsi="Arial" w:cs="Arial"/>
        </w:rPr>
      </w:pPr>
    </w:p>
    <w:p w14:paraId="02993DC3" w14:textId="1F7EE45F" w:rsidR="00710AA0" w:rsidRDefault="00710AA0" w:rsidP="00710AA0">
      <w:pPr>
        <w:jc w:val="both"/>
        <w:rPr>
          <w:rFonts w:ascii="Arial" w:hAnsi="Arial" w:cs="Arial"/>
        </w:rPr>
      </w:pPr>
      <w:r w:rsidRPr="00710AA0">
        <w:rPr>
          <w:rFonts w:ascii="Arial" w:hAnsi="Arial" w:cs="Arial"/>
        </w:rPr>
        <w:t>This finding is consistent with the study by Diep et al. (2017), which emphasized the positive impact of learning approaches on students' gratification in merged learning environments. Students who employ effective learning approaches, such as time management and cognitive engagement, tend to experience higher levels of gratification with their merged learning experiences. Similarly, Anthony et al. (2019) found that students who actively engage in strategic learning behaviors are more likely to appreciate the flexibility and interactive elements of merged learning, leading to enhanced gratification. Furthermore, McHone (2020) showed that when students use complex cognitive approaches in merged learning, they are better able to navigate the environment, which contributes to a greater sense of accomplishment and overall gratification.</w:t>
      </w:r>
    </w:p>
    <w:p w14:paraId="10D821F7" w14:textId="77777777" w:rsidR="00710AA0" w:rsidRDefault="00710AA0" w:rsidP="00710AA0">
      <w:pPr>
        <w:jc w:val="both"/>
        <w:rPr>
          <w:rFonts w:ascii="Arial" w:hAnsi="Arial" w:cs="Arial"/>
        </w:rPr>
      </w:pPr>
    </w:p>
    <w:p w14:paraId="627254B0" w14:textId="77777777" w:rsidR="00710AA0" w:rsidRDefault="00710AA0" w:rsidP="00710AA0">
      <w:pPr>
        <w:jc w:val="both"/>
        <w:rPr>
          <w:rFonts w:ascii="Arial" w:hAnsi="Arial" w:cs="Arial"/>
        </w:rPr>
      </w:pPr>
    </w:p>
    <w:p w14:paraId="29313C4F" w14:textId="77777777" w:rsidR="00710AA0" w:rsidRDefault="00710AA0" w:rsidP="00710AA0">
      <w:pPr>
        <w:jc w:val="both"/>
        <w:rPr>
          <w:rFonts w:ascii="Arial" w:hAnsi="Arial" w:cs="Arial"/>
        </w:rPr>
      </w:pPr>
    </w:p>
    <w:p w14:paraId="43FDEB1B" w14:textId="77777777" w:rsidR="00710AA0" w:rsidRDefault="00710AA0" w:rsidP="00710AA0">
      <w:pPr>
        <w:jc w:val="both"/>
        <w:rPr>
          <w:rFonts w:ascii="Arial" w:hAnsi="Arial" w:cs="Arial"/>
        </w:rPr>
      </w:pPr>
    </w:p>
    <w:p w14:paraId="466E5697" w14:textId="77777777" w:rsidR="00710AA0" w:rsidRDefault="00710AA0" w:rsidP="00710AA0">
      <w:pPr>
        <w:jc w:val="both"/>
        <w:rPr>
          <w:rFonts w:ascii="Arial" w:hAnsi="Arial" w:cs="Arial"/>
        </w:rPr>
      </w:pPr>
    </w:p>
    <w:p w14:paraId="5DAFD17A" w14:textId="77777777" w:rsidR="00710AA0" w:rsidRDefault="00710AA0" w:rsidP="00710AA0">
      <w:pPr>
        <w:jc w:val="both"/>
        <w:rPr>
          <w:rFonts w:ascii="Arial" w:hAnsi="Arial" w:cs="Arial"/>
        </w:rPr>
      </w:pPr>
    </w:p>
    <w:p w14:paraId="2FF3C6FB" w14:textId="77777777" w:rsidR="00710AA0" w:rsidRDefault="00710AA0" w:rsidP="00710AA0">
      <w:pPr>
        <w:jc w:val="both"/>
        <w:rPr>
          <w:rFonts w:ascii="Arial" w:hAnsi="Arial" w:cs="Arial"/>
        </w:rPr>
      </w:pPr>
    </w:p>
    <w:p w14:paraId="33A048C5" w14:textId="77777777" w:rsidR="00710AA0" w:rsidRDefault="00710AA0" w:rsidP="00710AA0">
      <w:pPr>
        <w:jc w:val="both"/>
        <w:rPr>
          <w:rFonts w:ascii="Arial" w:hAnsi="Arial" w:cs="Arial"/>
        </w:rPr>
      </w:pPr>
    </w:p>
    <w:p w14:paraId="53BBCF17" w14:textId="77777777" w:rsidR="00710AA0" w:rsidRDefault="00710AA0" w:rsidP="00710AA0">
      <w:pPr>
        <w:jc w:val="both"/>
        <w:rPr>
          <w:rFonts w:ascii="Arial" w:hAnsi="Arial" w:cs="Arial"/>
        </w:rPr>
      </w:pPr>
    </w:p>
    <w:p w14:paraId="3C88461D" w14:textId="77777777" w:rsidR="00710AA0" w:rsidRDefault="00710AA0" w:rsidP="00710AA0">
      <w:pPr>
        <w:jc w:val="both"/>
        <w:rPr>
          <w:rFonts w:ascii="Arial" w:hAnsi="Arial" w:cs="Arial"/>
        </w:rPr>
      </w:pPr>
    </w:p>
    <w:p w14:paraId="7293D3CD" w14:textId="77777777" w:rsidR="00710AA0" w:rsidRDefault="00710AA0" w:rsidP="00710AA0">
      <w:pPr>
        <w:jc w:val="both"/>
        <w:rPr>
          <w:rFonts w:ascii="Arial" w:hAnsi="Arial" w:cs="Arial"/>
        </w:rPr>
      </w:pPr>
    </w:p>
    <w:p w14:paraId="66008ABA" w14:textId="77777777" w:rsidR="00710AA0" w:rsidRDefault="00710AA0" w:rsidP="00710AA0">
      <w:pPr>
        <w:jc w:val="both"/>
        <w:rPr>
          <w:rFonts w:ascii="Arial" w:hAnsi="Arial" w:cs="Arial"/>
        </w:rPr>
      </w:pPr>
    </w:p>
    <w:p w14:paraId="77F97B06" w14:textId="77777777" w:rsidR="00710AA0" w:rsidRDefault="00710AA0" w:rsidP="00710AA0">
      <w:pPr>
        <w:jc w:val="both"/>
        <w:rPr>
          <w:rFonts w:ascii="Arial" w:hAnsi="Arial" w:cs="Arial"/>
        </w:rPr>
      </w:pPr>
    </w:p>
    <w:p w14:paraId="49F418CF" w14:textId="77777777" w:rsidR="00710AA0" w:rsidRDefault="00710AA0" w:rsidP="00710AA0">
      <w:pPr>
        <w:jc w:val="both"/>
        <w:rPr>
          <w:rFonts w:ascii="Arial" w:hAnsi="Arial" w:cs="Arial"/>
        </w:rPr>
      </w:pPr>
    </w:p>
    <w:p w14:paraId="33E8AC73" w14:textId="77777777" w:rsidR="00710AA0" w:rsidRDefault="00710AA0" w:rsidP="00710AA0">
      <w:pPr>
        <w:jc w:val="both"/>
        <w:rPr>
          <w:rFonts w:ascii="Arial" w:hAnsi="Arial" w:cs="Arial"/>
        </w:rPr>
      </w:pPr>
    </w:p>
    <w:p w14:paraId="13C9C520" w14:textId="77777777" w:rsidR="00710AA0" w:rsidRDefault="00710AA0" w:rsidP="00710AA0">
      <w:pPr>
        <w:jc w:val="both"/>
        <w:rPr>
          <w:rFonts w:ascii="Arial" w:hAnsi="Arial" w:cs="Arial"/>
        </w:rPr>
      </w:pPr>
    </w:p>
    <w:p w14:paraId="1CBB4FE5" w14:textId="539891B3" w:rsidR="00710AA0" w:rsidRDefault="00710AA0" w:rsidP="00710AA0">
      <w:pPr>
        <w:jc w:val="both"/>
        <w:rPr>
          <w:rFonts w:ascii="Arial" w:hAnsi="Arial" w:cs="Arial"/>
          <w:b/>
          <w:bCs/>
          <w:iCs/>
        </w:rPr>
      </w:pPr>
      <w:r>
        <w:rPr>
          <w:rFonts w:ascii="Arial" w:hAnsi="Arial" w:cs="Arial"/>
          <w:b/>
          <w:bCs/>
          <w:iCs/>
        </w:rPr>
        <w:t xml:space="preserve">3.5 </w:t>
      </w:r>
      <w:r w:rsidRPr="00710AA0">
        <w:rPr>
          <w:rFonts w:ascii="Arial" w:hAnsi="Arial" w:cs="Arial"/>
          <w:b/>
          <w:bCs/>
          <w:iCs/>
        </w:rPr>
        <w:t>Significant Relationship Between Willingness and Gratification towards Merged Learning</w:t>
      </w:r>
    </w:p>
    <w:p w14:paraId="37F36B3A" w14:textId="77777777" w:rsidR="00710AA0" w:rsidRDefault="00710AA0" w:rsidP="00710AA0">
      <w:pPr>
        <w:jc w:val="both"/>
        <w:rPr>
          <w:rFonts w:ascii="Arial" w:hAnsi="Arial" w:cs="Arial"/>
          <w:iCs/>
        </w:rPr>
      </w:pPr>
    </w:p>
    <w:p w14:paraId="43C8D828" w14:textId="7C5A7DFE" w:rsidR="00710AA0" w:rsidRDefault="00710AA0" w:rsidP="00710AA0">
      <w:pPr>
        <w:rPr>
          <w:rFonts w:ascii="Arial" w:hAnsi="Arial" w:cs="Arial"/>
          <w:i/>
        </w:rPr>
      </w:pPr>
      <w:r>
        <w:rPr>
          <w:rFonts w:ascii="Arial" w:hAnsi="Arial" w:cs="Arial"/>
          <w:iCs/>
        </w:rPr>
        <w:t xml:space="preserve">Table 5.  </w:t>
      </w:r>
      <w:r w:rsidRPr="00710AA0">
        <w:rPr>
          <w:rFonts w:ascii="Arial" w:hAnsi="Arial" w:cs="Arial"/>
          <w:i/>
        </w:rPr>
        <w:t>Significant Relationship Between Willingness and Gratification towards Merged Learning</w:t>
      </w:r>
    </w:p>
    <w:p w14:paraId="01DBE6E1" w14:textId="77777777" w:rsidR="00710AA0" w:rsidRDefault="00710AA0" w:rsidP="00710AA0">
      <w:pPr>
        <w:rPr>
          <w:rFonts w:ascii="Arial" w:hAnsi="Arial" w:cs="Arial"/>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1502"/>
        <w:gridCol w:w="1858"/>
        <w:gridCol w:w="1503"/>
        <w:gridCol w:w="1522"/>
      </w:tblGrid>
      <w:tr w:rsidR="00710AA0" w:rsidRPr="00A662D5" w14:paraId="78E76911" w14:textId="77777777" w:rsidTr="00E16885">
        <w:trPr>
          <w:trHeight w:val="864"/>
        </w:trPr>
        <w:tc>
          <w:tcPr>
            <w:tcW w:w="1897" w:type="dxa"/>
            <w:tcBorders>
              <w:top w:val="single" w:sz="4" w:space="0" w:color="auto"/>
              <w:bottom w:val="single" w:sz="4" w:space="0" w:color="auto"/>
            </w:tcBorders>
            <w:vAlign w:val="center"/>
          </w:tcPr>
          <w:p w14:paraId="4220B76D" w14:textId="77777777" w:rsidR="00710AA0" w:rsidRPr="00710AA0" w:rsidRDefault="00710AA0" w:rsidP="00710AA0">
            <w:pPr>
              <w:pStyle w:val="BodyText"/>
              <w:spacing w:after="0"/>
              <w:rPr>
                <w:rFonts w:ascii="Arial" w:hAnsi="Arial" w:cs="Arial"/>
                <w:b/>
                <w:bCs/>
                <w:iCs/>
                <w:sz w:val="20"/>
                <w:szCs w:val="20"/>
              </w:rPr>
            </w:pPr>
            <w:r w:rsidRPr="00710AA0">
              <w:rPr>
                <w:rFonts w:ascii="Arial" w:hAnsi="Arial" w:cs="Arial"/>
                <w:b/>
                <w:bCs/>
                <w:iCs/>
                <w:sz w:val="20"/>
                <w:szCs w:val="20"/>
              </w:rPr>
              <w:t>Variables</w:t>
            </w:r>
          </w:p>
        </w:tc>
        <w:tc>
          <w:tcPr>
            <w:tcW w:w="1609" w:type="dxa"/>
            <w:tcBorders>
              <w:top w:val="single" w:sz="4" w:space="0" w:color="auto"/>
              <w:bottom w:val="single" w:sz="4" w:space="0" w:color="auto"/>
            </w:tcBorders>
            <w:vAlign w:val="center"/>
          </w:tcPr>
          <w:p w14:paraId="7C29ACC2" w14:textId="77777777" w:rsidR="00710AA0" w:rsidRPr="00710AA0" w:rsidRDefault="00710AA0" w:rsidP="00710AA0">
            <w:pPr>
              <w:pStyle w:val="BodyText"/>
              <w:spacing w:after="0"/>
              <w:rPr>
                <w:rFonts w:ascii="Arial" w:hAnsi="Arial" w:cs="Arial"/>
                <w:b/>
                <w:bCs/>
                <w:iCs/>
                <w:sz w:val="20"/>
                <w:szCs w:val="20"/>
              </w:rPr>
            </w:pPr>
            <w:r w:rsidRPr="00710AA0">
              <w:rPr>
                <w:rFonts w:ascii="Arial" w:hAnsi="Arial" w:cs="Arial"/>
                <w:b/>
                <w:bCs/>
                <w:iCs/>
                <w:sz w:val="20"/>
                <w:szCs w:val="20"/>
              </w:rPr>
              <w:t>r-value</w:t>
            </w:r>
          </w:p>
        </w:tc>
        <w:tc>
          <w:tcPr>
            <w:tcW w:w="1937" w:type="dxa"/>
            <w:tcBorders>
              <w:top w:val="single" w:sz="4" w:space="0" w:color="auto"/>
              <w:bottom w:val="single" w:sz="4" w:space="0" w:color="auto"/>
            </w:tcBorders>
            <w:vAlign w:val="center"/>
          </w:tcPr>
          <w:p w14:paraId="65D57859" w14:textId="77777777" w:rsidR="00710AA0" w:rsidRPr="00710AA0" w:rsidRDefault="00710AA0" w:rsidP="00710AA0">
            <w:pPr>
              <w:pStyle w:val="BodyText"/>
              <w:spacing w:after="0"/>
              <w:rPr>
                <w:rFonts w:ascii="Arial" w:hAnsi="Arial" w:cs="Arial"/>
                <w:b/>
                <w:bCs/>
                <w:iCs/>
                <w:sz w:val="20"/>
                <w:szCs w:val="20"/>
              </w:rPr>
            </w:pPr>
            <w:r w:rsidRPr="00710AA0">
              <w:rPr>
                <w:rFonts w:ascii="Arial" w:hAnsi="Arial" w:cs="Arial"/>
                <w:b/>
                <w:bCs/>
                <w:iCs/>
                <w:sz w:val="20"/>
                <w:szCs w:val="20"/>
              </w:rPr>
              <w:t xml:space="preserve">Degree of Correlation </w:t>
            </w:r>
          </w:p>
        </w:tc>
        <w:tc>
          <w:tcPr>
            <w:tcW w:w="1610" w:type="dxa"/>
            <w:tcBorders>
              <w:top w:val="single" w:sz="4" w:space="0" w:color="auto"/>
              <w:bottom w:val="single" w:sz="4" w:space="0" w:color="auto"/>
            </w:tcBorders>
            <w:vAlign w:val="center"/>
          </w:tcPr>
          <w:p w14:paraId="4976E17F" w14:textId="77777777" w:rsidR="00710AA0" w:rsidRPr="00710AA0" w:rsidRDefault="00710AA0" w:rsidP="00710AA0">
            <w:pPr>
              <w:pStyle w:val="BodyText"/>
              <w:spacing w:after="0"/>
              <w:rPr>
                <w:rFonts w:ascii="Arial" w:hAnsi="Arial" w:cs="Arial"/>
                <w:b/>
                <w:bCs/>
                <w:iCs/>
                <w:sz w:val="20"/>
                <w:szCs w:val="20"/>
              </w:rPr>
            </w:pPr>
            <w:r w:rsidRPr="00710AA0">
              <w:rPr>
                <w:rFonts w:ascii="Arial" w:hAnsi="Arial" w:cs="Arial"/>
                <w:b/>
                <w:bCs/>
                <w:iCs/>
                <w:sz w:val="20"/>
                <w:szCs w:val="20"/>
              </w:rPr>
              <w:t>p-value</w:t>
            </w:r>
          </w:p>
        </w:tc>
        <w:tc>
          <w:tcPr>
            <w:tcW w:w="1587" w:type="dxa"/>
            <w:tcBorders>
              <w:top w:val="single" w:sz="4" w:space="0" w:color="auto"/>
              <w:bottom w:val="single" w:sz="4" w:space="0" w:color="auto"/>
            </w:tcBorders>
            <w:vAlign w:val="center"/>
          </w:tcPr>
          <w:p w14:paraId="70B5A5F1" w14:textId="77777777" w:rsidR="00710AA0" w:rsidRPr="00710AA0" w:rsidRDefault="00710AA0" w:rsidP="00710AA0">
            <w:pPr>
              <w:pStyle w:val="BodyText"/>
              <w:spacing w:after="0"/>
              <w:rPr>
                <w:rFonts w:ascii="Arial" w:hAnsi="Arial" w:cs="Arial"/>
                <w:b/>
                <w:bCs/>
                <w:iCs/>
                <w:sz w:val="20"/>
                <w:szCs w:val="20"/>
              </w:rPr>
            </w:pPr>
            <w:r w:rsidRPr="00710AA0">
              <w:rPr>
                <w:rFonts w:ascii="Arial" w:hAnsi="Arial" w:cs="Arial"/>
                <w:b/>
                <w:bCs/>
                <w:iCs/>
                <w:sz w:val="20"/>
                <w:szCs w:val="20"/>
              </w:rPr>
              <w:t xml:space="preserve">   Decision</w:t>
            </w:r>
          </w:p>
          <w:p w14:paraId="03AC0278" w14:textId="77777777" w:rsidR="00710AA0" w:rsidRPr="00710AA0" w:rsidRDefault="00710AA0" w:rsidP="00710AA0">
            <w:pPr>
              <w:pStyle w:val="BodyText"/>
              <w:spacing w:after="0"/>
              <w:rPr>
                <w:rFonts w:ascii="Arial" w:hAnsi="Arial" w:cs="Arial"/>
                <w:b/>
                <w:bCs/>
                <w:iCs/>
                <w:sz w:val="20"/>
                <w:szCs w:val="20"/>
                <w:vertAlign w:val="subscript"/>
              </w:rPr>
            </w:pPr>
            <w:r w:rsidRPr="00710AA0">
              <w:rPr>
                <w:rFonts w:ascii="Arial" w:hAnsi="Arial" w:cs="Arial"/>
                <w:b/>
                <w:bCs/>
                <w:iCs/>
                <w:sz w:val="20"/>
                <w:szCs w:val="20"/>
              </w:rPr>
              <w:t>(Ho)</w:t>
            </w:r>
          </w:p>
        </w:tc>
      </w:tr>
      <w:tr w:rsidR="00710AA0" w:rsidRPr="00A662D5" w14:paraId="7B69799C" w14:textId="77777777" w:rsidTr="00710AA0">
        <w:trPr>
          <w:trHeight w:val="58"/>
        </w:trPr>
        <w:tc>
          <w:tcPr>
            <w:tcW w:w="1897" w:type="dxa"/>
            <w:tcBorders>
              <w:top w:val="single" w:sz="4" w:space="0" w:color="auto"/>
            </w:tcBorders>
            <w:vAlign w:val="center"/>
          </w:tcPr>
          <w:p w14:paraId="60B6A936" w14:textId="77777777" w:rsidR="00710AA0" w:rsidRPr="00710AA0" w:rsidRDefault="00710AA0" w:rsidP="00710AA0">
            <w:pPr>
              <w:pStyle w:val="BodyText"/>
              <w:spacing w:after="0"/>
              <w:rPr>
                <w:rFonts w:ascii="Arial" w:hAnsi="Arial" w:cs="Arial"/>
                <w:b/>
                <w:iCs/>
                <w:sz w:val="20"/>
                <w:szCs w:val="20"/>
              </w:rPr>
            </w:pPr>
            <w:r w:rsidRPr="00710AA0">
              <w:rPr>
                <w:rFonts w:ascii="Arial" w:hAnsi="Arial" w:cs="Arial"/>
                <w:iCs/>
                <w:sz w:val="20"/>
                <w:szCs w:val="20"/>
              </w:rPr>
              <w:t>Willingness</w:t>
            </w:r>
          </w:p>
        </w:tc>
        <w:tc>
          <w:tcPr>
            <w:tcW w:w="1609" w:type="dxa"/>
            <w:tcBorders>
              <w:top w:val="single" w:sz="4" w:space="0" w:color="auto"/>
            </w:tcBorders>
            <w:vAlign w:val="center"/>
          </w:tcPr>
          <w:p w14:paraId="5A865628" w14:textId="77777777" w:rsidR="00710AA0" w:rsidRPr="00710AA0" w:rsidRDefault="00710AA0" w:rsidP="00710AA0">
            <w:pPr>
              <w:pStyle w:val="BodyText"/>
              <w:spacing w:after="0"/>
              <w:jc w:val="center"/>
              <w:rPr>
                <w:rFonts w:ascii="Arial" w:hAnsi="Arial" w:cs="Arial"/>
                <w:b/>
                <w:i/>
                <w:sz w:val="20"/>
                <w:szCs w:val="20"/>
              </w:rPr>
            </w:pPr>
          </w:p>
        </w:tc>
        <w:tc>
          <w:tcPr>
            <w:tcW w:w="1937" w:type="dxa"/>
            <w:tcBorders>
              <w:top w:val="single" w:sz="4" w:space="0" w:color="auto"/>
            </w:tcBorders>
            <w:vAlign w:val="center"/>
          </w:tcPr>
          <w:p w14:paraId="6EA418B1" w14:textId="77777777" w:rsidR="00710AA0" w:rsidRPr="00710AA0" w:rsidRDefault="00710AA0" w:rsidP="00710AA0">
            <w:pPr>
              <w:pStyle w:val="BodyText"/>
              <w:spacing w:after="0"/>
              <w:jc w:val="center"/>
              <w:rPr>
                <w:rFonts w:ascii="Arial" w:hAnsi="Arial" w:cs="Arial"/>
                <w:b/>
                <w:i/>
                <w:sz w:val="20"/>
                <w:szCs w:val="20"/>
              </w:rPr>
            </w:pPr>
          </w:p>
        </w:tc>
        <w:tc>
          <w:tcPr>
            <w:tcW w:w="1610" w:type="dxa"/>
            <w:tcBorders>
              <w:top w:val="single" w:sz="4" w:space="0" w:color="auto"/>
            </w:tcBorders>
            <w:vAlign w:val="center"/>
          </w:tcPr>
          <w:p w14:paraId="2854282D" w14:textId="77777777" w:rsidR="00710AA0" w:rsidRPr="00710AA0" w:rsidRDefault="00710AA0" w:rsidP="00710AA0">
            <w:pPr>
              <w:pStyle w:val="BodyText"/>
              <w:spacing w:after="0"/>
              <w:jc w:val="center"/>
              <w:rPr>
                <w:rFonts w:ascii="Arial" w:hAnsi="Arial" w:cs="Arial"/>
                <w:b/>
                <w:i/>
                <w:sz w:val="20"/>
                <w:szCs w:val="20"/>
              </w:rPr>
            </w:pPr>
          </w:p>
        </w:tc>
        <w:tc>
          <w:tcPr>
            <w:tcW w:w="1587" w:type="dxa"/>
            <w:tcBorders>
              <w:top w:val="single" w:sz="4" w:space="0" w:color="auto"/>
            </w:tcBorders>
            <w:vAlign w:val="center"/>
          </w:tcPr>
          <w:p w14:paraId="3F961326" w14:textId="77777777" w:rsidR="00710AA0" w:rsidRPr="00710AA0" w:rsidRDefault="00710AA0" w:rsidP="00710AA0">
            <w:pPr>
              <w:pStyle w:val="BodyText"/>
              <w:spacing w:after="0"/>
              <w:jc w:val="center"/>
              <w:rPr>
                <w:rFonts w:ascii="Arial" w:hAnsi="Arial" w:cs="Arial"/>
                <w:b/>
                <w:i/>
                <w:sz w:val="20"/>
                <w:szCs w:val="20"/>
              </w:rPr>
            </w:pPr>
          </w:p>
        </w:tc>
      </w:tr>
      <w:tr w:rsidR="00710AA0" w:rsidRPr="00A662D5" w14:paraId="2F28F018" w14:textId="77777777" w:rsidTr="00710AA0">
        <w:trPr>
          <w:trHeight w:val="68"/>
        </w:trPr>
        <w:tc>
          <w:tcPr>
            <w:tcW w:w="1897" w:type="dxa"/>
            <w:vAlign w:val="center"/>
          </w:tcPr>
          <w:p w14:paraId="186B4997" w14:textId="77777777" w:rsidR="00710AA0" w:rsidRPr="00710AA0" w:rsidRDefault="00710AA0" w:rsidP="00710AA0">
            <w:pPr>
              <w:pStyle w:val="BodyText"/>
              <w:spacing w:after="0"/>
              <w:rPr>
                <w:rFonts w:ascii="Arial" w:hAnsi="Arial" w:cs="Arial"/>
                <w:b/>
                <w:i/>
                <w:sz w:val="20"/>
                <w:szCs w:val="20"/>
              </w:rPr>
            </w:pPr>
          </w:p>
        </w:tc>
        <w:tc>
          <w:tcPr>
            <w:tcW w:w="1609" w:type="dxa"/>
            <w:vAlign w:val="center"/>
          </w:tcPr>
          <w:p w14:paraId="66F2D954" w14:textId="77777777" w:rsidR="00710AA0" w:rsidRPr="00710AA0" w:rsidRDefault="00710AA0" w:rsidP="00710AA0">
            <w:pPr>
              <w:pStyle w:val="BodyText"/>
              <w:spacing w:after="0"/>
              <w:jc w:val="center"/>
              <w:rPr>
                <w:rFonts w:ascii="Arial" w:hAnsi="Arial" w:cs="Arial"/>
                <w:b/>
                <w:iCs/>
                <w:sz w:val="20"/>
                <w:szCs w:val="20"/>
              </w:rPr>
            </w:pPr>
            <w:r w:rsidRPr="00710AA0">
              <w:rPr>
                <w:rFonts w:ascii="Arial" w:hAnsi="Arial" w:cs="Arial"/>
                <w:iCs/>
                <w:sz w:val="20"/>
                <w:szCs w:val="20"/>
              </w:rPr>
              <w:t>.724</w:t>
            </w:r>
          </w:p>
        </w:tc>
        <w:tc>
          <w:tcPr>
            <w:tcW w:w="1937" w:type="dxa"/>
            <w:vAlign w:val="center"/>
          </w:tcPr>
          <w:p w14:paraId="0D88638E" w14:textId="77777777" w:rsidR="00710AA0" w:rsidRPr="00710AA0" w:rsidRDefault="00710AA0" w:rsidP="00710AA0">
            <w:pPr>
              <w:pStyle w:val="BodyText"/>
              <w:spacing w:after="0"/>
              <w:jc w:val="center"/>
              <w:rPr>
                <w:rFonts w:ascii="Arial" w:hAnsi="Arial" w:cs="Arial"/>
                <w:b/>
                <w:iCs/>
                <w:sz w:val="20"/>
                <w:szCs w:val="20"/>
              </w:rPr>
            </w:pPr>
            <w:r w:rsidRPr="00710AA0">
              <w:rPr>
                <w:rFonts w:ascii="Arial" w:hAnsi="Arial" w:cs="Arial"/>
                <w:iCs/>
                <w:sz w:val="20"/>
                <w:szCs w:val="20"/>
              </w:rPr>
              <w:t>Moderate</w:t>
            </w:r>
          </w:p>
        </w:tc>
        <w:tc>
          <w:tcPr>
            <w:tcW w:w="1610" w:type="dxa"/>
            <w:vAlign w:val="center"/>
          </w:tcPr>
          <w:p w14:paraId="445FF19D" w14:textId="38286C11" w:rsidR="00710AA0" w:rsidRPr="00710AA0" w:rsidRDefault="00710AA0" w:rsidP="00710AA0">
            <w:pPr>
              <w:pStyle w:val="BodyText"/>
              <w:spacing w:after="0"/>
              <w:jc w:val="center"/>
              <w:rPr>
                <w:rFonts w:ascii="Arial" w:hAnsi="Arial" w:cs="Arial"/>
                <w:b/>
                <w:iCs/>
                <w:sz w:val="20"/>
                <w:szCs w:val="20"/>
              </w:rPr>
            </w:pPr>
            <w:r w:rsidRPr="00710AA0">
              <w:rPr>
                <w:rFonts w:ascii="Arial" w:hAnsi="Arial" w:cs="Arial"/>
                <w:iCs/>
                <w:sz w:val="20"/>
                <w:szCs w:val="20"/>
              </w:rPr>
              <w:t>.000</w:t>
            </w:r>
          </w:p>
        </w:tc>
        <w:tc>
          <w:tcPr>
            <w:tcW w:w="1587" w:type="dxa"/>
            <w:vAlign w:val="center"/>
          </w:tcPr>
          <w:p w14:paraId="2FC4E243" w14:textId="01C6AAA3" w:rsidR="00710AA0" w:rsidRPr="00710AA0" w:rsidRDefault="00710AA0" w:rsidP="00710AA0">
            <w:pPr>
              <w:pStyle w:val="BodyText"/>
              <w:spacing w:after="0"/>
              <w:jc w:val="center"/>
              <w:rPr>
                <w:rFonts w:ascii="Arial" w:hAnsi="Arial" w:cs="Arial"/>
                <w:b/>
                <w:iCs/>
                <w:sz w:val="20"/>
                <w:szCs w:val="20"/>
              </w:rPr>
            </w:pPr>
            <w:r w:rsidRPr="00710AA0">
              <w:rPr>
                <w:rFonts w:ascii="Arial" w:hAnsi="Arial" w:cs="Arial"/>
                <w:iCs/>
                <w:sz w:val="20"/>
                <w:szCs w:val="20"/>
              </w:rPr>
              <w:t>Reject</w:t>
            </w:r>
          </w:p>
        </w:tc>
      </w:tr>
      <w:tr w:rsidR="00710AA0" w:rsidRPr="00A662D5" w14:paraId="68021DD9" w14:textId="77777777" w:rsidTr="00E16885">
        <w:trPr>
          <w:trHeight w:val="864"/>
        </w:trPr>
        <w:tc>
          <w:tcPr>
            <w:tcW w:w="1897" w:type="dxa"/>
            <w:tcBorders>
              <w:bottom w:val="single" w:sz="4" w:space="0" w:color="auto"/>
            </w:tcBorders>
            <w:vAlign w:val="center"/>
          </w:tcPr>
          <w:p w14:paraId="508F94B2" w14:textId="77777777" w:rsidR="00710AA0" w:rsidRPr="00710AA0" w:rsidRDefault="00710AA0" w:rsidP="00710AA0">
            <w:pPr>
              <w:pStyle w:val="BodyText"/>
              <w:spacing w:after="0"/>
              <w:rPr>
                <w:rFonts w:ascii="Arial" w:hAnsi="Arial" w:cs="Arial"/>
                <w:b/>
                <w:iCs/>
                <w:sz w:val="20"/>
                <w:szCs w:val="20"/>
              </w:rPr>
            </w:pPr>
            <w:r w:rsidRPr="00710AA0">
              <w:rPr>
                <w:rFonts w:ascii="Arial" w:hAnsi="Arial" w:cs="Arial"/>
                <w:iCs/>
                <w:sz w:val="20"/>
                <w:szCs w:val="20"/>
              </w:rPr>
              <w:t>Gratification</w:t>
            </w:r>
          </w:p>
        </w:tc>
        <w:tc>
          <w:tcPr>
            <w:tcW w:w="1609" w:type="dxa"/>
            <w:tcBorders>
              <w:bottom w:val="single" w:sz="4" w:space="0" w:color="auto"/>
            </w:tcBorders>
            <w:vAlign w:val="center"/>
          </w:tcPr>
          <w:p w14:paraId="2F48518C" w14:textId="77777777" w:rsidR="00710AA0" w:rsidRPr="00710AA0" w:rsidRDefault="00710AA0" w:rsidP="00710AA0">
            <w:pPr>
              <w:pStyle w:val="BodyText"/>
              <w:spacing w:after="0"/>
              <w:jc w:val="center"/>
              <w:rPr>
                <w:rFonts w:ascii="Arial" w:hAnsi="Arial" w:cs="Arial"/>
                <w:b/>
                <w:i/>
                <w:sz w:val="20"/>
                <w:szCs w:val="20"/>
              </w:rPr>
            </w:pPr>
          </w:p>
        </w:tc>
        <w:tc>
          <w:tcPr>
            <w:tcW w:w="1937" w:type="dxa"/>
            <w:tcBorders>
              <w:bottom w:val="single" w:sz="4" w:space="0" w:color="auto"/>
            </w:tcBorders>
            <w:vAlign w:val="center"/>
          </w:tcPr>
          <w:p w14:paraId="046D3C62" w14:textId="77777777" w:rsidR="00710AA0" w:rsidRPr="00710AA0" w:rsidRDefault="00710AA0" w:rsidP="00710AA0">
            <w:pPr>
              <w:pStyle w:val="BodyText"/>
              <w:spacing w:after="0"/>
              <w:jc w:val="center"/>
              <w:rPr>
                <w:rFonts w:ascii="Arial" w:hAnsi="Arial" w:cs="Arial"/>
                <w:b/>
                <w:i/>
                <w:sz w:val="20"/>
                <w:szCs w:val="20"/>
              </w:rPr>
            </w:pPr>
          </w:p>
        </w:tc>
        <w:tc>
          <w:tcPr>
            <w:tcW w:w="1610" w:type="dxa"/>
            <w:tcBorders>
              <w:bottom w:val="single" w:sz="4" w:space="0" w:color="auto"/>
            </w:tcBorders>
            <w:vAlign w:val="center"/>
          </w:tcPr>
          <w:p w14:paraId="6DB22AE1" w14:textId="77777777" w:rsidR="00710AA0" w:rsidRPr="00710AA0" w:rsidRDefault="00710AA0" w:rsidP="00710AA0">
            <w:pPr>
              <w:pStyle w:val="BodyText"/>
              <w:spacing w:after="0"/>
              <w:jc w:val="center"/>
              <w:rPr>
                <w:rFonts w:ascii="Arial" w:hAnsi="Arial" w:cs="Arial"/>
                <w:b/>
                <w:i/>
                <w:sz w:val="20"/>
                <w:szCs w:val="20"/>
              </w:rPr>
            </w:pPr>
          </w:p>
        </w:tc>
        <w:tc>
          <w:tcPr>
            <w:tcW w:w="1587" w:type="dxa"/>
            <w:tcBorders>
              <w:bottom w:val="single" w:sz="4" w:space="0" w:color="auto"/>
            </w:tcBorders>
            <w:vAlign w:val="center"/>
          </w:tcPr>
          <w:p w14:paraId="6723EB2D" w14:textId="77777777" w:rsidR="00710AA0" w:rsidRPr="00710AA0" w:rsidRDefault="00710AA0" w:rsidP="00710AA0">
            <w:pPr>
              <w:pStyle w:val="BodyText"/>
              <w:spacing w:after="0"/>
              <w:jc w:val="center"/>
              <w:rPr>
                <w:rFonts w:ascii="Arial" w:hAnsi="Arial" w:cs="Arial"/>
                <w:b/>
                <w:i/>
                <w:sz w:val="20"/>
                <w:szCs w:val="20"/>
              </w:rPr>
            </w:pPr>
          </w:p>
        </w:tc>
      </w:tr>
    </w:tbl>
    <w:p w14:paraId="43ED7EE9" w14:textId="77777777" w:rsidR="00710AA0" w:rsidRDefault="00710AA0" w:rsidP="00710AA0">
      <w:pPr>
        <w:jc w:val="both"/>
        <w:rPr>
          <w:rFonts w:ascii="Arial" w:hAnsi="Arial" w:cs="Arial"/>
        </w:rPr>
      </w:pPr>
    </w:p>
    <w:p w14:paraId="1BCF3D30" w14:textId="5A9257C6" w:rsidR="00710AA0" w:rsidRDefault="00710AA0" w:rsidP="00710AA0">
      <w:pPr>
        <w:jc w:val="both"/>
        <w:rPr>
          <w:rFonts w:ascii="Arial" w:hAnsi="Arial" w:cs="Arial"/>
        </w:rPr>
      </w:pPr>
      <w:r w:rsidRPr="00710AA0">
        <w:rPr>
          <w:rFonts w:ascii="Arial" w:hAnsi="Arial" w:cs="Arial"/>
        </w:rPr>
        <w:t xml:space="preserve">Presented in Table </w:t>
      </w:r>
      <w:r>
        <w:rPr>
          <w:rFonts w:ascii="Arial" w:hAnsi="Arial" w:cs="Arial"/>
        </w:rPr>
        <w:t>5</w:t>
      </w:r>
      <w:r w:rsidRPr="00710AA0">
        <w:rPr>
          <w:rFonts w:ascii="Arial" w:hAnsi="Arial" w:cs="Arial"/>
        </w:rPr>
        <w:t xml:space="preserve"> is the correlation analysis between willingness and gratification towards merged learning. The relationship between these two variables has a correlation coefficient (r-value) of 0.724, which indicates a moderate positive relationship. The p-value is 0.000, which is less than the 0.05 significance level, indicating that the correlation is statistically significant. Therefore, the null hypothesis (Ho) is rejected, supporting the claim that there is a significant relationship between willingness and gratification towards merged learning. </w:t>
      </w:r>
    </w:p>
    <w:p w14:paraId="5DBD841E" w14:textId="77777777" w:rsidR="00710AA0" w:rsidRPr="00710AA0" w:rsidRDefault="00710AA0" w:rsidP="00710AA0">
      <w:pPr>
        <w:jc w:val="both"/>
        <w:rPr>
          <w:rFonts w:ascii="Arial" w:hAnsi="Arial" w:cs="Arial"/>
        </w:rPr>
      </w:pPr>
    </w:p>
    <w:p w14:paraId="5BFEF784" w14:textId="786B18B3" w:rsidR="00710AA0" w:rsidRDefault="00710AA0" w:rsidP="00710AA0">
      <w:pPr>
        <w:jc w:val="both"/>
        <w:rPr>
          <w:rFonts w:ascii="Arial" w:hAnsi="Arial" w:cs="Arial"/>
        </w:rPr>
      </w:pPr>
      <w:r w:rsidRPr="00710AA0">
        <w:rPr>
          <w:rFonts w:ascii="Arial" w:hAnsi="Arial" w:cs="Arial"/>
        </w:rPr>
        <w:t>This suggests that students who are more willing to engage with merged learning are likely to experience higher levels of gratification in the learning process. Their readiness and enthusiasm towards the learning environment appear to enhance their overall satisfaction and positive experiences with the blended learning approach.</w:t>
      </w:r>
    </w:p>
    <w:p w14:paraId="75CF4C3F" w14:textId="77777777" w:rsidR="00710AA0" w:rsidRDefault="00710AA0" w:rsidP="00710AA0">
      <w:pPr>
        <w:jc w:val="both"/>
        <w:rPr>
          <w:rFonts w:ascii="Arial" w:hAnsi="Arial" w:cs="Arial"/>
        </w:rPr>
      </w:pPr>
    </w:p>
    <w:p w14:paraId="7679C170" w14:textId="48802008" w:rsidR="00710AA0" w:rsidRDefault="00710AA0" w:rsidP="00710AA0">
      <w:pPr>
        <w:jc w:val="both"/>
        <w:rPr>
          <w:rFonts w:ascii="Arial" w:hAnsi="Arial" w:cs="Arial"/>
        </w:rPr>
      </w:pPr>
      <w:r w:rsidRPr="00710AA0">
        <w:rPr>
          <w:rFonts w:ascii="Arial" w:hAnsi="Arial" w:cs="Arial"/>
        </w:rPr>
        <w:t>This finding is consistent with the research of Geng et al. (2019), which highlighted that students' willingness to engage in merged learning significantly influences their gratification with the learning experience. Students who demonstrate higher levels of willingness, including self-efficacy in technology use and self-directed learning, tend to report greater gratification with merged learning environments. Similarly, Sahni (2019) found that students with higher willingness levels are more likely to effectively manage their learning in merged contexts, which leads to increased engagement and gratification. Furthermore, the study by Taghizadeh et al. (2021) indicated that students' preparedness in terms of motivation, communication skills, and learner control directly correlates with their overall gratification in merged learning.</w:t>
      </w:r>
    </w:p>
    <w:p w14:paraId="25C2B563" w14:textId="77777777" w:rsidR="00652FDB" w:rsidRDefault="00652FDB" w:rsidP="00652FDB">
      <w:pPr>
        <w:jc w:val="both"/>
        <w:rPr>
          <w:rFonts w:ascii="Arial" w:hAnsi="Arial" w:cs="Arial"/>
        </w:rPr>
      </w:pPr>
    </w:p>
    <w:p w14:paraId="4986F3A9" w14:textId="77777777" w:rsidR="00272068" w:rsidRDefault="00272068" w:rsidP="00665D1C">
      <w:pPr>
        <w:rPr>
          <w:rFonts w:ascii="Arial" w:hAnsi="Arial" w:cs="Arial"/>
          <w:b/>
          <w:bCs/>
          <w:iCs/>
        </w:rPr>
      </w:pPr>
    </w:p>
    <w:p w14:paraId="10C2EEED" w14:textId="77777777" w:rsidR="006B3070" w:rsidRDefault="006B3070" w:rsidP="00665D1C">
      <w:pPr>
        <w:rPr>
          <w:rFonts w:ascii="Arial" w:hAnsi="Arial" w:cs="Arial"/>
          <w:b/>
          <w:bCs/>
          <w:iCs/>
        </w:rPr>
      </w:pPr>
    </w:p>
    <w:p w14:paraId="70B7575A" w14:textId="77777777" w:rsidR="006B3070" w:rsidRDefault="006B3070" w:rsidP="00665D1C">
      <w:pPr>
        <w:rPr>
          <w:rFonts w:ascii="Arial" w:hAnsi="Arial" w:cs="Arial"/>
          <w:b/>
          <w:bCs/>
          <w:iCs/>
        </w:rPr>
      </w:pPr>
    </w:p>
    <w:p w14:paraId="55767149" w14:textId="77777777" w:rsidR="006B3070" w:rsidRDefault="006B3070" w:rsidP="00665D1C">
      <w:pPr>
        <w:rPr>
          <w:rFonts w:ascii="Arial" w:hAnsi="Arial" w:cs="Arial"/>
          <w:b/>
          <w:bCs/>
          <w:iCs/>
        </w:rPr>
      </w:pPr>
    </w:p>
    <w:p w14:paraId="37A5C9E0" w14:textId="77777777" w:rsidR="006B3070" w:rsidRDefault="006B3070" w:rsidP="00665D1C">
      <w:pPr>
        <w:rPr>
          <w:rFonts w:ascii="Arial" w:hAnsi="Arial" w:cs="Arial"/>
          <w:b/>
          <w:bCs/>
          <w:iCs/>
        </w:rPr>
      </w:pPr>
    </w:p>
    <w:p w14:paraId="4C71DEA9" w14:textId="77777777" w:rsidR="006B3070" w:rsidRDefault="006B3070" w:rsidP="00665D1C">
      <w:pPr>
        <w:rPr>
          <w:rFonts w:ascii="Arial" w:hAnsi="Arial" w:cs="Arial"/>
          <w:b/>
          <w:bCs/>
          <w:iCs/>
        </w:rPr>
      </w:pPr>
    </w:p>
    <w:p w14:paraId="36FFE281" w14:textId="77777777" w:rsidR="006B3070" w:rsidRDefault="006B3070" w:rsidP="00665D1C">
      <w:pPr>
        <w:rPr>
          <w:rFonts w:ascii="Arial" w:hAnsi="Arial" w:cs="Arial"/>
          <w:b/>
          <w:bCs/>
          <w:iCs/>
        </w:rPr>
      </w:pPr>
    </w:p>
    <w:p w14:paraId="188BCD04" w14:textId="77777777" w:rsidR="006B3070" w:rsidRDefault="006B3070" w:rsidP="00665D1C">
      <w:pPr>
        <w:rPr>
          <w:rFonts w:ascii="Arial" w:hAnsi="Arial" w:cs="Arial"/>
          <w:b/>
          <w:bCs/>
          <w:iCs/>
        </w:rPr>
      </w:pPr>
    </w:p>
    <w:p w14:paraId="74CC00F8" w14:textId="77777777" w:rsidR="006B3070" w:rsidRDefault="006B3070" w:rsidP="00665D1C">
      <w:pPr>
        <w:rPr>
          <w:rFonts w:ascii="Arial" w:hAnsi="Arial" w:cs="Arial"/>
          <w:b/>
          <w:bCs/>
          <w:iCs/>
        </w:rPr>
      </w:pPr>
    </w:p>
    <w:p w14:paraId="6B840885" w14:textId="77777777" w:rsidR="006B3070" w:rsidRDefault="006B3070" w:rsidP="00665D1C">
      <w:pPr>
        <w:rPr>
          <w:rFonts w:ascii="Arial" w:hAnsi="Arial" w:cs="Arial"/>
          <w:b/>
          <w:bCs/>
          <w:iCs/>
        </w:rPr>
      </w:pPr>
    </w:p>
    <w:p w14:paraId="6E6114E1" w14:textId="77777777" w:rsidR="006B3070" w:rsidRDefault="006B3070" w:rsidP="00665D1C">
      <w:pPr>
        <w:rPr>
          <w:rFonts w:ascii="Arial" w:hAnsi="Arial" w:cs="Arial"/>
          <w:b/>
          <w:bCs/>
          <w:iCs/>
        </w:rPr>
      </w:pPr>
    </w:p>
    <w:p w14:paraId="055CB4D1" w14:textId="77777777" w:rsidR="006B3070" w:rsidRDefault="006B3070" w:rsidP="00665D1C">
      <w:pPr>
        <w:rPr>
          <w:rFonts w:ascii="Arial" w:hAnsi="Arial" w:cs="Arial"/>
          <w:b/>
          <w:bCs/>
          <w:iCs/>
        </w:rPr>
      </w:pPr>
    </w:p>
    <w:p w14:paraId="652F8685" w14:textId="77777777" w:rsidR="006B3070" w:rsidRDefault="006B3070" w:rsidP="00665D1C">
      <w:pPr>
        <w:rPr>
          <w:rFonts w:ascii="Arial" w:hAnsi="Arial" w:cs="Arial"/>
          <w:b/>
          <w:bCs/>
          <w:iCs/>
        </w:rPr>
      </w:pPr>
    </w:p>
    <w:p w14:paraId="66D7CFD9" w14:textId="77777777" w:rsidR="006B3070" w:rsidRDefault="006B3070" w:rsidP="00665D1C">
      <w:pPr>
        <w:rPr>
          <w:rFonts w:ascii="Arial" w:hAnsi="Arial" w:cs="Arial"/>
          <w:b/>
          <w:bCs/>
          <w:iCs/>
        </w:rPr>
      </w:pPr>
    </w:p>
    <w:p w14:paraId="7B646050" w14:textId="0D563F05" w:rsidR="00272068" w:rsidRDefault="00665D1C" w:rsidP="00665D1C">
      <w:pPr>
        <w:rPr>
          <w:rFonts w:ascii="Arial" w:hAnsi="Arial" w:cs="Arial"/>
          <w:b/>
          <w:bCs/>
          <w:iCs/>
        </w:rPr>
      </w:pPr>
      <w:r>
        <w:rPr>
          <w:rFonts w:ascii="Arial" w:hAnsi="Arial" w:cs="Arial"/>
          <w:b/>
          <w:bCs/>
          <w:iCs/>
        </w:rPr>
        <w:t>3.</w:t>
      </w:r>
      <w:r w:rsidR="006B3070">
        <w:rPr>
          <w:rFonts w:ascii="Arial" w:hAnsi="Arial" w:cs="Arial"/>
          <w:b/>
          <w:bCs/>
          <w:iCs/>
        </w:rPr>
        <w:t>6</w:t>
      </w:r>
      <w:r w:rsidR="00271F07">
        <w:rPr>
          <w:rFonts w:ascii="Arial" w:hAnsi="Arial" w:cs="Arial"/>
          <w:b/>
          <w:bCs/>
          <w:iCs/>
        </w:rPr>
        <w:t>.</w:t>
      </w:r>
      <w:r>
        <w:rPr>
          <w:rFonts w:ascii="Arial" w:hAnsi="Arial" w:cs="Arial"/>
          <w:b/>
          <w:bCs/>
          <w:iCs/>
        </w:rPr>
        <w:t xml:space="preserve"> </w:t>
      </w:r>
      <w:r w:rsidR="006B3070" w:rsidRPr="006B3070">
        <w:rPr>
          <w:rFonts w:ascii="Arial" w:hAnsi="Arial" w:cs="Arial"/>
          <w:b/>
          <w:bCs/>
          <w:iCs/>
        </w:rPr>
        <w:t>Significance of the Combined Influence of Learning Approaches and Willingness on the Gratification towards Merged Learning</w:t>
      </w:r>
    </w:p>
    <w:p w14:paraId="6C50C249" w14:textId="77777777" w:rsidR="006B3070" w:rsidRDefault="006B3070" w:rsidP="00665D1C">
      <w:pPr>
        <w:rPr>
          <w:rFonts w:ascii="Arial" w:hAnsi="Arial" w:cs="Arial"/>
          <w:b/>
          <w:bCs/>
          <w:iCs/>
        </w:rPr>
      </w:pPr>
    </w:p>
    <w:p w14:paraId="43E64342" w14:textId="040CBE98" w:rsidR="005430C4" w:rsidRPr="00B364F1" w:rsidRDefault="00B364F1" w:rsidP="00B364F1">
      <w:pPr>
        <w:jc w:val="both"/>
        <w:rPr>
          <w:rFonts w:ascii="Arial" w:eastAsia="Arial" w:hAnsi="Arial"/>
          <w:i/>
        </w:rPr>
      </w:pPr>
      <w:r w:rsidRPr="00B364F1">
        <w:rPr>
          <w:rFonts w:ascii="Arial" w:eastAsia="Arial" w:hAnsi="Arial"/>
          <w:b/>
        </w:rPr>
        <w:t xml:space="preserve">Table </w:t>
      </w:r>
      <w:r w:rsidR="006B3070">
        <w:rPr>
          <w:rFonts w:ascii="Arial" w:eastAsia="Arial" w:hAnsi="Arial"/>
          <w:b/>
        </w:rPr>
        <w:t>6</w:t>
      </w:r>
      <w:r w:rsidRPr="00B364F1">
        <w:rPr>
          <w:rFonts w:ascii="Arial" w:eastAsia="Arial" w:hAnsi="Arial"/>
          <w:b/>
        </w:rPr>
        <w:t xml:space="preserve">. </w:t>
      </w:r>
      <w:r w:rsidR="006B3070" w:rsidRPr="006B3070">
        <w:rPr>
          <w:rFonts w:ascii="Arial" w:eastAsia="Arial" w:hAnsi="Arial"/>
          <w:i/>
          <w:iCs/>
        </w:rPr>
        <w:t>Significance of the Combined Influence of Learning Approaches and Willingness on the Gratification towards Merged Learning</w:t>
      </w:r>
    </w:p>
    <w:p w14:paraId="7A06540A" w14:textId="77777777" w:rsidR="00272068" w:rsidRDefault="00272068" w:rsidP="00272068">
      <w:pPr>
        <w:jc w:val="both"/>
        <w:rPr>
          <w:rFonts w:ascii="Arial" w:hAnsi="Arial" w:cs="Arial"/>
        </w:rPr>
      </w:pPr>
    </w:p>
    <w:tbl>
      <w:tblPr>
        <w:tblW w:w="8310" w:type="dxa"/>
        <w:tblLayout w:type="fixed"/>
        <w:tblCellMar>
          <w:left w:w="0" w:type="dxa"/>
          <w:right w:w="0" w:type="dxa"/>
        </w:tblCellMar>
        <w:tblLook w:val="04A0" w:firstRow="1" w:lastRow="0" w:firstColumn="1" w:lastColumn="0" w:noHBand="0" w:noVBand="1"/>
      </w:tblPr>
      <w:tblGrid>
        <w:gridCol w:w="1568"/>
        <w:gridCol w:w="1972"/>
        <w:gridCol w:w="1025"/>
        <w:gridCol w:w="1010"/>
        <w:gridCol w:w="1046"/>
        <w:gridCol w:w="1689"/>
      </w:tblGrid>
      <w:tr w:rsidR="006B3070" w:rsidRPr="00397EAE" w14:paraId="31FAC5B9" w14:textId="77777777" w:rsidTr="006B3070">
        <w:trPr>
          <w:trHeight w:val="215"/>
        </w:trPr>
        <w:tc>
          <w:tcPr>
            <w:tcW w:w="3540" w:type="dxa"/>
            <w:gridSpan w:val="2"/>
            <w:vMerge w:val="restart"/>
            <w:tcBorders>
              <w:top w:val="double" w:sz="4" w:space="0" w:color="auto"/>
              <w:left w:val="nil"/>
              <w:bottom w:val="single" w:sz="4" w:space="0" w:color="000000"/>
              <w:right w:val="nil"/>
            </w:tcBorders>
            <w:noWrap/>
            <w:tcMar>
              <w:top w:w="15" w:type="dxa"/>
              <w:left w:w="15" w:type="dxa"/>
              <w:right w:w="15" w:type="dxa"/>
            </w:tcMar>
            <w:vAlign w:val="center"/>
          </w:tcPr>
          <w:p w14:paraId="14CA0C56" w14:textId="77777777" w:rsidR="006B3070" w:rsidRPr="006B3070" w:rsidRDefault="006B3070" w:rsidP="00E16885">
            <w:pPr>
              <w:jc w:val="center"/>
              <w:textAlignment w:val="center"/>
              <w:rPr>
                <w:rFonts w:ascii="Arial" w:hAnsi="Arial"/>
                <w:b/>
                <w:bCs/>
              </w:rPr>
            </w:pPr>
            <w:bookmarkStart w:id="1" w:name="_Hlk164523980"/>
            <w:r w:rsidRPr="006B3070">
              <w:rPr>
                <w:rFonts w:ascii="Arial" w:hAnsi="Arial"/>
                <w:b/>
                <w:bCs/>
                <w:lang w:bidi="ar"/>
              </w:rPr>
              <w:t>Variables</w:t>
            </w:r>
          </w:p>
        </w:tc>
        <w:tc>
          <w:tcPr>
            <w:tcW w:w="4769" w:type="dxa"/>
            <w:gridSpan w:val="4"/>
            <w:tcBorders>
              <w:top w:val="double" w:sz="4" w:space="0" w:color="auto"/>
              <w:left w:val="nil"/>
              <w:bottom w:val="nil"/>
              <w:right w:val="nil"/>
            </w:tcBorders>
            <w:noWrap/>
            <w:tcMar>
              <w:top w:w="15" w:type="dxa"/>
              <w:left w:w="15" w:type="dxa"/>
              <w:right w:w="15" w:type="dxa"/>
            </w:tcMar>
          </w:tcPr>
          <w:p w14:paraId="2647F7D1" w14:textId="77777777" w:rsidR="006B3070" w:rsidRPr="006B3070" w:rsidRDefault="006B3070" w:rsidP="00E16885">
            <w:pPr>
              <w:pStyle w:val="Default"/>
              <w:jc w:val="center"/>
              <w:rPr>
                <w:rFonts w:ascii="Arial" w:hAnsi="Arial" w:cs="Arial"/>
                <w:b/>
                <w:color w:val="auto"/>
                <w:sz w:val="20"/>
                <w:szCs w:val="20"/>
              </w:rPr>
            </w:pPr>
            <w:r w:rsidRPr="006B3070">
              <w:rPr>
                <w:rFonts w:ascii="Arial" w:eastAsia="Arial" w:hAnsi="Arial" w:cs="Arial"/>
                <w:b/>
                <w:color w:val="auto"/>
                <w:sz w:val="20"/>
                <w:szCs w:val="20"/>
              </w:rPr>
              <w:t>Gratification towards Merged Learning</w:t>
            </w:r>
          </w:p>
        </w:tc>
      </w:tr>
      <w:tr w:rsidR="006B3070" w:rsidRPr="00397EAE" w14:paraId="75E7CD45" w14:textId="77777777" w:rsidTr="006B3070">
        <w:trPr>
          <w:trHeight w:val="215"/>
        </w:trPr>
        <w:tc>
          <w:tcPr>
            <w:tcW w:w="3540" w:type="dxa"/>
            <w:gridSpan w:val="2"/>
            <w:vMerge/>
            <w:tcBorders>
              <w:top w:val="nil"/>
              <w:left w:val="nil"/>
              <w:bottom w:val="single" w:sz="4" w:space="0" w:color="000000"/>
              <w:right w:val="nil"/>
            </w:tcBorders>
            <w:noWrap/>
            <w:tcMar>
              <w:top w:w="15" w:type="dxa"/>
              <w:left w:w="15" w:type="dxa"/>
              <w:right w:w="15" w:type="dxa"/>
            </w:tcMar>
            <w:vAlign w:val="center"/>
          </w:tcPr>
          <w:p w14:paraId="7C8017E8" w14:textId="77777777" w:rsidR="006B3070" w:rsidRPr="006B3070" w:rsidRDefault="006B3070" w:rsidP="00E16885">
            <w:pPr>
              <w:jc w:val="center"/>
              <w:rPr>
                <w:rFonts w:ascii="Arial" w:hAnsi="Arial"/>
              </w:rPr>
            </w:pPr>
          </w:p>
        </w:tc>
        <w:tc>
          <w:tcPr>
            <w:tcW w:w="1025" w:type="dxa"/>
            <w:tcBorders>
              <w:top w:val="nil"/>
              <w:left w:val="nil"/>
              <w:bottom w:val="single" w:sz="4" w:space="0" w:color="000000"/>
              <w:right w:val="nil"/>
            </w:tcBorders>
            <w:noWrap/>
            <w:tcMar>
              <w:top w:w="15" w:type="dxa"/>
              <w:left w:w="15" w:type="dxa"/>
              <w:right w:w="15" w:type="dxa"/>
            </w:tcMar>
            <w:vAlign w:val="center"/>
          </w:tcPr>
          <w:p w14:paraId="592206FB" w14:textId="77777777" w:rsidR="006B3070" w:rsidRPr="006B3070" w:rsidRDefault="006B3070" w:rsidP="00E16885">
            <w:pPr>
              <w:jc w:val="center"/>
              <w:textAlignment w:val="center"/>
              <w:rPr>
                <w:rFonts w:ascii="Arial" w:hAnsi="Arial"/>
              </w:rPr>
            </w:pPr>
            <m:oMathPara>
              <m:oMath>
                <m:r>
                  <m:rPr>
                    <m:sty m:val="b"/>
                  </m:rPr>
                  <w:rPr>
                    <w:rFonts w:ascii="Cambria Math" w:hAnsi="Cambria Math"/>
                  </w:rPr>
                  <m:t>β</m:t>
                </m:r>
              </m:oMath>
            </m:oMathPara>
          </w:p>
        </w:tc>
        <w:tc>
          <w:tcPr>
            <w:tcW w:w="1010" w:type="dxa"/>
            <w:tcBorders>
              <w:top w:val="nil"/>
              <w:left w:val="nil"/>
              <w:bottom w:val="single" w:sz="4" w:space="0" w:color="000000"/>
              <w:right w:val="nil"/>
            </w:tcBorders>
            <w:noWrap/>
            <w:tcMar>
              <w:top w:w="15" w:type="dxa"/>
              <w:left w:w="15" w:type="dxa"/>
              <w:right w:w="15" w:type="dxa"/>
            </w:tcMar>
            <w:vAlign w:val="center"/>
          </w:tcPr>
          <w:p w14:paraId="0972B403" w14:textId="77777777" w:rsidR="006B3070" w:rsidRPr="006B3070" w:rsidRDefault="006B3070" w:rsidP="00E16885">
            <w:pPr>
              <w:jc w:val="center"/>
              <w:textAlignment w:val="center"/>
              <w:rPr>
                <w:rFonts w:ascii="Arial" w:hAnsi="Arial"/>
                <w:b/>
                <w:bCs/>
              </w:rPr>
            </w:pPr>
            <w:r w:rsidRPr="006B3070">
              <w:rPr>
                <w:rFonts w:ascii="Arial" w:hAnsi="Arial"/>
                <w:b/>
                <w:bCs/>
                <w:lang w:bidi="ar"/>
              </w:rPr>
              <w:t>T</w:t>
            </w:r>
          </w:p>
        </w:tc>
        <w:tc>
          <w:tcPr>
            <w:tcW w:w="1046" w:type="dxa"/>
            <w:tcBorders>
              <w:top w:val="nil"/>
              <w:left w:val="nil"/>
              <w:bottom w:val="single" w:sz="4" w:space="0" w:color="000000"/>
              <w:right w:val="nil"/>
            </w:tcBorders>
            <w:noWrap/>
            <w:tcMar>
              <w:top w:w="15" w:type="dxa"/>
              <w:left w:w="15" w:type="dxa"/>
              <w:right w:w="15" w:type="dxa"/>
            </w:tcMar>
            <w:vAlign w:val="center"/>
          </w:tcPr>
          <w:p w14:paraId="10708EFD" w14:textId="77777777" w:rsidR="006B3070" w:rsidRPr="006B3070" w:rsidRDefault="006B3070" w:rsidP="00E16885">
            <w:pPr>
              <w:jc w:val="center"/>
              <w:textAlignment w:val="center"/>
              <w:rPr>
                <w:rFonts w:ascii="Arial" w:hAnsi="Arial"/>
                <w:b/>
                <w:bCs/>
              </w:rPr>
            </w:pPr>
            <w:r w:rsidRPr="006B3070">
              <w:rPr>
                <w:rFonts w:ascii="Arial" w:hAnsi="Arial"/>
                <w:b/>
                <w:bCs/>
                <w:lang w:bidi="ar"/>
              </w:rPr>
              <w:t>p-value</w:t>
            </w:r>
          </w:p>
        </w:tc>
        <w:tc>
          <w:tcPr>
            <w:tcW w:w="1688" w:type="dxa"/>
            <w:tcBorders>
              <w:top w:val="nil"/>
              <w:left w:val="nil"/>
              <w:bottom w:val="single" w:sz="4" w:space="0" w:color="000000"/>
              <w:right w:val="nil"/>
            </w:tcBorders>
            <w:noWrap/>
            <w:tcMar>
              <w:top w:w="15" w:type="dxa"/>
              <w:left w:w="15" w:type="dxa"/>
              <w:right w:w="15" w:type="dxa"/>
            </w:tcMar>
            <w:vAlign w:val="center"/>
          </w:tcPr>
          <w:p w14:paraId="492A46B8" w14:textId="77777777" w:rsidR="006B3070" w:rsidRPr="006B3070" w:rsidRDefault="006B3070" w:rsidP="00E16885">
            <w:pPr>
              <w:jc w:val="center"/>
              <w:textAlignment w:val="center"/>
              <w:rPr>
                <w:rFonts w:ascii="Arial" w:hAnsi="Arial"/>
                <w:b/>
                <w:bCs/>
              </w:rPr>
            </w:pPr>
            <w:r w:rsidRPr="006B3070">
              <w:rPr>
                <w:rFonts w:ascii="Arial" w:hAnsi="Arial"/>
                <w:b/>
                <w:bCs/>
              </w:rPr>
              <w:t>Remarks</w:t>
            </w:r>
          </w:p>
        </w:tc>
      </w:tr>
      <w:tr w:rsidR="006B3070" w:rsidRPr="00397EAE" w14:paraId="192F0F0F" w14:textId="77777777" w:rsidTr="006B3070">
        <w:trPr>
          <w:trHeight w:hRule="exact" w:val="329"/>
        </w:trPr>
        <w:tc>
          <w:tcPr>
            <w:tcW w:w="3540" w:type="dxa"/>
            <w:gridSpan w:val="2"/>
            <w:tcBorders>
              <w:top w:val="nil"/>
              <w:left w:val="nil"/>
              <w:bottom w:val="nil"/>
              <w:right w:val="nil"/>
            </w:tcBorders>
            <w:noWrap/>
            <w:tcMar>
              <w:top w:w="15" w:type="dxa"/>
              <w:left w:w="15" w:type="dxa"/>
              <w:right w:w="15" w:type="dxa"/>
            </w:tcMar>
          </w:tcPr>
          <w:p w14:paraId="58BAB465" w14:textId="77777777" w:rsidR="006B3070" w:rsidRPr="006B3070" w:rsidRDefault="006B3070" w:rsidP="00E16885">
            <w:pPr>
              <w:spacing w:after="240" w:line="480" w:lineRule="auto"/>
              <w:textAlignment w:val="center"/>
              <w:rPr>
                <w:rFonts w:ascii="Arial" w:hAnsi="Arial"/>
              </w:rPr>
            </w:pPr>
            <w:r w:rsidRPr="006B3070">
              <w:rPr>
                <w:rFonts w:ascii="Arial" w:hAnsi="Arial"/>
              </w:rPr>
              <w:t>Learning Approaches</w:t>
            </w:r>
          </w:p>
        </w:tc>
        <w:tc>
          <w:tcPr>
            <w:tcW w:w="1025" w:type="dxa"/>
            <w:tcBorders>
              <w:top w:val="nil"/>
              <w:left w:val="nil"/>
              <w:bottom w:val="nil"/>
              <w:right w:val="nil"/>
            </w:tcBorders>
            <w:noWrap/>
            <w:tcMar>
              <w:top w:w="15" w:type="dxa"/>
              <w:left w:w="15" w:type="dxa"/>
              <w:right w:w="15" w:type="dxa"/>
            </w:tcMar>
          </w:tcPr>
          <w:p w14:paraId="0DA768ED" w14:textId="77777777" w:rsidR="006B3070" w:rsidRPr="006B3070" w:rsidRDefault="006B3070" w:rsidP="00E16885">
            <w:pPr>
              <w:spacing w:after="240" w:line="480" w:lineRule="auto"/>
              <w:jc w:val="center"/>
              <w:rPr>
                <w:rFonts w:ascii="Arial" w:hAnsi="Arial"/>
              </w:rPr>
            </w:pPr>
            <w:r w:rsidRPr="006B3070">
              <w:rPr>
                <w:rFonts w:ascii="Arial" w:hAnsi="Arial"/>
                <w:lang w:val="en-PH"/>
              </w:rPr>
              <w:t>.467</w:t>
            </w:r>
          </w:p>
        </w:tc>
        <w:tc>
          <w:tcPr>
            <w:tcW w:w="1010" w:type="dxa"/>
            <w:tcBorders>
              <w:top w:val="nil"/>
              <w:left w:val="nil"/>
              <w:bottom w:val="nil"/>
              <w:right w:val="nil"/>
            </w:tcBorders>
            <w:noWrap/>
            <w:tcMar>
              <w:top w:w="15" w:type="dxa"/>
              <w:left w:w="15" w:type="dxa"/>
              <w:right w:w="15" w:type="dxa"/>
            </w:tcMar>
          </w:tcPr>
          <w:p w14:paraId="6A710497" w14:textId="77777777" w:rsidR="006B3070" w:rsidRPr="006B3070" w:rsidRDefault="006B3070" w:rsidP="00E16885">
            <w:pPr>
              <w:spacing w:after="240" w:line="480" w:lineRule="auto"/>
              <w:jc w:val="center"/>
              <w:rPr>
                <w:rFonts w:ascii="Arial" w:hAnsi="Arial"/>
              </w:rPr>
            </w:pPr>
            <w:r w:rsidRPr="006B3070">
              <w:rPr>
                <w:rFonts w:ascii="Arial" w:hAnsi="Arial"/>
                <w:lang w:val="en-PH"/>
              </w:rPr>
              <w:t>9.628</w:t>
            </w:r>
          </w:p>
        </w:tc>
        <w:tc>
          <w:tcPr>
            <w:tcW w:w="1046" w:type="dxa"/>
            <w:tcBorders>
              <w:top w:val="nil"/>
              <w:left w:val="nil"/>
              <w:bottom w:val="nil"/>
              <w:right w:val="nil"/>
            </w:tcBorders>
            <w:noWrap/>
            <w:tcMar>
              <w:top w:w="15" w:type="dxa"/>
              <w:left w:w="15" w:type="dxa"/>
              <w:right w:w="15" w:type="dxa"/>
            </w:tcMar>
          </w:tcPr>
          <w:p w14:paraId="0CCA136A" w14:textId="77777777" w:rsidR="006B3070" w:rsidRPr="006B3070" w:rsidRDefault="006B3070" w:rsidP="00E16885">
            <w:pPr>
              <w:spacing w:after="240" w:line="480" w:lineRule="auto"/>
              <w:jc w:val="center"/>
              <w:rPr>
                <w:rFonts w:ascii="Arial" w:hAnsi="Arial"/>
              </w:rPr>
            </w:pPr>
            <w:r w:rsidRPr="006B3070">
              <w:rPr>
                <w:rFonts w:ascii="Arial" w:hAnsi="Arial"/>
                <w:lang w:val="en-PH"/>
              </w:rPr>
              <w:t>.000</w:t>
            </w:r>
          </w:p>
        </w:tc>
        <w:tc>
          <w:tcPr>
            <w:tcW w:w="1688" w:type="dxa"/>
            <w:tcBorders>
              <w:top w:val="nil"/>
              <w:left w:val="nil"/>
              <w:bottom w:val="nil"/>
              <w:right w:val="nil"/>
            </w:tcBorders>
            <w:noWrap/>
            <w:tcMar>
              <w:top w:w="15" w:type="dxa"/>
              <w:left w:w="15" w:type="dxa"/>
              <w:right w:w="15" w:type="dxa"/>
            </w:tcMar>
            <w:vAlign w:val="center"/>
          </w:tcPr>
          <w:p w14:paraId="3F5774F7" w14:textId="77777777" w:rsidR="006B3070" w:rsidRPr="006B3070" w:rsidRDefault="006B3070" w:rsidP="00E16885">
            <w:pPr>
              <w:spacing w:after="240" w:line="480" w:lineRule="auto"/>
              <w:jc w:val="center"/>
              <w:rPr>
                <w:rFonts w:ascii="Arial" w:hAnsi="Arial"/>
              </w:rPr>
            </w:pPr>
            <w:r w:rsidRPr="006B3070">
              <w:rPr>
                <w:rFonts w:ascii="Arial" w:hAnsi="Arial"/>
              </w:rPr>
              <w:t>Significant</w:t>
            </w:r>
          </w:p>
        </w:tc>
      </w:tr>
      <w:tr w:rsidR="006B3070" w:rsidRPr="00397EAE" w14:paraId="06220263" w14:textId="77777777" w:rsidTr="006B3070">
        <w:trPr>
          <w:trHeight w:hRule="exact" w:val="329"/>
        </w:trPr>
        <w:tc>
          <w:tcPr>
            <w:tcW w:w="3540" w:type="dxa"/>
            <w:gridSpan w:val="2"/>
            <w:tcBorders>
              <w:top w:val="nil"/>
              <w:left w:val="nil"/>
              <w:bottom w:val="nil"/>
              <w:right w:val="nil"/>
            </w:tcBorders>
            <w:noWrap/>
            <w:tcMar>
              <w:top w:w="15" w:type="dxa"/>
              <w:left w:w="15" w:type="dxa"/>
              <w:right w:w="15" w:type="dxa"/>
            </w:tcMar>
            <w:vAlign w:val="center"/>
          </w:tcPr>
          <w:p w14:paraId="3D61786F" w14:textId="77777777" w:rsidR="006B3070" w:rsidRPr="006B3070" w:rsidRDefault="006B3070" w:rsidP="00E16885">
            <w:pPr>
              <w:spacing w:after="240" w:line="480" w:lineRule="auto"/>
              <w:textAlignment w:val="center"/>
              <w:rPr>
                <w:rFonts w:ascii="Arial" w:hAnsi="Arial"/>
              </w:rPr>
            </w:pPr>
            <w:r w:rsidRPr="006B3070">
              <w:rPr>
                <w:rFonts w:ascii="Arial" w:hAnsi="Arial"/>
              </w:rPr>
              <w:t>Willingness</w:t>
            </w:r>
          </w:p>
        </w:tc>
        <w:tc>
          <w:tcPr>
            <w:tcW w:w="1025" w:type="dxa"/>
            <w:tcBorders>
              <w:top w:val="nil"/>
              <w:left w:val="nil"/>
              <w:bottom w:val="nil"/>
              <w:right w:val="nil"/>
            </w:tcBorders>
            <w:noWrap/>
            <w:tcMar>
              <w:top w:w="15" w:type="dxa"/>
              <w:left w:w="15" w:type="dxa"/>
              <w:right w:w="15" w:type="dxa"/>
            </w:tcMar>
          </w:tcPr>
          <w:p w14:paraId="5F5606D3" w14:textId="77777777" w:rsidR="006B3070" w:rsidRPr="006B3070" w:rsidRDefault="006B3070" w:rsidP="00E16885">
            <w:pPr>
              <w:spacing w:after="240" w:line="480" w:lineRule="auto"/>
              <w:jc w:val="center"/>
              <w:rPr>
                <w:rFonts w:ascii="Arial" w:hAnsi="Arial"/>
              </w:rPr>
            </w:pPr>
            <w:r w:rsidRPr="006B3070">
              <w:rPr>
                <w:rFonts w:ascii="Arial" w:hAnsi="Arial"/>
                <w:lang w:val="en-PH"/>
              </w:rPr>
              <w:t>.193</w:t>
            </w:r>
          </w:p>
        </w:tc>
        <w:tc>
          <w:tcPr>
            <w:tcW w:w="1010" w:type="dxa"/>
            <w:tcBorders>
              <w:top w:val="nil"/>
              <w:left w:val="nil"/>
              <w:bottom w:val="nil"/>
              <w:right w:val="nil"/>
            </w:tcBorders>
            <w:noWrap/>
            <w:tcMar>
              <w:top w:w="15" w:type="dxa"/>
              <w:left w:w="15" w:type="dxa"/>
              <w:right w:w="15" w:type="dxa"/>
            </w:tcMar>
          </w:tcPr>
          <w:p w14:paraId="0250B7F4" w14:textId="77777777" w:rsidR="006B3070" w:rsidRPr="006B3070" w:rsidRDefault="006B3070" w:rsidP="00E16885">
            <w:pPr>
              <w:spacing w:after="240" w:line="480" w:lineRule="auto"/>
              <w:jc w:val="center"/>
              <w:rPr>
                <w:rFonts w:ascii="Arial" w:hAnsi="Arial"/>
              </w:rPr>
            </w:pPr>
            <w:r w:rsidRPr="006B3070">
              <w:rPr>
                <w:rFonts w:ascii="Arial" w:hAnsi="Arial"/>
                <w:lang w:val="en-PH"/>
              </w:rPr>
              <w:t>3.985</w:t>
            </w:r>
          </w:p>
        </w:tc>
        <w:tc>
          <w:tcPr>
            <w:tcW w:w="1046" w:type="dxa"/>
            <w:tcBorders>
              <w:top w:val="nil"/>
              <w:left w:val="nil"/>
              <w:bottom w:val="nil"/>
              <w:right w:val="nil"/>
            </w:tcBorders>
            <w:noWrap/>
            <w:tcMar>
              <w:top w:w="15" w:type="dxa"/>
              <w:left w:w="15" w:type="dxa"/>
              <w:right w:w="15" w:type="dxa"/>
            </w:tcMar>
          </w:tcPr>
          <w:p w14:paraId="6DADC34F" w14:textId="77777777" w:rsidR="006B3070" w:rsidRPr="006B3070" w:rsidRDefault="006B3070" w:rsidP="00E16885">
            <w:pPr>
              <w:spacing w:after="240" w:line="480" w:lineRule="auto"/>
              <w:jc w:val="center"/>
              <w:rPr>
                <w:rFonts w:ascii="Arial" w:hAnsi="Arial"/>
              </w:rPr>
            </w:pPr>
            <w:r w:rsidRPr="006B3070">
              <w:rPr>
                <w:rFonts w:ascii="Arial" w:hAnsi="Arial"/>
                <w:lang w:val="en-PH"/>
              </w:rPr>
              <w:t>.000</w:t>
            </w:r>
          </w:p>
        </w:tc>
        <w:tc>
          <w:tcPr>
            <w:tcW w:w="1688" w:type="dxa"/>
            <w:tcBorders>
              <w:top w:val="nil"/>
              <w:left w:val="nil"/>
              <w:bottom w:val="nil"/>
              <w:right w:val="nil"/>
            </w:tcBorders>
            <w:noWrap/>
            <w:tcMar>
              <w:top w:w="15" w:type="dxa"/>
              <w:left w:w="15" w:type="dxa"/>
              <w:right w:w="15" w:type="dxa"/>
            </w:tcMar>
            <w:vAlign w:val="center"/>
          </w:tcPr>
          <w:p w14:paraId="3E2AAC55" w14:textId="77777777" w:rsidR="006B3070" w:rsidRPr="006B3070" w:rsidRDefault="006B3070" w:rsidP="00E16885">
            <w:pPr>
              <w:spacing w:after="240" w:line="480" w:lineRule="auto"/>
              <w:jc w:val="center"/>
              <w:rPr>
                <w:rFonts w:ascii="Arial" w:hAnsi="Arial"/>
              </w:rPr>
            </w:pPr>
            <w:r w:rsidRPr="006B3070">
              <w:rPr>
                <w:rFonts w:ascii="Arial" w:hAnsi="Arial"/>
              </w:rPr>
              <w:t>Significant</w:t>
            </w:r>
          </w:p>
        </w:tc>
      </w:tr>
      <w:tr w:rsidR="006B3070" w:rsidRPr="00397EAE" w14:paraId="5AD58E53" w14:textId="77777777" w:rsidTr="006B3070">
        <w:trPr>
          <w:trHeight w:hRule="exact" w:val="329"/>
        </w:trPr>
        <w:tc>
          <w:tcPr>
            <w:tcW w:w="3540" w:type="dxa"/>
            <w:gridSpan w:val="2"/>
            <w:tcBorders>
              <w:top w:val="nil"/>
              <w:left w:val="nil"/>
              <w:bottom w:val="nil"/>
              <w:right w:val="nil"/>
            </w:tcBorders>
            <w:noWrap/>
            <w:tcMar>
              <w:top w:w="15" w:type="dxa"/>
              <w:left w:w="15" w:type="dxa"/>
              <w:right w:w="15" w:type="dxa"/>
            </w:tcMar>
            <w:vAlign w:val="center"/>
          </w:tcPr>
          <w:p w14:paraId="61C24AB5" w14:textId="77777777" w:rsidR="006B3070" w:rsidRPr="006B3070" w:rsidRDefault="006B3070" w:rsidP="00E16885">
            <w:pPr>
              <w:spacing w:after="240" w:line="480" w:lineRule="auto"/>
              <w:jc w:val="center"/>
              <w:textAlignment w:val="center"/>
              <w:rPr>
                <w:rFonts w:ascii="Arial" w:hAnsi="Arial"/>
                <w:b/>
                <w:bCs/>
                <w:i/>
                <w:iCs/>
              </w:rPr>
            </w:pPr>
            <w:r w:rsidRPr="006B3070">
              <w:rPr>
                <w:rFonts w:ascii="Arial" w:hAnsi="Arial"/>
                <w:b/>
                <w:bCs/>
                <w:i/>
                <w:iCs/>
              </w:rPr>
              <w:t>Holistic Model</w:t>
            </w:r>
          </w:p>
        </w:tc>
        <w:tc>
          <w:tcPr>
            <w:tcW w:w="1025" w:type="dxa"/>
            <w:tcBorders>
              <w:top w:val="nil"/>
              <w:left w:val="nil"/>
              <w:bottom w:val="nil"/>
              <w:right w:val="nil"/>
            </w:tcBorders>
            <w:noWrap/>
            <w:tcMar>
              <w:top w:w="15" w:type="dxa"/>
              <w:left w:w="15" w:type="dxa"/>
              <w:right w:w="15" w:type="dxa"/>
            </w:tcMar>
            <w:vAlign w:val="center"/>
          </w:tcPr>
          <w:p w14:paraId="75B8EB2D" w14:textId="77777777" w:rsidR="006B3070" w:rsidRPr="006B3070" w:rsidRDefault="006B3070" w:rsidP="00E16885">
            <w:pPr>
              <w:spacing w:after="240" w:line="480" w:lineRule="auto"/>
              <w:rPr>
                <w:rFonts w:ascii="Arial" w:hAnsi="Arial"/>
              </w:rPr>
            </w:pPr>
          </w:p>
        </w:tc>
        <w:tc>
          <w:tcPr>
            <w:tcW w:w="1010" w:type="dxa"/>
            <w:tcBorders>
              <w:top w:val="nil"/>
              <w:left w:val="nil"/>
              <w:bottom w:val="nil"/>
              <w:right w:val="nil"/>
            </w:tcBorders>
            <w:noWrap/>
            <w:tcMar>
              <w:top w:w="15" w:type="dxa"/>
              <w:left w:w="15" w:type="dxa"/>
              <w:right w:w="15" w:type="dxa"/>
            </w:tcMar>
            <w:vAlign w:val="center"/>
          </w:tcPr>
          <w:p w14:paraId="52230CFD" w14:textId="77777777" w:rsidR="006B3070" w:rsidRPr="006B3070" w:rsidRDefault="006B3070" w:rsidP="00E16885">
            <w:pPr>
              <w:spacing w:after="240" w:line="480" w:lineRule="auto"/>
              <w:rPr>
                <w:rFonts w:ascii="Arial" w:hAnsi="Arial"/>
              </w:rPr>
            </w:pPr>
          </w:p>
        </w:tc>
        <w:tc>
          <w:tcPr>
            <w:tcW w:w="1046" w:type="dxa"/>
            <w:tcBorders>
              <w:top w:val="nil"/>
              <w:left w:val="nil"/>
              <w:bottom w:val="nil"/>
              <w:right w:val="nil"/>
            </w:tcBorders>
            <w:noWrap/>
            <w:tcMar>
              <w:top w:w="15" w:type="dxa"/>
              <w:left w:w="15" w:type="dxa"/>
              <w:right w:w="15" w:type="dxa"/>
            </w:tcMar>
            <w:vAlign w:val="center"/>
          </w:tcPr>
          <w:p w14:paraId="25B638A1" w14:textId="77777777" w:rsidR="006B3070" w:rsidRPr="006B3070" w:rsidRDefault="006B3070" w:rsidP="00E16885">
            <w:pPr>
              <w:spacing w:after="240" w:line="480" w:lineRule="auto"/>
              <w:rPr>
                <w:rFonts w:ascii="Arial" w:hAnsi="Arial"/>
              </w:rPr>
            </w:pPr>
          </w:p>
        </w:tc>
        <w:tc>
          <w:tcPr>
            <w:tcW w:w="1688" w:type="dxa"/>
            <w:tcBorders>
              <w:top w:val="nil"/>
              <w:left w:val="nil"/>
              <w:bottom w:val="nil"/>
              <w:right w:val="nil"/>
            </w:tcBorders>
            <w:noWrap/>
            <w:tcMar>
              <w:top w:w="15" w:type="dxa"/>
              <w:left w:w="15" w:type="dxa"/>
              <w:right w:w="15" w:type="dxa"/>
            </w:tcMar>
            <w:vAlign w:val="center"/>
          </w:tcPr>
          <w:p w14:paraId="5AA72F7C" w14:textId="77777777" w:rsidR="006B3070" w:rsidRPr="006B3070" w:rsidRDefault="006B3070" w:rsidP="00E16885">
            <w:pPr>
              <w:spacing w:after="240" w:line="480" w:lineRule="auto"/>
              <w:rPr>
                <w:rFonts w:ascii="Arial" w:hAnsi="Arial"/>
              </w:rPr>
            </w:pPr>
          </w:p>
        </w:tc>
      </w:tr>
      <w:tr w:rsidR="006B3070" w:rsidRPr="00397EAE" w14:paraId="29330344" w14:textId="77777777" w:rsidTr="006B3070">
        <w:trPr>
          <w:trHeight w:hRule="exact" w:val="329"/>
        </w:trPr>
        <w:tc>
          <w:tcPr>
            <w:tcW w:w="1568" w:type="dxa"/>
            <w:tcBorders>
              <w:top w:val="nil"/>
              <w:left w:val="nil"/>
              <w:bottom w:val="nil"/>
              <w:right w:val="nil"/>
            </w:tcBorders>
            <w:noWrap/>
            <w:tcMar>
              <w:top w:w="15" w:type="dxa"/>
              <w:left w:w="15" w:type="dxa"/>
              <w:right w:w="15" w:type="dxa"/>
            </w:tcMar>
            <w:vAlign w:val="center"/>
          </w:tcPr>
          <w:p w14:paraId="4DC1DDAB" w14:textId="77777777" w:rsidR="006B3070" w:rsidRPr="006B3070" w:rsidRDefault="006B3070" w:rsidP="00E16885">
            <w:pPr>
              <w:spacing w:after="240" w:line="480" w:lineRule="auto"/>
              <w:jc w:val="center"/>
              <w:textAlignment w:val="center"/>
              <w:rPr>
                <w:rFonts w:ascii="Arial" w:hAnsi="Arial"/>
              </w:rPr>
            </w:pPr>
            <w:r w:rsidRPr="006B3070">
              <w:rPr>
                <w:rFonts w:ascii="Arial" w:hAnsi="Arial"/>
              </w:rPr>
              <w:t>r</w:t>
            </w:r>
            <w:r w:rsidRPr="006B3070">
              <w:rPr>
                <w:rFonts w:ascii="Arial" w:hAnsi="Arial"/>
                <w:vertAlign w:val="superscript"/>
              </w:rPr>
              <w:t>2</w:t>
            </w:r>
          </w:p>
        </w:tc>
        <w:tc>
          <w:tcPr>
            <w:tcW w:w="1972" w:type="dxa"/>
            <w:tcBorders>
              <w:top w:val="nil"/>
              <w:left w:val="nil"/>
              <w:bottom w:val="nil"/>
              <w:right w:val="nil"/>
            </w:tcBorders>
            <w:noWrap/>
            <w:tcMar>
              <w:top w:w="15" w:type="dxa"/>
              <w:left w:w="15" w:type="dxa"/>
              <w:right w:w="15" w:type="dxa"/>
            </w:tcMar>
            <w:vAlign w:val="center"/>
          </w:tcPr>
          <w:p w14:paraId="2161C8F5" w14:textId="77777777" w:rsidR="006B3070" w:rsidRPr="006B3070" w:rsidRDefault="006B3070" w:rsidP="00E16885">
            <w:pPr>
              <w:spacing w:after="240" w:line="480" w:lineRule="auto"/>
              <w:jc w:val="center"/>
              <w:rPr>
                <w:rFonts w:ascii="Arial" w:hAnsi="Arial"/>
              </w:rPr>
            </w:pPr>
            <w:r w:rsidRPr="006B3070">
              <w:rPr>
                <w:rFonts w:ascii="Arial" w:hAnsi="Arial"/>
                <w:lang w:val="en-PH"/>
              </w:rPr>
              <w:t>.332</w:t>
            </w:r>
          </w:p>
        </w:tc>
        <w:tc>
          <w:tcPr>
            <w:tcW w:w="1025" w:type="dxa"/>
            <w:tcBorders>
              <w:top w:val="nil"/>
              <w:left w:val="nil"/>
              <w:bottom w:val="nil"/>
              <w:right w:val="nil"/>
            </w:tcBorders>
            <w:noWrap/>
            <w:tcMar>
              <w:top w:w="15" w:type="dxa"/>
              <w:left w:w="15" w:type="dxa"/>
              <w:right w:w="15" w:type="dxa"/>
            </w:tcMar>
            <w:vAlign w:val="center"/>
          </w:tcPr>
          <w:p w14:paraId="3F671EB1" w14:textId="77777777" w:rsidR="006B3070" w:rsidRPr="006B3070" w:rsidRDefault="006B3070" w:rsidP="00E16885">
            <w:pPr>
              <w:spacing w:after="240" w:line="480" w:lineRule="auto"/>
              <w:rPr>
                <w:rFonts w:ascii="Arial" w:hAnsi="Arial"/>
              </w:rPr>
            </w:pPr>
          </w:p>
        </w:tc>
        <w:tc>
          <w:tcPr>
            <w:tcW w:w="1010" w:type="dxa"/>
            <w:tcBorders>
              <w:top w:val="nil"/>
              <w:left w:val="nil"/>
              <w:bottom w:val="nil"/>
              <w:right w:val="nil"/>
            </w:tcBorders>
            <w:noWrap/>
            <w:tcMar>
              <w:top w:w="15" w:type="dxa"/>
              <w:left w:w="15" w:type="dxa"/>
              <w:right w:w="15" w:type="dxa"/>
            </w:tcMar>
            <w:vAlign w:val="center"/>
          </w:tcPr>
          <w:p w14:paraId="72115546" w14:textId="77777777" w:rsidR="006B3070" w:rsidRPr="006B3070" w:rsidRDefault="006B3070" w:rsidP="00E16885">
            <w:pPr>
              <w:spacing w:after="240" w:line="480" w:lineRule="auto"/>
              <w:rPr>
                <w:rFonts w:ascii="Arial" w:hAnsi="Arial"/>
              </w:rPr>
            </w:pPr>
          </w:p>
        </w:tc>
        <w:tc>
          <w:tcPr>
            <w:tcW w:w="1046" w:type="dxa"/>
            <w:tcBorders>
              <w:top w:val="nil"/>
              <w:left w:val="nil"/>
              <w:bottom w:val="nil"/>
              <w:right w:val="nil"/>
            </w:tcBorders>
            <w:noWrap/>
            <w:tcMar>
              <w:top w:w="15" w:type="dxa"/>
              <w:left w:w="15" w:type="dxa"/>
              <w:right w:w="15" w:type="dxa"/>
            </w:tcMar>
            <w:vAlign w:val="center"/>
          </w:tcPr>
          <w:p w14:paraId="1E014AA1" w14:textId="77777777" w:rsidR="006B3070" w:rsidRPr="006B3070" w:rsidRDefault="006B3070" w:rsidP="00E16885">
            <w:pPr>
              <w:spacing w:after="240" w:line="480" w:lineRule="auto"/>
              <w:rPr>
                <w:rFonts w:ascii="Arial" w:hAnsi="Arial"/>
              </w:rPr>
            </w:pPr>
          </w:p>
        </w:tc>
        <w:tc>
          <w:tcPr>
            <w:tcW w:w="1688" w:type="dxa"/>
            <w:tcBorders>
              <w:top w:val="nil"/>
              <w:left w:val="nil"/>
              <w:bottom w:val="nil"/>
              <w:right w:val="nil"/>
            </w:tcBorders>
            <w:noWrap/>
            <w:tcMar>
              <w:top w:w="15" w:type="dxa"/>
              <w:left w:w="15" w:type="dxa"/>
              <w:right w:w="15" w:type="dxa"/>
            </w:tcMar>
            <w:vAlign w:val="center"/>
          </w:tcPr>
          <w:p w14:paraId="3298C10E" w14:textId="77777777" w:rsidR="006B3070" w:rsidRPr="006B3070" w:rsidRDefault="006B3070" w:rsidP="00E16885">
            <w:pPr>
              <w:spacing w:after="240" w:line="480" w:lineRule="auto"/>
              <w:rPr>
                <w:rFonts w:ascii="Arial" w:hAnsi="Arial"/>
              </w:rPr>
            </w:pPr>
          </w:p>
        </w:tc>
      </w:tr>
      <w:tr w:rsidR="006B3070" w:rsidRPr="00397EAE" w14:paraId="5B3176D7" w14:textId="77777777" w:rsidTr="006B3070">
        <w:trPr>
          <w:trHeight w:hRule="exact" w:val="329"/>
        </w:trPr>
        <w:tc>
          <w:tcPr>
            <w:tcW w:w="1568" w:type="dxa"/>
            <w:tcBorders>
              <w:top w:val="nil"/>
              <w:left w:val="nil"/>
              <w:bottom w:val="nil"/>
              <w:right w:val="nil"/>
            </w:tcBorders>
            <w:noWrap/>
            <w:tcMar>
              <w:top w:w="15" w:type="dxa"/>
              <w:left w:w="15" w:type="dxa"/>
              <w:right w:w="15" w:type="dxa"/>
            </w:tcMar>
            <w:vAlign w:val="center"/>
          </w:tcPr>
          <w:p w14:paraId="2510FEA1" w14:textId="77777777" w:rsidR="006B3070" w:rsidRPr="006B3070" w:rsidRDefault="006B3070" w:rsidP="00E16885">
            <w:pPr>
              <w:spacing w:after="240" w:line="480" w:lineRule="auto"/>
              <w:jc w:val="center"/>
              <w:textAlignment w:val="center"/>
              <w:rPr>
                <w:rFonts w:ascii="Arial" w:hAnsi="Arial"/>
              </w:rPr>
            </w:pPr>
            <w:r w:rsidRPr="006B3070">
              <w:rPr>
                <w:rFonts w:ascii="Arial" w:hAnsi="Arial"/>
                <w:lang w:bidi="ar"/>
              </w:rPr>
              <w:t>F-value</w:t>
            </w:r>
          </w:p>
        </w:tc>
        <w:tc>
          <w:tcPr>
            <w:tcW w:w="1972" w:type="dxa"/>
            <w:tcBorders>
              <w:top w:val="nil"/>
              <w:left w:val="nil"/>
              <w:bottom w:val="nil"/>
              <w:right w:val="nil"/>
            </w:tcBorders>
            <w:noWrap/>
            <w:tcMar>
              <w:top w:w="15" w:type="dxa"/>
              <w:left w:w="15" w:type="dxa"/>
              <w:right w:w="15" w:type="dxa"/>
            </w:tcMar>
            <w:vAlign w:val="center"/>
          </w:tcPr>
          <w:p w14:paraId="18051F70" w14:textId="77777777" w:rsidR="006B3070" w:rsidRPr="006B3070" w:rsidRDefault="006B3070" w:rsidP="00E16885">
            <w:pPr>
              <w:spacing w:after="240" w:line="480" w:lineRule="auto"/>
              <w:jc w:val="center"/>
              <w:rPr>
                <w:rFonts w:ascii="Arial" w:hAnsi="Arial"/>
              </w:rPr>
            </w:pPr>
            <w:r w:rsidRPr="006B3070">
              <w:rPr>
                <w:rFonts w:ascii="Arial" w:hAnsi="Arial"/>
                <w:lang w:val="en-PH"/>
              </w:rPr>
              <w:t>86.151</w:t>
            </w:r>
          </w:p>
        </w:tc>
        <w:tc>
          <w:tcPr>
            <w:tcW w:w="1025" w:type="dxa"/>
            <w:tcBorders>
              <w:top w:val="nil"/>
              <w:left w:val="nil"/>
              <w:bottom w:val="nil"/>
              <w:right w:val="nil"/>
            </w:tcBorders>
            <w:noWrap/>
            <w:tcMar>
              <w:top w:w="15" w:type="dxa"/>
              <w:left w:w="15" w:type="dxa"/>
              <w:right w:w="15" w:type="dxa"/>
            </w:tcMar>
            <w:vAlign w:val="center"/>
          </w:tcPr>
          <w:p w14:paraId="1793C0F7" w14:textId="77777777" w:rsidR="006B3070" w:rsidRPr="006B3070" w:rsidRDefault="006B3070" w:rsidP="00E16885">
            <w:pPr>
              <w:spacing w:after="240" w:line="480" w:lineRule="auto"/>
              <w:rPr>
                <w:rFonts w:ascii="Arial" w:hAnsi="Arial"/>
              </w:rPr>
            </w:pPr>
          </w:p>
        </w:tc>
        <w:tc>
          <w:tcPr>
            <w:tcW w:w="1010" w:type="dxa"/>
            <w:tcBorders>
              <w:top w:val="nil"/>
              <w:left w:val="nil"/>
              <w:bottom w:val="nil"/>
              <w:right w:val="nil"/>
            </w:tcBorders>
            <w:noWrap/>
            <w:tcMar>
              <w:top w:w="15" w:type="dxa"/>
              <w:left w:w="15" w:type="dxa"/>
              <w:right w:w="15" w:type="dxa"/>
            </w:tcMar>
            <w:vAlign w:val="center"/>
          </w:tcPr>
          <w:p w14:paraId="1A5E7CD4" w14:textId="77777777" w:rsidR="006B3070" w:rsidRPr="006B3070" w:rsidRDefault="006B3070" w:rsidP="00E16885">
            <w:pPr>
              <w:spacing w:after="240" w:line="480" w:lineRule="auto"/>
              <w:rPr>
                <w:rFonts w:ascii="Arial" w:hAnsi="Arial"/>
              </w:rPr>
            </w:pPr>
          </w:p>
        </w:tc>
        <w:tc>
          <w:tcPr>
            <w:tcW w:w="1046" w:type="dxa"/>
            <w:tcBorders>
              <w:top w:val="nil"/>
              <w:left w:val="nil"/>
              <w:bottom w:val="nil"/>
              <w:right w:val="nil"/>
            </w:tcBorders>
            <w:noWrap/>
            <w:tcMar>
              <w:top w:w="15" w:type="dxa"/>
              <w:left w:w="15" w:type="dxa"/>
              <w:right w:w="15" w:type="dxa"/>
            </w:tcMar>
            <w:vAlign w:val="center"/>
          </w:tcPr>
          <w:p w14:paraId="35E7943A" w14:textId="77777777" w:rsidR="006B3070" w:rsidRPr="006B3070" w:rsidRDefault="006B3070" w:rsidP="00E16885">
            <w:pPr>
              <w:spacing w:after="240" w:line="480" w:lineRule="auto"/>
              <w:rPr>
                <w:rFonts w:ascii="Arial" w:hAnsi="Arial"/>
              </w:rPr>
            </w:pPr>
          </w:p>
        </w:tc>
        <w:tc>
          <w:tcPr>
            <w:tcW w:w="1688" w:type="dxa"/>
            <w:tcBorders>
              <w:top w:val="nil"/>
              <w:left w:val="nil"/>
              <w:bottom w:val="nil"/>
              <w:right w:val="nil"/>
            </w:tcBorders>
            <w:noWrap/>
            <w:tcMar>
              <w:top w:w="15" w:type="dxa"/>
              <w:left w:w="15" w:type="dxa"/>
              <w:right w:w="15" w:type="dxa"/>
            </w:tcMar>
            <w:vAlign w:val="center"/>
          </w:tcPr>
          <w:p w14:paraId="102E4C4A" w14:textId="77777777" w:rsidR="006B3070" w:rsidRPr="006B3070" w:rsidRDefault="006B3070" w:rsidP="00E16885">
            <w:pPr>
              <w:spacing w:after="240" w:line="480" w:lineRule="auto"/>
              <w:rPr>
                <w:rFonts w:ascii="Arial" w:hAnsi="Arial"/>
              </w:rPr>
            </w:pPr>
          </w:p>
        </w:tc>
      </w:tr>
      <w:tr w:rsidR="006B3070" w:rsidRPr="00397EAE" w14:paraId="7F0C9208" w14:textId="77777777" w:rsidTr="006B3070">
        <w:trPr>
          <w:trHeight w:hRule="exact" w:val="329"/>
        </w:trPr>
        <w:tc>
          <w:tcPr>
            <w:tcW w:w="1568" w:type="dxa"/>
            <w:tcBorders>
              <w:top w:val="nil"/>
              <w:left w:val="nil"/>
              <w:bottom w:val="nil"/>
              <w:right w:val="nil"/>
            </w:tcBorders>
            <w:noWrap/>
            <w:tcMar>
              <w:top w:w="15" w:type="dxa"/>
              <w:left w:w="15" w:type="dxa"/>
              <w:right w:w="15" w:type="dxa"/>
            </w:tcMar>
            <w:vAlign w:val="center"/>
          </w:tcPr>
          <w:p w14:paraId="13A90CA5" w14:textId="77777777" w:rsidR="006B3070" w:rsidRPr="006B3070" w:rsidRDefault="006B3070" w:rsidP="00E16885">
            <w:pPr>
              <w:spacing w:after="240" w:line="480" w:lineRule="auto"/>
              <w:jc w:val="center"/>
              <w:rPr>
                <w:rFonts w:ascii="Arial" w:hAnsi="Arial"/>
              </w:rPr>
            </w:pPr>
            <w:r w:rsidRPr="006B3070">
              <w:rPr>
                <w:rFonts w:ascii="Arial" w:hAnsi="Arial"/>
              </w:rPr>
              <w:t>p-value</w:t>
            </w:r>
          </w:p>
        </w:tc>
        <w:tc>
          <w:tcPr>
            <w:tcW w:w="1972" w:type="dxa"/>
            <w:tcBorders>
              <w:top w:val="nil"/>
              <w:left w:val="nil"/>
              <w:bottom w:val="nil"/>
              <w:right w:val="nil"/>
            </w:tcBorders>
            <w:noWrap/>
            <w:tcMar>
              <w:top w:w="15" w:type="dxa"/>
              <w:left w:w="15" w:type="dxa"/>
              <w:right w:w="15" w:type="dxa"/>
            </w:tcMar>
            <w:vAlign w:val="center"/>
          </w:tcPr>
          <w:p w14:paraId="5756D70E" w14:textId="77777777" w:rsidR="006B3070" w:rsidRPr="006B3070" w:rsidRDefault="006B3070" w:rsidP="00E16885">
            <w:pPr>
              <w:spacing w:after="240" w:line="480" w:lineRule="auto"/>
              <w:jc w:val="center"/>
              <w:rPr>
                <w:rFonts w:ascii="Arial" w:hAnsi="Arial"/>
              </w:rPr>
            </w:pPr>
            <w:r w:rsidRPr="006B3070">
              <w:rPr>
                <w:rFonts w:ascii="Arial" w:hAnsi="Arial"/>
              </w:rPr>
              <w:t>0.00</w:t>
            </w:r>
          </w:p>
        </w:tc>
        <w:tc>
          <w:tcPr>
            <w:tcW w:w="1025" w:type="dxa"/>
            <w:tcBorders>
              <w:top w:val="nil"/>
              <w:left w:val="nil"/>
              <w:bottom w:val="nil"/>
              <w:right w:val="nil"/>
            </w:tcBorders>
            <w:noWrap/>
            <w:tcMar>
              <w:top w:w="15" w:type="dxa"/>
              <w:left w:w="15" w:type="dxa"/>
              <w:right w:w="15" w:type="dxa"/>
            </w:tcMar>
            <w:vAlign w:val="center"/>
          </w:tcPr>
          <w:p w14:paraId="39850802" w14:textId="77777777" w:rsidR="006B3070" w:rsidRPr="006B3070" w:rsidRDefault="006B3070" w:rsidP="00E16885">
            <w:pPr>
              <w:spacing w:after="240" w:line="480" w:lineRule="auto"/>
              <w:rPr>
                <w:rFonts w:ascii="Arial" w:hAnsi="Arial"/>
              </w:rPr>
            </w:pPr>
          </w:p>
        </w:tc>
        <w:tc>
          <w:tcPr>
            <w:tcW w:w="1010" w:type="dxa"/>
            <w:tcBorders>
              <w:top w:val="nil"/>
              <w:left w:val="nil"/>
              <w:bottom w:val="nil"/>
              <w:right w:val="nil"/>
            </w:tcBorders>
            <w:noWrap/>
            <w:tcMar>
              <w:top w:w="15" w:type="dxa"/>
              <w:left w:w="15" w:type="dxa"/>
              <w:right w:w="15" w:type="dxa"/>
            </w:tcMar>
            <w:vAlign w:val="center"/>
          </w:tcPr>
          <w:p w14:paraId="3F90F8FD" w14:textId="77777777" w:rsidR="006B3070" w:rsidRPr="006B3070" w:rsidRDefault="006B3070" w:rsidP="00E16885">
            <w:pPr>
              <w:spacing w:after="240" w:line="480" w:lineRule="auto"/>
              <w:rPr>
                <w:rFonts w:ascii="Arial" w:hAnsi="Arial"/>
              </w:rPr>
            </w:pPr>
          </w:p>
        </w:tc>
        <w:tc>
          <w:tcPr>
            <w:tcW w:w="1046" w:type="dxa"/>
            <w:tcBorders>
              <w:top w:val="nil"/>
              <w:left w:val="nil"/>
              <w:bottom w:val="nil"/>
              <w:right w:val="nil"/>
            </w:tcBorders>
            <w:noWrap/>
            <w:tcMar>
              <w:top w:w="15" w:type="dxa"/>
              <w:left w:w="15" w:type="dxa"/>
              <w:right w:w="15" w:type="dxa"/>
            </w:tcMar>
            <w:vAlign w:val="center"/>
          </w:tcPr>
          <w:p w14:paraId="37ACC798" w14:textId="77777777" w:rsidR="006B3070" w:rsidRPr="006B3070" w:rsidRDefault="006B3070" w:rsidP="00E16885">
            <w:pPr>
              <w:spacing w:after="240" w:line="480" w:lineRule="auto"/>
              <w:rPr>
                <w:rFonts w:ascii="Arial" w:hAnsi="Arial"/>
              </w:rPr>
            </w:pPr>
          </w:p>
        </w:tc>
        <w:tc>
          <w:tcPr>
            <w:tcW w:w="1688" w:type="dxa"/>
            <w:tcBorders>
              <w:top w:val="nil"/>
              <w:left w:val="nil"/>
              <w:bottom w:val="nil"/>
              <w:right w:val="nil"/>
            </w:tcBorders>
            <w:noWrap/>
            <w:tcMar>
              <w:top w:w="15" w:type="dxa"/>
              <w:left w:w="15" w:type="dxa"/>
              <w:right w:w="15" w:type="dxa"/>
            </w:tcMar>
            <w:vAlign w:val="center"/>
          </w:tcPr>
          <w:p w14:paraId="7A71E935" w14:textId="77777777" w:rsidR="006B3070" w:rsidRPr="006B3070" w:rsidRDefault="006B3070" w:rsidP="00E16885">
            <w:pPr>
              <w:spacing w:after="240" w:line="480" w:lineRule="auto"/>
              <w:rPr>
                <w:rFonts w:ascii="Arial" w:hAnsi="Arial"/>
              </w:rPr>
            </w:pPr>
          </w:p>
        </w:tc>
      </w:tr>
      <w:tr w:rsidR="006B3070" w:rsidRPr="00397EAE" w14:paraId="5A2104E1" w14:textId="77777777" w:rsidTr="006B3070">
        <w:trPr>
          <w:trHeight w:hRule="exact" w:val="329"/>
        </w:trPr>
        <w:tc>
          <w:tcPr>
            <w:tcW w:w="1568" w:type="dxa"/>
            <w:tcBorders>
              <w:top w:val="nil"/>
              <w:left w:val="nil"/>
              <w:bottom w:val="double" w:sz="4" w:space="0" w:color="auto"/>
              <w:right w:val="nil"/>
            </w:tcBorders>
            <w:noWrap/>
            <w:tcMar>
              <w:top w:w="15" w:type="dxa"/>
              <w:left w:w="15" w:type="dxa"/>
              <w:right w:w="15" w:type="dxa"/>
            </w:tcMar>
            <w:vAlign w:val="center"/>
          </w:tcPr>
          <w:p w14:paraId="204B3FCF" w14:textId="77777777" w:rsidR="006B3070" w:rsidRPr="006B3070" w:rsidRDefault="006B3070" w:rsidP="00E16885">
            <w:pPr>
              <w:spacing w:after="240" w:line="480" w:lineRule="auto"/>
              <w:jc w:val="center"/>
              <w:rPr>
                <w:rFonts w:ascii="Arial" w:hAnsi="Arial"/>
              </w:rPr>
            </w:pPr>
            <w:r w:rsidRPr="006B3070">
              <w:rPr>
                <w:rFonts w:ascii="Arial" w:hAnsi="Arial"/>
              </w:rPr>
              <w:t>Remarks</w:t>
            </w:r>
          </w:p>
        </w:tc>
        <w:tc>
          <w:tcPr>
            <w:tcW w:w="1972" w:type="dxa"/>
            <w:tcBorders>
              <w:top w:val="nil"/>
              <w:left w:val="nil"/>
              <w:bottom w:val="double" w:sz="4" w:space="0" w:color="auto"/>
              <w:right w:val="nil"/>
            </w:tcBorders>
            <w:noWrap/>
            <w:tcMar>
              <w:top w:w="15" w:type="dxa"/>
              <w:left w:w="15" w:type="dxa"/>
              <w:right w:w="15" w:type="dxa"/>
            </w:tcMar>
            <w:vAlign w:val="center"/>
          </w:tcPr>
          <w:p w14:paraId="01DBA844" w14:textId="77777777" w:rsidR="006B3070" w:rsidRPr="006B3070" w:rsidRDefault="006B3070" w:rsidP="00E16885">
            <w:pPr>
              <w:spacing w:after="240" w:line="480" w:lineRule="auto"/>
              <w:jc w:val="center"/>
              <w:rPr>
                <w:rFonts w:ascii="Arial" w:hAnsi="Arial"/>
              </w:rPr>
            </w:pPr>
            <w:r w:rsidRPr="006B3070">
              <w:rPr>
                <w:rFonts w:ascii="Arial" w:hAnsi="Arial"/>
              </w:rPr>
              <w:t>Significant</w:t>
            </w:r>
          </w:p>
        </w:tc>
        <w:tc>
          <w:tcPr>
            <w:tcW w:w="1025" w:type="dxa"/>
            <w:tcBorders>
              <w:top w:val="nil"/>
              <w:left w:val="nil"/>
              <w:bottom w:val="double" w:sz="4" w:space="0" w:color="auto"/>
              <w:right w:val="nil"/>
            </w:tcBorders>
            <w:noWrap/>
            <w:tcMar>
              <w:top w:w="15" w:type="dxa"/>
              <w:left w:w="15" w:type="dxa"/>
              <w:right w:w="15" w:type="dxa"/>
            </w:tcMar>
            <w:vAlign w:val="center"/>
          </w:tcPr>
          <w:p w14:paraId="62D2F7CA" w14:textId="77777777" w:rsidR="006B3070" w:rsidRPr="006B3070" w:rsidRDefault="006B3070" w:rsidP="00E16885">
            <w:pPr>
              <w:spacing w:after="240" w:line="480" w:lineRule="auto"/>
              <w:rPr>
                <w:rFonts w:ascii="Arial" w:hAnsi="Arial"/>
              </w:rPr>
            </w:pPr>
          </w:p>
        </w:tc>
        <w:tc>
          <w:tcPr>
            <w:tcW w:w="1010" w:type="dxa"/>
            <w:tcBorders>
              <w:top w:val="nil"/>
              <w:left w:val="nil"/>
              <w:bottom w:val="double" w:sz="4" w:space="0" w:color="auto"/>
              <w:right w:val="nil"/>
            </w:tcBorders>
            <w:noWrap/>
            <w:tcMar>
              <w:top w:w="15" w:type="dxa"/>
              <w:left w:w="15" w:type="dxa"/>
              <w:right w:w="15" w:type="dxa"/>
            </w:tcMar>
            <w:vAlign w:val="center"/>
          </w:tcPr>
          <w:p w14:paraId="5278FE57" w14:textId="77777777" w:rsidR="006B3070" w:rsidRPr="006B3070" w:rsidRDefault="006B3070" w:rsidP="00E16885">
            <w:pPr>
              <w:spacing w:after="240" w:line="480" w:lineRule="auto"/>
              <w:rPr>
                <w:rFonts w:ascii="Arial" w:hAnsi="Arial"/>
              </w:rPr>
            </w:pPr>
          </w:p>
        </w:tc>
        <w:tc>
          <w:tcPr>
            <w:tcW w:w="1046" w:type="dxa"/>
            <w:tcBorders>
              <w:top w:val="nil"/>
              <w:left w:val="nil"/>
              <w:bottom w:val="double" w:sz="4" w:space="0" w:color="auto"/>
              <w:right w:val="nil"/>
            </w:tcBorders>
            <w:noWrap/>
            <w:tcMar>
              <w:top w:w="15" w:type="dxa"/>
              <w:left w:w="15" w:type="dxa"/>
              <w:right w:w="15" w:type="dxa"/>
            </w:tcMar>
            <w:vAlign w:val="center"/>
          </w:tcPr>
          <w:p w14:paraId="06C2270D" w14:textId="77777777" w:rsidR="006B3070" w:rsidRPr="006B3070" w:rsidRDefault="006B3070" w:rsidP="00E16885">
            <w:pPr>
              <w:spacing w:after="240" w:line="480" w:lineRule="auto"/>
              <w:rPr>
                <w:rFonts w:ascii="Arial" w:hAnsi="Arial"/>
              </w:rPr>
            </w:pPr>
          </w:p>
        </w:tc>
        <w:tc>
          <w:tcPr>
            <w:tcW w:w="1688" w:type="dxa"/>
            <w:tcBorders>
              <w:top w:val="nil"/>
              <w:left w:val="nil"/>
              <w:bottom w:val="double" w:sz="4" w:space="0" w:color="auto"/>
              <w:right w:val="nil"/>
            </w:tcBorders>
            <w:noWrap/>
            <w:tcMar>
              <w:top w:w="15" w:type="dxa"/>
              <w:left w:w="15" w:type="dxa"/>
              <w:right w:w="15" w:type="dxa"/>
            </w:tcMar>
            <w:vAlign w:val="center"/>
          </w:tcPr>
          <w:p w14:paraId="6160D039" w14:textId="77777777" w:rsidR="006B3070" w:rsidRPr="006B3070" w:rsidRDefault="006B3070" w:rsidP="00E16885">
            <w:pPr>
              <w:spacing w:after="240" w:line="480" w:lineRule="auto"/>
              <w:rPr>
                <w:rFonts w:ascii="Arial" w:hAnsi="Arial"/>
              </w:rPr>
            </w:pPr>
          </w:p>
        </w:tc>
      </w:tr>
      <w:tr w:rsidR="006B3070" w:rsidRPr="00397EAE" w14:paraId="06AA16F7" w14:textId="77777777" w:rsidTr="006B3070">
        <w:trPr>
          <w:trHeight w:val="298"/>
        </w:trPr>
        <w:tc>
          <w:tcPr>
            <w:tcW w:w="8310" w:type="dxa"/>
            <w:gridSpan w:val="6"/>
            <w:tcBorders>
              <w:top w:val="double" w:sz="4" w:space="0" w:color="auto"/>
              <w:left w:val="nil"/>
              <w:bottom w:val="nil"/>
              <w:right w:val="nil"/>
            </w:tcBorders>
            <w:noWrap/>
            <w:tcMar>
              <w:top w:w="15" w:type="dxa"/>
              <w:left w:w="15" w:type="dxa"/>
              <w:right w:w="15" w:type="dxa"/>
            </w:tcMar>
            <w:vAlign w:val="center"/>
          </w:tcPr>
          <w:p w14:paraId="3FC51457" w14:textId="77777777" w:rsidR="006B3070" w:rsidRPr="006B3070" w:rsidRDefault="006B3070" w:rsidP="00E16885">
            <w:pPr>
              <w:spacing w:line="480" w:lineRule="auto"/>
              <w:rPr>
                <w:rFonts w:ascii="Arial" w:hAnsi="Arial"/>
              </w:rPr>
            </w:pPr>
            <w:r w:rsidRPr="006B3070">
              <w:rPr>
                <w:rFonts w:ascii="Arial" w:hAnsi="Arial"/>
                <w:i/>
                <w:iCs/>
              </w:rPr>
              <w:t>*Significant at p&lt;0.05</w:t>
            </w:r>
          </w:p>
        </w:tc>
      </w:tr>
      <w:bookmarkEnd w:id="1"/>
    </w:tbl>
    <w:p w14:paraId="6424C869" w14:textId="77777777" w:rsidR="006B3070" w:rsidRPr="00272068" w:rsidRDefault="006B3070" w:rsidP="00272068">
      <w:pPr>
        <w:jc w:val="both"/>
        <w:rPr>
          <w:rFonts w:ascii="Arial" w:hAnsi="Arial" w:cs="Arial"/>
        </w:rPr>
      </w:pPr>
    </w:p>
    <w:p w14:paraId="0F7BD173" w14:textId="77777777" w:rsidR="00796B7D" w:rsidRDefault="00796B7D" w:rsidP="005430C4">
      <w:pPr>
        <w:pStyle w:val="ConcHead"/>
        <w:spacing w:after="0"/>
        <w:jc w:val="both"/>
        <w:rPr>
          <w:rFonts w:ascii="Arial" w:hAnsi="Arial" w:cs="Arial"/>
          <w:b w:val="0"/>
          <w:caps w:val="0"/>
          <w:sz w:val="20"/>
        </w:rPr>
      </w:pPr>
    </w:p>
    <w:p w14:paraId="2355EA9F" w14:textId="65797DC1" w:rsidR="006B3070" w:rsidRPr="006B3070" w:rsidRDefault="006B3070" w:rsidP="006B3070">
      <w:pPr>
        <w:pStyle w:val="ConcHead"/>
        <w:jc w:val="both"/>
        <w:rPr>
          <w:rFonts w:ascii="Arial" w:hAnsi="Arial" w:cs="Arial"/>
          <w:b w:val="0"/>
          <w:caps w:val="0"/>
          <w:sz w:val="20"/>
        </w:rPr>
      </w:pPr>
      <w:r w:rsidRPr="006B3070">
        <w:rPr>
          <w:rFonts w:ascii="Arial" w:hAnsi="Arial" w:cs="Arial"/>
          <w:b w:val="0"/>
          <w:caps w:val="0"/>
          <w:sz w:val="20"/>
        </w:rPr>
        <w:t xml:space="preserve">Presented in Table </w:t>
      </w:r>
      <w:r>
        <w:rPr>
          <w:rFonts w:ascii="Arial" w:hAnsi="Arial" w:cs="Arial"/>
          <w:b w:val="0"/>
          <w:caps w:val="0"/>
          <w:sz w:val="20"/>
        </w:rPr>
        <w:t>6</w:t>
      </w:r>
      <w:r w:rsidRPr="006B3070">
        <w:rPr>
          <w:rFonts w:ascii="Arial" w:hAnsi="Arial" w:cs="Arial"/>
          <w:b w:val="0"/>
          <w:caps w:val="0"/>
          <w:sz w:val="20"/>
        </w:rPr>
        <w:t xml:space="preserve"> is the significance of the </w:t>
      </w:r>
      <w:r>
        <w:rPr>
          <w:rFonts w:ascii="Arial" w:hAnsi="Arial" w:cs="Arial"/>
          <w:b w:val="0"/>
          <w:caps w:val="0"/>
          <w:sz w:val="20"/>
        </w:rPr>
        <w:t xml:space="preserve">simple and </w:t>
      </w:r>
      <w:r w:rsidRPr="006B3070">
        <w:rPr>
          <w:rFonts w:ascii="Arial" w:hAnsi="Arial" w:cs="Arial"/>
          <w:b w:val="0"/>
          <w:caps w:val="0"/>
          <w:sz w:val="20"/>
        </w:rPr>
        <w:t>combined influence of learning approaches and willingness on gratification towards merged learning. The regression analysis shows that both learning approaches and willingness significantly impact students' gratification towards merged learning. Fo</w:t>
      </w:r>
      <w:bookmarkStart w:id="2" w:name="_GoBack"/>
      <w:bookmarkEnd w:id="2"/>
      <w:r w:rsidRPr="006B3070">
        <w:rPr>
          <w:rFonts w:ascii="Arial" w:hAnsi="Arial" w:cs="Arial"/>
          <w:b w:val="0"/>
          <w:caps w:val="0"/>
          <w:sz w:val="20"/>
        </w:rPr>
        <w:t xml:space="preserve">r learning approaches, the standardized coefficient (β) is 0.467, with a t-value of 9.628 and a p-value of 0.000, which is less than the 0.05 significance level. This suggests that learning approaches have a significant and positive influence on gratification towards merged learning. Similarly, willingness also shows a significant influence with a β of 0.193, a t-value of 3.985, and a p-value of 0.000, indicating that higher levels of willingness contribute positively to students' gratification towards merged learning. The overall model, represented by an R-squared (r²) value of 0.332, explains 33.2% of the variance in gratification towards merged learning. The F-value of 86.151 and p-value of 0.00 further confirm the significance of the model. </w:t>
      </w:r>
    </w:p>
    <w:p w14:paraId="03034FC8" w14:textId="3216A1D1" w:rsidR="00796B7D" w:rsidRDefault="006B3070" w:rsidP="006B3070">
      <w:pPr>
        <w:pStyle w:val="ConcHead"/>
        <w:spacing w:after="0"/>
        <w:jc w:val="both"/>
        <w:rPr>
          <w:rFonts w:ascii="Arial" w:hAnsi="Arial" w:cs="Arial"/>
          <w:b w:val="0"/>
          <w:caps w:val="0"/>
          <w:sz w:val="20"/>
        </w:rPr>
      </w:pPr>
      <w:r w:rsidRPr="006B3070">
        <w:rPr>
          <w:rFonts w:ascii="Arial" w:hAnsi="Arial" w:cs="Arial"/>
          <w:b w:val="0"/>
          <w:caps w:val="0"/>
          <w:sz w:val="20"/>
        </w:rPr>
        <w:t>This analysis suggests that both learning approaches and willingness are important predictors of students' gratification towards merged learning. These factors work together to significantly enhance students' overall gratification towards merged learning.</w:t>
      </w:r>
    </w:p>
    <w:p w14:paraId="1EB721AC" w14:textId="77777777" w:rsidR="006B3070" w:rsidRDefault="006B3070" w:rsidP="006B3070">
      <w:pPr>
        <w:pStyle w:val="ConcHead"/>
        <w:spacing w:after="0"/>
        <w:jc w:val="both"/>
        <w:rPr>
          <w:rFonts w:ascii="Arial" w:hAnsi="Arial" w:cs="Arial"/>
          <w:b w:val="0"/>
          <w:caps w:val="0"/>
          <w:sz w:val="20"/>
        </w:rPr>
      </w:pPr>
    </w:p>
    <w:p w14:paraId="7759D41A" w14:textId="64C41297" w:rsidR="006B3070" w:rsidRDefault="00750E96" w:rsidP="006B3070">
      <w:pPr>
        <w:pStyle w:val="ConcHead"/>
        <w:spacing w:after="0"/>
        <w:jc w:val="both"/>
        <w:rPr>
          <w:rFonts w:ascii="Arial" w:hAnsi="Arial" w:cs="Arial"/>
          <w:b w:val="0"/>
          <w:caps w:val="0"/>
          <w:sz w:val="20"/>
        </w:rPr>
      </w:pPr>
      <w:r w:rsidRPr="00750E96">
        <w:rPr>
          <w:rFonts w:ascii="Arial" w:hAnsi="Arial" w:cs="Arial"/>
          <w:b w:val="0"/>
          <w:caps w:val="0"/>
          <w:sz w:val="20"/>
        </w:rPr>
        <w:t xml:space="preserve">This finding is in line with the research of Taghizadeh et al. (2021), who highlighted the significance of the combined influence of learning approaches and willingness in enhancing students' gratification with merged learning environments. When students exhibit effective learning approaches, along with a high level of willingness, they tend to experience greater gratification with merged learning. Similarly, Roddy et al. (2017) found that the integration of both willingness and learning approaches improves students' ability to navigate online platforms and engage more deeply with the content, ultimately fostering a more gratifying </w:t>
      </w:r>
      <w:r w:rsidRPr="00750E96">
        <w:rPr>
          <w:rFonts w:ascii="Arial" w:hAnsi="Arial" w:cs="Arial"/>
          <w:b w:val="0"/>
          <w:caps w:val="0"/>
          <w:sz w:val="20"/>
        </w:rPr>
        <w:lastRenderedPageBreak/>
        <w:t>learning experience. Additionally, Fisher et al. (2021) argued that the synergy between students' willingness to engage in merged learning and their ability to apply effective learning approaches is critical for ensuring positive outcomes and high gratification.</w:t>
      </w:r>
    </w:p>
    <w:p w14:paraId="365ED624" w14:textId="77777777" w:rsidR="00750E96" w:rsidRDefault="00750E96" w:rsidP="006B3070">
      <w:pPr>
        <w:pStyle w:val="ConcHead"/>
        <w:spacing w:after="0"/>
        <w:jc w:val="both"/>
        <w:rPr>
          <w:rFonts w:ascii="Arial" w:hAnsi="Arial" w:cs="Arial"/>
          <w:b w:val="0"/>
          <w:caps w:val="0"/>
          <w:sz w:val="20"/>
        </w:rPr>
      </w:pPr>
    </w:p>
    <w:p w14:paraId="0A415F81" w14:textId="77777777" w:rsidR="00750E96" w:rsidRDefault="00750E96" w:rsidP="006B3070">
      <w:pPr>
        <w:pStyle w:val="ConcHead"/>
        <w:spacing w:after="0"/>
        <w:jc w:val="both"/>
        <w:rPr>
          <w:rFonts w:ascii="Arial" w:hAnsi="Arial" w:cs="Arial"/>
          <w:b w:val="0"/>
          <w:caps w:val="0"/>
          <w:sz w:val="20"/>
        </w:rPr>
      </w:pPr>
    </w:p>
    <w:p w14:paraId="371DD412" w14:textId="2EE03B6D" w:rsidR="00717F2E" w:rsidRDefault="008714D6" w:rsidP="00B364F1">
      <w:pPr>
        <w:pStyle w:val="ConcHead"/>
        <w:spacing w:after="0"/>
        <w:jc w:val="both"/>
        <w:rPr>
          <w:rFonts w:ascii="Arial" w:hAnsi="Arial" w:cs="Arial"/>
          <w:sz w:val="20"/>
        </w:rPr>
      </w:pPr>
      <w:r>
        <w:rPr>
          <w:rFonts w:ascii="Arial" w:hAnsi="Arial" w:cs="Arial"/>
          <w:sz w:val="20"/>
        </w:rPr>
        <w:t xml:space="preserve">4. </w:t>
      </w:r>
      <w:r w:rsidR="00B364F1">
        <w:rPr>
          <w:rFonts w:ascii="Arial" w:hAnsi="Arial" w:cs="Arial"/>
          <w:sz w:val="20"/>
        </w:rPr>
        <w:t>FINDINGS</w:t>
      </w:r>
    </w:p>
    <w:p w14:paraId="0E5D87EA" w14:textId="77777777" w:rsidR="00717F2E" w:rsidRDefault="00717F2E">
      <w:pPr>
        <w:pStyle w:val="ConcHead"/>
        <w:spacing w:after="0"/>
        <w:jc w:val="both"/>
        <w:rPr>
          <w:rFonts w:ascii="Arial" w:hAnsi="Arial" w:cs="Arial"/>
          <w:sz w:val="20"/>
        </w:rPr>
      </w:pPr>
    </w:p>
    <w:p w14:paraId="1E80F684" w14:textId="77777777" w:rsidR="00750E96" w:rsidRPr="00750E96" w:rsidRDefault="00750E96" w:rsidP="00750E96">
      <w:pPr>
        <w:pStyle w:val="Body"/>
        <w:rPr>
          <w:rFonts w:ascii="Arial" w:hAnsi="Arial" w:cs="Arial"/>
        </w:rPr>
      </w:pPr>
      <w:r w:rsidRPr="00750E96">
        <w:rPr>
          <w:rFonts w:ascii="Arial" w:hAnsi="Arial" w:cs="Arial"/>
        </w:rPr>
        <w:t>This study aimed to determine if learning approaches and willingness significantly predict gratification towards merged learning among public elementary school students in Davao Oriental. The study set several specific objectives to accomplish the general goal of the research. First, the study determined the extent of learning approaches in terms of effective use of time and effort, advanced cognitive approaches, basic cognitive approaches, interaction with others, and cognitive thinking. Second, the study determined the extent of willingness in terms of technological self-efficacy, self-regulated learning, control over learning, learning motivation, and digital communication. Third, the study examined the extent of gratification in terms of engagement, learning facilitation, education influence, subject management, and tools and resources. The study also aimed to determine the significance of the relationship between learning approaches and gratification towards merged learning, and the significance of the relationship between willingness and gratification. Lastly, the study assessed the significance of the singular and combined influence of learning approaches and willingness on gratification towards merged learning among public elementary school students.</w:t>
      </w:r>
    </w:p>
    <w:p w14:paraId="547DEAA9" w14:textId="77777777" w:rsidR="00750E96" w:rsidRPr="00750E96" w:rsidRDefault="00750E96" w:rsidP="00750E96">
      <w:pPr>
        <w:pStyle w:val="Body"/>
        <w:rPr>
          <w:rFonts w:ascii="Arial" w:hAnsi="Arial" w:cs="Arial"/>
        </w:rPr>
      </w:pPr>
    </w:p>
    <w:p w14:paraId="7DA044E2" w14:textId="77777777" w:rsidR="00750E96" w:rsidRPr="00750E96" w:rsidRDefault="00750E96" w:rsidP="00750E96">
      <w:pPr>
        <w:pStyle w:val="Body"/>
        <w:rPr>
          <w:rFonts w:ascii="Arial" w:hAnsi="Arial" w:cs="Arial"/>
        </w:rPr>
      </w:pPr>
      <w:r w:rsidRPr="00750E96">
        <w:rPr>
          <w:rFonts w:ascii="Arial" w:hAnsi="Arial" w:cs="Arial"/>
        </w:rPr>
        <w:t>Utilizing a descriptive-correlational research design, a total of 200 public elementary school students from educational institutions in Davao Oriental, Philippines, were surveyed using standardized questionnaires administered through face-to-face surveys. The mean, standard deviation (SD), Pearson product-moment correlation, and simple and multiple linear regression analyses were employed to analyze the collected data.</w:t>
      </w:r>
    </w:p>
    <w:p w14:paraId="087F9D19" w14:textId="77777777" w:rsidR="00750E96" w:rsidRPr="00750E96" w:rsidRDefault="00750E96" w:rsidP="00750E96">
      <w:pPr>
        <w:pStyle w:val="Body"/>
        <w:rPr>
          <w:rFonts w:ascii="Arial" w:hAnsi="Arial" w:cs="Arial"/>
        </w:rPr>
      </w:pPr>
      <w:r w:rsidRPr="00750E96">
        <w:rPr>
          <w:rFonts w:ascii="Arial" w:hAnsi="Arial" w:cs="Arial"/>
        </w:rPr>
        <w:t>From the data gathered, the following findings were drawn:</w:t>
      </w:r>
    </w:p>
    <w:p w14:paraId="22BA7976" w14:textId="77777777" w:rsidR="00750E96" w:rsidRPr="00750E96" w:rsidRDefault="00750E96" w:rsidP="00750E96">
      <w:pPr>
        <w:pStyle w:val="Body"/>
        <w:rPr>
          <w:rFonts w:ascii="Arial" w:hAnsi="Arial" w:cs="Arial"/>
        </w:rPr>
      </w:pPr>
      <w:r w:rsidRPr="00750E96">
        <w:rPr>
          <w:rFonts w:ascii="Arial" w:hAnsi="Arial" w:cs="Arial"/>
        </w:rPr>
        <w:t>Firstly, the level of learning approaches among students is high in terms of effective use of time and effort, advanced cognitive approaches, basic cognitive approaches, interaction with others, and cognitive thinking.</w:t>
      </w:r>
    </w:p>
    <w:p w14:paraId="66D2723D" w14:textId="77777777" w:rsidR="00750E96" w:rsidRPr="00750E96" w:rsidRDefault="00750E96" w:rsidP="00750E96">
      <w:pPr>
        <w:pStyle w:val="Body"/>
        <w:rPr>
          <w:rFonts w:ascii="Arial" w:hAnsi="Arial" w:cs="Arial"/>
        </w:rPr>
      </w:pPr>
      <w:r w:rsidRPr="00750E96">
        <w:rPr>
          <w:rFonts w:ascii="Arial" w:hAnsi="Arial" w:cs="Arial"/>
        </w:rPr>
        <w:t>Secondly, the level of willingness among students is high in terms of technological self-efficacy, self-regulated learning, control over learning, learning motivation, and digital communication.</w:t>
      </w:r>
    </w:p>
    <w:p w14:paraId="32758E37" w14:textId="77777777" w:rsidR="00750E96" w:rsidRPr="00750E96" w:rsidRDefault="00750E96" w:rsidP="00750E96">
      <w:pPr>
        <w:pStyle w:val="Body"/>
        <w:rPr>
          <w:rFonts w:ascii="Arial" w:hAnsi="Arial" w:cs="Arial"/>
        </w:rPr>
      </w:pPr>
      <w:r w:rsidRPr="00750E96">
        <w:rPr>
          <w:rFonts w:ascii="Arial" w:hAnsi="Arial" w:cs="Arial"/>
        </w:rPr>
        <w:t>Thirdly, the level of gratification among students is high in terms of engagement, learning facilitation, education influence, subject management, and tools and resources.</w:t>
      </w:r>
    </w:p>
    <w:p w14:paraId="62DD97B7" w14:textId="77777777" w:rsidR="00750E96" w:rsidRPr="00750E96" w:rsidRDefault="00750E96" w:rsidP="00750E96">
      <w:pPr>
        <w:pStyle w:val="Body"/>
        <w:rPr>
          <w:rFonts w:ascii="Arial" w:hAnsi="Arial" w:cs="Arial"/>
        </w:rPr>
      </w:pPr>
      <w:r w:rsidRPr="00750E96">
        <w:rPr>
          <w:rFonts w:ascii="Arial" w:hAnsi="Arial" w:cs="Arial"/>
        </w:rPr>
        <w:t>Fourthly, the correlation between learning approaches and gratification is significant. Similarly, the correlation between willingness and gratification is also significant.</w:t>
      </w:r>
    </w:p>
    <w:p w14:paraId="008997D8" w14:textId="6A12291C" w:rsidR="00FF0648" w:rsidRDefault="00750E96" w:rsidP="00750E96">
      <w:pPr>
        <w:pStyle w:val="Body"/>
        <w:rPr>
          <w:rFonts w:ascii="Arial" w:hAnsi="Arial" w:cs="Arial"/>
        </w:rPr>
      </w:pPr>
      <w:r w:rsidRPr="00750E96">
        <w:rPr>
          <w:rFonts w:ascii="Arial" w:hAnsi="Arial" w:cs="Arial"/>
        </w:rPr>
        <w:t>Finally, when the singular influence of the independent variables on the dependent variable was determined, learning approaches significantly influenced gratification. In the same way, willingness significantly influenced gratification. When the combined influence of the independent variables on the dependent variable was examined, both learning approaches and willingness significantly predicted gratification towards merged learning.</w:t>
      </w:r>
    </w:p>
    <w:p w14:paraId="0C6278DB" w14:textId="77777777" w:rsidR="00750E96" w:rsidRDefault="00750E96" w:rsidP="00750E96">
      <w:pPr>
        <w:pStyle w:val="Body"/>
        <w:rPr>
          <w:rFonts w:ascii="Arial" w:hAnsi="Arial" w:cs="Arial"/>
        </w:rPr>
      </w:pPr>
    </w:p>
    <w:p w14:paraId="016D2A79" w14:textId="6A0D1AD3" w:rsidR="00717F2E" w:rsidRDefault="008714D6" w:rsidP="00272068">
      <w:pPr>
        <w:pStyle w:val="Body"/>
        <w:rPr>
          <w:rFonts w:ascii="Arial" w:hAnsi="Arial" w:cs="Arial"/>
        </w:rPr>
      </w:pPr>
      <w:r>
        <w:rPr>
          <w:rFonts w:ascii="Arial" w:hAnsi="Arial" w:cs="Arial"/>
          <w:b/>
          <w:bCs/>
        </w:rPr>
        <w:lastRenderedPageBreak/>
        <w:t xml:space="preserve">5. </w:t>
      </w:r>
      <w:r w:rsidR="00B364F1">
        <w:rPr>
          <w:rFonts w:ascii="Arial" w:hAnsi="Arial" w:cs="Arial"/>
          <w:b/>
          <w:bCs/>
        </w:rPr>
        <w:t>CONCLUSIONS</w:t>
      </w:r>
    </w:p>
    <w:p w14:paraId="5825683B" w14:textId="58074AD0" w:rsidR="00070582" w:rsidRDefault="00070582" w:rsidP="00070582">
      <w:pPr>
        <w:pStyle w:val="ReferHead"/>
        <w:jc w:val="both"/>
        <w:rPr>
          <w:rFonts w:ascii="Arial" w:hAnsi="Arial" w:cs="Arial"/>
          <w:b w:val="0"/>
          <w:caps w:val="0"/>
          <w:sz w:val="20"/>
        </w:rPr>
      </w:pPr>
      <w:r w:rsidRPr="00070582">
        <w:rPr>
          <w:rFonts w:ascii="Arial" w:hAnsi="Arial" w:cs="Arial"/>
          <w:b w:val="0"/>
          <w:caps w:val="0"/>
          <w:sz w:val="20"/>
        </w:rPr>
        <w:t xml:space="preserve">Based on the results obtained in this study, the following conclusions </w:t>
      </w:r>
      <w:r>
        <w:rPr>
          <w:rFonts w:ascii="Arial" w:hAnsi="Arial" w:cs="Arial"/>
          <w:b w:val="0"/>
          <w:caps w:val="0"/>
          <w:sz w:val="20"/>
        </w:rPr>
        <w:t>were</w:t>
      </w:r>
      <w:r w:rsidRPr="00070582">
        <w:rPr>
          <w:rFonts w:ascii="Arial" w:hAnsi="Arial" w:cs="Arial"/>
          <w:b w:val="0"/>
          <w:caps w:val="0"/>
          <w:sz w:val="20"/>
        </w:rPr>
        <w:t xml:space="preserve"> drawn:</w:t>
      </w:r>
    </w:p>
    <w:p w14:paraId="1CC9A8C7" w14:textId="7AC7A582" w:rsidR="00070582" w:rsidRPr="00070582" w:rsidRDefault="00070582" w:rsidP="00070582">
      <w:pPr>
        <w:pStyle w:val="ReferHead"/>
        <w:jc w:val="both"/>
        <w:rPr>
          <w:rFonts w:ascii="Arial" w:hAnsi="Arial" w:cs="Arial"/>
          <w:b w:val="0"/>
          <w:caps w:val="0"/>
          <w:sz w:val="20"/>
        </w:rPr>
      </w:pPr>
      <w:r w:rsidRPr="00070582">
        <w:rPr>
          <w:rFonts w:ascii="Arial" w:hAnsi="Arial" w:cs="Arial"/>
          <w:b w:val="0"/>
          <w:caps w:val="0"/>
          <w:sz w:val="20"/>
        </w:rPr>
        <w:t>The cultural diversity management skills of teachers in public elementary schools, specifically in the areas of interpersonal skills, dialectical awareness, versatility, ethnicity, and social status, are high and frequently demonstrated in their professional practices. Teachers consistently apply these skills in their interactions and classroom management, fostering a positive and inclusive learning environment. The ability to understand and engage with diverse student backgrounds helps in promoting mutual respect and cooperation among students, contributing to the overall harmony in the classroom.</w:t>
      </w:r>
    </w:p>
    <w:p w14:paraId="2129DD07" w14:textId="42E1B491" w:rsidR="00070582" w:rsidRPr="00070582" w:rsidRDefault="00070582" w:rsidP="00070582">
      <w:pPr>
        <w:pStyle w:val="ReferHead"/>
        <w:jc w:val="both"/>
        <w:rPr>
          <w:rFonts w:ascii="Arial" w:hAnsi="Arial" w:cs="Arial"/>
          <w:b w:val="0"/>
          <w:caps w:val="0"/>
          <w:sz w:val="20"/>
        </w:rPr>
      </w:pPr>
      <w:r w:rsidRPr="00070582">
        <w:rPr>
          <w:rFonts w:ascii="Arial" w:hAnsi="Arial" w:cs="Arial"/>
          <w:b w:val="0"/>
          <w:caps w:val="0"/>
          <w:sz w:val="20"/>
        </w:rPr>
        <w:t>The organizational competitiveness of teachers in public elementary schools, as measured by welfare, individual engagement, and selection processes, is also high and often reflected in their work behaviors. Teachers actively contribute to the overall competitiveness and effectiveness of their schools, driving positive changes in educational outcomes. Their engagement in school activities and commitment to their professional growth further strengthens the organizational culture, positioning their schools for success and continuous improvement.</w:t>
      </w:r>
    </w:p>
    <w:p w14:paraId="512EB87C" w14:textId="0951FC30" w:rsidR="00070582" w:rsidRPr="00070582" w:rsidRDefault="00070582" w:rsidP="00070582">
      <w:pPr>
        <w:pStyle w:val="ReferHead"/>
        <w:jc w:val="both"/>
        <w:rPr>
          <w:rFonts w:ascii="Arial" w:hAnsi="Arial" w:cs="Arial"/>
          <w:b w:val="0"/>
          <w:caps w:val="0"/>
          <w:sz w:val="20"/>
        </w:rPr>
      </w:pPr>
      <w:r w:rsidRPr="00070582">
        <w:rPr>
          <w:rFonts w:ascii="Arial" w:hAnsi="Arial" w:cs="Arial"/>
          <w:b w:val="0"/>
          <w:caps w:val="0"/>
          <w:sz w:val="20"/>
        </w:rPr>
        <w:t>A significant relationship exists between cultural diversity management skills and organizational competitiveness among public elementary school teachers. This finding highlights the importance of teachers' ability to manage cultural diversity in contributing to the school’s organizational success. Teachers who are skilled in cultural diversity management are better equipped to work collaboratively, resulting in enhanced teamwork and school-wide initiatives that improve overall educational quality.</w:t>
      </w:r>
    </w:p>
    <w:p w14:paraId="6CD081A5" w14:textId="1D744CB1" w:rsidR="00070582" w:rsidRDefault="00070582" w:rsidP="00750E96">
      <w:pPr>
        <w:pStyle w:val="ReferHead"/>
        <w:jc w:val="both"/>
        <w:rPr>
          <w:rFonts w:ascii="Arial" w:hAnsi="Arial" w:cs="Arial"/>
          <w:b w:val="0"/>
          <w:caps w:val="0"/>
          <w:sz w:val="20"/>
        </w:rPr>
      </w:pPr>
      <w:r w:rsidRPr="00070582">
        <w:rPr>
          <w:rFonts w:ascii="Arial" w:hAnsi="Arial" w:cs="Arial"/>
          <w:b w:val="0"/>
          <w:caps w:val="0"/>
          <w:sz w:val="20"/>
        </w:rPr>
        <w:t>The various domains of cultural diversity management skills have a significant influence on the organizational competitiveness of teachers</w:t>
      </w:r>
      <w:r>
        <w:rPr>
          <w:rFonts w:ascii="Arial" w:hAnsi="Arial" w:cs="Arial"/>
          <w:b w:val="0"/>
          <w:caps w:val="0"/>
          <w:sz w:val="20"/>
        </w:rPr>
        <w:t xml:space="preserve">. </w:t>
      </w:r>
      <w:r w:rsidRPr="00070582">
        <w:rPr>
          <w:rFonts w:ascii="Arial" w:hAnsi="Arial" w:cs="Arial"/>
          <w:b w:val="0"/>
          <w:caps w:val="0"/>
          <w:sz w:val="20"/>
        </w:rPr>
        <w:t>This implies that improvements in teachers' cultural diversity management skills directly enhance their contribution to the school’s organizational competitiveness, leading to better performance and a more dynamic educational environment. Teachers who are proficient in these domains are more adaptable, effective in addressing diverse student needs, and supportive in fostering an inclusive atmosphere that promotes positive educational outcomes.</w:t>
      </w:r>
    </w:p>
    <w:p w14:paraId="5C3FD758" w14:textId="77777777" w:rsidR="00070582" w:rsidRDefault="00070582" w:rsidP="005430C4">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18BC1DF4" w14:textId="77777777" w:rsidR="00750E96" w:rsidRPr="00750E96" w:rsidRDefault="00750E96" w:rsidP="00750E96">
      <w:pPr>
        <w:pStyle w:val="ReferHead"/>
        <w:jc w:val="both"/>
        <w:rPr>
          <w:rFonts w:ascii="Arial" w:hAnsi="Arial" w:cs="Arial"/>
          <w:b w:val="0"/>
          <w:caps w:val="0"/>
          <w:sz w:val="20"/>
        </w:rPr>
      </w:pPr>
      <w:r w:rsidRPr="00750E96">
        <w:rPr>
          <w:rFonts w:ascii="Arial" w:hAnsi="Arial" w:cs="Arial"/>
          <w:b w:val="0"/>
          <w:caps w:val="0"/>
          <w:sz w:val="20"/>
        </w:rPr>
        <w:t>Based on the findings of the study, the following conclusions were formulated:</w:t>
      </w:r>
    </w:p>
    <w:p w14:paraId="03D5E95E" w14:textId="77777777" w:rsidR="00750E96" w:rsidRPr="00750E96" w:rsidRDefault="00750E96" w:rsidP="00750E96">
      <w:pPr>
        <w:pStyle w:val="ReferHead"/>
        <w:jc w:val="both"/>
        <w:rPr>
          <w:rFonts w:ascii="Arial" w:hAnsi="Arial" w:cs="Arial"/>
          <w:b w:val="0"/>
          <w:caps w:val="0"/>
          <w:sz w:val="20"/>
        </w:rPr>
      </w:pPr>
      <w:r w:rsidRPr="00750E96">
        <w:rPr>
          <w:rFonts w:ascii="Arial" w:hAnsi="Arial" w:cs="Arial"/>
          <w:b w:val="0"/>
          <w:caps w:val="0"/>
          <w:sz w:val="20"/>
        </w:rPr>
        <w:t>The learning approaches of students are oftentimes observed. This suggests that while students generally apply various learning strategies, there may be variations in the level of engagement across these approaches. It indicates that while students demonstrate strong learning approaches, there is still room for improvement in consistently applying these approaches to enhance their overall learning experiences.</w:t>
      </w:r>
    </w:p>
    <w:p w14:paraId="406678D1" w14:textId="77777777" w:rsidR="00750E96" w:rsidRPr="00750E96" w:rsidRDefault="00750E96" w:rsidP="00750E96">
      <w:pPr>
        <w:pStyle w:val="ReferHead"/>
        <w:jc w:val="both"/>
        <w:rPr>
          <w:rFonts w:ascii="Arial" w:hAnsi="Arial" w:cs="Arial"/>
          <w:b w:val="0"/>
          <w:caps w:val="0"/>
          <w:sz w:val="20"/>
        </w:rPr>
      </w:pPr>
      <w:r w:rsidRPr="00750E96">
        <w:rPr>
          <w:rFonts w:ascii="Arial" w:hAnsi="Arial" w:cs="Arial"/>
          <w:b w:val="0"/>
          <w:caps w:val="0"/>
          <w:sz w:val="20"/>
        </w:rPr>
        <w:t xml:space="preserve">The willingness of students to engage in merged learning environments is oftentimes observed. This indicates that students generally exhibit a high level of willingness to engage in their learning, but there may be occasional challenges in fully harnessing this willingness to </w:t>
      </w:r>
      <w:r w:rsidRPr="00750E96">
        <w:rPr>
          <w:rFonts w:ascii="Arial" w:hAnsi="Arial" w:cs="Arial"/>
          <w:b w:val="0"/>
          <w:caps w:val="0"/>
          <w:sz w:val="20"/>
        </w:rPr>
        <w:lastRenderedPageBreak/>
        <w:t>maximize learning outcomes. This highlights the importance of fostering a more supportive environment to enable students to engage consistently in their learning.</w:t>
      </w:r>
    </w:p>
    <w:p w14:paraId="3635B036" w14:textId="77777777" w:rsidR="00750E96" w:rsidRPr="00750E96" w:rsidRDefault="00750E96" w:rsidP="00750E96">
      <w:pPr>
        <w:pStyle w:val="ReferHead"/>
        <w:jc w:val="both"/>
        <w:rPr>
          <w:rFonts w:ascii="Arial" w:hAnsi="Arial" w:cs="Arial"/>
          <w:b w:val="0"/>
          <w:caps w:val="0"/>
          <w:sz w:val="20"/>
        </w:rPr>
      </w:pPr>
    </w:p>
    <w:p w14:paraId="44B5C9A1" w14:textId="77777777" w:rsidR="00750E96" w:rsidRPr="00750E96" w:rsidRDefault="00750E96" w:rsidP="00750E96">
      <w:pPr>
        <w:pStyle w:val="ReferHead"/>
        <w:jc w:val="both"/>
        <w:rPr>
          <w:rFonts w:ascii="Arial" w:hAnsi="Arial" w:cs="Arial"/>
          <w:b w:val="0"/>
          <w:caps w:val="0"/>
          <w:sz w:val="20"/>
        </w:rPr>
      </w:pPr>
      <w:r w:rsidRPr="00750E96">
        <w:rPr>
          <w:rFonts w:ascii="Arial" w:hAnsi="Arial" w:cs="Arial"/>
          <w:b w:val="0"/>
          <w:caps w:val="0"/>
          <w:sz w:val="20"/>
        </w:rPr>
        <w:t>The gratification of students towards merged learning is oftentimes observed. Students generally demonstrate a high level of satisfaction with their learning experience. While this gratification is typically high, there may be periods when certain aspects fluctuate depending on external factors such as workload or institutional support. Continuous efforts are needed to maintain high levels of gratification.</w:t>
      </w:r>
    </w:p>
    <w:p w14:paraId="0D05004E" w14:textId="77777777" w:rsidR="00750E96" w:rsidRPr="00750E96" w:rsidRDefault="00750E96" w:rsidP="00750E96">
      <w:pPr>
        <w:pStyle w:val="ReferHead"/>
        <w:jc w:val="both"/>
        <w:rPr>
          <w:rFonts w:ascii="Arial" w:hAnsi="Arial" w:cs="Arial"/>
          <w:b w:val="0"/>
          <w:caps w:val="0"/>
          <w:sz w:val="20"/>
        </w:rPr>
      </w:pPr>
      <w:r w:rsidRPr="00750E96">
        <w:rPr>
          <w:rFonts w:ascii="Arial" w:hAnsi="Arial" w:cs="Arial"/>
          <w:b w:val="0"/>
          <w:caps w:val="0"/>
          <w:sz w:val="20"/>
        </w:rPr>
        <w:t>There is a significant relationship between learning approaches and gratification. Students who employ effective learning approaches tend to experience higher levels of gratification. The use of these approaches positively influences their overall satisfaction with the merged learning environment. Moreover, there is a significant relationship between willingness and gratification. Students who exhibit high levels of willingness are more likely to report higher levels of gratification. This suggests that fostering willingness in students enhances their experience and satisfaction in merged learning environments.</w:t>
      </w:r>
    </w:p>
    <w:p w14:paraId="13E96982" w14:textId="1811D4D8" w:rsidR="00750E96" w:rsidRDefault="00750E96" w:rsidP="00750E96">
      <w:pPr>
        <w:pStyle w:val="ReferHead"/>
        <w:jc w:val="both"/>
        <w:rPr>
          <w:rFonts w:ascii="Arial" w:hAnsi="Arial" w:cs="Arial"/>
          <w:b w:val="0"/>
          <w:caps w:val="0"/>
          <w:sz w:val="20"/>
        </w:rPr>
      </w:pPr>
      <w:r w:rsidRPr="00750E96">
        <w:rPr>
          <w:rFonts w:ascii="Arial" w:hAnsi="Arial" w:cs="Arial"/>
          <w:b w:val="0"/>
          <w:caps w:val="0"/>
          <w:sz w:val="20"/>
        </w:rPr>
        <w:t xml:space="preserve">Learning approaches and willingness significantly predict gratification. Both learning approaches and willingness have a significant impact on students' gratification towards merged learning. This emphasizes the importance of cultivating both effective learning strategies and a high level of willingness in students to create a more fulfilling and successful </w:t>
      </w:r>
      <w:r w:rsidRPr="00750E96">
        <w:rPr>
          <w:rFonts w:ascii="Arial" w:hAnsi="Arial" w:cs="Arial"/>
          <w:b w:val="0"/>
          <w:caps w:val="0"/>
          <w:sz w:val="20"/>
        </w:rPr>
        <w:lastRenderedPageBreak/>
        <w:t>learning experience. Together, these factors contribute to a more engaged, motivated, and gratified student body in merged learning environments.</w:t>
      </w:r>
    </w:p>
    <w:p w14:paraId="7F1F1AE3" w14:textId="67576E0C" w:rsidR="008A2454" w:rsidRDefault="008A2454" w:rsidP="00750E96">
      <w:pPr>
        <w:pStyle w:val="ReferHead"/>
        <w:jc w:val="both"/>
        <w:rPr>
          <w:rFonts w:ascii="Arial" w:hAnsi="Arial" w:cs="Arial"/>
          <w:b w:val="0"/>
          <w:caps w:val="0"/>
          <w:sz w:val="20"/>
        </w:rPr>
      </w:pPr>
    </w:p>
    <w:p w14:paraId="2025BEAB" w14:textId="536AE1F7" w:rsidR="008A2454" w:rsidRPr="008A2454" w:rsidRDefault="008A2454" w:rsidP="00750E96">
      <w:pPr>
        <w:pStyle w:val="ReferHead"/>
        <w:jc w:val="both"/>
        <w:rPr>
          <w:rFonts w:ascii="Arial" w:hAnsi="Arial" w:cs="Arial"/>
          <w:caps w:val="0"/>
          <w:sz w:val="20"/>
        </w:rPr>
      </w:pPr>
      <w:r w:rsidRPr="008A2454">
        <w:rPr>
          <w:rFonts w:ascii="Arial" w:hAnsi="Arial" w:cs="Arial"/>
          <w:caps w:val="0"/>
          <w:sz w:val="20"/>
        </w:rPr>
        <w:t xml:space="preserve">Ethical Approval: </w:t>
      </w:r>
    </w:p>
    <w:p w14:paraId="2E6AE45B" w14:textId="7C6513DA" w:rsidR="008A2454" w:rsidRDefault="008A2454" w:rsidP="00750E96">
      <w:pPr>
        <w:pStyle w:val="ReferHead"/>
        <w:jc w:val="both"/>
        <w:rPr>
          <w:rFonts w:ascii="Arial" w:hAnsi="Arial" w:cs="Arial"/>
          <w:b w:val="0"/>
          <w:caps w:val="0"/>
          <w:sz w:val="20"/>
        </w:rPr>
      </w:pPr>
      <w:r w:rsidRPr="008A2454">
        <w:rPr>
          <w:rFonts w:ascii="Arial" w:hAnsi="Arial" w:cs="Arial"/>
          <w:b w:val="0"/>
          <w:caps w:val="0"/>
          <w:sz w:val="20"/>
        </w:rPr>
        <w:t>A formal letter requesting permission to conduct the study was sent to the District Supervisor and the Principals of the selected public elementary schools in the Division of Davao Oriental.</w:t>
      </w:r>
    </w:p>
    <w:p w14:paraId="296D4B8C" w14:textId="10A7E5B3" w:rsidR="008A2454" w:rsidRPr="008A2454" w:rsidRDefault="008A2454" w:rsidP="00750E96">
      <w:pPr>
        <w:pStyle w:val="ReferHead"/>
        <w:jc w:val="both"/>
        <w:rPr>
          <w:rFonts w:ascii="Arial" w:hAnsi="Arial" w:cs="Arial"/>
          <w:caps w:val="0"/>
          <w:sz w:val="20"/>
        </w:rPr>
      </w:pPr>
      <w:r w:rsidRPr="008A2454">
        <w:rPr>
          <w:rFonts w:ascii="Arial" w:hAnsi="Arial" w:cs="Arial"/>
          <w:caps w:val="0"/>
          <w:sz w:val="20"/>
        </w:rPr>
        <w:t xml:space="preserve">Consent: </w:t>
      </w:r>
    </w:p>
    <w:p w14:paraId="1423C824" w14:textId="0A841F31" w:rsidR="008A2454" w:rsidRPr="00750E96" w:rsidRDefault="008A2454" w:rsidP="00750E96">
      <w:pPr>
        <w:pStyle w:val="ReferHead"/>
        <w:jc w:val="both"/>
        <w:rPr>
          <w:rFonts w:ascii="Arial" w:hAnsi="Arial" w:cs="Arial"/>
          <w:b w:val="0"/>
          <w:caps w:val="0"/>
          <w:sz w:val="20"/>
        </w:rPr>
      </w:pPr>
      <w:r w:rsidRPr="008A2454">
        <w:rPr>
          <w:rFonts w:ascii="Arial" w:hAnsi="Arial" w:cs="Arial"/>
          <w:b w:val="0"/>
          <w:caps w:val="0"/>
          <w:sz w:val="20"/>
        </w:rPr>
        <w:t xml:space="preserve">Before data collection, </w:t>
      </w:r>
      <w:r>
        <w:rPr>
          <w:rFonts w:ascii="Arial" w:hAnsi="Arial" w:cs="Arial"/>
          <w:b w:val="0"/>
          <w:caps w:val="0"/>
          <w:sz w:val="20"/>
        </w:rPr>
        <w:t xml:space="preserve">written </w:t>
      </w:r>
      <w:r w:rsidRPr="008A2454">
        <w:rPr>
          <w:rFonts w:ascii="Arial" w:hAnsi="Arial" w:cs="Arial"/>
          <w:b w:val="0"/>
          <w:caps w:val="0"/>
          <w:sz w:val="20"/>
        </w:rPr>
        <w:t>informed consent was obtained from each participant,</w:t>
      </w:r>
    </w:p>
    <w:p w14:paraId="0780041A" w14:textId="77777777" w:rsidR="00070582" w:rsidRDefault="00070582" w:rsidP="00070582">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18A59427" w14:textId="28C1138F" w:rsidR="00B61EAB" w:rsidRDefault="00B61EAB">
      <w:pPr>
        <w:pStyle w:val="ReferHead"/>
        <w:spacing w:after="0"/>
        <w:jc w:val="both"/>
        <w:rPr>
          <w:rFonts w:ascii="Arial" w:hAnsi="Arial" w:cs="Arial"/>
          <w:b w:val="0"/>
          <w:caps w:val="0"/>
          <w:sz w:val="20"/>
        </w:rPr>
      </w:pPr>
    </w:p>
    <w:p w14:paraId="121830BD" w14:textId="451289B1" w:rsidR="009977FF" w:rsidRDefault="009977FF">
      <w:pPr>
        <w:pStyle w:val="ReferHead"/>
        <w:spacing w:after="0"/>
        <w:jc w:val="both"/>
        <w:rPr>
          <w:rFonts w:ascii="Arial" w:hAnsi="Arial" w:cs="Arial"/>
          <w:b w:val="0"/>
          <w:caps w:val="0"/>
          <w:sz w:val="20"/>
        </w:rPr>
      </w:pPr>
    </w:p>
    <w:p w14:paraId="73392CA1" w14:textId="73721AD1" w:rsidR="009977FF" w:rsidRDefault="009977FF">
      <w:pPr>
        <w:pStyle w:val="ReferHead"/>
        <w:spacing w:after="0"/>
        <w:jc w:val="both"/>
        <w:rPr>
          <w:rFonts w:ascii="Arial" w:hAnsi="Arial" w:cs="Arial"/>
          <w:b w:val="0"/>
          <w:caps w:val="0"/>
          <w:sz w:val="20"/>
        </w:rPr>
      </w:pPr>
    </w:p>
    <w:p w14:paraId="7B7BA75A" w14:textId="51D02965" w:rsidR="009977FF" w:rsidRDefault="009977FF">
      <w:pPr>
        <w:pStyle w:val="ReferHead"/>
        <w:spacing w:after="0"/>
        <w:jc w:val="both"/>
        <w:rPr>
          <w:rFonts w:ascii="Arial" w:hAnsi="Arial" w:cs="Arial"/>
          <w:b w:val="0"/>
          <w:caps w:val="0"/>
          <w:sz w:val="20"/>
        </w:rPr>
      </w:pPr>
    </w:p>
    <w:p w14:paraId="39D0F1B7" w14:textId="1FD5D425" w:rsidR="009977FF" w:rsidRDefault="009977FF">
      <w:pPr>
        <w:pStyle w:val="ReferHead"/>
        <w:spacing w:after="0"/>
        <w:jc w:val="both"/>
        <w:rPr>
          <w:rFonts w:ascii="Arial" w:hAnsi="Arial" w:cs="Arial"/>
          <w:b w:val="0"/>
          <w:caps w:val="0"/>
          <w:sz w:val="20"/>
        </w:rPr>
      </w:pPr>
    </w:p>
    <w:p w14:paraId="69386109" w14:textId="32EF8F0E" w:rsidR="009977FF" w:rsidRDefault="009977FF">
      <w:pPr>
        <w:pStyle w:val="ReferHead"/>
        <w:spacing w:after="0"/>
        <w:jc w:val="both"/>
        <w:rPr>
          <w:rFonts w:ascii="Arial" w:hAnsi="Arial" w:cs="Arial"/>
          <w:b w:val="0"/>
          <w:caps w:val="0"/>
          <w:sz w:val="20"/>
        </w:rPr>
      </w:pPr>
    </w:p>
    <w:p w14:paraId="2B4FDE6F" w14:textId="2597B714" w:rsidR="009977FF" w:rsidRDefault="009977FF">
      <w:pPr>
        <w:pStyle w:val="ReferHead"/>
        <w:spacing w:after="0"/>
        <w:jc w:val="both"/>
        <w:rPr>
          <w:rFonts w:ascii="Arial" w:hAnsi="Arial" w:cs="Arial"/>
          <w:b w:val="0"/>
          <w:caps w:val="0"/>
          <w:sz w:val="20"/>
        </w:rPr>
      </w:pPr>
    </w:p>
    <w:p w14:paraId="48574259" w14:textId="0231B813" w:rsidR="00F473E0" w:rsidRDefault="00F473E0">
      <w:pPr>
        <w:pStyle w:val="ReferHead"/>
        <w:spacing w:after="0"/>
        <w:jc w:val="both"/>
        <w:rPr>
          <w:rFonts w:ascii="Arial" w:hAnsi="Arial" w:cs="Arial"/>
          <w:b w:val="0"/>
          <w:caps w:val="0"/>
          <w:sz w:val="20"/>
        </w:rPr>
      </w:pPr>
    </w:p>
    <w:p w14:paraId="486F734A" w14:textId="76A6B52C" w:rsidR="00F473E0" w:rsidRDefault="00F473E0">
      <w:pPr>
        <w:pStyle w:val="ReferHead"/>
        <w:spacing w:after="0"/>
        <w:jc w:val="both"/>
        <w:rPr>
          <w:rFonts w:ascii="Arial" w:hAnsi="Arial" w:cs="Arial"/>
          <w:b w:val="0"/>
          <w:caps w:val="0"/>
          <w:sz w:val="20"/>
        </w:rPr>
      </w:pPr>
    </w:p>
    <w:p w14:paraId="74816147" w14:textId="227DCA38" w:rsidR="00F473E0" w:rsidRDefault="00F473E0">
      <w:pPr>
        <w:pStyle w:val="ReferHead"/>
        <w:spacing w:after="0"/>
        <w:jc w:val="both"/>
        <w:rPr>
          <w:rFonts w:ascii="Arial" w:hAnsi="Arial" w:cs="Arial"/>
          <w:b w:val="0"/>
          <w:caps w:val="0"/>
          <w:sz w:val="20"/>
        </w:rPr>
      </w:pPr>
    </w:p>
    <w:p w14:paraId="4EC38FB3" w14:textId="3F6C9933" w:rsidR="00F473E0" w:rsidRDefault="00F473E0">
      <w:pPr>
        <w:pStyle w:val="ReferHead"/>
        <w:spacing w:after="0"/>
        <w:jc w:val="both"/>
        <w:rPr>
          <w:rFonts w:ascii="Arial" w:hAnsi="Arial" w:cs="Arial"/>
          <w:b w:val="0"/>
          <w:caps w:val="0"/>
          <w:sz w:val="20"/>
        </w:rPr>
      </w:pPr>
    </w:p>
    <w:p w14:paraId="443E04D5" w14:textId="77777777" w:rsidR="00F473E0" w:rsidRDefault="00F473E0">
      <w:pPr>
        <w:pStyle w:val="ReferHead"/>
        <w:spacing w:after="0"/>
        <w:jc w:val="both"/>
        <w:rPr>
          <w:rFonts w:ascii="Arial" w:hAnsi="Arial" w:cs="Arial"/>
          <w:b w:val="0"/>
          <w:caps w:val="0"/>
          <w:sz w:val="20"/>
        </w:rPr>
      </w:pPr>
    </w:p>
    <w:p w14:paraId="6DA1AFE3" w14:textId="6EE58CF3" w:rsidR="009977FF" w:rsidRDefault="009977FF">
      <w:pPr>
        <w:pStyle w:val="ReferHead"/>
        <w:spacing w:after="0"/>
        <w:jc w:val="both"/>
        <w:rPr>
          <w:rFonts w:ascii="Arial" w:hAnsi="Arial" w:cs="Arial"/>
          <w:b w:val="0"/>
          <w:caps w:val="0"/>
          <w:sz w:val="20"/>
        </w:rPr>
      </w:pPr>
    </w:p>
    <w:p w14:paraId="775D3F49" w14:textId="4F51BAD8" w:rsidR="009977FF" w:rsidRDefault="009977FF">
      <w:pPr>
        <w:pStyle w:val="ReferHead"/>
        <w:spacing w:after="0"/>
        <w:jc w:val="both"/>
        <w:rPr>
          <w:rFonts w:ascii="Arial" w:hAnsi="Arial" w:cs="Arial"/>
          <w:b w:val="0"/>
          <w:caps w:val="0"/>
          <w:sz w:val="20"/>
        </w:rPr>
      </w:pPr>
    </w:p>
    <w:p w14:paraId="185B5642" w14:textId="77777777" w:rsidR="00843B88" w:rsidRPr="00694E96" w:rsidRDefault="00843B88" w:rsidP="00843B88">
      <w:pPr>
        <w:pStyle w:val="ReferHead"/>
        <w:jc w:val="both"/>
        <w:rPr>
          <w:rFonts w:ascii="Calibri" w:eastAsia="Calibri" w:hAnsi="Calibri"/>
          <w:caps w:val="0"/>
          <w:kern w:val="2"/>
          <w:szCs w:val="22"/>
          <w:highlight w:val="yellow"/>
        </w:rPr>
      </w:pPr>
      <w:r w:rsidRPr="00694E96">
        <w:rPr>
          <w:rFonts w:ascii="Calibri" w:eastAsia="Calibri" w:hAnsi="Calibri"/>
          <w:caps w:val="0"/>
          <w:kern w:val="2"/>
          <w:szCs w:val="22"/>
          <w:highlight w:val="yellow"/>
        </w:rPr>
        <w:t>Disclaimer (Artificial intelligence)</w:t>
      </w:r>
    </w:p>
    <w:p w14:paraId="0308D229" w14:textId="77777777" w:rsidR="00843B88" w:rsidRPr="00843B88" w:rsidRDefault="00843B88" w:rsidP="00843B88">
      <w:pPr>
        <w:pStyle w:val="ReferHead"/>
        <w:jc w:val="both"/>
        <w:rPr>
          <w:rFonts w:ascii="Calibri" w:eastAsia="Calibri" w:hAnsi="Calibri"/>
          <w:b w:val="0"/>
          <w:caps w:val="0"/>
          <w:kern w:val="2"/>
          <w:szCs w:val="22"/>
          <w:highlight w:val="yellow"/>
        </w:rPr>
      </w:pPr>
      <w:r w:rsidRPr="00843B88">
        <w:rPr>
          <w:rFonts w:ascii="Calibri" w:eastAsia="Calibri" w:hAnsi="Calibri"/>
          <w:b w:val="0"/>
          <w:caps w:val="0"/>
          <w:kern w:val="2"/>
          <w:szCs w:val="22"/>
          <w:highlight w:val="yellow"/>
        </w:rPr>
        <w:t xml:space="preserve">The author(s) hereby declare that generative AI technologies have been used during the writing and editing of this manuscript. The details of the AI usage are as follows: </w:t>
      </w:r>
    </w:p>
    <w:p w14:paraId="04731A82" w14:textId="77777777" w:rsidR="00843B88" w:rsidRPr="00843B88" w:rsidRDefault="00843B88" w:rsidP="00843B88">
      <w:pPr>
        <w:pStyle w:val="ReferHead"/>
        <w:jc w:val="both"/>
        <w:rPr>
          <w:rFonts w:ascii="Calibri" w:eastAsia="Calibri" w:hAnsi="Calibri"/>
          <w:b w:val="0"/>
          <w:caps w:val="0"/>
          <w:kern w:val="2"/>
          <w:szCs w:val="22"/>
          <w:highlight w:val="yellow"/>
        </w:rPr>
      </w:pPr>
    </w:p>
    <w:p w14:paraId="4ECC95C4" w14:textId="77777777" w:rsidR="00843B88" w:rsidRPr="00843B88" w:rsidRDefault="00843B88" w:rsidP="00843B88">
      <w:pPr>
        <w:pStyle w:val="ReferHead"/>
        <w:jc w:val="both"/>
        <w:rPr>
          <w:rFonts w:ascii="Calibri" w:eastAsia="Calibri" w:hAnsi="Calibri"/>
          <w:b w:val="0"/>
          <w:caps w:val="0"/>
          <w:kern w:val="2"/>
          <w:szCs w:val="22"/>
          <w:highlight w:val="yellow"/>
        </w:rPr>
      </w:pPr>
      <w:r w:rsidRPr="00843B88">
        <w:rPr>
          <w:rFonts w:ascii="Calibri" w:eastAsia="Calibri" w:hAnsi="Calibri"/>
          <w:b w:val="0"/>
          <w:caps w:val="0"/>
          <w:kern w:val="2"/>
          <w:szCs w:val="22"/>
          <w:highlight w:val="yellow"/>
        </w:rPr>
        <w:t xml:space="preserve">1. Grammarly: Used for grammar and spellchecking, as well as suggestions for improving sentence structure and overall clarity. </w:t>
      </w:r>
    </w:p>
    <w:p w14:paraId="0D79DCE5" w14:textId="199A54F1" w:rsidR="009977FF" w:rsidRDefault="00843B88" w:rsidP="00843B88">
      <w:pPr>
        <w:pStyle w:val="ReferHead"/>
        <w:spacing w:after="0"/>
        <w:jc w:val="both"/>
        <w:rPr>
          <w:rFonts w:ascii="Arial" w:hAnsi="Arial" w:cs="Arial"/>
          <w:b w:val="0"/>
          <w:caps w:val="0"/>
          <w:sz w:val="20"/>
        </w:rPr>
      </w:pPr>
      <w:r w:rsidRPr="00843B88">
        <w:rPr>
          <w:rFonts w:ascii="Calibri" w:eastAsia="Calibri" w:hAnsi="Calibri"/>
          <w:b w:val="0"/>
          <w:caps w:val="0"/>
          <w:kern w:val="2"/>
          <w:szCs w:val="22"/>
          <w:highlight w:val="yellow"/>
        </w:rPr>
        <w:t xml:space="preserve">2. </w:t>
      </w:r>
      <w:proofErr w:type="spellStart"/>
      <w:r w:rsidRPr="00843B88">
        <w:rPr>
          <w:rFonts w:ascii="Calibri" w:eastAsia="Calibri" w:hAnsi="Calibri"/>
          <w:b w:val="0"/>
          <w:caps w:val="0"/>
          <w:kern w:val="2"/>
          <w:szCs w:val="22"/>
          <w:highlight w:val="yellow"/>
        </w:rPr>
        <w:t>Quillbot</w:t>
      </w:r>
      <w:proofErr w:type="spellEnd"/>
      <w:r w:rsidRPr="00843B88">
        <w:rPr>
          <w:rFonts w:ascii="Calibri" w:eastAsia="Calibri" w:hAnsi="Calibri"/>
          <w:b w:val="0"/>
          <w:caps w:val="0"/>
          <w:kern w:val="2"/>
          <w:szCs w:val="22"/>
          <w:highlight w:val="yellow"/>
        </w:rPr>
        <w:t>: Employed for paraphrasing and refining sentence flow to enhance readability and coherence.</w:t>
      </w:r>
    </w:p>
    <w:p w14:paraId="5CB114C9" w14:textId="77777777" w:rsidR="00B61EAB" w:rsidRDefault="00B61EAB">
      <w:pPr>
        <w:pStyle w:val="ReferHead"/>
        <w:spacing w:after="0"/>
        <w:jc w:val="both"/>
        <w:rPr>
          <w:rFonts w:ascii="Arial" w:hAnsi="Arial" w:cs="Arial"/>
          <w:b w:val="0"/>
          <w:caps w:val="0"/>
          <w:sz w:val="20"/>
        </w:rPr>
      </w:pPr>
    </w:p>
    <w:p w14:paraId="35D6F465" w14:textId="77777777" w:rsidR="006543BB" w:rsidRDefault="006543BB">
      <w:pPr>
        <w:pStyle w:val="ReferHead"/>
        <w:spacing w:after="0"/>
        <w:jc w:val="both"/>
        <w:rPr>
          <w:rFonts w:ascii="Arial" w:hAnsi="Arial" w:cs="Arial"/>
          <w:b w:val="0"/>
          <w:caps w:val="0"/>
          <w:sz w:val="20"/>
        </w:rPr>
      </w:pPr>
    </w:p>
    <w:p w14:paraId="6BABA7FA" w14:textId="7BD25B37" w:rsidR="006543BB" w:rsidRPr="006543BB" w:rsidRDefault="008714D6" w:rsidP="006543BB">
      <w:pPr>
        <w:pStyle w:val="ReferHead"/>
        <w:spacing w:after="0"/>
        <w:jc w:val="both"/>
        <w:rPr>
          <w:rFonts w:ascii="Arial" w:hAnsi="Arial" w:cs="Arial"/>
          <w:sz w:val="20"/>
        </w:rPr>
      </w:pPr>
      <w:r>
        <w:rPr>
          <w:rFonts w:ascii="Arial" w:hAnsi="Arial" w:cs="Arial"/>
          <w:sz w:val="20"/>
        </w:rPr>
        <w:t>References</w:t>
      </w:r>
    </w:p>
    <w:p w14:paraId="61701C53" w14:textId="77777777" w:rsidR="0016553A" w:rsidRPr="00DA7F8A" w:rsidRDefault="0016553A" w:rsidP="0016553A">
      <w:pPr>
        <w:rPr>
          <w:rFonts w:ascii="Arial" w:hAnsi="Arial" w:cs="Arial"/>
          <w:color w:val="222222"/>
          <w:shd w:val="clear" w:color="auto" w:fill="FFFFFF"/>
        </w:rPr>
      </w:pPr>
    </w:p>
    <w:p w14:paraId="24FB8D4C" w14:textId="77777777" w:rsidR="0016553A" w:rsidRPr="00DA7F8A" w:rsidRDefault="0016553A" w:rsidP="0016553A">
      <w:pPr>
        <w:ind w:left="720" w:hanging="720"/>
      </w:pPr>
    </w:p>
    <w:p w14:paraId="68C0BFEE" w14:textId="77777777" w:rsidR="00B61EAB" w:rsidRPr="006B78C1" w:rsidRDefault="00B61EAB" w:rsidP="00B61EAB">
      <w:pPr>
        <w:ind w:left="720" w:hanging="720"/>
        <w:rPr>
          <w:rFonts w:ascii="Arial" w:hAnsi="Arial" w:cs="Arial"/>
          <w:color w:val="000000" w:themeColor="text1"/>
          <w:shd w:val="clear" w:color="auto" w:fill="FFFFFF"/>
        </w:rPr>
      </w:pPr>
    </w:p>
    <w:p w14:paraId="458FEA13" w14:textId="77777777" w:rsidR="00B61EAB" w:rsidRPr="006B78C1" w:rsidRDefault="00B61EAB" w:rsidP="00B61EAB">
      <w:pPr>
        <w:ind w:left="540" w:hanging="540"/>
        <w:rPr>
          <w:rFonts w:ascii="Arial" w:hAnsi="Arial" w:cs="Arial"/>
          <w:color w:val="222222"/>
          <w:shd w:val="clear" w:color="auto" w:fill="FFFFFF"/>
        </w:rPr>
      </w:pPr>
      <w:r w:rsidRPr="006B78C1">
        <w:rPr>
          <w:rFonts w:ascii="Arial" w:hAnsi="Arial" w:cs="Arial"/>
          <w:color w:val="222222"/>
          <w:shd w:val="clear" w:color="auto" w:fill="FFFFFF"/>
        </w:rPr>
        <w:t>Abou Naaj, M., Nachouki, M., &amp; Ankit, A. (2012). Evaluating student satisfaction with blended learning in a gender-segregated environment. </w:t>
      </w:r>
      <w:r w:rsidRPr="006B78C1">
        <w:rPr>
          <w:rFonts w:ascii="Arial" w:hAnsi="Arial" w:cs="Arial"/>
          <w:i/>
          <w:iCs/>
          <w:color w:val="222222"/>
          <w:shd w:val="clear" w:color="auto" w:fill="FFFFFF"/>
        </w:rPr>
        <w:t>Journal of Information Technology Education: Research</w:t>
      </w:r>
      <w:r w:rsidRPr="006B78C1">
        <w:rPr>
          <w:rFonts w:ascii="Arial" w:hAnsi="Arial" w:cs="Arial"/>
          <w:color w:val="222222"/>
          <w:shd w:val="clear" w:color="auto" w:fill="FFFFFF"/>
        </w:rPr>
        <w:t>, </w:t>
      </w:r>
      <w:r w:rsidRPr="006B78C1">
        <w:rPr>
          <w:rFonts w:ascii="Arial" w:hAnsi="Arial" w:cs="Arial"/>
          <w:i/>
          <w:iCs/>
          <w:color w:val="222222"/>
          <w:shd w:val="clear" w:color="auto" w:fill="FFFFFF"/>
        </w:rPr>
        <w:t>11</w:t>
      </w:r>
      <w:r w:rsidRPr="006B78C1">
        <w:rPr>
          <w:rFonts w:ascii="Arial" w:hAnsi="Arial" w:cs="Arial"/>
          <w:color w:val="222222"/>
          <w:shd w:val="clear" w:color="auto" w:fill="FFFFFF"/>
        </w:rPr>
        <w:t>(1), 185-200.</w:t>
      </w:r>
    </w:p>
    <w:p w14:paraId="3D13A1DC" w14:textId="77777777" w:rsidR="00B61EAB" w:rsidRPr="006B78C1" w:rsidRDefault="00B61EAB" w:rsidP="00B61EAB">
      <w:pPr>
        <w:ind w:left="540" w:hanging="540"/>
        <w:rPr>
          <w:rFonts w:ascii="Arial" w:hAnsi="Arial" w:cs="Arial"/>
        </w:rPr>
      </w:pPr>
      <w:r w:rsidRPr="006B78C1">
        <w:rPr>
          <w:rFonts w:ascii="Arial" w:hAnsi="Arial" w:cs="Arial"/>
        </w:rPr>
        <w:lastRenderedPageBreak/>
        <w:t xml:space="preserve">Adams, D., </w:t>
      </w:r>
      <w:proofErr w:type="spellStart"/>
      <w:r w:rsidRPr="006B78C1">
        <w:rPr>
          <w:rFonts w:ascii="Arial" w:hAnsi="Arial" w:cs="Arial"/>
        </w:rPr>
        <w:t>Sumintono</w:t>
      </w:r>
      <w:proofErr w:type="spellEnd"/>
      <w:r w:rsidRPr="006B78C1">
        <w:rPr>
          <w:rFonts w:ascii="Arial" w:hAnsi="Arial" w:cs="Arial"/>
        </w:rPr>
        <w:t>, B., Mohamed, A., &amp; Noor, N. S. M. (2018). E-learning readiness among students of diverse backgrounds in a leading Malaysian higher education institution. </w:t>
      </w:r>
      <w:r w:rsidRPr="006B78C1">
        <w:rPr>
          <w:rFonts w:ascii="Arial" w:hAnsi="Arial" w:cs="Arial"/>
          <w:i/>
          <w:iCs/>
        </w:rPr>
        <w:t>Malaysian Journal of Learning and Instruction</w:t>
      </w:r>
      <w:r w:rsidRPr="006B78C1">
        <w:rPr>
          <w:rFonts w:ascii="Arial" w:hAnsi="Arial" w:cs="Arial"/>
        </w:rPr>
        <w:t>, </w:t>
      </w:r>
      <w:r w:rsidRPr="006B78C1">
        <w:rPr>
          <w:rFonts w:ascii="Arial" w:hAnsi="Arial" w:cs="Arial"/>
          <w:i/>
          <w:iCs/>
        </w:rPr>
        <w:t>15</w:t>
      </w:r>
      <w:r w:rsidRPr="006B78C1">
        <w:rPr>
          <w:rFonts w:ascii="Arial" w:hAnsi="Arial" w:cs="Arial"/>
        </w:rPr>
        <w:t>(2), 227-256.</w:t>
      </w:r>
    </w:p>
    <w:p w14:paraId="35354F49" w14:textId="77777777" w:rsidR="00B61EAB" w:rsidRPr="006B78C1" w:rsidRDefault="00B61EAB" w:rsidP="00B61EAB">
      <w:pPr>
        <w:rPr>
          <w:rFonts w:ascii="Arial" w:hAnsi="Arial" w:cs="Arial"/>
          <w:color w:val="000000" w:themeColor="text1"/>
          <w:shd w:val="clear" w:color="auto" w:fill="FFFFFF"/>
        </w:rPr>
      </w:pPr>
      <w:proofErr w:type="spellStart"/>
      <w:r w:rsidRPr="006B78C1">
        <w:rPr>
          <w:rFonts w:ascii="Arial" w:hAnsi="Arial" w:cs="Arial"/>
          <w:color w:val="000000" w:themeColor="text1"/>
          <w:shd w:val="clear" w:color="auto" w:fill="FFFFFF"/>
        </w:rPr>
        <w:t>Albiladi</w:t>
      </w:r>
      <w:proofErr w:type="spellEnd"/>
      <w:r w:rsidRPr="006B78C1">
        <w:rPr>
          <w:rFonts w:ascii="Arial" w:hAnsi="Arial" w:cs="Arial"/>
          <w:color w:val="000000" w:themeColor="text1"/>
          <w:shd w:val="clear" w:color="auto" w:fill="FFFFFF"/>
        </w:rPr>
        <w:t xml:space="preserve">, W. S., &amp; Alshareef, K. K. (2019). Blended learning in English teaching </w:t>
      </w:r>
    </w:p>
    <w:p w14:paraId="592F7F9B" w14:textId="4C073DCC" w:rsidR="00B61EAB" w:rsidRPr="006B78C1" w:rsidRDefault="00B61EAB" w:rsidP="00B61EAB">
      <w:pPr>
        <w:ind w:left="720"/>
        <w:rPr>
          <w:rFonts w:ascii="Arial" w:hAnsi="Arial" w:cs="Arial"/>
          <w:color w:val="000000" w:themeColor="text1"/>
        </w:rPr>
      </w:pPr>
      <w:r w:rsidRPr="006B78C1">
        <w:rPr>
          <w:rFonts w:ascii="Arial" w:hAnsi="Arial" w:cs="Arial"/>
          <w:color w:val="000000" w:themeColor="text1"/>
          <w:shd w:val="clear" w:color="auto" w:fill="FFFFFF"/>
        </w:rPr>
        <w:t>and implementation of a blended synchronous learning environment. </w:t>
      </w:r>
      <w:r w:rsidRPr="006B78C1">
        <w:rPr>
          <w:rFonts w:ascii="Arial" w:hAnsi="Arial" w:cs="Arial"/>
          <w:i/>
          <w:iCs/>
          <w:color w:val="000000" w:themeColor="text1"/>
          <w:shd w:val="clear" w:color="auto" w:fill="FFFFFF"/>
        </w:rPr>
        <w:t>Australasian Journal of Educational Technology</w:t>
      </w:r>
      <w:r w:rsidRPr="006B78C1">
        <w:rPr>
          <w:rFonts w:ascii="Arial" w:hAnsi="Arial" w:cs="Arial"/>
          <w:color w:val="000000" w:themeColor="text1"/>
          <w:shd w:val="clear" w:color="auto" w:fill="FFFFFF"/>
        </w:rPr>
        <w:t>, </w:t>
      </w:r>
      <w:r w:rsidRPr="006B78C1">
        <w:rPr>
          <w:rFonts w:ascii="Arial" w:hAnsi="Arial" w:cs="Arial"/>
          <w:i/>
          <w:iCs/>
          <w:color w:val="000000" w:themeColor="text1"/>
          <w:shd w:val="clear" w:color="auto" w:fill="FFFFFF"/>
        </w:rPr>
        <w:t>34</w:t>
      </w:r>
      <w:r w:rsidRPr="006B78C1">
        <w:rPr>
          <w:rFonts w:ascii="Arial" w:hAnsi="Arial" w:cs="Arial"/>
          <w:color w:val="000000" w:themeColor="text1"/>
          <w:shd w:val="clear" w:color="auto" w:fill="FFFFFF"/>
        </w:rPr>
        <w:t xml:space="preserve">(1). </w:t>
      </w:r>
    </w:p>
    <w:p w14:paraId="2B8F4ED4" w14:textId="5F63879B" w:rsidR="00B61EAB" w:rsidRPr="006B78C1" w:rsidRDefault="00962DA2" w:rsidP="00962DA2">
      <w:pPr>
        <w:ind w:left="720" w:hanging="720"/>
        <w:rPr>
          <w:rFonts w:ascii="Arial" w:hAnsi="Arial" w:cs="Arial"/>
          <w:color w:val="000000" w:themeColor="text1"/>
          <w:shd w:val="clear" w:color="auto" w:fill="FFFFFF"/>
        </w:rPr>
      </w:pPr>
      <w:r>
        <w:rPr>
          <w:rFonts w:ascii="Arial" w:hAnsi="Arial" w:cs="Arial"/>
          <w:color w:val="222222"/>
          <w:shd w:val="clear" w:color="auto" w:fill="FFFFFF"/>
        </w:rPr>
        <w:t xml:space="preserve">Anthony, B., Kamaludin, A., </w:t>
      </w:r>
      <w:proofErr w:type="spellStart"/>
      <w:r>
        <w:rPr>
          <w:rFonts w:ascii="Arial" w:hAnsi="Arial" w:cs="Arial"/>
          <w:color w:val="222222"/>
          <w:shd w:val="clear" w:color="auto" w:fill="FFFFFF"/>
        </w:rPr>
        <w:t>Romli</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Raffei</w:t>
      </w:r>
      <w:proofErr w:type="spellEnd"/>
      <w:r>
        <w:rPr>
          <w:rFonts w:ascii="Arial" w:hAnsi="Arial" w:cs="Arial"/>
          <w:color w:val="222222"/>
          <w:shd w:val="clear" w:color="auto" w:fill="FFFFFF"/>
        </w:rPr>
        <w:t>, A. F. M., Phon, D. N. A. E., Abdullah, A., &amp; Ming, G. L. (2022). Blended learning adoption and implementation in higher education: A theoretical and systematic review. </w:t>
      </w:r>
      <w:r>
        <w:rPr>
          <w:rFonts w:ascii="Arial" w:hAnsi="Arial" w:cs="Arial"/>
          <w:i/>
          <w:iCs/>
          <w:color w:val="222222"/>
          <w:shd w:val="clear" w:color="auto" w:fill="FFFFFF"/>
        </w:rPr>
        <w:t>Technology, Knowledge and Learning</w:t>
      </w:r>
      <w:r>
        <w:rPr>
          <w:rFonts w:ascii="Arial" w:hAnsi="Arial" w:cs="Arial"/>
          <w:color w:val="222222"/>
          <w:shd w:val="clear" w:color="auto" w:fill="FFFFFF"/>
        </w:rPr>
        <w:t>, 1-48.</w:t>
      </w:r>
    </w:p>
    <w:p w14:paraId="33CFF47B" w14:textId="77777777" w:rsidR="00B61EAB" w:rsidRPr="006B78C1" w:rsidRDefault="00B61EAB" w:rsidP="00B61EAB">
      <w:pPr>
        <w:rPr>
          <w:rFonts w:ascii="Arial" w:hAnsi="Arial" w:cs="Arial"/>
          <w:color w:val="000000" w:themeColor="text1"/>
          <w:shd w:val="clear" w:color="auto" w:fill="FFFFFF"/>
        </w:rPr>
      </w:pPr>
      <w:r w:rsidRPr="006B78C1">
        <w:rPr>
          <w:rFonts w:ascii="Arial" w:hAnsi="Arial" w:cs="Arial"/>
          <w:color w:val="000000" w:themeColor="text1"/>
          <w:shd w:val="clear" w:color="auto" w:fill="FFFFFF"/>
        </w:rPr>
        <w:t xml:space="preserve">Anthonysamy, L., Koo, A. C., &amp; Hew, S. H. (2020). Self-regulated learning </w:t>
      </w:r>
    </w:p>
    <w:p w14:paraId="4BE2E7E0" w14:textId="52AA8676" w:rsidR="00B61EAB" w:rsidRPr="006B78C1" w:rsidRDefault="00B61EAB" w:rsidP="00B61EAB">
      <w:pPr>
        <w:ind w:left="720"/>
        <w:rPr>
          <w:rFonts w:ascii="Arial" w:hAnsi="Arial" w:cs="Arial"/>
          <w:color w:val="000000" w:themeColor="text1"/>
        </w:rPr>
      </w:pPr>
      <w:r w:rsidRPr="006B78C1">
        <w:rPr>
          <w:rFonts w:ascii="Arial" w:hAnsi="Arial" w:cs="Arial"/>
          <w:i/>
          <w:iCs/>
          <w:color w:val="000000" w:themeColor="text1"/>
          <w:shd w:val="clear" w:color="auto" w:fill="FFFFFF"/>
        </w:rPr>
        <w:t>autonomy in a blended learning environment</w:t>
      </w:r>
      <w:r w:rsidRPr="006B78C1">
        <w:rPr>
          <w:rFonts w:ascii="Arial" w:hAnsi="Arial" w:cs="Arial"/>
          <w:color w:val="000000" w:themeColor="text1"/>
          <w:shd w:val="clear" w:color="auto" w:fill="FFFFFF"/>
        </w:rPr>
        <w:t xml:space="preserve"> (Doctoral dissertation, East Tennessee State University). </w:t>
      </w:r>
    </w:p>
    <w:p w14:paraId="5AE66A5E" w14:textId="77777777" w:rsidR="00B61EAB" w:rsidRPr="006B78C1" w:rsidRDefault="00B61EAB" w:rsidP="00B61EAB">
      <w:pPr>
        <w:ind w:left="540" w:hanging="540"/>
        <w:rPr>
          <w:rFonts w:ascii="Arial" w:hAnsi="Arial" w:cs="Arial"/>
        </w:rPr>
      </w:pPr>
      <w:r w:rsidRPr="006B78C1">
        <w:rPr>
          <w:rFonts w:ascii="Arial" w:hAnsi="Arial" w:cs="Arial"/>
        </w:rPr>
        <w:t>Boelens, R., Voet, M., &amp; De Wever, B. (2018). The design of blended learning in response to student diversity in higher education: Instructors’ views and use of differentiated instruction in blended learning. </w:t>
      </w:r>
      <w:r w:rsidRPr="006B78C1">
        <w:rPr>
          <w:rFonts w:ascii="Arial" w:hAnsi="Arial" w:cs="Arial"/>
          <w:i/>
          <w:iCs/>
        </w:rPr>
        <w:t>Computers &amp; Education</w:t>
      </w:r>
      <w:r w:rsidRPr="006B78C1">
        <w:rPr>
          <w:rFonts w:ascii="Arial" w:hAnsi="Arial" w:cs="Arial"/>
        </w:rPr>
        <w:t>, </w:t>
      </w:r>
      <w:r w:rsidRPr="006B78C1">
        <w:rPr>
          <w:rFonts w:ascii="Arial" w:hAnsi="Arial" w:cs="Arial"/>
          <w:i/>
          <w:iCs/>
        </w:rPr>
        <w:t>120</w:t>
      </w:r>
      <w:r w:rsidRPr="006B78C1">
        <w:rPr>
          <w:rFonts w:ascii="Arial" w:hAnsi="Arial" w:cs="Arial"/>
        </w:rPr>
        <w:t>, 197-212.</w:t>
      </w:r>
    </w:p>
    <w:p w14:paraId="548B8ADD" w14:textId="77777777" w:rsidR="00B61EAB" w:rsidRPr="006B78C1" w:rsidRDefault="00B61EAB" w:rsidP="00B61EAB">
      <w:pPr>
        <w:ind w:left="540" w:hanging="540"/>
        <w:rPr>
          <w:rFonts w:ascii="Arial" w:hAnsi="Arial" w:cs="Arial"/>
        </w:rPr>
      </w:pPr>
      <w:r w:rsidRPr="006B78C1">
        <w:rPr>
          <w:rFonts w:ascii="Arial" w:hAnsi="Arial" w:cs="Arial"/>
        </w:rPr>
        <w:t>Broadbent, J. (2017). Comparing online and blended learner's self-regulated learning strategies and academic performance. </w:t>
      </w:r>
      <w:r w:rsidRPr="006B78C1">
        <w:rPr>
          <w:rFonts w:ascii="Arial" w:hAnsi="Arial" w:cs="Arial"/>
          <w:i/>
          <w:iCs/>
        </w:rPr>
        <w:t>The Internet and Higher Education</w:t>
      </w:r>
      <w:r w:rsidRPr="006B78C1">
        <w:rPr>
          <w:rFonts w:ascii="Arial" w:hAnsi="Arial" w:cs="Arial"/>
        </w:rPr>
        <w:t>, </w:t>
      </w:r>
      <w:r w:rsidRPr="006B78C1">
        <w:rPr>
          <w:rFonts w:ascii="Arial" w:hAnsi="Arial" w:cs="Arial"/>
          <w:i/>
          <w:iCs/>
        </w:rPr>
        <w:t>33</w:t>
      </w:r>
      <w:r w:rsidRPr="006B78C1">
        <w:rPr>
          <w:rFonts w:ascii="Arial" w:hAnsi="Arial" w:cs="Arial"/>
        </w:rPr>
        <w:t>, 24-32.</w:t>
      </w:r>
    </w:p>
    <w:p w14:paraId="085B1DA6" w14:textId="1907D488" w:rsidR="00B61EAB" w:rsidRPr="006B78C1" w:rsidRDefault="00B61EAB" w:rsidP="00B61EAB">
      <w:pPr>
        <w:ind w:left="540" w:hanging="540"/>
        <w:rPr>
          <w:rFonts w:ascii="Arial" w:hAnsi="Arial" w:cs="Arial"/>
        </w:rPr>
      </w:pPr>
      <w:proofErr w:type="spellStart"/>
      <w:r w:rsidRPr="006B78C1">
        <w:rPr>
          <w:rFonts w:ascii="Arial" w:hAnsi="Arial" w:cs="Arial"/>
        </w:rPr>
        <w:t>Buonsenso</w:t>
      </w:r>
      <w:proofErr w:type="spellEnd"/>
      <w:r w:rsidRPr="006B78C1">
        <w:rPr>
          <w:rFonts w:ascii="Arial" w:hAnsi="Arial" w:cs="Arial"/>
        </w:rPr>
        <w:t xml:space="preserve">, D., Roland, D., De Rose, C., Vásquez-Hoyos, P., </w:t>
      </w:r>
      <w:proofErr w:type="spellStart"/>
      <w:r w:rsidRPr="006B78C1">
        <w:rPr>
          <w:rFonts w:ascii="Arial" w:hAnsi="Arial" w:cs="Arial"/>
        </w:rPr>
        <w:t>Ramly</w:t>
      </w:r>
      <w:proofErr w:type="spellEnd"/>
      <w:r w:rsidRPr="006B78C1">
        <w:rPr>
          <w:rFonts w:ascii="Arial" w:hAnsi="Arial" w:cs="Arial"/>
        </w:rPr>
        <w:t xml:space="preserve">, B., </w:t>
      </w:r>
      <w:proofErr w:type="spellStart"/>
      <w:r w:rsidRPr="006B78C1">
        <w:rPr>
          <w:rFonts w:ascii="Arial" w:hAnsi="Arial" w:cs="Arial"/>
        </w:rPr>
        <w:t>Chakakala-Chaziya</w:t>
      </w:r>
      <w:proofErr w:type="spellEnd"/>
      <w:r w:rsidRPr="006B78C1">
        <w:rPr>
          <w:rFonts w:ascii="Arial" w:hAnsi="Arial" w:cs="Arial"/>
        </w:rPr>
        <w:t xml:space="preserve">, J. N., ... &amp; González-Dambrauskas, S. (2021). </w:t>
      </w:r>
    </w:p>
    <w:p w14:paraId="2A8D2938" w14:textId="77777777" w:rsidR="00B61EAB" w:rsidRPr="006B78C1" w:rsidRDefault="00B61EAB" w:rsidP="00B61EAB">
      <w:pPr>
        <w:ind w:left="540" w:hanging="540"/>
        <w:rPr>
          <w:rFonts w:ascii="Arial" w:hAnsi="Arial" w:cs="Arial"/>
        </w:rPr>
      </w:pPr>
      <w:r w:rsidRPr="006B78C1">
        <w:rPr>
          <w:rFonts w:ascii="Arial" w:hAnsi="Arial" w:cs="Arial"/>
        </w:rPr>
        <w:t xml:space="preserve">Chin, C. K., Munip, H., </w:t>
      </w:r>
      <w:proofErr w:type="spellStart"/>
      <w:r w:rsidRPr="006B78C1">
        <w:rPr>
          <w:rFonts w:ascii="Arial" w:hAnsi="Arial" w:cs="Arial"/>
        </w:rPr>
        <w:t>Miyadera</w:t>
      </w:r>
      <w:proofErr w:type="spellEnd"/>
      <w:r w:rsidRPr="006B78C1">
        <w:rPr>
          <w:rFonts w:ascii="Arial" w:hAnsi="Arial" w:cs="Arial"/>
        </w:rPr>
        <w:t xml:space="preserve">, R., Thoe, N. K., Ch’ng, Y. S., &amp; </w:t>
      </w:r>
      <w:proofErr w:type="spellStart"/>
      <w:r w:rsidRPr="006B78C1">
        <w:rPr>
          <w:rFonts w:ascii="Arial" w:hAnsi="Arial" w:cs="Arial"/>
        </w:rPr>
        <w:t>Promsing</w:t>
      </w:r>
      <w:proofErr w:type="spellEnd"/>
      <w:r w:rsidRPr="006B78C1">
        <w:rPr>
          <w:rFonts w:ascii="Arial" w:hAnsi="Arial" w:cs="Arial"/>
        </w:rPr>
        <w:t>, N. (2018). Promoting education for sustainable development in teacher education integrating blended learning and digital tools: An evaluation with exemplary cases. </w:t>
      </w:r>
      <w:r w:rsidRPr="006B78C1">
        <w:rPr>
          <w:rFonts w:ascii="Arial" w:hAnsi="Arial" w:cs="Arial"/>
          <w:i/>
          <w:iCs/>
        </w:rPr>
        <w:t>Eurasia Journal of Mathematics, Science and Technology Education</w:t>
      </w:r>
      <w:r w:rsidRPr="006B78C1">
        <w:rPr>
          <w:rFonts w:ascii="Arial" w:hAnsi="Arial" w:cs="Arial"/>
        </w:rPr>
        <w:t>, </w:t>
      </w:r>
      <w:r w:rsidRPr="006B78C1">
        <w:rPr>
          <w:rFonts w:ascii="Arial" w:hAnsi="Arial" w:cs="Arial"/>
          <w:i/>
          <w:iCs/>
        </w:rPr>
        <w:t>15</w:t>
      </w:r>
      <w:r w:rsidRPr="006B78C1">
        <w:rPr>
          <w:rFonts w:ascii="Arial" w:hAnsi="Arial" w:cs="Arial"/>
        </w:rPr>
        <w:t>(1), em1653.</w:t>
      </w:r>
    </w:p>
    <w:p w14:paraId="43D0B2B5" w14:textId="77777777" w:rsidR="00962DA2" w:rsidRDefault="00962DA2" w:rsidP="00B61EAB">
      <w:pPr>
        <w:ind w:left="720" w:hanging="720"/>
        <w:rPr>
          <w:rFonts w:ascii="Arial" w:hAnsi="Arial" w:cs="Arial"/>
          <w:color w:val="222222"/>
          <w:shd w:val="clear" w:color="auto" w:fill="FFFFFF"/>
        </w:rPr>
      </w:pPr>
      <w:r>
        <w:rPr>
          <w:rFonts w:ascii="Arial" w:hAnsi="Arial" w:cs="Arial"/>
          <w:color w:val="222222"/>
          <w:shd w:val="clear" w:color="auto" w:fill="FFFFFF"/>
        </w:rPr>
        <w:t xml:space="preserve">Diep, A. N., Zhu, C., </w:t>
      </w:r>
      <w:proofErr w:type="spellStart"/>
      <w:r>
        <w:rPr>
          <w:rFonts w:ascii="Arial" w:hAnsi="Arial" w:cs="Arial"/>
          <w:color w:val="222222"/>
          <w:shd w:val="clear" w:color="auto" w:fill="FFFFFF"/>
        </w:rPr>
        <w:t>Struyven</w:t>
      </w:r>
      <w:proofErr w:type="spellEnd"/>
      <w:r>
        <w:rPr>
          <w:rFonts w:ascii="Arial" w:hAnsi="Arial" w:cs="Arial"/>
          <w:color w:val="222222"/>
          <w:shd w:val="clear" w:color="auto" w:fill="FFFFFF"/>
        </w:rPr>
        <w:t xml:space="preserve">, K., &amp; Blieck, Y. (2017). Who or what contributes to student satisfaction in different blended learning </w:t>
      </w:r>
      <w:proofErr w:type="gramStart"/>
      <w:r>
        <w:rPr>
          <w:rFonts w:ascii="Arial" w:hAnsi="Arial" w:cs="Arial"/>
          <w:color w:val="222222"/>
          <w:shd w:val="clear" w:color="auto" w:fill="FFFFFF"/>
        </w:rPr>
        <w:t>modalities?.</w:t>
      </w:r>
      <w:proofErr w:type="gramEnd"/>
      <w:r>
        <w:rPr>
          <w:rFonts w:ascii="Arial" w:hAnsi="Arial" w:cs="Arial"/>
          <w:color w:val="222222"/>
          <w:shd w:val="clear" w:color="auto" w:fill="FFFFFF"/>
        </w:rPr>
        <w:t> </w:t>
      </w:r>
      <w:r>
        <w:rPr>
          <w:rFonts w:ascii="Arial" w:hAnsi="Arial" w:cs="Arial"/>
          <w:i/>
          <w:iCs/>
          <w:color w:val="222222"/>
          <w:shd w:val="clear" w:color="auto" w:fill="FFFFFF"/>
        </w:rPr>
        <w:t>British Journal of Educational Technology</w:t>
      </w:r>
      <w:r>
        <w:rPr>
          <w:rFonts w:ascii="Arial" w:hAnsi="Arial" w:cs="Arial"/>
          <w:color w:val="222222"/>
          <w:shd w:val="clear" w:color="auto" w:fill="FFFFFF"/>
        </w:rPr>
        <w:t>, </w:t>
      </w:r>
      <w:r>
        <w:rPr>
          <w:rFonts w:ascii="Arial" w:hAnsi="Arial" w:cs="Arial"/>
          <w:i/>
          <w:iCs/>
          <w:color w:val="222222"/>
          <w:shd w:val="clear" w:color="auto" w:fill="FFFFFF"/>
        </w:rPr>
        <w:t>48</w:t>
      </w:r>
      <w:r>
        <w:rPr>
          <w:rFonts w:ascii="Arial" w:hAnsi="Arial" w:cs="Arial"/>
          <w:color w:val="222222"/>
          <w:shd w:val="clear" w:color="auto" w:fill="FFFFFF"/>
        </w:rPr>
        <w:t>(2), 473-489.</w:t>
      </w:r>
    </w:p>
    <w:p w14:paraId="25BF0D2B" w14:textId="49902BCD" w:rsidR="00B61EAB" w:rsidRPr="006B78C1" w:rsidRDefault="00B61EAB" w:rsidP="00B61EAB">
      <w:pPr>
        <w:ind w:left="720" w:hanging="720"/>
        <w:rPr>
          <w:rFonts w:ascii="Arial" w:hAnsi="Arial" w:cs="Arial"/>
        </w:rPr>
      </w:pPr>
      <w:r w:rsidRPr="006B78C1">
        <w:rPr>
          <w:rFonts w:ascii="Arial" w:hAnsi="Arial" w:cs="Arial"/>
          <w:color w:val="000000" w:themeColor="text1"/>
          <w:shd w:val="clear" w:color="auto" w:fill="FFFFFF"/>
        </w:rPr>
        <w:t xml:space="preserve">Dragon, K. L. (2017). Exploring Undergraduate Students’ Perceptions of Teaching and Satisfaction in Blended Learning. </w:t>
      </w:r>
    </w:p>
    <w:p w14:paraId="2D68ED3C" w14:textId="77777777" w:rsidR="00B61EAB" w:rsidRPr="006B78C1" w:rsidRDefault="00B61EAB" w:rsidP="00B61EAB">
      <w:pPr>
        <w:rPr>
          <w:rFonts w:ascii="Arial" w:hAnsi="Arial" w:cs="Arial"/>
          <w:color w:val="000000" w:themeColor="text1"/>
          <w:shd w:val="clear" w:color="auto" w:fill="FFFFFF"/>
        </w:rPr>
      </w:pPr>
      <w:r w:rsidRPr="006B78C1">
        <w:rPr>
          <w:rFonts w:ascii="Arial" w:hAnsi="Arial" w:cs="Arial"/>
          <w:color w:val="000000" w:themeColor="text1"/>
          <w:shd w:val="clear" w:color="auto" w:fill="FFFFFF"/>
        </w:rPr>
        <w:t xml:space="preserve">Emelyanova, N., &amp; Voronina, E. (2017). Introducing blended learning in the </w:t>
      </w:r>
    </w:p>
    <w:p w14:paraId="2D61DCA2" w14:textId="0DEC197F" w:rsidR="00B61EAB" w:rsidRPr="006B78C1" w:rsidRDefault="00B61EAB" w:rsidP="00B61EAB">
      <w:pPr>
        <w:ind w:left="720"/>
        <w:rPr>
          <w:rFonts w:ascii="Arial" w:hAnsi="Arial" w:cs="Arial"/>
          <w:color w:val="000000" w:themeColor="text1"/>
          <w:shd w:val="clear" w:color="auto" w:fill="FFFFFF"/>
        </w:rPr>
      </w:pPr>
      <w:r w:rsidRPr="006B78C1">
        <w:rPr>
          <w:rFonts w:ascii="Arial" w:hAnsi="Arial" w:cs="Arial"/>
          <w:color w:val="000000" w:themeColor="text1"/>
          <w:shd w:val="clear" w:color="auto" w:fill="FFFFFF"/>
        </w:rPr>
        <w:t>English language classroom: Students’ attitudes and perceptions before and after the course. </w:t>
      </w:r>
      <w:r w:rsidRPr="006B78C1">
        <w:rPr>
          <w:rFonts w:ascii="Arial" w:hAnsi="Arial" w:cs="Arial"/>
          <w:i/>
          <w:iCs/>
          <w:color w:val="000000" w:themeColor="text1"/>
          <w:shd w:val="clear" w:color="auto" w:fill="FFFFFF"/>
        </w:rPr>
        <w:t>Knowledge Management &amp; E-Learning</w:t>
      </w:r>
      <w:r w:rsidRPr="006B78C1">
        <w:rPr>
          <w:rFonts w:ascii="Arial" w:hAnsi="Arial" w:cs="Arial"/>
          <w:color w:val="000000" w:themeColor="text1"/>
          <w:shd w:val="clear" w:color="auto" w:fill="FFFFFF"/>
        </w:rPr>
        <w:t>, </w:t>
      </w:r>
      <w:r w:rsidRPr="006B78C1">
        <w:rPr>
          <w:rFonts w:ascii="Arial" w:hAnsi="Arial" w:cs="Arial"/>
          <w:i/>
          <w:iCs/>
          <w:color w:val="000000" w:themeColor="text1"/>
          <w:shd w:val="clear" w:color="auto" w:fill="FFFFFF"/>
        </w:rPr>
        <w:t>9</w:t>
      </w:r>
      <w:r w:rsidRPr="006B78C1">
        <w:rPr>
          <w:rFonts w:ascii="Arial" w:hAnsi="Arial" w:cs="Arial"/>
          <w:color w:val="000000" w:themeColor="text1"/>
          <w:shd w:val="clear" w:color="auto" w:fill="FFFFFF"/>
        </w:rPr>
        <w:t xml:space="preserve">(1), 33. </w:t>
      </w:r>
    </w:p>
    <w:p w14:paraId="7B8F630B" w14:textId="77777777" w:rsidR="00B61EAB" w:rsidRPr="006B78C1" w:rsidRDefault="00B61EAB" w:rsidP="00B61EAB">
      <w:pPr>
        <w:ind w:left="540" w:hanging="540"/>
        <w:rPr>
          <w:rFonts w:ascii="Arial" w:hAnsi="Arial" w:cs="Arial"/>
        </w:rPr>
      </w:pPr>
      <w:r w:rsidRPr="006B78C1">
        <w:rPr>
          <w:rFonts w:ascii="Arial" w:hAnsi="Arial" w:cs="Arial"/>
        </w:rPr>
        <w:t xml:space="preserve">Esposito, S., &amp; Principi, N. (2020). School closure during the coronavirus disease 2019 (COVID-19) pandemic: an effective intervention at the global </w:t>
      </w:r>
      <w:proofErr w:type="gramStart"/>
      <w:r w:rsidRPr="006B78C1">
        <w:rPr>
          <w:rFonts w:ascii="Arial" w:hAnsi="Arial" w:cs="Arial"/>
        </w:rPr>
        <w:t>level?.</w:t>
      </w:r>
      <w:proofErr w:type="gramEnd"/>
      <w:r w:rsidRPr="006B78C1">
        <w:rPr>
          <w:rFonts w:ascii="Arial" w:hAnsi="Arial" w:cs="Arial"/>
        </w:rPr>
        <w:t> </w:t>
      </w:r>
      <w:r w:rsidRPr="006B78C1">
        <w:rPr>
          <w:rFonts w:ascii="Arial" w:hAnsi="Arial" w:cs="Arial"/>
          <w:i/>
          <w:iCs/>
        </w:rPr>
        <w:t>JAMA pediatrics</w:t>
      </w:r>
      <w:r w:rsidRPr="006B78C1">
        <w:rPr>
          <w:rFonts w:ascii="Arial" w:hAnsi="Arial" w:cs="Arial"/>
        </w:rPr>
        <w:t>, </w:t>
      </w:r>
      <w:r w:rsidRPr="006B78C1">
        <w:rPr>
          <w:rFonts w:ascii="Arial" w:hAnsi="Arial" w:cs="Arial"/>
          <w:i/>
          <w:iCs/>
        </w:rPr>
        <w:t>174</w:t>
      </w:r>
      <w:r w:rsidRPr="006B78C1">
        <w:rPr>
          <w:rFonts w:ascii="Arial" w:hAnsi="Arial" w:cs="Arial"/>
        </w:rPr>
        <w:t>(10), 921-922.</w:t>
      </w:r>
    </w:p>
    <w:p w14:paraId="593AB953" w14:textId="77777777" w:rsidR="00B61EAB" w:rsidRPr="006B78C1" w:rsidRDefault="00B61EAB" w:rsidP="00B61EAB">
      <w:pPr>
        <w:rPr>
          <w:rFonts w:ascii="Arial" w:hAnsi="Arial" w:cs="Arial"/>
          <w:i/>
          <w:iCs/>
          <w:color w:val="000000" w:themeColor="text1"/>
          <w:shd w:val="clear" w:color="auto" w:fill="FFFFFF"/>
        </w:rPr>
      </w:pPr>
      <w:r w:rsidRPr="006B78C1">
        <w:rPr>
          <w:rFonts w:ascii="Arial" w:hAnsi="Arial" w:cs="Arial"/>
          <w:color w:val="000000" w:themeColor="text1"/>
          <w:shd w:val="clear" w:color="auto" w:fill="FFFFFF"/>
        </w:rPr>
        <w:t>Fisher, D., &amp; Frey, N. (2021). </w:t>
      </w:r>
      <w:r w:rsidRPr="006B78C1">
        <w:rPr>
          <w:rFonts w:ascii="Arial" w:hAnsi="Arial" w:cs="Arial"/>
          <w:i/>
          <w:iCs/>
          <w:color w:val="000000" w:themeColor="text1"/>
          <w:shd w:val="clear" w:color="auto" w:fill="FFFFFF"/>
        </w:rPr>
        <w:t xml:space="preserve">Better learning through structured teaching: A </w:t>
      </w:r>
    </w:p>
    <w:p w14:paraId="3CE487C2" w14:textId="720D9CFE" w:rsidR="00B61EAB" w:rsidRPr="006B78C1" w:rsidRDefault="00B61EAB" w:rsidP="00B61EAB">
      <w:pPr>
        <w:ind w:left="720"/>
        <w:rPr>
          <w:rFonts w:ascii="Arial" w:hAnsi="Arial" w:cs="Arial"/>
          <w:color w:val="000000" w:themeColor="text1"/>
          <w:shd w:val="clear" w:color="auto" w:fill="FFFFFF"/>
        </w:rPr>
      </w:pPr>
      <w:r w:rsidRPr="006B78C1">
        <w:rPr>
          <w:rFonts w:ascii="Arial" w:hAnsi="Arial" w:cs="Arial"/>
          <w:i/>
          <w:iCs/>
          <w:color w:val="000000" w:themeColor="text1"/>
          <w:shd w:val="clear" w:color="auto" w:fill="FFFFFF"/>
        </w:rPr>
        <w:t>framework for the gradual release of responsibility</w:t>
      </w:r>
      <w:r w:rsidRPr="006B78C1">
        <w:rPr>
          <w:rFonts w:ascii="Arial" w:hAnsi="Arial" w:cs="Arial"/>
          <w:color w:val="000000" w:themeColor="text1"/>
          <w:shd w:val="clear" w:color="auto" w:fill="FFFFFF"/>
        </w:rPr>
        <w:t xml:space="preserve">. ASCD. </w:t>
      </w:r>
    </w:p>
    <w:p w14:paraId="2638F8D1" w14:textId="3DF6A627" w:rsidR="00B61EAB" w:rsidRPr="006B78C1" w:rsidRDefault="00B61EAB" w:rsidP="00B61EAB">
      <w:pPr>
        <w:ind w:left="720" w:hanging="720"/>
        <w:rPr>
          <w:rFonts w:ascii="Arial" w:hAnsi="Arial" w:cs="Arial"/>
          <w:color w:val="000000" w:themeColor="text1"/>
          <w:shd w:val="clear" w:color="auto" w:fill="FFFFFF"/>
        </w:rPr>
      </w:pPr>
      <w:r w:rsidRPr="006B78C1">
        <w:rPr>
          <w:rFonts w:ascii="Arial" w:hAnsi="Arial" w:cs="Arial"/>
          <w:color w:val="000000" w:themeColor="text1"/>
          <w:shd w:val="clear" w:color="auto" w:fill="FFFFFF"/>
        </w:rPr>
        <w:t xml:space="preserve">Friesen, N. (2012). Report: defining blended learning. August 2012. </w:t>
      </w:r>
    </w:p>
    <w:p w14:paraId="72AE2D82" w14:textId="77777777" w:rsidR="00B61EAB" w:rsidRPr="006B78C1" w:rsidRDefault="00B61EAB" w:rsidP="00B61EAB">
      <w:pPr>
        <w:rPr>
          <w:rFonts w:ascii="Arial" w:hAnsi="Arial" w:cs="Arial"/>
          <w:color w:val="000000" w:themeColor="text1"/>
          <w:shd w:val="clear" w:color="auto" w:fill="FFFFFF"/>
        </w:rPr>
      </w:pPr>
      <w:r w:rsidRPr="006B78C1">
        <w:rPr>
          <w:rFonts w:ascii="Arial" w:hAnsi="Arial" w:cs="Arial"/>
          <w:color w:val="000000" w:themeColor="text1"/>
          <w:shd w:val="clear" w:color="auto" w:fill="FFFFFF"/>
        </w:rPr>
        <w:t xml:space="preserve">Geng, S., Law, K. M., &amp; Niu, B. (2019). Investigating self-directed learning and </w:t>
      </w:r>
    </w:p>
    <w:p w14:paraId="1F14CE49" w14:textId="77777777" w:rsidR="00B61EAB" w:rsidRPr="006B78C1" w:rsidRDefault="00B61EAB" w:rsidP="00B61EAB">
      <w:pPr>
        <w:ind w:left="720" w:hanging="720"/>
        <w:rPr>
          <w:rFonts w:ascii="Arial" w:hAnsi="Arial" w:cs="Arial"/>
          <w:color w:val="000000" w:themeColor="text1"/>
        </w:rPr>
      </w:pPr>
      <w:proofErr w:type="spellStart"/>
      <w:r w:rsidRPr="006B78C1">
        <w:rPr>
          <w:rFonts w:ascii="Arial" w:hAnsi="Arial" w:cs="Arial"/>
          <w:color w:val="222222"/>
          <w:shd w:val="clear" w:color="auto" w:fill="FFFFFF"/>
        </w:rPr>
        <w:t>Ghanad</w:t>
      </w:r>
      <w:proofErr w:type="spellEnd"/>
      <w:r w:rsidRPr="006B78C1">
        <w:rPr>
          <w:rFonts w:ascii="Arial" w:hAnsi="Arial" w:cs="Arial"/>
          <w:color w:val="222222"/>
          <w:shd w:val="clear" w:color="auto" w:fill="FFFFFF"/>
        </w:rPr>
        <w:t>, A. (2023). An overview of quantitative research methods. </w:t>
      </w:r>
      <w:r w:rsidRPr="006B78C1">
        <w:rPr>
          <w:rFonts w:ascii="Arial" w:hAnsi="Arial" w:cs="Arial"/>
          <w:i/>
          <w:iCs/>
          <w:color w:val="222222"/>
          <w:shd w:val="clear" w:color="auto" w:fill="FFFFFF"/>
        </w:rPr>
        <w:t>International journal of multidisciplinary research and analysis</w:t>
      </w:r>
      <w:r w:rsidRPr="006B78C1">
        <w:rPr>
          <w:rFonts w:ascii="Arial" w:hAnsi="Arial" w:cs="Arial"/>
          <w:color w:val="222222"/>
          <w:shd w:val="clear" w:color="auto" w:fill="FFFFFF"/>
        </w:rPr>
        <w:t>, </w:t>
      </w:r>
      <w:r w:rsidRPr="006B78C1">
        <w:rPr>
          <w:rFonts w:ascii="Arial" w:hAnsi="Arial" w:cs="Arial"/>
          <w:i/>
          <w:iCs/>
          <w:color w:val="222222"/>
          <w:shd w:val="clear" w:color="auto" w:fill="FFFFFF"/>
        </w:rPr>
        <w:t>6</w:t>
      </w:r>
      <w:r w:rsidRPr="006B78C1">
        <w:rPr>
          <w:rFonts w:ascii="Arial" w:hAnsi="Arial" w:cs="Arial"/>
          <w:color w:val="222222"/>
          <w:shd w:val="clear" w:color="auto" w:fill="FFFFFF"/>
        </w:rPr>
        <w:t>(08), 3794-3803.</w:t>
      </w:r>
    </w:p>
    <w:p w14:paraId="7C3A9C4F" w14:textId="77777777" w:rsidR="00B61EAB" w:rsidRPr="006B78C1" w:rsidRDefault="00B61EAB" w:rsidP="00B61EAB">
      <w:pPr>
        <w:ind w:left="720" w:hanging="720"/>
        <w:rPr>
          <w:rFonts w:ascii="Arial" w:hAnsi="Arial" w:cs="Arial"/>
          <w:color w:val="000000" w:themeColor="text1"/>
        </w:rPr>
      </w:pPr>
      <w:r w:rsidRPr="006B78C1">
        <w:rPr>
          <w:rFonts w:ascii="Arial" w:hAnsi="Arial" w:cs="Arial"/>
          <w:color w:val="000000" w:themeColor="text1"/>
        </w:rPr>
        <w:t xml:space="preserve">Graham, M. (2016). Blended learning: A way to engage undergraduate students in learning epidemiology and </w:t>
      </w:r>
      <w:proofErr w:type="gramStart"/>
      <w:r w:rsidRPr="006B78C1">
        <w:rPr>
          <w:rFonts w:ascii="Arial" w:hAnsi="Arial" w:cs="Arial"/>
          <w:color w:val="000000" w:themeColor="text1"/>
        </w:rPr>
        <w:t>biostatistics?.</w:t>
      </w:r>
      <w:proofErr w:type="gramEnd"/>
      <w:r w:rsidRPr="006B78C1">
        <w:rPr>
          <w:rFonts w:ascii="Arial" w:hAnsi="Arial" w:cs="Arial"/>
          <w:color w:val="000000" w:themeColor="text1"/>
        </w:rPr>
        <w:t xml:space="preserve"> </w:t>
      </w:r>
      <w:r w:rsidRPr="006B78C1">
        <w:rPr>
          <w:rFonts w:ascii="Arial" w:hAnsi="Arial" w:cs="Arial"/>
          <w:i/>
          <w:iCs/>
          <w:color w:val="000000" w:themeColor="text1"/>
        </w:rPr>
        <w:t>Australasian Epidemiologist</w:t>
      </w:r>
      <w:r w:rsidRPr="006B78C1">
        <w:rPr>
          <w:rFonts w:ascii="Arial" w:hAnsi="Arial" w:cs="Arial"/>
          <w:color w:val="000000" w:themeColor="text1"/>
        </w:rPr>
        <w:t>, 23(1), 16-19.</w:t>
      </w:r>
    </w:p>
    <w:p w14:paraId="6F8B8213" w14:textId="548F9A6A" w:rsidR="00B61EAB" w:rsidRPr="00962DA2" w:rsidRDefault="00962DA2" w:rsidP="00962DA2">
      <w:pPr>
        <w:ind w:left="720" w:hanging="720"/>
        <w:rPr>
          <w:rFonts w:ascii="Arial" w:hAnsi="Arial" w:cs="Arial"/>
          <w:color w:val="222222"/>
          <w:shd w:val="clear" w:color="auto" w:fill="FFFFFF"/>
        </w:rPr>
      </w:pPr>
      <w:r>
        <w:rPr>
          <w:rFonts w:ascii="Arial" w:hAnsi="Arial" w:cs="Arial"/>
          <w:color w:val="222222"/>
          <w:shd w:val="clear" w:color="auto" w:fill="FFFFFF"/>
        </w:rPr>
        <w:t>Halverson, L. R., &amp; Graham, C. R. (2019). Learner engagement in blended learning environments: A conceptual framework. </w:t>
      </w:r>
      <w:r>
        <w:rPr>
          <w:rFonts w:ascii="Arial" w:hAnsi="Arial" w:cs="Arial"/>
          <w:i/>
          <w:iCs/>
          <w:color w:val="222222"/>
          <w:shd w:val="clear" w:color="auto" w:fill="FFFFFF"/>
        </w:rPr>
        <w:t>Online learning</w:t>
      </w:r>
      <w:r>
        <w:rPr>
          <w:rFonts w:ascii="Arial" w:hAnsi="Arial" w:cs="Arial"/>
          <w:color w:val="222222"/>
          <w:shd w:val="clear" w:color="auto" w:fill="FFFFFF"/>
        </w:rPr>
        <w:t>, </w:t>
      </w:r>
      <w:r>
        <w:rPr>
          <w:rFonts w:ascii="Arial" w:hAnsi="Arial" w:cs="Arial"/>
          <w:i/>
          <w:iCs/>
          <w:color w:val="222222"/>
          <w:shd w:val="clear" w:color="auto" w:fill="FFFFFF"/>
        </w:rPr>
        <w:t>23</w:t>
      </w:r>
      <w:r>
        <w:rPr>
          <w:rFonts w:ascii="Arial" w:hAnsi="Arial" w:cs="Arial"/>
          <w:color w:val="222222"/>
          <w:shd w:val="clear" w:color="auto" w:fill="FFFFFF"/>
        </w:rPr>
        <w:t>(2), 145-178.</w:t>
      </w:r>
      <w:r w:rsidR="00B61EAB" w:rsidRPr="006B78C1">
        <w:rPr>
          <w:rFonts w:ascii="Arial" w:hAnsi="Arial" w:cs="Arial"/>
          <w:color w:val="000000" w:themeColor="text1"/>
          <w:shd w:val="clear" w:color="auto" w:fill="FFFFFF"/>
        </w:rPr>
        <w:t xml:space="preserve"> </w:t>
      </w:r>
    </w:p>
    <w:p w14:paraId="1C44BA6E" w14:textId="77777777" w:rsidR="00962DA2" w:rsidRDefault="00962DA2" w:rsidP="00962DA2">
      <w:pPr>
        <w:ind w:left="720" w:hanging="720"/>
        <w:rPr>
          <w:rFonts w:ascii="Arial" w:hAnsi="Arial" w:cs="Arial"/>
          <w:color w:val="222222"/>
          <w:shd w:val="clear" w:color="auto" w:fill="FFFFFF"/>
        </w:rPr>
      </w:pPr>
      <w:r>
        <w:rPr>
          <w:rFonts w:ascii="Arial" w:hAnsi="Arial" w:cs="Arial"/>
          <w:color w:val="222222"/>
          <w:shd w:val="clear" w:color="auto" w:fill="FFFFFF"/>
        </w:rPr>
        <w:t>Ho, I. M. K., Cheong, K. Y., &amp; Weldon, A. (2021). Predicting student satisfaction of emergency remote learning in higher education during COVID-19 using machine learning techniques. </w:t>
      </w:r>
      <w:proofErr w:type="spellStart"/>
      <w:r>
        <w:rPr>
          <w:rFonts w:ascii="Arial" w:hAnsi="Arial" w:cs="Arial"/>
          <w:i/>
          <w:iCs/>
          <w:color w:val="222222"/>
          <w:shd w:val="clear" w:color="auto" w:fill="FFFFFF"/>
        </w:rPr>
        <w:t>Plos</w:t>
      </w:r>
      <w:proofErr w:type="spellEnd"/>
      <w:r>
        <w:rPr>
          <w:rFonts w:ascii="Arial" w:hAnsi="Arial" w:cs="Arial"/>
          <w:i/>
          <w:iCs/>
          <w:color w:val="222222"/>
          <w:shd w:val="clear" w:color="auto" w:fill="FFFFFF"/>
        </w:rPr>
        <w:t xml:space="preserve"> one</w:t>
      </w:r>
      <w:r>
        <w:rPr>
          <w:rFonts w:ascii="Arial" w:hAnsi="Arial" w:cs="Arial"/>
          <w:color w:val="222222"/>
          <w:shd w:val="clear" w:color="auto" w:fill="FFFFFF"/>
        </w:rPr>
        <w:t>, </w:t>
      </w:r>
      <w:r>
        <w:rPr>
          <w:rFonts w:ascii="Arial" w:hAnsi="Arial" w:cs="Arial"/>
          <w:i/>
          <w:iCs/>
          <w:color w:val="222222"/>
          <w:shd w:val="clear" w:color="auto" w:fill="FFFFFF"/>
        </w:rPr>
        <w:t>16</w:t>
      </w:r>
      <w:r>
        <w:rPr>
          <w:rFonts w:ascii="Arial" w:hAnsi="Arial" w:cs="Arial"/>
          <w:color w:val="222222"/>
          <w:shd w:val="clear" w:color="auto" w:fill="FFFFFF"/>
        </w:rPr>
        <w:t>(4), e0249423.</w:t>
      </w:r>
    </w:p>
    <w:p w14:paraId="6CEEE3B2" w14:textId="77777777" w:rsidR="00962DA2" w:rsidRDefault="00962DA2" w:rsidP="00962DA2">
      <w:pPr>
        <w:ind w:left="720" w:hanging="720"/>
        <w:rPr>
          <w:rFonts w:ascii="Arial" w:hAnsi="Arial" w:cs="Arial"/>
          <w:color w:val="222222"/>
          <w:shd w:val="clear" w:color="auto" w:fill="FFFFFF"/>
        </w:rPr>
      </w:pPr>
      <w:r>
        <w:rPr>
          <w:rFonts w:ascii="Arial" w:hAnsi="Arial" w:cs="Arial"/>
          <w:color w:val="222222"/>
          <w:shd w:val="clear" w:color="auto" w:fill="FFFFFF"/>
        </w:rPr>
        <w:t>Chung, H. Q., Chen, V., &amp; Olson, C. B. (2021). The impact of self-assessment, planning and goal setting, and reflection before and after revision on student self-efficacy and writing performance. </w:t>
      </w:r>
      <w:r>
        <w:rPr>
          <w:rFonts w:ascii="Arial" w:hAnsi="Arial" w:cs="Arial"/>
          <w:i/>
          <w:iCs/>
          <w:color w:val="222222"/>
          <w:shd w:val="clear" w:color="auto" w:fill="FFFFFF"/>
        </w:rPr>
        <w:t>Reading and Writing</w:t>
      </w:r>
      <w:r>
        <w:rPr>
          <w:rFonts w:ascii="Arial" w:hAnsi="Arial" w:cs="Arial"/>
          <w:color w:val="222222"/>
          <w:shd w:val="clear" w:color="auto" w:fill="FFFFFF"/>
        </w:rPr>
        <w:t>, </w:t>
      </w:r>
      <w:r>
        <w:rPr>
          <w:rFonts w:ascii="Arial" w:hAnsi="Arial" w:cs="Arial"/>
          <w:i/>
          <w:iCs/>
          <w:color w:val="222222"/>
          <w:shd w:val="clear" w:color="auto" w:fill="FFFFFF"/>
        </w:rPr>
        <w:t>34</w:t>
      </w:r>
      <w:r>
        <w:rPr>
          <w:rFonts w:ascii="Arial" w:hAnsi="Arial" w:cs="Arial"/>
          <w:color w:val="222222"/>
          <w:shd w:val="clear" w:color="auto" w:fill="FFFFFF"/>
        </w:rPr>
        <w:t>(7), 1885-1913.</w:t>
      </w:r>
    </w:p>
    <w:p w14:paraId="164BAFC1" w14:textId="5F481F8A" w:rsidR="00B61EAB" w:rsidRPr="006B78C1" w:rsidRDefault="00B61EAB" w:rsidP="00B61EAB">
      <w:pPr>
        <w:rPr>
          <w:rFonts w:ascii="Arial" w:hAnsi="Arial" w:cs="Arial"/>
          <w:color w:val="000000" w:themeColor="text1"/>
          <w:shd w:val="clear" w:color="auto" w:fill="FFFFFF"/>
        </w:rPr>
      </w:pPr>
      <w:r w:rsidRPr="006B78C1">
        <w:rPr>
          <w:rFonts w:ascii="Arial" w:hAnsi="Arial" w:cs="Arial"/>
          <w:color w:val="000000" w:themeColor="text1"/>
          <w:shd w:val="clear" w:color="auto" w:fill="FFFFFF"/>
        </w:rPr>
        <w:t xml:space="preserve">Lapitan Jr, L. D., Tiangco, C. E., Sumalinog, D. A. G., </w:t>
      </w:r>
      <w:proofErr w:type="spellStart"/>
      <w:r w:rsidRPr="006B78C1">
        <w:rPr>
          <w:rFonts w:ascii="Arial" w:hAnsi="Arial" w:cs="Arial"/>
          <w:color w:val="000000" w:themeColor="text1"/>
          <w:shd w:val="clear" w:color="auto" w:fill="FFFFFF"/>
        </w:rPr>
        <w:t>Sabarillo</w:t>
      </w:r>
      <w:proofErr w:type="spellEnd"/>
      <w:r w:rsidRPr="006B78C1">
        <w:rPr>
          <w:rFonts w:ascii="Arial" w:hAnsi="Arial" w:cs="Arial"/>
          <w:color w:val="000000" w:themeColor="text1"/>
          <w:shd w:val="clear" w:color="auto" w:fill="FFFFFF"/>
        </w:rPr>
        <w:t xml:space="preserve">, N. S., &amp; Diaz, J. </w:t>
      </w:r>
    </w:p>
    <w:p w14:paraId="70A2471E" w14:textId="07E5AB4B" w:rsidR="00B61EAB" w:rsidRPr="006B78C1" w:rsidRDefault="00B61EAB" w:rsidP="00B61EAB">
      <w:pPr>
        <w:ind w:left="720"/>
        <w:rPr>
          <w:rFonts w:ascii="Arial" w:hAnsi="Arial" w:cs="Arial"/>
          <w:color w:val="000000" w:themeColor="text1"/>
        </w:rPr>
      </w:pPr>
      <w:r w:rsidRPr="006B78C1">
        <w:rPr>
          <w:rFonts w:ascii="Arial" w:hAnsi="Arial" w:cs="Arial"/>
          <w:color w:val="000000" w:themeColor="text1"/>
          <w:shd w:val="clear" w:color="auto" w:fill="FFFFFF"/>
        </w:rPr>
        <w:t>learning environments: A conceptual framework. </w:t>
      </w:r>
      <w:r w:rsidRPr="006B78C1">
        <w:rPr>
          <w:rFonts w:ascii="Arial" w:hAnsi="Arial" w:cs="Arial"/>
          <w:i/>
          <w:iCs/>
          <w:color w:val="000000" w:themeColor="text1"/>
          <w:shd w:val="clear" w:color="auto" w:fill="FFFFFF"/>
        </w:rPr>
        <w:t>Online learning</w:t>
      </w:r>
      <w:r w:rsidRPr="006B78C1">
        <w:rPr>
          <w:rFonts w:ascii="Arial" w:hAnsi="Arial" w:cs="Arial"/>
          <w:color w:val="000000" w:themeColor="text1"/>
          <w:shd w:val="clear" w:color="auto" w:fill="FFFFFF"/>
        </w:rPr>
        <w:t>, </w:t>
      </w:r>
      <w:r w:rsidRPr="006B78C1">
        <w:rPr>
          <w:rFonts w:ascii="Arial" w:hAnsi="Arial" w:cs="Arial"/>
          <w:i/>
          <w:iCs/>
          <w:color w:val="000000" w:themeColor="text1"/>
          <w:shd w:val="clear" w:color="auto" w:fill="FFFFFF"/>
        </w:rPr>
        <w:t>23</w:t>
      </w:r>
      <w:r w:rsidRPr="006B78C1">
        <w:rPr>
          <w:rFonts w:ascii="Arial" w:hAnsi="Arial" w:cs="Arial"/>
          <w:color w:val="000000" w:themeColor="text1"/>
          <w:shd w:val="clear" w:color="auto" w:fill="FFFFFF"/>
        </w:rPr>
        <w:t xml:space="preserve">(2), 145-178. </w:t>
      </w:r>
    </w:p>
    <w:p w14:paraId="1C8F3918" w14:textId="77777777" w:rsidR="00B61EAB" w:rsidRPr="006B78C1" w:rsidRDefault="00B61EAB" w:rsidP="00B61EAB">
      <w:pPr>
        <w:ind w:left="540" w:hanging="540"/>
        <w:rPr>
          <w:rFonts w:ascii="Arial" w:hAnsi="Arial" w:cs="Arial"/>
        </w:rPr>
      </w:pPr>
      <w:r w:rsidRPr="006B78C1">
        <w:rPr>
          <w:rFonts w:ascii="Arial" w:hAnsi="Arial" w:cs="Arial"/>
        </w:rPr>
        <w:lastRenderedPageBreak/>
        <w:t xml:space="preserve">Lim, C. L., Ab Jalil, H., </w:t>
      </w:r>
      <w:proofErr w:type="spellStart"/>
      <w:r w:rsidRPr="006B78C1">
        <w:rPr>
          <w:rFonts w:ascii="Arial" w:hAnsi="Arial" w:cs="Arial"/>
        </w:rPr>
        <w:t>Ma'rof</w:t>
      </w:r>
      <w:proofErr w:type="spellEnd"/>
      <w:r w:rsidRPr="006B78C1">
        <w:rPr>
          <w:rFonts w:ascii="Arial" w:hAnsi="Arial" w:cs="Arial"/>
        </w:rPr>
        <w:t>, A. M., &amp; Saad, W. Z. (2021). Developing a framework to evaluate the mediating role of self-regulated learning (SRL) strategies in blended learning courses. In </w:t>
      </w:r>
      <w:r w:rsidRPr="006B78C1">
        <w:rPr>
          <w:rFonts w:ascii="Arial" w:hAnsi="Arial" w:cs="Arial"/>
          <w:i/>
          <w:iCs/>
        </w:rPr>
        <w:t>Transforming Curriculum Through Teacher-Learner Partnerships</w:t>
      </w:r>
      <w:r w:rsidRPr="006B78C1">
        <w:rPr>
          <w:rFonts w:ascii="Arial" w:hAnsi="Arial" w:cs="Arial"/>
        </w:rPr>
        <w:t> (pp. 11-28). IGI Global.</w:t>
      </w:r>
    </w:p>
    <w:p w14:paraId="3D8E1679" w14:textId="77777777" w:rsidR="00B61EAB" w:rsidRPr="006B78C1" w:rsidRDefault="00B61EAB" w:rsidP="00B61EAB">
      <w:pPr>
        <w:ind w:left="540" w:hanging="540"/>
        <w:rPr>
          <w:rFonts w:ascii="Arial" w:hAnsi="Arial" w:cs="Arial"/>
        </w:rPr>
      </w:pPr>
      <w:proofErr w:type="spellStart"/>
      <w:r w:rsidRPr="006B78C1">
        <w:rPr>
          <w:rFonts w:ascii="Arial" w:hAnsi="Arial" w:cs="Arial"/>
        </w:rPr>
        <w:t>Linjawi</w:t>
      </w:r>
      <w:proofErr w:type="spellEnd"/>
      <w:r w:rsidRPr="006B78C1">
        <w:rPr>
          <w:rFonts w:ascii="Arial" w:hAnsi="Arial" w:cs="Arial"/>
        </w:rPr>
        <w:t xml:space="preserve">, A. I., &amp; </w:t>
      </w:r>
      <w:proofErr w:type="spellStart"/>
      <w:r w:rsidRPr="006B78C1">
        <w:rPr>
          <w:rFonts w:ascii="Arial" w:hAnsi="Arial" w:cs="Arial"/>
        </w:rPr>
        <w:t>Alfadda</w:t>
      </w:r>
      <w:proofErr w:type="spellEnd"/>
      <w:r w:rsidRPr="006B78C1">
        <w:rPr>
          <w:rFonts w:ascii="Arial" w:hAnsi="Arial" w:cs="Arial"/>
        </w:rPr>
        <w:t>, L. S. (2018). Students’ perception, attitudes, and readiness toward online learning in dental education in Saudi Arabia: a cohort study. </w:t>
      </w:r>
      <w:r w:rsidRPr="006B78C1">
        <w:rPr>
          <w:rFonts w:ascii="Arial" w:hAnsi="Arial" w:cs="Arial"/>
          <w:i/>
          <w:iCs/>
        </w:rPr>
        <w:t>Advances in medical education and practice</w:t>
      </w:r>
      <w:r w:rsidRPr="006B78C1">
        <w:rPr>
          <w:rFonts w:ascii="Arial" w:hAnsi="Arial" w:cs="Arial"/>
        </w:rPr>
        <w:t>, </w:t>
      </w:r>
      <w:r w:rsidRPr="006B78C1">
        <w:rPr>
          <w:rFonts w:ascii="Arial" w:hAnsi="Arial" w:cs="Arial"/>
          <w:i/>
          <w:iCs/>
        </w:rPr>
        <w:t>9</w:t>
      </w:r>
      <w:r w:rsidRPr="006B78C1">
        <w:rPr>
          <w:rFonts w:ascii="Arial" w:hAnsi="Arial" w:cs="Arial"/>
        </w:rPr>
        <w:t>, 855.</w:t>
      </w:r>
    </w:p>
    <w:p w14:paraId="77C14B29" w14:textId="77777777" w:rsidR="00B61EAB" w:rsidRPr="006B78C1" w:rsidRDefault="00B61EAB" w:rsidP="00B61EAB">
      <w:pPr>
        <w:ind w:left="720" w:hanging="720"/>
        <w:rPr>
          <w:rFonts w:ascii="Arial" w:hAnsi="Arial" w:cs="Arial"/>
          <w:color w:val="222222"/>
          <w:shd w:val="clear" w:color="auto" w:fill="FFFFFF"/>
        </w:rPr>
      </w:pPr>
      <w:r w:rsidRPr="006B78C1">
        <w:rPr>
          <w:rFonts w:ascii="Arial" w:hAnsi="Arial" w:cs="Arial"/>
          <w:color w:val="222222"/>
          <w:shd w:val="clear" w:color="auto" w:fill="FFFFFF"/>
        </w:rPr>
        <w:t>Manca, S., &amp; Delfino, M. (2021). Adapting educational practices in emergency remote education: Continuity and change from a student perspective. </w:t>
      </w:r>
      <w:r w:rsidRPr="006B78C1">
        <w:rPr>
          <w:rFonts w:ascii="Arial" w:hAnsi="Arial" w:cs="Arial"/>
          <w:i/>
          <w:iCs/>
          <w:color w:val="222222"/>
          <w:shd w:val="clear" w:color="auto" w:fill="FFFFFF"/>
        </w:rPr>
        <w:t>British Journal of Educational Technology</w:t>
      </w:r>
      <w:r w:rsidRPr="006B78C1">
        <w:rPr>
          <w:rFonts w:ascii="Arial" w:hAnsi="Arial" w:cs="Arial"/>
          <w:color w:val="222222"/>
          <w:shd w:val="clear" w:color="auto" w:fill="FFFFFF"/>
        </w:rPr>
        <w:t>, </w:t>
      </w:r>
      <w:r w:rsidRPr="006B78C1">
        <w:rPr>
          <w:rFonts w:ascii="Arial" w:hAnsi="Arial" w:cs="Arial"/>
          <w:i/>
          <w:iCs/>
          <w:color w:val="222222"/>
          <w:shd w:val="clear" w:color="auto" w:fill="FFFFFF"/>
        </w:rPr>
        <w:t>52</w:t>
      </w:r>
      <w:r w:rsidRPr="006B78C1">
        <w:rPr>
          <w:rFonts w:ascii="Arial" w:hAnsi="Arial" w:cs="Arial"/>
          <w:color w:val="222222"/>
          <w:shd w:val="clear" w:color="auto" w:fill="FFFFFF"/>
        </w:rPr>
        <w:t>(4), 1394-1413.</w:t>
      </w:r>
    </w:p>
    <w:p w14:paraId="4D6D5350" w14:textId="76B71D07" w:rsidR="00B61EAB" w:rsidRPr="006B78C1" w:rsidRDefault="00962DA2" w:rsidP="00962DA2">
      <w:pPr>
        <w:ind w:left="720" w:hanging="720"/>
        <w:rPr>
          <w:rFonts w:ascii="Arial" w:hAnsi="Arial" w:cs="Arial"/>
          <w:i/>
          <w:iCs/>
          <w:color w:val="000000" w:themeColor="text1"/>
          <w:shd w:val="clear" w:color="auto" w:fill="FFFFFF"/>
        </w:rPr>
      </w:pPr>
      <w:r>
        <w:rPr>
          <w:rFonts w:ascii="Arial" w:hAnsi="Arial" w:cs="Arial"/>
          <w:color w:val="222222"/>
          <w:shd w:val="clear" w:color="auto" w:fill="FFFFFF"/>
        </w:rPr>
        <w:t>McHone, C. (2020). </w:t>
      </w:r>
      <w:r>
        <w:rPr>
          <w:rFonts w:ascii="Arial" w:hAnsi="Arial" w:cs="Arial"/>
          <w:i/>
          <w:iCs/>
          <w:color w:val="222222"/>
          <w:shd w:val="clear" w:color="auto" w:fill="FFFFFF"/>
        </w:rPr>
        <w:t>Blended learning integration: Student motivation and autonomy in a blended learning environment</w:t>
      </w:r>
      <w:r>
        <w:rPr>
          <w:rFonts w:ascii="Arial" w:hAnsi="Arial" w:cs="Arial"/>
          <w:color w:val="222222"/>
          <w:shd w:val="clear" w:color="auto" w:fill="FFFFFF"/>
        </w:rPr>
        <w:t> (Doctoral dissertation, East Tennessee State University).</w:t>
      </w:r>
    </w:p>
    <w:p w14:paraId="762201CB" w14:textId="77777777" w:rsidR="00B61EAB" w:rsidRPr="006B78C1" w:rsidRDefault="00B61EAB" w:rsidP="00B61EAB">
      <w:pPr>
        <w:ind w:left="720" w:hanging="720"/>
        <w:rPr>
          <w:rFonts w:ascii="Arial" w:hAnsi="Arial" w:cs="Arial"/>
          <w:color w:val="000000" w:themeColor="text1"/>
        </w:rPr>
      </w:pPr>
      <w:r w:rsidRPr="006B78C1">
        <w:rPr>
          <w:rFonts w:ascii="Arial" w:hAnsi="Arial" w:cs="Arial"/>
          <w:color w:val="222222"/>
          <w:shd w:val="clear" w:color="auto" w:fill="FFFFFF"/>
        </w:rPr>
        <w:t xml:space="preserve">Meijs, C., Neroni, J., </w:t>
      </w:r>
      <w:proofErr w:type="spellStart"/>
      <w:r w:rsidRPr="006B78C1">
        <w:rPr>
          <w:rFonts w:ascii="Arial" w:hAnsi="Arial" w:cs="Arial"/>
          <w:color w:val="222222"/>
          <w:shd w:val="clear" w:color="auto" w:fill="FFFFFF"/>
        </w:rPr>
        <w:t>Gijselaers</w:t>
      </w:r>
      <w:proofErr w:type="spellEnd"/>
      <w:r w:rsidRPr="006B78C1">
        <w:rPr>
          <w:rFonts w:ascii="Arial" w:hAnsi="Arial" w:cs="Arial"/>
          <w:color w:val="222222"/>
          <w:shd w:val="clear" w:color="auto" w:fill="FFFFFF"/>
        </w:rPr>
        <w:t xml:space="preserve">, H. J., </w:t>
      </w:r>
      <w:proofErr w:type="spellStart"/>
      <w:r w:rsidRPr="006B78C1">
        <w:rPr>
          <w:rFonts w:ascii="Arial" w:hAnsi="Arial" w:cs="Arial"/>
          <w:color w:val="222222"/>
          <w:shd w:val="clear" w:color="auto" w:fill="FFFFFF"/>
        </w:rPr>
        <w:t>Leontjevas</w:t>
      </w:r>
      <w:proofErr w:type="spellEnd"/>
      <w:r w:rsidRPr="006B78C1">
        <w:rPr>
          <w:rFonts w:ascii="Arial" w:hAnsi="Arial" w:cs="Arial"/>
          <w:color w:val="222222"/>
          <w:shd w:val="clear" w:color="auto" w:fill="FFFFFF"/>
        </w:rPr>
        <w:t>, R., Kirschner, P. A., &amp; de Groot, R. H. (2019). Motivated strategies for learning questionnaire part B revisited: New subscales for an adult distance education setting. </w:t>
      </w:r>
      <w:r w:rsidRPr="006B78C1">
        <w:rPr>
          <w:rFonts w:ascii="Arial" w:hAnsi="Arial" w:cs="Arial"/>
          <w:i/>
          <w:iCs/>
          <w:color w:val="222222"/>
          <w:shd w:val="clear" w:color="auto" w:fill="FFFFFF"/>
        </w:rPr>
        <w:t>The internet and higher education</w:t>
      </w:r>
      <w:r w:rsidRPr="006B78C1">
        <w:rPr>
          <w:rFonts w:ascii="Arial" w:hAnsi="Arial" w:cs="Arial"/>
          <w:color w:val="222222"/>
          <w:shd w:val="clear" w:color="auto" w:fill="FFFFFF"/>
        </w:rPr>
        <w:t>, </w:t>
      </w:r>
      <w:r w:rsidRPr="006B78C1">
        <w:rPr>
          <w:rFonts w:ascii="Arial" w:hAnsi="Arial" w:cs="Arial"/>
          <w:i/>
          <w:iCs/>
          <w:color w:val="222222"/>
          <w:shd w:val="clear" w:color="auto" w:fill="FFFFFF"/>
        </w:rPr>
        <w:t>40</w:t>
      </w:r>
      <w:r w:rsidRPr="006B78C1">
        <w:rPr>
          <w:rFonts w:ascii="Arial" w:hAnsi="Arial" w:cs="Arial"/>
          <w:color w:val="222222"/>
          <w:shd w:val="clear" w:color="auto" w:fill="FFFFFF"/>
        </w:rPr>
        <w:t>, 1-11.</w:t>
      </w:r>
    </w:p>
    <w:p w14:paraId="079EF4B7" w14:textId="77777777" w:rsidR="00B61EAB" w:rsidRPr="006B78C1" w:rsidRDefault="00B61EAB" w:rsidP="00B61EAB">
      <w:pPr>
        <w:ind w:left="540" w:hanging="540"/>
        <w:rPr>
          <w:rFonts w:ascii="Arial" w:hAnsi="Arial" w:cs="Arial"/>
        </w:rPr>
      </w:pPr>
      <w:proofErr w:type="spellStart"/>
      <w:r w:rsidRPr="006B78C1">
        <w:rPr>
          <w:rFonts w:ascii="Arial" w:hAnsi="Arial" w:cs="Arial"/>
        </w:rPr>
        <w:t>Pasaribu</w:t>
      </w:r>
      <w:proofErr w:type="spellEnd"/>
      <w:r w:rsidRPr="006B78C1">
        <w:rPr>
          <w:rFonts w:ascii="Arial" w:hAnsi="Arial" w:cs="Arial"/>
        </w:rPr>
        <w:t>, T. A., &amp; Dewi, N. (2021). Indonesian EFL Students' Voices on Online Learning during COVID-19 through Appraisal Analysis. </w:t>
      </w:r>
      <w:r w:rsidRPr="006B78C1">
        <w:rPr>
          <w:rFonts w:ascii="Arial" w:hAnsi="Arial" w:cs="Arial"/>
          <w:i/>
          <w:iCs/>
        </w:rPr>
        <w:t>LEARN Journal: Language Education and Acquisition Research Network</w:t>
      </w:r>
      <w:r w:rsidRPr="006B78C1">
        <w:rPr>
          <w:rFonts w:ascii="Arial" w:hAnsi="Arial" w:cs="Arial"/>
        </w:rPr>
        <w:t>, </w:t>
      </w:r>
      <w:r w:rsidRPr="006B78C1">
        <w:rPr>
          <w:rFonts w:ascii="Arial" w:hAnsi="Arial" w:cs="Arial"/>
          <w:i/>
          <w:iCs/>
        </w:rPr>
        <w:t>14</w:t>
      </w:r>
      <w:r w:rsidRPr="006B78C1">
        <w:rPr>
          <w:rFonts w:ascii="Arial" w:hAnsi="Arial" w:cs="Arial"/>
        </w:rPr>
        <w:t>(1), 399-426.</w:t>
      </w:r>
    </w:p>
    <w:p w14:paraId="781EB365" w14:textId="77777777" w:rsidR="00B61EAB" w:rsidRPr="006B78C1" w:rsidRDefault="00B61EAB" w:rsidP="00B61EAB">
      <w:pPr>
        <w:ind w:left="540" w:hanging="540"/>
        <w:rPr>
          <w:rFonts w:ascii="Arial" w:hAnsi="Arial" w:cs="Arial"/>
        </w:rPr>
      </w:pPr>
      <w:r w:rsidRPr="006B78C1">
        <w:rPr>
          <w:rFonts w:ascii="Arial" w:hAnsi="Arial" w:cs="Arial"/>
        </w:rPr>
        <w:t>Pisoni, G. (2019). Strategies for pan-</w:t>
      </w:r>
      <w:proofErr w:type="spellStart"/>
      <w:r w:rsidRPr="006B78C1">
        <w:rPr>
          <w:rFonts w:ascii="Arial" w:hAnsi="Arial" w:cs="Arial"/>
        </w:rPr>
        <w:t>european</w:t>
      </w:r>
      <w:proofErr w:type="spellEnd"/>
      <w:r w:rsidRPr="006B78C1">
        <w:rPr>
          <w:rFonts w:ascii="Arial" w:hAnsi="Arial" w:cs="Arial"/>
        </w:rPr>
        <w:t xml:space="preserve"> implementation of blended learning for innovation and entrepreneurship (</w:t>
      </w:r>
      <w:proofErr w:type="spellStart"/>
      <w:r w:rsidRPr="006B78C1">
        <w:rPr>
          <w:rFonts w:ascii="Arial" w:hAnsi="Arial" w:cs="Arial"/>
        </w:rPr>
        <w:t>i&amp;e</w:t>
      </w:r>
      <w:proofErr w:type="spellEnd"/>
      <w:r w:rsidRPr="006B78C1">
        <w:rPr>
          <w:rFonts w:ascii="Arial" w:hAnsi="Arial" w:cs="Arial"/>
        </w:rPr>
        <w:t>) education. </w:t>
      </w:r>
      <w:r w:rsidRPr="006B78C1">
        <w:rPr>
          <w:rFonts w:ascii="Arial" w:hAnsi="Arial" w:cs="Arial"/>
          <w:i/>
          <w:iCs/>
        </w:rPr>
        <w:t>Education Sciences</w:t>
      </w:r>
      <w:r w:rsidRPr="006B78C1">
        <w:rPr>
          <w:rFonts w:ascii="Arial" w:hAnsi="Arial" w:cs="Arial"/>
        </w:rPr>
        <w:t>, </w:t>
      </w:r>
      <w:r w:rsidRPr="006B78C1">
        <w:rPr>
          <w:rFonts w:ascii="Arial" w:hAnsi="Arial" w:cs="Arial"/>
          <w:i/>
          <w:iCs/>
        </w:rPr>
        <w:t>9</w:t>
      </w:r>
      <w:r w:rsidRPr="006B78C1">
        <w:rPr>
          <w:rFonts w:ascii="Arial" w:hAnsi="Arial" w:cs="Arial"/>
        </w:rPr>
        <w:t>(2), 124.</w:t>
      </w:r>
    </w:p>
    <w:p w14:paraId="0E6FFDCE" w14:textId="77777777" w:rsidR="00207724" w:rsidRDefault="00207724" w:rsidP="00207724">
      <w:pPr>
        <w:ind w:left="720" w:hanging="720"/>
        <w:rPr>
          <w:rFonts w:ascii="Arial" w:hAnsi="Arial" w:cs="Arial"/>
          <w:color w:val="222222"/>
          <w:shd w:val="clear" w:color="auto" w:fill="FFFFFF"/>
        </w:rPr>
      </w:pPr>
      <w:r>
        <w:rPr>
          <w:rFonts w:ascii="Arial" w:hAnsi="Arial" w:cs="Arial"/>
          <w:color w:val="222222"/>
          <w:shd w:val="clear" w:color="auto" w:fill="FFFFFF"/>
        </w:rPr>
        <w:t xml:space="preserve">Rasheed, R. A., </w:t>
      </w:r>
      <w:proofErr w:type="spellStart"/>
      <w:r>
        <w:rPr>
          <w:rFonts w:ascii="Arial" w:hAnsi="Arial" w:cs="Arial"/>
          <w:color w:val="222222"/>
          <w:shd w:val="clear" w:color="auto" w:fill="FFFFFF"/>
        </w:rPr>
        <w:t>Kamsin</w:t>
      </w:r>
      <w:proofErr w:type="spellEnd"/>
      <w:r>
        <w:rPr>
          <w:rFonts w:ascii="Arial" w:hAnsi="Arial" w:cs="Arial"/>
          <w:color w:val="222222"/>
          <w:shd w:val="clear" w:color="auto" w:fill="FFFFFF"/>
        </w:rPr>
        <w:t>, A., &amp; Abdullah, N. A. (2021). An approach for scaffolding students peer-learning self-regulation strategy in the online component of blended learning. </w:t>
      </w:r>
      <w:proofErr w:type="spellStart"/>
      <w:r>
        <w:rPr>
          <w:rFonts w:ascii="Arial" w:hAnsi="Arial" w:cs="Arial"/>
          <w:i/>
          <w:iCs/>
          <w:color w:val="222222"/>
          <w:shd w:val="clear" w:color="auto" w:fill="FFFFFF"/>
        </w:rPr>
        <w:t>Ieee</w:t>
      </w:r>
      <w:proofErr w:type="spellEnd"/>
      <w:r>
        <w:rPr>
          <w:rFonts w:ascii="Arial" w:hAnsi="Arial" w:cs="Arial"/>
          <w:i/>
          <w:iCs/>
          <w:color w:val="222222"/>
          <w:shd w:val="clear" w:color="auto" w:fill="FFFFFF"/>
        </w:rPr>
        <w:t xml:space="preserve"> Access</w:t>
      </w:r>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 30721-30738.</w:t>
      </w:r>
    </w:p>
    <w:p w14:paraId="5DEF1A71" w14:textId="54068D6D" w:rsidR="00B61EAB" w:rsidRPr="006B78C1" w:rsidRDefault="00207724" w:rsidP="00207724">
      <w:pPr>
        <w:ind w:left="720" w:hanging="720"/>
        <w:rPr>
          <w:rFonts w:ascii="Arial" w:hAnsi="Arial" w:cs="Arial"/>
          <w:color w:val="000000" w:themeColor="text1"/>
          <w:shd w:val="clear" w:color="auto" w:fill="FFFFFF"/>
        </w:rPr>
      </w:pPr>
      <w:r>
        <w:rPr>
          <w:rFonts w:ascii="Arial" w:hAnsi="Arial" w:cs="Arial"/>
          <w:color w:val="222222"/>
          <w:shd w:val="clear" w:color="auto" w:fill="FFFFFF"/>
        </w:rPr>
        <w:t>Roddy, C., Amiet, D. L., Chung, J., Holt, C., Shaw, L., McKenzie, S., ... &amp; Mundy, M. E. (2017, November). Applying best practice online learning, teaching, and support to intensive online environments: An integrative review. In </w:t>
      </w:r>
      <w:r>
        <w:rPr>
          <w:rFonts w:ascii="Arial" w:hAnsi="Arial" w:cs="Arial"/>
          <w:i/>
          <w:iCs/>
          <w:color w:val="222222"/>
          <w:shd w:val="clear" w:color="auto" w:fill="FFFFFF"/>
        </w:rPr>
        <w:t>Frontiers in education</w:t>
      </w:r>
      <w:r>
        <w:rPr>
          <w:rFonts w:ascii="Arial" w:hAnsi="Arial" w:cs="Arial"/>
          <w:color w:val="222222"/>
          <w:shd w:val="clear" w:color="auto" w:fill="FFFFFF"/>
        </w:rPr>
        <w:t> (Vol. 2, p. 59). Frontiers Media SA.</w:t>
      </w:r>
      <w:r w:rsidR="00B61EAB" w:rsidRPr="006B78C1">
        <w:rPr>
          <w:rFonts w:ascii="Arial" w:hAnsi="Arial" w:cs="Arial"/>
          <w:color w:val="000000" w:themeColor="text1"/>
          <w:shd w:val="clear" w:color="auto" w:fill="FFFFFF"/>
        </w:rPr>
        <w:t xml:space="preserve"> </w:t>
      </w:r>
    </w:p>
    <w:p w14:paraId="38D65A10" w14:textId="77777777" w:rsidR="00B61EAB" w:rsidRPr="006B78C1" w:rsidRDefault="00B61EAB" w:rsidP="00B61EAB">
      <w:pPr>
        <w:rPr>
          <w:rFonts w:ascii="Arial" w:hAnsi="Arial" w:cs="Arial"/>
          <w:color w:val="000000" w:themeColor="text1"/>
          <w:shd w:val="clear" w:color="auto" w:fill="FFFFFF"/>
        </w:rPr>
      </w:pPr>
      <w:r w:rsidRPr="006B78C1">
        <w:rPr>
          <w:rFonts w:ascii="Arial" w:hAnsi="Arial" w:cs="Arial"/>
          <w:color w:val="000000" w:themeColor="text1"/>
          <w:shd w:val="clear" w:color="auto" w:fill="FFFFFF"/>
        </w:rPr>
        <w:t xml:space="preserve">Sahni, J. (2019). Does blended learning enhance student engagement? </w:t>
      </w:r>
    </w:p>
    <w:p w14:paraId="1249D8B4" w14:textId="77777777" w:rsidR="00B61EAB" w:rsidRPr="006B78C1" w:rsidRDefault="00B61EAB" w:rsidP="00B61EAB">
      <w:pPr>
        <w:ind w:left="720"/>
        <w:rPr>
          <w:rFonts w:ascii="Arial" w:hAnsi="Arial" w:cs="Arial"/>
          <w:color w:val="000000" w:themeColor="text1"/>
          <w:shd w:val="clear" w:color="auto" w:fill="FFFFFF"/>
        </w:rPr>
      </w:pPr>
      <w:r w:rsidRPr="006B78C1">
        <w:rPr>
          <w:rFonts w:ascii="Arial" w:hAnsi="Arial" w:cs="Arial"/>
          <w:color w:val="000000" w:themeColor="text1"/>
          <w:shd w:val="clear" w:color="auto" w:fill="FFFFFF"/>
        </w:rPr>
        <w:t>scaffolding students peer-learning self-regulation strategy in the online component of blended learning. </w:t>
      </w:r>
      <w:proofErr w:type="spellStart"/>
      <w:r w:rsidRPr="006B78C1">
        <w:rPr>
          <w:rFonts w:ascii="Arial" w:hAnsi="Arial" w:cs="Arial"/>
          <w:i/>
          <w:iCs/>
          <w:color w:val="000000" w:themeColor="text1"/>
          <w:shd w:val="clear" w:color="auto" w:fill="FFFFFF"/>
        </w:rPr>
        <w:t>Ieee</w:t>
      </w:r>
      <w:proofErr w:type="spellEnd"/>
      <w:r w:rsidRPr="006B78C1">
        <w:rPr>
          <w:rFonts w:ascii="Arial" w:hAnsi="Arial" w:cs="Arial"/>
          <w:i/>
          <w:iCs/>
          <w:color w:val="000000" w:themeColor="text1"/>
          <w:shd w:val="clear" w:color="auto" w:fill="FFFFFF"/>
        </w:rPr>
        <w:t xml:space="preserve"> Access</w:t>
      </w:r>
      <w:r w:rsidRPr="006B78C1">
        <w:rPr>
          <w:rFonts w:ascii="Arial" w:hAnsi="Arial" w:cs="Arial"/>
          <w:color w:val="000000" w:themeColor="text1"/>
          <w:shd w:val="clear" w:color="auto" w:fill="FFFFFF"/>
        </w:rPr>
        <w:t>, </w:t>
      </w:r>
      <w:r w:rsidRPr="006B78C1">
        <w:rPr>
          <w:rFonts w:ascii="Arial" w:hAnsi="Arial" w:cs="Arial"/>
          <w:i/>
          <w:iCs/>
          <w:color w:val="000000" w:themeColor="text1"/>
          <w:shd w:val="clear" w:color="auto" w:fill="FFFFFF"/>
        </w:rPr>
        <w:t>9</w:t>
      </w:r>
      <w:r w:rsidRPr="006B78C1">
        <w:rPr>
          <w:rFonts w:ascii="Arial" w:hAnsi="Arial" w:cs="Arial"/>
          <w:color w:val="000000" w:themeColor="text1"/>
          <w:shd w:val="clear" w:color="auto" w:fill="FFFFFF"/>
        </w:rPr>
        <w:t xml:space="preserve">, 30721-30738. </w:t>
      </w:r>
    </w:p>
    <w:p w14:paraId="360B3068" w14:textId="77777777" w:rsidR="00B61EAB" w:rsidRPr="006B78C1" w:rsidRDefault="00B61EAB" w:rsidP="00B61EAB">
      <w:pPr>
        <w:rPr>
          <w:rFonts w:ascii="Arial" w:hAnsi="Arial" w:cs="Arial"/>
          <w:color w:val="000000" w:themeColor="text1"/>
          <w:shd w:val="clear" w:color="auto" w:fill="FFFFFF"/>
        </w:rPr>
      </w:pPr>
      <w:r w:rsidRPr="006B78C1">
        <w:rPr>
          <w:rFonts w:ascii="Arial" w:hAnsi="Arial" w:cs="Arial"/>
          <w:color w:val="000000" w:themeColor="text1"/>
          <w:shd w:val="clear" w:color="auto" w:fill="FFFFFF"/>
        </w:rPr>
        <w:t xml:space="preserve">Taghizadeh, M., &amp; </w:t>
      </w:r>
      <w:proofErr w:type="spellStart"/>
      <w:r w:rsidRPr="006B78C1">
        <w:rPr>
          <w:rFonts w:ascii="Arial" w:hAnsi="Arial" w:cs="Arial"/>
          <w:color w:val="000000" w:themeColor="text1"/>
          <w:shd w:val="clear" w:color="auto" w:fill="FFFFFF"/>
        </w:rPr>
        <w:t>Hajhosseini</w:t>
      </w:r>
      <w:proofErr w:type="spellEnd"/>
      <w:r w:rsidRPr="006B78C1">
        <w:rPr>
          <w:rFonts w:ascii="Arial" w:hAnsi="Arial" w:cs="Arial"/>
          <w:color w:val="000000" w:themeColor="text1"/>
          <w:shd w:val="clear" w:color="auto" w:fill="FFFFFF"/>
        </w:rPr>
        <w:t xml:space="preserve">, F. (2021). Investigating a blended learning </w:t>
      </w:r>
    </w:p>
    <w:p w14:paraId="664CD667" w14:textId="508061A5" w:rsidR="00B61EAB" w:rsidRPr="006B78C1" w:rsidRDefault="00B61EAB" w:rsidP="00B61EAB">
      <w:pPr>
        <w:ind w:left="720"/>
        <w:rPr>
          <w:rFonts w:ascii="Arial" w:hAnsi="Arial" w:cs="Arial"/>
          <w:color w:val="000000" w:themeColor="text1"/>
        </w:rPr>
      </w:pPr>
      <w:r w:rsidRPr="006B78C1">
        <w:rPr>
          <w:rFonts w:ascii="Arial" w:hAnsi="Arial" w:cs="Arial"/>
          <w:color w:val="000000" w:themeColor="text1"/>
          <w:shd w:val="clear" w:color="auto" w:fill="FFFFFF"/>
        </w:rPr>
        <w:t>technology readiness in blending learning environment. </w:t>
      </w:r>
      <w:r w:rsidRPr="006B78C1">
        <w:rPr>
          <w:rFonts w:ascii="Arial" w:hAnsi="Arial" w:cs="Arial"/>
          <w:i/>
          <w:iCs/>
          <w:color w:val="000000" w:themeColor="text1"/>
          <w:shd w:val="clear" w:color="auto" w:fill="FFFFFF"/>
        </w:rPr>
        <w:t>International journal of educational technology in higher education</w:t>
      </w:r>
      <w:r w:rsidRPr="006B78C1">
        <w:rPr>
          <w:rFonts w:ascii="Arial" w:hAnsi="Arial" w:cs="Arial"/>
          <w:color w:val="000000" w:themeColor="text1"/>
          <w:shd w:val="clear" w:color="auto" w:fill="FFFFFF"/>
        </w:rPr>
        <w:t>, </w:t>
      </w:r>
      <w:r w:rsidRPr="006B78C1">
        <w:rPr>
          <w:rFonts w:ascii="Arial" w:hAnsi="Arial" w:cs="Arial"/>
          <w:i/>
          <w:iCs/>
          <w:color w:val="000000" w:themeColor="text1"/>
          <w:shd w:val="clear" w:color="auto" w:fill="FFFFFF"/>
        </w:rPr>
        <w:t>16</w:t>
      </w:r>
      <w:r w:rsidRPr="006B78C1">
        <w:rPr>
          <w:rFonts w:ascii="Arial" w:hAnsi="Arial" w:cs="Arial"/>
          <w:color w:val="000000" w:themeColor="text1"/>
          <w:shd w:val="clear" w:color="auto" w:fill="FFFFFF"/>
        </w:rPr>
        <w:t xml:space="preserve">(1), 1-22. </w:t>
      </w:r>
    </w:p>
    <w:p w14:paraId="2CCA1858" w14:textId="77777777" w:rsidR="00B61EAB" w:rsidRPr="006B78C1" w:rsidRDefault="00B61EAB" w:rsidP="00B61EAB">
      <w:pPr>
        <w:ind w:left="720" w:hanging="720"/>
        <w:rPr>
          <w:rFonts w:ascii="Arial" w:hAnsi="Arial" w:cs="Arial"/>
          <w:color w:val="222222"/>
          <w:shd w:val="clear" w:color="auto" w:fill="FFFFFF"/>
        </w:rPr>
      </w:pPr>
      <w:r w:rsidRPr="006B78C1">
        <w:rPr>
          <w:rFonts w:ascii="Arial" w:hAnsi="Arial" w:cs="Arial"/>
          <w:color w:val="222222"/>
          <w:shd w:val="clear" w:color="auto" w:fill="FFFFFF"/>
        </w:rPr>
        <w:t>Tucker, C., &amp; Umphrey, J. (2013). Blended Learning. </w:t>
      </w:r>
      <w:r w:rsidRPr="006B78C1">
        <w:rPr>
          <w:rFonts w:ascii="Arial" w:hAnsi="Arial" w:cs="Arial"/>
          <w:i/>
          <w:iCs/>
          <w:color w:val="222222"/>
          <w:shd w:val="clear" w:color="auto" w:fill="FFFFFF"/>
        </w:rPr>
        <w:t>Principal Leadership</w:t>
      </w:r>
      <w:r w:rsidRPr="006B78C1">
        <w:rPr>
          <w:rFonts w:ascii="Arial" w:hAnsi="Arial" w:cs="Arial"/>
          <w:color w:val="222222"/>
          <w:shd w:val="clear" w:color="auto" w:fill="FFFFFF"/>
        </w:rPr>
        <w:t>, </w:t>
      </w:r>
      <w:r w:rsidRPr="006B78C1">
        <w:rPr>
          <w:rFonts w:ascii="Arial" w:hAnsi="Arial" w:cs="Arial"/>
          <w:i/>
          <w:iCs/>
          <w:color w:val="222222"/>
          <w:shd w:val="clear" w:color="auto" w:fill="FFFFFF"/>
        </w:rPr>
        <w:t>14</w:t>
      </w:r>
      <w:r w:rsidRPr="006B78C1">
        <w:rPr>
          <w:rFonts w:ascii="Arial" w:hAnsi="Arial" w:cs="Arial"/>
          <w:color w:val="222222"/>
          <w:shd w:val="clear" w:color="auto" w:fill="FFFFFF"/>
        </w:rPr>
        <w:t>(1), 36-41.</w:t>
      </w:r>
    </w:p>
    <w:p w14:paraId="6014A329" w14:textId="77777777" w:rsidR="00B61EAB" w:rsidRPr="006B78C1" w:rsidRDefault="00B61EAB" w:rsidP="00B61EAB">
      <w:pPr>
        <w:ind w:left="540" w:hanging="540"/>
        <w:rPr>
          <w:rFonts w:ascii="Arial" w:hAnsi="Arial" w:cs="Arial"/>
        </w:rPr>
      </w:pPr>
      <w:r w:rsidRPr="006B78C1">
        <w:rPr>
          <w:rFonts w:ascii="Arial" w:hAnsi="Arial" w:cs="Arial"/>
        </w:rPr>
        <w:t>Viner, R. M., Russell, S. J., Croker, H., Packer, J., Ward, J., Stansfield, C., ... &amp; Booy, R. (2020). School closure and management practices during coronavirus outbreaks including COVID-19: a rapid systematic review. </w:t>
      </w:r>
      <w:r w:rsidRPr="006B78C1">
        <w:rPr>
          <w:rFonts w:ascii="Arial" w:hAnsi="Arial" w:cs="Arial"/>
          <w:i/>
          <w:iCs/>
        </w:rPr>
        <w:t>The Lancet Child &amp; Adolescent Health</w:t>
      </w:r>
      <w:r w:rsidRPr="006B78C1">
        <w:rPr>
          <w:rFonts w:ascii="Arial" w:hAnsi="Arial" w:cs="Arial"/>
        </w:rPr>
        <w:t>, </w:t>
      </w:r>
      <w:r w:rsidRPr="006B78C1">
        <w:rPr>
          <w:rFonts w:ascii="Arial" w:hAnsi="Arial" w:cs="Arial"/>
          <w:i/>
          <w:iCs/>
        </w:rPr>
        <w:t>4</w:t>
      </w:r>
      <w:r w:rsidRPr="006B78C1">
        <w:rPr>
          <w:rFonts w:ascii="Arial" w:hAnsi="Arial" w:cs="Arial"/>
        </w:rPr>
        <w:t>(5), 397-404.</w:t>
      </w:r>
    </w:p>
    <w:p w14:paraId="2316766A" w14:textId="03C8B4DE" w:rsidR="00A11120" w:rsidRDefault="00962DA2" w:rsidP="00A11120">
      <w:pPr>
        <w:ind w:left="720" w:hanging="720"/>
        <w:rPr>
          <w:rFonts w:ascii="Arial" w:hAnsi="Arial" w:cs="Arial"/>
          <w:color w:val="222222"/>
          <w:shd w:val="clear" w:color="auto" w:fill="FFFFFF"/>
        </w:rPr>
      </w:pPr>
      <w:r>
        <w:rPr>
          <w:rFonts w:ascii="Arial" w:hAnsi="Arial" w:cs="Arial"/>
          <w:color w:val="222222"/>
          <w:shd w:val="clear" w:color="auto" w:fill="FFFFFF"/>
        </w:rPr>
        <w:t>Wang, Q., Huang, C., &amp; Quek, C. L. (2018). Students’ perspectives on the design and implementation of a blended synchronous learning environment. </w:t>
      </w:r>
      <w:r>
        <w:rPr>
          <w:rFonts w:ascii="Arial" w:hAnsi="Arial" w:cs="Arial"/>
          <w:i/>
          <w:iCs/>
          <w:color w:val="222222"/>
          <w:shd w:val="clear" w:color="auto" w:fill="FFFFFF"/>
        </w:rPr>
        <w:t>Australasian Journal of Educational Technology</w:t>
      </w:r>
      <w:r>
        <w:rPr>
          <w:rFonts w:ascii="Arial" w:hAnsi="Arial" w:cs="Arial"/>
          <w:color w:val="222222"/>
          <w:shd w:val="clear" w:color="auto" w:fill="FFFFFF"/>
        </w:rPr>
        <w:t>, </w:t>
      </w:r>
      <w:r>
        <w:rPr>
          <w:rFonts w:ascii="Arial" w:hAnsi="Arial" w:cs="Arial"/>
          <w:i/>
          <w:iCs/>
          <w:color w:val="222222"/>
          <w:shd w:val="clear" w:color="auto" w:fill="FFFFFF"/>
        </w:rPr>
        <w:t>34</w:t>
      </w:r>
      <w:r>
        <w:rPr>
          <w:rFonts w:ascii="Arial" w:hAnsi="Arial" w:cs="Arial"/>
          <w:color w:val="222222"/>
          <w:shd w:val="clear" w:color="auto" w:fill="FFFFFF"/>
        </w:rPr>
        <w:t>(1).</w:t>
      </w:r>
    </w:p>
    <w:p w14:paraId="2FC983B8" w14:textId="77777777" w:rsidR="00A11120" w:rsidRDefault="00A11120" w:rsidP="00A11120">
      <w:pPr>
        <w:ind w:left="720" w:hanging="720"/>
      </w:pPr>
    </w:p>
    <w:p w14:paraId="06226349" w14:textId="77777777" w:rsidR="00717F2E" w:rsidRDefault="00717F2E" w:rsidP="00DC09E0">
      <w:pPr>
        <w:tabs>
          <w:tab w:val="left" w:pos="270"/>
        </w:tabs>
        <w:ind w:left="720" w:hanging="720"/>
        <w:rPr>
          <w:rFonts w:ascii="Arial" w:hAnsi="Arial" w:cs="Arial"/>
          <w:b/>
        </w:rPr>
      </w:pPr>
    </w:p>
    <w:sectPr w:rsidR="00717F2E" w:rsidSect="00BB1E3C">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CDAF0" w14:textId="77777777" w:rsidR="00D0292E" w:rsidRDefault="00D0292E">
      <w:r>
        <w:separator/>
      </w:r>
    </w:p>
  </w:endnote>
  <w:endnote w:type="continuationSeparator" w:id="0">
    <w:p w14:paraId="168962F2" w14:textId="77777777" w:rsidR="00D0292E" w:rsidRDefault="00D02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5BEB2" w14:textId="77777777" w:rsidR="00BB1E3C" w:rsidRDefault="00BB1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C5DB2" w14:textId="77777777" w:rsidR="00BB1E3C" w:rsidRDefault="00BB1E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B7652" w14:textId="77777777" w:rsidR="00717F2E" w:rsidRDefault="00717F2E">
    <w:pPr>
      <w:pStyle w:val="Footer"/>
      <w:rPr>
        <w:rFonts w:ascii="Arial" w:hAnsi="Arial" w:cs="Arial"/>
        <w:sz w:val="16"/>
      </w:rPr>
    </w:pPr>
  </w:p>
  <w:p w14:paraId="37F70CA5" w14:textId="77777777" w:rsidR="00717F2E" w:rsidRDefault="008714D6">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BACDC27" w14:textId="77777777" w:rsidR="00717F2E" w:rsidRDefault="00717F2E">
    <w:pPr>
      <w:pStyle w:val="Footer"/>
      <w:rPr>
        <w:rFonts w:ascii="Arial" w:hAnsi="Arial" w:cs="Arial"/>
        <w:sz w:val="16"/>
      </w:rPr>
    </w:pPr>
  </w:p>
  <w:p w14:paraId="51867F36" w14:textId="77777777" w:rsidR="00717F2E" w:rsidRDefault="008714D6">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672B6" w14:textId="77777777" w:rsidR="00D0292E" w:rsidRDefault="00D0292E">
      <w:r>
        <w:separator/>
      </w:r>
    </w:p>
  </w:footnote>
  <w:footnote w:type="continuationSeparator" w:id="0">
    <w:p w14:paraId="67333192" w14:textId="77777777" w:rsidR="00D0292E" w:rsidRDefault="00D02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67558" w14:textId="5729D9A0" w:rsidR="00BB1E3C" w:rsidRDefault="00D0292E">
    <w:pPr>
      <w:pStyle w:val="Header"/>
    </w:pPr>
    <w:r>
      <w:rPr>
        <w:noProof/>
      </w:rPr>
      <w:pict w14:anchorId="2489D7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2100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EBFDB" w14:textId="38850C15" w:rsidR="00BB1E3C" w:rsidRDefault="00D0292E">
    <w:pPr>
      <w:pStyle w:val="Header"/>
    </w:pPr>
    <w:r>
      <w:rPr>
        <w:noProof/>
      </w:rPr>
      <w:pict w14:anchorId="39CE40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2100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19F9CBD5" w:rsidR="00717F2E" w:rsidRDefault="00D0292E">
    <w:pPr>
      <w:ind w:left="2160"/>
      <w:jc w:val="center"/>
      <w:rPr>
        <w:rFonts w:ascii="Times New Roman" w:eastAsia="Calibri" w:hAnsi="Times New Roman"/>
        <w:i/>
        <w:sz w:val="18"/>
        <w:szCs w:val="22"/>
      </w:rPr>
    </w:pPr>
    <w:r>
      <w:rPr>
        <w:noProof/>
      </w:rPr>
      <w:pict w14:anchorId="4FA578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2100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8714D6">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8714D6">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8714D6">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8714D6">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8714D6">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8714D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BFC24" w14:textId="7F4CB73E" w:rsidR="00BB1E3C" w:rsidRDefault="00D0292E">
    <w:pPr>
      <w:pStyle w:val="Header"/>
    </w:pPr>
    <w:r>
      <w:rPr>
        <w:noProof/>
      </w:rPr>
      <w:pict w14:anchorId="0DE0AC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2100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A129C" w14:textId="3A9DD54D" w:rsidR="00BB1E3C" w:rsidRDefault="00D0292E">
    <w:pPr>
      <w:pStyle w:val="Header"/>
    </w:pPr>
    <w:r>
      <w:rPr>
        <w:noProof/>
      </w:rPr>
      <w:pict w14:anchorId="6CDB7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2100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71E98" w14:textId="4AE7B515" w:rsidR="00BB1E3C" w:rsidRDefault="00D0292E">
    <w:pPr>
      <w:pStyle w:val="Header"/>
    </w:pPr>
    <w:r>
      <w:rPr>
        <w:noProof/>
      </w:rPr>
      <w:pict w14:anchorId="343AB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2100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gFAJ2q2CAtAAAA"/>
  </w:docVars>
  <w:rsids>
    <w:rsidRoot w:val="00AA6219"/>
    <w:rsid w:val="00000C6E"/>
    <w:rsid w:val="00000F8F"/>
    <w:rsid w:val="00004CD1"/>
    <w:rsid w:val="00005BE3"/>
    <w:rsid w:val="000077E4"/>
    <w:rsid w:val="00007978"/>
    <w:rsid w:val="000110B5"/>
    <w:rsid w:val="00014095"/>
    <w:rsid w:val="0001554C"/>
    <w:rsid w:val="00015C44"/>
    <w:rsid w:val="00021967"/>
    <w:rsid w:val="00021FDF"/>
    <w:rsid w:val="00024B4F"/>
    <w:rsid w:val="000254BB"/>
    <w:rsid w:val="00025BD1"/>
    <w:rsid w:val="00030174"/>
    <w:rsid w:val="00032E57"/>
    <w:rsid w:val="00037406"/>
    <w:rsid w:val="00037475"/>
    <w:rsid w:val="00043453"/>
    <w:rsid w:val="0004445B"/>
    <w:rsid w:val="0004512C"/>
    <w:rsid w:val="0004579C"/>
    <w:rsid w:val="00045CD6"/>
    <w:rsid w:val="00046AA6"/>
    <w:rsid w:val="00046AE8"/>
    <w:rsid w:val="00046D90"/>
    <w:rsid w:val="0004787B"/>
    <w:rsid w:val="00052710"/>
    <w:rsid w:val="000531C9"/>
    <w:rsid w:val="00054B24"/>
    <w:rsid w:val="00054B91"/>
    <w:rsid w:val="0005727A"/>
    <w:rsid w:val="00057C65"/>
    <w:rsid w:val="000603D4"/>
    <w:rsid w:val="00061339"/>
    <w:rsid w:val="000647E2"/>
    <w:rsid w:val="0006706E"/>
    <w:rsid w:val="00067A0F"/>
    <w:rsid w:val="00067B98"/>
    <w:rsid w:val="00070582"/>
    <w:rsid w:val="000763D2"/>
    <w:rsid w:val="00081ACB"/>
    <w:rsid w:val="00084A16"/>
    <w:rsid w:val="00090DFA"/>
    <w:rsid w:val="00095BAE"/>
    <w:rsid w:val="00095F34"/>
    <w:rsid w:val="00096483"/>
    <w:rsid w:val="00096CB5"/>
    <w:rsid w:val="000A2230"/>
    <w:rsid w:val="000A3474"/>
    <w:rsid w:val="000A3EDA"/>
    <w:rsid w:val="000A47FA"/>
    <w:rsid w:val="000A61FE"/>
    <w:rsid w:val="000A65D3"/>
    <w:rsid w:val="000A77F6"/>
    <w:rsid w:val="000B03FC"/>
    <w:rsid w:val="000B0621"/>
    <w:rsid w:val="000B1E33"/>
    <w:rsid w:val="000B6BC1"/>
    <w:rsid w:val="000C43E4"/>
    <w:rsid w:val="000C5AE7"/>
    <w:rsid w:val="000C6E8D"/>
    <w:rsid w:val="000C70E2"/>
    <w:rsid w:val="000C73EB"/>
    <w:rsid w:val="000D0CC4"/>
    <w:rsid w:val="000D2384"/>
    <w:rsid w:val="000D31C5"/>
    <w:rsid w:val="000D6596"/>
    <w:rsid w:val="000D6816"/>
    <w:rsid w:val="000D689F"/>
    <w:rsid w:val="000D75B5"/>
    <w:rsid w:val="000D7A6E"/>
    <w:rsid w:val="000D7D15"/>
    <w:rsid w:val="000E14BC"/>
    <w:rsid w:val="000E2902"/>
    <w:rsid w:val="000E3042"/>
    <w:rsid w:val="000E3FD1"/>
    <w:rsid w:val="000E4A79"/>
    <w:rsid w:val="000E7B7B"/>
    <w:rsid w:val="000E7C38"/>
    <w:rsid w:val="000E7D62"/>
    <w:rsid w:val="000F64BC"/>
    <w:rsid w:val="000F668F"/>
    <w:rsid w:val="00103357"/>
    <w:rsid w:val="00113238"/>
    <w:rsid w:val="00115F49"/>
    <w:rsid w:val="00117553"/>
    <w:rsid w:val="00122285"/>
    <w:rsid w:val="00122E99"/>
    <w:rsid w:val="00123C9F"/>
    <w:rsid w:val="001242A5"/>
    <w:rsid w:val="00126190"/>
    <w:rsid w:val="00126507"/>
    <w:rsid w:val="00126BC5"/>
    <w:rsid w:val="00130F17"/>
    <w:rsid w:val="001320BF"/>
    <w:rsid w:val="00141329"/>
    <w:rsid w:val="00143F8B"/>
    <w:rsid w:val="00146358"/>
    <w:rsid w:val="00147E94"/>
    <w:rsid w:val="00147F5C"/>
    <w:rsid w:val="001542F7"/>
    <w:rsid w:val="001568A2"/>
    <w:rsid w:val="0016056F"/>
    <w:rsid w:val="00162528"/>
    <w:rsid w:val="001627B6"/>
    <w:rsid w:val="00163510"/>
    <w:rsid w:val="00163988"/>
    <w:rsid w:val="00163BC4"/>
    <w:rsid w:val="0016553A"/>
    <w:rsid w:val="0016632E"/>
    <w:rsid w:val="00173CDE"/>
    <w:rsid w:val="001746F8"/>
    <w:rsid w:val="00176FD0"/>
    <w:rsid w:val="00177A80"/>
    <w:rsid w:val="00180B05"/>
    <w:rsid w:val="00180F6F"/>
    <w:rsid w:val="00182742"/>
    <w:rsid w:val="00185183"/>
    <w:rsid w:val="001858C3"/>
    <w:rsid w:val="00191062"/>
    <w:rsid w:val="00192B72"/>
    <w:rsid w:val="0019304D"/>
    <w:rsid w:val="001A18F4"/>
    <w:rsid w:val="001A23A3"/>
    <w:rsid w:val="001A29D8"/>
    <w:rsid w:val="001A5CAA"/>
    <w:rsid w:val="001B0427"/>
    <w:rsid w:val="001B1ACC"/>
    <w:rsid w:val="001B41D7"/>
    <w:rsid w:val="001B785F"/>
    <w:rsid w:val="001C12F6"/>
    <w:rsid w:val="001C2FC3"/>
    <w:rsid w:val="001C4AD5"/>
    <w:rsid w:val="001C572B"/>
    <w:rsid w:val="001C71EE"/>
    <w:rsid w:val="001D0BDE"/>
    <w:rsid w:val="001D10E2"/>
    <w:rsid w:val="001D3A51"/>
    <w:rsid w:val="001D4380"/>
    <w:rsid w:val="001E10D2"/>
    <w:rsid w:val="001E1936"/>
    <w:rsid w:val="001E25B4"/>
    <w:rsid w:val="001E44FE"/>
    <w:rsid w:val="001E6121"/>
    <w:rsid w:val="001E7EB7"/>
    <w:rsid w:val="001F7F3C"/>
    <w:rsid w:val="00200595"/>
    <w:rsid w:val="00200CF7"/>
    <w:rsid w:val="0020136A"/>
    <w:rsid w:val="00203AF9"/>
    <w:rsid w:val="00204835"/>
    <w:rsid w:val="002074B8"/>
    <w:rsid w:val="00207724"/>
    <w:rsid w:val="002103DA"/>
    <w:rsid w:val="00210C28"/>
    <w:rsid w:val="002170C0"/>
    <w:rsid w:val="002274C1"/>
    <w:rsid w:val="00231920"/>
    <w:rsid w:val="0023195C"/>
    <w:rsid w:val="00240CE3"/>
    <w:rsid w:val="00241741"/>
    <w:rsid w:val="0024282C"/>
    <w:rsid w:val="002445E6"/>
    <w:rsid w:val="00245CB7"/>
    <w:rsid w:val="002460DC"/>
    <w:rsid w:val="00246DC7"/>
    <w:rsid w:val="00250985"/>
    <w:rsid w:val="00251946"/>
    <w:rsid w:val="002556F6"/>
    <w:rsid w:val="00255FFB"/>
    <w:rsid w:val="00256882"/>
    <w:rsid w:val="002622D4"/>
    <w:rsid w:val="00271F07"/>
    <w:rsid w:val="00272068"/>
    <w:rsid w:val="002755D7"/>
    <w:rsid w:val="002814B3"/>
    <w:rsid w:val="00283105"/>
    <w:rsid w:val="00284C4C"/>
    <w:rsid w:val="00293C16"/>
    <w:rsid w:val="00293C4C"/>
    <w:rsid w:val="00296529"/>
    <w:rsid w:val="0029657B"/>
    <w:rsid w:val="00296ED2"/>
    <w:rsid w:val="002A22A5"/>
    <w:rsid w:val="002A238C"/>
    <w:rsid w:val="002A423F"/>
    <w:rsid w:val="002A5088"/>
    <w:rsid w:val="002A58A7"/>
    <w:rsid w:val="002A63C9"/>
    <w:rsid w:val="002A64FD"/>
    <w:rsid w:val="002A71AC"/>
    <w:rsid w:val="002A77FD"/>
    <w:rsid w:val="002B27FB"/>
    <w:rsid w:val="002B46D5"/>
    <w:rsid w:val="002B4EDC"/>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F2031"/>
    <w:rsid w:val="002F2D06"/>
    <w:rsid w:val="002F42EB"/>
    <w:rsid w:val="002F5E64"/>
    <w:rsid w:val="0030202C"/>
    <w:rsid w:val="00303A6C"/>
    <w:rsid w:val="00303E14"/>
    <w:rsid w:val="00304434"/>
    <w:rsid w:val="003078F7"/>
    <w:rsid w:val="00314853"/>
    <w:rsid w:val="00315186"/>
    <w:rsid w:val="00315729"/>
    <w:rsid w:val="003157D5"/>
    <w:rsid w:val="00315947"/>
    <w:rsid w:val="003207E7"/>
    <w:rsid w:val="00320B81"/>
    <w:rsid w:val="00321807"/>
    <w:rsid w:val="003248E3"/>
    <w:rsid w:val="00324CBC"/>
    <w:rsid w:val="00324DE7"/>
    <w:rsid w:val="00325EA8"/>
    <w:rsid w:val="00326909"/>
    <w:rsid w:val="0033343E"/>
    <w:rsid w:val="00335127"/>
    <w:rsid w:val="00337044"/>
    <w:rsid w:val="003377DA"/>
    <w:rsid w:val="0034085D"/>
    <w:rsid w:val="0034099F"/>
    <w:rsid w:val="00340BF5"/>
    <w:rsid w:val="0034224A"/>
    <w:rsid w:val="00344502"/>
    <w:rsid w:val="003455D7"/>
    <w:rsid w:val="00346014"/>
    <w:rsid w:val="003466A1"/>
    <w:rsid w:val="003512C2"/>
    <w:rsid w:val="00351B03"/>
    <w:rsid w:val="00351F41"/>
    <w:rsid w:val="003541EC"/>
    <w:rsid w:val="00362B79"/>
    <w:rsid w:val="00362D97"/>
    <w:rsid w:val="00363B3A"/>
    <w:rsid w:val="00363CA7"/>
    <w:rsid w:val="003674FE"/>
    <w:rsid w:val="00371FB6"/>
    <w:rsid w:val="003763C1"/>
    <w:rsid w:val="00376A55"/>
    <w:rsid w:val="00376BBE"/>
    <w:rsid w:val="00377430"/>
    <w:rsid w:val="0038437D"/>
    <w:rsid w:val="00384B44"/>
    <w:rsid w:val="003872C9"/>
    <w:rsid w:val="0039224F"/>
    <w:rsid w:val="003938CA"/>
    <w:rsid w:val="00394EAF"/>
    <w:rsid w:val="00395884"/>
    <w:rsid w:val="003A1837"/>
    <w:rsid w:val="003A43A4"/>
    <w:rsid w:val="003A4D6B"/>
    <w:rsid w:val="003A539B"/>
    <w:rsid w:val="003A67AC"/>
    <w:rsid w:val="003A6DA1"/>
    <w:rsid w:val="003A7E18"/>
    <w:rsid w:val="003B103B"/>
    <w:rsid w:val="003B12FC"/>
    <w:rsid w:val="003B1AE0"/>
    <w:rsid w:val="003B2756"/>
    <w:rsid w:val="003B2A9F"/>
    <w:rsid w:val="003B6CAC"/>
    <w:rsid w:val="003B73F0"/>
    <w:rsid w:val="003C1C58"/>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4182"/>
    <w:rsid w:val="00437079"/>
    <w:rsid w:val="00440F43"/>
    <w:rsid w:val="0044134F"/>
    <w:rsid w:val="00441B6F"/>
    <w:rsid w:val="00443FAD"/>
    <w:rsid w:val="00446221"/>
    <w:rsid w:val="00450E62"/>
    <w:rsid w:val="004539DB"/>
    <w:rsid w:val="00454D68"/>
    <w:rsid w:val="004605A5"/>
    <w:rsid w:val="004608EE"/>
    <w:rsid w:val="00460BE9"/>
    <w:rsid w:val="004611A9"/>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A58AC"/>
    <w:rsid w:val="004B1A50"/>
    <w:rsid w:val="004B1AFD"/>
    <w:rsid w:val="004B6E2B"/>
    <w:rsid w:val="004C0FB0"/>
    <w:rsid w:val="004C23DD"/>
    <w:rsid w:val="004C482A"/>
    <w:rsid w:val="004C569C"/>
    <w:rsid w:val="004C6530"/>
    <w:rsid w:val="004D07E8"/>
    <w:rsid w:val="004D0C87"/>
    <w:rsid w:val="004D305E"/>
    <w:rsid w:val="004D4277"/>
    <w:rsid w:val="004D7384"/>
    <w:rsid w:val="004E1DA9"/>
    <w:rsid w:val="004E21A0"/>
    <w:rsid w:val="004E5345"/>
    <w:rsid w:val="004E5924"/>
    <w:rsid w:val="004E5E16"/>
    <w:rsid w:val="004E61B8"/>
    <w:rsid w:val="004E6386"/>
    <w:rsid w:val="004F7E11"/>
    <w:rsid w:val="00500D35"/>
    <w:rsid w:val="00502516"/>
    <w:rsid w:val="00502C0C"/>
    <w:rsid w:val="00502D46"/>
    <w:rsid w:val="00503ADC"/>
    <w:rsid w:val="00504CAB"/>
    <w:rsid w:val="00505F06"/>
    <w:rsid w:val="00506828"/>
    <w:rsid w:val="0050761B"/>
    <w:rsid w:val="00507A73"/>
    <w:rsid w:val="00523F46"/>
    <w:rsid w:val="00524ED0"/>
    <w:rsid w:val="0053056E"/>
    <w:rsid w:val="0053216B"/>
    <w:rsid w:val="0053558A"/>
    <w:rsid w:val="00535C8B"/>
    <w:rsid w:val="00535CBD"/>
    <w:rsid w:val="005404AD"/>
    <w:rsid w:val="005428F9"/>
    <w:rsid w:val="005430C4"/>
    <w:rsid w:val="005435C6"/>
    <w:rsid w:val="00550463"/>
    <w:rsid w:val="00553354"/>
    <w:rsid w:val="0055379E"/>
    <w:rsid w:val="00554C2B"/>
    <w:rsid w:val="00554EEE"/>
    <w:rsid w:val="00554FDA"/>
    <w:rsid w:val="00555A79"/>
    <w:rsid w:val="00555BD1"/>
    <w:rsid w:val="00557ED8"/>
    <w:rsid w:val="005602BC"/>
    <w:rsid w:val="00567306"/>
    <w:rsid w:val="0057110B"/>
    <w:rsid w:val="00572250"/>
    <w:rsid w:val="00574C91"/>
    <w:rsid w:val="00575E98"/>
    <w:rsid w:val="005811D6"/>
    <w:rsid w:val="00582069"/>
    <w:rsid w:val="00586CB8"/>
    <w:rsid w:val="00587F26"/>
    <w:rsid w:val="00590BF3"/>
    <w:rsid w:val="00591549"/>
    <w:rsid w:val="00596C11"/>
    <w:rsid w:val="005A463E"/>
    <w:rsid w:val="005A4C3F"/>
    <w:rsid w:val="005A6625"/>
    <w:rsid w:val="005B222E"/>
    <w:rsid w:val="005B3F31"/>
    <w:rsid w:val="005B5EA4"/>
    <w:rsid w:val="005C2662"/>
    <w:rsid w:val="005C2AB0"/>
    <w:rsid w:val="005C3039"/>
    <w:rsid w:val="005C540B"/>
    <w:rsid w:val="005C6F1A"/>
    <w:rsid w:val="005C784C"/>
    <w:rsid w:val="005D17F6"/>
    <w:rsid w:val="005D2C58"/>
    <w:rsid w:val="005D4AE9"/>
    <w:rsid w:val="005D5C0A"/>
    <w:rsid w:val="005D5C8E"/>
    <w:rsid w:val="005D5F0B"/>
    <w:rsid w:val="005E2A7F"/>
    <w:rsid w:val="005E5539"/>
    <w:rsid w:val="005F3517"/>
    <w:rsid w:val="005F3FD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3C5"/>
    <w:rsid w:val="00621A3E"/>
    <w:rsid w:val="00621CBF"/>
    <w:rsid w:val="00622252"/>
    <w:rsid w:val="00624014"/>
    <w:rsid w:val="006273A5"/>
    <w:rsid w:val="00633614"/>
    <w:rsid w:val="00633F68"/>
    <w:rsid w:val="00635592"/>
    <w:rsid w:val="00635BF6"/>
    <w:rsid w:val="00636EB2"/>
    <w:rsid w:val="006375B8"/>
    <w:rsid w:val="00641362"/>
    <w:rsid w:val="00641364"/>
    <w:rsid w:val="00641370"/>
    <w:rsid w:val="00641BF9"/>
    <w:rsid w:val="00642019"/>
    <w:rsid w:val="00642BE9"/>
    <w:rsid w:val="0065144C"/>
    <w:rsid w:val="00651627"/>
    <w:rsid w:val="00652FDB"/>
    <w:rsid w:val="0065364D"/>
    <w:rsid w:val="0065384F"/>
    <w:rsid w:val="00653EC9"/>
    <w:rsid w:val="006543BB"/>
    <w:rsid w:val="00654533"/>
    <w:rsid w:val="00655095"/>
    <w:rsid w:val="00657A66"/>
    <w:rsid w:val="0066510A"/>
    <w:rsid w:val="00665B52"/>
    <w:rsid w:val="00665BF0"/>
    <w:rsid w:val="00665D1C"/>
    <w:rsid w:val="006706E9"/>
    <w:rsid w:val="00673F9F"/>
    <w:rsid w:val="00681775"/>
    <w:rsid w:val="00681E63"/>
    <w:rsid w:val="00683035"/>
    <w:rsid w:val="006838DC"/>
    <w:rsid w:val="00686953"/>
    <w:rsid w:val="00686A69"/>
    <w:rsid w:val="00687DEA"/>
    <w:rsid w:val="00687E67"/>
    <w:rsid w:val="00687FCD"/>
    <w:rsid w:val="00692B46"/>
    <w:rsid w:val="00694E96"/>
    <w:rsid w:val="006967F7"/>
    <w:rsid w:val="00696934"/>
    <w:rsid w:val="00697B55"/>
    <w:rsid w:val="006A0A28"/>
    <w:rsid w:val="006A0F34"/>
    <w:rsid w:val="006A1A0B"/>
    <w:rsid w:val="006A250C"/>
    <w:rsid w:val="006A2AD3"/>
    <w:rsid w:val="006A6872"/>
    <w:rsid w:val="006A68BD"/>
    <w:rsid w:val="006B0BD5"/>
    <w:rsid w:val="006B21D3"/>
    <w:rsid w:val="006B3070"/>
    <w:rsid w:val="006B57D0"/>
    <w:rsid w:val="006B77F3"/>
    <w:rsid w:val="006C24B2"/>
    <w:rsid w:val="006C294F"/>
    <w:rsid w:val="006C3422"/>
    <w:rsid w:val="006D0988"/>
    <w:rsid w:val="006D30FF"/>
    <w:rsid w:val="006D6940"/>
    <w:rsid w:val="006E0AD9"/>
    <w:rsid w:val="006E30E5"/>
    <w:rsid w:val="006E38F4"/>
    <w:rsid w:val="006E67C9"/>
    <w:rsid w:val="006E6A7D"/>
    <w:rsid w:val="006E744F"/>
    <w:rsid w:val="006F0C7A"/>
    <w:rsid w:val="006F11EC"/>
    <w:rsid w:val="006F3835"/>
    <w:rsid w:val="006F4747"/>
    <w:rsid w:val="006F5599"/>
    <w:rsid w:val="006F6002"/>
    <w:rsid w:val="006F74CA"/>
    <w:rsid w:val="006F7EB7"/>
    <w:rsid w:val="006F7F32"/>
    <w:rsid w:val="0070082C"/>
    <w:rsid w:val="007033E6"/>
    <w:rsid w:val="00703AE3"/>
    <w:rsid w:val="007057ED"/>
    <w:rsid w:val="007101DE"/>
    <w:rsid w:val="00710AA0"/>
    <w:rsid w:val="00717F2E"/>
    <w:rsid w:val="00720093"/>
    <w:rsid w:val="00720256"/>
    <w:rsid w:val="00722C51"/>
    <w:rsid w:val="00725C58"/>
    <w:rsid w:val="00727A12"/>
    <w:rsid w:val="00730CFF"/>
    <w:rsid w:val="00730DD1"/>
    <w:rsid w:val="0073519E"/>
    <w:rsid w:val="00736110"/>
    <w:rsid w:val="0073677C"/>
    <w:rsid w:val="007369E6"/>
    <w:rsid w:val="0073721D"/>
    <w:rsid w:val="00737401"/>
    <w:rsid w:val="00740B58"/>
    <w:rsid w:val="00742E2C"/>
    <w:rsid w:val="00744278"/>
    <w:rsid w:val="00745358"/>
    <w:rsid w:val="00746E59"/>
    <w:rsid w:val="00750E96"/>
    <w:rsid w:val="00754C9A"/>
    <w:rsid w:val="0075599A"/>
    <w:rsid w:val="00756181"/>
    <w:rsid w:val="00756316"/>
    <w:rsid w:val="00756864"/>
    <w:rsid w:val="00757F7F"/>
    <w:rsid w:val="00761D52"/>
    <w:rsid w:val="00766500"/>
    <w:rsid w:val="00766599"/>
    <w:rsid w:val="0076770C"/>
    <w:rsid w:val="00767E04"/>
    <w:rsid w:val="007701E3"/>
    <w:rsid w:val="00771EA9"/>
    <w:rsid w:val="00774E95"/>
    <w:rsid w:val="00775447"/>
    <w:rsid w:val="00776F82"/>
    <w:rsid w:val="0077749E"/>
    <w:rsid w:val="00777894"/>
    <w:rsid w:val="00777EFB"/>
    <w:rsid w:val="00781D5E"/>
    <w:rsid w:val="00781F66"/>
    <w:rsid w:val="00790ADA"/>
    <w:rsid w:val="00791230"/>
    <w:rsid w:val="0079158F"/>
    <w:rsid w:val="007969E9"/>
    <w:rsid w:val="00796B7D"/>
    <w:rsid w:val="007A2E32"/>
    <w:rsid w:val="007A351A"/>
    <w:rsid w:val="007B0C10"/>
    <w:rsid w:val="007B541F"/>
    <w:rsid w:val="007B6F20"/>
    <w:rsid w:val="007C3792"/>
    <w:rsid w:val="007C4C8B"/>
    <w:rsid w:val="007C4E84"/>
    <w:rsid w:val="007C6585"/>
    <w:rsid w:val="007C6F64"/>
    <w:rsid w:val="007D0606"/>
    <w:rsid w:val="007D2288"/>
    <w:rsid w:val="007D30D2"/>
    <w:rsid w:val="007D3FB5"/>
    <w:rsid w:val="007D7251"/>
    <w:rsid w:val="007D7C3E"/>
    <w:rsid w:val="007E088F"/>
    <w:rsid w:val="007E565A"/>
    <w:rsid w:val="007E7A7F"/>
    <w:rsid w:val="007F033D"/>
    <w:rsid w:val="007F2720"/>
    <w:rsid w:val="007F2EEE"/>
    <w:rsid w:val="007F6C64"/>
    <w:rsid w:val="007F6D8D"/>
    <w:rsid w:val="007F7B32"/>
    <w:rsid w:val="007F7FDC"/>
    <w:rsid w:val="00804067"/>
    <w:rsid w:val="00804BC2"/>
    <w:rsid w:val="00810B02"/>
    <w:rsid w:val="0081431A"/>
    <w:rsid w:val="00814943"/>
    <w:rsid w:val="008157DD"/>
    <w:rsid w:val="008204D0"/>
    <w:rsid w:val="008216D2"/>
    <w:rsid w:val="00822E31"/>
    <w:rsid w:val="008244F8"/>
    <w:rsid w:val="00826162"/>
    <w:rsid w:val="00830F00"/>
    <w:rsid w:val="00831639"/>
    <w:rsid w:val="00831C82"/>
    <w:rsid w:val="0083216F"/>
    <w:rsid w:val="00834274"/>
    <w:rsid w:val="00836887"/>
    <w:rsid w:val="0083703E"/>
    <w:rsid w:val="00843B88"/>
    <w:rsid w:val="00844419"/>
    <w:rsid w:val="008453DD"/>
    <w:rsid w:val="00847952"/>
    <w:rsid w:val="00851CF6"/>
    <w:rsid w:val="0085546E"/>
    <w:rsid w:val="0085657A"/>
    <w:rsid w:val="00860000"/>
    <w:rsid w:val="00862163"/>
    <w:rsid w:val="00863BD3"/>
    <w:rsid w:val="00866D66"/>
    <w:rsid w:val="00866DD1"/>
    <w:rsid w:val="008671C6"/>
    <w:rsid w:val="008714D6"/>
    <w:rsid w:val="00872099"/>
    <w:rsid w:val="00872C97"/>
    <w:rsid w:val="00875644"/>
    <w:rsid w:val="00875803"/>
    <w:rsid w:val="00877D36"/>
    <w:rsid w:val="00880A60"/>
    <w:rsid w:val="0088785F"/>
    <w:rsid w:val="008945A3"/>
    <w:rsid w:val="00896524"/>
    <w:rsid w:val="00897FB9"/>
    <w:rsid w:val="008A09AF"/>
    <w:rsid w:val="008A1807"/>
    <w:rsid w:val="008A2454"/>
    <w:rsid w:val="008A7E29"/>
    <w:rsid w:val="008B459E"/>
    <w:rsid w:val="008B6AE3"/>
    <w:rsid w:val="008C2330"/>
    <w:rsid w:val="008C4F43"/>
    <w:rsid w:val="008C65DE"/>
    <w:rsid w:val="008D1544"/>
    <w:rsid w:val="008D4CC6"/>
    <w:rsid w:val="008D5531"/>
    <w:rsid w:val="008E13AE"/>
    <w:rsid w:val="008E1506"/>
    <w:rsid w:val="008E1D48"/>
    <w:rsid w:val="008E710C"/>
    <w:rsid w:val="008F0221"/>
    <w:rsid w:val="008F0EB7"/>
    <w:rsid w:val="008F2E29"/>
    <w:rsid w:val="008F446C"/>
    <w:rsid w:val="008F5B17"/>
    <w:rsid w:val="008F69D6"/>
    <w:rsid w:val="00902823"/>
    <w:rsid w:val="00907A49"/>
    <w:rsid w:val="00912783"/>
    <w:rsid w:val="00912CD0"/>
    <w:rsid w:val="00914956"/>
    <w:rsid w:val="00915CA6"/>
    <w:rsid w:val="00915CD7"/>
    <w:rsid w:val="009205F6"/>
    <w:rsid w:val="00922FF1"/>
    <w:rsid w:val="00924904"/>
    <w:rsid w:val="00925012"/>
    <w:rsid w:val="00926B4B"/>
    <w:rsid w:val="00927834"/>
    <w:rsid w:val="00930640"/>
    <w:rsid w:val="009316B6"/>
    <w:rsid w:val="00932889"/>
    <w:rsid w:val="00940320"/>
    <w:rsid w:val="009500A6"/>
    <w:rsid w:val="00951100"/>
    <w:rsid w:val="009522BB"/>
    <w:rsid w:val="00952916"/>
    <w:rsid w:val="009555B0"/>
    <w:rsid w:val="00955D5A"/>
    <w:rsid w:val="00957C18"/>
    <w:rsid w:val="00957C4C"/>
    <w:rsid w:val="00962B44"/>
    <w:rsid w:val="00962C41"/>
    <w:rsid w:val="00962DA2"/>
    <w:rsid w:val="009648BB"/>
    <w:rsid w:val="009659BA"/>
    <w:rsid w:val="00966016"/>
    <w:rsid w:val="0096663E"/>
    <w:rsid w:val="0096697A"/>
    <w:rsid w:val="00966B8A"/>
    <w:rsid w:val="00970217"/>
    <w:rsid w:val="00973D3A"/>
    <w:rsid w:val="0097678A"/>
    <w:rsid w:val="00976CB2"/>
    <w:rsid w:val="00982E47"/>
    <w:rsid w:val="00983040"/>
    <w:rsid w:val="0098668C"/>
    <w:rsid w:val="00990672"/>
    <w:rsid w:val="009913C6"/>
    <w:rsid w:val="00991ABC"/>
    <w:rsid w:val="00994271"/>
    <w:rsid w:val="009950D9"/>
    <w:rsid w:val="00995521"/>
    <w:rsid w:val="009977FF"/>
    <w:rsid w:val="009A4B52"/>
    <w:rsid w:val="009A5463"/>
    <w:rsid w:val="009A5ABF"/>
    <w:rsid w:val="009B02B2"/>
    <w:rsid w:val="009B2A64"/>
    <w:rsid w:val="009B3A25"/>
    <w:rsid w:val="009B3FB9"/>
    <w:rsid w:val="009B4BA0"/>
    <w:rsid w:val="009B614E"/>
    <w:rsid w:val="009C211B"/>
    <w:rsid w:val="009C2465"/>
    <w:rsid w:val="009C4360"/>
    <w:rsid w:val="009C6219"/>
    <w:rsid w:val="009D062A"/>
    <w:rsid w:val="009D346B"/>
    <w:rsid w:val="009D35A0"/>
    <w:rsid w:val="009D505E"/>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23E"/>
    <w:rsid w:val="009F743A"/>
    <w:rsid w:val="00A03B96"/>
    <w:rsid w:val="00A03BA8"/>
    <w:rsid w:val="00A04439"/>
    <w:rsid w:val="00A05B19"/>
    <w:rsid w:val="00A11120"/>
    <w:rsid w:val="00A1134E"/>
    <w:rsid w:val="00A12A42"/>
    <w:rsid w:val="00A21D6E"/>
    <w:rsid w:val="00A24E7E"/>
    <w:rsid w:val="00A254E5"/>
    <w:rsid w:val="00A258C3"/>
    <w:rsid w:val="00A313D4"/>
    <w:rsid w:val="00A347C0"/>
    <w:rsid w:val="00A366FA"/>
    <w:rsid w:val="00A40AF9"/>
    <w:rsid w:val="00A44B85"/>
    <w:rsid w:val="00A45370"/>
    <w:rsid w:val="00A46357"/>
    <w:rsid w:val="00A47DC3"/>
    <w:rsid w:val="00A51431"/>
    <w:rsid w:val="00A52A80"/>
    <w:rsid w:val="00A539AD"/>
    <w:rsid w:val="00A54DF9"/>
    <w:rsid w:val="00A561C5"/>
    <w:rsid w:val="00A577B9"/>
    <w:rsid w:val="00A61C0B"/>
    <w:rsid w:val="00A72666"/>
    <w:rsid w:val="00A73CD6"/>
    <w:rsid w:val="00A74632"/>
    <w:rsid w:val="00A877E0"/>
    <w:rsid w:val="00A9100D"/>
    <w:rsid w:val="00A94063"/>
    <w:rsid w:val="00A97CA7"/>
    <w:rsid w:val="00AA021D"/>
    <w:rsid w:val="00AA046F"/>
    <w:rsid w:val="00AA1319"/>
    <w:rsid w:val="00AA39D0"/>
    <w:rsid w:val="00AA619C"/>
    <w:rsid w:val="00AA6219"/>
    <w:rsid w:val="00AA74E0"/>
    <w:rsid w:val="00AB03A5"/>
    <w:rsid w:val="00AB0ED9"/>
    <w:rsid w:val="00AB4638"/>
    <w:rsid w:val="00AB703F"/>
    <w:rsid w:val="00AB71CE"/>
    <w:rsid w:val="00AB7BD9"/>
    <w:rsid w:val="00AC14F6"/>
    <w:rsid w:val="00AC2477"/>
    <w:rsid w:val="00AC5747"/>
    <w:rsid w:val="00AC6BB8"/>
    <w:rsid w:val="00AD3432"/>
    <w:rsid w:val="00AD41CE"/>
    <w:rsid w:val="00AD766B"/>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3046"/>
    <w:rsid w:val="00B23383"/>
    <w:rsid w:val="00B237FB"/>
    <w:rsid w:val="00B278F0"/>
    <w:rsid w:val="00B31AFA"/>
    <w:rsid w:val="00B32415"/>
    <w:rsid w:val="00B346C5"/>
    <w:rsid w:val="00B35A5F"/>
    <w:rsid w:val="00B364F1"/>
    <w:rsid w:val="00B37CEB"/>
    <w:rsid w:val="00B44933"/>
    <w:rsid w:val="00B52896"/>
    <w:rsid w:val="00B549CE"/>
    <w:rsid w:val="00B54AB6"/>
    <w:rsid w:val="00B55B85"/>
    <w:rsid w:val="00B55D37"/>
    <w:rsid w:val="00B55FCC"/>
    <w:rsid w:val="00B60155"/>
    <w:rsid w:val="00B61EAB"/>
    <w:rsid w:val="00B62947"/>
    <w:rsid w:val="00B631AD"/>
    <w:rsid w:val="00B64177"/>
    <w:rsid w:val="00B66AB4"/>
    <w:rsid w:val="00B67467"/>
    <w:rsid w:val="00B71C11"/>
    <w:rsid w:val="00B72B39"/>
    <w:rsid w:val="00B771E5"/>
    <w:rsid w:val="00B83A45"/>
    <w:rsid w:val="00B859F0"/>
    <w:rsid w:val="00B95236"/>
    <w:rsid w:val="00B96BD9"/>
    <w:rsid w:val="00B978D8"/>
    <w:rsid w:val="00BA1B01"/>
    <w:rsid w:val="00BA2193"/>
    <w:rsid w:val="00BA2641"/>
    <w:rsid w:val="00BA35EB"/>
    <w:rsid w:val="00BA4CDF"/>
    <w:rsid w:val="00BA4D4E"/>
    <w:rsid w:val="00BA5C84"/>
    <w:rsid w:val="00BA7061"/>
    <w:rsid w:val="00BB1E3C"/>
    <w:rsid w:val="00BB37AA"/>
    <w:rsid w:val="00BB4C24"/>
    <w:rsid w:val="00BB698A"/>
    <w:rsid w:val="00BB6D95"/>
    <w:rsid w:val="00BB6DA6"/>
    <w:rsid w:val="00BC2A3C"/>
    <w:rsid w:val="00BC53A0"/>
    <w:rsid w:val="00BD07D8"/>
    <w:rsid w:val="00BD504C"/>
    <w:rsid w:val="00BD7404"/>
    <w:rsid w:val="00BD7576"/>
    <w:rsid w:val="00BE0A38"/>
    <w:rsid w:val="00BE0E4E"/>
    <w:rsid w:val="00BE1295"/>
    <w:rsid w:val="00BE230B"/>
    <w:rsid w:val="00BE62AD"/>
    <w:rsid w:val="00BF121F"/>
    <w:rsid w:val="00BF1F80"/>
    <w:rsid w:val="00BF2939"/>
    <w:rsid w:val="00BF7728"/>
    <w:rsid w:val="00C01D17"/>
    <w:rsid w:val="00C05B06"/>
    <w:rsid w:val="00C07CB7"/>
    <w:rsid w:val="00C11D4D"/>
    <w:rsid w:val="00C12C45"/>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4692B"/>
    <w:rsid w:val="00C52831"/>
    <w:rsid w:val="00C532EF"/>
    <w:rsid w:val="00C5460A"/>
    <w:rsid w:val="00C555E5"/>
    <w:rsid w:val="00C63EF9"/>
    <w:rsid w:val="00C65D13"/>
    <w:rsid w:val="00C705A4"/>
    <w:rsid w:val="00C70F1B"/>
    <w:rsid w:val="00C71A47"/>
    <w:rsid w:val="00C72DF1"/>
    <w:rsid w:val="00C73A36"/>
    <w:rsid w:val="00C73E17"/>
    <w:rsid w:val="00C741DB"/>
    <w:rsid w:val="00C7464C"/>
    <w:rsid w:val="00C75625"/>
    <w:rsid w:val="00C8198B"/>
    <w:rsid w:val="00C81A14"/>
    <w:rsid w:val="00C838DC"/>
    <w:rsid w:val="00C85588"/>
    <w:rsid w:val="00C85987"/>
    <w:rsid w:val="00C868A2"/>
    <w:rsid w:val="00C90676"/>
    <w:rsid w:val="00C9268E"/>
    <w:rsid w:val="00C92845"/>
    <w:rsid w:val="00C944B7"/>
    <w:rsid w:val="00C94706"/>
    <w:rsid w:val="00C972A1"/>
    <w:rsid w:val="00CA1A21"/>
    <w:rsid w:val="00CA4B41"/>
    <w:rsid w:val="00CA7890"/>
    <w:rsid w:val="00CB059F"/>
    <w:rsid w:val="00CB2155"/>
    <w:rsid w:val="00CB37FD"/>
    <w:rsid w:val="00CB6F3A"/>
    <w:rsid w:val="00CB7AC1"/>
    <w:rsid w:val="00CC701F"/>
    <w:rsid w:val="00CC7073"/>
    <w:rsid w:val="00CD1124"/>
    <w:rsid w:val="00CD6339"/>
    <w:rsid w:val="00CD6755"/>
    <w:rsid w:val="00CD6856"/>
    <w:rsid w:val="00CD6F56"/>
    <w:rsid w:val="00CE0089"/>
    <w:rsid w:val="00CE3176"/>
    <w:rsid w:val="00CE5E13"/>
    <w:rsid w:val="00CE793C"/>
    <w:rsid w:val="00CF2E29"/>
    <w:rsid w:val="00D01782"/>
    <w:rsid w:val="00D0289A"/>
    <w:rsid w:val="00D0292E"/>
    <w:rsid w:val="00D03BEB"/>
    <w:rsid w:val="00D065CB"/>
    <w:rsid w:val="00D13BF4"/>
    <w:rsid w:val="00D16A04"/>
    <w:rsid w:val="00D17273"/>
    <w:rsid w:val="00D173F1"/>
    <w:rsid w:val="00D21E8D"/>
    <w:rsid w:val="00D227D5"/>
    <w:rsid w:val="00D23445"/>
    <w:rsid w:val="00D23B1F"/>
    <w:rsid w:val="00D24440"/>
    <w:rsid w:val="00D311B1"/>
    <w:rsid w:val="00D32F12"/>
    <w:rsid w:val="00D341E9"/>
    <w:rsid w:val="00D40BDC"/>
    <w:rsid w:val="00D41A18"/>
    <w:rsid w:val="00D42848"/>
    <w:rsid w:val="00D429C7"/>
    <w:rsid w:val="00D42F2F"/>
    <w:rsid w:val="00D453B9"/>
    <w:rsid w:val="00D468AD"/>
    <w:rsid w:val="00D46AD9"/>
    <w:rsid w:val="00D5041B"/>
    <w:rsid w:val="00D53603"/>
    <w:rsid w:val="00D54014"/>
    <w:rsid w:val="00D542B6"/>
    <w:rsid w:val="00D545D7"/>
    <w:rsid w:val="00D54B4E"/>
    <w:rsid w:val="00D54EB8"/>
    <w:rsid w:val="00D550A7"/>
    <w:rsid w:val="00D56A11"/>
    <w:rsid w:val="00D60E73"/>
    <w:rsid w:val="00D62A6B"/>
    <w:rsid w:val="00D64B9B"/>
    <w:rsid w:val="00D66561"/>
    <w:rsid w:val="00D668D6"/>
    <w:rsid w:val="00D67D5C"/>
    <w:rsid w:val="00D717BB"/>
    <w:rsid w:val="00D72CC0"/>
    <w:rsid w:val="00D772CA"/>
    <w:rsid w:val="00D77F8D"/>
    <w:rsid w:val="00D8295D"/>
    <w:rsid w:val="00D83D9C"/>
    <w:rsid w:val="00D927CC"/>
    <w:rsid w:val="00D92CBE"/>
    <w:rsid w:val="00D95C45"/>
    <w:rsid w:val="00DA28B7"/>
    <w:rsid w:val="00DA3D24"/>
    <w:rsid w:val="00DB03BF"/>
    <w:rsid w:val="00DB0B12"/>
    <w:rsid w:val="00DB0B8E"/>
    <w:rsid w:val="00DB27EE"/>
    <w:rsid w:val="00DC09E0"/>
    <w:rsid w:val="00DC0BFC"/>
    <w:rsid w:val="00DC1A01"/>
    <w:rsid w:val="00DC2A65"/>
    <w:rsid w:val="00DC6178"/>
    <w:rsid w:val="00DD0B2B"/>
    <w:rsid w:val="00DD1370"/>
    <w:rsid w:val="00DD1EA9"/>
    <w:rsid w:val="00DD5EA2"/>
    <w:rsid w:val="00DD6431"/>
    <w:rsid w:val="00DD68C1"/>
    <w:rsid w:val="00DD733B"/>
    <w:rsid w:val="00DE14B0"/>
    <w:rsid w:val="00DE15F0"/>
    <w:rsid w:val="00DE32FA"/>
    <w:rsid w:val="00DE5663"/>
    <w:rsid w:val="00DE7644"/>
    <w:rsid w:val="00DE78AA"/>
    <w:rsid w:val="00DF4C95"/>
    <w:rsid w:val="00E009EA"/>
    <w:rsid w:val="00E03FF5"/>
    <w:rsid w:val="00E053D0"/>
    <w:rsid w:val="00E05D72"/>
    <w:rsid w:val="00E05E14"/>
    <w:rsid w:val="00E100D0"/>
    <w:rsid w:val="00E103CF"/>
    <w:rsid w:val="00E112E6"/>
    <w:rsid w:val="00E12CED"/>
    <w:rsid w:val="00E146D8"/>
    <w:rsid w:val="00E15994"/>
    <w:rsid w:val="00E22B41"/>
    <w:rsid w:val="00E2395E"/>
    <w:rsid w:val="00E263A0"/>
    <w:rsid w:val="00E3114E"/>
    <w:rsid w:val="00E31319"/>
    <w:rsid w:val="00E31A70"/>
    <w:rsid w:val="00E31B40"/>
    <w:rsid w:val="00E335C2"/>
    <w:rsid w:val="00E33747"/>
    <w:rsid w:val="00E3444C"/>
    <w:rsid w:val="00E35B02"/>
    <w:rsid w:val="00E37919"/>
    <w:rsid w:val="00E41EEF"/>
    <w:rsid w:val="00E43AF9"/>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241"/>
    <w:rsid w:val="00E744D3"/>
    <w:rsid w:val="00E75068"/>
    <w:rsid w:val="00E76180"/>
    <w:rsid w:val="00E769F6"/>
    <w:rsid w:val="00E80D52"/>
    <w:rsid w:val="00E8217A"/>
    <w:rsid w:val="00E82357"/>
    <w:rsid w:val="00E824CE"/>
    <w:rsid w:val="00E8407C"/>
    <w:rsid w:val="00E84F3C"/>
    <w:rsid w:val="00E855E0"/>
    <w:rsid w:val="00E9718F"/>
    <w:rsid w:val="00EA012C"/>
    <w:rsid w:val="00EA70C1"/>
    <w:rsid w:val="00EB1D47"/>
    <w:rsid w:val="00EB2E0E"/>
    <w:rsid w:val="00EB7104"/>
    <w:rsid w:val="00EC3636"/>
    <w:rsid w:val="00EC7E42"/>
    <w:rsid w:val="00ED00E1"/>
    <w:rsid w:val="00ED0288"/>
    <w:rsid w:val="00ED2411"/>
    <w:rsid w:val="00ED54F5"/>
    <w:rsid w:val="00ED755D"/>
    <w:rsid w:val="00EE3755"/>
    <w:rsid w:val="00EE52CB"/>
    <w:rsid w:val="00EE66A5"/>
    <w:rsid w:val="00EF0890"/>
    <w:rsid w:val="00EF1EB5"/>
    <w:rsid w:val="00EF2383"/>
    <w:rsid w:val="00EF581D"/>
    <w:rsid w:val="00EF7DF2"/>
    <w:rsid w:val="00EF7FD8"/>
    <w:rsid w:val="00F04F13"/>
    <w:rsid w:val="00F05FAA"/>
    <w:rsid w:val="00F06F59"/>
    <w:rsid w:val="00F071D7"/>
    <w:rsid w:val="00F07371"/>
    <w:rsid w:val="00F11DDA"/>
    <w:rsid w:val="00F12135"/>
    <w:rsid w:val="00F159E4"/>
    <w:rsid w:val="00F174B8"/>
    <w:rsid w:val="00F17988"/>
    <w:rsid w:val="00F20BD8"/>
    <w:rsid w:val="00F2100D"/>
    <w:rsid w:val="00F23A67"/>
    <w:rsid w:val="00F266FB"/>
    <w:rsid w:val="00F303EB"/>
    <w:rsid w:val="00F36ABC"/>
    <w:rsid w:val="00F36B02"/>
    <w:rsid w:val="00F40FB0"/>
    <w:rsid w:val="00F410EA"/>
    <w:rsid w:val="00F41F1C"/>
    <w:rsid w:val="00F42FC6"/>
    <w:rsid w:val="00F469F0"/>
    <w:rsid w:val="00F46EEA"/>
    <w:rsid w:val="00F473E0"/>
    <w:rsid w:val="00F51246"/>
    <w:rsid w:val="00F53273"/>
    <w:rsid w:val="00F53CF3"/>
    <w:rsid w:val="00F576D3"/>
    <w:rsid w:val="00F57E77"/>
    <w:rsid w:val="00F57FA7"/>
    <w:rsid w:val="00F606EA"/>
    <w:rsid w:val="00F63AD9"/>
    <w:rsid w:val="00F63EA4"/>
    <w:rsid w:val="00F70217"/>
    <w:rsid w:val="00F70245"/>
    <w:rsid w:val="00F7028B"/>
    <w:rsid w:val="00F70BCD"/>
    <w:rsid w:val="00F71EB8"/>
    <w:rsid w:val="00F74F93"/>
    <w:rsid w:val="00F755E4"/>
    <w:rsid w:val="00F759B7"/>
    <w:rsid w:val="00F77D02"/>
    <w:rsid w:val="00F80106"/>
    <w:rsid w:val="00F92E3C"/>
    <w:rsid w:val="00F947E3"/>
    <w:rsid w:val="00F96071"/>
    <w:rsid w:val="00FA0D6E"/>
    <w:rsid w:val="00FA2543"/>
    <w:rsid w:val="00FA2DC4"/>
    <w:rsid w:val="00FB3A86"/>
    <w:rsid w:val="00FB469D"/>
    <w:rsid w:val="00FB6318"/>
    <w:rsid w:val="00FB7F6C"/>
    <w:rsid w:val="00FC4F69"/>
    <w:rsid w:val="00FD227E"/>
    <w:rsid w:val="00FD270D"/>
    <w:rsid w:val="00FD2B99"/>
    <w:rsid w:val="00FD36C8"/>
    <w:rsid w:val="00FD5070"/>
    <w:rsid w:val="00FD57A3"/>
    <w:rsid w:val="00FE32B3"/>
    <w:rsid w:val="00FE44DE"/>
    <w:rsid w:val="00FE46CD"/>
    <w:rsid w:val="00FF0648"/>
    <w:rsid w:val="00FF123B"/>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6B3070"/>
    <w:rPr>
      <w:rFonts w:eastAsia="Arial Unicode MS" w:cs="Arial Unicode MS"/>
      <w:color w:val="000000"/>
      <w:sz w:val="22"/>
      <w:szCs w:val="22"/>
      <w:u w:color="000000"/>
      <w:lang w:eastAsia="en-PH"/>
    </w:rPr>
  </w:style>
  <w:style w:type="character" w:styleId="UnresolvedMention">
    <w:name w:val="Unresolved Mention"/>
    <w:basedOn w:val="DefaultParagraphFont"/>
    <w:uiPriority w:val="99"/>
    <w:semiHidden/>
    <w:unhideWhenUsed/>
    <w:rsid w:val="00875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60</TotalTime>
  <Pages>18</Pages>
  <Words>6891</Words>
  <Characters>39283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72</cp:revision>
  <cp:lastPrinted>2025-04-27T09:38:00Z</cp:lastPrinted>
  <dcterms:created xsi:type="dcterms:W3CDTF">2025-04-27T11:16:00Z</dcterms:created>
  <dcterms:modified xsi:type="dcterms:W3CDTF">2025-05-07T12:05:00Z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