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F0A" w:rsidRPr="001E530D" w:rsidRDefault="004B3FEB" w:rsidP="001E530D">
      <w:pPr>
        <w:jc w:val="center"/>
        <w:rPr>
          <w:rFonts w:eastAsia="Arial"/>
          <w:sz w:val="32"/>
          <w:lang w:val="en-GB"/>
        </w:rPr>
      </w:pPr>
      <w:r w:rsidRPr="001E530D">
        <w:rPr>
          <w:b/>
          <w:bCs/>
          <w:sz w:val="22"/>
          <w:szCs w:val="20"/>
        </w:rPr>
        <w:t>A Tracer Study of Graduates from The Master of Industrial Technology (M</w:t>
      </w:r>
      <w:r>
        <w:rPr>
          <w:b/>
          <w:bCs/>
          <w:sz w:val="22"/>
          <w:szCs w:val="20"/>
        </w:rPr>
        <w:t>IT</w:t>
      </w:r>
      <w:r w:rsidRPr="001E530D">
        <w:rPr>
          <w:b/>
          <w:bCs/>
          <w:sz w:val="22"/>
          <w:szCs w:val="20"/>
        </w:rPr>
        <w:t>) Program in One State University in The Philippines</w:t>
      </w:r>
    </w:p>
    <w:p w:rsidR="00DF089C" w:rsidRDefault="00DF089C" w:rsidP="00DF089C">
      <w:pPr>
        <w:spacing w:after="67"/>
        <w:ind w:left="355" w:right="247"/>
        <w:rPr>
          <w:rFonts w:eastAsia="Arial"/>
          <w:b/>
          <w:lang w:val="en-GB"/>
        </w:rPr>
      </w:pPr>
    </w:p>
    <w:p w:rsidR="00B413E3" w:rsidRDefault="00B413E3" w:rsidP="00DF089C">
      <w:pPr>
        <w:spacing w:after="67"/>
        <w:ind w:left="355" w:right="247"/>
        <w:rPr>
          <w:rFonts w:eastAsia="Arial"/>
          <w:b/>
          <w:lang w:val="en-GB"/>
        </w:rPr>
      </w:pPr>
    </w:p>
    <w:p w:rsidR="00B413E3" w:rsidRDefault="00B413E3" w:rsidP="00DF089C">
      <w:pPr>
        <w:spacing w:after="67"/>
        <w:ind w:left="355" w:right="247"/>
        <w:rPr>
          <w:rFonts w:eastAsia="Arial"/>
          <w:b/>
          <w:lang w:val="en-GB"/>
        </w:rPr>
      </w:pPr>
    </w:p>
    <w:p w:rsidR="00B413E3" w:rsidRPr="00DF3CEE" w:rsidRDefault="00B413E3" w:rsidP="00DF089C">
      <w:pPr>
        <w:spacing w:after="67"/>
        <w:ind w:left="355" w:right="247"/>
        <w:rPr>
          <w:rFonts w:eastAsia="Arial"/>
          <w:b/>
          <w:lang w:val="en-GB"/>
        </w:rPr>
      </w:pPr>
    </w:p>
    <w:p w:rsidR="00DF089C" w:rsidRPr="00DF3CEE" w:rsidRDefault="005E65B3" w:rsidP="006E0C88">
      <w:pPr>
        <w:spacing w:after="67"/>
        <w:ind w:left="355" w:right="247" w:hanging="10"/>
        <w:jc w:val="both"/>
        <w:rPr>
          <w:rFonts w:eastAsia="Arial"/>
          <w:b/>
          <w:lang w:val="en-GB"/>
        </w:rPr>
      </w:pPr>
      <w:r w:rsidRPr="00DF3CEE">
        <w:rPr>
          <w:rFonts w:eastAsia="Arial"/>
          <w:b/>
          <w:lang w:val="en-GB"/>
        </w:rPr>
        <w:t>Abstract</w:t>
      </w:r>
    </w:p>
    <w:p w:rsidR="00EC4727" w:rsidRDefault="005E65B3" w:rsidP="00EC4727">
      <w:pPr>
        <w:ind w:left="1440" w:right="1440"/>
        <w:jc w:val="both"/>
        <w:rPr>
          <w:i/>
          <w:sz w:val="22"/>
          <w:szCs w:val="22"/>
        </w:rPr>
      </w:pPr>
      <w:r w:rsidRPr="00EC4727">
        <w:rPr>
          <w:i/>
          <w:sz w:val="22"/>
          <w:szCs w:val="22"/>
        </w:rPr>
        <w:t>The study aimed to monitor employment trends among Master of Industrial Technology graduates from Iloilo Science and Technology University from 201</w:t>
      </w:r>
      <w:r w:rsidR="007F298F">
        <w:rPr>
          <w:i/>
          <w:sz w:val="22"/>
          <w:szCs w:val="22"/>
        </w:rPr>
        <w:t>5</w:t>
      </w:r>
      <w:r w:rsidRPr="00EC4727">
        <w:rPr>
          <w:i/>
          <w:sz w:val="22"/>
          <w:szCs w:val="22"/>
        </w:rPr>
        <w:t xml:space="preserve"> to 2024. </w:t>
      </w:r>
      <w:r w:rsidR="00F33C80" w:rsidRPr="00EC4727">
        <w:rPr>
          <w:i/>
          <w:sz w:val="22"/>
          <w:szCs w:val="22"/>
        </w:rPr>
        <w:t>A descriptive survey method was applied u</w:t>
      </w:r>
      <w:r w:rsidR="005D138F" w:rsidRPr="005D138F">
        <w:rPr>
          <w:i/>
          <w:sz w:val="22"/>
          <w:szCs w:val="22"/>
        </w:rPr>
        <w:t xml:space="preserve">sing a </w:t>
      </w:r>
      <w:r w:rsidR="00F33C80" w:rsidRPr="00EC4727">
        <w:rPr>
          <w:i/>
          <w:sz w:val="22"/>
          <w:szCs w:val="22"/>
        </w:rPr>
        <w:t>university-based standard</w:t>
      </w:r>
      <w:r w:rsidR="005D138F" w:rsidRPr="005D138F">
        <w:rPr>
          <w:i/>
          <w:sz w:val="22"/>
          <w:szCs w:val="22"/>
        </w:rPr>
        <w:t xml:space="preserve"> survey questionnaire</w:t>
      </w:r>
      <w:r w:rsidR="00552CBE" w:rsidRPr="00EC4727">
        <w:rPr>
          <w:i/>
          <w:sz w:val="22"/>
          <w:szCs w:val="22"/>
        </w:rPr>
        <w:t xml:space="preserve"> to determine the participants' demographic profile, employment characteristics, and academic program-relatedness. </w:t>
      </w:r>
      <w:r w:rsidR="005D138F" w:rsidRPr="00EC4727">
        <w:rPr>
          <w:i/>
          <w:sz w:val="22"/>
          <w:szCs w:val="22"/>
        </w:rPr>
        <w:t xml:space="preserve">Snowball </w:t>
      </w:r>
      <w:r w:rsidR="00C536E1" w:rsidRPr="00EC4727">
        <w:rPr>
          <w:i/>
          <w:sz w:val="22"/>
          <w:szCs w:val="22"/>
        </w:rPr>
        <w:t>sampling identified 87 participants for the survey</w:t>
      </w:r>
      <w:r w:rsidR="00F33C80" w:rsidRPr="00EC4727">
        <w:rPr>
          <w:i/>
          <w:sz w:val="22"/>
          <w:szCs w:val="22"/>
        </w:rPr>
        <w:t xml:space="preserve">. </w:t>
      </w:r>
      <w:r w:rsidR="00552CBE" w:rsidRPr="00EC4727">
        <w:rPr>
          <w:i/>
          <w:sz w:val="22"/>
          <w:szCs w:val="22"/>
        </w:rPr>
        <w:t xml:space="preserve">Results revealed </w:t>
      </w:r>
      <w:r w:rsidR="00E92862" w:rsidRPr="00EC4727">
        <w:rPr>
          <w:i/>
          <w:sz w:val="22"/>
          <w:szCs w:val="22"/>
        </w:rPr>
        <w:t xml:space="preserve">that the </w:t>
      </w:r>
      <w:r w:rsidR="00080C97" w:rsidRPr="00EC4727">
        <w:rPr>
          <w:i/>
          <w:sz w:val="22"/>
          <w:szCs w:val="22"/>
        </w:rPr>
        <w:t xml:space="preserve">set skills </w:t>
      </w:r>
      <w:r w:rsidR="00116FFF" w:rsidRPr="00EC4727">
        <w:rPr>
          <w:i/>
          <w:sz w:val="22"/>
          <w:szCs w:val="22"/>
        </w:rPr>
        <w:t xml:space="preserve">were applied to some extent. The program offerings and teaching methods were highly adequate and applicable. A moderately adequate rating was given for the </w:t>
      </w:r>
      <w:r w:rsidR="001E530D">
        <w:rPr>
          <w:i/>
          <w:sz w:val="22"/>
          <w:szCs w:val="22"/>
        </w:rPr>
        <w:t xml:space="preserve">university’s </w:t>
      </w:r>
      <w:r w:rsidR="00116FFF" w:rsidRPr="00EC4727">
        <w:rPr>
          <w:i/>
          <w:sz w:val="22"/>
          <w:szCs w:val="22"/>
        </w:rPr>
        <w:t>physical facilities and office services. However, they perceived human resources services as highly adequate.</w:t>
      </w:r>
      <w:r w:rsidR="006E0C88" w:rsidRPr="00EC4727">
        <w:rPr>
          <w:i/>
          <w:sz w:val="22"/>
          <w:szCs w:val="22"/>
        </w:rPr>
        <w:t xml:space="preserve"> </w:t>
      </w:r>
    </w:p>
    <w:p w:rsidR="00EC4727" w:rsidRPr="00EC4727" w:rsidRDefault="005E65B3" w:rsidP="00EC4727">
      <w:pPr>
        <w:ind w:left="1440" w:right="1440"/>
        <w:jc w:val="both"/>
        <w:rPr>
          <w:i/>
          <w:sz w:val="22"/>
          <w:szCs w:val="22"/>
        </w:rPr>
      </w:pPr>
      <w:r w:rsidRPr="00EC4727">
        <w:rPr>
          <w:i/>
          <w:sz w:val="22"/>
          <w:szCs w:val="22"/>
        </w:rPr>
        <w:t xml:space="preserve">Furthermore, </w:t>
      </w:r>
      <w:r w:rsidR="00E92862" w:rsidRPr="00EC4727">
        <w:rPr>
          <w:i/>
          <w:sz w:val="22"/>
          <w:szCs w:val="22"/>
        </w:rPr>
        <w:t xml:space="preserve">most of the participants were proud and satisfied university alumni. </w:t>
      </w:r>
      <w:r w:rsidRPr="00EC4727">
        <w:rPr>
          <w:i/>
          <w:sz w:val="22"/>
          <w:szCs w:val="22"/>
        </w:rPr>
        <w:t xml:space="preserve">MIT graduates excel in professional roles, but a study suggests integrating Industry 4.0 elements and 21st-century skills into </w:t>
      </w:r>
      <w:r>
        <w:rPr>
          <w:i/>
          <w:sz w:val="22"/>
          <w:szCs w:val="22"/>
        </w:rPr>
        <w:t xml:space="preserve">the </w:t>
      </w:r>
      <w:r w:rsidRPr="00EC4727">
        <w:rPr>
          <w:i/>
          <w:sz w:val="22"/>
          <w:szCs w:val="22"/>
        </w:rPr>
        <w:t>curriculum for global competitiveness. It recommends innovative tracing systems, AI integration, stricter admission policies, and capacity building.</w:t>
      </w:r>
    </w:p>
    <w:p w:rsidR="00BD35FE" w:rsidRPr="006E0C88" w:rsidRDefault="00BD35FE" w:rsidP="006E0C88">
      <w:pPr>
        <w:ind w:left="1440" w:right="1530"/>
        <w:jc w:val="both"/>
        <w:rPr>
          <w:i/>
          <w:sz w:val="22"/>
          <w:szCs w:val="22"/>
        </w:rPr>
      </w:pPr>
    </w:p>
    <w:p w:rsidR="00335D58" w:rsidRPr="00DF3CEE" w:rsidRDefault="00335D58" w:rsidP="00DF089C">
      <w:pPr>
        <w:rPr>
          <w:lang w:val="en-GB"/>
        </w:rPr>
      </w:pPr>
    </w:p>
    <w:p w:rsidR="00DF089C" w:rsidRPr="00DF3CEE" w:rsidRDefault="005E65B3" w:rsidP="00A432FB">
      <w:pPr>
        <w:ind w:left="1260" w:hanging="1260"/>
        <w:jc w:val="both"/>
        <w:rPr>
          <w:i/>
          <w:iCs/>
          <w:lang w:val="en-GB"/>
        </w:rPr>
      </w:pPr>
      <w:r w:rsidRPr="00DF3CEE">
        <w:rPr>
          <w:lang w:val="en-GB"/>
        </w:rPr>
        <w:t>Keywords:</w:t>
      </w:r>
      <w:r w:rsidRPr="00DF3CEE">
        <w:rPr>
          <w:i/>
          <w:iCs/>
          <w:lang w:val="en-GB"/>
        </w:rPr>
        <w:t xml:space="preserve"> </w:t>
      </w:r>
      <w:r w:rsidR="00C026A3">
        <w:rPr>
          <w:i/>
          <w:iCs/>
          <w:lang w:val="en-GB"/>
        </w:rPr>
        <w:t xml:space="preserve">Program assessment, </w:t>
      </w:r>
      <w:r w:rsidR="004A143D" w:rsidRPr="00DF3CEE">
        <w:rPr>
          <w:i/>
          <w:iCs/>
          <w:lang w:val="en-GB"/>
        </w:rPr>
        <w:t>Graduate’s satisfacti</w:t>
      </w:r>
      <w:r w:rsidR="0035203C" w:rsidRPr="00DF3CEE">
        <w:rPr>
          <w:i/>
          <w:iCs/>
          <w:lang w:val="en-GB"/>
        </w:rPr>
        <w:t xml:space="preserve">on, </w:t>
      </w:r>
      <w:r w:rsidR="00A432FB">
        <w:rPr>
          <w:i/>
          <w:iCs/>
          <w:lang w:val="en-GB"/>
        </w:rPr>
        <w:t>C</w:t>
      </w:r>
      <w:r w:rsidR="0035203C" w:rsidRPr="00DF3CEE">
        <w:rPr>
          <w:i/>
          <w:iCs/>
          <w:lang w:val="en-GB"/>
        </w:rPr>
        <w:t>areer pathways</w:t>
      </w:r>
      <w:r w:rsidR="00C026A3">
        <w:rPr>
          <w:i/>
          <w:iCs/>
          <w:lang w:val="en-GB"/>
        </w:rPr>
        <w:t>, Whereabouts</w:t>
      </w:r>
    </w:p>
    <w:p w:rsidR="00722793" w:rsidRPr="00DF3CEE" w:rsidRDefault="00722793" w:rsidP="00DF089C">
      <w:pPr>
        <w:rPr>
          <w:i/>
          <w:iCs/>
          <w:lang w:val="en-GB"/>
        </w:rPr>
      </w:pPr>
    </w:p>
    <w:p w:rsidR="00DF089C" w:rsidRPr="00DF3CEE" w:rsidRDefault="005E65B3" w:rsidP="00DF089C">
      <w:pPr>
        <w:rPr>
          <w:b/>
          <w:lang w:val="en-GB"/>
        </w:rPr>
      </w:pPr>
      <w:r w:rsidRPr="00DF3CEE">
        <w:rPr>
          <w:b/>
          <w:lang w:val="en-GB"/>
        </w:rPr>
        <w:t>1. INTRODUCTION</w:t>
      </w:r>
    </w:p>
    <w:p w:rsidR="004A143D" w:rsidRPr="00DF3CEE" w:rsidRDefault="005E65B3" w:rsidP="004A143D">
      <w:pPr>
        <w:jc w:val="both"/>
      </w:pPr>
      <w:r w:rsidRPr="00DF3CEE">
        <w:t>Upon graduation, alumni serve as a continuation of the type of education the school gave them. Iloilo Science and Technology University (ISAT U) is considered the prime mover in science and technology. Graduates of the Bachelor of Industrial Technology have been the feeders of the College of Industrial Technology-Advanced Education Program (CIT-AEP) since its establishment. These graduates are expected to work or to continue their advanced education in a technological university for curricular advancement</w:t>
      </w:r>
      <w:r w:rsidR="0057448B" w:rsidRPr="00DF3CEE">
        <w:t xml:space="preserve">, working as faculty or employees. Thus, the university’s Master of Industrial Technology program is their first choice. </w:t>
      </w:r>
      <w:r w:rsidR="004721B8" w:rsidRPr="00DF3CEE">
        <w:t>T</w:t>
      </w:r>
      <w:r w:rsidRPr="00DF3CEE">
        <w:t>o determine its alumni's employment and professional paths, ISAT U</w:t>
      </w:r>
      <w:r w:rsidR="00B67B3C" w:rsidRPr="00DF3CEE">
        <w:t xml:space="preserve"> CIT-AEP</w:t>
      </w:r>
      <w:r w:rsidRPr="00DF3CEE">
        <w:t xml:space="preserve"> must conduct a tracer.</w:t>
      </w:r>
    </w:p>
    <w:p w:rsidR="0050510A" w:rsidRPr="00DF3CEE" w:rsidRDefault="0050510A" w:rsidP="00DF089C">
      <w:pPr>
        <w:ind w:hanging="10"/>
        <w:rPr>
          <w:lang w:val="en-GB"/>
        </w:rPr>
      </w:pPr>
    </w:p>
    <w:p w:rsidR="00B67B3C" w:rsidRPr="00DF3CEE" w:rsidRDefault="005E65B3" w:rsidP="00B67B3C">
      <w:pPr>
        <w:jc w:val="both"/>
      </w:pPr>
      <w:r w:rsidRPr="00DF3CEE">
        <w:t xml:space="preserve">Schomburg (2003), the originator of tracer studies, emphasised that the data gathered from tracer research might be utilised to create educational initiatives from the </w:t>
      </w:r>
      <w:r w:rsidR="004721B8" w:rsidRPr="00DF3CEE">
        <w:t>quality assurance standpoint</w:t>
      </w:r>
      <w:r w:rsidRPr="00DF3CEE">
        <w:t xml:space="preserve">. He adds that when assessing a particular educational program at a given school, a survey of employers or graduates may provide helpful information. His studies were taken into consideration by several educational institutions around the country. Furthermore, in Memorandum Order 23, series of 2013, the Commission on Higher Education (CHED) required all state universities and colleges under its jurisdiction to conduct this type of survey to determine the graduates' outcomes as soon as they completed the program they were enrolled in. </w:t>
      </w:r>
    </w:p>
    <w:p w:rsidR="00E12689" w:rsidRPr="00DF3CEE" w:rsidRDefault="00E12689" w:rsidP="00DF089C">
      <w:pPr>
        <w:ind w:hanging="10"/>
        <w:rPr>
          <w:lang w:val="en-GB"/>
        </w:rPr>
      </w:pPr>
    </w:p>
    <w:p w:rsidR="00B67B3C" w:rsidRPr="00DF3CEE" w:rsidRDefault="005E65B3" w:rsidP="00B67B3C">
      <w:pPr>
        <w:jc w:val="both"/>
      </w:pPr>
      <w:r w:rsidRPr="006C072F">
        <w:rPr>
          <w:color w:val="FF0000"/>
        </w:rPr>
        <w:lastRenderedPageBreak/>
        <w:t>Sito, Alawas, Alvaro, Azupardo, Cawat, Parcasio, &amp; Mina (2007)</w:t>
      </w:r>
      <w:r w:rsidR="006C072F">
        <w:rPr>
          <w:color w:val="FF0000"/>
        </w:rPr>
        <w:t>.</w:t>
      </w:r>
      <w:r w:rsidR="006C072F" w:rsidRPr="006C072F">
        <w:rPr>
          <w:color w:val="FF0000"/>
        </w:rPr>
        <w:t xml:space="preserve"> </w:t>
      </w:r>
      <w:r w:rsidR="006C072F" w:rsidRPr="006C072F">
        <w:rPr>
          <w:color w:val="FF0000"/>
          <w:szCs w:val="20"/>
        </w:rPr>
        <w:t>Echaveria, Tucar, Belmes, Subosa (2007)</w:t>
      </w:r>
      <w:r w:rsidR="006C072F">
        <w:rPr>
          <w:color w:val="FF0000"/>
        </w:rPr>
        <w:t>.</w:t>
      </w:r>
      <w:r w:rsidR="006C072F" w:rsidRPr="006C072F">
        <w:rPr>
          <w:color w:val="FF0000"/>
        </w:rPr>
        <w:t xml:space="preserve"> Ursua &amp; Monserate (2007)</w:t>
      </w:r>
      <w:r w:rsidR="006C072F">
        <w:rPr>
          <w:color w:val="FF0000"/>
        </w:rPr>
        <w:t>.</w:t>
      </w:r>
      <w:r w:rsidR="006C072F" w:rsidRPr="006C072F">
        <w:rPr>
          <w:color w:val="FF0000"/>
        </w:rPr>
        <w:t xml:space="preserve"> </w:t>
      </w:r>
      <w:r w:rsidRPr="006C072F">
        <w:rPr>
          <w:color w:val="FF0000"/>
        </w:rPr>
        <w:t xml:space="preserve">Millington (2008), </w:t>
      </w:r>
      <w:r w:rsidR="002C7B39" w:rsidRPr="006C072F">
        <w:rPr>
          <w:color w:val="FF0000"/>
          <w:lang w:val="en-US"/>
        </w:rPr>
        <w:t>Sentilleces</w:t>
      </w:r>
      <w:r w:rsidR="006C072F" w:rsidRPr="006C072F">
        <w:rPr>
          <w:color w:val="FF0000"/>
          <w:lang w:val="en-US"/>
        </w:rPr>
        <w:t xml:space="preserve"> </w:t>
      </w:r>
      <w:r w:rsidR="002C7B39" w:rsidRPr="006C072F">
        <w:rPr>
          <w:color w:val="FF0000"/>
          <w:lang w:val="en-US"/>
        </w:rPr>
        <w:t>&amp; Rungduin (2013)</w:t>
      </w:r>
      <w:r w:rsidRPr="006C072F">
        <w:rPr>
          <w:color w:val="FF0000"/>
        </w:rPr>
        <w:t xml:space="preserve">, </w:t>
      </w:r>
      <w:r w:rsidR="00B27EF3" w:rsidRPr="007271B4">
        <w:rPr>
          <w:color w:val="FF0000"/>
        </w:rPr>
        <w:t>Tria</w:t>
      </w:r>
      <w:r w:rsidR="00B27EF3" w:rsidRPr="006C072F">
        <w:rPr>
          <w:color w:val="FF0000"/>
        </w:rPr>
        <w:t xml:space="preserve"> &amp; </w:t>
      </w:r>
      <w:r w:rsidR="00B27EF3" w:rsidRPr="007271B4">
        <w:rPr>
          <w:color w:val="FF0000"/>
        </w:rPr>
        <w:t>Bocacao</w:t>
      </w:r>
      <w:r w:rsidR="00B27EF3" w:rsidRPr="006C072F">
        <w:rPr>
          <w:color w:val="FF0000"/>
        </w:rPr>
        <w:t xml:space="preserve"> (2022)</w:t>
      </w:r>
      <w:r w:rsidR="006C072F">
        <w:rPr>
          <w:color w:val="FF0000"/>
        </w:rPr>
        <w:t xml:space="preserve"> </w:t>
      </w:r>
      <w:r w:rsidRPr="00DF3CEE">
        <w:t>and others all carried out m</w:t>
      </w:r>
      <w:r w:rsidR="00491E6C" w:rsidRPr="00DF3CEE">
        <w:t>uch</w:t>
      </w:r>
      <w:r w:rsidRPr="00DF3CEE">
        <w:t xml:space="preserve"> research. The outcomes can be used to evaluate the usefulness and impact of the program. However, Sira, Valenciana, Celda, and Sobrepeña (2018) recommended tracer research to find competent faculty members. Additionally, Gines (2014), </w:t>
      </w:r>
      <w:r w:rsidRPr="00805395">
        <w:rPr>
          <w:color w:val="FF0000"/>
        </w:rPr>
        <w:t xml:space="preserve">Menez (2014), and Sanchez and Diamante (2017) </w:t>
      </w:r>
      <w:r w:rsidRPr="00DF3CEE">
        <w:t>contended that the tracer study examined how employable graduates were and how well university courses met industry demands. Bansiong &amp; Alawas (2024) explore the satisfaction of alumni with their undergraduate education and recommendations for improving the services of others.</w:t>
      </w:r>
    </w:p>
    <w:p w:rsidR="00835EFA" w:rsidRPr="00DF3CEE" w:rsidRDefault="00835EFA" w:rsidP="00835EFA">
      <w:pPr>
        <w:rPr>
          <w:lang w:val="en-GB"/>
        </w:rPr>
      </w:pPr>
    </w:p>
    <w:p w:rsidR="00DF089C" w:rsidRPr="00DF3CEE" w:rsidRDefault="005E65B3" w:rsidP="00DF089C">
      <w:pPr>
        <w:ind w:hanging="10"/>
        <w:rPr>
          <w:lang w:val="en-GB"/>
        </w:rPr>
      </w:pPr>
      <w:r w:rsidRPr="00DF3CEE">
        <w:rPr>
          <w:lang w:val="en-GB"/>
        </w:rPr>
        <w:t xml:space="preserve">This study sought to review and evaluate CIT’s </w:t>
      </w:r>
      <w:r w:rsidR="00835EFA" w:rsidRPr="00DF3CEE">
        <w:rPr>
          <w:lang w:val="en-GB"/>
        </w:rPr>
        <w:t>Advanced Education</w:t>
      </w:r>
      <w:r w:rsidRPr="00DF3CEE">
        <w:rPr>
          <w:lang w:val="en-GB"/>
        </w:rPr>
        <w:t xml:space="preserve"> Program through a tracer study of its graduates from 201</w:t>
      </w:r>
      <w:r w:rsidR="00E23EAB" w:rsidRPr="00DF3CEE">
        <w:rPr>
          <w:lang w:val="en-GB"/>
        </w:rPr>
        <w:t>5</w:t>
      </w:r>
      <w:r w:rsidRPr="00DF3CEE">
        <w:rPr>
          <w:lang w:val="en-GB"/>
        </w:rPr>
        <w:t xml:space="preserve"> to 202</w:t>
      </w:r>
      <w:r w:rsidR="00E23EAB" w:rsidRPr="00DF3CEE">
        <w:rPr>
          <w:lang w:val="en-GB"/>
        </w:rPr>
        <w:t>4</w:t>
      </w:r>
      <w:r w:rsidRPr="00DF3CEE">
        <w:rPr>
          <w:lang w:val="en-GB"/>
        </w:rPr>
        <w:t>.</w:t>
      </w:r>
    </w:p>
    <w:p w:rsidR="00DF089C" w:rsidRPr="00DF3CEE" w:rsidRDefault="00DF089C" w:rsidP="00DF089C">
      <w:pPr>
        <w:rPr>
          <w:lang w:val="en-GB"/>
        </w:rPr>
      </w:pPr>
    </w:p>
    <w:p w:rsidR="00DF089C" w:rsidRPr="00DF3CEE" w:rsidRDefault="005E65B3" w:rsidP="00DF089C">
      <w:pPr>
        <w:rPr>
          <w:b/>
          <w:bCs/>
          <w:lang w:val="en-GB"/>
        </w:rPr>
      </w:pPr>
      <w:r w:rsidRPr="00DF3CEE">
        <w:rPr>
          <w:b/>
          <w:bCs/>
          <w:lang w:val="en-GB"/>
        </w:rPr>
        <w:t>2. LITERATURE REVIEW</w:t>
      </w:r>
    </w:p>
    <w:p w:rsidR="00DF089C" w:rsidRPr="00DF3CEE" w:rsidRDefault="005E65B3" w:rsidP="008A0582">
      <w:pPr>
        <w:rPr>
          <w:b/>
          <w:bCs/>
          <w:lang w:val="en-GB"/>
        </w:rPr>
      </w:pPr>
      <w:r w:rsidRPr="00DF3CEE">
        <w:rPr>
          <w:b/>
          <w:bCs/>
          <w:lang w:val="en-GB"/>
        </w:rPr>
        <w:t xml:space="preserve">2.1. </w:t>
      </w:r>
      <w:r w:rsidR="00D10383" w:rsidRPr="00DF3CEE">
        <w:rPr>
          <w:b/>
          <w:bCs/>
          <w:lang w:val="en-GB"/>
        </w:rPr>
        <w:t>Lega Bases</w:t>
      </w:r>
    </w:p>
    <w:p w:rsidR="00840DF4" w:rsidRPr="00DF3CEE" w:rsidRDefault="005E65B3" w:rsidP="00AE05C3">
      <w:pPr>
        <w:jc w:val="both"/>
      </w:pPr>
      <w:r w:rsidRPr="00DF3CEE">
        <w:t xml:space="preserve">As the nation's top producer of technologists, Iloilo Science and Technology University's graduates' status and location must be determined. "The university is committed to providing quality and relevant advanced education, higher technological, professional instruction and training in arts, sciences, education, architecture, engineering, agriculture, forestry, and other fields of study, thereby producing locally oriented, globally competitive, and eco-friendly human resources," the university announces about its goal of becoming Southeast Asia's top university by 2030. </w:t>
      </w:r>
    </w:p>
    <w:p w:rsidR="00AE05C3" w:rsidRPr="00DF3CEE" w:rsidRDefault="00AE05C3" w:rsidP="00AE05C3">
      <w:pPr>
        <w:jc w:val="both"/>
      </w:pPr>
    </w:p>
    <w:p w:rsidR="00CE3EF6" w:rsidRPr="00DF3CEE" w:rsidRDefault="005E65B3" w:rsidP="009E4C28">
      <w:pPr>
        <w:jc w:val="both"/>
      </w:pPr>
      <w:r w:rsidRPr="00DF3CEE">
        <w:t>As stated in the CHED Handbook (2014) and CHED Memorandum Order No. 46, 2012</w:t>
      </w:r>
      <w:r w:rsidR="00B23012" w:rsidRPr="00DF3CEE">
        <w:t>,</w:t>
      </w:r>
      <w:r w:rsidR="001F403A" w:rsidRPr="00DF3CEE">
        <w:t xml:space="preserve"> and other </w:t>
      </w:r>
      <w:r w:rsidR="00B23012" w:rsidRPr="00DF3CEE">
        <w:t>regulatory documents, the ultimate objective of a tracer study must</w:t>
      </w:r>
      <w:r w:rsidRPr="00DF3CEE">
        <w:t xml:space="preserve"> be comparable to that of other impact evaluations. This evaluation involves methodically examining any substantial or enduring modifications to influence policymaking or decision-making via feedback based on empirical data. Furthermore, graduates should have a variety of abilities, including knowledge, leadership, creativity, critical thinking, and a love for God and the country, according to the 2014 CHED Handbook on Typology. According to WVCST BOT Res. 12/21/2007-84/ACCO Resolution No. 18D-2014, they strive for lifelong learning, keep up with the most recent social advancements, and function well in a multicultural, multidisciplinary setting.</w:t>
      </w:r>
    </w:p>
    <w:p w:rsidR="00CE3EF6" w:rsidRPr="00DF3CEE" w:rsidRDefault="00CE3EF6" w:rsidP="002A4A0C">
      <w:pPr>
        <w:jc w:val="both"/>
      </w:pPr>
    </w:p>
    <w:p w:rsidR="00CE3EF6" w:rsidRPr="00DF3CEE" w:rsidRDefault="005E65B3" w:rsidP="002A4A0C">
      <w:pPr>
        <w:jc w:val="both"/>
      </w:pPr>
      <w:r w:rsidRPr="00DF3CEE">
        <w:t>The ITCILO and ILO's Employment Department, Skills and Employability Branch are collaborating to offer a course on "Tracer Studies" to measure the impact of vocational training. Tracer studies are standardised surveys of graduates post-graduation, focusing on study progress, transition to work, job career, competencies, current occupation, and bonds to the education institution. These studies are increasingly popular in technical and vocational education and training (TVET) to improve systems, address labour market needs, and support the transition from school to work. To achieve these objectives, TVET institutions require data from tracer studies to measure their effectiveness and impact.</w:t>
      </w:r>
    </w:p>
    <w:p w:rsidR="00CE3EF6" w:rsidRPr="00DF3CEE" w:rsidRDefault="00CE3EF6" w:rsidP="002A4A0C">
      <w:pPr>
        <w:jc w:val="both"/>
      </w:pPr>
    </w:p>
    <w:p w:rsidR="00CE3EF6" w:rsidRPr="00DF3CEE" w:rsidRDefault="005E65B3" w:rsidP="007912DD">
      <w:pPr>
        <w:jc w:val="both"/>
      </w:pPr>
      <w:r w:rsidRPr="00DF3CEE">
        <w:t>Training institutions frequently use tracer studies to get feedback on their courses, hear from graduates about how their training is assisting them in developing their abilities, and evaluate the influence of training on career chances and post-training education for graduates (Tracer Study Technical Students of East Timor, 2014).</w:t>
      </w:r>
    </w:p>
    <w:p w:rsidR="00CE3EF6" w:rsidRPr="00DF3CEE" w:rsidRDefault="00CE3EF6" w:rsidP="000D380A">
      <w:pPr>
        <w:jc w:val="both"/>
        <w:rPr>
          <w:lang w:val="en-GB"/>
        </w:rPr>
      </w:pPr>
    </w:p>
    <w:p w:rsidR="00CE3EF6" w:rsidRPr="00DF3CEE" w:rsidRDefault="005E65B3" w:rsidP="007912DD">
      <w:pPr>
        <w:jc w:val="both"/>
      </w:pPr>
      <w:r w:rsidRPr="00DF3CEE">
        <w:t>Schomburg (2003) describes competencies, how to use and demand them, and how to test them. Researching to improve graduates' assessments in this area would be beneficial. Cooperation is beneficial, nevertheless, when research projects look for alternative measurement techniques, like developing tests or indicators.</w:t>
      </w:r>
    </w:p>
    <w:p w:rsidR="00CE3EF6" w:rsidRPr="00DF3CEE" w:rsidRDefault="00CE3EF6" w:rsidP="00DF089C">
      <w:pPr>
        <w:rPr>
          <w:lang w:val="en-GB"/>
        </w:rPr>
      </w:pPr>
    </w:p>
    <w:p w:rsidR="00CE3EF6" w:rsidRPr="00DF3CEE" w:rsidRDefault="005E65B3" w:rsidP="00E52B79">
      <w:pPr>
        <w:jc w:val="both"/>
      </w:pPr>
      <w:r w:rsidRPr="00DF3CEE">
        <w:t>The CIT-AEP is based on CHED Memorandum Order number 15, a series of 2019 Policies and Guidelines for Graduate Education. This memo includes the relevant sections of the Republic Act (R.A.) No. 7722, often known as the "Higher Education Act of 1994. " Dated December 19, 2019, R070-2019, this memo functions as an outcomes-based quality assurance system by Referendum No. 1 and the Philippine Qualifications Framework (PQF).</w:t>
      </w:r>
    </w:p>
    <w:p w:rsidR="00CE3EF6" w:rsidRPr="00DF3CEE" w:rsidRDefault="00CE3EF6" w:rsidP="008A0582">
      <w:pPr>
        <w:rPr>
          <w:szCs w:val="28"/>
          <w:lang w:val="en-GB"/>
        </w:rPr>
      </w:pPr>
    </w:p>
    <w:p w:rsidR="00CD42FD" w:rsidRPr="00DF3CEE" w:rsidRDefault="005E65B3" w:rsidP="00CD42FD">
      <w:pPr>
        <w:jc w:val="both"/>
      </w:pPr>
      <w:r w:rsidRPr="00DF3CEE">
        <w:t>In 2013, the CHED formed the Task Force on Graduate Education Reform (TFGER) to evaluate state graduate programs nationwide. The TFGER proposed a plan to implement graduate programs that foster innovation and research. The proposed changes require modifying the policies, Standards, and Guidelines (PSG) regulating graduate programs. The TFGER aimed to establish a clear path beyond elementary school and baccalaureate/undergraduate education, achieve higher competencies in knowledge production, sharing, and commercialisation, and generate advanced competencies for students' professional success.</w:t>
      </w:r>
    </w:p>
    <w:p w:rsidR="007E7BC8" w:rsidRPr="00DF3CEE" w:rsidRDefault="007E7BC8" w:rsidP="007E7BC8">
      <w:pPr>
        <w:jc w:val="both"/>
        <w:rPr>
          <w:szCs w:val="28"/>
          <w:lang w:val="en-GB"/>
        </w:rPr>
      </w:pPr>
    </w:p>
    <w:p w:rsidR="001047C2" w:rsidRPr="00DF3CEE" w:rsidRDefault="005E65B3" w:rsidP="001047C2">
      <w:pPr>
        <w:jc w:val="both"/>
      </w:pPr>
      <w:r w:rsidRPr="00DF3CEE">
        <w:t xml:space="preserve">According to the ASEAN Quality Reference Framework, all educational institutions must use quality qualification systems to support the quality framework for lifelong learning (Bateman et al., 2015). </w:t>
      </w:r>
    </w:p>
    <w:p w:rsidR="001047C2" w:rsidRPr="00DF3CEE" w:rsidRDefault="001047C2" w:rsidP="001047C2">
      <w:pPr>
        <w:jc w:val="both"/>
      </w:pPr>
    </w:p>
    <w:p w:rsidR="008B7890" w:rsidRPr="00DF3CEE" w:rsidRDefault="005E65B3" w:rsidP="008B7890">
      <w:pPr>
        <w:jc w:val="both"/>
      </w:pPr>
      <w:r w:rsidRPr="00DF3CEE">
        <w:t xml:space="preserve">Mohd Fahmi, Balasingam, </w:t>
      </w:r>
      <w:r w:rsidR="008D0ED1" w:rsidRPr="00DF3CEE">
        <w:t xml:space="preserve">and </w:t>
      </w:r>
      <w:r w:rsidRPr="00DF3CEE">
        <w:t>Laguador (2019)</w:t>
      </w:r>
      <w:r w:rsidR="004D5111" w:rsidRPr="00DF3CEE">
        <w:t xml:space="preserve"> </w:t>
      </w:r>
      <w:r w:rsidR="00104D23" w:rsidRPr="00DF3CEE">
        <w:t xml:space="preserve">suggest that </w:t>
      </w:r>
      <w:r w:rsidR="008D0ED1" w:rsidRPr="00DF3CEE">
        <w:t xml:space="preserve">the </w:t>
      </w:r>
      <w:r w:rsidR="004D5111" w:rsidRPr="00DF3CEE">
        <w:t>ASEAN Qualification Reference Framework</w:t>
      </w:r>
      <w:r w:rsidR="00BD42A9" w:rsidRPr="00DF3CEE">
        <w:t xml:space="preserve"> (Setiawan, (2015; Bateman &amp; Cole, 2015 ) </w:t>
      </w:r>
      <w:r w:rsidR="004D5111" w:rsidRPr="00DF3CEE">
        <w:t xml:space="preserve"> and Kuala Lumpur Declaration of Higher Education </w:t>
      </w:r>
      <w:r w:rsidR="00943A87" w:rsidRPr="00DF3CEE">
        <w:rPr>
          <w:shd w:val="clear" w:color="auto" w:fill="FFFFFF"/>
        </w:rPr>
        <w:t xml:space="preserve">Hashim &amp; Firdaus, (2018) </w:t>
      </w:r>
      <w:r w:rsidR="00104D23" w:rsidRPr="00DF3CEE">
        <w:t>will provide a</w:t>
      </w:r>
      <w:r w:rsidRPr="00DF3CEE">
        <w:t>ll member states will eventually gain from the development and successful implementation of a regional education framework, which will provide high-quality capital necessary for peace, prosperity, unity, and growth both inside and outside of ASEAN.</w:t>
      </w:r>
    </w:p>
    <w:p w:rsidR="001047C2" w:rsidRPr="00DF3CEE" w:rsidRDefault="001047C2" w:rsidP="00DF089C">
      <w:pPr>
        <w:rPr>
          <w:lang w:val="en-GB"/>
        </w:rPr>
      </w:pPr>
    </w:p>
    <w:p w:rsidR="001047C2" w:rsidRPr="00DF3CEE" w:rsidRDefault="001047C2" w:rsidP="00DF089C">
      <w:pPr>
        <w:rPr>
          <w:lang w:val="en-GB"/>
        </w:rPr>
      </w:pPr>
    </w:p>
    <w:p w:rsidR="00DF089C" w:rsidRPr="00DF3CEE" w:rsidRDefault="005E65B3" w:rsidP="007E7BC8">
      <w:pPr>
        <w:jc w:val="both"/>
        <w:rPr>
          <w:lang w:val="en-GB"/>
        </w:rPr>
      </w:pPr>
      <w:r w:rsidRPr="00DF3CEE">
        <w:rPr>
          <w:lang w:val="en-GB"/>
        </w:rPr>
        <w:t>Furthermore, lifelong learning is a crucial competency for individuals and professionals worldwide. It involves continuous, collaborative, self-directed, and everlasting learning. This process requires teachers to take on a facilitative role while learners take responsibility for setting goals and evaluating their learning. Physicians need less reliance on traditional education and more participation in self-assessment and peer assessment. Radiologists in academic settings can practice lifelong learning through teaching, multidisciplinary conferences, and research. Participation in the American Board of Radiology's Maintenance of Certification program demonstrates a commitment to continuous learning</w:t>
      </w:r>
      <w:r w:rsidR="00DD277F" w:rsidRPr="00DF3CEE">
        <w:rPr>
          <w:lang w:val="en-GB"/>
        </w:rPr>
        <w:t xml:space="preserve"> (Collins, 2009, </w:t>
      </w:r>
      <w:r w:rsidR="00346FF6" w:rsidRPr="00DF3CEE">
        <w:rPr>
          <w:lang w:val="en-GB"/>
        </w:rPr>
        <w:t>p. 613</w:t>
      </w:r>
      <w:r w:rsidR="00DD277F" w:rsidRPr="00DF3CEE">
        <w:rPr>
          <w:lang w:val="en-GB"/>
        </w:rPr>
        <w:t>)</w:t>
      </w:r>
      <w:r w:rsidRPr="00DF3CEE">
        <w:rPr>
          <w:lang w:val="en-GB"/>
        </w:rPr>
        <w:t>.</w:t>
      </w:r>
    </w:p>
    <w:p w:rsidR="007E7BC8" w:rsidRPr="00DF3CEE" w:rsidRDefault="007E7BC8" w:rsidP="007E7BC8">
      <w:pPr>
        <w:jc w:val="both"/>
        <w:rPr>
          <w:lang w:val="en-GB"/>
        </w:rPr>
      </w:pPr>
    </w:p>
    <w:p w:rsidR="00372EB7" w:rsidRPr="00DF3CEE" w:rsidRDefault="005E65B3" w:rsidP="00372EB7">
      <w:pPr>
        <w:spacing w:after="240"/>
        <w:jc w:val="both"/>
      </w:pPr>
      <w:r w:rsidRPr="00DF3CEE">
        <w:t xml:space="preserve">Higher education institutions that offer graduate degree programs must integrate the strategic learning and teaching competencies required for today's economic, political, and social development on a national, regional, and global scale. While exercising their right to academic freedom, HEIs must adhere to the core curricular criteria set forth by learning standards or </w:t>
      </w:r>
      <w:r w:rsidRPr="00DF3CEE">
        <w:lastRenderedPageBreak/>
        <w:t xml:space="preserve">Outcomes-Based Education (OBE). Nonetheless, they can improve and expand the courses they provide. </w:t>
      </w:r>
    </w:p>
    <w:p w:rsidR="007E7BC8" w:rsidRPr="00DF3CEE" w:rsidRDefault="005E65B3" w:rsidP="00DF3CEE">
      <w:pPr>
        <w:spacing w:after="240"/>
        <w:jc w:val="both"/>
      </w:pPr>
      <w:r w:rsidRPr="00DF3CEE">
        <w:t>Furthermore, an emphasis on interrogative and integrative methods is encouraged. This method considers the substantial educational impact of CIT and the legal justification for OBE's use with the PQF. This recognition explains the effectiveness of traditional and non-traditional teaching-learning delivery and management strategies. According to Executive Order 10968, it must be a component of the broader system for delivering graduate programs.</w:t>
      </w:r>
    </w:p>
    <w:p w:rsidR="00DF3CEE" w:rsidRDefault="005E65B3" w:rsidP="00C34276">
      <w:pPr>
        <w:rPr>
          <w:b/>
          <w:bCs/>
          <w:iCs/>
          <w:lang w:val="en-GB"/>
        </w:rPr>
      </w:pPr>
      <w:r w:rsidRPr="00DF3CEE">
        <w:rPr>
          <w:b/>
          <w:bCs/>
          <w:lang w:val="en-GB"/>
        </w:rPr>
        <w:t>2.</w:t>
      </w:r>
      <w:r w:rsidR="00D10383" w:rsidRPr="00DF3CEE">
        <w:rPr>
          <w:b/>
          <w:bCs/>
          <w:lang w:val="en-GB"/>
        </w:rPr>
        <w:t>2</w:t>
      </w:r>
      <w:r w:rsidRPr="00DF3CEE">
        <w:rPr>
          <w:b/>
          <w:bCs/>
          <w:lang w:val="en-GB"/>
        </w:rPr>
        <w:t xml:space="preserve">. </w:t>
      </w:r>
      <w:r w:rsidR="00D10383" w:rsidRPr="00DF3CEE">
        <w:rPr>
          <w:b/>
          <w:bCs/>
          <w:iCs/>
          <w:lang w:val="en-GB"/>
        </w:rPr>
        <w:t xml:space="preserve">Master of Industrial Technology </w:t>
      </w:r>
    </w:p>
    <w:p w:rsidR="00C16275" w:rsidRPr="00DF3CEE" w:rsidRDefault="005E65B3" w:rsidP="00DF3CEE">
      <w:pPr>
        <w:jc w:val="both"/>
        <w:rPr>
          <w:b/>
          <w:bCs/>
          <w:iCs/>
          <w:lang w:val="en-GB"/>
        </w:rPr>
      </w:pPr>
      <w:r w:rsidRPr="00DF3CEE">
        <w:rPr>
          <w:lang w:val="en-GB"/>
        </w:rPr>
        <w:t>CHED Memorandum Order number 15 series of 2019</w:t>
      </w:r>
      <w:r w:rsidR="00DF3CEE" w:rsidRPr="00DF3CEE">
        <w:rPr>
          <w:bCs/>
          <w:iCs/>
          <w:lang w:val="en-GB"/>
        </w:rPr>
        <w:t xml:space="preserve"> on</w:t>
      </w:r>
      <w:r w:rsidR="00DF3CEE">
        <w:rPr>
          <w:b/>
          <w:bCs/>
          <w:iCs/>
          <w:lang w:val="en-GB"/>
        </w:rPr>
        <w:t xml:space="preserve"> </w:t>
      </w:r>
      <w:r w:rsidR="003D4E06" w:rsidRPr="00DF3CEE">
        <w:rPr>
          <w:lang w:val="en-GB"/>
        </w:rPr>
        <w:t>master</w:t>
      </w:r>
      <w:r w:rsidR="00372EB7" w:rsidRPr="00DF3CEE">
        <w:rPr>
          <w:lang w:val="en-GB"/>
        </w:rPr>
        <w:t>'</w:t>
      </w:r>
      <w:r w:rsidR="003D4E06" w:rsidRPr="00DF3CEE">
        <w:rPr>
          <w:lang w:val="en-GB"/>
        </w:rPr>
        <w:t>s level programs aim</w:t>
      </w:r>
      <w:r w:rsidR="00DF3CEE">
        <w:rPr>
          <w:lang w:val="en-GB"/>
        </w:rPr>
        <w:t>s</w:t>
      </w:r>
      <w:r w:rsidR="003D4E06" w:rsidRPr="00DF3CEE">
        <w:rPr>
          <w:lang w:val="en-GB"/>
        </w:rPr>
        <w:t xml:space="preserve"> to give students enhanced academic and professional knowledge, skills, and competencies to earn a second degree above the </w:t>
      </w:r>
      <w:r w:rsidR="00B24DED" w:rsidRPr="00DF3CEE">
        <w:rPr>
          <w:lang w:val="en-GB"/>
        </w:rPr>
        <w:t>bachelor</w:t>
      </w:r>
      <w:r w:rsidR="00372EB7" w:rsidRPr="00DF3CEE">
        <w:rPr>
          <w:lang w:val="en-GB"/>
        </w:rPr>
        <w:t>’</w:t>
      </w:r>
      <w:r w:rsidR="00B24DED" w:rsidRPr="00DF3CEE">
        <w:rPr>
          <w:lang w:val="en-GB"/>
        </w:rPr>
        <w:t>s</w:t>
      </w:r>
      <w:r w:rsidR="003D4E06" w:rsidRPr="00DF3CEE">
        <w:rPr>
          <w:lang w:val="en-GB"/>
        </w:rPr>
        <w:t>. They include significant research. Informed by cutting-edge research and best professional practices, these programs are theoretically based but may incorporate practical elements (Philippine Statistics Authority, 2018; Philippine Standard Classification of Education, 2017).</w:t>
      </w:r>
    </w:p>
    <w:p w:rsidR="00DF2735" w:rsidRPr="00DF3CEE" w:rsidRDefault="00DF2735" w:rsidP="008A0582">
      <w:pPr>
        <w:rPr>
          <w:b/>
          <w:bCs/>
          <w:i/>
          <w:iCs/>
          <w:lang w:val="en-GB"/>
        </w:rPr>
      </w:pPr>
    </w:p>
    <w:p w:rsidR="000A7B20" w:rsidRPr="00DF3CEE" w:rsidRDefault="005E65B3" w:rsidP="00A00973">
      <w:pPr>
        <w:jc w:val="both"/>
        <w:rPr>
          <w:lang w:val="en-GB"/>
        </w:rPr>
      </w:pPr>
      <w:r w:rsidRPr="00DF3CEE">
        <w:rPr>
          <w:lang w:val="en-GB"/>
        </w:rPr>
        <w:t>In terms of output or competency, master's programs correspond with Level 7 of the PQF. For professional practice, master's degree program graduates must meet the following PQF Level 7 descriptors: (1) advanced knowledge and skills in a focused, interdisciplinary, or multidisciplinary field of study; (2) self-directed research; (3) lifelong learning with a high substantial degree and interdependence; and (4) application of the previously mentioned skills in research.</w:t>
      </w:r>
    </w:p>
    <w:p w:rsidR="00A00973" w:rsidRPr="00DF3CEE" w:rsidRDefault="00A00973" w:rsidP="00A00973">
      <w:pPr>
        <w:jc w:val="both"/>
        <w:rPr>
          <w:lang w:val="en-GB"/>
        </w:rPr>
      </w:pPr>
    </w:p>
    <w:p w:rsidR="000A7B20" w:rsidRPr="00DF3CEE" w:rsidRDefault="005E65B3" w:rsidP="00A00973">
      <w:pPr>
        <w:jc w:val="both"/>
        <w:rPr>
          <w:lang w:val="en-GB"/>
        </w:rPr>
      </w:pPr>
      <w:r w:rsidRPr="00DF3CEE">
        <w:rPr>
          <w:lang w:val="en-GB"/>
        </w:rPr>
        <w:t xml:space="preserve">The master's program is non-thesis and on a professional track. The main goal of this master's-level professional track is to apply knowledge to professional practice. Master's degrees are intended to serve as requirements for professional doctoral programs or terminal degrees. At least three of the thirty units of coursework required for a professional master's degree program must be capstone courses or practice-based projects. Advanced coursework in professional or vocational courses is </w:t>
      </w:r>
      <w:r w:rsidR="00DF3CEE">
        <w:rPr>
          <w:lang w:val="en-GB"/>
        </w:rPr>
        <w:t>necessary</w:t>
      </w:r>
      <w:r w:rsidRPr="00DF3CEE">
        <w:rPr>
          <w:lang w:val="en-GB"/>
        </w:rPr>
        <w:t xml:space="preserve"> for these units.</w:t>
      </w:r>
    </w:p>
    <w:p w:rsidR="00A00973" w:rsidRPr="00DF3CEE" w:rsidRDefault="00A00973" w:rsidP="00A00973">
      <w:pPr>
        <w:jc w:val="both"/>
        <w:rPr>
          <w:lang w:val="en-GB"/>
        </w:rPr>
      </w:pPr>
    </w:p>
    <w:p w:rsidR="00E85513" w:rsidRPr="00DF3CEE" w:rsidRDefault="005E65B3" w:rsidP="00A00973">
      <w:pPr>
        <w:jc w:val="both"/>
        <w:rPr>
          <w:lang w:val="en-GB"/>
        </w:rPr>
      </w:pPr>
      <w:r w:rsidRPr="00DF3CEE">
        <w:rPr>
          <w:lang w:val="en-GB"/>
        </w:rPr>
        <w:t>A student's academic or learning journey ends with a capstone project. It allows the student to showcase the skills and information gained during graduate school. Emphasise the portion of a lengthy research process that leads to a finished product, performance, or presentation. Typically, students must choose an interest-based topic or issue, investigate it, and then create a final product that showcases their learning, like a case study, research paper, essay, short film, or multimedia presentation. For assessment and grading, the student shows the capstone project to experts.</w:t>
      </w:r>
    </w:p>
    <w:p w:rsidR="00665C44" w:rsidRPr="00DF3CEE" w:rsidRDefault="00665C44" w:rsidP="00665C44">
      <w:pPr>
        <w:rPr>
          <w:lang w:val="en-GB"/>
        </w:rPr>
      </w:pPr>
    </w:p>
    <w:p w:rsidR="00DF089C" w:rsidRPr="00DF3CEE" w:rsidRDefault="005E65B3" w:rsidP="00665C44">
      <w:pPr>
        <w:rPr>
          <w:b/>
          <w:bCs/>
          <w:lang w:val="en-GB"/>
        </w:rPr>
      </w:pPr>
      <w:r w:rsidRPr="00DF3CEE">
        <w:rPr>
          <w:b/>
          <w:bCs/>
          <w:lang w:val="en-GB"/>
        </w:rPr>
        <w:t xml:space="preserve">3. </w:t>
      </w:r>
      <w:r w:rsidR="00130FF5" w:rsidRPr="00DF3CEE">
        <w:rPr>
          <w:b/>
          <w:bCs/>
          <w:lang w:val="en-GB"/>
        </w:rPr>
        <w:t xml:space="preserve">STUDY’S </w:t>
      </w:r>
      <w:r w:rsidRPr="00DF3CEE">
        <w:rPr>
          <w:b/>
          <w:bCs/>
          <w:lang w:val="en-GB"/>
        </w:rPr>
        <w:t>OBJECTIVES</w:t>
      </w:r>
    </w:p>
    <w:p w:rsidR="00DF089C" w:rsidRPr="00DF3CEE" w:rsidRDefault="00DF089C" w:rsidP="00DF089C">
      <w:pPr>
        <w:rPr>
          <w:lang w:val="en-GB"/>
        </w:rPr>
      </w:pPr>
    </w:p>
    <w:p w:rsidR="00DF089C" w:rsidRPr="00DF3CEE" w:rsidRDefault="005E65B3" w:rsidP="00DF089C">
      <w:pPr>
        <w:rPr>
          <w:lang w:val="en-GB"/>
        </w:rPr>
      </w:pPr>
      <w:r w:rsidRPr="00DF3CEE">
        <w:rPr>
          <w:lang w:val="en-GB"/>
        </w:rPr>
        <w:t>Specifically, the study was designed to:</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t xml:space="preserve">establish the profile of </w:t>
      </w:r>
      <w:r w:rsidR="001E3235" w:rsidRPr="00DF3CEE">
        <w:rPr>
          <w:color w:val="auto"/>
          <w:sz w:val="24"/>
          <w:lang w:val="en-GB"/>
        </w:rPr>
        <w:t>MIT</w:t>
      </w:r>
      <w:r w:rsidRPr="00DF3CEE">
        <w:rPr>
          <w:color w:val="auto"/>
          <w:sz w:val="24"/>
          <w:lang w:val="en-GB"/>
        </w:rPr>
        <w:t xml:space="preserve"> </w:t>
      </w:r>
      <w:r w:rsidR="002028D3" w:rsidRPr="00DF3CEE">
        <w:rPr>
          <w:color w:val="auto"/>
          <w:sz w:val="24"/>
          <w:lang w:val="en-GB"/>
        </w:rPr>
        <w:t xml:space="preserve">and </w:t>
      </w:r>
      <w:r w:rsidR="001E3235" w:rsidRPr="00DF3CEE">
        <w:rPr>
          <w:color w:val="auto"/>
          <w:sz w:val="24"/>
          <w:lang w:val="en-GB"/>
        </w:rPr>
        <w:t>DIT</w:t>
      </w:r>
      <w:r w:rsidR="002028D3" w:rsidRPr="00DF3CEE">
        <w:rPr>
          <w:color w:val="auto"/>
          <w:sz w:val="24"/>
          <w:lang w:val="en-GB"/>
        </w:rPr>
        <w:t xml:space="preserve"> </w:t>
      </w:r>
      <w:r w:rsidRPr="00DF3CEE">
        <w:rPr>
          <w:color w:val="auto"/>
          <w:sz w:val="24"/>
          <w:lang w:val="en-GB"/>
        </w:rPr>
        <w:t>graduates in terms of employment characteristics in terms of (a) employment status, (b) employer, (c) tenure, (d) job position, (</w:t>
      </w:r>
      <w:r w:rsidR="00215F4F" w:rsidRPr="00DF3CEE">
        <w:rPr>
          <w:color w:val="auto"/>
          <w:sz w:val="24"/>
          <w:lang w:val="en-GB"/>
        </w:rPr>
        <w:t>e</w:t>
      </w:r>
      <w:r w:rsidRPr="00DF3CEE">
        <w:rPr>
          <w:color w:val="auto"/>
          <w:sz w:val="24"/>
          <w:lang w:val="en-GB"/>
        </w:rPr>
        <w:t>) nature of work, (</w:t>
      </w:r>
      <w:r w:rsidR="00215F4F" w:rsidRPr="00DF3CEE">
        <w:rPr>
          <w:color w:val="auto"/>
          <w:sz w:val="24"/>
          <w:lang w:val="en-GB"/>
        </w:rPr>
        <w:t>f</w:t>
      </w:r>
      <w:r w:rsidRPr="00DF3CEE">
        <w:rPr>
          <w:color w:val="auto"/>
          <w:sz w:val="24"/>
          <w:lang w:val="en-GB"/>
        </w:rPr>
        <w:t xml:space="preserve">) </w:t>
      </w:r>
      <w:r w:rsidR="002E4607" w:rsidRPr="00DF3CEE">
        <w:rPr>
          <w:color w:val="auto"/>
          <w:sz w:val="24"/>
          <w:lang w:val="en-GB"/>
        </w:rPr>
        <w:t>location of work</w:t>
      </w:r>
      <w:r w:rsidR="00D36974" w:rsidRPr="00DF3CEE">
        <w:rPr>
          <w:color w:val="auto"/>
          <w:sz w:val="24"/>
          <w:lang w:val="en-GB"/>
        </w:rPr>
        <w:t xml:space="preserve">, (g) </w:t>
      </w:r>
      <w:r w:rsidRPr="00DF3CEE">
        <w:rPr>
          <w:color w:val="auto"/>
          <w:sz w:val="24"/>
          <w:lang w:val="en-GB"/>
        </w:rPr>
        <w:t>reasons for being hired, (</w:t>
      </w:r>
      <w:r w:rsidR="00D36974" w:rsidRPr="00DF3CEE">
        <w:rPr>
          <w:color w:val="auto"/>
          <w:sz w:val="24"/>
          <w:lang w:val="en-GB"/>
        </w:rPr>
        <w:t>h</w:t>
      </w:r>
      <w:r w:rsidRPr="00DF3CEE">
        <w:rPr>
          <w:color w:val="auto"/>
          <w:sz w:val="24"/>
          <w:lang w:val="en-GB"/>
        </w:rPr>
        <w:t>) salary</w:t>
      </w:r>
      <w:r w:rsidR="00D36974" w:rsidRPr="00DF3CEE">
        <w:rPr>
          <w:color w:val="auto"/>
          <w:sz w:val="24"/>
          <w:lang w:val="en-GB"/>
        </w:rPr>
        <w:t xml:space="preserve">, </w:t>
      </w:r>
      <w:r w:rsidRPr="00DF3CEE">
        <w:rPr>
          <w:color w:val="auto"/>
          <w:sz w:val="24"/>
          <w:lang w:val="en-GB"/>
        </w:rPr>
        <w:t>(</w:t>
      </w:r>
      <w:r w:rsidR="00215F4F" w:rsidRPr="00DF3CEE">
        <w:rPr>
          <w:color w:val="auto"/>
          <w:sz w:val="24"/>
          <w:lang w:val="en-GB"/>
        </w:rPr>
        <w:t>i</w:t>
      </w:r>
      <w:r w:rsidRPr="00DF3CEE">
        <w:rPr>
          <w:color w:val="auto"/>
          <w:sz w:val="24"/>
          <w:lang w:val="en-GB"/>
        </w:rPr>
        <w:t>) job searching, and (</w:t>
      </w:r>
      <w:r w:rsidR="00D36974" w:rsidRPr="00DF3CEE">
        <w:rPr>
          <w:color w:val="auto"/>
          <w:sz w:val="24"/>
          <w:lang w:val="en-GB"/>
        </w:rPr>
        <w:t>k</w:t>
      </w:r>
      <w:r w:rsidRPr="00DF3CEE">
        <w:rPr>
          <w:color w:val="auto"/>
          <w:sz w:val="24"/>
          <w:lang w:val="en-GB"/>
        </w:rPr>
        <w:t xml:space="preserve">) plan to pursue studies at the university; </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t>assess the extent to which skills learned in school are used in the current job</w:t>
      </w:r>
      <w:r w:rsidR="005A0C39" w:rsidRPr="00DF3CEE">
        <w:rPr>
          <w:color w:val="auto"/>
          <w:lang w:val="en-GB"/>
        </w:rPr>
        <w:t>;</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t>assess the adequacy and applicability of the program;</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lastRenderedPageBreak/>
        <w:t>assess the graduates’ level of satisfaction with the university’s physical facilities and human resource services;</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t xml:space="preserve">assess the degree of adequacy and applicability of the content and methods of teaching learned </w:t>
      </w:r>
      <w:r w:rsidR="001E3235" w:rsidRPr="00DF3CEE">
        <w:rPr>
          <w:color w:val="auto"/>
          <w:sz w:val="24"/>
          <w:lang w:val="en-GB"/>
        </w:rPr>
        <w:t>at</w:t>
      </w:r>
      <w:r w:rsidRPr="00DF3CEE">
        <w:rPr>
          <w:color w:val="auto"/>
          <w:sz w:val="24"/>
          <w:lang w:val="en-GB"/>
        </w:rPr>
        <w:t xml:space="preserve"> </w:t>
      </w:r>
      <w:r w:rsidR="00372EB7" w:rsidRPr="00DF3CEE">
        <w:rPr>
          <w:color w:val="auto"/>
          <w:sz w:val="24"/>
          <w:lang w:val="en-GB"/>
        </w:rPr>
        <w:t xml:space="preserve">the </w:t>
      </w:r>
      <w:r w:rsidR="001E3235" w:rsidRPr="00DF3CEE">
        <w:rPr>
          <w:color w:val="auto"/>
          <w:sz w:val="24"/>
          <w:lang w:val="en-GB"/>
        </w:rPr>
        <w:t>MIT</w:t>
      </w:r>
      <w:r w:rsidR="00360BDD" w:rsidRPr="00DF3CEE">
        <w:rPr>
          <w:color w:val="auto"/>
          <w:sz w:val="24"/>
          <w:lang w:val="en-GB"/>
        </w:rPr>
        <w:t xml:space="preserve"> program</w:t>
      </w:r>
      <w:r w:rsidRPr="00DF3CEE">
        <w:rPr>
          <w:color w:val="auto"/>
          <w:sz w:val="24"/>
          <w:lang w:val="en-GB"/>
        </w:rPr>
        <w:t>;</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t>assess the graduates’ level of satisfaction with the university’s physical facilities and human resource services</w:t>
      </w:r>
      <w:r w:rsidR="00360BDD" w:rsidRPr="00DF3CEE">
        <w:rPr>
          <w:color w:val="auto"/>
          <w:sz w:val="24"/>
          <w:lang w:val="en-GB"/>
        </w:rPr>
        <w:t xml:space="preserve"> AT ISAT U</w:t>
      </w:r>
      <w:r w:rsidRPr="00DF3CEE">
        <w:rPr>
          <w:color w:val="auto"/>
          <w:sz w:val="24"/>
          <w:lang w:val="en-GB"/>
        </w:rPr>
        <w:t xml:space="preserve">; </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t>determine the graduates’ level of satisfaction with their current position and professional success</w:t>
      </w:r>
      <w:r w:rsidR="001E3235" w:rsidRPr="00DF3CEE">
        <w:rPr>
          <w:color w:val="auto"/>
          <w:sz w:val="24"/>
          <w:lang w:val="en-GB"/>
        </w:rPr>
        <w:t>,</w:t>
      </w:r>
      <w:r w:rsidRPr="00DF3CEE">
        <w:rPr>
          <w:color w:val="auto"/>
          <w:sz w:val="24"/>
          <w:lang w:val="en-GB"/>
        </w:rPr>
        <w:t xml:space="preserve"> and</w:t>
      </w:r>
    </w:p>
    <w:p w:rsidR="00DF089C" w:rsidRPr="00DF3CEE" w:rsidRDefault="005E65B3" w:rsidP="00DF089C">
      <w:pPr>
        <w:pStyle w:val="ListParagraph"/>
        <w:numPr>
          <w:ilvl w:val="0"/>
          <w:numId w:val="1"/>
        </w:numPr>
        <w:spacing w:after="0" w:line="240" w:lineRule="auto"/>
        <w:ind w:right="0"/>
        <w:rPr>
          <w:color w:val="auto"/>
          <w:sz w:val="24"/>
          <w:lang w:val="en-GB"/>
        </w:rPr>
      </w:pPr>
      <w:r w:rsidRPr="00DF3CEE">
        <w:rPr>
          <w:color w:val="auto"/>
          <w:sz w:val="24"/>
          <w:lang w:val="en-GB"/>
        </w:rPr>
        <w:t xml:space="preserve">determine the graduates’ </w:t>
      </w:r>
      <w:r w:rsidR="007808AE">
        <w:rPr>
          <w:color w:val="auto"/>
          <w:sz w:val="24"/>
          <w:lang w:val="en-GB"/>
        </w:rPr>
        <w:t>satisfaction</w:t>
      </w:r>
      <w:r w:rsidRPr="00DF3CEE">
        <w:rPr>
          <w:color w:val="auto"/>
          <w:sz w:val="24"/>
          <w:lang w:val="en-GB"/>
        </w:rPr>
        <w:t xml:space="preserve"> </w:t>
      </w:r>
      <w:r w:rsidR="007808AE">
        <w:rPr>
          <w:color w:val="auto"/>
          <w:sz w:val="24"/>
          <w:lang w:val="en-GB"/>
        </w:rPr>
        <w:t>with</w:t>
      </w:r>
      <w:r w:rsidR="007808AE" w:rsidRPr="00DF3CEE">
        <w:rPr>
          <w:color w:val="auto"/>
          <w:sz w:val="24"/>
          <w:lang w:val="en-GB"/>
        </w:rPr>
        <w:t xml:space="preserve"> their academic experience </w:t>
      </w:r>
      <w:r w:rsidR="007808AE">
        <w:rPr>
          <w:color w:val="auto"/>
          <w:sz w:val="24"/>
          <w:lang w:val="en-GB"/>
        </w:rPr>
        <w:t>at</w:t>
      </w:r>
      <w:r w:rsidRPr="00DF3CEE">
        <w:rPr>
          <w:color w:val="auto"/>
          <w:sz w:val="24"/>
          <w:lang w:val="en-GB"/>
        </w:rPr>
        <w:t xml:space="preserve"> the university.</w:t>
      </w:r>
    </w:p>
    <w:p w:rsidR="00021A52" w:rsidRPr="00DF3CEE" w:rsidRDefault="00021A52" w:rsidP="00021A52">
      <w:pPr>
        <w:rPr>
          <w:lang w:val="en-GB"/>
        </w:rPr>
      </w:pPr>
    </w:p>
    <w:p w:rsidR="00021A52" w:rsidRPr="00DF3CEE" w:rsidRDefault="005E65B3" w:rsidP="00021A52">
      <w:pPr>
        <w:rPr>
          <w:b/>
          <w:bCs/>
          <w:lang w:val="en-GB"/>
        </w:rPr>
      </w:pPr>
      <w:r w:rsidRPr="00DF3CEE">
        <w:rPr>
          <w:b/>
          <w:bCs/>
          <w:lang w:val="en-GB"/>
        </w:rPr>
        <w:t xml:space="preserve">3.1. </w:t>
      </w:r>
      <w:r w:rsidR="00145FB9" w:rsidRPr="00DF3CEE">
        <w:rPr>
          <w:b/>
          <w:bCs/>
          <w:lang w:val="en-GB"/>
        </w:rPr>
        <w:t>C</w:t>
      </w:r>
      <w:r w:rsidR="00C026A3">
        <w:rPr>
          <w:b/>
          <w:bCs/>
          <w:lang w:val="en-GB"/>
        </w:rPr>
        <w:t xml:space="preserve">onceptual Paradigm </w:t>
      </w:r>
      <w:r w:rsidR="0079398A" w:rsidRPr="00DF3CEE">
        <w:rPr>
          <w:b/>
          <w:bCs/>
          <w:lang w:val="en-GB"/>
        </w:rPr>
        <w:t>of the Study</w:t>
      </w:r>
    </w:p>
    <w:p w:rsidR="004C53BD" w:rsidRPr="00DF3CEE" w:rsidRDefault="004C53BD" w:rsidP="00021A52">
      <w:pPr>
        <w:rPr>
          <w:b/>
          <w:bCs/>
          <w:lang w:val="en-GB"/>
        </w:rPr>
      </w:pPr>
    </w:p>
    <w:p w:rsidR="004C53BD" w:rsidRPr="004B3FEB" w:rsidRDefault="005E65B3" w:rsidP="00021A52">
      <w:pPr>
        <w:rPr>
          <w:b/>
          <w:bCs/>
          <w:lang w:val="en-GB"/>
        </w:rPr>
      </w:pPr>
      <w:r w:rsidRPr="00DF3CEE">
        <w:rPr>
          <w:b/>
          <w:bCs/>
          <w:lang w:val="en-GB"/>
        </w:rPr>
        <w:t>Figure 1</w:t>
      </w:r>
      <w:r w:rsidR="004B3FEB">
        <w:rPr>
          <w:b/>
          <w:bCs/>
          <w:lang w:val="en-GB"/>
        </w:rPr>
        <w:t xml:space="preserve">: </w:t>
      </w:r>
      <w:r w:rsidRPr="00DF3CEE">
        <w:rPr>
          <w:bCs/>
          <w:i/>
          <w:lang w:val="en-GB"/>
        </w:rPr>
        <w:t xml:space="preserve">Conceptual </w:t>
      </w:r>
      <w:r w:rsidR="00C02E61">
        <w:rPr>
          <w:bCs/>
          <w:i/>
          <w:lang w:val="en-GB"/>
        </w:rPr>
        <w:t>Paradigm</w:t>
      </w:r>
      <w:r w:rsidRPr="00DF3CEE">
        <w:rPr>
          <w:bCs/>
          <w:i/>
          <w:lang w:val="en-GB"/>
        </w:rPr>
        <w:t xml:space="preserve"> of the Study</w:t>
      </w:r>
      <w:r w:rsidRPr="00DF3CEE">
        <w:rPr>
          <w:i/>
          <w:lang w:val="en-GB"/>
        </w:rPr>
        <w:t xml:space="preserve"> </w:t>
      </w:r>
    </w:p>
    <w:p w:rsidR="004C53BD" w:rsidRPr="00DF3CEE" w:rsidRDefault="004C53BD" w:rsidP="00021A52">
      <w:pPr>
        <w:rPr>
          <w:b/>
          <w:bCs/>
          <w:lang w:val="en-GB"/>
        </w:rPr>
      </w:pPr>
    </w:p>
    <w:p w:rsidR="00021A52" w:rsidRPr="00DF3CEE" w:rsidRDefault="005E65B3" w:rsidP="00021A52">
      <w:pPr>
        <w:jc w:val="center"/>
        <w:rPr>
          <w:lang w:val="en-GB"/>
        </w:rPr>
      </w:pPr>
      <w:r w:rsidRPr="008B1D85">
        <w:rPr>
          <w:noProof/>
          <w:lang w:val="en-GB"/>
        </w:rPr>
        <w:drawing>
          <wp:inline distT="0" distB="0" distL="0" distR="0">
            <wp:extent cx="4259980" cy="34585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2768" cy="3485122"/>
                    </a:xfrm>
                    <a:prstGeom prst="rect">
                      <a:avLst/>
                    </a:prstGeom>
                  </pic:spPr>
                </pic:pic>
              </a:graphicData>
            </a:graphic>
          </wp:inline>
        </w:drawing>
      </w:r>
    </w:p>
    <w:p w:rsidR="00DF089C" w:rsidRPr="00DF3CEE" w:rsidRDefault="005E65B3" w:rsidP="0079398A">
      <w:pPr>
        <w:jc w:val="center"/>
        <w:rPr>
          <w:lang w:val="en-GB"/>
        </w:rPr>
      </w:pPr>
      <w:r>
        <w:rPr>
          <w:i/>
          <w:lang w:val="en-GB"/>
        </w:rPr>
        <w:t>Paradigm</w:t>
      </w:r>
      <w:r w:rsidR="004C53BD" w:rsidRPr="00DF3CEE">
        <w:rPr>
          <w:i/>
          <w:lang w:val="en-GB"/>
        </w:rPr>
        <w:t xml:space="preserve"> of the study</w:t>
      </w:r>
    </w:p>
    <w:p w:rsidR="004C53BD" w:rsidRDefault="004C53BD" w:rsidP="001E3235">
      <w:pPr>
        <w:rPr>
          <w:lang w:val="en-GB"/>
        </w:rPr>
      </w:pPr>
    </w:p>
    <w:p w:rsidR="007808AE" w:rsidRDefault="007808AE" w:rsidP="001E3235">
      <w:pPr>
        <w:rPr>
          <w:lang w:val="en-GB"/>
        </w:rPr>
      </w:pPr>
    </w:p>
    <w:p w:rsidR="007808AE" w:rsidRDefault="005E65B3" w:rsidP="00F87872">
      <w:pPr>
        <w:jc w:val="both"/>
        <w:rPr>
          <w:lang w:val="en-GB"/>
        </w:rPr>
      </w:pPr>
      <w:r w:rsidRPr="00F87872">
        <w:t xml:space="preserve">As illustrated in Figure 1, the </w:t>
      </w:r>
      <w:r>
        <w:t xml:space="preserve">MIT graduates supplied the </w:t>
      </w:r>
      <w:r w:rsidRPr="00F87872">
        <w:t>data required for the tracer study. This data included their career and job profile</w:t>
      </w:r>
      <w:r>
        <w:t>s</w:t>
      </w:r>
      <w:r w:rsidRPr="00F87872">
        <w:t>, educational and demographic profile</w:t>
      </w:r>
      <w:r>
        <w:t>s</w:t>
      </w:r>
      <w:r w:rsidRPr="00F87872">
        <w:t xml:space="preserve">, and </w:t>
      </w:r>
      <w:r w:rsidR="006C072F">
        <w:t>acquired competencies</w:t>
      </w:r>
      <w:r w:rsidRPr="00F87872">
        <w:t xml:space="preserve">. Additionally, the study established the program's evaluation. The </w:t>
      </w:r>
      <w:r>
        <w:t>study findings</w:t>
      </w:r>
      <w:r w:rsidRPr="00F87872">
        <w:t xml:space="preserve"> will be used to update the directory of graduates and enhance the course of study.</w:t>
      </w:r>
    </w:p>
    <w:p w:rsidR="007808AE" w:rsidRDefault="007808AE" w:rsidP="001E3235">
      <w:pPr>
        <w:rPr>
          <w:lang w:val="en-GB"/>
        </w:rPr>
      </w:pPr>
    </w:p>
    <w:p w:rsidR="007808AE" w:rsidRDefault="007808AE" w:rsidP="001E3235">
      <w:pPr>
        <w:rPr>
          <w:lang w:val="en-GB"/>
        </w:rPr>
      </w:pPr>
    </w:p>
    <w:p w:rsidR="007808AE" w:rsidRPr="00DF3CEE" w:rsidRDefault="007808AE" w:rsidP="001E3235">
      <w:pPr>
        <w:rPr>
          <w:lang w:val="en-GB"/>
        </w:rPr>
      </w:pPr>
    </w:p>
    <w:p w:rsidR="00DF3CEE" w:rsidRDefault="005E65B3" w:rsidP="001E3235">
      <w:pPr>
        <w:rPr>
          <w:b/>
          <w:lang w:val="en-GB"/>
        </w:rPr>
      </w:pPr>
      <w:r w:rsidRPr="00DF3CEE">
        <w:rPr>
          <w:b/>
          <w:lang w:val="en-GB"/>
        </w:rPr>
        <w:t>4. METHODOLOGY</w:t>
      </w:r>
    </w:p>
    <w:p w:rsidR="00DF3CEE" w:rsidRPr="00DF3CEE" w:rsidRDefault="00DF3CEE" w:rsidP="001E3235">
      <w:pPr>
        <w:rPr>
          <w:b/>
          <w:lang w:val="en-GB"/>
        </w:rPr>
      </w:pPr>
    </w:p>
    <w:p w:rsidR="00E54A91" w:rsidRPr="00DF3CEE" w:rsidRDefault="005E65B3" w:rsidP="00DF3CEE">
      <w:pPr>
        <w:rPr>
          <w:b/>
          <w:bCs/>
          <w:lang w:val="en-GB"/>
        </w:rPr>
      </w:pPr>
      <w:r w:rsidRPr="00DF3CEE">
        <w:rPr>
          <w:b/>
          <w:bCs/>
          <w:lang w:val="en-GB"/>
        </w:rPr>
        <w:t>4.1. Research Design</w:t>
      </w:r>
    </w:p>
    <w:p w:rsidR="00E10465" w:rsidRPr="00DF3CEE" w:rsidRDefault="005E65B3" w:rsidP="00E10465">
      <w:pPr>
        <w:jc w:val="both"/>
      </w:pPr>
      <w:r w:rsidRPr="00DF3CEE">
        <w:lastRenderedPageBreak/>
        <w:t>Siedlecki (2020) used a descriptive survey approach to describe the characteristics of a population or phenomenon</w:t>
      </w:r>
      <w:r w:rsidR="004F5B40" w:rsidRPr="00DF3CEE">
        <w:t xml:space="preserve"> as they existed at the time of the study. Evaluating the graduates' achievement in meeting the program's goals </w:t>
      </w:r>
      <w:r w:rsidRPr="00DF3CEE">
        <w:t>i</w:t>
      </w:r>
      <w:r w:rsidR="004F5B40" w:rsidRPr="00DF3CEE">
        <w:t>s a form of curriculum product evaluation, documenting the curriculum's sufficiency, relevance, and efficacy.</w:t>
      </w:r>
      <w:r w:rsidRPr="00DF3CEE">
        <w:t xml:space="preserve"> Amaliyah et al. (2023) added that descriptive analysis was performed in this study, utilising a histogram, the frequency distribution tabulation technique, and a narrative explanation.</w:t>
      </w:r>
    </w:p>
    <w:p w:rsidR="005D1DF5" w:rsidRPr="00DF3CEE" w:rsidRDefault="005D1DF5" w:rsidP="004F5B40">
      <w:pPr>
        <w:jc w:val="both"/>
      </w:pPr>
    </w:p>
    <w:p w:rsidR="00DF089C" w:rsidRPr="00DF3CEE" w:rsidRDefault="005E65B3" w:rsidP="004F5B40">
      <w:pPr>
        <w:jc w:val="both"/>
        <w:rPr>
          <w:lang w:val="en-GB"/>
        </w:rPr>
      </w:pPr>
      <w:r w:rsidRPr="00DF3CEE">
        <w:rPr>
          <w:lang w:val="en-GB"/>
        </w:rPr>
        <w:t xml:space="preserve"> </w:t>
      </w:r>
    </w:p>
    <w:p w:rsidR="009229F3" w:rsidRPr="00DF3CEE" w:rsidRDefault="005E65B3" w:rsidP="00EA1FE0">
      <w:pPr>
        <w:rPr>
          <w:b/>
          <w:bCs/>
          <w:lang w:val="en-GB"/>
        </w:rPr>
      </w:pPr>
      <w:r w:rsidRPr="00DF3CEE">
        <w:rPr>
          <w:b/>
          <w:bCs/>
          <w:lang w:val="en-GB"/>
        </w:rPr>
        <w:t>4.2. Respondents and Sampling Plan</w:t>
      </w:r>
    </w:p>
    <w:p w:rsidR="00BC7337" w:rsidRDefault="005E65B3" w:rsidP="00A74625">
      <w:pPr>
        <w:jc w:val="both"/>
        <w:rPr>
          <w:lang w:val="en-GB"/>
        </w:rPr>
      </w:pPr>
      <w:r w:rsidRPr="00DF3CEE">
        <w:rPr>
          <w:lang w:val="en-GB"/>
        </w:rPr>
        <w:t xml:space="preserve">The study's respondents were </w:t>
      </w:r>
      <w:r w:rsidR="00A74625" w:rsidRPr="00DF3CEE">
        <w:rPr>
          <w:lang w:val="en-GB"/>
        </w:rPr>
        <w:t>87</w:t>
      </w:r>
      <w:r w:rsidRPr="00DF3CEE">
        <w:rPr>
          <w:lang w:val="en-GB"/>
        </w:rPr>
        <w:t xml:space="preserve"> graduates of the </w:t>
      </w:r>
      <w:r w:rsidR="00A74625" w:rsidRPr="00DF3CEE">
        <w:rPr>
          <w:lang w:val="en-GB"/>
        </w:rPr>
        <w:t>MIT-</w:t>
      </w:r>
      <w:r w:rsidRPr="00DF3CEE">
        <w:rPr>
          <w:lang w:val="en-GB"/>
        </w:rPr>
        <w:t>AEP program from 201</w:t>
      </w:r>
      <w:r w:rsidR="007F298F">
        <w:rPr>
          <w:lang w:val="en-GB"/>
        </w:rPr>
        <w:t>5</w:t>
      </w:r>
      <w:r w:rsidR="006C072F">
        <w:rPr>
          <w:lang w:val="en-GB"/>
        </w:rPr>
        <w:t xml:space="preserve"> to </w:t>
      </w:r>
      <w:r w:rsidRPr="00DF3CEE">
        <w:rPr>
          <w:lang w:val="en-GB"/>
        </w:rPr>
        <w:t>202</w:t>
      </w:r>
      <w:r w:rsidR="00C53EAF">
        <w:rPr>
          <w:lang w:val="en-GB"/>
        </w:rPr>
        <w:t>4</w:t>
      </w:r>
      <w:r w:rsidRPr="00DF3CEE">
        <w:rPr>
          <w:lang w:val="en-GB"/>
        </w:rPr>
        <w:t xml:space="preserve">. The researchers employed </w:t>
      </w:r>
      <w:r w:rsidR="00C536E1">
        <w:rPr>
          <w:lang w:val="en-GB"/>
        </w:rPr>
        <w:t>purposive</w:t>
      </w:r>
      <w:r w:rsidR="00B66557">
        <w:rPr>
          <w:lang w:val="en-GB"/>
        </w:rPr>
        <w:t xml:space="preserve"> </w:t>
      </w:r>
      <w:r w:rsidR="00C536E1">
        <w:rPr>
          <w:lang w:val="en-GB"/>
        </w:rPr>
        <w:t>sampling</w:t>
      </w:r>
      <w:r>
        <w:rPr>
          <w:lang w:val="en-GB"/>
        </w:rPr>
        <w:t xml:space="preserve"> and </w:t>
      </w:r>
      <w:r w:rsidR="00495A89">
        <w:rPr>
          <w:lang w:val="en-GB"/>
        </w:rPr>
        <w:t xml:space="preserve">the </w:t>
      </w:r>
      <w:r>
        <w:rPr>
          <w:lang w:val="en-GB"/>
        </w:rPr>
        <w:t>snowball technique</w:t>
      </w:r>
      <w:r w:rsidRPr="00DF3CEE">
        <w:rPr>
          <w:lang w:val="en-GB"/>
        </w:rPr>
        <w:t xml:space="preserve">. </w:t>
      </w:r>
      <w:r w:rsidR="005F537D">
        <w:rPr>
          <w:lang w:val="en-GB"/>
        </w:rPr>
        <w:t xml:space="preserve">Although </w:t>
      </w:r>
      <w:r>
        <w:rPr>
          <w:lang w:val="en-GB"/>
        </w:rPr>
        <w:t xml:space="preserve">the </w:t>
      </w:r>
      <w:r w:rsidR="005F537D">
        <w:rPr>
          <w:lang w:val="en-GB"/>
        </w:rPr>
        <w:t>pandemic hit in 2020-202</w:t>
      </w:r>
      <w:r>
        <w:rPr>
          <w:lang w:val="en-GB"/>
        </w:rPr>
        <w:t>2,</w:t>
      </w:r>
      <w:r w:rsidR="005F537D">
        <w:rPr>
          <w:lang w:val="en-GB"/>
        </w:rPr>
        <w:t xml:space="preserve"> it d</w:t>
      </w:r>
      <w:r>
        <w:rPr>
          <w:lang w:val="en-GB"/>
        </w:rPr>
        <w:t>id</w:t>
      </w:r>
      <w:r w:rsidR="005F537D">
        <w:rPr>
          <w:lang w:val="en-GB"/>
        </w:rPr>
        <w:t xml:space="preserve"> not hinder the </w:t>
      </w:r>
      <w:r w:rsidR="00495A89">
        <w:rPr>
          <w:lang w:val="en-GB"/>
        </w:rPr>
        <w:t>data collection</w:t>
      </w:r>
      <w:r w:rsidRPr="00DF3CEE">
        <w:rPr>
          <w:lang w:val="en-GB"/>
        </w:rPr>
        <w:t xml:space="preserve">. </w:t>
      </w:r>
    </w:p>
    <w:p w:rsidR="00495A89" w:rsidRDefault="00495A89" w:rsidP="00A74625">
      <w:pPr>
        <w:jc w:val="both"/>
        <w:rPr>
          <w:lang w:val="en-GB"/>
        </w:rPr>
      </w:pPr>
    </w:p>
    <w:p w:rsidR="00495A89" w:rsidRDefault="005E65B3" w:rsidP="00A74625">
      <w:pPr>
        <w:jc w:val="both"/>
        <w:rPr>
          <w:lang w:val="en-GB"/>
        </w:rPr>
      </w:pPr>
      <w:r>
        <w:rPr>
          <w:noProof/>
          <w14:ligatures w14:val="standardContextual"/>
        </w:rPr>
        <w:drawing>
          <wp:inline distT="0" distB="0" distL="0" distR="0">
            <wp:extent cx="6024880" cy="2519680"/>
            <wp:effectExtent l="0" t="0" r="13970" b="13970"/>
            <wp:docPr id="8" name="Chart 8">
              <a:extLst xmlns:a="http://schemas.openxmlformats.org/drawingml/2006/main">
                <a:ext uri="{FF2B5EF4-FFF2-40B4-BE49-F238E27FC236}">
                  <a16:creationId xmlns:a16="http://schemas.microsoft.com/office/drawing/2014/main" id="{8AD64E9B-1F1D-D742-9683-1E394D6CF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7C1A" w:rsidRPr="00967C1A" w:rsidRDefault="004B3FEB" w:rsidP="00967C1A">
      <w:pPr>
        <w:jc w:val="both"/>
        <w:rPr>
          <w:lang w:val="en-US"/>
        </w:rPr>
      </w:pPr>
      <w:r>
        <w:rPr>
          <w:lang w:val="en-GB"/>
        </w:rPr>
        <w:t>Fig</w:t>
      </w:r>
      <w:r w:rsidR="00967C1A">
        <w:rPr>
          <w:lang w:val="en-GB"/>
        </w:rPr>
        <w:t xml:space="preserve"> </w:t>
      </w:r>
      <w:r>
        <w:rPr>
          <w:lang w:val="en-GB"/>
        </w:rPr>
        <w:t>2</w:t>
      </w:r>
      <w:r w:rsidR="00967C1A">
        <w:rPr>
          <w:lang w:val="en-GB"/>
        </w:rPr>
        <w:t xml:space="preserve">:  </w:t>
      </w:r>
      <w:r w:rsidR="00967C1A" w:rsidRPr="00967C1A">
        <w:rPr>
          <w:lang w:val="en-US"/>
        </w:rPr>
        <w:t>Graduates per Batch</w:t>
      </w:r>
    </w:p>
    <w:p w:rsidR="00BC7337" w:rsidRDefault="00BC7337" w:rsidP="00A74625">
      <w:pPr>
        <w:jc w:val="both"/>
        <w:rPr>
          <w:lang w:val="en-GB"/>
        </w:rPr>
      </w:pPr>
    </w:p>
    <w:p w:rsidR="0009654D" w:rsidRPr="00DF3CEE" w:rsidRDefault="005E65B3" w:rsidP="00A74625">
      <w:pPr>
        <w:jc w:val="both"/>
        <w:rPr>
          <w:lang w:val="en-GB"/>
        </w:rPr>
      </w:pPr>
      <w:r w:rsidRPr="00DF3CEE">
        <w:rPr>
          <w:lang w:val="en-GB"/>
        </w:rPr>
        <w:t>Parker et al</w:t>
      </w:r>
      <w:r w:rsidR="002C6C25" w:rsidRPr="00DF3CEE">
        <w:rPr>
          <w:lang w:val="en-GB"/>
        </w:rPr>
        <w:t>.</w:t>
      </w:r>
      <w:r w:rsidRPr="00DF3CEE">
        <w:rPr>
          <w:lang w:val="en-GB"/>
        </w:rPr>
        <w:t xml:space="preserve"> (2019)</w:t>
      </w:r>
      <w:r w:rsidR="002C6C25" w:rsidRPr="00DF3CEE">
        <w:rPr>
          <w:lang w:val="en-GB"/>
        </w:rPr>
        <w:t xml:space="preserve"> discuss snowball sampling as a popular method in qualitative research involving networking and referral. Researchers start with a few participants who fit the research criteria and are invited to recommend others. This process builds a chain of participants, and sampling usually ends once a target sample size or saturation point is reached. The technique has advantages and limitations, but it has been successful in some cases. Crossman (2018) denotes this </w:t>
      </w:r>
      <w:r w:rsidR="003D4E06" w:rsidRPr="00DF3CEE">
        <w:rPr>
          <w:lang w:val="en-GB"/>
        </w:rPr>
        <w:t xml:space="preserve">sampling approach </w:t>
      </w:r>
      <w:r w:rsidR="002C6C25" w:rsidRPr="00DF3CEE">
        <w:rPr>
          <w:lang w:val="en-GB"/>
        </w:rPr>
        <w:t>wherein</w:t>
      </w:r>
      <w:r w:rsidR="003D4E06" w:rsidRPr="00DF3CEE">
        <w:rPr>
          <w:lang w:val="en-GB"/>
        </w:rPr>
        <w:t xml:space="preserve"> a study participant directs the researchers to more potential participants until the required or appropriate number of participants is attained. </w:t>
      </w:r>
    </w:p>
    <w:p w:rsidR="009229F3" w:rsidRPr="00DF3CEE" w:rsidRDefault="009229F3" w:rsidP="00EA1FE0">
      <w:pPr>
        <w:rPr>
          <w:b/>
          <w:bCs/>
          <w:lang w:val="en-GB"/>
        </w:rPr>
      </w:pPr>
    </w:p>
    <w:p w:rsidR="00DF089C" w:rsidRPr="00DF3CEE" w:rsidRDefault="005E65B3" w:rsidP="00DF089C">
      <w:pPr>
        <w:pStyle w:val="Default"/>
        <w:jc w:val="both"/>
        <w:rPr>
          <w:rFonts w:ascii="Times New Roman" w:hAnsi="Times New Roman" w:cs="Times New Roman"/>
          <w:b/>
          <w:bCs/>
          <w:color w:val="auto"/>
          <w:lang w:val="en-GB"/>
        </w:rPr>
      </w:pPr>
      <w:r w:rsidRPr="00DF3CEE">
        <w:rPr>
          <w:rFonts w:ascii="Times New Roman" w:hAnsi="Times New Roman" w:cs="Times New Roman"/>
          <w:b/>
          <w:bCs/>
          <w:color w:val="auto"/>
          <w:lang w:val="en-GB"/>
        </w:rPr>
        <w:t>4.3. The Instrument</w:t>
      </w:r>
    </w:p>
    <w:p w:rsidR="00561CFC" w:rsidRPr="00DF3CEE" w:rsidRDefault="005E65B3" w:rsidP="00561CFC">
      <w:pPr>
        <w:jc w:val="both"/>
      </w:pPr>
      <w:r w:rsidRPr="00DF3CEE">
        <w:t>The CHED instrument, designed based on the 2012 Memorandum Order No. 46 and the 2014 CHED Handbook, was tested for content validity and reliability before data collection. The instrument has 13 main categories</w:t>
      </w:r>
      <w:r w:rsidR="001E6BB2" w:rsidRPr="00DF3CEE">
        <w:t>:</w:t>
      </w:r>
      <w:r w:rsidRPr="00DF3CEE">
        <w:t xml:space="preserve"> personal profile, employment, current status, concerns, program assessment, adequacy of program content, applicability, teaching methods, physical facilities, office services, human resources services, and satisfaction with the current profession. An additional field for open-ended questions was added for items not found in the questionnaire. The instrument is fit for data gathering.</w:t>
      </w:r>
    </w:p>
    <w:p w:rsidR="007B4F3C" w:rsidRPr="00DF3CEE" w:rsidRDefault="007B4F3C" w:rsidP="00A74625">
      <w:pPr>
        <w:jc w:val="both"/>
        <w:rPr>
          <w:szCs w:val="28"/>
          <w:lang w:val="en-GB"/>
        </w:rPr>
      </w:pPr>
    </w:p>
    <w:p w:rsidR="001E6BB2" w:rsidRPr="00DF3CEE" w:rsidRDefault="005E65B3" w:rsidP="001E6BB2">
      <w:pPr>
        <w:jc w:val="both"/>
      </w:pPr>
      <w:r w:rsidRPr="00DF3CEE">
        <w:lastRenderedPageBreak/>
        <w:t>The study's instrument underwent reliability testing using Cronbach Alpha, a technique that compares the covariance of an instrument's items to the total variance. Cronbach's alpha, first introduced by Collins in 2007, ensures a trustworthy instrument by comparing the covariance of items to the total variance. A significant increase in an item may indicate inconsistency.</w:t>
      </w:r>
    </w:p>
    <w:p w:rsidR="00DF089C" w:rsidRPr="00DF3CEE" w:rsidRDefault="00DF089C" w:rsidP="002A5F12">
      <w:pPr>
        <w:autoSpaceDE w:val="0"/>
        <w:autoSpaceDN w:val="0"/>
        <w:adjustRightInd w:val="0"/>
        <w:rPr>
          <w:lang w:val="en-GB"/>
        </w:rPr>
      </w:pPr>
    </w:p>
    <w:p w:rsidR="002A5F12" w:rsidRPr="00DF3CEE" w:rsidRDefault="005E65B3" w:rsidP="00DF089C">
      <w:pPr>
        <w:pStyle w:val="Default"/>
        <w:jc w:val="both"/>
        <w:rPr>
          <w:rFonts w:ascii="Times New Roman" w:hAnsi="Times New Roman" w:cs="Times New Roman"/>
          <w:b/>
          <w:bCs/>
          <w:color w:val="auto"/>
          <w:lang w:val="en-GB"/>
        </w:rPr>
      </w:pPr>
      <w:r w:rsidRPr="00DF3CEE">
        <w:rPr>
          <w:rFonts w:ascii="Calibri" w:hAnsi="Calibri" w:cs="Calibri"/>
          <w:color w:val="auto"/>
          <w:lang w:val="en-GB"/>
        </w:rPr>
        <w:t>﻿</w:t>
      </w:r>
      <w:r w:rsidRPr="00DF3CEE">
        <w:rPr>
          <w:rFonts w:ascii="Times New Roman" w:hAnsi="Times New Roman" w:cs="Times New Roman"/>
          <w:b/>
          <w:bCs/>
          <w:color w:val="auto"/>
          <w:lang w:val="en-GB"/>
        </w:rPr>
        <w:t>4.4 Data Gathering Procedure</w:t>
      </w:r>
    </w:p>
    <w:p w:rsidR="00C0662B" w:rsidRPr="00DF3CEE" w:rsidRDefault="005E65B3" w:rsidP="00C0662B">
      <w:pPr>
        <w:jc w:val="both"/>
      </w:pPr>
      <w:r w:rsidRPr="00DF3CEE">
        <w:t xml:space="preserve">The instrument's final version was ready for data collection following validity and reliability testing. </w:t>
      </w:r>
      <w:r w:rsidR="00DF3CEE">
        <w:t>T</w:t>
      </w:r>
      <w:r w:rsidRPr="00DF3CEE">
        <w:t>o collect data, the researchers wrote a letter requesting permission from the head office to use their staff to c</w:t>
      </w:r>
      <w:r w:rsidR="00DF3CEE">
        <w:t>onduc</w:t>
      </w:r>
      <w:r w:rsidRPr="00DF3CEE">
        <w:t xml:space="preserve">t the study. The three-page questionnaire was distributed after approval by the office head. The researchers allowed the respondents enough time to complete the questionnaire for their convenience. </w:t>
      </w:r>
    </w:p>
    <w:p w:rsidR="002A5F12" w:rsidRPr="00DF3CEE" w:rsidRDefault="002A5F12" w:rsidP="002A5F12">
      <w:pPr>
        <w:pStyle w:val="Default"/>
        <w:jc w:val="both"/>
        <w:rPr>
          <w:rFonts w:ascii="Times New Roman" w:hAnsi="Times New Roman" w:cs="Times New Roman"/>
          <w:color w:val="auto"/>
          <w:lang w:val="en-GB"/>
        </w:rPr>
      </w:pPr>
    </w:p>
    <w:p w:rsidR="00C0662B" w:rsidRPr="00DF3CEE" w:rsidRDefault="005E65B3" w:rsidP="00C0662B">
      <w:pPr>
        <w:jc w:val="both"/>
      </w:pPr>
      <w:r w:rsidRPr="00DF3CEE">
        <w:t>Researchers created two questionnaire sets for the study: one in hard copy for face-to-face distribution and the other on Google Forms for online responses. Staff from respondents' workplaces assisted in distribution and administration. Some participants were interviewed by telephone, while others completed the instrument via messenger and email. Graduate students visiting the university were also included. Data gathering was crucial, as program graduates were based on the official list from the Registrar's Office to ensure accuracy.</w:t>
      </w:r>
    </w:p>
    <w:p w:rsidR="00DF089C" w:rsidRPr="00DF3CEE" w:rsidRDefault="00DF089C" w:rsidP="00DF089C">
      <w:pPr>
        <w:pStyle w:val="Default"/>
        <w:jc w:val="both"/>
        <w:rPr>
          <w:rFonts w:ascii="Times New Roman" w:hAnsi="Times New Roman" w:cs="Times New Roman"/>
          <w:color w:val="auto"/>
          <w:lang w:val="en-GB"/>
        </w:rPr>
      </w:pPr>
    </w:p>
    <w:p w:rsidR="00DF089C" w:rsidRPr="00DF3CEE" w:rsidRDefault="005E65B3" w:rsidP="00DF089C">
      <w:pPr>
        <w:pStyle w:val="Default"/>
        <w:jc w:val="both"/>
        <w:rPr>
          <w:rFonts w:ascii="Times New Roman" w:hAnsi="Times New Roman" w:cs="Times New Roman"/>
          <w:b/>
          <w:bCs/>
          <w:color w:val="auto"/>
          <w:lang w:val="en-GB"/>
        </w:rPr>
      </w:pPr>
      <w:r w:rsidRPr="00DF3CEE">
        <w:rPr>
          <w:rFonts w:ascii="Times New Roman" w:hAnsi="Times New Roman" w:cs="Times New Roman"/>
          <w:b/>
          <w:bCs/>
          <w:color w:val="auto"/>
          <w:lang w:val="en-GB"/>
        </w:rPr>
        <w:t>4.4. Data Analysis</w:t>
      </w:r>
    </w:p>
    <w:p w:rsidR="006E59C5" w:rsidRPr="00DF3CEE" w:rsidRDefault="005E65B3" w:rsidP="006E59C5">
      <w:pPr>
        <w:jc w:val="both"/>
      </w:pPr>
      <w:r w:rsidRPr="00DF3CEE">
        <w:t>The study used both quantitative and qualitative methodologies to examine the information. Inferential and descriptive statistics were calculated, whereas the interview's qualitative data was manually coded. Responses were gathered to find emergent themes. Verification of the feedback from informants was also used to identify themes.</w:t>
      </w:r>
    </w:p>
    <w:p w:rsidR="006E59C5" w:rsidRPr="00DF3CEE" w:rsidRDefault="006E59C5" w:rsidP="006E59C5">
      <w:pPr>
        <w:jc w:val="both"/>
      </w:pPr>
    </w:p>
    <w:p w:rsidR="00707CC9" w:rsidRPr="00DF3CEE" w:rsidRDefault="005E65B3" w:rsidP="00707CC9">
      <w:pPr>
        <w:rPr>
          <w:b/>
          <w:bCs/>
          <w:lang w:val="en-GB"/>
        </w:rPr>
      </w:pPr>
      <w:r w:rsidRPr="00DF3CEE">
        <w:rPr>
          <w:b/>
          <w:bCs/>
          <w:lang w:val="en-GB"/>
        </w:rPr>
        <w:t>4.5. Ethical Considerations</w:t>
      </w:r>
    </w:p>
    <w:p w:rsidR="00D17EB9" w:rsidRPr="00DF3CEE" w:rsidRDefault="005E65B3" w:rsidP="00D17EB9">
      <w:pPr>
        <w:jc w:val="both"/>
        <w:rPr>
          <w:lang w:val="en-GB"/>
        </w:rPr>
      </w:pPr>
      <w:r w:rsidRPr="00DF3CEE">
        <w:rPr>
          <w:lang w:val="en-GB"/>
        </w:rPr>
        <w:t>The authors of this article declare that the materials and</w:t>
      </w:r>
      <w:r w:rsidRPr="00DF3CEE">
        <w:t xml:space="preserve"> </w:t>
      </w:r>
      <w:r w:rsidRPr="00DF3CEE">
        <w:rPr>
          <w:lang w:val="en-GB"/>
        </w:rPr>
        <w:t>methods they use in their work require ethical</w:t>
      </w:r>
      <w:r w:rsidRPr="00DF3CEE">
        <w:t xml:space="preserve"> </w:t>
      </w:r>
      <w:r w:rsidRPr="00DF3CEE">
        <w:rPr>
          <w:lang w:val="en-GB"/>
        </w:rPr>
        <w:t>committee approval and/or legal-specific permission. The Code of Ethics has directed the study's conduct under ethical ideals. Prioritising the participants' well-being, the researcher sought their permission for voluntary involvement. They were identified by number coding, anonymity was maintained, and formal correspondence was sent by email. The researcher assured them that the information provided would be used only for that reason. Six months after finishing the final report, the researcher destroyed all hard copies of the material and erased the contents from a password-protected personal computer and backup CD (Crewsell, 2013).</w:t>
      </w:r>
    </w:p>
    <w:p w:rsidR="00B53721" w:rsidRPr="00DF3CEE" w:rsidRDefault="00B53721" w:rsidP="002A08D4">
      <w:pPr>
        <w:rPr>
          <w:lang w:val="en-GB"/>
        </w:rPr>
      </w:pPr>
    </w:p>
    <w:p w:rsidR="00C52B92" w:rsidRPr="00DF3CEE" w:rsidRDefault="005E65B3" w:rsidP="00C52B92">
      <w:pPr>
        <w:jc w:val="both"/>
      </w:pPr>
      <w:r w:rsidRPr="00DF3CEE">
        <w:t>Govil (2013) and Rani &amp; Sharma (2012) emphasise the importance of researchers prioritising participant welfare and adhering to ethical norms. The study aims to advance knowledge, handle data confidentially, maintain transparency, and ensure equity and respect. Participants' welfare is ensured through official correspondence, anonymity, and voluntary participation.</w:t>
      </w:r>
    </w:p>
    <w:p w:rsidR="002A08D4" w:rsidRPr="00DF3CEE" w:rsidRDefault="002A08D4" w:rsidP="00DF089C">
      <w:pPr>
        <w:rPr>
          <w:lang w:val="en-GB"/>
        </w:rPr>
      </w:pPr>
    </w:p>
    <w:p w:rsidR="00DF089C" w:rsidRPr="00DF3CEE" w:rsidRDefault="005E65B3" w:rsidP="00DF089C">
      <w:pPr>
        <w:rPr>
          <w:b/>
          <w:lang w:val="en-GB"/>
        </w:rPr>
      </w:pPr>
      <w:r w:rsidRPr="00DF3CEE">
        <w:rPr>
          <w:b/>
          <w:lang w:val="en-GB"/>
        </w:rPr>
        <w:t>5. RESULTS</w:t>
      </w:r>
    </w:p>
    <w:p w:rsidR="00B53721" w:rsidRPr="00DF3CEE" w:rsidRDefault="005E65B3" w:rsidP="004C7A76">
      <w:pPr>
        <w:ind w:right="58"/>
        <w:rPr>
          <w:rFonts w:ascii="Calibri" w:hAnsi="Calibri" w:cs="Calibri"/>
          <w:b/>
          <w:lang w:val="en-GB"/>
        </w:rPr>
      </w:pPr>
      <w:r w:rsidRPr="00DF3CEE">
        <w:rPr>
          <w:rFonts w:ascii="Calibri" w:hAnsi="Calibri" w:cs="Calibri"/>
          <w:b/>
          <w:lang w:val="en-GB"/>
        </w:rPr>
        <w:t>﻿</w:t>
      </w:r>
    </w:p>
    <w:p w:rsidR="0016732D" w:rsidRPr="00DF3CEE" w:rsidRDefault="005E65B3" w:rsidP="00C76D89">
      <w:pPr>
        <w:rPr>
          <w:b/>
        </w:rPr>
      </w:pPr>
      <w:r w:rsidRPr="00DF3CEE">
        <w:rPr>
          <w:b/>
          <w:lang w:val="en-GB"/>
        </w:rPr>
        <w:t xml:space="preserve">5.1. </w:t>
      </w:r>
      <w:r w:rsidR="006D470A" w:rsidRPr="00DF3CEE">
        <w:rPr>
          <w:b/>
        </w:rPr>
        <w:t>Participants' Current Status and Employment Characteristics</w:t>
      </w:r>
    </w:p>
    <w:p w:rsidR="00B53721" w:rsidRPr="00DF3CEE" w:rsidRDefault="00B53721" w:rsidP="004C7A76">
      <w:pPr>
        <w:ind w:right="58"/>
        <w:rPr>
          <w:b/>
          <w:lang w:val="en-GB"/>
        </w:rPr>
      </w:pPr>
    </w:p>
    <w:p w:rsidR="000249A8" w:rsidRPr="004B3FEB" w:rsidRDefault="005E65B3" w:rsidP="004B3FEB">
      <w:pPr>
        <w:ind w:right="58"/>
        <w:rPr>
          <w:b/>
          <w:lang w:val="en-GB"/>
        </w:rPr>
      </w:pPr>
      <w:r w:rsidRPr="00DF3CEE">
        <w:rPr>
          <w:b/>
          <w:lang w:val="en-GB"/>
        </w:rPr>
        <w:t>Table 1</w:t>
      </w:r>
      <w:r w:rsidR="004B3FEB">
        <w:rPr>
          <w:b/>
          <w:lang w:val="en-GB"/>
        </w:rPr>
        <w:t xml:space="preserve">: </w:t>
      </w:r>
      <w:r w:rsidRPr="00DF3CEE">
        <w:rPr>
          <w:i/>
        </w:rPr>
        <w:t>Participants' Current Status and Employment Characteristics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1525"/>
        <w:gridCol w:w="1428"/>
      </w:tblGrid>
      <w:tr w:rsidR="002526A2" w:rsidTr="00106450">
        <w:trPr>
          <w:jc w:val="center"/>
        </w:trPr>
        <w:tc>
          <w:tcPr>
            <w:tcW w:w="4979" w:type="dxa"/>
            <w:tcBorders>
              <w:top w:val="single" w:sz="8" w:space="0" w:color="000000"/>
              <w:bottom w:val="single" w:sz="8" w:space="0" w:color="000000"/>
            </w:tcBorders>
          </w:tcPr>
          <w:p w:rsidR="00DC5DF3" w:rsidRPr="00DF3CEE" w:rsidRDefault="005E65B3" w:rsidP="002E7DE3">
            <w:pPr>
              <w:ind w:right="58"/>
              <w:jc w:val="center"/>
              <w:rPr>
                <w:lang w:val="en-GB"/>
              </w:rPr>
            </w:pPr>
            <w:r w:rsidRPr="00DF3CEE">
              <w:rPr>
                <w:lang w:val="en-GB"/>
              </w:rPr>
              <w:t>Employment Characteristics</w:t>
            </w:r>
          </w:p>
        </w:tc>
        <w:tc>
          <w:tcPr>
            <w:tcW w:w="1525" w:type="dxa"/>
            <w:tcBorders>
              <w:top w:val="single" w:sz="8" w:space="0" w:color="000000"/>
              <w:bottom w:val="single" w:sz="8" w:space="0" w:color="000000"/>
            </w:tcBorders>
          </w:tcPr>
          <w:p w:rsidR="00DC5DF3" w:rsidRPr="00DF3CEE" w:rsidRDefault="005E65B3" w:rsidP="002E7DE3">
            <w:pPr>
              <w:ind w:right="58"/>
              <w:jc w:val="center"/>
              <w:rPr>
                <w:lang w:val="en-GB"/>
              </w:rPr>
            </w:pPr>
            <w:r w:rsidRPr="00DF3CEE">
              <w:rPr>
                <w:lang w:val="en-GB"/>
              </w:rPr>
              <w:t>Total (N=87)</w:t>
            </w:r>
          </w:p>
        </w:tc>
        <w:tc>
          <w:tcPr>
            <w:tcW w:w="1428" w:type="dxa"/>
            <w:tcBorders>
              <w:top w:val="single" w:sz="8" w:space="0" w:color="000000"/>
              <w:bottom w:val="single" w:sz="8" w:space="0" w:color="000000"/>
            </w:tcBorders>
          </w:tcPr>
          <w:p w:rsidR="00DC5DF3" w:rsidRPr="00DF3CEE" w:rsidRDefault="005E65B3" w:rsidP="002E7DE3">
            <w:pPr>
              <w:ind w:right="58"/>
              <w:jc w:val="center"/>
              <w:rPr>
                <w:lang w:val="en-GB"/>
              </w:rPr>
            </w:pPr>
            <w:r w:rsidRPr="00DF3CEE">
              <w:rPr>
                <w:lang w:val="en-GB"/>
              </w:rPr>
              <w:t>%</w:t>
            </w:r>
          </w:p>
        </w:tc>
      </w:tr>
      <w:tr w:rsidR="002526A2" w:rsidTr="00106450">
        <w:trPr>
          <w:jc w:val="center"/>
        </w:trPr>
        <w:tc>
          <w:tcPr>
            <w:tcW w:w="4979" w:type="dxa"/>
            <w:tcBorders>
              <w:top w:val="single" w:sz="8" w:space="0" w:color="000000"/>
            </w:tcBorders>
          </w:tcPr>
          <w:p w:rsidR="00DC5DF3" w:rsidRPr="00DF3CEE" w:rsidRDefault="005E65B3" w:rsidP="002E7DE3">
            <w:pPr>
              <w:ind w:right="58"/>
              <w:rPr>
                <w:b/>
                <w:lang w:val="en-GB"/>
              </w:rPr>
            </w:pPr>
            <w:r w:rsidRPr="00DF3CEE">
              <w:rPr>
                <w:b/>
                <w:lang w:val="en-GB"/>
              </w:rPr>
              <w:lastRenderedPageBreak/>
              <w:t>Employment Status</w:t>
            </w:r>
          </w:p>
        </w:tc>
        <w:tc>
          <w:tcPr>
            <w:tcW w:w="1525" w:type="dxa"/>
            <w:tcBorders>
              <w:top w:val="single" w:sz="8" w:space="0" w:color="000000"/>
            </w:tcBorders>
          </w:tcPr>
          <w:p w:rsidR="00DC5DF3" w:rsidRPr="00DF3CEE" w:rsidRDefault="00DC5DF3" w:rsidP="002E7DE3">
            <w:pPr>
              <w:ind w:right="58"/>
              <w:jc w:val="center"/>
              <w:rPr>
                <w:lang w:val="en-GB"/>
              </w:rPr>
            </w:pPr>
          </w:p>
        </w:tc>
        <w:tc>
          <w:tcPr>
            <w:tcW w:w="1428" w:type="dxa"/>
            <w:tcBorders>
              <w:top w:val="single" w:sz="8" w:space="0" w:color="000000"/>
            </w:tcBorders>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Employed</w:t>
            </w:r>
          </w:p>
        </w:tc>
        <w:tc>
          <w:tcPr>
            <w:tcW w:w="1525" w:type="dxa"/>
          </w:tcPr>
          <w:p w:rsidR="00DC5DF3" w:rsidRPr="00DF3CEE" w:rsidRDefault="005E65B3" w:rsidP="002E7DE3">
            <w:pPr>
              <w:ind w:right="58"/>
              <w:jc w:val="center"/>
              <w:rPr>
                <w:lang w:val="en-GB"/>
              </w:rPr>
            </w:pPr>
            <w:r w:rsidRPr="00DF3CEE">
              <w:rPr>
                <w:lang w:val="en-GB"/>
              </w:rPr>
              <w:t>84</w:t>
            </w:r>
          </w:p>
        </w:tc>
        <w:tc>
          <w:tcPr>
            <w:tcW w:w="1428" w:type="dxa"/>
          </w:tcPr>
          <w:p w:rsidR="00DC5DF3" w:rsidRPr="00DF3CEE" w:rsidRDefault="005E65B3" w:rsidP="002E7DE3">
            <w:pPr>
              <w:ind w:right="58"/>
              <w:jc w:val="center"/>
              <w:rPr>
                <w:lang w:val="en-GB"/>
              </w:rPr>
            </w:pPr>
            <w:r w:rsidRPr="00DF3CEE">
              <w:rPr>
                <w:lang w:val="en-GB"/>
              </w:rPr>
              <w:t>97</w:t>
            </w: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Not Employed</w:t>
            </w:r>
          </w:p>
        </w:tc>
        <w:tc>
          <w:tcPr>
            <w:tcW w:w="1525" w:type="dxa"/>
          </w:tcPr>
          <w:p w:rsidR="00DC5DF3" w:rsidRPr="00DF3CEE" w:rsidRDefault="005E65B3" w:rsidP="002E7DE3">
            <w:pPr>
              <w:ind w:right="58"/>
              <w:jc w:val="center"/>
              <w:rPr>
                <w:lang w:val="en-GB"/>
              </w:rPr>
            </w:pPr>
            <w:r w:rsidRPr="00DF3CEE">
              <w:rPr>
                <w:lang w:val="en-GB"/>
              </w:rPr>
              <w:t>3</w:t>
            </w:r>
          </w:p>
        </w:tc>
        <w:tc>
          <w:tcPr>
            <w:tcW w:w="1428" w:type="dxa"/>
          </w:tcPr>
          <w:p w:rsidR="00DC5DF3" w:rsidRPr="00DF3CEE" w:rsidRDefault="005E65B3" w:rsidP="002E7DE3">
            <w:pPr>
              <w:ind w:right="58"/>
              <w:jc w:val="center"/>
              <w:rPr>
                <w:lang w:val="en-GB"/>
              </w:rPr>
            </w:pPr>
            <w:r w:rsidRPr="00DF3CEE">
              <w:rPr>
                <w:lang w:val="en-GB"/>
              </w:rPr>
              <w:t>3</w:t>
            </w:r>
          </w:p>
        </w:tc>
      </w:tr>
      <w:tr w:rsidR="002526A2" w:rsidTr="00106450">
        <w:trPr>
          <w:jc w:val="center"/>
        </w:trPr>
        <w:tc>
          <w:tcPr>
            <w:tcW w:w="4979" w:type="dxa"/>
          </w:tcPr>
          <w:p w:rsidR="00DC5DF3" w:rsidRPr="00DF3CEE" w:rsidRDefault="005E65B3" w:rsidP="002E7DE3">
            <w:pPr>
              <w:ind w:right="58"/>
              <w:rPr>
                <w:lang w:val="en-GB"/>
              </w:rPr>
            </w:pPr>
            <w:r w:rsidRPr="00DF3CEE">
              <w:rPr>
                <w:b/>
                <w:lang w:val="en-GB"/>
              </w:rPr>
              <w:t>Employe</w:t>
            </w:r>
            <w:r w:rsidR="00215F4F" w:rsidRPr="00DF3CEE">
              <w:rPr>
                <w:b/>
                <w:lang w:val="en-GB"/>
              </w:rPr>
              <w:t>r</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Government</w:t>
            </w:r>
          </w:p>
        </w:tc>
        <w:tc>
          <w:tcPr>
            <w:tcW w:w="1525" w:type="dxa"/>
          </w:tcPr>
          <w:p w:rsidR="00DC5DF3" w:rsidRPr="00DF3CEE" w:rsidRDefault="005E65B3" w:rsidP="002E7DE3">
            <w:pPr>
              <w:ind w:right="58"/>
              <w:jc w:val="center"/>
              <w:rPr>
                <w:lang w:val="en-GB"/>
              </w:rPr>
            </w:pPr>
            <w:r w:rsidRPr="00DF3CEE">
              <w:rPr>
                <w:lang w:val="en-GB"/>
              </w:rPr>
              <w:t>84</w:t>
            </w:r>
          </w:p>
        </w:tc>
        <w:tc>
          <w:tcPr>
            <w:tcW w:w="1428" w:type="dxa"/>
          </w:tcPr>
          <w:p w:rsidR="00DC5DF3" w:rsidRPr="00DF3CEE" w:rsidRDefault="005E65B3" w:rsidP="002E7DE3">
            <w:pPr>
              <w:ind w:right="58"/>
              <w:jc w:val="center"/>
              <w:rPr>
                <w:lang w:val="en-GB"/>
              </w:rPr>
            </w:pPr>
            <w:r w:rsidRPr="00DF3CEE">
              <w:rPr>
                <w:lang w:val="en-GB"/>
              </w:rPr>
              <w:t>97</w:t>
            </w: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Private</w:t>
            </w:r>
          </w:p>
        </w:tc>
        <w:tc>
          <w:tcPr>
            <w:tcW w:w="1525" w:type="dxa"/>
          </w:tcPr>
          <w:p w:rsidR="00DC5DF3" w:rsidRPr="00DF3CEE" w:rsidRDefault="005E65B3" w:rsidP="002E7DE3">
            <w:pPr>
              <w:ind w:right="58"/>
              <w:jc w:val="center"/>
              <w:rPr>
                <w:lang w:val="en-GB"/>
              </w:rPr>
            </w:pPr>
            <w:r w:rsidRPr="00DF3CEE">
              <w:rPr>
                <w:lang w:val="en-GB"/>
              </w:rPr>
              <w:t>3</w:t>
            </w:r>
          </w:p>
        </w:tc>
        <w:tc>
          <w:tcPr>
            <w:tcW w:w="1428" w:type="dxa"/>
          </w:tcPr>
          <w:p w:rsidR="00DC5DF3" w:rsidRPr="00DF3CEE" w:rsidRDefault="005E65B3" w:rsidP="002E7DE3">
            <w:pPr>
              <w:ind w:right="58"/>
              <w:jc w:val="center"/>
              <w:rPr>
                <w:lang w:val="en-GB"/>
              </w:rPr>
            </w:pPr>
            <w:r w:rsidRPr="00DF3CEE">
              <w:rPr>
                <w:lang w:val="en-GB"/>
              </w:rPr>
              <w:t>3</w:t>
            </w:r>
          </w:p>
        </w:tc>
      </w:tr>
      <w:tr w:rsidR="002526A2" w:rsidTr="00106450">
        <w:trPr>
          <w:jc w:val="center"/>
        </w:trPr>
        <w:tc>
          <w:tcPr>
            <w:tcW w:w="4979" w:type="dxa"/>
          </w:tcPr>
          <w:p w:rsidR="00DC5DF3" w:rsidRPr="00DF3CEE" w:rsidRDefault="005E65B3" w:rsidP="002E7DE3">
            <w:pPr>
              <w:ind w:right="58"/>
              <w:rPr>
                <w:lang w:val="en-GB"/>
              </w:rPr>
            </w:pPr>
            <w:r w:rsidRPr="00DF3CEE">
              <w:rPr>
                <w:b/>
                <w:lang w:val="en-GB"/>
              </w:rPr>
              <w:t>Tenure</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Permanent</w:t>
            </w:r>
          </w:p>
        </w:tc>
        <w:tc>
          <w:tcPr>
            <w:tcW w:w="1525" w:type="dxa"/>
          </w:tcPr>
          <w:p w:rsidR="00DC5DF3" w:rsidRPr="00DF3CEE" w:rsidRDefault="005E65B3" w:rsidP="002E7DE3">
            <w:pPr>
              <w:ind w:right="58"/>
              <w:jc w:val="center"/>
              <w:rPr>
                <w:lang w:val="en-GB"/>
              </w:rPr>
            </w:pPr>
            <w:r w:rsidRPr="00DF3CEE">
              <w:rPr>
                <w:lang w:val="en-GB"/>
              </w:rPr>
              <w:t>3</w:t>
            </w:r>
          </w:p>
        </w:tc>
        <w:tc>
          <w:tcPr>
            <w:tcW w:w="1428" w:type="dxa"/>
          </w:tcPr>
          <w:p w:rsidR="00DC5DF3" w:rsidRPr="00DF3CEE" w:rsidRDefault="005E65B3" w:rsidP="002E7DE3">
            <w:pPr>
              <w:ind w:right="58"/>
              <w:jc w:val="center"/>
              <w:rPr>
                <w:lang w:val="en-GB"/>
              </w:rPr>
            </w:pPr>
            <w:r w:rsidRPr="00DF3CEE">
              <w:rPr>
                <w:lang w:val="en-GB"/>
              </w:rPr>
              <w:t>3</w:t>
            </w: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Casual/Contractual/Job Hire</w:t>
            </w:r>
          </w:p>
        </w:tc>
        <w:tc>
          <w:tcPr>
            <w:tcW w:w="1525" w:type="dxa"/>
          </w:tcPr>
          <w:p w:rsidR="00DC5DF3" w:rsidRPr="00DF3CEE" w:rsidRDefault="005E65B3" w:rsidP="002E7DE3">
            <w:pPr>
              <w:ind w:right="58"/>
              <w:jc w:val="center"/>
              <w:rPr>
                <w:lang w:val="en-GB"/>
              </w:rPr>
            </w:pPr>
            <w:r w:rsidRPr="00DF3CEE">
              <w:rPr>
                <w:lang w:val="en-GB"/>
              </w:rPr>
              <w:t>84</w:t>
            </w:r>
          </w:p>
        </w:tc>
        <w:tc>
          <w:tcPr>
            <w:tcW w:w="1428" w:type="dxa"/>
          </w:tcPr>
          <w:p w:rsidR="00DC5DF3" w:rsidRPr="00DF3CEE" w:rsidRDefault="005E65B3" w:rsidP="002E7DE3">
            <w:pPr>
              <w:ind w:right="58"/>
              <w:jc w:val="center"/>
              <w:rPr>
                <w:lang w:val="en-GB"/>
              </w:rPr>
            </w:pPr>
            <w:r w:rsidRPr="00DF3CEE">
              <w:rPr>
                <w:lang w:val="en-GB"/>
              </w:rPr>
              <w:t>97</w:t>
            </w:r>
          </w:p>
        </w:tc>
      </w:tr>
      <w:tr w:rsidR="002526A2" w:rsidTr="00106450">
        <w:trPr>
          <w:jc w:val="center"/>
        </w:trPr>
        <w:tc>
          <w:tcPr>
            <w:tcW w:w="4979" w:type="dxa"/>
          </w:tcPr>
          <w:p w:rsidR="00DC5DF3" w:rsidRPr="00DF3CEE" w:rsidRDefault="005E65B3" w:rsidP="002E7DE3">
            <w:pPr>
              <w:ind w:right="58"/>
              <w:rPr>
                <w:lang w:val="en-GB"/>
              </w:rPr>
            </w:pPr>
            <w:r w:rsidRPr="00DF3CEE">
              <w:rPr>
                <w:b/>
                <w:lang w:val="en-GB"/>
              </w:rPr>
              <w:t>Job</w:t>
            </w:r>
            <w:r w:rsidRPr="00DF3CEE">
              <w:rPr>
                <w:lang w:val="en-GB"/>
              </w:rPr>
              <w:t xml:space="preserve"> </w:t>
            </w:r>
            <w:r w:rsidRPr="00DF3CEE">
              <w:rPr>
                <w:b/>
                <w:lang w:val="en-GB"/>
              </w:rPr>
              <w:t>Position</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Supervisory</w:t>
            </w:r>
          </w:p>
        </w:tc>
        <w:tc>
          <w:tcPr>
            <w:tcW w:w="1525" w:type="dxa"/>
          </w:tcPr>
          <w:p w:rsidR="00DC5DF3" w:rsidRPr="00DF3CEE" w:rsidRDefault="005E65B3" w:rsidP="002E7DE3">
            <w:pPr>
              <w:ind w:right="58"/>
              <w:jc w:val="center"/>
              <w:rPr>
                <w:lang w:val="en-GB"/>
              </w:rPr>
            </w:pPr>
            <w:r w:rsidRPr="00DF3CEE">
              <w:rPr>
                <w:lang w:val="en-GB"/>
              </w:rPr>
              <w:t>2</w:t>
            </w:r>
          </w:p>
        </w:tc>
        <w:tc>
          <w:tcPr>
            <w:tcW w:w="1428" w:type="dxa"/>
          </w:tcPr>
          <w:p w:rsidR="00DC5DF3" w:rsidRPr="00DF3CEE" w:rsidRDefault="005E65B3" w:rsidP="002E7DE3">
            <w:pPr>
              <w:ind w:right="58"/>
              <w:jc w:val="center"/>
              <w:rPr>
                <w:lang w:val="en-GB"/>
              </w:rPr>
            </w:pPr>
            <w:r w:rsidRPr="00DF3CEE">
              <w:rPr>
                <w:lang w:val="en-GB"/>
              </w:rPr>
              <w:t>2</w:t>
            </w: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Non-Supervisory</w:t>
            </w:r>
          </w:p>
        </w:tc>
        <w:tc>
          <w:tcPr>
            <w:tcW w:w="1525" w:type="dxa"/>
          </w:tcPr>
          <w:p w:rsidR="00DC5DF3" w:rsidRPr="00DF3CEE" w:rsidRDefault="005E65B3" w:rsidP="002E7DE3">
            <w:pPr>
              <w:ind w:right="58"/>
              <w:jc w:val="center"/>
              <w:rPr>
                <w:lang w:val="en-GB"/>
              </w:rPr>
            </w:pPr>
            <w:r w:rsidRPr="00DF3CEE">
              <w:rPr>
                <w:lang w:val="en-GB"/>
              </w:rPr>
              <w:t>85</w:t>
            </w:r>
          </w:p>
        </w:tc>
        <w:tc>
          <w:tcPr>
            <w:tcW w:w="1428" w:type="dxa"/>
          </w:tcPr>
          <w:p w:rsidR="00DC5DF3" w:rsidRPr="00DF3CEE" w:rsidRDefault="005E65B3" w:rsidP="002E7DE3">
            <w:pPr>
              <w:ind w:right="58"/>
              <w:jc w:val="center"/>
              <w:rPr>
                <w:lang w:val="en-GB"/>
              </w:rPr>
            </w:pPr>
            <w:r w:rsidRPr="00DF3CEE">
              <w:rPr>
                <w:lang w:val="en-GB"/>
              </w:rPr>
              <w:t>98</w:t>
            </w:r>
          </w:p>
        </w:tc>
      </w:tr>
      <w:tr w:rsidR="002526A2" w:rsidTr="00106450">
        <w:trPr>
          <w:jc w:val="center"/>
        </w:trPr>
        <w:tc>
          <w:tcPr>
            <w:tcW w:w="4979" w:type="dxa"/>
          </w:tcPr>
          <w:p w:rsidR="00DC5DF3" w:rsidRPr="00DF3CEE" w:rsidRDefault="005E65B3" w:rsidP="002E7DE3">
            <w:pPr>
              <w:ind w:right="58"/>
              <w:rPr>
                <w:b/>
                <w:lang w:val="en-GB"/>
              </w:rPr>
            </w:pPr>
            <w:r w:rsidRPr="00DF3CEE">
              <w:rPr>
                <w:b/>
                <w:lang w:val="en-GB"/>
              </w:rPr>
              <w:t>Nature of Work</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Related</w:t>
            </w:r>
          </w:p>
        </w:tc>
        <w:tc>
          <w:tcPr>
            <w:tcW w:w="1525" w:type="dxa"/>
          </w:tcPr>
          <w:p w:rsidR="00DC5DF3" w:rsidRPr="00DF3CEE" w:rsidRDefault="005E65B3" w:rsidP="002E7DE3">
            <w:pPr>
              <w:ind w:right="58"/>
              <w:jc w:val="center"/>
              <w:rPr>
                <w:lang w:val="en-GB"/>
              </w:rPr>
            </w:pPr>
            <w:r w:rsidRPr="00DF3CEE">
              <w:rPr>
                <w:lang w:val="en-GB"/>
              </w:rPr>
              <w:t>70</w:t>
            </w:r>
          </w:p>
        </w:tc>
        <w:tc>
          <w:tcPr>
            <w:tcW w:w="1428" w:type="dxa"/>
          </w:tcPr>
          <w:p w:rsidR="00DC5DF3" w:rsidRPr="00DF3CEE" w:rsidRDefault="005E65B3" w:rsidP="002E7DE3">
            <w:pPr>
              <w:ind w:right="58"/>
              <w:jc w:val="center"/>
              <w:rPr>
                <w:lang w:val="en-GB"/>
              </w:rPr>
            </w:pPr>
            <w:r w:rsidRPr="00DF3CEE">
              <w:rPr>
                <w:lang w:val="en-GB"/>
              </w:rPr>
              <w:t>80</w:t>
            </w: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Somewhat Related</w:t>
            </w:r>
          </w:p>
        </w:tc>
        <w:tc>
          <w:tcPr>
            <w:tcW w:w="1525" w:type="dxa"/>
          </w:tcPr>
          <w:p w:rsidR="00DC5DF3" w:rsidRPr="00DF3CEE" w:rsidRDefault="005E65B3" w:rsidP="002E7DE3">
            <w:pPr>
              <w:ind w:right="58"/>
              <w:jc w:val="center"/>
              <w:rPr>
                <w:lang w:val="en-GB"/>
              </w:rPr>
            </w:pPr>
            <w:r w:rsidRPr="00DF3CEE">
              <w:rPr>
                <w:lang w:val="en-GB"/>
              </w:rPr>
              <w:t>15</w:t>
            </w:r>
          </w:p>
        </w:tc>
        <w:tc>
          <w:tcPr>
            <w:tcW w:w="1428" w:type="dxa"/>
          </w:tcPr>
          <w:p w:rsidR="00DC5DF3" w:rsidRPr="00DF3CEE" w:rsidRDefault="005E65B3" w:rsidP="005E2325">
            <w:pPr>
              <w:ind w:right="58"/>
              <w:jc w:val="center"/>
              <w:rPr>
                <w:lang w:val="en-GB"/>
              </w:rPr>
            </w:pPr>
            <w:r w:rsidRPr="00DF3CEE">
              <w:rPr>
                <w:lang w:val="en-GB"/>
              </w:rPr>
              <w:t>18</w:t>
            </w:r>
          </w:p>
        </w:tc>
      </w:tr>
      <w:tr w:rsidR="002526A2" w:rsidTr="00106450">
        <w:trPr>
          <w:jc w:val="center"/>
        </w:trPr>
        <w:tc>
          <w:tcPr>
            <w:tcW w:w="4979" w:type="dxa"/>
          </w:tcPr>
          <w:p w:rsidR="00DC5DF3" w:rsidRPr="00DF3CEE" w:rsidRDefault="005E65B3" w:rsidP="002E7DE3">
            <w:pPr>
              <w:ind w:right="58"/>
              <w:rPr>
                <w:lang w:val="en-GB"/>
              </w:rPr>
            </w:pPr>
            <w:r w:rsidRPr="00DF3CEE">
              <w:rPr>
                <w:lang w:val="en-GB"/>
              </w:rPr>
              <w:t xml:space="preserve">     Not Related</w:t>
            </w:r>
          </w:p>
        </w:tc>
        <w:tc>
          <w:tcPr>
            <w:tcW w:w="1525" w:type="dxa"/>
          </w:tcPr>
          <w:p w:rsidR="00DC5DF3" w:rsidRPr="00DF3CEE" w:rsidRDefault="005E65B3" w:rsidP="002E7DE3">
            <w:pPr>
              <w:ind w:right="58"/>
              <w:jc w:val="center"/>
              <w:rPr>
                <w:lang w:val="en-GB"/>
              </w:rPr>
            </w:pPr>
            <w:r w:rsidRPr="00DF3CEE">
              <w:rPr>
                <w:lang w:val="en-GB"/>
              </w:rPr>
              <w:t>2</w:t>
            </w:r>
          </w:p>
        </w:tc>
        <w:tc>
          <w:tcPr>
            <w:tcW w:w="1428" w:type="dxa"/>
          </w:tcPr>
          <w:p w:rsidR="00DC5DF3" w:rsidRPr="00DF3CEE" w:rsidRDefault="005E65B3" w:rsidP="002E7DE3">
            <w:pPr>
              <w:ind w:right="58"/>
              <w:jc w:val="center"/>
              <w:rPr>
                <w:lang w:val="en-GB"/>
              </w:rPr>
            </w:pPr>
            <w:r w:rsidRPr="00DF3CEE">
              <w:rPr>
                <w:lang w:val="en-GB"/>
              </w:rPr>
              <w:t>2</w:t>
            </w:r>
          </w:p>
        </w:tc>
      </w:tr>
      <w:tr w:rsidR="002526A2" w:rsidTr="00106450">
        <w:trPr>
          <w:jc w:val="center"/>
        </w:trPr>
        <w:tc>
          <w:tcPr>
            <w:tcW w:w="4979" w:type="dxa"/>
          </w:tcPr>
          <w:p w:rsidR="00DC5DF3" w:rsidRPr="00DF3CEE" w:rsidRDefault="005E65B3" w:rsidP="002E7DE3">
            <w:pPr>
              <w:ind w:right="58"/>
              <w:rPr>
                <w:b/>
                <w:lang w:val="en-GB"/>
              </w:rPr>
            </w:pPr>
            <w:r w:rsidRPr="00DF3CEE">
              <w:rPr>
                <w:b/>
                <w:lang w:val="en-GB"/>
              </w:rPr>
              <w:t>Location of Work</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3450C7">
            <w:pPr>
              <w:ind w:left="242" w:right="58"/>
              <w:rPr>
                <w:lang w:val="en-GB"/>
              </w:rPr>
            </w:pPr>
            <w:r w:rsidRPr="00DF3CEE">
              <w:rPr>
                <w:lang w:val="en-GB"/>
              </w:rPr>
              <w:t>Iloilo</w:t>
            </w:r>
          </w:p>
        </w:tc>
        <w:tc>
          <w:tcPr>
            <w:tcW w:w="1525" w:type="dxa"/>
          </w:tcPr>
          <w:p w:rsidR="00DC5DF3" w:rsidRPr="00DF3CEE" w:rsidRDefault="005E65B3" w:rsidP="002E7DE3">
            <w:pPr>
              <w:ind w:right="58"/>
              <w:jc w:val="center"/>
              <w:rPr>
                <w:lang w:val="en-GB"/>
              </w:rPr>
            </w:pPr>
            <w:r w:rsidRPr="00DF3CEE">
              <w:rPr>
                <w:lang w:val="en-GB"/>
              </w:rPr>
              <w:t>71</w:t>
            </w:r>
          </w:p>
        </w:tc>
        <w:tc>
          <w:tcPr>
            <w:tcW w:w="1428" w:type="dxa"/>
          </w:tcPr>
          <w:p w:rsidR="00DC5DF3" w:rsidRPr="00DF3CEE" w:rsidRDefault="005E65B3" w:rsidP="002E7DE3">
            <w:pPr>
              <w:ind w:right="58"/>
              <w:jc w:val="center"/>
              <w:rPr>
                <w:lang w:val="en-GB"/>
              </w:rPr>
            </w:pPr>
            <w:r w:rsidRPr="00DF3CEE">
              <w:rPr>
                <w:lang w:val="en-GB"/>
              </w:rPr>
              <w:t>82</w:t>
            </w:r>
          </w:p>
        </w:tc>
      </w:tr>
      <w:tr w:rsidR="002526A2" w:rsidTr="00106450">
        <w:trPr>
          <w:jc w:val="center"/>
        </w:trPr>
        <w:tc>
          <w:tcPr>
            <w:tcW w:w="4979" w:type="dxa"/>
          </w:tcPr>
          <w:p w:rsidR="00DC5DF3" w:rsidRPr="00DF3CEE" w:rsidRDefault="005E65B3" w:rsidP="003450C7">
            <w:pPr>
              <w:ind w:left="242" w:right="58"/>
              <w:rPr>
                <w:lang w:val="en-GB"/>
              </w:rPr>
            </w:pPr>
            <w:r w:rsidRPr="00DF3CEE">
              <w:rPr>
                <w:lang w:val="en-GB"/>
              </w:rPr>
              <w:t>Non-Iloilo</w:t>
            </w:r>
          </w:p>
        </w:tc>
        <w:tc>
          <w:tcPr>
            <w:tcW w:w="1525" w:type="dxa"/>
          </w:tcPr>
          <w:p w:rsidR="00DC5DF3" w:rsidRPr="00DF3CEE" w:rsidRDefault="005E65B3" w:rsidP="002E7DE3">
            <w:pPr>
              <w:ind w:right="58"/>
              <w:jc w:val="center"/>
              <w:rPr>
                <w:lang w:val="en-GB"/>
              </w:rPr>
            </w:pPr>
            <w:r w:rsidRPr="00DF3CEE">
              <w:rPr>
                <w:lang w:val="en-GB"/>
              </w:rPr>
              <w:t>14</w:t>
            </w:r>
          </w:p>
        </w:tc>
        <w:tc>
          <w:tcPr>
            <w:tcW w:w="1428" w:type="dxa"/>
          </w:tcPr>
          <w:p w:rsidR="00DC5DF3" w:rsidRPr="00DF3CEE" w:rsidRDefault="005E65B3" w:rsidP="002E7DE3">
            <w:pPr>
              <w:ind w:right="58"/>
              <w:jc w:val="center"/>
              <w:rPr>
                <w:lang w:val="en-GB"/>
              </w:rPr>
            </w:pPr>
            <w:r w:rsidRPr="00DF3CEE">
              <w:rPr>
                <w:lang w:val="en-GB"/>
              </w:rPr>
              <w:t>16</w:t>
            </w:r>
          </w:p>
        </w:tc>
      </w:tr>
      <w:tr w:rsidR="002526A2" w:rsidTr="00106450">
        <w:trPr>
          <w:jc w:val="center"/>
        </w:trPr>
        <w:tc>
          <w:tcPr>
            <w:tcW w:w="4979" w:type="dxa"/>
          </w:tcPr>
          <w:p w:rsidR="00DC5DF3" w:rsidRPr="00DF3CEE" w:rsidRDefault="005E65B3" w:rsidP="003450C7">
            <w:pPr>
              <w:ind w:left="242" w:right="58"/>
              <w:rPr>
                <w:lang w:val="en-GB"/>
              </w:rPr>
            </w:pPr>
            <w:r w:rsidRPr="00DF3CEE">
              <w:rPr>
                <w:lang w:val="en-GB"/>
              </w:rPr>
              <w:t>Abroad</w:t>
            </w:r>
          </w:p>
        </w:tc>
        <w:tc>
          <w:tcPr>
            <w:tcW w:w="1525" w:type="dxa"/>
          </w:tcPr>
          <w:p w:rsidR="00DC5DF3" w:rsidRPr="00DF3CEE" w:rsidRDefault="005E65B3" w:rsidP="002E7DE3">
            <w:pPr>
              <w:ind w:right="58"/>
              <w:jc w:val="center"/>
              <w:rPr>
                <w:lang w:val="en-GB"/>
              </w:rPr>
            </w:pPr>
            <w:r w:rsidRPr="00DF3CEE">
              <w:rPr>
                <w:lang w:val="en-GB"/>
              </w:rPr>
              <w:t>2</w:t>
            </w:r>
          </w:p>
        </w:tc>
        <w:tc>
          <w:tcPr>
            <w:tcW w:w="1428" w:type="dxa"/>
          </w:tcPr>
          <w:p w:rsidR="00DC5DF3" w:rsidRPr="00DF3CEE" w:rsidRDefault="005E65B3" w:rsidP="002E7DE3">
            <w:pPr>
              <w:ind w:right="58"/>
              <w:jc w:val="center"/>
              <w:rPr>
                <w:lang w:val="en-GB"/>
              </w:rPr>
            </w:pPr>
            <w:r w:rsidRPr="00DF3CEE">
              <w:rPr>
                <w:lang w:val="en-GB"/>
              </w:rPr>
              <w:t>2</w:t>
            </w:r>
          </w:p>
        </w:tc>
      </w:tr>
      <w:tr w:rsidR="002526A2" w:rsidTr="00106450">
        <w:trPr>
          <w:jc w:val="center"/>
        </w:trPr>
        <w:tc>
          <w:tcPr>
            <w:tcW w:w="4979" w:type="dxa"/>
          </w:tcPr>
          <w:p w:rsidR="00DC5DF3" w:rsidRPr="00DF3CEE" w:rsidRDefault="005E65B3" w:rsidP="002E7DE3">
            <w:pPr>
              <w:ind w:right="58"/>
              <w:rPr>
                <w:b/>
                <w:lang w:val="en-GB"/>
              </w:rPr>
            </w:pPr>
            <w:r w:rsidRPr="00DF3CEE">
              <w:rPr>
                <w:b/>
                <w:lang w:val="en-GB"/>
              </w:rPr>
              <w:t>Reasons for Being Hired</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7242FD">
            <w:pPr>
              <w:ind w:left="242" w:right="58"/>
              <w:rPr>
                <w:lang w:val="en-GB"/>
              </w:rPr>
            </w:pPr>
            <w:r w:rsidRPr="00DF3CEE">
              <w:rPr>
                <w:lang w:val="en-GB"/>
              </w:rPr>
              <w:t>Knowledge and skills related to your course applied for</w:t>
            </w:r>
          </w:p>
        </w:tc>
        <w:tc>
          <w:tcPr>
            <w:tcW w:w="1525" w:type="dxa"/>
          </w:tcPr>
          <w:p w:rsidR="00DC5DF3" w:rsidRPr="00DF3CEE" w:rsidRDefault="005E65B3" w:rsidP="002E7DE3">
            <w:pPr>
              <w:ind w:right="58"/>
              <w:jc w:val="center"/>
              <w:rPr>
                <w:lang w:val="en-GB"/>
              </w:rPr>
            </w:pPr>
            <w:r w:rsidRPr="00DF3CEE">
              <w:rPr>
                <w:lang w:val="en-GB"/>
              </w:rPr>
              <w:t>68</w:t>
            </w:r>
          </w:p>
        </w:tc>
        <w:tc>
          <w:tcPr>
            <w:tcW w:w="1428" w:type="dxa"/>
          </w:tcPr>
          <w:p w:rsidR="00DC5DF3" w:rsidRPr="00DF3CEE" w:rsidRDefault="005E65B3" w:rsidP="002E7DE3">
            <w:pPr>
              <w:ind w:right="58"/>
              <w:jc w:val="center"/>
              <w:rPr>
                <w:lang w:val="en-GB"/>
              </w:rPr>
            </w:pPr>
            <w:r w:rsidRPr="00DF3CEE">
              <w:rPr>
                <w:lang w:val="en-GB"/>
              </w:rPr>
              <w:t>78</w:t>
            </w:r>
          </w:p>
        </w:tc>
      </w:tr>
      <w:tr w:rsidR="002526A2" w:rsidTr="00106450">
        <w:trPr>
          <w:jc w:val="center"/>
        </w:trPr>
        <w:tc>
          <w:tcPr>
            <w:tcW w:w="4979" w:type="dxa"/>
          </w:tcPr>
          <w:p w:rsidR="00DC5DF3" w:rsidRPr="00DF3CEE" w:rsidRDefault="005E65B3" w:rsidP="007242FD">
            <w:pPr>
              <w:ind w:left="242" w:right="58"/>
              <w:rPr>
                <w:lang w:val="en-GB"/>
              </w:rPr>
            </w:pPr>
            <w:r w:rsidRPr="00DF3CEE">
              <w:rPr>
                <w:lang w:val="en-GB"/>
              </w:rPr>
              <w:t>Other personal qualities</w:t>
            </w:r>
          </w:p>
        </w:tc>
        <w:tc>
          <w:tcPr>
            <w:tcW w:w="1525" w:type="dxa"/>
          </w:tcPr>
          <w:p w:rsidR="00DC5DF3" w:rsidRPr="00DF3CEE" w:rsidRDefault="005E65B3" w:rsidP="002E7DE3">
            <w:pPr>
              <w:ind w:right="58"/>
              <w:jc w:val="center"/>
              <w:rPr>
                <w:lang w:val="en-GB"/>
              </w:rPr>
            </w:pPr>
            <w:r w:rsidRPr="00DF3CEE">
              <w:rPr>
                <w:lang w:val="en-GB"/>
              </w:rPr>
              <w:t>14</w:t>
            </w:r>
          </w:p>
        </w:tc>
        <w:tc>
          <w:tcPr>
            <w:tcW w:w="1428" w:type="dxa"/>
          </w:tcPr>
          <w:p w:rsidR="00DC5DF3" w:rsidRPr="00DF3CEE" w:rsidRDefault="005E65B3" w:rsidP="002E7DE3">
            <w:pPr>
              <w:ind w:right="58"/>
              <w:jc w:val="center"/>
              <w:rPr>
                <w:lang w:val="en-GB"/>
              </w:rPr>
            </w:pPr>
            <w:r w:rsidRPr="00DF3CEE">
              <w:rPr>
                <w:lang w:val="en-GB"/>
              </w:rPr>
              <w:t>16</w:t>
            </w:r>
          </w:p>
        </w:tc>
      </w:tr>
      <w:tr w:rsidR="002526A2" w:rsidTr="00106450">
        <w:trPr>
          <w:jc w:val="center"/>
        </w:trPr>
        <w:tc>
          <w:tcPr>
            <w:tcW w:w="4979" w:type="dxa"/>
          </w:tcPr>
          <w:p w:rsidR="00DC5DF3" w:rsidRPr="00DF3CEE" w:rsidRDefault="005E65B3" w:rsidP="007242FD">
            <w:pPr>
              <w:ind w:left="242" w:right="58"/>
              <w:rPr>
                <w:lang w:val="en-GB"/>
              </w:rPr>
            </w:pPr>
            <w:r w:rsidRPr="00DF3CEE">
              <w:rPr>
                <w:lang w:val="en-GB"/>
              </w:rPr>
              <w:t>Computer literate</w:t>
            </w:r>
          </w:p>
        </w:tc>
        <w:tc>
          <w:tcPr>
            <w:tcW w:w="1525" w:type="dxa"/>
          </w:tcPr>
          <w:p w:rsidR="00DC5DF3" w:rsidRPr="00DF3CEE" w:rsidRDefault="005E65B3" w:rsidP="002E7DE3">
            <w:pPr>
              <w:ind w:right="58"/>
              <w:jc w:val="center"/>
              <w:rPr>
                <w:lang w:val="en-GB"/>
              </w:rPr>
            </w:pPr>
            <w:r w:rsidRPr="00DF3CEE">
              <w:rPr>
                <w:lang w:val="en-GB"/>
              </w:rPr>
              <w:t>5</w:t>
            </w:r>
          </w:p>
        </w:tc>
        <w:tc>
          <w:tcPr>
            <w:tcW w:w="1428" w:type="dxa"/>
          </w:tcPr>
          <w:p w:rsidR="00DC5DF3" w:rsidRPr="00DF3CEE" w:rsidRDefault="005E65B3" w:rsidP="002E7DE3">
            <w:pPr>
              <w:ind w:right="58"/>
              <w:jc w:val="center"/>
              <w:rPr>
                <w:lang w:val="en-GB"/>
              </w:rPr>
            </w:pPr>
            <w:r w:rsidRPr="00DF3CEE">
              <w:rPr>
                <w:lang w:val="en-GB"/>
              </w:rPr>
              <w:t>6</w:t>
            </w:r>
          </w:p>
        </w:tc>
      </w:tr>
      <w:tr w:rsidR="002526A2" w:rsidTr="00106450">
        <w:trPr>
          <w:jc w:val="center"/>
        </w:trPr>
        <w:tc>
          <w:tcPr>
            <w:tcW w:w="4979" w:type="dxa"/>
          </w:tcPr>
          <w:p w:rsidR="00DC5DF3" w:rsidRPr="00DF3CEE" w:rsidRDefault="005E65B3" w:rsidP="002A0529">
            <w:pPr>
              <w:ind w:right="58"/>
              <w:rPr>
                <w:b/>
                <w:lang w:val="en-GB"/>
              </w:rPr>
            </w:pPr>
            <w:r w:rsidRPr="00DF3CEE">
              <w:rPr>
                <w:b/>
                <w:lang w:val="en-GB"/>
              </w:rPr>
              <w:t>Present Salary</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3C4AD6">
            <w:pPr>
              <w:ind w:left="242" w:right="58"/>
              <w:rPr>
                <w:lang w:val="en-GB"/>
              </w:rPr>
            </w:pPr>
            <w:r w:rsidRPr="00DF3CEE">
              <w:rPr>
                <w:lang w:val="en-GB"/>
              </w:rPr>
              <w:t xml:space="preserve">High </w:t>
            </w:r>
          </w:p>
        </w:tc>
        <w:tc>
          <w:tcPr>
            <w:tcW w:w="1525" w:type="dxa"/>
          </w:tcPr>
          <w:p w:rsidR="00DC5DF3" w:rsidRPr="00DF3CEE" w:rsidRDefault="005E65B3" w:rsidP="002E7DE3">
            <w:pPr>
              <w:ind w:right="58"/>
              <w:jc w:val="center"/>
              <w:rPr>
                <w:lang w:val="en-GB"/>
              </w:rPr>
            </w:pPr>
            <w:r w:rsidRPr="00DF3CEE">
              <w:rPr>
                <w:lang w:val="en-GB"/>
              </w:rPr>
              <w:t>10</w:t>
            </w:r>
          </w:p>
        </w:tc>
        <w:tc>
          <w:tcPr>
            <w:tcW w:w="1428" w:type="dxa"/>
          </w:tcPr>
          <w:p w:rsidR="00DC5DF3" w:rsidRPr="00DF3CEE" w:rsidRDefault="005E65B3" w:rsidP="002E7DE3">
            <w:pPr>
              <w:ind w:right="58"/>
              <w:jc w:val="center"/>
              <w:rPr>
                <w:lang w:val="en-GB"/>
              </w:rPr>
            </w:pPr>
            <w:r w:rsidRPr="00DF3CEE">
              <w:rPr>
                <w:lang w:val="en-GB"/>
              </w:rPr>
              <w:t>11</w:t>
            </w:r>
          </w:p>
        </w:tc>
      </w:tr>
      <w:tr w:rsidR="002526A2" w:rsidTr="00106450">
        <w:trPr>
          <w:jc w:val="center"/>
        </w:trPr>
        <w:tc>
          <w:tcPr>
            <w:tcW w:w="4979" w:type="dxa"/>
          </w:tcPr>
          <w:p w:rsidR="00DC5DF3" w:rsidRPr="00DF3CEE" w:rsidRDefault="005E65B3" w:rsidP="003C4AD6">
            <w:pPr>
              <w:ind w:left="242" w:right="58"/>
              <w:rPr>
                <w:lang w:val="en-GB"/>
              </w:rPr>
            </w:pPr>
            <w:r w:rsidRPr="00DF3CEE">
              <w:rPr>
                <w:lang w:val="en-GB"/>
              </w:rPr>
              <w:t>Moderate</w:t>
            </w:r>
          </w:p>
        </w:tc>
        <w:tc>
          <w:tcPr>
            <w:tcW w:w="1525" w:type="dxa"/>
          </w:tcPr>
          <w:p w:rsidR="00DC5DF3" w:rsidRPr="00DF3CEE" w:rsidRDefault="005E65B3" w:rsidP="002E7DE3">
            <w:pPr>
              <w:ind w:right="58"/>
              <w:jc w:val="center"/>
              <w:rPr>
                <w:lang w:val="en-GB"/>
              </w:rPr>
            </w:pPr>
            <w:r w:rsidRPr="00DF3CEE">
              <w:rPr>
                <w:lang w:val="en-GB"/>
              </w:rPr>
              <w:t>51</w:t>
            </w:r>
          </w:p>
        </w:tc>
        <w:tc>
          <w:tcPr>
            <w:tcW w:w="1428" w:type="dxa"/>
          </w:tcPr>
          <w:p w:rsidR="00DC5DF3" w:rsidRPr="00DF3CEE" w:rsidRDefault="005E65B3" w:rsidP="002E7DE3">
            <w:pPr>
              <w:ind w:right="58"/>
              <w:jc w:val="center"/>
              <w:rPr>
                <w:lang w:val="en-GB"/>
              </w:rPr>
            </w:pPr>
            <w:r w:rsidRPr="00DF3CEE">
              <w:rPr>
                <w:lang w:val="en-GB"/>
              </w:rPr>
              <w:t>59</w:t>
            </w:r>
          </w:p>
        </w:tc>
      </w:tr>
      <w:tr w:rsidR="002526A2" w:rsidTr="00106450">
        <w:trPr>
          <w:jc w:val="center"/>
        </w:trPr>
        <w:tc>
          <w:tcPr>
            <w:tcW w:w="4979" w:type="dxa"/>
          </w:tcPr>
          <w:p w:rsidR="00DC5DF3" w:rsidRPr="00DF3CEE" w:rsidRDefault="005E65B3" w:rsidP="003C4AD6">
            <w:pPr>
              <w:ind w:left="242" w:right="58"/>
              <w:rPr>
                <w:lang w:val="en-GB"/>
              </w:rPr>
            </w:pPr>
            <w:r w:rsidRPr="00DF3CEE">
              <w:rPr>
                <w:lang w:val="en-GB"/>
              </w:rPr>
              <w:t>Low</w:t>
            </w:r>
          </w:p>
        </w:tc>
        <w:tc>
          <w:tcPr>
            <w:tcW w:w="1525" w:type="dxa"/>
          </w:tcPr>
          <w:p w:rsidR="00DC5DF3" w:rsidRPr="00DF3CEE" w:rsidRDefault="005E65B3" w:rsidP="002E7DE3">
            <w:pPr>
              <w:ind w:right="58"/>
              <w:jc w:val="center"/>
              <w:rPr>
                <w:lang w:val="en-GB"/>
              </w:rPr>
            </w:pPr>
            <w:r w:rsidRPr="00DF3CEE">
              <w:rPr>
                <w:lang w:val="en-GB"/>
              </w:rPr>
              <w:t>26</w:t>
            </w:r>
          </w:p>
        </w:tc>
        <w:tc>
          <w:tcPr>
            <w:tcW w:w="1428" w:type="dxa"/>
          </w:tcPr>
          <w:p w:rsidR="00DC5DF3" w:rsidRPr="00DF3CEE" w:rsidRDefault="005E65B3" w:rsidP="002E7DE3">
            <w:pPr>
              <w:ind w:right="58"/>
              <w:jc w:val="center"/>
              <w:rPr>
                <w:lang w:val="en-GB"/>
              </w:rPr>
            </w:pPr>
            <w:r w:rsidRPr="00DF3CEE">
              <w:rPr>
                <w:lang w:val="en-GB"/>
              </w:rPr>
              <w:t>30</w:t>
            </w:r>
          </w:p>
        </w:tc>
      </w:tr>
      <w:tr w:rsidR="002526A2" w:rsidTr="00106450">
        <w:trPr>
          <w:jc w:val="center"/>
        </w:trPr>
        <w:tc>
          <w:tcPr>
            <w:tcW w:w="4979" w:type="dxa"/>
          </w:tcPr>
          <w:p w:rsidR="00DC5DF3" w:rsidRPr="00DF3CEE" w:rsidRDefault="005E65B3" w:rsidP="002A0529">
            <w:pPr>
              <w:ind w:right="58"/>
              <w:rPr>
                <w:b/>
                <w:lang w:val="en-GB"/>
              </w:rPr>
            </w:pPr>
            <w:r w:rsidRPr="00DF3CEE">
              <w:rPr>
                <w:b/>
                <w:lang w:val="en-GB"/>
              </w:rPr>
              <w:t xml:space="preserve">How did you find your job? </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Response to Ads</w:t>
            </w:r>
          </w:p>
        </w:tc>
        <w:tc>
          <w:tcPr>
            <w:tcW w:w="1525" w:type="dxa"/>
          </w:tcPr>
          <w:p w:rsidR="00DC5DF3" w:rsidRPr="00DF3CEE" w:rsidRDefault="005E65B3" w:rsidP="002E7DE3">
            <w:pPr>
              <w:ind w:right="58"/>
              <w:jc w:val="center"/>
              <w:rPr>
                <w:lang w:val="en-GB"/>
              </w:rPr>
            </w:pPr>
            <w:r w:rsidRPr="00DF3CEE">
              <w:rPr>
                <w:lang w:val="en-GB"/>
              </w:rPr>
              <w:t>2</w:t>
            </w:r>
          </w:p>
        </w:tc>
        <w:tc>
          <w:tcPr>
            <w:tcW w:w="1428" w:type="dxa"/>
          </w:tcPr>
          <w:p w:rsidR="00DC5DF3" w:rsidRPr="00DF3CEE" w:rsidRDefault="005E65B3" w:rsidP="002E7DE3">
            <w:pPr>
              <w:ind w:right="58"/>
              <w:jc w:val="center"/>
              <w:rPr>
                <w:lang w:val="en-GB"/>
              </w:rPr>
            </w:pPr>
            <w:r w:rsidRPr="00DF3CEE">
              <w:rPr>
                <w:lang w:val="en-GB"/>
              </w:rPr>
              <w:t>2</w:t>
            </w: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Recommended by someone</w:t>
            </w:r>
          </w:p>
        </w:tc>
        <w:tc>
          <w:tcPr>
            <w:tcW w:w="1525" w:type="dxa"/>
          </w:tcPr>
          <w:p w:rsidR="00DC5DF3" w:rsidRPr="00DF3CEE" w:rsidRDefault="005E65B3" w:rsidP="002E7DE3">
            <w:pPr>
              <w:ind w:right="58"/>
              <w:jc w:val="center"/>
              <w:rPr>
                <w:lang w:val="en-GB"/>
              </w:rPr>
            </w:pPr>
            <w:r w:rsidRPr="00DF3CEE">
              <w:rPr>
                <w:lang w:val="en-GB"/>
              </w:rPr>
              <w:t>5</w:t>
            </w:r>
          </w:p>
        </w:tc>
        <w:tc>
          <w:tcPr>
            <w:tcW w:w="1428" w:type="dxa"/>
          </w:tcPr>
          <w:p w:rsidR="00DC5DF3" w:rsidRPr="00DF3CEE" w:rsidRDefault="005E65B3" w:rsidP="002E7DE3">
            <w:pPr>
              <w:ind w:right="58"/>
              <w:jc w:val="center"/>
              <w:rPr>
                <w:lang w:val="en-GB"/>
              </w:rPr>
            </w:pPr>
            <w:r w:rsidRPr="00DF3CEE">
              <w:rPr>
                <w:lang w:val="en-GB"/>
              </w:rPr>
              <w:t>6</w:t>
            </w: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Information from friends</w:t>
            </w:r>
          </w:p>
        </w:tc>
        <w:tc>
          <w:tcPr>
            <w:tcW w:w="1525" w:type="dxa"/>
          </w:tcPr>
          <w:p w:rsidR="00DC5DF3" w:rsidRPr="00DF3CEE" w:rsidRDefault="005E65B3" w:rsidP="002E7DE3">
            <w:pPr>
              <w:ind w:right="58"/>
              <w:jc w:val="center"/>
              <w:rPr>
                <w:lang w:val="en-GB"/>
              </w:rPr>
            </w:pPr>
            <w:r w:rsidRPr="00DF3CEE">
              <w:rPr>
                <w:lang w:val="en-GB"/>
              </w:rPr>
              <w:t>8</w:t>
            </w:r>
          </w:p>
        </w:tc>
        <w:tc>
          <w:tcPr>
            <w:tcW w:w="1428" w:type="dxa"/>
          </w:tcPr>
          <w:p w:rsidR="00DC5DF3" w:rsidRPr="00DF3CEE" w:rsidRDefault="005E65B3" w:rsidP="002E7DE3">
            <w:pPr>
              <w:ind w:right="58"/>
              <w:jc w:val="center"/>
              <w:rPr>
                <w:lang w:val="en-GB"/>
              </w:rPr>
            </w:pPr>
            <w:r w:rsidRPr="00DF3CEE">
              <w:rPr>
                <w:lang w:val="en-GB"/>
              </w:rPr>
              <w:t>9</w:t>
            </w: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Family business</w:t>
            </w:r>
          </w:p>
        </w:tc>
        <w:tc>
          <w:tcPr>
            <w:tcW w:w="1525" w:type="dxa"/>
          </w:tcPr>
          <w:p w:rsidR="00DC5DF3" w:rsidRPr="00DF3CEE" w:rsidRDefault="005E65B3" w:rsidP="002E7DE3">
            <w:pPr>
              <w:ind w:right="58"/>
              <w:jc w:val="center"/>
              <w:rPr>
                <w:lang w:val="en-GB"/>
              </w:rPr>
            </w:pPr>
            <w:r w:rsidRPr="00DF3CEE">
              <w:rPr>
                <w:lang w:val="en-GB"/>
              </w:rPr>
              <w:t>1</w:t>
            </w:r>
          </w:p>
        </w:tc>
        <w:tc>
          <w:tcPr>
            <w:tcW w:w="1428" w:type="dxa"/>
          </w:tcPr>
          <w:p w:rsidR="00DC5DF3" w:rsidRPr="00DF3CEE" w:rsidRDefault="005E65B3" w:rsidP="002E7DE3">
            <w:pPr>
              <w:ind w:right="58"/>
              <w:jc w:val="center"/>
              <w:rPr>
                <w:lang w:val="en-GB"/>
              </w:rPr>
            </w:pPr>
            <w:r w:rsidRPr="00DF3CEE">
              <w:rPr>
                <w:lang w:val="en-GB"/>
              </w:rPr>
              <w:t>1</w:t>
            </w: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Walk-in appointment</w:t>
            </w:r>
          </w:p>
        </w:tc>
        <w:tc>
          <w:tcPr>
            <w:tcW w:w="1525" w:type="dxa"/>
          </w:tcPr>
          <w:p w:rsidR="00DC5DF3" w:rsidRPr="00DF3CEE" w:rsidRDefault="005E65B3" w:rsidP="002E7DE3">
            <w:pPr>
              <w:ind w:right="58"/>
              <w:jc w:val="center"/>
              <w:rPr>
                <w:lang w:val="en-GB"/>
              </w:rPr>
            </w:pPr>
            <w:r w:rsidRPr="00DF3CEE">
              <w:rPr>
                <w:lang w:val="en-GB"/>
              </w:rPr>
              <w:t>13</w:t>
            </w:r>
          </w:p>
        </w:tc>
        <w:tc>
          <w:tcPr>
            <w:tcW w:w="1428" w:type="dxa"/>
          </w:tcPr>
          <w:p w:rsidR="00DC5DF3" w:rsidRPr="00DF3CEE" w:rsidRDefault="005E65B3" w:rsidP="002E7DE3">
            <w:pPr>
              <w:ind w:right="58"/>
              <w:jc w:val="center"/>
              <w:rPr>
                <w:lang w:val="en-GB"/>
              </w:rPr>
            </w:pPr>
            <w:r w:rsidRPr="00DF3CEE">
              <w:rPr>
                <w:lang w:val="en-GB"/>
              </w:rPr>
              <w:t>15</w:t>
            </w: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Arranged by school-placement officer</w:t>
            </w:r>
          </w:p>
        </w:tc>
        <w:tc>
          <w:tcPr>
            <w:tcW w:w="1525" w:type="dxa"/>
          </w:tcPr>
          <w:p w:rsidR="00DC5DF3" w:rsidRPr="00DF3CEE" w:rsidRDefault="005E65B3" w:rsidP="002E7DE3">
            <w:pPr>
              <w:ind w:right="58"/>
              <w:jc w:val="center"/>
              <w:rPr>
                <w:lang w:val="en-GB"/>
              </w:rPr>
            </w:pPr>
            <w:r w:rsidRPr="00DF3CEE">
              <w:rPr>
                <w:lang w:val="en-GB"/>
              </w:rPr>
              <w:t>58</w:t>
            </w:r>
          </w:p>
        </w:tc>
        <w:tc>
          <w:tcPr>
            <w:tcW w:w="1428" w:type="dxa"/>
          </w:tcPr>
          <w:p w:rsidR="00DC5DF3" w:rsidRPr="00DF3CEE" w:rsidRDefault="005E65B3" w:rsidP="002E7DE3">
            <w:pPr>
              <w:ind w:right="58"/>
              <w:jc w:val="center"/>
              <w:rPr>
                <w:lang w:val="en-GB"/>
              </w:rPr>
            </w:pPr>
            <w:r w:rsidRPr="00DF3CEE">
              <w:rPr>
                <w:lang w:val="en-GB"/>
              </w:rPr>
              <w:t>67</w:t>
            </w:r>
          </w:p>
        </w:tc>
      </w:tr>
      <w:tr w:rsidR="002526A2" w:rsidTr="00106450">
        <w:trPr>
          <w:jc w:val="center"/>
        </w:trPr>
        <w:tc>
          <w:tcPr>
            <w:tcW w:w="4979" w:type="dxa"/>
          </w:tcPr>
          <w:p w:rsidR="00DC5DF3" w:rsidRPr="00DF3CEE" w:rsidRDefault="005E65B3" w:rsidP="005C0381">
            <w:pPr>
              <w:ind w:right="58"/>
              <w:rPr>
                <w:b/>
                <w:lang w:val="en-GB"/>
              </w:rPr>
            </w:pPr>
            <w:r w:rsidRPr="00DF3CEE">
              <w:rPr>
                <w:b/>
                <w:lang w:val="en-GB"/>
              </w:rPr>
              <w:t xml:space="preserve">Plan to </w:t>
            </w:r>
            <w:r w:rsidR="00D36974" w:rsidRPr="00DF3CEE">
              <w:rPr>
                <w:b/>
                <w:lang w:val="en-GB"/>
              </w:rPr>
              <w:t xml:space="preserve">pursue </w:t>
            </w:r>
            <w:r w:rsidR="00730DBD" w:rsidRPr="00DF3CEE">
              <w:rPr>
                <w:b/>
                <w:lang w:val="en-GB"/>
              </w:rPr>
              <w:t>an advanced education program</w:t>
            </w:r>
          </w:p>
        </w:tc>
        <w:tc>
          <w:tcPr>
            <w:tcW w:w="1525" w:type="dxa"/>
          </w:tcPr>
          <w:p w:rsidR="00DC5DF3" w:rsidRPr="00DF3CEE" w:rsidRDefault="00DC5DF3" w:rsidP="002E7DE3">
            <w:pPr>
              <w:ind w:right="58"/>
              <w:jc w:val="center"/>
              <w:rPr>
                <w:lang w:val="en-GB"/>
              </w:rPr>
            </w:pPr>
          </w:p>
        </w:tc>
        <w:tc>
          <w:tcPr>
            <w:tcW w:w="1428" w:type="dxa"/>
          </w:tcPr>
          <w:p w:rsidR="00DC5DF3" w:rsidRPr="00DF3CEE" w:rsidRDefault="00DC5DF3" w:rsidP="002E7DE3">
            <w:pPr>
              <w:ind w:right="58"/>
              <w:jc w:val="center"/>
              <w:rPr>
                <w:lang w:val="en-GB"/>
              </w:rPr>
            </w:pP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Yes</w:t>
            </w:r>
          </w:p>
        </w:tc>
        <w:tc>
          <w:tcPr>
            <w:tcW w:w="1525" w:type="dxa"/>
          </w:tcPr>
          <w:p w:rsidR="00DC5DF3" w:rsidRPr="00DF3CEE" w:rsidRDefault="005E65B3" w:rsidP="002E7DE3">
            <w:pPr>
              <w:ind w:right="58"/>
              <w:jc w:val="center"/>
              <w:rPr>
                <w:lang w:val="en-GB"/>
              </w:rPr>
            </w:pPr>
            <w:r w:rsidRPr="00DF3CEE">
              <w:rPr>
                <w:lang w:val="en-GB"/>
              </w:rPr>
              <w:t>72</w:t>
            </w:r>
          </w:p>
        </w:tc>
        <w:tc>
          <w:tcPr>
            <w:tcW w:w="1428" w:type="dxa"/>
          </w:tcPr>
          <w:p w:rsidR="00DC5DF3" w:rsidRPr="00DF3CEE" w:rsidRDefault="005E65B3" w:rsidP="002E7DE3">
            <w:pPr>
              <w:ind w:right="58"/>
              <w:jc w:val="center"/>
              <w:rPr>
                <w:lang w:val="en-GB"/>
              </w:rPr>
            </w:pPr>
            <w:r w:rsidRPr="00DF3CEE">
              <w:rPr>
                <w:lang w:val="en-GB"/>
              </w:rPr>
              <w:t>73</w:t>
            </w:r>
          </w:p>
        </w:tc>
      </w:tr>
      <w:tr w:rsidR="002526A2" w:rsidTr="00106450">
        <w:trPr>
          <w:jc w:val="center"/>
        </w:trPr>
        <w:tc>
          <w:tcPr>
            <w:tcW w:w="4979" w:type="dxa"/>
          </w:tcPr>
          <w:p w:rsidR="00DC5DF3" w:rsidRPr="00DF3CEE" w:rsidRDefault="005E65B3" w:rsidP="0009682D">
            <w:pPr>
              <w:ind w:left="242" w:right="58"/>
              <w:rPr>
                <w:lang w:val="en-GB"/>
              </w:rPr>
            </w:pPr>
            <w:r w:rsidRPr="00DF3CEE">
              <w:rPr>
                <w:lang w:val="en-GB"/>
              </w:rPr>
              <w:t>No</w:t>
            </w:r>
          </w:p>
        </w:tc>
        <w:tc>
          <w:tcPr>
            <w:tcW w:w="1525" w:type="dxa"/>
          </w:tcPr>
          <w:p w:rsidR="00DC5DF3" w:rsidRPr="00DF3CEE" w:rsidRDefault="005E65B3" w:rsidP="002E7DE3">
            <w:pPr>
              <w:ind w:right="58"/>
              <w:jc w:val="center"/>
              <w:rPr>
                <w:lang w:val="en-GB"/>
              </w:rPr>
            </w:pPr>
            <w:r w:rsidRPr="00DF3CEE">
              <w:rPr>
                <w:lang w:val="en-GB"/>
              </w:rPr>
              <w:t>10</w:t>
            </w:r>
          </w:p>
        </w:tc>
        <w:tc>
          <w:tcPr>
            <w:tcW w:w="1428" w:type="dxa"/>
          </w:tcPr>
          <w:p w:rsidR="00DC5DF3" w:rsidRPr="00DF3CEE" w:rsidRDefault="005E65B3" w:rsidP="002E7DE3">
            <w:pPr>
              <w:ind w:right="58"/>
              <w:jc w:val="center"/>
              <w:rPr>
                <w:lang w:val="en-GB"/>
              </w:rPr>
            </w:pPr>
            <w:r w:rsidRPr="00DF3CEE">
              <w:rPr>
                <w:lang w:val="en-GB"/>
              </w:rPr>
              <w:t>11</w:t>
            </w:r>
          </w:p>
        </w:tc>
      </w:tr>
      <w:tr w:rsidR="002526A2" w:rsidTr="00106450">
        <w:trPr>
          <w:jc w:val="center"/>
        </w:trPr>
        <w:tc>
          <w:tcPr>
            <w:tcW w:w="4979" w:type="dxa"/>
            <w:tcBorders>
              <w:bottom w:val="single" w:sz="8" w:space="0" w:color="000000"/>
            </w:tcBorders>
          </w:tcPr>
          <w:p w:rsidR="00DC5DF3" w:rsidRPr="00DF3CEE" w:rsidRDefault="005E65B3" w:rsidP="0009682D">
            <w:pPr>
              <w:ind w:left="242" w:right="58"/>
              <w:rPr>
                <w:lang w:val="en-GB"/>
              </w:rPr>
            </w:pPr>
            <w:r w:rsidRPr="00DF3CEE">
              <w:rPr>
                <w:lang w:val="en-GB"/>
              </w:rPr>
              <w:t>No Answer</w:t>
            </w:r>
          </w:p>
        </w:tc>
        <w:tc>
          <w:tcPr>
            <w:tcW w:w="1525" w:type="dxa"/>
            <w:tcBorders>
              <w:bottom w:val="single" w:sz="8" w:space="0" w:color="000000"/>
            </w:tcBorders>
          </w:tcPr>
          <w:p w:rsidR="00DC5DF3" w:rsidRPr="00DF3CEE" w:rsidRDefault="005E65B3" w:rsidP="002E7DE3">
            <w:pPr>
              <w:ind w:right="58"/>
              <w:jc w:val="center"/>
              <w:rPr>
                <w:lang w:val="en-GB"/>
              </w:rPr>
            </w:pPr>
            <w:r w:rsidRPr="00DF3CEE">
              <w:rPr>
                <w:lang w:val="en-GB"/>
              </w:rPr>
              <w:t>5</w:t>
            </w:r>
          </w:p>
        </w:tc>
        <w:tc>
          <w:tcPr>
            <w:tcW w:w="1428" w:type="dxa"/>
            <w:tcBorders>
              <w:bottom w:val="single" w:sz="8" w:space="0" w:color="000000"/>
            </w:tcBorders>
          </w:tcPr>
          <w:p w:rsidR="00DC5DF3" w:rsidRPr="00DF3CEE" w:rsidRDefault="005E65B3" w:rsidP="002E7DE3">
            <w:pPr>
              <w:ind w:right="58"/>
              <w:jc w:val="center"/>
              <w:rPr>
                <w:lang w:val="en-GB"/>
              </w:rPr>
            </w:pPr>
            <w:r w:rsidRPr="00DF3CEE">
              <w:rPr>
                <w:lang w:val="en-GB"/>
              </w:rPr>
              <w:t>6</w:t>
            </w:r>
          </w:p>
        </w:tc>
      </w:tr>
    </w:tbl>
    <w:p w:rsidR="00BC7337" w:rsidRPr="00DF3CEE" w:rsidRDefault="00BC7337" w:rsidP="002E7DE3">
      <w:pPr>
        <w:rPr>
          <w:lang w:val="en-GB"/>
        </w:rPr>
      </w:pPr>
    </w:p>
    <w:p w:rsidR="00A17A8C" w:rsidRPr="00DF3CEE" w:rsidRDefault="005E65B3" w:rsidP="000B46BB">
      <w:pPr>
        <w:jc w:val="both"/>
      </w:pPr>
      <w:r w:rsidRPr="00DF3CEE">
        <w:rPr>
          <w:rFonts w:ascii="Calibri" w:hAnsi="Calibri" w:cs="Calibri"/>
          <w:lang w:val="en-GB"/>
        </w:rPr>
        <w:t>﻿</w:t>
      </w:r>
      <w:bookmarkStart w:id="0" w:name="OLE_LINK19"/>
      <w:bookmarkStart w:id="1" w:name="OLE_LINK20"/>
      <w:r w:rsidRPr="00DF3CEE">
        <w:rPr>
          <w:lang w:val="en-GB"/>
        </w:rPr>
        <w:t xml:space="preserve">The employment characteristics of the participants and the current status show that </w:t>
      </w:r>
      <w:r w:rsidR="00E37A52" w:rsidRPr="00DF3CEE">
        <w:rPr>
          <w:lang w:val="en-GB"/>
        </w:rPr>
        <w:t>most</w:t>
      </w:r>
      <w:r w:rsidRPr="00DF3CEE">
        <w:rPr>
          <w:lang w:val="en-GB"/>
        </w:rPr>
        <w:t xml:space="preserve"> </w:t>
      </w:r>
      <w:r w:rsidR="00E37A52" w:rsidRPr="00DF3CEE">
        <w:rPr>
          <w:lang w:val="en-GB"/>
        </w:rPr>
        <w:t>are employed (97%). Concerning the employer, most of them are working in the government (97%), particularly in the academe</w:t>
      </w:r>
      <w:r w:rsidR="006C08D5" w:rsidRPr="00DF3CEE">
        <w:rPr>
          <w:lang w:val="en-GB"/>
        </w:rPr>
        <w:t xml:space="preserve"> as casual/contractual/job hire (97%)</w:t>
      </w:r>
      <w:r w:rsidR="00E126C0" w:rsidRPr="00DF3CEE">
        <w:rPr>
          <w:lang w:val="en-GB"/>
        </w:rPr>
        <w:t>;</w:t>
      </w:r>
      <w:r w:rsidR="00447EEE" w:rsidRPr="00DF3CEE">
        <w:rPr>
          <w:lang w:val="en-GB"/>
        </w:rPr>
        <w:t xml:space="preserve"> </w:t>
      </w:r>
      <w:r w:rsidRPr="00DF3CEE">
        <w:rPr>
          <w:lang w:val="en-GB"/>
        </w:rPr>
        <w:t xml:space="preserve">it is </w:t>
      </w:r>
      <w:r w:rsidR="00D9303E" w:rsidRPr="00DF3CEE">
        <w:rPr>
          <w:lang w:val="en-GB"/>
        </w:rPr>
        <w:t xml:space="preserve">apparent that they are not permanent due </w:t>
      </w:r>
      <w:r w:rsidR="00E126C0" w:rsidRPr="00DF3CEE">
        <w:rPr>
          <w:lang w:val="en-GB"/>
        </w:rPr>
        <w:t xml:space="preserve">to </w:t>
      </w:r>
      <w:r w:rsidR="00D9303E" w:rsidRPr="00DF3CEE">
        <w:rPr>
          <w:lang w:val="en-GB"/>
        </w:rPr>
        <w:t xml:space="preserve">the requirement of the Commission on Higher Education and the university's guidelines in hiring and staffing personnel that they should meet the minimum requirement as </w:t>
      </w:r>
      <w:r w:rsidR="00330D9B" w:rsidRPr="00DF3CEE">
        <w:rPr>
          <w:lang w:val="en-GB"/>
        </w:rPr>
        <w:t xml:space="preserve">a </w:t>
      </w:r>
      <w:r w:rsidR="00D9303E" w:rsidRPr="00DF3CEE">
        <w:rPr>
          <w:lang w:val="en-GB"/>
        </w:rPr>
        <w:t>full fledge master graduate</w:t>
      </w:r>
      <w:r w:rsidR="00330D9B" w:rsidRPr="00DF3CEE">
        <w:rPr>
          <w:lang w:val="en-GB"/>
        </w:rPr>
        <w:t xml:space="preserve">. </w:t>
      </w:r>
      <w:r w:rsidR="00330D9B" w:rsidRPr="00DF3CEE">
        <w:t xml:space="preserve">As anticipated, they were </w:t>
      </w:r>
      <w:r w:rsidR="00DF3CEE">
        <w:t>employ</w:t>
      </w:r>
      <w:r w:rsidR="00330D9B" w:rsidRPr="00DF3CEE">
        <w:t>ed as instructors or permanent employees in their preferred workplace after completing the program.</w:t>
      </w:r>
    </w:p>
    <w:p w:rsidR="00A17A8C" w:rsidRPr="00DF3CEE" w:rsidRDefault="00A17A8C" w:rsidP="000B46BB">
      <w:pPr>
        <w:jc w:val="both"/>
        <w:rPr>
          <w:lang w:val="en-GB"/>
        </w:rPr>
      </w:pPr>
    </w:p>
    <w:p w:rsidR="000B46BB" w:rsidRPr="00DF3CEE" w:rsidRDefault="005E65B3" w:rsidP="000B46BB">
      <w:pPr>
        <w:jc w:val="both"/>
        <w:rPr>
          <w:lang w:val="en-GB"/>
        </w:rPr>
      </w:pPr>
      <w:r w:rsidRPr="00DF3CEE">
        <w:rPr>
          <w:lang w:val="en-GB"/>
        </w:rPr>
        <w:lastRenderedPageBreak/>
        <w:t xml:space="preserve">Most (98%) </w:t>
      </w:r>
      <w:r w:rsidR="00F70083" w:rsidRPr="00DF3CEE">
        <w:rPr>
          <w:lang w:val="en-GB"/>
        </w:rPr>
        <w:t>hold non-supervisory job positions,</w:t>
      </w:r>
      <w:r w:rsidRPr="00DF3CEE">
        <w:rPr>
          <w:lang w:val="en-GB"/>
        </w:rPr>
        <w:t xml:space="preserve"> their nature of work is related (80%), and </w:t>
      </w:r>
      <w:r w:rsidR="00F70083" w:rsidRPr="00DF3CEE">
        <w:rPr>
          <w:lang w:val="en-GB"/>
        </w:rPr>
        <w:t>they work</w:t>
      </w:r>
      <w:r w:rsidRPr="00DF3CEE">
        <w:rPr>
          <w:lang w:val="en-GB"/>
        </w:rPr>
        <w:t xml:space="preserve"> in Iloilo (82%).</w:t>
      </w:r>
    </w:p>
    <w:p w:rsidR="000B46BB" w:rsidRPr="00DF3CEE" w:rsidRDefault="000B46BB" w:rsidP="00D50068">
      <w:pPr>
        <w:rPr>
          <w:lang w:val="en-GB"/>
        </w:rPr>
      </w:pPr>
    </w:p>
    <w:p w:rsidR="00823129" w:rsidRPr="00DF3CEE" w:rsidRDefault="005E65B3" w:rsidP="003E60AE">
      <w:pPr>
        <w:jc w:val="both"/>
        <w:rPr>
          <w:lang w:val="en-GB"/>
        </w:rPr>
      </w:pPr>
      <w:r w:rsidRPr="00DF3CEE">
        <w:rPr>
          <w:lang w:val="en-GB"/>
        </w:rPr>
        <w:t>T</w:t>
      </w:r>
      <w:r w:rsidR="0029444F" w:rsidRPr="00DF3CEE">
        <w:rPr>
          <w:lang w:val="en-GB"/>
        </w:rPr>
        <w:t xml:space="preserve">hey were hired </w:t>
      </w:r>
      <w:r w:rsidRPr="00DF3CEE">
        <w:rPr>
          <w:lang w:val="en-GB"/>
        </w:rPr>
        <w:t>because of</w:t>
      </w:r>
      <w:r w:rsidR="0029444F" w:rsidRPr="00DF3CEE">
        <w:rPr>
          <w:lang w:val="en-GB"/>
        </w:rPr>
        <w:t xml:space="preserve"> </w:t>
      </w:r>
      <w:r w:rsidR="00730DBD" w:rsidRPr="00DF3CEE">
        <w:rPr>
          <w:lang w:val="en-GB"/>
        </w:rPr>
        <w:t>the</w:t>
      </w:r>
      <w:r w:rsidR="00F70083" w:rsidRPr="00DF3CEE">
        <w:rPr>
          <w:lang w:val="en-GB"/>
        </w:rPr>
        <w:t>ir knowledge and skills related to the course (78%) they taught. Regarding the salary, the majority</w:t>
      </w:r>
      <w:r w:rsidR="008C4378" w:rsidRPr="00DF3CEE">
        <w:rPr>
          <w:lang w:val="en-GB"/>
        </w:rPr>
        <w:t xml:space="preserve"> were moderately satisfied (59%)</w:t>
      </w:r>
      <w:r w:rsidR="00337CD1" w:rsidRPr="00DF3CEE">
        <w:rPr>
          <w:lang w:val="en-GB"/>
        </w:rPr>
        <w:t xml:space="preserve">. </w:t>
      </w:r>
      <w:r w:rsidR="00F70083" w:rsidRPr="00DF3CEE">
        <w:rPr>
          <w:lang w:val="en-GB"/>
        </w:rPr>
        <w:t>When asked how they fou</w:t>
      </w:r>
      <w:r w:rsidR="00337CD1" w:rsidRPr="00DF3CEE">
        <w:rPr>
          <w:lang w:val="en-GB"/>
        </w:rPr>
        <w:t xml:space="preserve">nd their job, the school placement officer </w:t>
      </w:r>
      <w:r w:rsidR="00F70083" w:rsidRPr="00DF3CEE">
        <w:rPr>
          <w:lang w:val="en-GB"/>
        </w:rPr>
        <w:t xml:space="preserve">arranged a set-up </w:t>
      </w:r>
      <w:r w:rsidR="00337CD1" w:rsidRPr="00DF3CEE">
        <w:rPr>
          <w:lang w:val="en-GB"/>
        </w:rPr>
        <w:t>(67%)</w:t>
      </w:r>
      <w:r w:rsidR="00730DBD" w:rsidRPr="00DF3CEE">
        <w:rPr>
          <w:lang w:val="en-GB"/>
        </w:rPr>
        <w:t xml:space="preserve">—finally, most plan to pursue </w:t>
      </w:r>
      <w:r w:rsidR="00F70083" w:rsidRPr="00DF3CEE">
        <w:rPr>
          <w:lang w:val="en-GB"/>
        </w:rPr>
        <w:t xml:space="preserve">an </w:t>
      </w:r>
      <w:r w:rsidR="00730DBD" w:rsidRPr="00DF3CEE">
        <w:rPr>
          <w:lang w:val="en-GB"/>
        </w:rPr>
        <w:t xml:space="preserve">advanced education program for career advancement to seek </w:t>
      </w:r>
      <w:r w:rsidR="00F70083" w:rsidRPr="00DF3CEE">
        <w:rPr>
          <w:lang w:val="en-GB"/>
        </w:rPr>
        <w:t xml:space="preserve">a </w:t>
      </w:r>
      <w:r w:rsidR="00730DBD" w:rsidRPr="00DF3CEE">
        <w:rPr>
          <w:lang w:val="en-GB"/>
        </w:rPr>
        <w:t>greener pasture.</w:t>
      </w:r>
    </w:p>
    <w:p w:rsidR="001B4AF7" w:rsidRPr="00DF3CEE" w:rsidRDefault="001B4AF7" w:rsidP="00D50068">
      <w:pPr>
        <w:rPr>
          <w:lang w:val="en-GB"/>
        </w:rPr>
      </w:pPr>
    </w:p>
    <w:bookmarkEnd w:id="0"/>
    <w:bookmarkEnd w:id="1"/>
    <w:p w:rsidR="002E7DE3" w:rsidRPr="00DF3CEE" w:rsidRDefault="005E65B3" w:rsidP="00DF089C">
      <w:pPr>
        <w:rPr>
          <w:b/>
          <w:lang w:val="en-GB"/>
        </w:rPr>
      </w:pPr>
      <w:r w:rsidRPr="00DF3CEE">
        <w:rPr>
          <w:b/>
          <w:lang w:val="en-GB"/>
        </w:rPr>
        <w:t>5.2.</w:t>
      </w:r>
      <w:r w:rsidR="00C968A5" w:rsidRPr="00DF3CEE">
        <w:rPr>
          <w:b/>
          <w:lang w:val="en-GB"/>
        </w:rPr>
        <w:t xml:space="preserve"> Program </w:t>
      </w:r>
      <w:r w:rsidR="00616216" w:rsidRPr="00DF3CEE">
        <w:rPr>
          <w:b/>
          <w:lang w:val="en-GB"/>
        </w:rPr>
        <w:t xml:space="preserve">Skills </w:t>
      </w:r>
      <w:r w:rsidR="00C968A5" w:rsidRPr="00DF3CEE">
        <w:rPr>
          <w:b/>
          <w:lang w:val="en-GB"/>
        </w:rPr>
        <w:t>Assessment</w:t>
      </w:r>
    </w:p>
    <w:p w:rsidR="007645E3" w:rsidRPr="00DF3CEE" w:rsidRDefault="007645E3" w:rsidP="00DF089C">
      <w:pPr>
        <w:rPr>
          <w:b/>
          <w:lang w:val="en-GB"/>
        </w:rPr>
      </w:pPr>
    </w:p>
    <w:p w:rsidR="007645E3" w:rsidRPr="004B3FEB" w:rsidRDefault="005E65B3" w:rsidP="004B3FEB">
      <w:pPr>
        <w:ind w:right="58"/>
        <w:rPr>
          <w:b/>
          <w:lang w:val="en-GB"/>
        </w:rPr>
      </w:pPr>
      <w:r w:rsidRPr="00DF3CEE">
        <w:rPr>
          <w:b/>
          <w:lang w:val="en-GB"/>
        </w:rPr>
        <w:t>Table 2</w:t>
      </w:r>
      <w:r w:rsidR="004B3FEB">
        <w:rPr>
          <w:b/>
          <w:lang w:val="en-GB"/>
        </w:rPr>
        <w:t xml:space="preserve">: </w:t>
      </w:r>
      <w:r w:rsidRPr="00DF3CEE">
        <w:rPr>
          <w:i/>
          <w:lang w:val="en-GB"/>
        </w:rPr>
        <w:t xml:space="preserve">Program </w:t>
      </w:r>
      <w:r w:rsidR="00F70083" w:rsidRPr="00DF3CEE">
        <w:rPr>
          <w:i/>
          <w:lang w:val="en-GB"/>
        </w:rPr>
        <w:t xml:space="preserve">Skills </w:t>
      </w:r>
      <w:r w:rsidRPr="00DF3CEE">
        <w:rPr>
          <w:i/>
          <w:lang w:val="en-GB"/>
        </w:rPr>
        <w:t>Assessment</w:t>
      </w:r>
    </w:p>
    <w:tbl>
      <w:tblPr>
        <w:tblW w:w="7741" w:type="dxa"/>
        <w:jc w:val="center"/>
        <w:tblLook w:val="04A0" w:firstRow="1" w:lastRow="0" w:firstColumn="1" w:lastColumn="0" w:noHBand="0" w:noVBand="1"/>
      </w:tblPr>
      <w:tblGrid>
        <w:gridCol w:w="3721"/>
        <w:gridCol w:w="2061"/>
        <w:gridCol w:w="1959"/>
      </w:tblGrid>
      <w:tr w:rsidR="002526A2" w:rsidTr="00383302">
        <w:trPr>
          <w:trHeight w:val="185"/>
          <w:jc w:val="center"/>
        </w:trPr>
        <w:tc>
          <w:tcPr>
            <w:tcW w:w="3721" w:type="dxa"/>
            <w:tcBorders>
              <w:top w:val="single" w:sz="8" w:space="0" w:color="000000"/>
              <w:bottom w:val="single" w:sz="8" w:space="0" w:color="000000"/>
            </w:tcBorders>
            <w:shd w:val="clear" w:color="auto" w:fill="auto"/>
            <w:noWrap/>
            <w:vAlign w:val="center"/>
            <w:hideMark/>
          </w:tcPr>
          <w:p w:rsidR="008F5C35" w:rsidRPr="00DF3CEE" w:rsidRDefault="005E65B3" w:rsidP="00BD76D9">
            <w:pPr>
              <w:jc w:val="center"/>
              <w:rPr>
                <w:b/>
                <w:lang w:val="en-GB"/>
              </w:rPr>
            </w:pPr>
            <w:r w:rsidRPr="00DF3CEE">
              <w:rPr>
                <w:b/>
                <w:lang w:val="en-GB"/>
              </w:rPr>
              <w:t>Skills</w:t>
            </w:r>
          </w:p>
        </w:tc>
        <w:tc>
          <w:tcPr>
            <w:tcW w:w="2061" w:type="dxa"/>
            <w:tcBorders>
              <w:top w:val="single" w:sz="8" w:space="0" w:color="000000"/>
              <w:bottom w:val="single" w:sz="8" w:space="0" w:color="000000"/>
            </w:tcBorders>
            <w:shd w:val="clear" w:color="auto" w:fill="auto"/>
            <w:noWrap/>
            <w:vAlign w:val="center"/>
            <w:hideMark/>
          </w:tcPr>
          <w:p w:rsidR="008F5C35" w:rsidRPr="00DF3CEE" w:rsidRDefault="005E65B3" w:rsidP="00BD76D9">
            <w:pPr>
              <w:jc w:val="center"/>
              <w:rPr>
                <w:b/>
                <w:lang w:val="en-GB"/>
              </w:rPr>
            </w:pPr>
            <w:r w:rsidRPr="00DF3CEE">
              <w:rPr>
                <w:b/>
                <w:lang w:val="en-GB"/>
              </w:rPr>
              <w:t>Weighted Mean</w:t>
            </w:r>
          </w:p>
        </w:tc>
        <w:tc>
          <w:tcPr>
            <w:tcW w:w="1959" w:type="dxa"/>
            <w:tcBorders>
              <w:top w:val="single" w:sz="8" w:space="0" w:color="000000"/>
              <w:bottom w:val="single" w:sz="8" w:space="0" w:color="000000"/>
            </w:tcBorders>
            <w:shd w:val="clear" w:color="auto" w:fill="auto"/>
            <w:noWrap/>
            <w:vAlign w:val="center"/>
            <w:hideMark/>
          </w:tcPr>
          <w:p w:rsidR="008F5C35" w:rsidRPr="00DF3CEE" w:rsidRDefault="005E65B3" w:rsidP="00BD76D9">
            <w:pPr>
              <w:jc w:val="center"/>
              <w:rPr>
                <w:b/>
                <w:lang w:val="en-GB"/>
              </w:rPr>
            </w:pPr>
            <w:r w:rsidRPr="00DF3CEE">
              <w:rPr>
                <w:b/>
                <w:lang w:val="en-GB"/>
              </w:rPr>
              <w:t>Interpretation</w:t>
            </w:r>
          </w:p>
        </w:tc>
      </w:tr>
      <w:tr w:rsidR="002526A2" w:rsidTr="00383302">
        <w:trPr>
          <w:trHeight w:val="185"/>
          <w:jc w:val="center"/>
        </w:trPr>
        <w:tc>
          <w:tcPr>
            <w:tcW w:w="3721" w:type="dxa"/>
            <w:tcBorders>
              <w:top w:val="single" w:sz="8" w:space="0" w:color="000000"/>
            </w:tcBorders>
            <w:shd w:val="clear" w:color="auto" w:fill="auto"/>
            <w:noWrap/>
            <w:vAlign w:val="center"/>
            <w:hideMark/>
          </w:tcPr>
          <w:p w:rsidR="008F5C35" w:rsidRPr="00DF3CEE" w:rsidRDefault="005E65B3" w:rsidP="00BD76D9">
            <w:pPr>
              <w:ind w:left="254" w:hanging="254"/>
              <w:jc w:val="center"/>
              <w:rPr>
                <w:lang w:val="en-GB"/>
              </w:rPr>
            </w:pPr>
            <w:r w:rsidRPr="00DF3CEE">
              <w:rPr>
                <w:lang w:val="en-GB"/>
              </w:rPr>
              <w:t>Knowledge and Technical Skills</w:t>
            </w:r>
          </w:p>
        </w:tc>
        <w:tc>
          <w:tcPr>
            <w:tcW w:w="2061" w:type="dxa"/>
            <w:tcBorders>
              <w:top w:val="single" w:sz="8" w:space="0" w:color="000000"/>
            </w:tcBorders>
            <w:shd w:val="clear" w:color="auto" w:fill="auto"/>
            <w:noWrap/>
            <w:vAlign w:val="center"/>
            <w:hideMark/>
          </w:tcPr>
          <w:p w:rsidR="008F5C35" w:rsidRPr="00DF3CEE" w:rsidRDefault="005E65B3" w:rsidP="00BD76D9">
            <w:pPr>
              <w:jc w:val="center"/>
              <w:rPr>
                <w:lang w:val="en-GB"/>
              </w:rPr>
            </w:pPr>
            <w:r w:rsidRPr="00DF3CEE">
              <w:rPr>
                <w:lang w:val="en-GB"/>
              </w:rPr>
              <w:t>3.70</w:t>
            </w:r>
          </w:p>
        </w:tc>
        <w:tc>
          <w:tcPr>
            <w:tcW w:w="1959" w:type="dxa"/>
            <w:tcBorders>
              <w:top w:val="single" w:sz="8" w:space="0" w:color="000000"/>
            </w:tcBorders>
            <w:shd w:val="clear" w:color="auto" w:fill="auto"/>
            <w:noWrap/>
            <w:vAlign w:val="center"/>
            <w:hideMark/>
          </w:tcPr>
          <w:p w:rsidR="008F5C35" w:rsidRPr="00DF3CEE" w:rsidRDefault="005E65B3" w:rsidP="00BD76D9">
            <w:pPr>
              <w:jc w:val="center"/>
              <w:rPr>
                <w:lang w:val="en-GB"/>
              </w:rPr>
            </w:pPr>
            <w:r w:rsidRPr="00DF3CEE">
              <w:rPr>
                <w:lang w:val="en-GB"/>
              </w:rPr>
              <w:t xml:space="preserve">To </w:t>
            </w:r>
            <w:r w:rsidR="00383302" w:rsidRPr="00DF3CEE">
              <w:rPr>
                <w:lang w:val="en-GB"/>
              </w:rPr>
              <w:t xml:space="preserve">a </w:t>
            </w:r>
            <w:r w:rsidRPr="00DF3CEE">
              <w:rPr>
                <w:lang w:val="en-GB"/>
              </w:rPr>
              <w:t>great extent</w:t>
            </w:r>
          </w:p>
        </w:tc>
      </w:tr>
      <w:tr w:rsidR="002526A2" w:rsidTr="00383302">
        <w:trPr>
          <w:trHeight w:val="185"/>
          <w:jc w:val="center"/>
        </w:trPr>
        <w:tc>
          <w:tcPr>
            <w:tcW w:w="3721" w:type="dxa"/>
            <w:shd w:val="clear" w:color="auto" w:fill="auto"/>
            <w:noWrap/>
            <w:vAlign w:val="center"/>
            <w:hideMark/>
          </w:tcPr>
          <w:p w:rsidR="008F5C35" w:rsidRPr="00DF3CEE" w:rsidRDefault="005E65B3" w:rsidP="00BD76D9">
            <w:pPr>
              <w:ind w:left="254" w:hanging="254"/>
              <w:jc w:val="center"/>
              <w:rPr>
                <w:lang w:val="en-GB"/>
              </w:rPr>
            </w:pPr>
            <w:r w:rsidRPr="00DF3CEE">
              <w:rPr>
                <w:lang w:val="en-GB"/>
              </w:rPr>
              <w:t>Communication Skills</w:t>
            </w:r>
          </w:p>
        </w:tc>
        <w:tc>
          <w:tcPr>
            <w:tcW w:w="2061" w:type="dxa"/>
            <w:shd w:val="clear" w:color="auto" w:fill="auto"/>
            <w:noWrap/>
            <w:vAlign w:val="center"/>
            <w:hideMark/>
          </w:tcPr>
          <w:p w:rsidR="008F5C35" w:rsidRPr="00DF3CEE" w:rsidRDefault="005E65B3" w:rsidP="00BD76D9">
            <w:pPr>
              <w:jc w:val="center"/>
              <w:rPr>
                <w:lang w:val="en-GB"/>
              </w:rPr>
            </w:pPr>
            <w:r w:rsidRPr="00DF3CEE">
              <w:rPr>
                <w:lang w:val="en-GB"/>
              </w:rPr>
              <w:t>3.00</w:t>
            </w:r>
          </w:p>
        </w:tc>
        <w:tc>
          <w:tcPr>
            <w:tcW w:w="1959" w:type="dxa"/>
            <w:shd w:val="clear" w:color="auto" w:fill="auto"/>
            <w:noWrap/>
            <w:vAlign w:val="center"/>
            <w:hideMark/>
          </w:tcPr>
          <w:p w:rsidR="008F5C35" w:rsidRPr="00DF3CEE" w:rsidRDefault="005E65B3" w:rsidP="00BD76D9">
            <w:pPr>
              <w:jc w:val="center"/>
              <w:rPr>
                <w:lang w:val="en-GB"/>
              </w:rPr>
            </w:pPr>
            <w:r w:rsidRPr="00DF3CEE">
              <w:rPr>
                <w:lang w:val="en-GB"/>
              </w:rPr>
              <w:t>To some extent</w:t>
            </w:r>
          </w:p>
        </w:tc>
      </w:tr>
      <w:tr w:rsidR="002526A2" w:rsidTr="00383302">
        <w:trPr>
          <w:trHeight w:val="185"/>
          <w:jc w:val="center"/>
        </w:trPr>
        <w:tc>
          <w:tcPr>
            <w:tcW w:w="3721" w:type="dxa"/>
            <w:shd w:val="clear" w:color="auto" w:fill="auto"/>
            <w:noWrap/>
            <w:vAlign w:val="center"/>
            <w:hideMark/>
          </w:tcPr>
          <w:p w:rsidR="008F5C35" w:rsidRPr="00DF3CEE" w:rsidRDefault="005E65B3" w:rsidP="00BD76D9">
            <w:pPr>
              <w:ind w:left="254" w:hanging="254"/>
              <w:jc w:val="center"/>
              <w:rPr>
                <w:lang w:val="en-GB"/>
              </w:rPr>
            </w:pPr>
            <w:r w:rsidRPr="00DF3CEE">
              <w:rPr>
                <w:lang w:val="en-GB"/>
              </w:rPr>
              <w:t>Human Relation Skills</w:t>
            </w:r>
          </w:p>
        </w:tc>
        <w:tc>
          <w:tcPr>
            <w:tcW w:w="2061" w:type="dxa"/>
            <w:shd w:val="clear" w:color="auto" w:fill="auto"/>
            <w:noWrap/>
            <w:vAlign w:val="center"/>
            <w:hideMark/>
          </w:tcPr>
          <w:p w:rsidR="008F5C35" w:rsidRPr="00DF3CEE" w:rsidRDefault="005E65B3" w:rsidP="00BD76D9">
            <w:pPr>
              <w:jc w:val="center"/>
              <w:rPr>
                <w:lang w:val="en-GB"/>
              </w:rPr>
            </w:pPr>
            <w:r w:rsidRPr="00DF3CEE">
              <w:rPr>
                <w:lang w:val="en-GB"/>
              </w:rPr>
              <w:t>2.83</w:t>
            </w:r>
          </w:p>
        </w:tc>
        <w:tc>
          <w:tcPr>
            <w:tcW w:w="1959" w:type="dxa"/>
            <w:shd w:val="clear" w:color="auto" w:fill="auto"/>
            <w:noWrap/>
            <w:vAlign w:val="center"/>
            <w:hideMark/>
          </w:tcPr>
          <w:p w:rsidR="008F5C35" w:rsidRPr="00DF3CEE" w:rsidRDefault="005E65B3" w:rsidP="00BD76D9">
            <w:pPr>
              <w:jc w:val="center"/>
              <w:rPr>
                <w:lang w:val="en-GB"/>
              </w:rPr>
            </w:pPr>
            <w:r w:rsidRPr="00DF3CEE">
              <w:rPr>
                <w:lang w:val="en-GB"/>
              </w:rPr>
              <w:t>To some extent</w:t>
            </w:r>
          </w:p>
        </w:tc>
      </w:tr>
      <w:tr w:rsidR="002526A2" w:rsidTr="00383302">
        <w:trPr>
          <w:trHeight w:val="185"/>
          <w:jc w:val="center"/>
        </w:trPr>
        <w:tc>
          <w:tcPr>
            <w:tcW w:w="3721" w:type="dxa"/>
            <w:shd w:val="clear" w:color="auto" w:fill="auto"/>
            <w:noWrap/>
            <w:vAlign w:val="center"/>
            <w:hideMark/>
          </w:tcPr>
          <w:p w:rsidR="008F5C35" w:rsidRPr="00DF3CEE" w:rsidRDefault="005E65B3" w:rsidP="00BD76D9">
            <w:pPr>
              <w:ind w:left="254" w:hanging="254"/>
              <w:jc w:val="center"/>
              <w:rPr>
                <w:lang w:val="en-GB"/>
              </w:rPr>
            </w:pPr>
            <w:r w:rsidRPr="00DF3CEE">
              <w:rPr>
                <w:lang w:val="en-GB"/>
              </w:rPr>
              <w:t>Research</w:t>
            </w:r>
          </w:p>
        </w:tc>
        <w:tc>
          <w:tcPr>
            <w:tcW w:w="2061" w:type="dxa"/>
            <w:shd w:val="clear" w:color="auto" w:fill="auto"/>
            <w:noWrap/>
            <w:vAlign w:val="center"/>
            <w:hideMark/>
          </w:tcPr>
          <w:p w:rsidR="008F5C35" w:rsidRPr="00DF3CEE" w:rsidRDefault="005E65B3" w:rsidP="00BD76D9">
            <w:pPr>
              <w:jc w:val="center"/>
              <w:rPr>
                <w:lang w:val="en-GB"/>
              </w:rPr>
            </w:pPr>
            <w:r w:rsidRPr="00DF3CEE">
              <w:rPr>
                <w:lang w:val="en-GB"/>
              </w:rPr>
              <w:t>3.56</w:t>
            </w:r>
          </w:p>
        </w:tc>
        <w:tc>
          <w:tcPr>
            <w:tcW w:w="1959" w:type="dxa"/>
            <w:shd w:val="clear" w:color="auto" w:fill="auto"/>
            <w:noWrap/>
            <w:vAlign w:val="center"/>
            <w:hideMark/>
          </w:tcPr>
          <w:p w:rsidR="008F5C35" w:rsidRPr="00DF3CEE" w:rsidRDefault="005E65B3" w:rsidP="00BD76D9">
            <w:pPr>
              <w:jc w:val="center"/>
              <w:rPr>
                <w:lang w:val="en-GB"/>
              </w:rPr>
            </w:pPr>
            <w:r w:rsidRPr="00DF3CEE">
              <w:rPr>
                <w:lang w:val="en-GB"/>
              </w:rPr>
              <w:t xml:space="preserve">To </w:t>
            </w:r>
            <w:r w:rsidR="00383302" w:rsidRPr="00DF3CEE">
              <w:rPr>
                <w:lang w:val="en-GB"/>
              </w:rPr>
              <w:t xml:space="preserve">a </w:t>
            </w:r>
            <w:r w:rsidRPr="00DF3CEE">
              <w:rPr>
                <w:lang w:val="en-GB"/>
              </w:rPr>
              <w:t>great extent</w:t>
            </w:r>
          </w:p>
        </w:tc>
      </w:tr>
      <w:tr w:rsidR="002526A2" w:rsidTr="00383302">
        <w:trPr>
          <w:trHeight w:val="185"/>
          <w:jc w:val="center"/>
        </w:trPr>
        <w:tc>
          <w:tcPr>
            <w:tcW w:w="3721" w:type="dxa"/>
            <w:shd w:val="clear" w:color="auto" w:fill="auto"/>
            <w:noWrap/>
            <w:vAlign w:val="center"/>
          </w:tcPr>
          <w:p w:rsidR="006C055C" w:rsidRPr="00DF3CEE" w:rsidRDefault="005E65B3" w:rsidP="00BD76D9">
            <w:pPr>
              <w:ind w:left="254" w:hanging="254"/>
              <w:jc w:val="center"/>
              <w:rPr>
                <w:lang w:val="en-GB"/>
              </w:rPr>
            </w:pPr>
            <w:r w:rsidRPr="00DF3CEE">
              <w:rPr>
                <w:lang w:val="en-GB"/>
              </w:rPr>
              <w:t>Problem Skills</w:t>
            </w:r>
          </w:p>
        </w:tc>
        <w:tc>
          <w:tcPr>
            <w:tcW w:w="2061" w:type="dxa"/>
            <w:shd w:val="clear" w:color="auto" w:fill="auto"/>
            <w:noWrap/>
            <w:vAlign w:val="center"/>
          </w:tcPr>
          <w:p w:rsidR="006C055C" w:rsidRPr="00DF3CEE" w:rsidRDefault="005E65B3" w:rsidP="00BD76D9">
            <w:pPr>
              <w:jc w:val="center"/>
              <w:rPr>
                <w:lang w:val="en-GB"/>
              </w:rPr>
            </w:pPr>
            <w:r w:rsidRPr="00DF3CEE">
              <w:rPr>
                <w:lang w:val="en-GB"/>
              </w:rPr>
              <w:t>3.02</w:t>
            </w:r>
          </w:p>
        </w:tc>
        <w:tc>
          <w:tcPr>
            <w:tcW w:w="1959" w:type="dxa"/>
            <w:shd w:val="clear" w:color="auto" w:fill="auto"/>
            <w:noWrap/>
            <w:vAlign w:val="center"/>
          </w:tcPr>
          <w:p w:rsidR="006C055C" w:rsidRPr="00DF3CEE" w:rsidRDefault="005E65B3" w:rsidP="00BD76D9">
            <w:pPr>
              <w:jc w:val="center"/>
              <w:rPr>
                <w:lang w:val="en-GB"/>
              </w:rPr>
            </w:pPr>
            <w:r w:rsidRPr="00DF3CEE">
              <w:rPr>
                <w:lang w:val="en-GB"/>
              </w:rPr>
              <w:t>To some extent</w:t>
            </w:r>
          </w:p>
        </w:tc>
      </w:tr>
      <w:tr w:rsidR="002526A2" w:rsidTr="00383302">
        <w:trPr>
          <w:trHeight w:val="185"/>
          <w:jc w:val="center"/>
        </w:trPr>
        <w:tc>
          <w:tcPr>
            <w:tcW w:w="3721" w:type="dxa"/>
            <w:tcBorders>
              <w:bottom w:val="single" w:sz="8" w:space="0" w:color="000000"/>
            </w:tcBorders>
            <w:shd w:val="clear" w:color="auto" w:fill="auto"/>
            <w:noWrap/>
            <w:vAlign w:val="center"/>
            <w:hideMark/>
          </w:tcPr>
          <w:p w:rsidR="008F5C35" w:rsidRPr="00DF3CEE" w:rsidRDefault="005E65B3" w:rsidP="00BD76D9">
            <w:pPr>
              <w:jc w:val="center"/>
              <w:rPr>
                <w:b/>
                <w:bCs/>
                <w:lang w:val="en-GB"/>
              </w:rPr>
            </w:pPr>
            <w:r w:rsidRPr="00DF3CEE">
              <w:rPr>
                <w:b/>
                <w:bCs/>
                <w:lang w:val="en-GB"/>
              </w:rPr>
              <w:t>Overall</w:t>
            </w:r>
          </w:p>
        </w:tc>
        <w:tc>
          <w:tcPr>
            <w:tcW w:w="2061" w:type="dxa"/>
            <w:tcBorders>
              <w:bottom w:val="single" w:sz="8" w:space="0" w:color="000000"/>
            </w:tcBorders>
            <w:shd w:val="clear" w:color="auto" w:fill="auto"/>
            <w:noWrap/>
            <w:vAlign w:val="center"/>
            <w:hideMark/>
          </w:tcPr>
          <w:p w:rsidR="008F5C35" w:rsidRPr="00DF3CEE" w:rsidRDefault="005E65B3" w:rsidP="00BD76D9">
            <w:pPr>
              <w:jc w:val="center"/>
              <w:rPr>
                <w:b/>
                <w:bCs/>
                <w:lang w:val="en-GB"/>
              </w:rPr>
            </w:pPr>
            <w:r w:rsidRPr="00DF3CEE">
              <w:rPr>
                <w:b/>
                <w:bCs/>
                <w:lang w:val="en-GB"/>
              </w:rPr>
              <w:t>3.2</w:t>
            </w:r>
            <w:r w:rsidR="006C055C" w:rsidRPr="00DF3CEE">
              <w:rPr>
                <w:b/>
                <w:bCs/>
                <w:lang w:val="en-GB"/>
              </w:rPr>
              <w:t>2</w:t>
            </w:r>
          </w:p>
        </w:tc>
        <w:tc>
          <w:tcPr>
            <w:tcW w:w="1959" w:type="dxa"/>
            <w:tcBorders>
              <w:bottom w:val="single" w:sz="8" w:space="0" w:color="000000"/>
            </w:tcBorders>
            <w:shd w:val="clear" w:color="auto" w:fill="auto"/>
            <w:noWrap/>
            <w:vAlign w:val="center"/>
            <w:hideMark/>
          </w:tcPr>
          <w:p w:rsidR="008F5C35" w:rsidRPr="00DF3CEE" w:rsidRDefault="005E65B3" w:rsidP="00BD76D9">
            <w:pPr>
              <w:jc w:val="center"/>
              <w:rPr>
                <w:b/>
                <w:bCs/>
                <w:lang w:val="en-GB"/>
              </w:rPr>
            </w:pPr>
            <w:r w:rsidRPr="00DF3CEE">
              <w:rPr>
                <w:b/>
                <w:bCs/>
                <w:lang w:val="en-GB"/>
              </w:rPr>
              <w:t xml:space="preserve">To </w:t>
            </w:r>
            <w:r w:rsidR="006C055C" w:rsidRPr="00DF3CEE">
              <w:rPr>
                <w:b/>
                <w:bCs/>
                <w:lang w:val="en-GB"/>
              </w:rPr>
              <w:t xml:space="preserve">some </w:t>
            </w:r>
            <w:r w:rsidRPr="00DF3CEE">
              <w:rPr>
                <w:b/>
                <w:bCs/>
                <w:lang w:val="en-GB"/>
              </w:rPr>
              <w:t>extent</w:t>
            </w:r>
          </w:p>
        </w:tc>
      </w:tr>
    </w:tbl>
    <w:p w:rsidR="004A62E8" w:rsidRPr="00DF3CEE" w:rsidRDefault="004A62E8" w:rsidP="00DF089C">
      <w:pPr>
        <w:rPr>
          <w:lang w:val="en-GB"/>
        </w:rPr>
      </w:pPr>
    </w:p>
    <w:p w:rsidR="00147223" w:rsidRPr="00147223" w:rsidRDefault="005E65B3" w:rsidP="00147223">
      <w:pPr>
        <w:jc w:val="both"/>
      </w:pPr>
      <w:r w:rsidRPr="00DF3CEE">
        <w:rPr>
          <w:lang w:val="en-GB"/>
        </w:rPr>
        <w:t xml:space="preserve">Table 2 </w:t>
      </w:r>
      <w:r w:rsidR="00B42A78" w:rsidRPr="00DF3CEE">
        <w:rPr>
          <w:lang w:val="en-GB"/>
        </w:rPr>
        <w:t>shows the</w:t>
      </w:r>
      <w:r w:rsidRPr="00DF3CEE">
        <w:rPr>
          <w:lang w:val="en-GB"/>
        </w:rPr>
        <w:t xml:space="preserve"> </w:t>
      </w:r>
      <w:r w:rsidR="00B42A78" w:rsidRPr="00DF3CEE">
        <w:rPr>
          <w:lang w:val="en-GB"/>
        </w:rPr>
        <w:t>p</w:t>
      </w:r>
      <w:r w:rsidRPr="00DF3CEE">
        <w:rPr>
          <w:lang w:val="en-GB"/>
        </w:rPr>
        <w:t>rogram assessment</w:t>
      </w:r>
      <w:r w:rsidR="00B42A78" w:rsidRPr="00DF3CEE">
        <w:rPr>
          <w:lang w:val="en-GB"/>
        </w:rPr>
        <w:t xml:space="preserve"> o</w:t>
      </w:r>
      <w:r w:rsidR="005F29D5" w:rsidRPr="00DF3CEE">
        <w:rPr>
          <w:lang w:val="en-GB"/>
        </w:rPr>
        <w:t>f</w:t>
      </w:r>
      <w:r w:rsidR="00B42A78" w:rsidRPr="00DF3CEE">
        <w:rPr>
          <w:lang w:val="en-GB"/>
        </w:rPr>
        <w:t xml:space="preserve"> the skills acquired by the graduates during their stay in the program. The overall rating was 3.27</w:t>
      </w:r>
      <w:r w:rsidR="005F29D5" w:rsidRPr="00DF3CEE">
        <w:rPr>
          <w:lang w:val="en-GB"/>
        </w:rPr>
        <w:t>,</w:t>
      </w:r>
      <w:r w:rsidR="00B42A78" w:rsidRPr="00DF3CEE">
        <w:rPr>
          <w:lang w:val="en-GB"/>
        </w:rPr>
        <w:t xml:space="preserve"> which is </w:t>
      </w:r>
      <w:r w:rsidR="00B42A78" w:rsidRPr="00DF3CEE">
        <w:rPr>
          <w:b/>
          <w:lang w:val="en-GB"/>
        </w:rPr>
        <w:t>a great extent</w:t>
      </w:r>
      <w:r w:rsidR="005F29D5" w:rsidRPr="00DF3CEE">
        <w:rPr>
          <w:lang w:val="en-GB"/>
        </w:rPr>
        <w:t>;</w:t>
      </w:r>
      <w:r w:rsidR="00B42A78" w:rsidRPr="00DF3CEE">
        <w:rPr>
          <w:lang w:val="en-GB"/>
        </w:rPr>
        <w:t xml:space="preserve"> only human relation skills ha</w:t>
      </w:r>
      <w:r w:rsidR="005F29D5" w:rsidRPr="00DF3CEE">
        <w:rPr>
          <w:lang w:val="en-GB"/>
        </w:rPr>
        <w:t>ve</w:t>
      </w:r>
      <w:r w:rsidR="00B42A78" w:rsidRPr="00DF3CEE">
        <w:rPr>
          <w:lang w:val="en-GB"/>
        </w:rPr>
        <w:t xml:space="preserve"> an average rating of 2.83</w:t>
      </w:r>
      <w:r w:rsidR="005F29D5" w:rsidRPr="00DF3CEE">
        <w:rPr>
          <w:lang w:val="en-GB"/>
        </w:rPr>
        <w:t>,</w:t>
      </w:r>
      <w:r w:rsidR="00B42A78" w:rsidRPr="00DF3CEE">
        <w:rPr>
          <w:lang w:val="en-GB"/>
        </w:rPr>
        <w:t xml:space="preserve"> which is described t</w:t>
      </w:r>
      <w:r w:rsidR="00B42A78" w:rsidRPr="00DF3CEE">
        <w:rPr>
          <w:b/>
          <w:lang w:val="en-GB"/>
        </w:rPr>
        <w:t>o some extent</w:t>
      </w:r>
      <w:r w:rsidR="00B42A78" w:rsidRPr="00DF3CEE">
        <w:rPr>
          <w:lang w:val="en-GB"/>
        </w:rPr>
        <w:t xml:space="preserve">. </w:t>
      </w:r>
      <w:r w:rsidR="00372EB7" w:rsidRPr="00DF3CEE">
        <w:rPr>
          <w:shd w:val="clear" w:color="auto" w:fill="FFFFFF"/>
        </w:rPr>
        <w:t xml:space="preserve">Nyone (2024) </w:t>
      </w:r>
      <w:r w:rsidRPr="00DF3CEE">
        <w:t xml:space="preserve">recommended </w:t>
      </w:r>
      <w:r w:rsidR="00372EB7" w:rsidRPr="00DF3CEE">
        <w:t>holding</w:t>
      </w:r>
      <w:r w:rsidRPr="00DF3CEE">
        <w:t xml:space="preserve"> an annual conference for non-academic staff to teach them human relations skills like empathy and anger management to enhance their job performance.</w:t>
      </w:r>
      <w:r>
        <w:t xml:space="preserve"> </w:t>
      </w:r>
      <w:r w:rsidRPr="00147223">
        <w:t>Additionally, Millington (20</w:t>
      </w:r>
      <w:r w:rsidR="00E130F5">
        <w:t>08</w:t>
      </w:r>
      <w:r w:rsidRPr="00147223">
        <w:t xml:space="preserve">) noted that </w:t>
      </w:r>
      <w:r>
        <w:t xml:space="preserve">the </w:t>
      </w:r>
      <w:r w:rsidRPr="00147223">
        <w:t>University of Malawi alumni expressed satisfaction with the calib</w:t>
      </w:r>
      <w:r>
        <w:t>re</w:t>
      </w:r>
      <w:r w:rsidRPr="00147223">
        <w:t xml:space="preserve"> of instruction, course material, and acquired knowledge. </w:t>
      </w:r>
    </w:p>
    <w:p w:rsidR="00B42A78" w:rsidRPr="00DF3CEE" w:rsidRDefault="00B42A78" w:rsidP="00147223">
      <w:pPr>
        <w:jc w:val="both"/>
        <w:rPr>
          <w:lang w:val="en-GB"/>
        </w:rPr>
      </w:pPr>
    </w:p>
    <w:p w:rsidR="0016732D" w:rsidRPr="00DF3CEE" w:rsidRDefault="005E65B3" w:rsidP="00DF089C">
      <w:pPr>
        <w:rPr>
          <w:b/>
          <w:lang w:val="en-GB"/>
        </w:rPr>
      </w:pPr>
      <w:r w:rsidRPr="00DF3CEE">
        <w:rPr>
          <w:b/>
          <w:lang w:val="en-GB"/>
        </w:rPr>
        <w:t xml:space="preserve">5.3. Program </w:t>
      </w:r>
      <w:r w:rsidR="00EB5E6B" w:rsidRPr="00DF3CEE">
        <w:rPr>
          <w:b/>
          <w:lang w:val="en-GB"/>
        </w:rPr>
        <w:t>Coursework’s</w:t>
      </w:r>
      <w:r w:rsidRPr="00DF3CEE">
        <w:rPr>
          <w:b/>
          <w:lang w:val="en-GB"/>
        </w:rPr>
        <w:t xml:space="preserve"> Adequacy </w:t>
      </w:r>
    </w:p>
    <w:p w:rsidR="00C87869" w:rsidRPr="00DF3CEE" w:rsidRDefault="00C87869" w:rsidP="00DF089C">
      <w:pPr>
        <w:rPr>
          <w:b/>
          <w:lang w:val="en-GB"/>
        </w:rPr>
      </w:pPr>
    </w:p>
    <w:p w:rsidR="00C87869" w:rsidRPr="004B3FEB" w:rsidRDefault="005E65B3" w:rsidP="004B3FEB">
      <w:pPr>
        <w:ind w:right="58"/>
        <w:rPr>
          <w:b/>
          <w:lang w:val="en-GB"/>
        </w:rPr>
      </w:pPr>
      <w:r w:rsidRPr="00DF3CEE">
        <w:rPr>
          <w:b/>
          <w:lang w:val="en-GB"/>
        </w:rPr>
        <w:t>Table 3</w:t>
      </w:r>
      <w:r w:rsidR="004B3FEB">
        <w:rPr>
          <w:b/>
          <w:lang w:val="en-GB"/>
        </w:rPr>
        <w:t xml:space="preserve">: </w:t>
      </w:r>
      <w:r w:rsidRPr="00DF3CEE">
        <w:rPr>
          <w:i/>
          <w:lang w:val="en-GB"/>
        </w:rPr>
        <w:t xml:space="preserve">Program </w:t>
      </w:r>
      <w:r w:rsidR="00EB5E6B" w:rsidRPr="00DF3CEE">
        <w:rPr>
          <w:i/>
          <w:lang w:val="en-GB"/>
        </w:rPr>
        <w:t>Coursework</w:t>
      </w:r>
      <w:r w:rsidR="00D479C4" w:rsidRPr="00DF3CEE">
        <w:rPr>
          <w:i/>
          <w:lang w:val="en-GB"/>
        </w:rPr>
        <w:t>’s</w:t>
      </w:r>
      <w:r w:rsidRPr="00DF3CEE">
        <w:rPr>
          <w:i/>
          <w:lang w:val="en-GB"/>
        </w:rPr>
        <w:t xml:space="preserve"> Adequacy</w:t>
      </w:r>
    </w:p>
    <w:p w:rsidR="00C5486B" w:rsidRPr="00DF3CEE" w:rsidRDefault="00C5486B" w:rsidP="00DF089C">
      <w:pPr>
        <w:rPr>
          <w:i/>
          <w:lang w:val="en-GB"/>
        </w:rPr>
      </w:pPr>
    </w:p>
    <w:tbl>
      <w:tblPr>
        <w:tblW w:w="6951" w:type="dxa"/>
        <w:jc w:val="center"/>
        <w:tblLook w:val="04A0" w:firstRow="1" w:lastRow="0" w:firstColumn="1" w:lastColumn="0" w:noHBand="0" w:noVBand="1"/>
      </w:tblPr>
      <w:tblGrid>
        <w:gridCol w:w="1803"/>
        <w:gridCol w:w="2073"/>
        <w:gridCol w:w="3162"/>
      </w:tblGrid>
      <w:tr w:rsidR="002526A2" w:rsidTr="00BD76D9">
        <w:trPr>
          <w:trHeight w:val="308"/>
          <w:jc w:val="center"/>
        </w:trPr>
        <w:tc>
          <w:tcPr>
            <w:tcW w:w="1716" w:type="dxa"/>
            <w:tcBorders>
              <w:top w:val="single" w:sz="8" w:space="0" w:color="000000"/>
              <w:bottom w:val="single" w:sz="8" w:space="0" w:color="000000"/>
            </w:tcBorders>
            <w:shd w:val="clear" w:color="auto" w:fill="auto"/>
            <w:noWrap/>
            <w:vAlign w:val="center"/>
            <w:hideMark/>
          </w:tcPr>
          <w:p w:rsidR="004A62E8" w:rsidRPr="00DF3CEE" w:rsidRDefault="005E65B3" w:rsidP="00BD76D9">
            <w:pPr>
              <w:jc w:val="center"/>
              <w:rPr>
                <w:b/>
                <w:lang w:val="en-GB"/>
              </w:rPr>
            </w:pPr>
            <w:r w:rsidRPr="00DF3CEE">
              <w:rPr>
                <w:b/>
                <w:lang w:val="en-GB"/>
              </w:rPr>
              <w:t>Course</w:t>
            </w:r>
            <w:r w:rsidR="00B42A78" w:rsidRPr="00DF3CEE">
              <w:rPr>
                <w:b/>
                <w:lang w:val="en-GB"/>
              </w:rPr>
              <w:t>work</w:t>
            </w:r>
          </w:p>
        </w:tc>
        <w:tc>
          <w:tcPr>
            <w:tcW w:w="2073" w:type="dxa"/>
            <w:tcBorders>
              <w:top w:val="single" w:sz="8" w:space="0" w:color="000000"/>
              <w:bottom w:val="single" w:sz="8" w:space="0" w:color="000000"/>
            </w:tcBorders>
            <w:shd w:val="clear" w:color="auto" w:fill="auto"/>
            <w:noWrap/>
            <w:vAlign w:val="center"/>
            <w:hideMark/>
          </w:tcPr>
          <w:p w:rsidR="004A62E8" w:rsidRPr="00DF3CEE" w:rsidRDefault="005E65B3" w:rsidP="00BD76D9">
            <w:pPr>
              <w:jc w:val="center"/>
              <w:rPr>
                <w:b/>
                <w:lang w:val="en-GB"/>
              </w:rPr>
            </w:pPr>
            <w:r w:rsidRPr="00DF3CEE">
              <w:rPr>
                <w:b/>
                <w:lang w:val="en-GB"/>
              </w:rPr>
              <w:t>Weig</w:t>
            </w:r>
            <w:r w:rsidR="00386C7E" w:rsidRPr="00DF3CEE">
              <w:rPr>
                <w:b/>
                <w:lang w:val="en-GB"/>
              </w:rPr>
              <w:t>h</w:t>
            </w:r>
            <w:r w:rsidRPr="00DF3CEE">
              <w:rPr>
                <w:b/>
                <w:lang w:val="en-GB"/>
              </w:rPr>
              <w:t>ted Mean</w:t>
            </w:r>
          </w:p>
        </w:tc>
        <w:tc>
          <w:tcPr>
            <w:tcW w:w="3162" w:type="dxa"/>
            <w:tcBorders>
              <w:top w:val="single" w:sz="8" w:space="0" w:color="000000"/>
              <w:bottom w:val="single" w:sz="8" w:space="0" w:color="000000"/>
            </w:tcBorders>
            <w:shd w:val="clear" w:color="auto" w:fill="auto"/>
            <w:noWrap/>
            <w:vAlign w:val="center"/>
            <w:hideMark/>
          </w:tcPr>
          <w:p w:rsidR="004A62E8" w:rsidRPr="00DF3CEE" w:rsidRDefault="005E65B3" w:rsidP="00BD76D9">
            <w:pPr>
              <w:jc w:val="center"/>
              <w:rPr>
                <w:b/>
                <w:lang w:val="en-GB"/>
              </w:rPr>
            </w:pPr>
            <w:r w:rsidRPr="00DF3CEE">
              <w:rPr>
                <w:b/>
                <w:lang w:val="en-GB"/>
              </w:rPr>
              <w:t>Description</w:t>
            </w:r>
          </w:p>
        </w:tc>
      </w:tr>
      <w:tr w:rsidR="002526A2" w:rsidTr="00BD76D9">
        <w:trPr>
          <w:trHeight w:val="308"/>
          <w:jc w:val="center"/>
        </w:trPr>
        <w:tc>
          <w:tcPr>
            <w:tcW w:w="1716" w:type="dxa"/>
            <w:tcBorders>
              <w:top w:val="single" w:sz="8" w:space="0" w:color="000000"/>
            </w:tcBorders>
            <w:shd w:val="clear" w:color="auto" w:fill="auto"/>
            <w:noWrap/>
            <w:vAlign w:val="center"/>
            <w:hideMark/>
          </w:tcPr>
          <w:p w:rsidR="004A62E8" w:rsidRPr="00DF3CEE" w:rsidRDefault="005E65B3" w:rsidP="00BD76D9">
            <w:pPr>
              <w:jc w:val="center"/>
              <w:rPr>
                <w:lang w:val="en-GB"/>
              </w:rPr>
            </w:pPr>
            <w:r w:rsidRPr="00DF3CEE">
              <w:rPr>
                <w:lang w:val="en-GB"/>
              </w:rPr>
              <w:t xml:space="preserve">Basic </w:t>
            </w:r>
          </w:p>
        </w:tc>
        <w:tc>
          <w:tcPr>
            <w:tcW w:w="2073" w:type="dxa"/>
            <w:tcBorders>
              <w:top w:val="single" w:sz="8" w:space="0" w:color="000000"/>
            </w:tcBorders>
            <w:shd w:val="clear" w:color="auto" w:fill="auto"/>
            <w:noWrap/>
            <w:vAlign w:val="center"/>
            <w:hideMark/>
          </w:tcPr>
          <w:p w:rsidR="004A62E8" w:rsidRPr="00DF3CEE" w:rsidRDefault="005E65B3" w:rsidP="00BD76D9">
            <w:pPr>
              <w:jc w:val="center"/>
              <w:rPr>
                <w:lang w:val="en-GB"/>
              </w:rPr>
            </w:pPr>
            <w:r w:rsidRPr="00DF3CEE">
              <w:rPr>
                <w:lang w:val="en-GB"/>
              </w:rPr>
              <w:t>2.</w:t>
            </w:r>
            <w:r w:rsidR="00CD7158" w:rsidRPr="00DF3CEE">
              <w:rPr>
                <w:lang w:val="en-GB"/>
              </w:rPr>
              <w:t>9</w:t>
            </w:r>
            <w:r w:rsidRPr="00DF3CEE">
              <w:rPr>
                <w:lang w:val="en-GB"/>
              </w:rPr>
              <w:t>5</w:t>
            </w:r>
          </w:p>
        </w:tc>
        <w:tc>
          <w:tcPr>
            <w:tcW w:w="3162" w:type="dxa"/>
            <w:tcBorders>
              <w:top w:val="single" w:sz="8" w:space="0" w:color="000000"/>
            </w:tcBorders>
            <w:shd w:val="clear" w:color="auto" w:fill="auto"/>
            <w:noWrap/>
            <w:vAlign w:val="center"/>
            <w:hideMark/>
          </w:tcPr>
          <w:p w:rsidR="004A62E8" w:rsidRPr="00DF3CEE" w:rsidRDefault="005E65B3" w:rsidP="00BD76D9">
            <w:pPr>
              <w:jc w:val="center"/>
              <w:rPr>
                <w:lang w:val="en-GB"/>
              </w:rPr>
            </w:pPr>
            <w:r w:rsidRPr="00DF3CEE">
              <w:rPr>
                <w:lang w:val="en-GB"/>
              </w:rPr>
              <w:t>Moderately adequate</w:t>
            </w:r>
          </w:p>
        </w:tc>
      </w:tr>
      <w:tr w:rsidR="002526A2" w:rsidTr="00BD76D9">
        <w:trPr>
          <w:trHeight w:val="308"/>
          <w:jc w:val="center"/>
        </w:trPr>
        <w:tc>
          <w:tcPr>
            <w:tcW w:w="1716" w:type="dxa"/>
            <w:shd w:val="clear" w:color="auto" w:fill="auto"/>
            <w:noWrap/>
            <w:vAlign w:val="center"/>
            <w:hideMark/>
          </w:tcPr>
          <w:p w:rsidR="004A62E8" w:rsidRPr="00DF3CEE" w:rsidRDefault="005E65B3" w:rsidP="00BD76D9">
            <w:pPr>
              <w:jc w:val="center"/>
              <w:rPr>
                <w:lang w:val="en-GB"/>
              </w:rPr>
            </w:pPr>
            <w:r w:rsidRPr="00DF3CEE">
              <w:rPr>
                <w:lang w:val="en-GB"/>
              </w:rPr>
              <w:t>Major</w:t>
            </w:r>
            <w:r w:rsidR="00EB5E6B" w:rsidRPr="00DF3CEE">
              <w:rPr>
                <w:lang w:val="en-GB"/>
              </w:rPr>
              <w:t xml:space="preserve"> </w:t>
            </w:r>
          </w:p>
        </w:tc>
        <w:tc>
          <w:tcPr>
            <w:tcW w:w="2073" w:type="dxa"/>
            <w:shd w:val="clear" w:color="auto" w:fill="auto"/>
            <w:noWrap/>
            <w:vAlign w:val="center"/>
            <w:hideMark/>
          </w:tcPr>
          <w:p w:rsidR="004A62E8" w:rsidRPr="00DF3CEE" w:rsidRDefault="005E65B3" w:rsidP="00BD76D9">
            <w:pPr>
              <w:jc w:val="center"/>
              <w:rPr>
                <w:lang w:val="en-GB"/>
              </w:rPr>
            </w:pPr>
            <w:r w:rsidRPr="00DF3CEE">
              <w:rPr>
                <w:lang w:val="en-GB"/>
              </w:rPr>
              <w:t>3.69</w:t>
            </w:r>
          </w:p>
        </w:tc>
        <w:tc>
          <w:tcPr>
            <w:tcW w:w="3162" w:type="dxa"/>
            <w:shd w:val="clear" w:color="auto" w:fill="auto"/>
            <w:noWrap/>
            <w:vAlign w:val="center"/>
            <w:hideMark/>
          </w:tcPr>
          <w:p w:rsidR="004A62E8" w:rsidRPr="00DF3CEE" w:rsidRDefault="005E65B3" w:rsidP="00BD76D9">
            <w:pPr>
              <w:jc w:val="center"/>
              <w:rPr>
                <w:lang w:val="en-GB"/>
              </w:rPr>
            </w:pPr>
            <w:r w:rsidRPr="00DF3CEE">
              <w:rPr>
                <w:lang w:val="en-GB"/>
              </w:rPr>
              <w:t>Highly adequate</w:t>
            </w:r>
          </w:p>
        </w:tc>
      </w:tr>
      <w:tr w:rsidR="002526A2" w:rsidTr="00BD76D9">
        <w:trPr>
          <w:trHeight w:val="308"/>
          <w:jc w:val="center"/>
        </w:trPr>
        <w:tc>
          <w:tcPr>
            <w:tcW w:w="1716" w:type="dxa"/>
            <w:shd w:val="clear" w:color="auto" w:fill="auto"/>
            <w:noWrap/>
            <w:vAlign w:val="center"/>
            <w:hideMark/>
          </w:tcPr>
          <w:p w:rsidR="004A62E8" w:rsidRPr="00DF3CEE" w:rsidRDefault="005E65B3" w:rsidP="00BD76D9">
            <w:pPr>
              <w:jc w:val="center"/>
              <w:rPr>
                <w:lang w:val="en-GB"/>
              </w:rPr>
            </w:pPr>
            <w:r w:rsidRPr="00DF3CEE">
              <w:rPr>
                <w:lang w:val="en-GB"/>
              </w:rPr>
              <w:t>Electives</w:t>
            </w:r>
          </w:p>
        </w:tc>
        <w:tc>
          <w:tcPr>
            <w:tcW w:w="2073" w:type="dxa"/>
            <w:shd w:val="clear" w:color="auto" w:fill="auto"/>
            <w:noWrap/>
            <w:vAlign w:val="center"/>
            <w:hideMark/>
          </w:tcPr>
          <w:p w:rsidR="004A62E8" w:rsidRPr="00DF3CEE" w:rsidRDefault="005E65B3" w:rsidP="00BD76D9">
            <w:pPr>
              <w:jc w:val="center"/>
              <w:rPr>
                <w:lang w:val="en-GB"/>
              </w:rPr>
            </w:pPr>
            <w:r w:rsidRPr="00DF3CEE">
              <w:rPr>
                <w:lang w:val="en-GB"/>
              </w:rPr>
              <w:t>3.</w:t>
            </w:r>
            <w:r w:rsidR="001638EB" w:rsidRPr="00DF3CEE">
              <w:rPr>
                <w:lang w:val="en-GB"/>
              </w:rPr>
              <w:t>39</w:t>
            </w:r>
          </w:p>
        </w:tc>
        <w:tc>
          <w:tcPr>
            <w:tcW w:w="3162" w:type="dxa"/>
            <w:shd w:val="clear" w:color="auto" w:fill="auto"/>
            <w:noWrap/>
            <w:vAlign w:val="center"/>
            <w:hideMark/>
          </w:tcPr>
          <w:p w:rsidR="004A62E8" w:rsidRPr="00DF3CEE" w:rsidRDefault="005E65B3" w:rsidP="00BD76D9">
            <w:pPr>
              <w:jc w:val="center"/>
              <w:rPr>
                <w:lang w:val="en-GB"/>
              </w:rPr>
            </w:pPr>
            <w:r w:rsidRPr="00DF3CEE">
              <w:rPr>
                <w:lang w:val="en-GB"/>
              </w:rPr>
              <w:t>Highly adequate</w:t>
            </w:r>
          </w:p>
        </w:tc>
      </w:tr>
      <w:tr w:rsidR="002526A2" w:rsidTr="00BD76D9">
        <w:trPr>
          <w:trHeight w:val="308"/>
          <w:jc w:val="center"/>
        </w:trPr>
        <w:tc>
          <w:tcPr>
            <w:tcW w:w="1716" w:type="dxa"/>
            <w:shd w:val="clear" w:color="auto" w:fill="auto"/>
            <w:noWrap/>
            <w:vAlign w:val="center"/>
          </w:tcPr>
          <w:p w:rsidR="007B3A4A" w:rsidRPr="00DF3CEE" w:rsidRDefault="005E65B3" w:rsidP="00BD76D9">
            <w:pPr>
              <w:jc w:val="center"/>
              <w:rPr>
                <w:lang w:val="en-GB"/>
              </w:rPr>
            </w:pPr>
            <w:r w:rsidRPr="00DF3CEE">
              <w:rPr>
                <w:lang w:val="en-GB"/>
              </w:rPr>
              <w:t>Thesis/Capstone</w:t>
            </w:r>
          </w:p>
        </w:tc>
        <w:tc>
          <w:tcPr>
            <w:tcW w:w="2073" w:type="dxa"/>
            <w:shd w:val="clear" w:color="auto" w:fill="auto"/>
            <w:noWrap/>
            <w:vAlign w:val="center"/>
          </w:tcPr>
          <w:p w:rsidR="007B3A4A" w:rsidRPr="00DF3CEE" w:rsidRDefault="005E65B3" w:rsidP="00BD76D9">
            <w:pPr>
              <w:jc w:val="center"/>
              <w:rPr>
                <w:lang w:val="en-GB"/>
              </w:rPr>
            </w:pPr>
            <w:r w:rsidRPr="00DF3CEE">
              <w:rPr>
                <w:lang w:val="en-GB"/>
              </w:rPr>
              <w:t>3.86</w:t>
            </w:r>
          </w:p>
        </w:tc>
        <w:tc>
          <w:tcPr>
            <w:tcW w:w="3162" w:type="dxa"/>
            <w:shd w:val="clear" w:color="auto" w:fill="auto"/>
            <w:noWrap/>
            <w:vAlign w:val="center"/>
          </w:tcPr>
          <w:p w:rsidR="007B3A4A" w:rsidRPr="00DF3CEE" w:rsidRDefault="005E65B3" w:rsidP="00BD76D9">
            <w:pPr>
              <w:jc w:val="center"/>
              <w:rPr>
                <w:lang w:val="en-GB"/>
              </w:rPr>
            </w:pPr>
            <w:r w:rsidRPr="00DF3CEE">
              <w:rPr>
                <w:lang w:val="en-GB"/>
              </w:rPr>
              <w:t>Highly adequate</w:t>
            </w:r>
          </w:p>
        </w:tc>
      </w:tr>
      <w:tr w:rsidR="002526A2" w:rsidTr="00BD76D9">
        <w:trPr>
          <w:trHeight w:val="308"/>
          <w:jc w:val="center"/>
        </w:trPr>
        <w:tc>
          <w:tcPr>
            <w:tcW w:w="1716" w:type="dxa"/>
            <w:tcBorders>
              <w:bottom w:val="single" w:sz="8" w:space="0" w:color="000000"/>
            </w:tcBorders>
            <w:shd w:val="clear" w:color="auto" w:fill="auto"/>
            <w:noWrap/>
            <w:vAlign w:val="center"/>
            <w:hideMark/>
          </w:tcPr>
          <w:p w:rsidR="004A62E8" w:rsidRPr="00DF3CEE" w:rsidRDefault="005E65B3" w:rsidP="00BD76D9">
            <w:pPr>
              <w:jc w:val="center"/>
              <w:rPr>
                <w:b/>
                <w:bCs/>
                <w:lang w:val="en-GB"/>
              </w:rPr>
            </w:pPr>
            <w:r w:rsidRPr="00DF3CEE">
              <w:rPr>
                <w:b/>
                <w:bCs/>
                <w:lang w:val="en-GB"/>
              </w:rPr>
              <w:t>Overall</w:t>
            </w:r>
          </w:p>
        </w:tc>
        <w:tc>
          <w:tcPr>
            <w:tcW w:w="2073" w:type="dxa"/>
            <w:tcBorders>
              <w:bottom w:val="single" w:sz="8" w:space="0" w:color="000000"/>
            </w:tcBorders>
            <w:shd w:val="clear" w:color="auto" w:fill="auto"/>
            <w:noWrap/>
            <w:vAlign w:val="center"/>
            <w:hideMark/>
          </w:tcPr>
          <w:p w:rsidR="004A62E8" w:rsidRPr="00DF3CEE" w:rsidRDefault="005E65B3" w:rsidP="00BD76D9">
            <w:pPr>
              <w:jc w:val="center"/>
              <w:rPr>
                <w:b/>
                <w:bCs/>
                <w:lang w:val="en-GB"/>
              </w:rPr>
            </w:pPr>
            <w:r w:rsidRPr="00DF3CEE">
              <w:rPr>
                <w:b/>
                <w:bCs/>
                <w:lang w:val="en-GB"/>
              </w:rPr>
              <w:t>3.</w:t>
            </w:r>
            <w:r w:rsidR="00121AFD" w:rsidRPr="00DF3CEE">
              <w:rPr>
                <w:b/>
                <w:bCs/>
                <w:lang w:val="en-GB"/>
              </w:rPr>
              <w:t>47</w:t>
            </w:r>
          </w:p>
        </w:tc>
        <w:tc>
          <w:tcPr>
            <w:tcW w:w="3162" w:type="dxa"/>
            <w:tcBorders>
              <w:bottom w:val="single" w:sz="8" w:space="0" w:color="000000"/>
            </w:tcBorders>
            <w:shd w:val="clear" w:color="auto" w:fill="auto"/>
            <w:noWrap/>
            <w:vAlign w:val="center"/>
            <w:hideMark/>
          </w:tcPr>
          <w:p w:rsidR="004A62E8" w:rsidRPr="00DF3CEE" w:rsidRDefault="005E65B3" w:rsidP="00BD76D9">
            <w:pPr>
              <w:jc w:val="center"/>
              <w:rPr>
                <w:b/>
                <w:bCs/>
                <w:lang w:val="en-GB"/>
              </w:rPr>
            </w:pPr>
            <w:r w:rsidRPr="00DF3CEE">
              <w:rPr>
                <w:b/>
                <w:bCs/>
                <w:lang w:val="en-GB"/>
              </w:rPr>
              <w:t>Highly adequate</w:t>
            </w:r>
          </w:p>
        </w:tc>
      </w:tr>
    </w:tbl>
    <w:p w:rsidR="004A62E8" w:rsidRPr="00DF3CEE" w:rsidRDefault="004A62E8" w:rsidP="00DF089C">
      <w:pPr>
        <w:rPr>
          <w:lang w:val="en-GB"/>
        </w:rPr>
      </w:pPr>
    </w:p>
    <w:p w:rsidR="00EE6590" w:rsidRPr="00DF3CEE" w:rsidRDefault="005E65B3" w:rsidP="00EE6BC2">
      <w:pPr>
        <w:jc w:val="both"/>
        <w:rPr>
          <w:lang w:val="en-GB"/>
        </w:rPr>
      </w:pPr>
      <w:r w:rsidRPr="00DF3CEE">
        <w:rPr>
          <w:lang w:val="en-GB"/>
        </w:rPr>
        <w:t xml:space="preserve">Table 3 </w:t>
      </w:r>
      <w:r w:rsidR="008C1B97" w:rsidRPr="00DF3CEE">
        <w:rPr>
          <w:lang w:val="en-GB"/>
        </w:rPr>
        <w:t xml:space="preserve">shows </w:t>
      </w:r>
      <w:r w:rsidRPr="00DF3CEE">
        <w:rPr>
          <w:lang w:val="en-GB"/>
        </w:rPr>
        <w:t xml:space="preserve">the program coursework’s adequacy. </w:t>
      </w:r>
      <w:r w:rsidR="00BD123E" w:rsidRPr="00DF3CEE">
        <w:rPr>
          <w:lang w:val="en-GB"/>
        </w:rPr>
        <w:t>Only introductory coursework, with a rating of 2.95, is moderately adequate</w:t>
      </w:r>
      <w:r w:rsidR="00ED5F89" w:rsidRPr="00DF3CEE">
        <w:rPr>
          <w:lang w:val="en-GB"/>
        </w:rPr>
        <w:t>, while other course coursework, major, electives, and thesis/capstone ha</w:t>
      </w:r>
      <w:r w:rsidR="005F29D5" w:rsidRPr="00DF3CEE">
        <w:rPr>
          <w:lang w:val="en-GB"/>
        </w:rPr>
        <w:t>ve a mean rating of 3.69, 3.39, and 3.86, respectively. The overall result reflects a highly adequate rating of 3.47. This finding espoused that program graduates spend</w:t>
      </w:r>
      <w:r w:rsidR="00EE6BC2" w:rsidRPr="00DF3CEE">
        <w:rPr>
          <w:lang w:val="en-GB"/>
        </w:rPr>
        <w:t xml:space="preserve"> more time on the major, electives, and thesis/capstone</w:t>
      </w:r>
      <w:r w:rsidR="0070729C" w:rsidRPr="00DF3CEE">
        <w:rPr>
          <w:lang w:val="en-GB"/>
        </w:rPr>
        <w:t>,</w:t>
      </w:r>
      <w:r w:rsidR="00EE6BC2" w:rsidRPr="00DF3CEE">
        <w:rPr>
          <w:lang w:val="en-GB"/>
        </w:rPr>
        <w:t xml:space="preserve"> </w:t>
      </w:r>
      <w:r w:rsidR="00186825" w:rsidRPr="00DF3CEE">
        <w:rPr>
          <w:lang w:val="en-GB"/>
        </w:rPr>
        <w:t xml:space="preserve">which </w:t>
      </w:r>
      <w:r w:rsidR="00EB5E6B" w:rsidRPr="00DF3CEE">
        <w:rPr>
          <w:lang w:val="en-GB"/>
        </w:rPr>
        <w:t>is crucial in</w:t>
      </w:r>
      <w:r w:rsidR="00186825" w:rsidRPr="00DF3CEE">
        <w:rPr>
          <w:lang w:val="en-GB"/>
        </w:rPr>
        <w:t xml:space="preserve"> concept proposal</w:t>
      </w:r>
      <w:r w:rsidR="0070729C" w:rsidRPr="00DF3CEE">
        <w:rPr>
          <w:lang w:val="en-GB"/>
        </w:rPr>
        <w:t>-</w:t>
      </w:r>
      <w:r w:rsidR="00186825" w:rsidRPr="00DF3CEE">
        <w:rPr>
          <w:lang w:val="en-GB"/>
        </w:rPr>
        <w:t>making and thesis defence activities.</w:t>
      </w:r>
    </w:p>
    <w:p w:rsidR="00087218" w:rsidRPr="00DF3CEE" w:rsidRDefault="00087218" w:rsidP="00DF089C">
      <w:pPr>
        <w:rPr>
          <w:lang w:val="en-GB"/>
        </w:rPr>
      </w:pPr>
    </w:p>
    <w:p w:rsidR="0072654C" w:rsidRPr="00DF3CEE" w:rsidRDefault="005E65B3" w:rsidP="00DF089C">
      <w:pPr>
        <w:rPr>
          <w:b/>
          <w:lang w:val="en-GB"/>
        </w:rPr>
      </w:pPr>
      <w:r w:rsidRPr="00DF3CEE">
        <w:rPr>
          <w:b/>
          <w:lang w:val="en-GB"/>
        </w:rPr>
        <w:lastRenderedPageBreak/>
        <w:t>5.4. Program Content’s Applicability</w:t>
      </w:r>
    </w:p>
    <w:p w:rsidR="00407749" w:rsidRPr="00DF3CEE" w:rsidRDefault="00407749" w:rsidP="00DF089C">
      <w:pPr>
        <w:rPr>
          <w:b/>
          <w:lang w:val="en-GB"/>
        </w:rPr>
      </w:pPr>
    </w:p>
    <w:p w:rsidR="000948EE" w:rsidRPr="004B3FEB" w:rsidRDefault="005E65B3" w:rsidP="00DF089C">
      <w:pPr>
        <w:rPr>
          <w:b/>
          <w:lang w:val="en-GB"/>
        </w:rPr>
      </w:pPr>
      <w:r w:rsidRPr="00DF3CEE">
        <w:rPr>
          <w:b/>
          <w:lang w:val="en-GB"/>
        </w:rPr>
        <w:t>Table 4</w:t>
      </w:r>
      <w:r w:rsidR="004B3FEB">
        <w:rPr>
          <w:b/>
          <w:lang w:val="en-GB"/>
        </w:rPr>
        <w:t xml:space="preserve">: </w:t>
      </w:r>
      <w:r w:rsidRPr="00DF3CEE">
        <w:rPr>
          <w:i/>
          <w:lang w:val="en-GB"/>
        </w:rPr>
        <w:t xml:space="preserve">Program </w:t>
      </w:r>
      <w:r w:rsidR="00D479C4" w:rsidRPr="00DF3CEE">
        <w:rPr>
          <w:i/>
          <w:lang w:val="en-GB"/>
        </w:rPr>
        <w:t>Coursework’s</w:t>
      </w:r>
      <w:r w:rsidRPr="00DF3CEE">
        <w:rPr>
          <w:i/>
          <w:lang w:val="en-GB"/>
        </w:rPr>
        <w:t xml:space="preserve"> A</w:t>
      </w:r>
      <w:r w:rsidR="00055867">
        <w:rPr>
          <w:i/>
          <w:lang w:val="en-GB"/>
        </w:rPr>
        <w:t>pplicability</w:t>
      </w:r>
    </w:p>
    <w:p w:rsidR="00C5486B" w:rsidRPr="00DF3CEE" w:rsidRDefault="00C5486B" w:rsidP="00DF089C">
      <w:pPr>
        <w:rPr>
          <w:i/>
          <w:lang w:val="en-GB"/>
        </w:rPr>
      </w:pPr>
    </w:p>
    <w:tbl>
      <w:tblPr>
        <w:tblW w:w="6337" w:type="dxa"/>
        <w:jc w:val="center"/>
        <w:tblLook w:val="04A0" w:firstRow="1" w:lastRow="0" w:firstColumn="1" w:lastColumn="0" w:noHBand="0" w:noVBand="1"/>
      </w:tblPr>
      <w:tblGrid>
        <w:gridCol w:w="1565"/>
        <w:gridCol w:w="1890"/>
        <w:gridCol w:w="2882"/>
      </w:tblGrid>
      <w:tr w:rsidR="002526A2" w:rsidTr="00E126C0">
        <w:trPr>
          <w:trHeight w:val="281"/>
          <w:jc w:val="center"/>
        </w:trPr>
        <w:tc>
          <w:tcPr>
            <w:tcW w:w="1565" w:type="dxa"/>
            <w:tcBorders>
              <w:top w:val="single" w:sz="8" w:space="0" w:color="000000"/>
              <w:bottom w:val="single" w:sz="8" w:space="0" w:color="000000"/>
            </w:tcBorders>
            <w:shd w:val="clear" w:color="auto" w:fill="auto"/>
            <w:noWrap/>
            <w:vAlign w:val="center"/>
            <w:hideMark/>
          </w:tcPr>
          <w:p w:rsidR="0072654C" w:rsidRPr="00DF3CEE" w:rsidRDefault="005E65B3" w:rsidP="0072654C">
            <w:pPr>
              <w:jc w:val="center"/>
              <w:rPr>
                <w:b/>
                <w:lang w:val="en-GB"/>
              </w:rPr>
            </w:pPr>
            <w:r w:rsidRPr="00DF3CEE">
              <w:rPr>
                <w:b/>
                <w:lang w:val="en-GB"/>
              </w:rPr>
              <w:t>Coursework</w:t>
            </w:r>
          </w:p>
        </w:tc>
        <w:tc>
          <w:tcPr>
            <w:tcW w:w="1890" w:type="dxa"/>
            <w:tcBorders>
              <w:top w:val="single" w:sz="8" w:space="0" w:color="000000"/>
              <w:bottom w:val="single" w:sz="8" w:space="0" w:color="000000"/>
            </w:tcBorders>
            <w:shd w:val="clear" w:color="auto" w:fill="auto"/>
            <w:noWrap/>
            <w:vAlign w:val="center"/>
            <w:hideMark/>
          </w:tcPr>
          <w:p w:rsidR="0072654C" w:rsidRPr="00DF3CEE" w:rsidRDefault="005E65B3" w:rsidP="0072654C">
            <w:pPr>
              <w:jc w:val="center"/>
              <w:rPr>
                <w:b/>
                <w:lang w:val="en-GB"/>
              </w:rPr>
            </w:pPr>
            <w:r w:rsidRPr="00DF3CEE">
              <w:rPr>
                <w:b/>
                <w:lang w:val="en-GB"/>
              </w:rPr>
              <w:t>Weighted Mean</w:t>
            </w:r>
          </w:p>
        </w:tc>
        <w:tc>
          <w:tcPr>
            <w:tcW w:w="2882" w:type="dxa"/>
            <w:tcBorders>
              <w:top w:val="single" w:sz="8" w:space="0" w:color="000000"/>
              <w:bottom w:val="single" w:sz="8" w:space="0" w:color="000000"/>
            </w:tcBorders>
            <w:shd w:val="clear" w:color="auto" w:fill="auto"/>
            <w:noWrap/>
            <w:vAlign w:val="center"/>
            <w:hideMark/>
          </w:tcPr>
          <w:p w:rsidR="0072654C" w:rsidRPr="00DF3CEE" w:rsidRDefault="005E65B3" w:rsidP="0072654C">
            <w:pPr>
              <w:jc w:val="center"/>
              <w:rPr>
                <w:b/>
                <w:lang w:val="en-GB"/>
              </w:rPr>
            </w:pPr>
            <w:r w:rsidRPr="00DF3CEE">
              <w:rPr>
                <w:b/>
                <w:lang w:val="en-GB"/>
              </w:rPr>
              <w:t>Description</w:t>
            </w:r>
          </w:p>
        </w:tc>
      </w:tr>
      <w:tr w:rsidR="002526A2" w:rsidTr="00E126C0">
        <w:trPr>
          <w:trHeight w:val="281"/>
          <w:jc w:val="center"/>
        </w:trPr>
        <w:tc>
          <w:tcPr>
            <w:tcW w:w="1565" w:type="dxa"/>
            <w:tcBorders>
              <w:top w:val="single" w:sz="8" w:space="0" w:color="000000"/>
            </w:tcBorders>
            <w:shd w:val="clear" w:color="auto" w:fill="auto"/>
            <w:noWrap/>
            <w:vAlign w:val="center"/>
            <w:hideMark/>
          </w:tcPr>
          <w:p w:rsidR="0072654C" w:rsidRPr="00DF3CEE" w:rsidRDefault="005E65B3" w:rsidP="0072654C">
            <w:pPr>
              <w:jc w:val="center"/>
              <w:rPr>
                <w:lang w:val="en-GB"/>
              </w:rPr>
            </w:pPr>
            <w:r w:rsidRPr="00DF3CEE">
              <w:rPr>
                <w:lang w:val="en-GB"/>
              </w:rPr>
              <w:t>Basic</w:t>
            </w:r>
          </w:p>
        </w:tc>
        <w:tc>
          <w:tcPr>
            <w:tcW w:w="1890" w:type="dxa"/>
            <w:tcBorders>
              <w:top w:val="single" w:sz="8" w:space="0" w:color="000000"/>
            </w:tcBorders>
            <w:shd w:val="clear" w:color="auto" w:fill="auto"/>
            <w:noWrap/>
            <w:vAlign w:val="center"/>
            <w:hideMark/>
          </w:tcPr>
          <w:p w:rsidR="0072654C" w:rsidRPr="00DF3CEE" w:rsidRDefault="005E65B3" w:rsidP="0072654C">
            <w:pPr>
              <w:jc w:val="center"/>
              <w:rPr>
                <w:lang w:val="en-GB"/>
              </w:rPr>
            </w:pPr>
            <w:r w:rsidRPr="00DF3CEE">
              <w:rPr>
                <w:lang w:val="en-GB"/>
              </w:rPr>
              <w:t>3.44</w:t>
            </w:r>
          </w:p>
        </w:tc>
        <w:tc>
          <w:tcPr>
            <w:tcW w:w="2882" w:type="dxa"/>
            <w:tcBorders>
              <w:top w:val="single" w:sz="8" w:space="0" w:color="000000"/>
            </w:tcBorders>
            <w:shd w:val="clear" w:color="auto" w:fill="auto"/>
            <w:noWrap/>
            <w:vAlign w:val="center"/>
            <w:hideMark/>
          </w:tcPr>
          <w:p w:rsidR="0072654C" w:rsidRPr="00DF3CEE" w:rsidRDefault="005E65B3" w:rsidP="0072654C">
            <w:pPr>
              <w:jc w:val="center"/>
              <w:rPr>
                <w:lang w:val="en-GB"/>
              </w:rPr>
            </w:pPr>
            <w:r w:rsidRPr="00DF3CEE">
              <w:rPr>
                <w:lang w:val="en-GB"/>
              </w:rPr>
              <w:t>Highly applicable</w:t>
            </w:r>
          </w:p>
        </w:tc>
      </w:tr>
      <w:tr w:rsidR="002526A2" w:rsidTr="00E126C0">
        <w:trPr>
          <w:trHeight w:val="281"/>
          <w:jc w:val="center"/>
        </w:trPr>
        <w:tc>
          <w:tcPr>
            <w:tcW w:w="1565" w:type="dxa"/>
            <w:shd w:val="clear" w:color="auto" w:fill="auto"/>
            <w:noWrap/>
            <w:vAlign w:val="center"/>
            <w:hideMark/>
          </w:tcPr>
          <w:p w:rsidR="0072654C" w:rsidRPr="00DF3CEE" w:rsidRDefault="005E65B3" w:rsidP="0072654C">
            <w:pPr>
              <w:jc w:val="center"/>
              <w:rPr>
                <w:lang w:val="en-GB"/>
              </w:rPr>
            </w:pPr>
            <w:r w:rsidRPr="00DF3CEE">
              <w:rPr>
                <w:lang w:val="en-GB"/>
              </w:rPr>
              <w:t>Major</w:t>
            </w:r>
          </w:p>
        </w:tc>
        <w:tc>
          <w:tcPr>
            <w:tcW w:w="1890" w:type="dxa"/>
            <w:shd w:val="clear" w:color="auto" w:fill="auto"/>
            <w:noWrap/>
            <w:vAlign w:val="center"/>
            <w:hideMark/>
          </w:tcPr>
          <w:p w:rsidR="0072654C" w:rsidRPr="00DF3CEE" w:rsidRDefault="005E65B3" w:rsidP="0072654C">
            <w:pPr>
              <w:jc w:val="center"/>
              <w:rPr>
                <w:lang w:val="en-GB"/>
              </w:rPr>
            </w:pPr>
            <w:r w:rsidRPr="00DF3CEE">
              <w:rPr>
                <w:lang w:val="en-GB"/>
              </w:rPr>
              <w:t>3.40</w:t>
            </w:r>
          </w:p>
        </w:tc>
        <w:tc>
          <w:tcPr>
            <w:tcW w:w="2882" w:type="dxa"/>
            <w:shd w:val="clear" w:color="auto" w:fill="auto"/>
            <w:noWrap/>
            <w:vAlign w:val="center"/>
            <w:hideMark/>
          </w:tcPr>
          <w:p w:rsidR="0072654C" w:rsidRPr="00DF3CEE" w:rsidRDefault="005E65B3" w:rsidP="0072654C">
            <w:pPr>
              <w:jc w:val="center"/>
              <w:rPr>
                <w:lang w:val="en-GB"/>
              </w:rPr>
            </w:pPr>
            <w:r w:rsidRPr="00DF3CEE">
              <w:rPr>
                <w:lang w:val="en-GB"/>
              </w:rPr>
              <w:t>Highly applicable</w:t>
            </w:r>
          </w:p>
        </w:tc>
      </w:tr>
      <w:tr w:rsidR="002526A2" w:rsidTr="00E126C0">
        <w:trPr>
          <w:trHeight w:val="281"/>
          <w:jc w:val="center"/>
        </w:trPr>
        <w:tc>
          <w:tcPr>
            <w:tcW w:w="1565" w:type="dxa"/>
            <w:shd w:val="clear" w:color="auto" w:fill="auto"/>
            <w:noWrap/>
            <w:vAlign w:val="center"/>
            <w:hideMark/>
          </w:tcPr>
          <w:p w:rsidR="0072654C" w:rsidRPr="00DF3CEE" w:rsidRDefault="005E65B3" w:rsidP="0072654C">
            <w:pPr>
              <w:jc w:val="center"/>
              <w:rPr>
                <w:lang w:val="en-GB"/>
              </w:rPr>
            </w:pPr>
            <w:r w:rsidRPr="00DF3CEE">
              <w:rPr>
                <w:lang w:val="en-GB"/>
              </w:rPr>
              <w:t>Electives</w:t>
            </w:r>
          </w:p>
        </w:tc>
        <w:tc>
          <w:tcPr>
            <w:tcW w:w="1890" w:type="dxa"/>
            <w:shd w:val="clear" w:color="auto" w:fill="auto"/>
            <w:noWrap/>
            <w:vAlign w:val="center"/>
            <w:hideMark/>
          </w:tcPr>
          <w:p w:rsidR="0072654C" w:rsidRPr="00DF3CEE" w:rsidRDefault="005E65B3" w:rsidP="0072654C">
            <w:pPr>
              <w:jc w:val="center"/>
              <w:rPr>
                <w:lang w:val="en-GB"/>
              </w:rPr>
            </w:pPr>
            <w:r w:rsidRPr="00DF3CEE">
              <w:rPr>
                <w:lang w:val="en-GB"/>
              </w:rPr>
              <w:t>3.67</w:t>
            </w:r>
          </w:p>
        </w:tc>
        <w:tc>
          <w:tcPr>
            <w:tcW w:w="2882" w:type="dxa"/>
            <w:shd w:val="clear" w:color="auto" w:fill="auto"/>
            <w:noWrap/>
            <w:vAlign w:val="center"/>
            <w:hideMark/>
          </w:tcPr>
          <w:p w:rsidR="0072654C" w:rsidRPr="00DF3CEE" w:rsidRDefault="005E65B3" w:rsidP="0072654C">
            <w:pPr>
              <w:jc w:val="center"/>
              <w:rPr>
                <w:lang w:val="en-GB"/>
              </w:rPr>
            </w:pPr>
            <w:r w:rsidRPr="00DF3CEE">
              <w:rPr>
                <w:lang w:val="en-GB"/>
              </w:rPr>
              <w:t>Highly applicable</w:t>
            </w:r>
          </w:p>
        </w:tc>
      </w:tr>
      <w:tr w:rsidR="002526A2" w:rsidTr="00E126C0">
        <w:trPr>
          <w:trHeight w:val="281"/>
          <w:jc w:val="center"/>
        </w:trPr>
        <w:tc>
          <w:tcPr>
            <w:tcW w:w="1565" w:type="dxa"/>
            <w:shd w:val="clear" w:color="auto" w:fill="auto"/>
            <w:noWrap/>
            <w:vAlign w:val="center"/>
            <w:hideMark/>
          </w:tcPr>
          <w:p w:rsidR="0072654C" w:rsidRPr="00DF3CEE" w:rsidRDefault="005E65B3" w:rsidP="0072654C">
            <w:pPr>
              <w:jc w:val="center"/>
              <w:rPr>
                <w:lang w:val="en-GB"/>
              </w:rPr>
            </w:pPr>
            <w:r w:rsidRPr="00DF3CEE">
              <w:rPr>
                <w:lang w:val="en-GB"/>
              </w:rPr>
              <w:t>Thesis</w:t>
            </w:r>
          </w:p>
        </w:tc>
        <w:tc>
          <w:tcPr>
            <w:tcW w:w="1890" w:type="dxa"/>
            <w:shd w:val="clear" w:color="auto" w:fill="auto"/>
            <w:noWrap/>
            <w:vAlign w:val="center"/>
            <w:hideMark/>
          </w:tcPr>
          <w:p w:rsidR="0072654C" w:rsidRPr="00DF3CEE" w:rsidRDefault="005E65B3" w:rsidP="0072654C">
            <w:pPr>
              <w:jc w:val="center"/>
              <w:rPr>
                <w:lang w:val="en-GB"/>
              </w:rPr>
            </w:pPr>
            <w:r w:rsidRPr="00DF3CEE">
              <w:rPr>
                <w:lang w:val="en-GB"/>
              </w:rPr>
              <w:t>3.55</w:t>
            </w:r>
          </w:p>
        </w:tc>
        <w:tc>
          <w:tcPr>
            <w:tcW w:w="2882" w:type="dxa"/>
            <w:shd w:val="clear" w:color="auto" w:fill="auto"/>
            <w:noWrap/>
            <w:vAlign w:val="center"/>
            <w:hideMark/>
          </w:tcPr>
          <w:p w:rsidR="0072654C" w:rsidRPr="00DF3CEE" w:rsidRDefault="005E65B3" w:rsidP="0072654C">
            <w:pPr>
              <w:jc w:val="center"/>
              <w:rPr>
                <w:lang w:val="en-GB"/>
              </w:rPr>
            </w:pPr>
            <w:r w:rsidRPr="00DF3CEE">
              <w:rPr>
                <w:lang w:val="en-GB"/>
              </w:rPr>
              <w:t>Highly applicable</w:t>
            </w:r>
          </w:p>
        </w:tc>
      </w:tr>
      <w:tr w:rsidR="002526A2" w:rsidTr="00E126C0">
        <w:trPr>
          <w:trHeight w:val="281"/>
          <w:jc w:val="center"/>
        </w:trPr>
        <w:tc>
          <w:tcPr>
            <w:tcW w:w="1565" w:type="dxa"/>
            <w:tcBorders>
              <w:bottom w:val="single" w:sz="8" w:space="0" w:color="000000"/>
            </w:tcBorders>
            <w:shd w:val="clear" w:color="auto" w:fill="auto"/>
            <w:noWrap/>
            <w:vAlign w:val="center"/>
            <w:hideMark/>
          </w:tcPr>
          <w:p w:rsidR="0072654C" w:rsidRPr="00DF3CEE" w:rsidRDefault="005E65B3" w:rsidP="0072654C">
            <w:pPr>
              <w:jc w:val="center"/>
              <w:rPr>
                <w:b/>
                <w:bCs/>
                <w:lang w:val="en-GB"/>
              </w:rPr>
            </w:pPr>
            <w:r w:rsidRPr="00DF3CEE">
              <w:rPr>
                <w:b/>
                <w:bCs/>
                <w:lang w:val="en-GB"/>
              </w:rPr>
              <w:t>Overall</w:t>
            </w:r>
          </w:p>
        </w:tc>
        <w:tc>
          <w:tcPr>
            <w:tcW w:w="1890" w:type="dxa"/>
            <w:tcBorders>
              <w:bottom w:val="single" w:sz="8" w:space="0" w:color="000000"/>
            </w:tcBorders>
            <w:shd w:val="clear" w:color="auto" w:fill="auto"/>
            <w:noWrap/>
            <w:vAlign w:val="center"/>
            <w:hideMark/>
          </w:tcPr>
          <w:p w:rsidR="0072654C" w:rsidRPr="00DF3CEE" w:rsidRDefault="005E65B3" w:rsidP="0072654C">
            <w:pPr>
              <w:jc w:val="center"/>
              <w:rPr>
                <w:b/>
                <w:bCs/>
                <w:lang w:val="en-GB"/>
              </w:rPr>
            </w:pPr>
            <w:r w:rsidRPr="00DF3CEE">
              <w:rPr>
                <w:b/>
                <w:bCs/>
                <w:lang w:val="en-GB"/>
              </w:rPr>
              <w:t>3.5</w:t>
            </w:r>
            <w:r w:rsidR="00D479C4" w:rsidRPr="00DF3CEE">
              <w:rPr>
                <w:b/>
                <w:bCs/>
                <w:lang w:val="en-GB"/>
              </w:rPr>
              <w:t>1</w:t>
            </w:r>
          </w:p>
        </w:tc>
        <w:tc>
          <w:tcPr>
            <w:tcW w:w="2882" w:type="dxa"/>
            <w:tcBorders>
              <w:bottom w:val="single" w:sz="8" w:space="0" w:color="000000"/>
            </w:tcBorders>
            <w:shd w:val="clear" w:color="auto" w:fill="auto"/>
            <w:noWrap/>
            <w:vAlign w:val="center"/>
            <w:hideMark/>
          </w:tcPr>
          <w:p w:rsidR="0072654C" w:rsidRPr="00DF3CEE" w:rsidRDefault="005E65B3" w:rsidP="0072654C">
            <w:pPr>
              <w:jc w:val="center"/>
              <w:rPr>
                <w:b/>
                <w:bCs/>
                <w:lang w:val="en-GB"/>
              </w:rPr>
            </w:pPr>
            <w:r w:rsidRPr="00DF3CEE">
              <w:rPr>
                <w:b/>
                <w:bCs/>
                <w:lang w:val="en-GB"/>
              </w:rPr>
              <w:t>Highly applicable</w:t>
            </w:r>
          </w:p>
        </w:tc>
      </w:tr>
    </w:tbl>
    <w:p w:rsidR="00977215" w:rsidRPr="00DF3CEE" w:rsidRDefault="00977215" w:rsidP="00DF089C">
      <w:pPr>
        <w:rPr>
          <w:lang w:val="en-GB"/>
        </w:rPr>
      </w:pPr>
    </w:p>
    <w:p w:rsidR="00A96A0E" w:rsidRPr="00DF3CEE" w:rsidRDefault="005E65B3" w:rsidP="00C87E61">
      <w:pPr>
        <w:jc w:val="both"/>
        <w:rPr>
          <w:lang w:val="en-GB"/>
        </w:rPr>
      </w:pPr>
      <w:r w:rsidRPr="00DF3CEE">
        <w:rPr>
          <w:lang w:val="en-GB"/>
        </w:rPr>
        <w:t xml:space="preserve">Table 4 shows the coursework’s adequacy. The overall result revealed a highly applicable rating </w:t>
      </w:r>
      <w:r w:rsidR="00680CF4" w:rsidRPr="00DF3CEE">
        <w:rPr>
          <w:lang w:val="en-GB"/>
        </w:rPr>
        <w:t>of 3.51</w:t>
      </w:r>
      <w:r w:rsidR="002F0798" w:rsidRPr="00DF3CEE">
        <w:rPr>
          <w:lang w:val="en-GB"/>
        </w:rPr>
        <w:t xml:space="preserve"> in all coursework</w:t>
      </w:r>
      <w:r w:rsidR="00680CF4" w:rsidRPr="00DF3CEE">
        <w:rPr>
          <w:lang w:val="en-GB"/>
        </w:rPr>
        <w:t xml:space="preserve">. This finding </w:t>
      </w:r>
      <w:r w:rsidR="00F51289" w:rsidRPr="00DF3CEE">
        <w:rPr>
          <w:lang w:val="en-GB"/>
        </w:rPr>
        <w:t xml:space="preserve">exhibits </w:t>
      </w:r>
      <w:r w:rsidR="00770188" w:rsidRPr="00DF3CEE">
        <w:rPr>
          <w:lang w:val="en-GB"/>
        </w:rPr>
        <w:t>that all coursework acquired by the students w</w:t>
      </w:r>
      <w:r w:rsidR="0070729C" w:rsidRPr="00DF3CEE">
        <w:rPr>
          <w:lang w:val="en-GB"/>
        </w:rPr>
        <w:t>as</w:t>
      </w:r>
      <w:r w:rsidR="00770188" w:rsidRPr="00DF3CEE">
        <w:rPr>
          <w:lang w:val="en-GB"/>
        </w:rPr>
        <w:t xml:space="preserve"> applied in their workplace.</w:t>
      </w:r>
      <w:r w:rsidR="008F567A" w:rsidRPr="00DF3CEE">
        <w:rPr>
          <w:lang w:val="en-GB"/>
        </w:rPr>
        <w:t xml:space="preserve"> This result implied that after graduation from the program, graduates were permanently hired and promoted as expected in the DBM and CHED Joint Circular No. 01, series of 2022. </w:t>
      </w:r>
    </w:p>
    <w:p w:rsidR="00A96A0E" w:rsidRPr="00DF3CEE" w:rsidRDefault="00A96A0E" w:rsidP="00DF089C">
      <w:pPr>
        <w:rPr>
          <w:lang w:val="en-GB"/>
        </w:rPr>
      </w:pPr>
    </w:p>
    <w:p w:rsidR="00DF3CEE" w:rsidRDefault="005E65B3" w:rsidP="00DF089C">
      <w:pPr>
        <w:rPr>
          <w:b/>
          <w:lang w:val="en-GB"/>
        </w:rPr>
      </w:pPr>
      <w:r w:rsidRPr="00DF3CEE">
        <w:rPr>
          <w:b/>
          <w:lang w:val="en-GB"/>
        </w:rPr>
        <w:t>5.5. Adequacy and Applicability of Teaching Methods Taught</w:t>
      </w:r>
    </w:p>
    <w:p w:rsidR="00DF3CEE" w:rsidRPr="00DF3CEE" w:rsidRDefault="00DF3CEE" w:rsidP="00DF089C">
      <w:pPr>
        <w:rPr>
          <w:b/>
          <w:lang w:val="en-GB"/>
        </w:rPr>
      </w:pPr>
    </w:p>
    <w:p w:rsidR="00407749" w:rsidRPr="004B3FEB" w:rsidRDefault="005E65B3" w:rsidP="00DF089C">
      <w:pPr>
        <w:rPr>
          <w:b/>
          <w:lang w:val="en-GB"/>
        </w:rPr>
      </w:pPr>
      <w:r w:rsidRPr="00DF3CEE">
        <w:rPr>
          <w:b/>
          <w:lang w:val="en-GB"/>
        </w:rPr>
        <w:t xml:space="preserve">Table </w:t>
      </w:r>
      <w:proofErr w:type="gramStart"/>
      <w:r w:rsidRPr="00DF3CEE">
        <w:rPr>
          <w:b/>
          <w:lang w:val="en-GB"/>
        </w:rPr>
        <w:t xml:space="preserve">5 </w:t>
      </w:r>
      <w:r w:rsidR="004B3FEB">
        <w:rPr>
          <w:b/>
          <w:lang w:val="en-GB"/>
        </w:rPr>
        <w:t>:</w:t>
      </w:r>
      <w:proofErr w:type="gramEnd"/>
      <w:r w:rsidR="004B3FEB">
        <w:rPr>
          <w:b/>
          <w:lang w:val="en-GB"/>
        </w:rPr>
        <w:t xml:space="preserve"> </w:t>
      </w:r>
      <w:r w:rsidRPr="00DF3CEE">
        <w:rPr>
          <w:i/>
          <w:lang w:val="en-GB"/>
        </w:rPr>
        <w:t>Adequacy and Applicability of Teaching Methods Taught</w:t>
      </w:r>
    </w:p>
    <w:p w:rsidR="00B540A8" w:rsidRPr="00DF3CEE" w:rsidRDefault="00B540A8" w:rsidP="00DF089C">
      <w:pPr>
        <w:rPr>
          <w:lang w:val="en-GB"/>
        </w:rPr>
      </w:pPr>
    </w:p>
    <w:tbl>
      <w:tblPr>
        <w:tblW w:w="8905" w:type="dxa"/>
        <w:jc w:val="center"/>
        <w:tblLook w:val="04A0" w:firstRow="1" w:lastRow="0" w:firstColumn="1" w:lastColumn="0" w:noHBand="0" w:noVBand="1"/>
      </w:tblPr>
      <w:tblGrid>
        <w:gridCol w:w="3595"/>
        <w:gridCol w:w="1203"/>
        <w:gridCol w:w="4161"/>
      </w:tblGrid>
      <w:tr w:rsidR="002526A2" w:rsidTr="00081AFA">
        <w:trPr>
          <w:trHeight w:val="320"/>
          <w:jc w:val="center"/>
        </w:trPr>
        <w:tc>
          <w:tcPr>
            <w:tcW w:w="3595" w:type="dxa"/>
            <w:tcBorders>
              <w:top w:val="single" w:sz="8" w:space="0" w:color="000000"/>
              <w:bottom w:val="single" w:sz="8" w:space="0" w:color="000000"/>
            </w:tcBorders>
            <w:shd w:val="clear" w:color="auto" w:fill="auto"/>
            <w:noWrap/>
            <w:vAlign w:val="center"/>
            <w:hideMark/>
          </w:tcPr>
          <w:p w:rsidR="004F4CF3" w:rsidRPr="00DF3CEE" w:rsidRDefault="005E65B3" w:rsidP="00B540A8">
            <w:pPr>
              <w:jc w:val="center"/>
              <w:rPr>
                <w:b/>
                <w:lang w:val="en-GB"/>
              </w:rPr>
            </w:pPr>
            <w:r w:rsidRPr="00DF3CEE">
              <w:rPr>
                <w:b/>
                <w:lang w:val="en-GB"/>
              </w:rPr>
              <w:t>Teaching Method Taught</w:t>
            </w:r>
          </w:p>
        </w:tc>
        <w:tc>
          <w:tcPr>
            <w:tcW w:w="1149" w:type="dxa"/>
            <w:tcBorders>
              <w:top w:val="single" w:sz="8" w:space="0" w:color="000000"/>
              <w:bottom w:val="single" w:sz="8" w:space="0" w:color="000000"/>
            </w:tcBorders>
            <w:shd w:val="clear" w:color="auto" w:fill="auto"/>
            <w:noWrap/>
            <w:vAlign w:val="center"/>
            <w:hideMark/>
          </w:tcPr>
          <w:p w:rsidR="004F4CF3" w:rsidRPr="00DF3CEE" w:rsidRDefault="005E65B3" w:rsidP="00B540A8">
            <w:pPr>
              <w:jc w:val="center"/>
              <w:rPr>
                <w:b/>
                <w:lang w:val="en-GB"/>
              </w:rPr>
            </w:pPr>
            <w:r w:rsidRPr="00DF3CEE">
              <w:rPr>
                <w:b/>
                <w:lang w:val="en-GB"/>
              </w:rPr>
              <w:t>Weighted Mean</w:t>
            </w:r>
          </w:p>
        </w:tc>
        <w:tc>
          <w:tcPr>
            <w:tcW w:w="4161" w:type="dxa"/>
            <w:tcBorders>
              <w:top w:val="single" w:sz="8" w:space="0" w:color="000000"/>
              <w:bottom w:val="single" w:sz="8" w:space="0" w:color="000000"/>
            </w:tcBorders>
            <w:shd w:val="clear" w:color="auto" w:fill="auto"/>
            <w:noWrap/>
            <w:vAlign w:val="center"/>
            <w:hideMark/>
          </w:tcPr>
          <w:p w:rsidR="004F4CF3" w:rsidRPr="00DF3CEE" w:rsidRDefault="005E65B3" w:rsidP="00B540A8">
            <w:pPr>
              <w:jc w:val="center"/>
              <w:rPr>
                <w:b/>
                <w:lang w:val="en-GB"/>
              </w:rPr>
            </w:pPr>
            <w:r w:rsidRPr="00DF3CEE">
              <w:rPr>
                <w:b/>
                <w:lang w:val="en-GB"/>
              </w:rPr>
              <w:t>Description</w:t>
            </w:r>
          </w:p>
        </w:tc>
      </w:tr>
      <w:tr w:rsidR="002526A2" w:rsidTr="00081AFA">
        <w:trPr>
          <w:trHeight w:val="320"/>
          <w:jc w:val="center"/>
        </w:trPr>
        <w:tc>
          <w:tcPr>
            <w:tcW w:w="3595" w:type="dxa"/>
            <w:tcBorders>
              <w:top w:val="single" w:sz="8" w:space="0" w:color="000000"/>
            </w:tcBorders>
            <w:shd w:val="clear" w:color="auto" w:fill="auto"/>
            <w:noWrap/>
            <w:vAlign w:val="center"/>
            <w:hideMark/>
          </w:tcPr>
          <w:p w:rsidR="004F4CF3" w:rsidRPr="00DF3CEE" w:rsidRDefault="005E65B3" w:rsidP="00B540A8">
            <w:pPr>
              <w:jc w:val="center"/>
              <w:rPr>
                <w:lang w:val="en-GB"/>
              </w:rPr>
            </w:pPr>
            <w:r w:rsidRPr="00DF3CEE">
              <w:rPr>
                <w:lang w:val="en-GB"/>
              </w:rPr>
              <w:t>Pedagogy</w:t>
            </w:r>
          </w:p>
        </w:tc>
        <w:tc>
          <w:tcPr>
            <w:tcW w:w="1149" w:type="dxa"/>
            <w:tcBorders>
              <w:top w:val="single" w:sz="8" w:space="0" w:color="000000"/>
            </w:tcBorders>
            <w:shd w:val="clear" w:color="auto" w:fill="auto"/>
            <w:noWrap/>
            <w:vAlign w:val="center"/>
            <w:hideMark/>
          </w:tcPr>
          <w:p w:rsidR="004F4CF3" w:rsidRPr="00DF3CEE" w:rsidRDefault="005E65B3" w:rsidP="00B540A8">
            <w:pPr>
              <w:jc w:val="center"/>
              <w:rPr>
                <w:lang w:val="en-GB"/>
              </w:rPr>
            </w:pPr>
            <w:r w:rsidRPr="00DF3CEE">
              <w:rPr>
                <w:lang w:val="en-GB"/>
              </w:rPr>
              <w:t>3.63</w:t>
            </w:r>
          </w:p>
        </w:tc>
        <w:tc>
          <w:tcPr>
            <w:tcW w:w="4161" w:type="dxa"/>
            <w:tcBorders>
              <w:top w:val="single" w:sz="8" w:space="0" w:color="000000"/>
            </w:tcBorders>
            <w:shd w:val="clear" w:color="auto" w:fill="auto"/>
            <w:noWrap/>
            <w:vAlign w:val="center"/>
            <w:hideMark/>
          </w:tcPr>
          <w:p w:rsidR="004F4CF3" w:rsidRPr="00DF3CEE" w:rsidRDefault="005E65B3" w:rsidP="00B540A8">
            <w:pPr>
              <w:jc w:val="center"/>
              <w:rPr>
                <w:lang w:val="en-GB"/>
              </w:rPr>
            </w:pPr>
            <w:r w:rsidRPr="00DF3CEE">
              <w:rPr>
                <w:lang w:val="en-GB"/>
              </w:rPr>
              <w:t>Highly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Lecture</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3.00</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Moderately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Oral presentation</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w:t>
            </w:r>
            <w:r w:rsidR="00706600" w:rsidRPr="00DF3CEE">
              <w:rPr>
                <w:lang w:val="en-GB"/>
              </w:rPr>
              <w:t>28</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Highly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Project-based output</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w:t>
            </w:r>
            <w:r w:rsidR="00706600" w:rsidRPr="00DF3CEE">
              <w:rPr>
                <w:lang w:val="en-GB"/>
              </w:rPr>
              <w:t>2</w:t>
            </w:r>
            <w:r w:rsidRPr="00DF3CEE">
              <w:rPr>
                <w:lang w:val="en-GB"/>
              </w:rPr>
              <w:t>5</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Highly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 xml:space="preserve">Research review </w:t>
            </w:r>
            <w:r w:rsidR="00E126C0" w:rsidRPr="00DF3CEE">
              <w:rPr>
                <w:lang w:val="en-GB"/>
              </w:rPr>
              <w:t>a</w:t>
            </w:r>
            <w:r w:rsidRPr="00DF3CEE">
              <w:rPr>
                <w:lang w:val="en-GB"/>
              </w:rPr>
              <w:t xml:space="preserve"> critiquing</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w:t>
            </w:r>
            <w:r w:rsidR="00210BA2" w:rsidRPr="00DF3CEE">
              <w:rPr>
                <w:lang w:val="en-GB"/>
              </w:rPr>
              <w:t>47</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Highly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Small-group panel discussion</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3.94</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Highly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Modular</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3.10</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Moderately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Contract assignments</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3.16</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Moderately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Independent study</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3.45</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Highly adequate and applicable</w:t>
            </w:r>
          </w:p>
        </w:tc>
      </w:tr>
      <w:tr w:rsidR="002526A2" w:rsidTr="00081AFA">
        <w:trPr>
          <w:trHeight w:val="320"/>
          <w:jc w:val="center"/>
        </w:trPr>
        <w:tc>
          <w:tcPr>
            <w:tcW w:w="3595" w:type="dxa"/>
            <w:shd w:val="clear" w:color="auto" w:fill="auto"/>
            <w:noWrap/>
            <w:vAlign w:val="center"/>
            <w:hideMark/>
          </w:tcPr>
          <w:p w:rsidR="004F4CF3" w:rsidRPr="00DF3CEE" w:rsidRDefault="005E65B3" w:rsidP="00B540A8">
            <w:pPr>
              <w:jc w:val="center"/>
              <w:rPr>
                <w:lang w:val="en-GB"/>
              </w:rPr>
            </w:pPr>
            <w:r w:rsidRPr="00DF3CEE">
              <w:rPr>
                <w:lang w:val="en-GB"/>
              </w:rPr>
              <w:t>Off-campus activities/field trips</w:t>
            </w:r>
          </w:p>
        </w:tc>
        <w:tc>
          <w:tcPr>
            <w:tcW w:w="1149" w:type="dxa"/>
            <w:shd w:val="clear" w:color="auto" w:fill="auto"/>
            <w:noWrap/>
            <w:vAlign w:val="center"/>
            <w:hideMark/>
          </w:tcPr>
          <w:p w:rsidR="004F4CF3" w:rsidRPr="00DF3CEE" w:rsidRDefault="005E65B3" w:rsidP="00B540A8">
            <w:pPr>
              <w:jc w:val="center"/>
              <w:rPr>
                <w:lang w:val="en-GB"/>
              </w:rPr>
            </w:pPr>
            <w:r w:rsidRPr="00DF3CEE">
              <w:rPr>
                <w:lang w:val="en-GB"/>
              </w:rPr>
              <w:t>3.21</w:t>
            </w:r>
          </w:p>
        </w:tc>
        <w:tc>
          <w:tcPr>
            <w:tcW w:w="4161" w:type="dxa"/>
            <w:shd w:val="clear" w:color="auto" w:fill="auto"/>
            <w:noWrap/>
            <w:vAlign w:val="center"/>
            <w:hideMark/>
          </w:tcPr>
          <w:p w:rsidR="004F4CF3" w:rsidRPr="00DF3CEE" w:rsidRDefault="005E65B3" w:rsidP="00B540A8">
            <w:pPr>
              <w:jc w:val="center"/>
              <w:rPr>
                <w:lang w:val="en-GB"/>
              </w:rPr>
            </w:pPr>
            <w:r w:rsidRPr="00DF3CEE">
              <w:rPr>
                <w:lang w:val="en-GB"/>
              </w:rPr>
              <w:t>Moderately adequate and applicable</w:t>
            </w:r>
          </w:p>
        </w:tc>
      </w:tr>
      <w:tr w:rsidR="002526A2" w:rsidTr="00081AFA">
        <w:trPr>
          <w:trHeight w:val="340"/>
          <w:jc w:val="center"/>
        </w:trPr>
        <w:tc>
          <w:tcPr>
            <w:tcW w:w="3595" w:type="dxa"/>
            <w:tcBorders>
              <w:bottom w:val="single" w:sz="8" w:space="0" w:color="000000"/>
            </w:tcBorders>
            <w:shd w:val="clear" w:color="auto" w:fill="auto"/>
            <w:noWrap/>
            <w:vAlign w:val="center"/>
            <w:hideMark/>
          </w:tcPr>
          <w:p w:rsidR="004F4CF3" w:rsidRPr="00DF3CEE" w:rsidRDefault="005E65B3" w:rsidP="00B540A8">
            <w:pPr>
              <w:jc w:val="center"/>
              <w:rPr>
                <w:b/>
                <w:bCs/>
                <w:lang w:val="en-GB"/>
              </w:rPr>
            </w:pPr>
            <w:r w:rsidRPr="00DF3CEE">
              <w:rPr>
                <w:b/>
                <w:bCs/>
                <w:lang w:val="en-GB"/>
              </w:rPr>
              <w:t>Overall</w:t>
            </w:r>
          </w:p>
        </w:tc>
        <w:tc>
          <w:tcPr>
            <w:tcW w:w="1149" w:type="dxa"/>
            <w:tcBorders>
              <w:bottom w:val="single" w:sz="8" w:space="0" w:color="000000"/>
            </w:tcBorders>
            <w:shd w:val="clear" w:color="auto" w:fill="auto"/>
            <w:noWrap/>
            <w:vAlign w:val="center"/>
            <w:hideMark/>
          </w:tcPr>
          <w:p w:rsidR="004F4CF3" w:rsidRPr="00DF3CEE" w:rsidRDefault="005E65B3" w:rsidP="00B540A8">
            <w:pPr>
              <w:jc w:val="center"/>
              <w:rPr>
                <w:b/>
                <w:bCs/>
                <w:lang w:val="en-GB"/>
              </w:rPr>
            </w:pPr>
            <w:r w:rsidRPr="00DF3CEE">
              <w:rPr>
                <w:b/>
                <w:bCs/>
                <w:lang w:val="en-GB"/>
              </w:rPr>
              <w:t>3.</w:t>
            </w:r>
            <w:r w:rsidR="00210BA2" w:rsidRPr="00DF3CEE">
              <w:rPr>
                <w:b/>
                <w:bCs/>
                <w:lang w:val="en-GB"/>
              </w:rPr>
              <w:t>35</w:t>
            </w:r>
          </w:p>
        </w:tc>
        <w:tc>
          <w:tcPr>
            <w:tcW w:w="4161" w:type="dxa"/>
            <w:tcBorders>
              <w:bottom w:val="single" w:sz="8" w:space="0" w:color="000000"/>
            </w:tcBorders>
            <w:shd w:val="clear" w:color="auto" w:fill="auto"/>
            <w:noWrap/>
            <w:vAlign w:val="center"/>
            <w:hideMark/>
          </w:tcPr>
          <w:p w:rsidR="004F4CF3" w:rsidRPr="00DF3CEE" w:rsidRDefault="005E65B3" w:rsidP="00B540A8">
            <w:pPr>
              <w:jc w:val="center"/>
              <w:rPr>
                <w:b/>
                <w:bCs/>
                <w:lang w:val="en-GB"/>
              </w:rPr>
            </w:pPr>
            <w:r w:rsidRPr="00DF3CEE">
              <w:rPr>
                <w:b/>
                <w:bCs/>
                <w:lang w:val="en-GB"/>
              </w:rPr>
              <w:t>Highly adequate and applicable</w:t>
            </w:r>
          </w:p>
        </w:tc>
      </w:tr>
    </w:tbl>
    <w:p w:rsidR="00E126C0" w:rsidRPr="00DF3CEE" w:rsidRDefault="00E126C0" w:rsidP="00DF089C">
      <w:pPr>
        <w:rPr>
          <w:lang w:val="en-GB"/>
        </w:rPr>
      </w:pPr>
    </w:p>
    <w:p w:rsidR="0069659D" w:rsidRPr="00DF3CEE" w:rsidRDefault="005E65B3" w:rsidP="00A756C9">
      <w:pPr>
        <w:jc w:val="both"/>
      </w:pPr>
      <w:r w:rsidRPr="00DF3CEE">
        <w:rPr>
          <w:lang w:val="en-GB"/>
        </w:rPr>
        <w:t xml:space="preserve">Table 5 shows the adequacy and applicability of teaching methods taught, with an overall mean rating of 3.35, which is highly adequate and applicable. Despite the superb result, lecture (3.63), modular (3.10), contract assignments (3.16), and off-campus activities/field trips (3.21) gained a moderately adequate and applicable rating; it is still equally significant in the teaching-learning process between teacher-learner relationship. </w:t>
      </w:r>
      <w:r w:rsidRPr="00DF3CEE">
        <w:t xml:space="preserve">Alhebri (2017) argues that </w:t>
      </w:r>
      <w:r w:rsidR="00DF3CEE">
        <w:t>looking</w:t>
      </w:r>
      <w:r w:rsidR="00DF3CEE" w:rsidRPr="00DF3CEE">
        <w:t xml:space="preserve"> for appropriate teaching methods to influence this dimension </w:t>
      </w:r>
      <w:r w:rsidR="00DF3CEE">
        <w:t xml:space="preserve">is essential </w:t>
      </w:r>
      <w:r w:rsidRPr="00DF3CEE">
        <w:t xml:space="preserve">while identifying </w:t>
      </w:r>
      <w:r w:rsidR="006C072F">
        <w:t>students’</w:t>
      </w:r>
      <w:r w:rsidRPr="00DF3CEE">
        <w:t xml:space="preserve"> needs and how those </w:t>
      </w:r>
      <w:r w:rsidR="00A756C9" w:rsidRPr="00DF3CEE">
        <w:t xml:space="preserve">strategies impact their competencies. </w:t>
      </w:r>
    </w:p>
    <w:p w:rsidR="0069659D" w:rsidRPr="00DF3CEE" w:rsidRDefault="0069659D" w:rsidP="00BF5007">
      <w:pPr>
        <w:rPr>
          <w:b/>
        </w:rPr>
      </w:pPr>
    </w:p>
    <w:p w:rsidR="00074552" w:rsidRPr="004B3FEB" w:rsidRDefault="005E65B3" w:rsidP="00DF089C">
      <w:pPr>
        <w:rPr>
          <w:b/>
        </w:rPr>
      </w:pPr>
      <w:r w:rsidRPr="00DF3CEE">
        <w:rPr>
          <w:b/>
        </w:rPr>
        <w:t>Table 6</w:t>
      </w:r>
      <w:r w:rsidR="004B3FEB">
        <w:rPr>
          <w:b/>
        </w:rPr>
        <w:t xml:space="preserve">: </w:t>
      </w:r>
      <w:r w:rsidRPr="00DF3CEE">
        <w:rPr>
          <w:i/>
        </w:rPr>
        <w:t>Assessment of the physical facilities in ISAT U</w:t>
      </w:r>
    </w:p>
    <w:p w:rsidR="003F3D2D" w:rsidRPr="00DF3CEE" w:rsidRDefault="003F3D2D" w:rsidP="00DF089C">
      <w:pPr>
        <w:rPr>
          <w:i/>
          <w:lang w:val="en-GB"/>
        </w:rPr>
      </w:pPr>
    </w:p>
    <w:tbl>
      <w:tblPr>
        <w:tblW w:w="6932" w:type="dxa"/>
        <w:jc w:val="center"/>
        <w:tblLayout w:type="fixed"/>
        <w:tblLook w:val="04A0" w:firstRow="1" w:lastRow="0" w:firstColumn="1" w:lastColumn="0" w:noHBand="0" w:noVBand="1"/>
      </w:tblPr>
      <w:tblGrid>
        <w:gridCol w:w="2160"/>
        <w:gridCol w:w="1890"/>
        <w:gridCol w:w="2882"/>
      </w:tblGrid>
      <w:tr w:rsidR="002526A2" w:rsidTr="00B90849">
        <w:trPr>
          <w:trHeight w:val="281"/>
          <w:jc w:val="center"/>
        </w:trPr>
        <w:tc>
          <w:tcPr>
            <w:tcW w:w="2160" w:type="dxa"/>
            <w:tcBorders>
              <w:top w:val="single" w:sz="8" w:space="0" w:color="000000"/>
              <w:bottom w:val="single" w:sz="8" w:space="0" w:color="000000"/>
            </w:tcBorders>
            <w:shd w:val="clear" w:color="auto" w:fill="auto"/>
            <w:noWrap/>
            <w:vAlign w:val="center"/>
            <w:hideMark/>
          </w:tcPr>
          <w:p w:rsidR="00074552" w:rsidRPr="00DF3CEE" w:rsidRDefault="005E65B3" w:rsidP="004721B8">
            <w:pPr>
              <w:jc w:val="center"/>
              <w:rPr>
                <w:b/>
                <w:lang w:val="en-GB"/>
              </w:rPr>
            </w:pPr>
            <w:r w:rsidRPr="00DF3CEE">
              <w:rPr>
                <w:b/>
                <w:lang w:val="en-GB"/>
              </w:rPr>
              <w:t>Facilities</w:t>
            </w:r>
          </w:p>
        </w:tc>
        <w:tc>
          <w:tcPr>
            <w:tcW w:w="1890" w:type="dxa"/>
            <w:tcBorders>
              <w:top w:val="single" w:sz="8" w:space="0" w:color="000000"/>
              <w:bottom w:val="single" w:sz="8" w:space="0" w:color="000000"/>
            </w:tcBorders>
            <w:shd w:val="clear" w:color="auto" w:fill="auto"/>
            <w:noWrap/>
            <w:vAlign w:val="center"/>
            <w:hideMark/>
          </w:tcPr>
          <w:p w:rsidR="00074552" w:rsidRPr="00DF3CEE" w:rsidRDefault="005E65B3" w:rsidP="004721B8">
            <w:pPr>
              <w:jc w:val="center"/>
              <w:rPr>
                <w:b/>
                <w:lang w:val="en-GB"/>
              </w:rPr>
            </w:pPr>
            <w:r w:rsidRPr="00DF3CEE">
              <w:rPr>
                <w:b/>
                <w:lang w:val="en-GB"/>
              </w:rPr>
              <w:t>Weighted Mean</w:t>
            </w:r>
          </w:p>
        </w:tc>
        <w:tc>
          <w:tcPr>
            <w:tcW w:w="2882" w:type="dxa"/>
            <w:tcBorders>
              <w:top w:val="single" w:sz="8" w:space="0" w:color="000000"/>
              <w:bottom w:val="single" w:sz="8" w:space="0" w:color="000000"/>
            </w:tcBorders>
            <w:shd w:val="clear" w:color="auto" w:fill="auto"/>
            <w:noWrap/>
            <w:vAlign w:val="center"/>
            <w:hideMark/>
          </w:tcPr>
          <w:p w:rsidR="00074552" w:rsidRPr="00DF3CEE" w:rsidRDefault="005E65B3" w:rsidP="004721B8">
            <w:pPr>
              <w:jc w:val="center"/>
              <w:rPr>
                <w:b/>
                <w:lang w:val="en-GB"/>
              </w:rPr>
            </w:pPr>
            <w:r w:rsidRPr="00DF3CEE">
              <w:rPr>
                <w:b/>
                <w:lang w:val="en-GB"/>
              </w:rPr>
              <w:t>Description</w:t>
            </w:r>
          </w:p>
        </w:tc>
      </w:tr>
      <w:tr w:rsidR="002526A2" w:rsidTr="00B90849">
        <w:trPr>
          <w:trHeight w:val="281"/>
          <w:jc w:val="center"/>
        </w:trPr>
        <w:tc>
          <w:tcPr>
            <w:tcW w:w="2160" w:type="dxa"/>
            <w:tcBorders>
              <w:top w:val="single" w:sz="8" w:space="0" w:color="000000"/>
            </w:tcBorders>
            <w:shd w:val="clear" w:color="auto" w:fill="auto"/>
            <w:noWrap/>
            <w:vAlign w:val="center"/>
            <w:hideMark/>
          </w:tcPr>
          <w:p w:rsidR="00074552" w:rsidRPr="00DF3CEE" w:rsidRDefault="005E65B3" w:rsidP="004721B8">
            <w:pPr>
              <w:jc w:val="center"/>
              <w:rPr>
                <w:lang w:val="en-GB"/>
              </w:rPr>
            </w:pPr>
            <w:r w:rsidRPr="00DF3CEE">
              <w:rPr>
                <w:lang w:val="en-GB"/>
              </w:rPr>
              <w:t>Library</w:t>
            </w:r>
          </w:p>
        </w:tc>
        <w:tc>
          <w:tcPr>
            <w:tcW w:w="1890" w:type="dxa"/>
            <w:tcBorders>
              <w:top w:val="single" w:sz="8" w:space="0" w:color="000000"/>
            </w:tcBorders>
            <w:shd w:val="clear" w:color="auto" w:fill="auto"/>
            <w:noWrap/>
            <w:vAlign w:val="center"/>
            <w:hideMark/>
          </w:tcPr>
          <w:p w:rsidR="00074552" w:rsidRPr="00DF3CEE" w:rsidRDefault="005E65B3" w:rsidP="004721B8">
            <w:pPr>
              <w:jc w:val="center"/>
              <w:rPr>
                <w:lang w:val="en-GB"/>
              </w:rPr>
            </w:pPr>
            <w:r w:rsidRPr="00DF3CEE">
              <w:rPr>
                <w:lang w:val="en-GB"/>
              </w:rPr>
              <w:t>3.</w:t>
            </w:r>
            <w:r w:rsidR="003343B1" w:rsidRPr="00DF3CEE">
              <w:rPr>
                <w:lang w:val="en-GB"/>
              </w:rPr>
              <w:t>30</w:t>
            </w:r>
          </w:p>
        </w:tc>
        <w:tc>
          <w:tcPr>
            <w:tcW w:w="2882" w:type="dxa"/>
            <w:tcBorders>
              <w:top w:val="single" w:sz="8" w:space="0" w:color="000000"/>
            </w:tcBorders>
            <w:shd w:val="clear" w:color="auto" w:fill="auto"/>
            <w:noWrap/>
            <w:vAlign w:val="center"/>
            <w:hideMark/>
          </w:tcPr>
          <w:p w:rsidR="00074552" w:rsidRPr="00DF3CEE" w:rsidRDefault="005E65B3" w:rsidP="004721B8">
            <w:pPr>
              <w:jc w:val="center"/>
              <w:rPr>
                <w:lang w:val="en-GB"/>
              </w:rPr>
            </w:pPr>
            <w:r w:rsidRPr="00DF3CEE">
              <w:rPr>
                <w:lang w:val="en-GB"/>
              </w:rPr>
              <w:t xml:space="preserve">Highly </w:t>
            </w:r>
            <w:r w:rsidR="00B510FB" w:rsidRPr="00DF3CEE">
              <w:rPr>
                <w:lang w:val="en-GB"/>
              </w:rPr>
              <w:t>adequate</w:t>
            </w:r>
          </w:p>
        </w:tc>
      </w:tr>
      <w:tr w:rsidR="002526A2" w:rsidTr="00B90849">
        <w:trPr>
          <w:trHeight w:val="281"/>
          <w:jc w:val="center"/>
        </w:trPr>
        <w:tc>
          <w:tcPr>
            <w:tcW w:w="2160" w:type="dxa"/>
            <w:shd w:val="clear" w:color="auto" w:fill="auto"/>
            <w:noWrap/>
            <w:vAlign w:val="center"/>
            <w:hideMark/>
          </w:tcPr>
          <w:p w:rsidR="00074552" w:rsidRPr="00DF3CEE" w:rsidRDefault="005E65B3" w:rsidP="004721B8">
            <w:pPr>
              <w:jc w:val="center"/>
              <w:rPr>
                <w:lang w:val="en-GB"/>
              </w:rPr>
            </w:pPr>
            <w:r w:rsidRPr="00DF3CEE">
              <w:rPr>
                <w:lang w:val="en-GB"/>
              </w:rPr>
              <w:t>Classroom</w:t>
            </w:r>
          </w:p>
        </w:tc>
        <w:tc>
          <w:tcPr>
            <w:tcW w:w="1890" w:type="dxa"/>
            <w:shd w:val="clear" w:color="auto" w:fill="auto"/>
            <w:noWrap/>
            <w:vAlign w:val="center"/>
            <w:hideMark/>
          </w:tcPr>
          <w:p w:rsidR="00074552" w:rsidRPr="00DF3CEE" w:rsidRDefault="005E65B3" w:rsidP="004721B8">
            <w:pPr>
              <w:jc w:val="center"/>
              <w:rPr>
                <w:lang w:val="en-GB"/>
              </w:rPr>
            </w:pPr>
            <w:r w:rsidRPr="00DF3CEE">
              <w:rPr>
                <w:lang w:val="en-GB"/>
              </w:rPr>
              <w:t>3.4</w:t>
            </w:r>
            <w:r w:rsidR="003343B1" w:rsidRPr="00DF3CEE">
              <w:rPr>
                <w:lang w:val="en-GB"/>
              </w:rPr>
              <w:t>5</w:t>
            </w:r>
          </w:p>
        </w:tc>
        <w:tc>
          <w:tcPr>
            <w:tcW w:w="2882" w:type="dxa"/>
            <w:shd w:val="clear" w:color="auto" w:fill="auto"/>
            <w:noWrap/>
            <w:vAlign w:val="center"/>
            <w:hideMark/>
          </w:tcPr>
          <w:p w:rsidR="00074552" w:rsidRPr="00DF3CEE" w:rsidRDefault="005E65B3" w:rsidP="004721B8">
            <w:pPr>
              <w:jc w:val="center"/>
              <w:rPr>
                <w:lang w:val="en-GB"/>
              </w:rPr>
            </w:pPr>
            <w:r w:rsidRPr="00DF3CEE">
              <w:rPr>
                <w:lang w:val="en-GB"/>
              </w:rPr>
              <w:t xml:space="preserve">Highly </w:t>
            </w:r>
            <w:r w:rsidR="00B510FB" w:rsidRPr="00DF3CEE">
              <w:rPr>
                <w:lang w:val="en-GB"/>
              </w:rPr>
              <w:t>adequate</w:t>
            </w:r>
          </w:p>
        </w:tc>
      </w:tr>
      <w:tr w:rsidR="002526A2" w:rsidTr="00B90849">
        <w:trPr>
          <w:trHeight w:val="281"/>
          <w:jc w:val="center"/>
        </w:trPr>
        <w:tc>
          <w:tcPr>
            <w:tcW w:w="2160" w:type="dxa"/>
            <w:shd w:val="clear" w:color="auto" w:fill="auto"/>
            <w:noWrap/>
            <w:vAlign w:val="center"/>
            <w:hideMark/>
          </w:tcPr>
          <w:p w:rsidR="00074552" w:rsidRPr="00DF3CEE" w:rsidRDefault="005E65B3" w:rsidP="004721B8">
            <w:pPr>
              <w:jc w:val="center"/>
              <w:rPr>
                <w:lang w:val="en-GB"/>
              </w:rPr>
            </w:pPr>
            <w:r w:rsidRPr="00DF3CEE">
              <w:rPr>
                <w:lang w:val="en-GB"/>
              </w:rPr>
              <w:t>Laboratory/Shop</w:t>
            </w:r>
          </w:p>
        </w:tc>
        <w:tc>
          <w:tcPr>
            <w:tcW w:w="1890" w:type="dxa"/>
            <w:shd w:val="clear" w:color="auto" w:fill="auto"/>
            <w:noWrap/>
            <w:vAlign w:val="center"/>
            <w:hideMark/>
          </w:tcPr>
          <w:p w:rsidR="00074552" w:rsidRPr="00DF3CEE" w:rsidRDefault="005E65B3" w:rsidP="004721B8">
            <w:pPr>
              <w:jc w:val="center"/>
              <w:rPr>
                <w:lang w:val="en-GB"/>
              </w:rPr>
            </w:pPr>
            <w:r w:rsidRPr="00DF3CEE">
              <w:rPr>
                <w:lang w:val="en-GB"/>
              </w:rPr>
              <w:t>2.59</w:t>
            </w:r>
          </w:p>
        </w:tc>
        <w:tc>
          <w:tcPr>
            <w:tcW w:w="2882" w:type="dxa"/>
            <w:shd w:val="clear" w:color="auto" w:fill="auto"/>
            <w:noWrap/>
            <w:vAlign w:val="center"/>
            <w:hideMark/>
          </w:tcPr>
          <w:p w:rsidR="00074552" w:rsidRPr="00DF3CEE" w:rsidRDefault="005E65B3" w:rsidP="004721B8">
            <w:pPr>
              <w:jc w:val="center"/>
              <w:rPr>
                <w:lang w:val="en-GB"/>
              </w:rPr>
            </w:pPr>
            <w:r w:rsidRPr="00DF3CEE">
              <w:rPr>
                <w:lang w:val="en-GB"/>
              </w:rPr>
              <w:t>Moderately adequate</w:t>
            </w:r>
          </w:p>
        </w:tc>
      </w:tr>
      <w:tr w:rsidR="002526A2" w:rsidTr="00B90849">
        <w:trPr>
          <w:trHeight w:val="281"/>
          <w:jc w:val="center"/>
        </w:trPr>
        <w:tc>
          <w:tcPr>
            <w:tcW w:w="2160" w:type="dxa"/>
            <w:shd w:val="clear" w:color="auto" w:fill="auto"/>
            <w:noWrap/>
            <w:vAlign w:val="center"/>
            <w:hideMark/>
          </w:tcPr>
          <w:p w:rsidR="00074552" w:rsidRPr="00DF3CEE" w:rsidRDefault="005E65B3" w:rsidP="004721B8">
            <w:pPr>
              <w:jc w:val="center"/>
              <w:rPr>
                <w:lang w:val="en-GB"/>
              </w:rPr>
            </w:pPr>
            <w:r w:rsidRPr="00DF3CEE">
              <w:rPr>
                <w:lang w:val="en-GB"/>
              </w:rPr>
              <w:t>Tools/Equipment</w:t>
            </w:r>
          </w:p>
        </w:tc>
        <w:tc>
          <w:tcPr>
            <w:tcW w:w="1890" w:type="dxa"/>
            <w:shd w:val="clear" w:color="auto" w:fill="auto"/>
            <w:noWrap/>
            <w:vAlign w:val="center"/>
            <w:hideMark/>
          </w:tcPr>
          <w:p w:rsidR="00074552" w:rsidRPr="00DF3CEE" w:rsidRDefault="005E65B3" w:rsidP="004721B8">
            <w:pPr>
              <w:jc w:val="center"/>
              <w:rPr>
                <w:lang w:val="en-GB"/>
              </w:rPr>
            </w:pPr>
            <w:r w:rsidRPr="00DF3CEE">
              <w:rPr>
                <w:lang w:val="en-GB"/>
              </w:rPr>
              <w:t>2.40</w:t>
            </w:r>
          </w:p>
        </w:tc>
        <w:tc>
          <w:tcPr>
            <w:tcW w:w="2882" w:type="dxa"/>
            <w:shd w:val="clear" w:color="auto" w:fill="auto"/>
            <w:noWrap/>
            <w:vAlign w:val="center"/>
            <w:hideMark/>
          </w:tcPr>
          <w:p w:rsidR="00074552" w:rsidRPr="00DF3CEE" w:rsidRDefault="005E65B3" w:rsidP="004721B8">
            <w:pPr>
              <w:jc w:val="center"/>
              <w:rPr>
                <w:lang w:val="en-GB"/>
              </w:rPr>
            </w:pPr>
            <w:r w:rsidRPr="00DF3CEE">
              <w:rPr>
                <w:lang w:val="en-GB"/>
              </w:rPr>
              <w:t>Moderately adequate</w:t>
            </w:r>
          </w:p>
        </w:tc>
      </w:tr>
      <w:tr w:rsidR="002526A2" w:rsidTr="00B90849">
        <w:trPr>
          <w:trHeight w:val="281"/>
          <w:jc w:val="center"/>
        </w:trPr>
        <w:tc>
          <w:tcPr>
            <w:tcW w:w="2160" w:type="dxa"/>
            <w:shd w:val="clear" w:color="auto" w:fill="auto"/>
            <w:noWrap/>
            <w:vAlign w:val="center"/>
          </w:tcPr>
          <w:p w:rsidR="00B90849" w:rsidRPr="00DF3CEE" w:rsidRDefault="005E65B3" w:rsidP="004721B8">
            <w:pPr>
              <w:jc w:val="center"/>
              <w:rPr>
                <w:lang w:val="en-GB"/>
              </w:rPr>
            </w:pPr>
            <w:r w:rsidRPr="00DF3CEE">
              <w:rPr>
                <w:lang w:val="en-GB"/>
              </w:rPr>
              <w:t>Student gymnasium</w:t>
            </w:r>
          </w:p>
        </w:tc>
        <w:tc>
          <w:tcPr>
            <w:tcW w:w="1890" w:type="dxa"/>
            <w:shd w:val="clear" w:color="auto" w:fill="auto"/>
            <w:noWrap/>
            <w:vAlign w:val="center"/>
          </w:tcPr>
          <w:p w:rsidR="00B90849" w:rsidRPr="00DF3CEE" w:rsidRDefault="005E65B3" w:rsidP="004721B8">
            <w:pPr>
              <w:jc w:val="center"/>
              <w:rPr>
                <w:lang w:val="en-GB"/>
              </w:rPr>
            </w:pPr>
            <w:r w:rsidRPr="00DF3CEE">
              <w:rPr>
                <w:lang w:val="en-GB"/>
              </w:rPr>
              <w:t>2.05</w:t>
            </w:r>
          </w:p>
        </w:tc>
        <w:tc>
          <w:tcPr>
            <w:tcW w:w="2882" w:type="dxa"/>
            <w:shd w:val="clear" w:color="auto" w:fill="auto"/>
            <w:noWrap/>
            <w:vAlign w:val="center"/>
          </w:tcPr>
          <w:p w:rsidR="00B90849" w:rsidRPr="00DF3CEE" w:rsidRDefault="005E65B3" w:rsidP="004721B8">
            <w:pPr>
              <w:jc w:val="center"/>
              <w:rPr>
                <w:lang w:val="en-GB"/>
              </w:rPr>
            </w:pPr>
            <w:r w:rsidRPr="00DF3CEE">
              <w:rPr>
                <w:lang w:val="en-GB"/>
              </w:rPr>
              <w:t>Moderately adequate</w:t>
            </w:r>
          </w:p>
        </w:tc>
      </w:tr>
      <w:tr w:rsidR="002526A2" w:rsidTr="00B90849">
        <w:trPr>
          <w:trHeight w:val="281"/>
          <w:jc w:val="center"/>
        </w:trPr>
        <w:tc>
          <w:tcPr>
            <w:tcW w:w="2160" w:type="dxa"/>
            <w:tcBorders>
              <w:bottom w:val="single" w:sz="8" w:space="0" w:color="000000"/>
            </w:tcBorders>
            <w:shd w:val="clear" w:color="auto" w:fill="auto"/>
            <w:noWrap/>
            <w:vAlign w:val="center"/>
            <w:hideMark/>
          </w:tcPr>
          <w:p w:rsidR="00074552" w:rsidRPr="00DF3CEE" w:rsidRDefault="005E65B3" w:rsidP="004721B8">
            <w:pPr>
              <w:jc w:val="center"/>
              <w:rPr>
                <w:b/>
                <w:bCs/>
                <w:lang w:val="en-GB"/>
              </w:rPr>
            </w:pPr>
            <w:r w:rsidRPr="00DF3CEE">
              <w:rPr>
                <w:b/>
                <w:bCs/>
                <w:lang w:val="en-GB"/>
              </w:rPr>
              <w:t>Overall</w:t>
            </w:r>
          </w:p>
        </w:tc>
        <w:tc>
          <w:tcPr>
            <w:tcW w:w="1890" w:type="dxa"/>
            <w:tcBorders>
              <w:bottom w:val="single" w:sz="8" w:space="0" w:color="000000"/>
            </w:tcBorders>
            <w:shd w:val="clear" w:color="auto" w:fill="auto"/>
            <w:noWrap/>
            <w:vAlign w:val="center"/>
            <w:hideMark/>
          </w:tcPr>
          <w:p w:rsidR="00074552" w:rsidRPr="00DF3CEE" w:rsidRDefault="005E65B3" w:rsidP="004721B8">
            <w:pPr>
              <w:jc w:val="center"/>
              <w:rPr>
                <w:b/>
                <w:bCs/>
                <w:lang w:val="en-GB"/>
              </w:rPr>
            </w:pPr>
            <w:r w:rsidRPr="00DF3CEE">
              <w:rPr>
                <w:b/>
                <w:bCs/>
                <w:lang w:val="en-GB"/>
              </w:rPr>
              <w:t>2.74</w:t>
            </w:r>
          </w:p>
        </w:tc>
        <w:tc>
          <w:tcPr>
            <w:tcW w:w="2882" w:type="dxa"/>
            <w:tcBorders>
              <w:bottom w:val="single" w:sz="8" w:space="0" w:color="000000"/>
            </w:tcBorders>
            <w:shd w:val="clear" w:color="auto" w:fill="auto"/>
            <w:noWrap/>
            <w:vAlign w:val="center"/>
            <w:hideMark/>
          </w:tcPr>
          <w:p w:rsidR="00074552" w:rsidRPr="00DF3CEE" w:rsidRDefault="005E65B3" w:rsidP="004721B8">
            <w:pPr>
              <w:jc w:val="center"/>
              <w:rPr>
                <w:b/>
                <w:bCs/>
                <w:lang w:val="en-GB"/>
              </w:rPr>
            </w:pPr>
            <w:r w:rsidRPr="00DF3CEE">
              <w:rPr>
                <w:b/>
                <w:lang w:val="en-GB"/>
              </w:rPr>
              <w:t>Moderately adequate</w:t>
            </w:r>
          </w:p>
        </w:tc>
      </w:tr>
    </w:tbl>
    <w:p w:rsidR="00074552" w:rsidRPr="00DF3CEE" w:rsidRDefault="00074552" w:rsidP="00DF089C">
      <w:pPr>
        <w:rPr>
          <w:lang w:val="en-GB"/>
        </w:rPr>
      </w:pPr>
    </w:p>
    <w:p w:rsidR="00646436" w:rsidRPr="00DF3CEE" w:rsidRDefault="005E65B3" w:rsidP="00646436">
      <w:pPr>
        <w:jc w:val="both"/>
        <w:rPr>
          <w:lang w:val="en-GB"/>
        </w:rPr>
      </w:pPr>
      <w:r w:rsidRPr="00DF3CEE">
        <w:rPr>
          <w:lang w:val="en-GB"/>
        </w:rPr>
        <w:t xml:space="preserve">Table 6 shows the assessment of the physical facilities </w:t>
      </w:r>
      <w:r w:rsidR="008528D0" w:rsidRPr="00DF3CEE">
        <w:rPr>
          <w:lang w:val="en-GB"/>
        </w:rPr>
        <w:t xml:space="preserve">at ISAT U; results depict an overall mean rating of moderately adequate (2.74). </w:t>
      </w:r>
      <w:r w:rsidRPr="00DF3CEE">
        <w:rPr>
          <w:lang w:val="en-GB"/>
        </w:rPr>
        <w:t>T</w:t>
      </w:r>
      <w:r w:rsidR="008528D0" w:rsidRPr="00DF3CEE">
        <w:rPr>
          <w:lang w:val="en-GB"/>
        </w:rPr>
        <w:t xml:space="preserve">he </w:t>
      </w:r>
      <w:r w:rsidRPr="00DF3CEE">
        <w:rPr>
          <w:lang w:val="en-GB"/>
        </w:rPr>
        <w:t xml:space="preserve">laboratory/shop (2.59), tools/equipment (2.40), and student gymnasium (2.05) show moderately adequate results, while the library (3.30) and classroom (3.45) have a highly adequate mean. </w:t>
      </w:r>
      <w:r w:rsidR="008528D0" w:rsidRPr="00DF3CEE">
        <w:rPr>
          <w:lang w:val="en-GB"/>
        </w:rPr>
        <w:t xml:space="preserve">These </w:t>
      </w:r>
      <w:r w:rsidRPr="00DF3CEE">
        <w:rPr>
          <w:lang w:val="en-GB"/>
        </w:rPr>
        <w:t>high</w:t>
      </w:r>
      <w:r w:rsidR="008528D0" w:rsidRPr="00DF3CEE">
        <w:rPr>
          <w:lang w:val="en-GB"/>
        </w:rPr>
        <w:t xml:space="preserve"> result</w:t>
      </w:r>
      <w:r w:rsidRPr="00DF3CEE">
        <w:rPr>
          <w:lang w:val="en-GB"/>
        </w:rPr>
        <w:t>s</w:t>
      </w:r>
      <w:r w:rsidR="008528D0" w:rsidRPr="00DF3CEE">
        <w:rPr>
          <w:lang w:val="en-GB"/>
        </w:rPr>
        <w:t xml:space="preserve"> </w:t>
      </w:r>
      <w:r w:rsidRPr="00DF3CEE">
        <w:rPr>
          <w:lang w:val="en-GB"/>
        </w:rPr>
        <w:t xml:space="preserve">allow students to maximise </w:t>
      </w:r>
      <w:r w:rsidR="006E3F1C" w:rsidRPr="00DF3CEE">
        <w:rPr>
          <w:lang w:val="en-GB"/>
        </w:rPr>
        <w:t xml:space="preserve">the </w:t>
      </w:r>
      <w:r w:rsidR="008528D0" w:rsidRPr="00DF3CEE">
        <w:rPr>
          <w:lang w:val="en-GB"/>
        </w:rPr>
        <w:t xml:space="preserve">university's physical facilities. </w:t>
      </w:r>
      <w:r w:rsidRPr="00DF3CEE">
        <w:rPr>
          <w:shd w:val="clear" w:color="auto" w:fill="FFFFFF"/>
        </w:rPr>
        <w:t>Catapano, Fleming,</w:t>
      </w:r>
      <w:r w:rsidR="006E3F1C" w:rsidRPr="00DF3CEE">
        <w:rPr>
          <w:shd w:val="clear" w:color="auto" w:fill="FFFFFF"/>
        </w:rPr>
        <w:t xml:space="preserve"> </w:t>
      </w:r>
      <w:r w:rsidRPr="00DF3CEE">
        <w:rPr>
          <w:shd w:val="clear" w:color="auto" w:fill="FFFFFF"/>
        </w:rPr>
        <w:t>and Elias (2009)</w:t>
      </w:r>
      <w:r w:rsidRPr="00DF3CEE">
        <w:rPr>
          <w:lang w:val="en-GB"/>
        </w:rPr>
        <w:t xml:space="preserve"> suggest that </w:t>
      </w:r>
      <w:r w:rsidRPr="00DF3CEE">
        <w:t>the library should be organised and accessible to students, complementing the curriculum. Establishing rules for library use is crucial, and students can help develop these rules. Posting simple guidelines and a map of the library's organisation can promote independent use and maintenance, as Reutzel and Fawson (2002) suggested. This approach helps students remember and use the library effectively.</w:t>
      </w:r>
    </w:p>
    <w:p w:rsidR="00774037" w:rsidRPr="00DF3CEE" w:rsidRDefault="00774037" w:rsidP="00DF089C">
      <w:pPr>
        <w:rPr>
          <w:lang w:val="en-GB"/>
        </w:rPr>
      </w:pPr>
    </w:p>
    <w:p w:rsidR="0033376D" w:rsidRPr="00DF3CEE" w:rsidRDefault="005E65B3" w:rsidP="00DF089C">
      <w:pPr>
        <w:rPr>
          <w:b/>
          <w:lang w:val="en-GB"/>
        </w:rPr>
      </w:pPr>
      <w:r w:rsidRPr="00DF3CEE">
        <w:rPr>
          <w:b/>
          <w:lang w:val="en-GB"/>
        </w:rPr>
        <w:t>5.</w:t>
      </w:r>
      <w:r w:rsidR="00074552" w:rsidRPr="00DF3CEE">
        <w:rPr>
          <w:b/>
          <w:lang w:val="en-GB"/>
        </w:rPr>
        <w:t>7</w:t>
      </w:r>
      <w:r w:rsidRPr="00DF3CEE">
        <w:rPr>
          <w:b/>
          <w:lang w:val="en-GB"/>
        </w:rPr>
        <w:t xml:space="preserve">. </w:t>
      </w:r>
      <w:r w:rsidR="00C149D1" w:rsidRPr="00DF3CEE">
        <w:rPr>
          <w:b/>
          <w:lang w:val="en-GB"/>
        </w:rPr>
        <w:t>Office Services in ISAT U</w:t>
      </w:r>
    </w:p>
    <w:p w:rsidR="00474ED3" w:rsidRPr="00DF3CEE" w:rsidRDefault="00474ED3" w:rsidP="00DF089C">
      <w:pPr>
        <w:rPr>
          <w:b/>
          <w:lang w:val="en-GB"/>
        </w:rPr>
      </w:pPr>
    </w:p>
    <w:p w:rsidR="00C149D1" w:rsidRPr="004B3FEB" w:rsidRDefault="005E65B3" w:rsidP="00DF089C">
      <w:pPr>
        <w:rPr>
          <w:b/>
          <w:lang w:val="en-GB"/>
        </w:rPr>
      </w:pPr>
      <w:r w:rsidRPr="00DF3CEE">
        <w:rPr>
          <w:b/>
          <w:lang w:val="en-GB"/>
        </w:rPr>
        <w:t xml:space="preserve">Table </w:t>
      </w:r>
      <w:r w:rsidR="00074552" w:rsidRPr="00DF3CEE">
        <w:rPr>
          <w:b/>
          <w:lang w:val="en-GB"/>
        </w:rPr>
        <w:t>7</w:t>
      </w:r>
      <w:r w:rsidR="004B3FEB">
        <w:rPr>
          <w:b/>
          <w:lang w:val="en-GB"/>
        </w:rPr>
        <w:t xml:space="preserve">: </w:t>
      </w:r>
      <w:r w:rsidRPr="00DF3CEE">
        <w:rPr>
          <w:i/>
          <w:lang w:val="en-GB"/>
        </w:rPr>
        <w:t>Office Services in ISAT U</w:t>
      </w:r>
    </w:p>
    <w:p w:rsidR="00C5486B" w:rsidRPr="00DF3CEE" w:rsidRDefault="00C5486B" w:rsidP="00DF089C">
      <w:pPr>
        <w:rPr>
          <w:i/>
          <w:lang w:val="en-GB"/>
        </w:rPr>
      </w:pPr>
    </w:p>
    <w:tbl>
      <w:tblPr>
        <w:tblW w:w="8714" w:type="dxa"/>
        <w:jc w:val="center"/>
        <w:tblLook w:val="04A0" w:firstRow="1" w:lastRow="0" w:firstColumn="1" w:lastColumn="0" w:noHBand="0" w:noVBand="1"/>
      </w:tblPr>
      <w:tblGrid>
        <w:gridCol w:w="3194"/>
        <w:gridCol w:w="1600"/>
        <w:gridCol w:w="3920"/>
      </w:tblGrid>
      <w:tr w:rsidR="002526A2" w:rsidTr="00502761">
        <w:trPr>
          <w:trHeight w:val="320"/>
          <w:jc w:val="center"/>
        </w:trPr>
        <w:tc>
          <w:tcPr>
            <w:tcW w:w="3194" w:type="dxa"/>
            <w:tcBorders>
              <w:top w:val="single" w:sz="8" w:space="0" w:color="000000"/>
              <w:bottom w:val="single" w:sz="8" w:space="0" w:color="000000"/>
            </w:tcBorders>
            <w:shd w:val="clear" w:color="auto" w:fill="auto"/>
            <w:noWrap/>
            <w:vAlign w:val="center"/>
            <w:hideMark/>
          </w:tcPr>
          <w:p w:rsidR="0033376D" w:rsidRPr="00DF3CEE" w:rsidRDefault="005E65B3" w:rsidP="00C149D1">
            <w:pPr>
              <w:jc w:val="center"/>
              <w:rPr>
                <w:b/>
                <w:bCs/>
                <w:sz w:val="22"/>
                <w:szCs w:val="22"/>
                <w:lang w:val="en-GB"/>
              </w:rPr>
            </w:pPr>
            <w:r w:rsidRPr="00DF3CEE">
              <w:rPr>
                <w:b/>
                <w:bCs/>
                <w:sz w:val="22"/>
                <w:szCs w:val="22"/>
                <w:lang w:val="en-GB"/>
              </w:rPr>
              <w:t>Services</w:t>
            </w:r>
          </w:p>
        </w:tc>
        <w:tc>
          <w:tcPr>
            <w:tcW w:w="1600" w:type="dxa"/>
            <w:tcBorders>
              <w:top w:val="single" w:sz="8" w:space="0" w:color="000000"/>
              <w:bottom w:val="single" w:sz="8" w:space="0" w:color="000000"/>
            </w:tcBorders>
            <w:shd w:val="clear" w:color="auto" w:fill="auto"/>
            <w:noWrap/>
            <w:vAlign w:val="center"/>
            <w:hideMark/>
          </w:tcPr>
          <w:p w:rsidR="0033376D" w:rsidRPr="00DF3CEE" w:rsidRDefault="005E65B3" w:rsidP="00C149D1">
            <w:pPr>
              <w:jc w:val="center"/>
              <w:rPr>
                <w:b/>
                <w:bCs/>
                <w:sz w:val="22"/>
                <w:szCs w:val="22"/>
                <w:lang w:val="en-GB"/>
              </w:rPr>
            </w:pPr>
            <w:r w:rsidRPr="00DF3CEE">
              <w:rPr>
                <w:b/>
                <w:bCs/>
                <w:sz w:val="22"/>
                <w:szCs w:val="22"/>
                <w:lang w:val="en-GB"/>
              </w:rPr>
              <w:t>Weig</w:t>
            </w:r>
            <w:r w:rsidR="00C149D1" w:rsidRPr="00DF3CEE">
              <w:rPr>
                <w:b/>
                <w:bCs/>
                <w:sz w:val="22"/>
                <w:szCs w:val="22"/>
                <w:lang w:val="en-GB"/>
              </w:rPr>
              <w:t>ht</w:t>
            </w:r>
            <w:r w:rsidRPr="00DF3CEE">
              <w:rPr>
                <w:b/>
                <w:bCs/>
                <w:sz w:val="22"/>
                <w:szCs w:val="22"/>
                <w:lang w:val="en-GB"/>
              </w:rPr>
              <w:t>ed Mean</w:t>
            </w:r>
          </w:p>
        </w:tc>
        <w:tc>
          <w:tcPr>
            <w:tcW w:w="3920" w:type="dxa"/>
            <w:tcBorders>
              <w:top w:val="single" w:sz="8" w:space="0" w:color="000000"/>
              <w:bottom w:val="single" w:sz="8" w:space="0" w:color="000000"/>
            </w:tcBorders>
            <w:shd w:val="clear" w:color="auto" w:fill="auto"/>
            <w:noWrap/>
            <w:vAlign w:val="center"/>
            <w:hideMark/>
          </w:tcPr>
          <w:p w:rsidR="0033376D" w:rsidRPr="00DF3CEE" w:rsidRDefault="005E65B3" w:rsidP="00C149D1">
            <w:pPr>
              <w:jc w:val="center"/>
              <w:rPr>
                <w:b/>
                <w:bCs/>
                <w:sz w:val="22"/>
                <w:szCs w:val="22"/>
                <w:lang w:val="en-GB"/>
              </w:rPr>
            </w:pPr>
            <w:r w:rsidRPr="00DF3CEE">
              <w:rPr>
                <w:b/>
                <w:bCs/>
                <w:sz w:val="22"/>
                <w:szCs w:val="22"/>
                <w:lang w:val="en-GB"/>
              </w:rPr>
              <w:t>Description</w:t>
            </w:r>
          </w:p>
        </w:tc>
      </w:tr>
      <w:tr w:rsidR="002526A2" w:rsidTr="00502761">
        <w:trPr>
          <w:trHeight w:val="320"/>
          <w:jc w:val="center"/>
        </w:trPr>
        <w:tc>
          <w:tcPr>
            <w:tcW w:w="3194" w:type="dxa"/>
            <w:tcBorders>
              <w:top w:val="single" w:sz="8" w:space="0" w:color="000000"/>
            </w:tcBorders>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Registrar's office</w:t>
            </w:r>
          </w:p>
        </w:tc>
        <w:tc>
          <w:tcPr>
            <w:tcW w:w="1600" w:type="dxa"/>
            <w:tcBorders>
              <w:top w:val="single" w:sz="8" w:space="0" w:color="000000"/>
            </w:tcBorders>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3.2</w:t>
            </w:r>
            <w:r w:rsidR="00C72B12" w:rsidRPr="00DF3CEE">
              <w:rPr>
                <w:sz w:val="22"/>
                <w:szCs w:val="22"/>
                <w:lang w:val="en-GB"/>
              </w:rPr>
              <w:t>9</w:t>
            </w:r>
          </w:p>
        </w:tc>
        <w:tc>
          <w:tcPr>
            <w:tcW w:w="3920" w:type="dxa"/>
            <w:tcBorders>
              <w:top w:val="single" w:sz="8" w:space="0" w:color="000000"/>
            </w:tcBorders>
            <w:shd w:val="clear" w:color="auto" w:fill="auto"/>
            <w:vAlign w:val="center"/>
            <w:hideMark/>
          </w:tcPr>
          <w:p w:rsidR="0033376D" w:rsidRPr="00DF3CEE" w:rsidRDefault="005E65B3" w:rsidP="00C149D1">
            <w:pPr>
              <w:jc w:val="center"/>
              <w:rPr>
                <w:sz w:val="22"/>
                <w:szCs w:val="22"/>
                <w:lang w:val="en-GB"/>
              </w:rPr>
            </w:pPr>
            <w:r w:rsidRPr="00DF3CEE">
              <w:rPr>
                <w:sz w:val="22"/>
                <w:szCs w:val="22"/>
                <w:lang w:val="en-GB"/>
              </w:rPr>
              <w:t>Highly adequate</w:t>
            </w:r>
          </w:p>
        </w:tc>
      </w:tr>
      <w:tr w:rsidR="002526A2" w:rsidTr="00502761">
        <w:trPr>
          <w:trHeight w:val="320"/>
          <w:jc w:val="center"/>
        </w:trPr>
        <w:tc>
          <w:tcPr>
            <w:tcW w:w="3194"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Career Guidance and Counselling</w:t>
            </w:r>
          </w:p>
        </w:tc>
        <w:tc>
          <w:tcPr>
            <w:tcW w:w="160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3.02</w:t>
            </w:r>
          </w:p>
        </w:tc>
        <w:tc>
          <w:tcPr>
            <w:tcW w:w="392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Moderately adequate</w:t>
            </w:r>
          </w:p>
        </w:tc>
      </w:tr>
      <w:tr w:rsidR="002526A2" w:rsidTr="00502761">
        <w:trPr>
          <w:trHeight w:val="320"/>
          <w:jc w:val="center"/>
        </w:trPr>
        <w:tc>
          <w:tcPr>
            <w:tcW w:w="3194"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Gender and Development</w:t>
            </w:r>
          </w:p>
        </w:tc>
        <w:tc>
          <w:tcPr>
            <w:tcW w:w="160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3.07</w:t>
            </w:r>
          </w:p>
        </w:tc>
        <w:tc>
          <w:tcPr>
            <w:tcW w:w="392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Moderately adequate</w:t>
            </w:r>
          </w:p>
        </w:tc>
      </w:tr>
      <w:tr w:rsidR="002526A2" w:rsidTr="00502761">
        <w:trPr>
          <w:trHeight w:val="320"/>
          <w:jc w:val="center"/>
        </w:trPr>
        <w:tc>
          <w:tcPr>
            <w:tcW w:w="3194"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Medical and Dental</w:t>
            </w:r>
          </w:p>
        </w:tc>
        <w:tc>
          <w:tcPr>
            <w:tcW w:w="160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2.31</w:t>
            </w:r>
          </w:p>
        </w:tc>
        <w:tc>
          <w:tcPr>
            <w:tcW w:w="392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Moderately adequate</w:t>
            </w:r>
          </w:p>
        </w:tc>
      </w:tr>
      <w:tr w:rsidR="002526A2" w:rsidTr="00502761">
        <w:trPr>
          <w:trHeight w:val="320"/>
          <w:jc w:val="center"/>
        </w:trPr>
        <w:tc>
          <w:tcPr>
            <w:tcW w:w="3194"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Networking training and events</w:t>
            </w:r>
          </w:p>
        </w:tc>
        <w:tc>
          <w:tcPr>
            <w:tcW w:w="160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3.13</w:t>
            </w:r>
          </w:p>
        </w:tc>
        <w:tc>
          <w:tcPr>
            <w:tcW w:w="3920" w:type="dxa"/>
            <w:shd w:val="clear" w:color="auto" w:fill="auto"/>
            <w:noWrap/>
            <w:vAlign w:val="center"/>
            <w:hideMark/>
          </w:tcPr>
          <w:p w:rsidR="0033376D" w:rsidRPr="00DF3CEE" w:rsidRDefault="005E65B3" w:rsidP="00C149D1">
            <w:pPr>
              <w:jc w:val="center"/>
              <w:rPr>
                <w:sz w:val="22"/>
                <w:szCs w:val="22"/>
                <w:lang w:val="en-GB"/>
              </w:rPr>
            </w:pPr>
            <w:r w:rsidRPr="00DF3CEE">
              <w:rPr>
                <w:sz w:val="22"/>
                <w:szCs w:val="22"/>
                <w:lang w:val="en-GB"/>
              </w:rPr>
              <w:t>Moderately adequate</w:t>
            </w:r>
          </w:p>
        </w:tc>
      </w:tr>
      <w:tr w:rsidR="002526A2" w:rsidTr="00502761">
        <w:trPr>
          <w:trHeight w:val="320"/>
          <w:jc w:val="center"/>
        </w:trPr>
        <w:tc>
          <w:tcPr>
            <w:tcW w:w="3194" w:type="dxa"/>
            <w:tcBorders>
              <w:bottom w:val="single" w:sz="8" w:space="0" w:color="000000"/>
            </w:tcBorders>
            <w:shd w:val="clear" w:color="auto" w:fill="auto"/>
            <w:noWrap/>
            <w:vAlign w:val="center"/>
            <w:hideMark/>
          </w:tcPr>
          <w:p w:rsidR="0033376D" w:rsidRPr="00DF3CEE" w:rsidRDefault="005E65B3" w:rsidP="00C149D1">
            <w:pPr>
              <w:jc w:val="center"/>
              <w:rPr>
                <w:b/>
                <w:bCs/>
                <w:sz w:val="22"/>
                <w:szCs w:val="22"/>
                <w:lang w:val="en-GB"/>
              </w:rPr>
            </w:pPr>
            <w:r w:rsidRPr="00DF3CEE">
              <w:rPr>
                <w:b/>
                <w:bCs/>
                <w:sz w:val="22"/>
                <w:szCs w:val="22"/>
                <w:lang w:val="en-GB"/>
              </w:rPr>
              <w:t>Overall</w:t>
            </w:r>
          </w:p>
        </w:tc>
        <w:tc>
          <w:tcPr>
            <w:tcW w:w="1600" w:type="dxa"/>
            <w:tcBorders>
              <w:bottom w:val="single" w:sz="8" w:space="0" w:color="000000"/>
            </w:tcBorders>
            <w:shd w:val="clear" w:color="auto" w:fill="auto"/>
            <w:noWrap/>
            <w:vAlign w:val="center"/>
            <w:hideMark/>
          </w:tcPr>
          <w:p w:rsidR="0033376D" w:rsidRPr="00DF3CEE" w:rsidRDefault="005E65B3" w:rsidP="00C149D1">
            <w:pPr>
              <w:jc w:val="center"/>
              <w:rPr>
                <w:b/>
                <w:bCs/>
                <w:sz w:val="22"/>
                <w:szCs w:val="22"/>
                <w:lang w:val="en-GB"/>
              </w:rPr>
            </w:pPr>
            <w:r w:rsidRPr="00DF3CEE">
              <w:rPr>
                <w:b/>
                <w:bCs/>
                <w:sz w:val="22"/>
                <w:szCs w:val="22"/>
                <w:lang w:val="en-GB"/>
              </w:rPr>
              <w:t>2.96</w:t>
            </w:r>
          </w:p>
        </w:tc>
        <w:tc>
          <w:tcPr>
            <w:tcW w:w="3920" w:type="dxa"/>
            <w:tcBorders>
              <w:bottom w:val="single" w:sz="8" w:space="0" w:color="000000"/>
            </w:tcBorders>
            <w:shd w:val="clear" w:color="auto" w:fill="auto"/>
            <w:noWrap/>
            <w:vAlign w:val="center"/>
            <w:hideMark/>
          </w:tcPr>
          <w:p w:rsidR="0033376D" w:rsidRPr="00DF3CEE" w:rsidRDefault="005E65B3" w:rsidP="00C149D1">
            <w:pPr>
              <w:jc w:val="center"/>
              <w:rPr>
                <w:b/>
                <w:bCs/>
                <w:sz w:val="22"/>
                <w:szCs w:val="22"/>
                <w:lang w:val="en-GB"/>
              </w:rPr>
            </w:pPr>
            <w:r w:rsidRPr="00DF3CEE">
              <w:rPr>
                <w:b/>
                <w:bCs/>
                <w:sz w:val="22"/>
                <w:szCs w:val="22"/>
                <w:lang w:val="en-GB"/>
              </w:rPr>
              <w:t>Moderately adequate</w:t>
            </w:r>
          </w:p>
        </w:tc>
      </w:tr>
    </w:tbl>
    <w:p w:rsidR="006E3F1C" w:rsidRPr="00DF3CEE" w:rsidRDefault="006E3F1C" w:rsidP="00DF089C">
      <w:pPr>
        <w:rPr>
          <w:lang w:val="en-GB"/>
        </w:rPr>
      </w:pPr>
    </w:p>
    <w:p w:rsidR="00CF48E3" w:rsidRPr="00DF3CEE" w:rsidRDefault="005E65B3" w:rsidP="006E3F1C">
      <w:pPr>
        <w:jc w:val="both"/>
        <w:rPr>
          <w:lang w:val="en-GB"/>
        </w:rPr>
      </w:pPr>
      <w:r w:rsidRPr="00DF3CEE">
        <w:rPr>
          <w:lang w:val="en-GB"/>
        </w:rPr>
        <w:t xml:space="preserve">Table 7 shows the overall rating for office services in ISAT U </w:t>
      </w:r>
      <w:r w:rsidR="00D05374" w:rsidRPr="00DF3CEE">
        <w:rPr>
          <w:lang w:val="en-GB"/>
        </w:rPr>
        <w:t>as</w:t>
      </w:r>
      <w:r w:rsidRPr="00DF3CEE">
        <w:rPr>
          <w:lang w:val="en-GB"/>
        </w:rPr>
        <w:t xml:space="preserve"> moderately adequate (2.96). All services were rated moderately adequate; only the registrar’s office </w:t>
      </w:r>
      <w:r w:rsidR="0000030A" w:rsidRPr="00DF3CEE">
        <w:rPr>
          <w:lang w:val="en-GB"/>
        </w:rPr>
        <w:t>rated</w:t>
      </w:r>
      <w:r w:rsidRPr="00DF3CEE">
        <w:rPr>
          <w:lang w:val="en-GB"/>
        </w:rPr>
        <w:t xml:space="preserve"> highly adequate (3.29). </w:t>
      </w:r>
      <w:r w:rsidR="00D05374" w:rsidRPr="00DF3CEE">
        <w:rPr>
          <w:lang w:val="en-GB"/>
        </w:rPr>
        <w:t>The registrar's office's high rating reflects its demands on the lives of the students who use its services.</w:t>
      </w:r>
      <w:r w:rsidR="00810B68" w:rsidRPr="00DF3CEE">
        <w:rPr>
          <w:lang w:val="en-GB"/>
        </w:rPr>
        <w:t xml:space="preserve"> </w:t>
      </w:r>
      <w:r w:rsidRPr="00DF3CEE">
        <w:rPr>
          <w:shd w:val="clear" w:color="auto" w:fill="FFFFFF"/>
        </w:rPr>
        <w:t>Sauter &amp; Shanken (2015</w:t>
      </w:r>
      <w:r w:rsidR="00810B68" w:rsidRPr="00DF3CEE">
        <w:rPr>
          <w:shd w:val="clear" w:color="auto" w:fill="FFFFFF"/>
        </w:rPr>
        <w:t>) mentioned</w:t>
      </w:r>
      <w:r w:rsidRPr="00DF3CEE">
        <w:rPr>
          <w:shd w:val="clear" w:color="auto" w:fill="FFFFFF"/>
        </w:rPr>
        <w:t xml:space="preserve"> </w:t>
      </w:r>
      <w:r w:rsidR="0000030A" w:rsidRPr="00DF3CEE">
        <w:rPr>
          <w:shd w:val="clear" w:color="auto" w:fill="FFFFFF"/>
        </w:rPr>
        <w:t>in Young (2006, p. 2)</w:t>
      </w:r>
      <w:r w:rsidR="00810B68" w:rsidRPr="00DF3CEE">
        <w:rPr>
          <w:shd w:val="clear" w:color="auto" w:fill="FFFFFF"/>
        </w:rPr>
        <w:t xml:space="preserve"> </w:t>
      </w:r>
      <w:r w:rsidR="0000030A" w:rsidRPr="00DF3CEE">
        <w:rPr>
          <w:shd w:val="clear" w:color="auto" w:fill="FFFFFF"/>
        </w:rPr>
        <w:t xml:space="preserve">that </w:t>
      </w:r>
      <w:r w:rsidR="00810B68" w:rsidRPr="00DF3CEE">
        <w:rPr>
          <w:shd w:val="clear" w:color="auto" w:fill="FFFFFF"/>
        </w:rPr>
        <w:t xml:space="preserve">the </w:t>
      </w:r>
      <w:r w:rsidR="00C76D89" w:rsidRPr="00DF3CEE">
        <w:rPr>
          <w:shd w:val="clear" w:color="auto" w:fill="FFFFFF"/>
        </w:rPr>
        <w:t>“</w:t>
      </w:r>
      <w:r w:rsidR="00810B68" w:rsidRPr="00DF3CEE">
        <w:rPr>
          <w:shd w:val="clear" w:color="auto" w:fill="FFFFFF"/>
        </w:rPr>
        <w:t>registrar’s central mission has remained remarkably the same throughout the history of higher education: preserve the integrity, accuracy, and privacy of all academic records; to interpret institutional and governmental policies to the academic and general community and to efficiently distribute these records in full compliance with applicable policies, laws, and regulation</w:t>
      </w:r>
      <w:r w:rsidR="0000030A" w:rsidRPr="00DF3CEE">
        <w:rPr>
          <w:shd w:val="clear" w:color="auto" w:fill="FFFFFF"/>
        </w:rPr>
        <w:t>.</w:t>
      </w:r>
      <w:r w:rsidR="00810B68" w:rsidRPr="00DF3CEE">
        <w:rPr>
          <w:shd w:val="clear" w:color="auto" w:fill="FFFFFF"/>
        </w:rPr>
        <w:t xml:space="preserve">” </w:t>
      </w:r>
    </w:p>
    <w:p w:rsidR="006E3F1C" w:rsidRPr="00DF3CEE" w:rsidRDefault="006E3F1C" w:rsidP="00DF089C">
      <w:pPr>
        <w:rPr>
          <w:lang w:val="en-GB"/>
        </w:rPr>
      </w:pPr>
    </w:p>
    <w:p w:rsidR="005C6767" w:rsidRPr="00DF3CEE" w:rsidRDefault="005E65B3" w:rsidP="00DF089C">
      <w:pPr>
        <w:rPr>
          <w:b/>
          <w:bCs/>
          <w:lang w:val="en-GB"/>
        </w:rPr>
      </w:pPr>
      <w:r w:rsidRPr="00DF3CEE">
        <w:rPr>
          <w:b/>
          <w:lang w:val="en-GB"/>
        </w:rPr>
        <w:t>5.</w:t>
      </w:r>
      <w:r w:rsidR="006163F2" w:rsidRPr="00DF3CEE">
        <w:rPr>
          <w:b/>
          <w:lang w:val="en-GB"/>
        </w:rPr>
        <w:t>8</w:t>
      </w:r>
      <w:r w:rsidRPr="00DF3CEE">
        <w:rPr>
          <w:b/>
          <w:lang w:val="en-GB"/>
        </w:rPr>
        <w:t xml:space="preserve">. </w:t>
      </w:r>
      <w:r w:rsidRPr="00DF3CEE">
        <w:rPr>
          <w:b/>
          <w:bCs/>
          <w:lang w:val="en-GB"/>
        </w:rPr>
        <w:t xml:space="preserve">Assessment of the </w:t>
      </w:r>
      <w:r w:rsidR="00E50AA8" w:rsidRPr="00DF3CEE">
        <w:rPr>
          <w:b/>
          <w:bCs/>
          <w:lang w:val="en-GB"/>
        </w:rPr>
        <w:t>H</w:t>
      </w:r>
      <w:r w:rsidRPr="00DF3CEE">
        <w:rPr>
          <w:b/>
          <w:bCs/>
          <w:lang w:val="en-GB"/>
        </w:rPr>
        <w:t xml:space="preserve">uman </w:t>
      </w:r>
      <w:r w:rsidR="00E50AA8" w:rsidRPr="00DF3CEE">
        <w:rPr>
          <w:b/>
          <w:bCs/>
          <w:lang w:val="en-GB"/>
        </w:rPr>
        <w:t>R</w:t>
      </w:r>
      <w:r w:rsidRPr="00DF3CEE">
        <w:rPr>
          <w:b/>
          <w:bCs/>
          <w:lang w:val="en-GB"/>
        </w:rPr>
        <w:t xml:space="preserve">esources </w:t>
      </w:r>
      <w:r w:rsidR="00E50AA8" w:rsidRPr="00DF3CEE">
        <w:rPr>
          <w:b/>
          <w:bCs/>
          <w:lang w:val="en-GB"/>
        </w:rPr>
        <w:t>S</w:t>
      </w:r>
      <w:r w:rsidRPr="00DF3CEE">
        <w:rPr>
          <w:b/>
          <w:bCs/>
          <w:lang w:val="en-GB"/>
        </w:rPr>
        <w:t>ervices in ISAT U</w:t>
      </w:r>
    </w:p>
    <w:p w:rsidR="0057376B" w:rsidRPr="00DF3CEE" w:rsidRDefault="0057376B" w:rsidP="00DF089C">
      <w:pPr>
        <w:rPr>
          <w:b/>
          <w:bCs/>
          <w:lang w:val="en-GB"/>
        </w:rPr>
      </w:pPr>
    </w:p>
    <w:p w:rsidR="0057376B" w:rsidRPr="004B3FEB" w:rsidRDefault="005E65B3" w:rsidP="00DF089C">
      <w:pPr>
        <w:rPr>
          <w:b/>
          <w:lang w:val="en-GB"/>
        </w:rPr>
      </w:pPr>
      <w:r w:rsidRPr="00DF3CEE">
        <w:rPr>
          <w:b/>
          <w:lang w:val="en-GB"/>
        </w:rPr>
        <w:t>Table</w:t>
      </w:r>
      <w:r w:rsidR="006163F2" w:rsidRPr="00DF3CEE">
        <w:rPr>
          <w:b/>
          <w:lang w:val="en-GB"/>
        </w:rPr>
        <w:t xml:space="preserve"> 8</w:t>
      </w:r>
      <w:r w:rsidR="004B3FEB">
        <w:rPr>
          <w:b/>
          <w:lang w:val="en-GB"/>
        </w:rPr>
        <w:t xml:space="preserve">: </w:t>
      </w:r>
      <w:r w:rsidRPr="00DF3CEE">
        <w:rPr>
          <w:bCs/>
          <w:i/>
          <w:lang w:val="en-GB"/>
        </w:rPr>
        <w:t>Assessment of the human resources services in ISAT U</w:t>
      </w:r>
    </w:p>
    <w:p w:rsidR="00C5486B" w:rsidRPr="00DF3CEE" w:rsidRDefault="00C5486B" w:rsidP="00DF089C">
      <w:pPr>
        <w:rPr>
          <w:i/>
          <w:lang w:val="en-GB"/>
        </w:rPr>
      </w:pPr>
    </w:p>
    <w:tbl>
      <w:tblPr>
        <w:tblW w:w="7591" w:type="dxa"/>
        <w:jc w:val="center"/>
        <w:tblLook w:val="04A0" w:firstRow="1" w:lastRow="0" w:firstColumn="1" w:lastColumn="0" w:noHBand="0" w:noVBand="1"/>
      </w:tblPr>
      <w:tblGrid>
        <w:gridCol w:w="2035"/>
        <w:gridCol w:w="2065"/>
        <w:gridCol w:w="3491"/>
      </w:tblGrid>
      <w:tr w:rsidR="002526A2" w:rsidTr="00D40D39">
        <w:trPr>
          <w:trHeight w:val="313"/>
          <w:jc w:val="center"/>
        </w:trPr>
        <w:tc>
          <w:tcPr>
            <w:tcW w:w="2035" w:type="dxa"/>
            <w:tcBorders>
              <w:top w:val="single" w:sz="8" w:space="0" w:color="000000"/>
              <w:bottom w:val="single" w:sz="8" w:space="0" w:color="000000"/>
            </w:tcBorders>
            <w:shd w:val="clear" w:color="auto" w:fill="auto"/>
            <w:noWrap/>
            <w:vAlign w:val="center"/>
            <w:hideMark/>
          </w:tcPr>
          <w:p w:rsidR="00E463FA" w:rsidRPr="00DF3CEE" w:rsidRDefault="005E65B3" w:rsidP="00D40D39">
            <w:pPr>
              <w:jc w:val="center"/>
              <w:rPr>
                <w:b/>
                <w:bCs/>
                <w:lang w:val="en-GB"/>
              </w:rPr>
            </w:pPr>
            <w:r w:rsidRPr="00DF3CEE">
              <w:rPr>
                <w:b/>
                <w:bCs/>
                <w:lang w:val="en-GB"/>
              </w:rPr>
              <w:lastRenderedPageBreak/>
              <w:t>Services</w:t>
            </w:r>
          </w:p>
        </w:tc>
        <w:tc>
          <w:tcPr>
            <w:tcW w:w="2065" w:type="dxa"/>
            <w:tcBorders>
              <w:top w:val="single" w:sz="8" w:space="0" w:color="000000"/>
              <w:bottom w:val="single" w:sz="8" w:space="0" w:color="000000"/>
            </w:tcBorders>
            <w:shd w:val="clear" w:color="auto" w:fill="auto"/>
            <w:noWrap/>
            <w:vAlign w:val="center"/>
            <w:hideMark/>
          </w:tcPr>
          <w:p w:rsidR="00E463FA" w:rsidRPr="00DF3CEE" w:rsidRDefault="005E65B3" w:rsidP="00D40D39">
            <w:pPr>
              <w:jc w:val="center"/>
              <w:rPr>
                <w:b/>
                <w:bCs/>
                <w:lang w:val="en-GB"/>
              </w:rPr>
            </w:pPr>
            <w:r w:rsidRPr="00DF3CEE">
              <w:rPr>
                <w:b/>
                <w:bCs/>
                <w:lang w:val="en-GB"/>
              </w:rPr>
              <w:t>Weig</w:t>
            </w:r>
            <w:r w:rsidR="00D40D39" w:rsidRPr="00DF3CEE">
              <w:rPr>
                <w:b/>
                <w:bCs/>
                <w:lang w:val="en-GB"/>
              </w:rPr>
              <w:t>h</w:t>
            </w:r>
            <w:r w:rsidRPr="00DF3CEE">
              <w:rPr>
                <w:b/>
                <w:bCs/>
                <w:lang w:val="en-GB"/>
              </w:rPr>
              <w:t>ted Mean</w:t>
            </w:r>
          </w:p>
        </w:tc>
        <w:tc>
          <w:tcPr>
            <w:tcW w:w="3491" w:type="dxa"/>
            <w:tcBorders>
              <w:top w:val="single" w:sz="8" w:space="0" w:color="000000"/>
              <w:bottom w:val="single" w:sz="8" w:space="0" w:color="000000"/>
            </w:tcBorders>
            <w:shd w:val="clear" w:color="auto" w:fill="auto"/>
            <w:noWrap/>
            <w:vAlign w:val="center"/>
            <w:hideMark/>
          </w:tcPr>
          <w:p w:rsidR="00E463FA" w:rsidRPr="00DF3CEE" w:rsidRDefault="005E65B3" w:rsidP="00D40D39">
            <w:pPr>
              <w:jc w:val="center"/>
              <w:rPr>
                <w:b/>
                <w:bCs/>
                <w:lang w:val="en-GB"/>
              </w:rPr>
            </w:pPr>
            <w:r w:rsidRPr="00DF3CEE">
              <w:rPr>
                <w:b/>
                <w:bCs/>
                <w:lang w:val="en-GB"/>
              </w:rPr>
              <w:t>Description</w:t>
            </w:r>
          </w:p>
        </w:tc>
      </w:tr>
      <w:tr w:rsidR="002526A2" w:rsidTr="00D40D39">
        <w:trPr>
          <w:trHeight w:val="313"/>
          <w:jc w:val="center"/>
        </w:trPr>
        <w:tc>
          <w:tcPr>
            <w:tcW w:w="2035" w:type="dxa"/>
            <w:tcBorders>
              <w:top w:val="single" w:sz="8" w:space="0" w:color="000000"/>
            </w:tcBorders>
            <w:shd w:val="clear" w:color="auto" w:fill="auto"/>
            <w:noWrap/>
            <w:vAlign w:val="center"/>
            <w:hideMark/>
          </w:tcPr>
          <w:p w:rsidR="00E463FA" w:rsidRPr="00DF3CEE" w:rsidRDefault="005E65B3" w:rsidP="00D40D39">
            <w:pPr>
              <w:jc w:val="center"/>
              <w:rPr>
                <w:lang w:val="en-GB"/>
              </w:rPr>
            </w:pPr>
            <w:r w:rsidRPr="00DF3CEE">
              <w:rPr>
                <w:lang w:val="en-GB"/>
              </w:rPr>
              <w:t>Administration</w:t>
            </w:r>
          </w:p>
        </w:tc>
        <w:tc>
          <w:tcPr>
            <w:tcW w:w="2065" w:type="dxa"/>
            <w:tcBorders>
              <w:top w:val="single" w:sz="8" w:space="0" w:color="000000"/>
            </w:tcBorders>
            <w:shd w:val="clear" w:color="auto" w:fill="auto"/>
            <w:noWrap/>
            <w:vAlign w:val="center"/>
            <w:hideMark/>
          </w:tcPr>
          <w:p w:rsidR="00E463FA" w:rsidRPr="00DF3CEE" w:rsidRDefault="005E65B3" w:rsidP="00D40D39">
            <w:pPr>
              <w:jc w:val="center"/>
              <w:rPr>
                <w:lang w:val="en-GB"/>
              </w:rPr>
            </w:pPr>
            <w:r w:rsidRPr="00DF3CEE">
              <w:rPr>
                <w:lang w:val="en-GB"/>
              </w:rPr>
              <w:t>3.91</w:t>
            </w:r>
          </w:p>
        </w:tc>
        <w:tc>
          <w:tcPr>
            <w:tcW w:w="3491" w:type="dxa"/>
            <w:tcBorders>
              <w:top w:val="single" w:sz="8" w:space="0" w:color="000000"/>
            </w:tcBorders>
            <w:shd w:val="clear" w:color="auto" w:fill="auto"/>
            <w:vAlign w:val="center"/>
            <w:hideMark/>
          </w:tcPr>
          <w:p w:rsidR="00E463FA" w:rsidRPr="00DF3CEE" w:rsidRDefault="005E65B3" w:rsidP="00D40D39">
            <w:pPr>
              <w:jc w:val="center"/>
              <w:rPr>
                <w:sz w:val="21"/>
                <w:szCs w:val="21"/>
                <w:lang w:val="en-GB"/>
              </w:rPr>
            </w:pPr>
            <w:r w:rsidRPr="00DF3CEE">
              <w:rPr>
                <w:sz w:val="21"/>
                <w:szCs w:val="21"/>
                <w:lang w:val="en-GB"/>
              </w:rPr>
              <w:t>Highly adequate</w:t>
            </w:r>
          </w:p>
        </w:tc>
      </w:tr>
      <w:tr w:rsidR="002526A2" w:rsidTr="00D40D39">
        <w:trPr>
          <w:trHeight w:val="313"/>
          <w:jc w:val="center"/>
        </w:trPr>
        <w:tc>
          <w:tcPr>
            <w:tcW w:w="2035" w:type="dxa"/>
            <w:shd w:val="clear" w:color="auto" w:fill="auto"/>
            <w:noWrap/>
            <w:vAlign w:val="center"/>
            <w:hideMark/>
          </w:tcPr>
          <w:p w:rsidR="00E463FA" w:rsidRPr="00DF3CEE" w:rsidRDefault="005E65B3" w:rsidP="00D40D39">
            <w:pPr>
              <w:jc w:val="center"/>
              <w:rPr>
                <w:sz w:val="21"/>
                <w:szCs w:val="21"/>
                <w:lang w:val="en-GB"/>
              </w:rPr>
            </w:pPr>
            <w:r w:rsidRPr="00DF3CEE">
              <w:rPr>
                <w:sz w:val="21"/>
                <w:szCs w:val="21"/>
                <w:lang w:val="en-GB"/>
              </w:rPr>
              <w:t>Faculty</w:t>
            </w:r>
          </w:p>
        </w:tc>
        <w:tc>
          <w:tcPr>
            <w:tcW w:w="2065" w:type="dxa"/>
            <w:shd w:val="clear" w:color="auto" w:fill="auto"/>
            <w:noWrap/>
            <w:vAlign w:val="center"/>
            <w:hideMark/>
          </w:tcPr>
          <w:p w:rsidR="00E463FA" w:rsidRPr="00DF3CEE" w:rsidRDefault="005E65B3" w:rsidP="00D40D39">
            <w:pPr>
              <w:jc w:val="center"/>
              <w:rPr>
                <w:lang w:val="en-GB"/>
              </w:rPr>
            </w:pPr>
            <w:r w:rsidRPr="00DF3CEE">
              <w:rPr>
                <w:lang w:val="en-GB"/>
              </w:rPr>
              <w:t>3.46</w:t>
            </w:r>
          </w:p>
        </w:tc>
        <w:tc>
          <w:tcPr>
            <w:tcW w:w="3491" w:type="dxa"/>
            <w:shd w:val="clear" w:color="auto" w:fill="auto"/>
            <w:vAlign w:val="center"/>
            <w:hideMark/>
          </w:tcPr>
          <w:p w:rsidR="00E463FA" w:rsidRPr="00DF3CEE" w:rsidRDefault="005E65B3" w:rsidP="00D40D39">
            <w:pPr>
              <w:jc w:val="center"/>
              <w:rPr>
                <w:sz w:val="21"/>
                <w:szCs w:val="21"/>
                <w:lang w:val="en-GB"/>
              </w:rPr>
            </w:pPr>
            <w:r w:rsidRPr="00DF3CEE">
              <w:rPr>
                <w:sz w:val="21"/>
                <w:szCs w:val="21"/>
                <w:lang w:val="en-GB"/>
              </w:rPr>
              <w:t>Highly adequate</w:t>
            </w:r>
          </w:p>
        </w:tc>
      </w:tr>
      <w:tr w:rsidR="002526A2" w:rsidTr="00D40D39">
        <w:trPr>
          <w:trHeight w:val="313"/>
          <w:jc w:val="center"/>
        </w:trPr>
        <w:tc>
          <w:tcPr>
            <w:tcW w:w="2035" w:type="dxa"/>
            <w:shd w:val="clear" w:color="auto" w:fill="auto"/>
            <w:noWrap/>
            <w:vAlign w:val="center"/>
            <w:hideMark/>
          </w:tcPr>
          <w:p w:rsidR="00E463FA" w:rsidRPr="00DF3CEE" w:rsidRDefault="005E65B3" w:rsidP="00D40D39">
            <w:pPr>
              <w:jc w:val="center"/>
              <w:rPr>
                <w:sz w:val="21"/>
                <w:szCs w:val="21"/>
                <w:lang w:val="en-GB"/>
              </w:rPr>
            </w:pPr>
            <w:r w:rsidRPr="00DF3CEE">
              <w:rPr>
                <w:sz w:val="21"/>
                <w:szCs w:val="21"/>
                <w:lang w:val="en-GB"/>
              </w:rPr>
              <w:t>Staff</w:t>
            </w:r>
          </w:p>
        </w:tc>
        <w:tc>
          <w:tcPr>
            <w:tcW w:w="2065" w:type="dxa"/>
            <w:shd w:val="clear" w:color="auto" w:fill="auto"/>
            <w:noWrap/>
            <w:vAlign w:val="center"/>
            <w:hideMark/>
          </w:tcPr>
          <w:p w:rsidR="00E463FA" w:rsidRPr="00DF3CEE" w:rsidRDefault="005E65B3" w:rsidP="00D40D39">
            <w:pPr>
              <w:jc w:val="center"/>
              <w:rPr>
                <w:lang w:val="en-GB"/>
              </w:rPr>
            </w:pPr>
            <w:r w:rsidRPr="00DF3CEE">
              <w:rPr>
                <w:lang w:val="en-GB"/>
              </w:rPr>
              <w:t>3.84</w:t>
            </w:r>
          </w:p>
        </w:tc>
        <w:tc>
          <w:tcPr>
            <w:tcW w:w="3491" w:type="dxa"/>
            <w:shd w:val="clear" w:color="auto" w:fill="auto"/>
            <w:vAlign w:val="center"/>
            <w:hideMark/>
          </w:tcPr>
          <w:p w:rsidR="00E463FA" w:rsidRPr="00DF3CEE" w:rsidRDefault="005E65B3" w:rsidP="00D40D39">
            <w:pPr>
              <w:jc w:val="center"/>
              <w:rPr>
                <w:sz w:val="21"/>
                <w:szCs w:val="21"/>
                <w:lang w:val="en-GB"/>
              </w:rPr>
            </w:pPr>
            <w:r w:rsidRPr="00DF3CEE">
              <w:rPr>
                <w:sz w:val="21"/>
                <w:szCs w:val="21"/>
                <w:lang w:val="en-GB"/>
              </w:rPr>
              <w:t>Highly adequate</w:t>
            </w:r>
          </w:p>
        </w:tc>
      </w:tr>
      <w:tr w:rsidR="002526A2" w:rsidTr="00D40D39">
        <w:trPr>
          <w:trHeight w:val="313"/>
          <w:jc w:val="center"/>
        </w:trPr>
        <w:tc>
          <w:tcPr>
            <w:tcW w:w="2035" w:type="dxa"/>
            <w:tcBorders>
              <w:bottom w:val="single" w:sz="8" w:space="0" w:color="000000"/>
            </w:tcBorders>
            <w:shd w:val="clear" w:color="auto" w:fill="auto"/>
            <w:noWrap/>
            <w:vAlign w:val="center"/>
            <w:hideMark/>
          </w:tcPr>
          <w:p w:rsidR="00E463FA" w:rsidRPr="00DF3CEE" w:rsidRDefault="005E65B3" w:rsidP="00D40D39">
            <w:pPr>
              <w:jc w:val="center"/>
              <w:rPr>
                <w:b/>
                <w:bCs/>
                <w:sz w:val="21"/>
                <w:szCs w:val="21"/>
                <w:lang w:val="en-GB"/>
              </w:rPr>
            </w:pPr>
            <w:r w:rsidRPr="00DF3CEE">
              <w:rPr>
                <w:b/>
                <w:bCs/>
                <w:sz w:val="21"/>
                <w:szCs w:val="21"/>
                <w:lang w:val="en-GB"/>
              </w:rPr>
              <w:t>Overall</w:t>
            </w:r>
          </w:p>
        </w:tc>
        <w:tc>
          <w:tcPr>
            <w:tcW w:w="2065" w:type="dxa"/>
            <w:tcBorders>
              <w:bottom w:val="single" w:sz="8" w:space="0" w:color="000000"/>
            </w:tcBorders>
            <w:shd w:val="clear" w:color="auto" w:fill="auto"/>
            <w:noWrap/>
            <w:vAlign w:val="center"/>
            <w:hideMark/>
          </w:tcPr>
          <w:p w:rsidR="00E463FA" w:rsidRPr="00DF3CEE" w:rsidRDefault="005E65B3" w:rsidP="00D40D39">
            <w:pPr>
              <w:jc w:val="center"/>
              <w:rPr>
                <w:b/>
                <w:bCs/>
                <w:lang w:val="en-GB"/>
              </w:rPr>
            </w:pPr>
            <w:r w:rsidRPr="00DF3CEE">
              <w:rPr>
                <w:b/>
                <w:bCs/>
                <w:lang w:val="en-GB"/>
              </w:rPr>
              <w:t>3.74</w:t>
            </w:r>
          </w:p>
        </w:tc>
        <w:tc>
          <w:tcPr>
            <w:tcW w:w="3491" w:type="dxa"/>
            <w:tcBorders>
              <w:bottom w:val="single" w:sz="8" w:space="0" w:color="000000"/>
            </w:tcBorders>
            <w:shd w:val="clear" w:color="auto" w:fill="auto"/>
            <w:vAlign w:val="center"/>
            <w:hideMark/>
          </w:tcPr>
          <w:p w:rsidR="00E463FA" w:rsidRPr="00DF3CEE" w:rsidRDefault="005E65B3" w:rsidP="00D40D39">
            <w:pPr>
              <w:jc w:val="center"/>
              <w:rPr>
                <w:b/>
                <w:bCs/>
                <w:sz w:val="21"/>
                <w:szCs w:val="21"/>
                <w:lang w:val="en-GB"/>
              </w:rPr>
            </w:pPr>
            <w:r w:rsidRPr="00DF3CEE">
              <w:rPr>
                <w:b/>
                <w:bCs/>
                <w:sz w:val="21"/>
                <w:szCs w:val="21"/>
                <w:lang w:val="en-GB"/>
              </w:rPr>
              <w:t>Highly adequate</w:t>
            </w:r>
          </w:p>
        </w:tc>
      </w:tr>
    </w:tbl>
    <w:p w:rsidR="00D7233F" w:rsidRPr="00DF3CEE" w:rsidRDefault="00D7233F" w:rsidP="00DF089C">
      <w:pPr>
        <w:rPr>
          <w:lang w:val="en-GB"/>
        </w:rPr>
      </w:pPr>
    </w:p>
    <w:p w:rsidR="00D12550" w:rsidRPr="00DF3CEE" w:rsidRDefault="005E65B3" w:rsidP="00D12550">
      <w:pPr>
        <w:jc w:val="both"/>
      </w:pPr>
      <w:r w:rsidRPr="00DF3CEE">
        <w:t xml:space="preserve">On </w:t>
      </w:r>
      <w:r w:rsidR="002B7366" w:rsidRPr="00DF3CEE">
        <w:t>assessing</w:t>
      </w:r>
      <w:r w:rsidRPr="00DF3CEE">
        <w:t xml:space="preserve"> the human </w:t>
      </w:r>
      <w:r w:rsidR="003009BB" w:rsidRPr="00DF3CEE">
        <w:t>resources services in ISAT U</w:t>
      </w:r>
      <w:r w:rsidR="002B7366" w:rsidRPr="00DF3CEE">
        <w:t>,</w:t>
      </w:r>
      <w:r w:rsidR="003009BB" w:rsidRPr="00DF3CEE">
        <w:t xml:space="preserve"> all services were rated highly adequate (3.74)</w:t>
      </w:r>
      <w:r w:rsidR="002B7366" w:rsidRPr="00DF3CEE">
        <w:t>. The administration has the highest rating (3.91), which clearly shows that administrative support is crucial to the needs of the students</w:t>
      </w:r>
      <w:r w:rsidR="00791C51" w:rsidRPr="00DF3CEE">
        <w:t>,</w:t>
      </w:r>
      <w:r w:rsidR="002B7366" w:rsidRPr="00DF3CEE">
        <w:t xml:space="preserve"> especially </w:t>
      </w:r>
      <w:r w:rsidR="00C50AD4" w:rsidRPr="00DF3CEE">
        <w:t xml:space="preserve">in crafting policies that benefit students. </w:t>
      </w:r>
      <w:r w:rsidRPr="00DF3CEE">
        <w:t xml:space="preserve">Miller, Murry Jr, and Embry (2023) highlighted the </w:t>
      </w:r>
      <w:r w:rsidR="00305B5A" w:rsidRPr="00DF3CEE">
        <w:t>administration’s role as a shared service provider in graduate education units, suggesting they enhance</w:t>
      </w:r>
      <w:r w:rsidRPr="00DF3CEE">
        <w:t xml:space="preserve"> the graduate school experience by offering graduate certificates, teaching and mentoring programs, and undergraduate courses on obtaining admission.</w:t>
      </w:r>
    </w:p>
    <w:p w:rsidR="00C50AD4" w:rsidRPr="00DF3CEE" w:rsidRDefault="00C50AD4" w:rsidP="002B7366">
      <w:pPr>
        <w:jc w:val="both"/>
        <w:rPr>
          <w:lang w:val="en-GB"/>
        </w:rPr>
      </w:pPr>
    </w:p>
    <w:p w:rsidR="00927DBD" w:rsidRPr="00DF3CEE" w:rsidRDefault="005E65B3" w:rsidP="00DF089C">
      <w:pPr>
        <w:rPr>
          <w:b/>
          <w:lang w:val="en-GB"/>
        </w:rPr>
      </w:pPr>
      <w:r w:rsidRPr="00DF3CEE">
        <w:rPr>
          <w:b/>
          <w:lang w:val="en-GB"/>
        </w:rPr>
        <w:t>5.</w:t>
      </w:r>
      <w:r w:rsidR="006163F2" w:rsidRPr="00DF3CEE">
        <w:rPr>
          <w:b/>
          <w:lang w:val="en-GB"/>
        </w:rPr>
        <w:t>9</w:t>
      </w:r>
      <w:r w:rsidRPr="00DF3CEE">
        <w:rPr>
          <w:b/>
          <w:lang w:val="en-GB"/>
        </w:rPr>
        <w:t>. Satisfaction with the Current Position</w:t>
      </w:r>
    </w:p>
    <w:p w:rsidR="00A957BB" w:rsidRPr="00DF3CEE" w:rsidRDefault="00A957BB" w:rsidP="00DF089C">
      <w:pPr>
        <w:rPr>
          <w:lang w:val="en-GB"/>
        </w:rPr>
      </w:pPr>
    </w:p>
    <w:p w:rsidR="007B7B44" w:rsidRPr="004B3FEB" w:rsidRDefault="005E65B3" w:rsidP="00DF089C">
      <w:pPr>
        <w:rPr>
          <w:b/>
          <w:lang w:val="en-GB"/>
        </w:rPr>
      </w:pPr>
      <w:r w:rsidRPr="00DF3CEE">
        <w:rPr>
          <w:b/>
          <w:lang w:val="en-GB"/>
        </w:rPr>
        <w:t xml:space="preserve">Table </w:t>
      </w:r>
      <w:r w:rsidR="006163F2" w:rsidRPr="00DF3CEE">
        <w:rPr>
          <w:b/>
          <w:lang w:val="en-GB"/>
        </w:rPr>
        <w:t>9</w:t>
      </w:r>
      <w:r w:rsidR="004B3FEB">
        <w:rPr>
          <w:b/>
          <w:lang w:val="en-GB"/>
        </w:rPr>
        <w:t xml:space="preserve">: </w:t>
      </w:r>
      <w:r w:rsidRPr="00DF3CEE">
        <w:rPr>
          <w:i/>
          <w:lang w:val="en-GB"/>
        </w:rPr>
        <w:t>Satisfaction with the Current Position</w:t>
      </w:r>
    </w:p>
    <w:p w:rsidR="007B7B44" w:rsidRPr="00DF3CEE" w:rsidRDefault="007B7B44" w:rsidP="00DF089C">
      <w:pPr>
        <w:rPr>
          <w:lang w:val="en-GB"/>
        </w:rPr>
      </w:pPr>
    </w:p>
    <w:tbl>
      <w:tblPr>
        <w:tblW w:w="8620" w:type="dxa"/>
        <w:jc w:val="center"/>
        <w:tblLook w:val="04A0" w:firstRow="1" w:lastRow="0" w:firstColumn="1" w:lastColumn="0" w:noHBand="0" w:noVBand="1"/>
      </w:tblPr>
      <w:tblGrid>
        <w:gridCol w:w="2942"/>
        <w:gridCol w:w="2098"/>
        <w:gridCol w:w="3580"/>
      </w:tblGrid>
      <w:tr w:rsidR="002526A2" w:rsidTr="00502761">
        <w:trPr>
          <w:trHeight w:val="320"/>
          <w:jc w:val="center"/>
        </w:trPr>
        <w:tc>
          <w:tcPr>
            <w:tcW w:w="2942" w:type="dxa"/>
            <w:tcBorders>
              <w:top w:val="single" w:sz="8" w:space="0" w:color="000000"/>
              <w:bottom w:val="single" w:sz="8" w:space="0" w:color="000000"/>
            </w:tcBorders>
            <w:shd w:val="clear" w:color="auto" w:fill="auto"/>
            <w:noWrap/>
            <w:vAlign w:val="center"/>
            <w:hideMark/>
          </w:tcPr>
          <w:p w:rsidR="00927DBD" w:rsidRPr="00DF3CEE" w:rsidRDefault="005E65B3" w:rsidP="00A957BB">
            <w:pPr>
              <w:jc w:val="center"/>
              <w:rPr>
                <w:b/>
                <w:bCs/>
                <w:lang w:val="en-GB"/>
              </w:rPr>
            </w:pPr>
            <w:r w:rsidRPr="00DF3CEE">
              <w:rPr>
                <w:b/>
                <w:bCs/>
                <w:lang w:val="en-GB"/>
              </w:rPr>
              <w:t>Satisfaction</w:t>
            </w:r>
          </w:p>
        </w:tc>
        <w:tc>
          <w:tcPr>
            <w:tcW w:w="2098" w:type="dxa"/>
            <w:tcBorders>
              <w:top w:val="single" w:sz="8" w:space="0" w:color="000000"/>
              <w:bottom w:val="single" w:sz="8" w:space="0" w:color="000000"/>
            </w:tcBorders>
            <w:shd w:val="clear" w:color="auto" w:fill="auto"/>
            <w:noWrap/>
            <w:vAlign w:val="center"/>
            <w:hideMark/>
          </w:tcPr>
          <w:p w:rsidR="00927DBD" w:rsidRPr="00DF3CEE" w:rsidRDefault="005E65B3" w:rsidP="00A957BB">
            <w:pPr>
              <w:jc w:val="center"/>
              <w:rPr>
                <w:b/>
                <w:bCs/>
                <w:lang w:val="en-GB"/>
              </w:rPr>
            </w:pPr>
            <w:r w:rsidRPr="00DF3CEE">
              <w:rPr>
                <w:b/>
                <w:bCs/>
                <w:lang w:val="en-GB"/>
              </w:rPr>
              <w:t>Weig</w:t>
            </w:r>
            <w:r w:rsidR="00A957BB" w:rsidRPr="00DF3CEE">
              <w:rPr>
                <w:b/>
                <w:bCs/>
                <w:lang w:val="en-GB"/>
              </w:rPr>
              <w:t>h</w:t>
            </w:r>
            <w:r w:rsidRPr="00DF3CEE">
              <w:rPr>
                <w:b/>
                <w:bCs/>
                <w:lang w:val="en-GB"/>
              </w:rPr>
              <w:t>ted Mean</w:t>
            </w:r>
          </w:p>
        </w:tc>
        <w:tc>
          <w:tcPr>
            <w:tcW w:w="3580" w:type="dxa"/>
            <w:tcBorders>
              <w:top w:val="single" w:sz="8" w:space="0" w:color="000000"/>
              <w:bottom w:val="single" w:sz="8" w:space="0" w:color="000000"/>
            </w:tcBorders>
            <w:shd w:val="clear" w:color="auto" w:fill="auto"/>
            <w:noWrap/>
            <w:vAlign w:val="center"/>
            <w:hideMark/>
          </w:tcPr>
          <w:p w:rsidR="00927DBD" w:rsidRPr="00DF3CEE" w:rsidRDefault="005E65B3" w:rsidP="00A957BB">
            <w:pPr>
              <w:jc w:val="center"/>
              <w:rPr>
                <w:b/>
                <w:bCs/>
                <w:lang w:val="en-GB"/>
              </w:rPr>
            </w:pPr>
            <w:r w:rsidRPr="00DF3CEE">
              <w:rPr>
                <w:b/>
                <w:bCs/>
                <w:lang w:val="en-GB"/>
              </w:rPr>
              <w:t>Description</w:t>
            </w:r>
          </w:p>
        </w:tc>
      </w:tr>
      <w:tr w:rsidR="002526A2" w:rsidTr="00502761">
        <w:trPr>
          <w:trHeight w:val="320"/>
          <w:jc w:val="center"/>
        </w:trPr>
        <w:tc>
          <w:tcPr>
            <w:tcW w:w="2942" w:type="dxa"/>
            <w:tcBorders>
              <w:top w:val="single" w:sz="8" w:space="0" w:color="000000"/>
            </w:tcBorders>
            <w:shd w:val="clear" w:color="auto" w:fill="auto"/>
            <w:noWrap/>
            <w:vAlign w:val="center"/>
            <w:hideMark/>
          </w:tcPr>
          <w:p w:rsidR="00927DBD" w:rsidRPr="00DF3CEE" w:rsidRDefault="005E65B3" w:rsidP="00A957BB">
            <w:pPr>
              <w:jc w:val="center"/>
              <w:rPr>
                <w:lang w:val="en-GB"/>
              </w:rPr>
            </w:pPr>
            <w:r w:rsidRPr="00DF3CEE">
              <w:rPr>
                <w:lang w:val="en-GB"/>
              </w:rPr>
              <w:t>Position</w:t>
            </w:r>
          </w:p>
        </w:tc>
        <w:tc>
          <w:tcPr>
            <w:tcW w:w="2098" w:type="dxa"/>
            <w:tcBorders>
              <w:top w:val="single" w:sz="8" w:space="0" w:color="000000"/>
            </w:tcBorders>
            <w:shd w:val="clear" w:color="auto" w:fill="auto"/>
            <w:noWrap/>
            <w:vAlign w:val="center"/>
            <w:hideMark/>
          </w:tcPr>
          <w:p w:rsidR="00927DBD" w:rsidRPr="00DF3CEE" w:rsidRDefault="005E65B3" w:rsidP="00A957BB">
            <w:pPr>
              <w:jc w:val="center"/>
              <w:rPr>
                <w:lang w:val="en-GB"/>
              </w:rPr>
            </w:pPr>
            <w:r w:rsidRPr="00DF3CEE">
              <w:rPr>
                <w:lang w:val="en-GB"/>
              </w:rPr>
              <w:t>2.87</w:t>
            </w:r>
          </w:p>
        </w:tc>
        <w:tc>
          <w:tcPr>
            <w:tcW w:w="3580" w:type="dxa"/>
            <w:tcBorders>
              <w:top w:val="single" w:sz="8" w:space="0" w:color="000000"/>
            </w:tcBorders>
            <w:shd w:val="clear" w:color="auto" w:fill="auto"/>
            <w:vAlign w:val="center"/>
            <w:hideMark/>
          </w:tcPr>
          <w:p w:rsidR="00927DBD" w:rsidRPr="00DF3CEE" w:rsidRDefault="005E65B3" w:rsidP="00A957BB">
            <w:pPr>
              <w:jc w:val="center"/>
              <w:rPr>
                <w:lang w:val="en-GB"/>
              </w:rPr>
            </w:pPr>
            <w:r w:rsidRPr="00DF3CEE">
              <w:rPr>
                <w:lang w:val="en-GB"/>
              </w:rPr>
              <w:t>Moderately satisfied</w:t>
            </w:r>
          </w:p>
        </w:tc>
      </w:tr>
      <w:tr w:rsidR="002526A2" w:rsidTr="00502761">
        <w:trPr>
          <w:trHeight w:val="320"/>
          <w:jc w:val="center"/>
        </w:trPr>
        <w:tc>
          <w:tcPr>
            <w:tcW w:w="2942" w:type="dxa"/>
            <w:shd w:val="clear" w:color="auto" w:fill="auto"/>
            <w:noWrap/>
            <w:vAlign w:val="center"/>
            <w:hideMark/>
          </w:tcPr>
          <w:p w:rsidR="00927DBD" w:rsidRPr="00DF3CEE" w:rsidRDefault="005E65B3" w:rsidP="00A957BB">
            <w:pPr>
              <w:jc w:val="center"/>
              <w:rPr>
                <w:lang w:val="en-GB"/>
              </w:rPr>
            </w:pPr>
            <w:r w:rsidRPr="00DF3CEE">
              <w:rPr>
                <w:lang w:val="en-GB"/>
              </w:rPr>
              <w:t>Salary</w:t>
            </w:r>
          </w:p>
        </w:tc>
        <w:tc>
          <w:tcPr>
            <w:tcW w:w="2098" w:type="dxa"/>
            <w:shd w:val="clear" w:color="auto" w:fill="auto"/>
            <w:noWrap/>
            <w:vAlign w:val="center"/>
            <w:hideMark/>
          </w:tcPr>
          <w:p w:rsidR="00927DBD" w:rsidRPr="00DF3CEE" w:rsidRDefault="005E65B3" w:rsidP="00A957BB">
            <w:pPr>
              <w:jc w:val="center"/>
              <w:rPr>
                <w:lang w:val="en-GB"/>
              </w:rPr>
            </w:pPr>
            <w:r w:rsidRPr="00DF3CEE">
              <w:rPr>
                <w:lang w:val="en-GB"/>
              </w:rPr>
              <w:t>2.8</w:t>
            </w:r>
            <w:r w:rsidR="0056101B" w:rsidRPr="00DF3CEE">
              <w:rPr>
                <w:lang w:val="en-GB"/>
              </w:rPr>
              <w:t>3</w:t>
            </w:r>
          </w:p>
        </w:tc>
        <w:tc>
          <w:tcPr>
            <w:tcW w:w="3580" w:type="dxa"/>
            <w:shd w:val="clear" w:color="auto" w:fill="auto"/>
            <w:vAlign w:val="center"/>
            <w:hideMark/>
          </w:tcPr>
          <w:p w:rsidR="00927DBD" w:rsidRPr="00DF3CEE" w:rsidRDefault="005E65B3" w:rsidP="00A957BB">
            <w:pPr>
              <w:jc w:val="center"/>
              <w:rPr>
                <w:lang w:val="en-GB"/>
              </w:rPr>
            </w:pPr>
            <w:r w:rsidRPr="00DF3CEE">
              <w:rPr>
                <w:lang w:val="en-GB"/>
              </w:rPr>
              <w:t>Moderately satisfied</w:t>
            </w:r>
          </w:p>
        </w:tc>
      </w:tr>
      <w:tr w:rsidR="002526A2" w:rsidTr="00502761">
        <w:trPr>
          <w:trHeight w:val="320"/>
          <w:jc w:val="center"/>
        </w:trPr>
        <w:tc>
          <w:tcPr>
            <w:tcW w:w="2942" w:type="dxa"/>
            <w:shd w:val="clear" w:color="auto" w:fill="auto"/>
            <w:noWrap/>
            <w:vAlign w:val="center"/>
            <w:hideMark/>
          </w:tcPr>
          <w:p w:rsidR="00927DBD" w:rsidRPr="00DF3CEE" w:rsidRDefault="005E65B3" w:rsidP="00A957BB">
            <w:pPr>
              <w:jc w:val="center"/>
              <w:rPr>
                <w:lang w:val="en-GB"/>
              </w:rPr>
            </w:pPr>
            <w:r w:rsidRPr="00DF3CEE">
              <w:rPr>
                <w:lang w:val="en-GB"/>
              </w:rPr>
              <w:t>Fringe benefit</w:t>
            </w:r>
          </w:p>
        </w:tc>
        <w:tc>
          <w:tcPr>
            <w:tcW w:w="2098" w:type="dxa"/>
            <w:shd w:val="clear" w:color="auto" w:fill="auto"/>
            <w:noWrap/>
            <w:vAlign w:val="center"/>
            <w:hideMark/>
          </w:tcPr>
          <w:p w:rsidR="00927DBD" w:rsidRPr="00DF3CEE" w:rsidRDefault="005E65B3" w:rsidP="00A957BB">
            <w:pPr>
              <w:jc w:val="center"/>
              <w:rPr>
                <w:lang w:val="en-GB"/>
              </w:rPr>
            </w:pPr>
            <w:r w:rsidRPr="00DF3CEE">
              <w:rPr>
                <w:lang w:val="en-GB"/>
              </w:rPr>
              <w:t>3.44</w:t>
            </w:r>
          </w:p>
        </w:tc>
        <w:tc>
          <w:tcPr>
            <w:tcW w:w="3580" w:type="dxa"/>
            <w:shd w:val="clear" w:color="auto" w:fill="auto"/>
            <w:vAlign w:val="center"/>
            <w:hideMark/>
          </w:tcPr>
          <w:p w:rsidR="00927DBD" w:rsidRPr="00DF3CEE" w:rsidRDefault="005E65B3" w:rsidP="00A957BB">
            <w:pPr>
              <w:jc w:val="center"/>
              <w:rPr>
                <w:lang w:val="en-GB"/>
              </w:rPr>
            </w:pPr>
            <w:r w:rsidRPr="00DF3CEE">
              <w:rPr>
                <w:lang w:val="en-GB"/>
              </w:rPr>
              <w:t>Highly satisfied</w:t>
            </w:r>
          </w:p>
        </w:tc>
      </w:tr>
      <w:tr w:rsidR="002526A2" w:rsidTr="00502761">
        <w:trPr>
          <w:trHeight w:val="320"/>
          <w:jc w:val="center"/>
        </w:trPr>
        <w:tc>
          <w:tcPr>
            <w:tcW w:w="2942" w:type="dxa"/>
            <w:shd w:val="clear" w:color="auto" w:fill="auto"/>
            <w:noWrap/>
            <w:vAlign w:val="center"/>
            <w:hideMark/>
          </w:tcPr>
          <w:p w:rsidR="00927DBD" w:rsidRPr="00DF3CEE" w:rsidRDefault="005E65B3" w:rsidP="00A957BB">
            <w:pPr>
              <w:jc w:val="center"/>
              <w:rPr>
                <w:lang w:val="en-GB"/>
              </w:rPr>
            </w:pPr>
            <w:r w:rsidRPr="00DF3CEE">
              <w:rPr>
                <w:lang w:val="en-GB"/>
              </w:rPr>
              <w:t>Job security</w:t>
            </w:r>
          </w:p>
        </w:tc>
        <w:tc>
          <w:tcPr>
            <w:tcW w:w="2098" w:type="dxa"/>
            <w:shd w:val="clear" w:color="auto" w:fill="auto"/>
            <w:noWrap/>
            <w:vAlign w:val="center"/>
            <w:hideMark/>
          </w:tcPr>
          <w:p w:rsidR="00927DBD" w:rsidRPr="00DF3CEE" w:rsidRDefault="005E65B3" w:rsidP="00A957BB">
            <w:pPr>
              <w:jc w:val="center"/>
              <w:rPr>
                <w:lang w:val="en-GB"/>
              </w:rPr>
            </w:pPr>
            <w:r w:rsidRPr="00DF3CEE">
              <w:rPr>
                <w:lang w:val="en-GB"/>
              </w:rPr>
              <w:t>3.79</w:t>
            </w:r>
          </w:p>
        </w:tc>
        <w:tc>
          <w:tcPr>
            <w:tcW w:w="3580" w:type="dxa"/>
            <w:shd w:val="clear" w:color="auto" w:fill="auto"/>
            <w:vAlign w:val="center"/>
            <w:hideMark/>
          </w:tcPr>
          <w:p w:rsidR="00927DBD" w:rsidRPr="00DF3CEE" w:rsidRDefault="005E65B3" w:rsidP="00A957BB">
            <w:pPr>
              <w:jc w:val="center"/>
              <w:rPr>
                <w:lang w:val="en-GB"/>
              </w:rPr>
            </w:pPr>
            <w:r w:rsidRPr="00DF3CEE">
              <w:rPr>
                <w:lang w:val="en-GB"/>
              </w:rPr>
              <w:t>Highly satisfied</w:t>
            </w:r>
          </w:p>
        </w:tc>
      </w:tr>
      <w:tr w:rsidR="002526A2" w:rsidTr="00502761">
        <w:trPr>
          <w:trHeight w:val="320"/>
          <w:jc w:val="center"/>
        </w:trPr>
        <w:tc>
          <w:tcPr>
            <w:tcW w:w="2942" w:type="dxa"/>
            <w:shd w:val="clear" w:color="auto" w:fill="auto"/>
            <w:noWrap/>
            <w:vAlign w:val="center"/>
            <w:hideMark/>
          </w:tcPr>
          <w:p w:rsidR="00927DBD" w:rsidRPr="00DF3CEE" w:rsidRDefault="005E65B3" w:rsidP="00A957BB">
            <w:pPr>
              <w:jc w:val="center"/>
              <w:rPr>
                <w:lang w:val="en-GB"/>
              </w:rPr>
            </w:pPr>
            <w:r w:rsidRPr="00DF3CEE">
              <w:rPr>
                <w:lang w:val="en-GB"/>
              </w:rPr>
              <w:t>Award and recognition</w:t>
            </w:r>
          </w:p>
        </w:tc>
        <w:tc>
          <w:tcPr>
            <w:tcW w:w="2098" w:type="dxa"/>
            <w:shd w:val="clear" w:color="auto" w:fill="auto"/>
            <w:noWrap/>
            <w:vAlign w:val="center"/>
            <w:hideMark/>
          </w:tcPr>
          <w:p w:rsidR="00927DBD" w:rsidRPr="00DF3CEE" w:rsidRDefault="005E65B3" w:rsidP="00A957BB">
            <w:pPr>
              <w:jc w:val="center"/>
              <w:rPr>
                <w:lang w:val="en-GB"/>
              </w:rPr>
            </w:pPr>
            <w:r w:rsidRPr="00DF3CEE">
              <w:rPr>
                <w:lang w:val="en-GB"/>
              </w:rPr>
              <w:t>2.97</w:t>
            </w:r>
          </w:p>
        </w:tc>
        <w:tc>
          <w:tcPr>
            <w:tcW w:w="3580" w:type="dxa"/>
            <w:shd w:val="clear" w:color="auto" w:fill="auto"/>
            <w:vAlign w:val="center"/>
            <w:hideMark/>
          </w:tcPr>
          <w:p w:rsidR="00927DBD" w:rsidRPr="00DF3CEE" w:rsidRDefault="005E65B3" w:rsidP="00A957BB">
            <w:pPr>
              <w:jc w:val="center"/>
              <w:rPr>
                <w:lang w:val="en-GB"/>
              </w:rPr>
            </w:pPr>
            <w:r w:rsidRPr="00DF3CEE">
              <w:rPr>
                <w:lang w:val="en-GB"/>
              </w:rPr>
              <w:t>Moderately satisfied</w:t>
            </w:r>
          </w:p>
        </w:tc>
      </w:tr>
      <w:tr w:rsidR="002526A2" w:rsidTr="00502761">
        <w:trPr>
          <w:trHeight w:val="320"/>
          <w:jc w:val="center"/>
        </w:trPr>
        <w:tc>
          <w:tcPr>
            <w:tcW w:w="2942" w:type="dxa"/>
            <w:shd w:val="clear" w:color="auto" w:fill="auto"/>
            <w:noWrap/>
            <w:vAlign w:val="center"/>
            <w:hideMark/>
          </w:tcPr>
          <w:p w:rsidR="00927DBD" w:rsidRPr="00DF3CEE" w:rsidRDefault="005E65B3" w:rsidP="00A957BB">
            <w:pPr>
              <w:jc w:val="center"/>
              <w:rPr>
                <w:lang w:val="en-GB"/>
              </w:rPr>
            </w:pPr>
            <w:r w:rsidRPr="00DF3CEE">
              <w:rPr>
                <w:lang w:val="en-GB"/>
              </w:rPr>
              <w:t>Opportunity for training</w:t>
            </w:r>
          </w:p>
        </w:tc>
        <w:tc>
          <w:tcPr>
            <w:tcW w:w="2098" w:type="dxa"/>
            <w:shd w:val="clear" w:color="auto" w:fill="auto"/>
            <w:noWrap/>
            <w:vAlign w:val="center"/>
            <w:hideMark/>
          </w:tcPr>
          <w:p w:rsidR="00927DBD" w:rsidRPr="00DF3CEE" w:rsidRDefault="005E65B3" w:rsidP="00A957BB">
            <w:pPr>
              <w:jc w:val="center"/>
              <w:rPr>
                <w:lang w:val="en-GB"/>
              </w:rPr>
            </w:pPr>
            <w:r w:rsidRPr="00DF3CEE">
              <w:rPr>
                <w:lang w:val="en-GB"/>
              </w:rPr>
              <w:t>2.83</w:t>
            </w:r>
          </w:p>
        </w:tc>
        <w:tc>
          <w:tcPr>
            <w:tcW w:w="3580" w:type="dxa"/>
            <w:shd w:val="clear" w:color="auto" w:fill="auto"/>
            <w:vAlign w:val="center"/>
            <w:hideMark/>
          </w:tcPr>
          <w:p w:rsidR="00927DBD" w:rsidRPr="00DF3CEE" w:rsidRDefault="005E65B3" w:rsidP="00A957BB">
            <w:pPr>
              <w:jc w:val="center"/>
              <w:rPr>
                <w:lang w:val="en-GB"/>
              </w:rPr>
            </w:pPr>
            <w:r w:rsidRPr="00DF3CEE">
              <w:rPr>
                <w:lang w:val="en-GB"/>
              </w:rPr>
              <w:t>Moderately satisfied</w:t>
            </w:r>
          </w:p>
        </w:tc>
      </w:tr>
      <w:tr w:rsidR="002526A2" w:rsidTr="00502761">
        <w:trPr>
          <w:trHeight w:val="320"/>
          <w:jc w:val="center"/>
        </w:trPr>
        <w:tc>
          <w:tcPr>
            <w:tcW w:w="2942" w:type="dxa"/>
            <w:shd w:val="clear" w:color="auto" w:fill="auto"/>
            <w:noWrap/>
            <w:vAlign w:val="center"/>
            <w:hideMark/>
          </w:tcPr>
          <w:p w:rsidR="00927DBD" w:rsidRPr="00DF3CEE" w:rsidRDefault="005E65B3" w:rsidP="00A957BB">
            <w:pPr>
              <w:jc w:val="center"/>
              <w:rPr>
                <w:lang w:val="en-GB"/>
              </w:rPr>
            </w:pPr>
            <w:r w:rsidRPr="00DF3CEE">
              <w:rPr>
                <w:lang w:val="en-GB"/>
              </w:rPr>
              <w:t>Personal fulfilment</w:t>
            </w:r>
          </w:p>
        </w:tc>
        <w:tc>
          <w:tcPr>
            <w:tcW w:w="2098" w:type="dxa"/>
            <w:shd w:val="clear" w:color="auto" w:fill="auto"/>
            <w:noWrap/>
            <w:vAlign w:val="center"/>
            <w:hideMark/>
          </w:tcPr>
          <w:p w:rsidR="00927DBD" w:rsidRPr="00DF3CEE" w:rsidRDefault="005E65B3" w:rsidP="00A957BB">
            <w:pPr>
              <w:jc w:val="center"/>
              <w:rPr>
                <w:lang w:val="en-GB"/>
              </w:rPr>
            </w:pPr>
            <w:r w:rsidRPr="00DF3CEE">
              <w:rPr>
                <w:lang w:val="en-GB"/>
              </w:rPr>
              <w:t>3.80</w:t>
            </w:r>
          </w:p>
        </w:tc>
        <w:tc>
          <w:tcPr>
            <w:tcW w:w="3580" w:type="dxa"/>
            <w:shd w:val="clear" w:color="auto" w:fill="auto"/>
            <w:vAlign w:val="center"/>
            <w:hideMark/>
          </w:tcPr>
          <w:p w:rsidR="00927DBD" w:rsidRPr="00DF3CEE" w:rsidRDefault="005E65B3" w:rsidP="00A957BB">
            <w:pPr>
              <w:jc w:val="center"/>
              <w:rPr>
                <w:lang w:val="en-GB"/>
              </w:rPr>
            </w:pPr>
            <w:r w:rsidRPr="00DF3CEE">
              <w:rPr>
                <w:lang w:val="en-GB"/>
              </w:rPr>
              <w:t>Highly satisfied</w:t>
            </w:r>
          </w:p>
        </w:tc>
      </w:tr>
      <w:tr w:rsidR="002526A2" w:rsidTr="00502761">
        <w:trPr>
          <w:trHeight w:val="320"/>
          <w:jc w:val="center"/>
        </w:trPr>
        <w:tc>
          <w:tcPr>
            <w:tcW w:w="2942" w:type="dxa"/>
            <w:shd w:val="clear" w:color="auto" w:fill="auto"/>
            <w:noWrap/>
            <w:vAlign w:val="center"/>
            <w:hideMark/>
          </w:tcPr>
          <w:p w:rsidR="00927DBD" w:rsidRPr="00DF3CEE" w:rsidRDefault="005E65B3" w:rsidP="00A957BB">
            <w:pPr>
              <w:jc w:val="center"/>
              <w:rPr>
                <w:lang w:val="en-GB"/>
              </w:rPr>
            </w:pPr>
            <w:r w:rsidRPr="00DF3CEE">
              <w:rPr>
                <w:lang w:val="en-GB"/>
              </w:rPr>
              <w:t>Job prestige</w:t>
            </w:r>
          </w:p>
        </w:tc>
        <w:tc>
          <w:tcPr>
            <w:tcW w:w="2098" w:type="dxa"/>
            <w:shd w:val="clear" w:color="auto" w:fill="auto"/>
            <w:noWrap/>
            <w:vAlign w:val="center"/>
            <w:hideMark/>
          </w:tcPr>
          <w:p w:rsidR="00927DBD" w:rsidRPr="00DF3CEE" w:rsidRDefault="005E65B3" w:rsidP="00A957BB">
            <w:pPr>
              <w:jc w:val="center"/>
              <w:rPr>
                <w:lang w:val="en-GB"/>
              </w:rPr>
            </w:pPr>
            <w:r w:rsidRPr="00DF3CEE">
              <w:rPr>
                <w:lang w:val="en-GB"/>
              </w:rPr>
              <w:t>3.61</w:t>
            </w:r>
          </w:p>
        </w:tc>
        <w:tc>
          <w:tcPr>
            <w:tcW w:w="3580" w:type="dxa"/>
            <w:shd w:val="clear" w:color="auto" w:fill="auto"/>
            <w:vAlign w:val="center"/>
            <w:hideMark/>
          </w:tcPr>
          <w:p w:rsidR="00927DBD" w:rsidRPr="00DF3CEE" w:rsidRDefault="005E65B3" w:rsidP="00A957BB">
            <w:pPr>
              <w:jc w:val="center"/>
              <w:rPr>
                <w:lang w:val="en-GB"/>
              </w:rPr>
            </w:pPr>
            <w:r w:rsidRPr="00DF3CEE">
              <w:rPr>
                <w:lang w:val="en-GB"/>
              </w:rPr>
              <w:t>Highly satisfied</w:t>
            </w:r>
          </w:p>
        </w:tc>
      </w:tr>
      <w:tr w:rsidR="002526A2" w:rsidTr="00502761">
        <w:trPr>
          <w:trHeight w:val="320"/>
          <w:jc w:val="center"/>
        </w:trPr>
        <w:tc>
          <w:tcPr>
            <w:tcW w:w="2942" w:type="dxa"/>
            <w:tcBorders>
              <w:bottom w:val="single" w:sz="8" w:space="0" w:color="000000"/>
            </w:tcBorders>
            <w:shd w:val="clear" w:color="auto" w:fill="auto"/>
            <w:noWrap/>
            <w:vAlign w:val="center"/>
            <w:hideMark/>
          </w:tcPr>
          <w:p w:rsidR="00927DBD" w:rsidRPr="00DF3CEE" w:rsidRDefault="005E65B3" w:rsidP="00A957BB">
            <w:pPr>
              <w:jc w:val="center"/>
              <w:rPr>
                <w:b/>
                <w:bCs/>
                <w:lang w:val="en-GB"/>
              </w:rPr>
            </w:pPr>
            <w:r w:rsidRPr="00DF3CEE">
              <w:rPr>
                <w:b/>
                <w:bCs/>
                <w:lang w:val="en-GB"/>
              </w:rPr>
              <w:t>Overall</w:t>
            </w:r>
          </w:p>
        </w:tc>
        <w:tc>
          <w:tcPr>
            <w:tcW w:w="2098" w:type="dxa"/>
            <w:tcBorders>
              <w:bottom w:val="single" w:sz="8" w:space="0" w:color="000000"/>
            </w:tcBorders>
            <w:shd w:val="clear" w:color="auto" w:fill="auto"/>
            <w:noWrap/>
            <w:vAlign w:val="center"/>
            <w:hideMark/>
          </w:tcPr>
          <w:p w:rsidR="00927DBD" w:rsidRPr="00DF3CEE" w:rsidRDefault="005E65B3" w:rsidP="00A957BB">
            <w:pPr>
              <w:jc w:val="center"/>
              <w:rPr>
                <w:b/>
                <w:bCs/>
                <w:lang w:val="en-GB"/>
              </w:rPr>
            </w:pPr>
            <w:r w:rsidRPr="00DF3CEE">
              <w:rPr>
                <w:b/>
                <w:bCs/>
                <w:lang w:val="en-GB"/>
              </w:rPr>
              <w:t>3.27</w:t>
            </w:r>
          </w:p>
        </w:tc>
        <w:tc>
          <w:tcPr>
            <w:tcW w:w="3580" w:type="dxa"/>
            <w:tcBorders>
              <w:bottom w:val="single" w:sz="8" w:space="0" w:color="000000"/>
            </w:tcBorders>
            <w:shd w:val="clear" w:color="auto" w:fill="auto"/>
            <w:vAlign w:val="center"/>
            <w:hideMark/>
          </w:tcPr>
          <w:p w:rsidR="00927DBD" w:rsidRPr="00DF3CEE" w:rsidRDefault="005E65B3" w:rsidP="00A957BB">
            <w:pPr>
              <w:jc w:val="center"/>
              <w:rPr>
                <w:b/>
                <w:bCs/>
                <w:lang w:val="en-GB"/>
              </w:rPr>
            </w:pPr>
            <w:r w:rsidRPr="00DF3CEE">
              <w:rPr>
                <w:b/>
                <w:bCs/>
                <w:lang w:val="en-GB"/>
              </w:rPr>
              <w:t>Highly satisfied</w:t>
            </w:r>
          </w:p>
        </w:tc>
      </w:tr>
    </w:tbl>
    <w:p w:rsidR="00704184" w:rsidRPr="00DF3CEE" w:rsidRDefault="00704184" w:rsidP="00DF089C">
      <w:pPr>
        <w:rPr>
          <w:lang w:val="en-GB"/>
        </w:rPr>
      </w:pPr>
    </w:p>
    <w:p w:rsidR="00707403" w:rsidRPr="00DF3CEE" w:rsidRDefault="005E65B3" w:rsidP="000D3B3E">
      <w:pPr>
        <w:jc w:val="both"/>
        <w:rPr>
          <w:lang w:val="en-GB"/>
        </w:rPr>
      </w:pPr>
      <w:r w:rsidRPr="00DF3CEE">
        <w:rPr>
          <w:lang w:val="en-GB"/>
        </w:rPr>
        <w:t>The Graduate's overall satisfaction with the current position was highly satisfactory</w:t>
      </w:r>
      <w:r w:rsidR="00704184" w:rsidRPr="00DF3CEE">
        <w:rPr>
          <w:lang w:val="en-GB"/>
        </w:rPr>
        <w:t xml:space="preserve"> (3.27)</w:t>
      </w:r>
      <w:r w:rsidR="00E40EC8" w:rsidRPr="00DF3CEE">
        <w:rPr>
          <w:lang w:val="en-GB"/>
        </w:rPr>
        <w:t xml:space="preserve">. </w:t>
      </w:r>
      <w:r w:rsidRPr="00DF3CEE">
        <w:rPr>
          <w:lang w:val="en-GB"/>
        </w:rPr>
        <w:t xml:space="preserve">Among the satisfaction factors are position (2.87), salary (2.83), award and recognition (2.97), and opportunity for training (2.83). </w:t>
      </w:r>
    </w:p>
    <w:p w:rsidR="00707403" w:rsidRPr="00DF3CEE" w:rsidRDefault="00707403" w:rsidP="000D3B3E">
      <w:pPr>
        <w:jc w:val="both"/>
        <w:rPr>
          <w:lang w:val="en-GB"/>
        </w:rPr>
      </w:pPr>
    </w:p>
    <w:p w:rsidR="00927DBD" w:rsidRDefault="005E65B3" w:rsidP="000D3B3E">
      <w:pPr>
        <w:jc w:val="both"/>
        <w:rPr>
          <w:lang w:val="en-GB"/>
        </w:rPr>
      </w:pPr>
      <w:r w:rsidRPr="00DF3CEE">
        <w:rPr>
          <w:lang w:val="en-GB"/>
        </w:rPr>
        <w:t>The majority of the graduates were satisfied in their current position with f</w:t>
      </w:r>
      <w:r w:rsidR="000D3B3E" w:rsidRPr="00DF3CEE">
        <w:rPr>
          <w:lang w:val="en-GB"/>
        </w:rPr>
        <w:t xml:space="preserve">ringe benefits (3.44), job security (3.79), personal fulfilment (3.80), and job prestige (3.61). </w:t>
      </w:r>
      <w:r w:rsidRPr="00DF3CEE">
        <w:rPr>
          <w:lang w:val="en-GB"/>
        </w:rPr>
        <w:t xml:space="preserve">The same result was found in the study of Nivera, Toledo, Sualibio, Boral, &amp; Asuncion (2015), that </w:t>
      </w:r>
      <w:r w:rsidR="000D3B3E" w:rsidRPr="00DF3CEE">
        <w:rPr>
          <w:lang w:val="en-GB"/>
        </w:rPr>
        <w:t xml:space="preserve">the </w:t>
      </w:r>
      <w:r w:rsidRPr="00DF3CEE">
        <w:rPr>
          <w:lang w:val="en-GB"/>
        </w:rPr>
        <w:t xml:space="preserve">majority of the </w:t>
      </w:r>
      <w:r w:rsidR="000D3B3E" w:rsidRPr="00DF3CEE">
        <w:rPr>
          <w:lang w:val="en-GB"/>
        </w:rPr>
        <w:t xml:space="preserve">graduates were happy, proud, and </w:t>
      </w:r>
      <w:r w:rsidRPr="00DF3CEE">
        <w:rPr>
          <w:lang w:val="en-GB"/>
        </w:rPr>
        <w:t>honoured</w:t>
      </w:r>
      <w:r w:rsidR="000D3B3E" w:rsidRPr="00DF3CEE">
        <w:rPr>
          <w:lang w:val="en-GB"/>
        </w:rPr>
        <w:t xml:space="preserve"> t</w:t>
      </w:r>
      <w:r w:rsidRPr="00DF3CEE">
        <w:rPr>
          <w:lang w:val="en-GB"/>
        </w:rPr>
        <w:t>o b</w:t>
      </w:r>
      <w:r w:rsidR="000D3B3E" w:rsidRPr="00DF3CEE">
        <w:rPr>
          <w:lang w:val="en-GB"/>
        </w:rPr>
        <w:t xml:space="preserve">e graduates of the MIT program of the CIT and ISAT U as </w:t>
      </w:r>
      <w:r w:rsidR="00672F1C" w:rsidRPr="00DF3CEE">
        <w:rPr>
          <w:lang w:val="en-GB"/>
        </w:rPr>
        <w:t xml:space="preserve">a </w:t>
      </w:r>
      <w:r w:rsidR="000D3B3E" w:rsidRPr="00DF3CEE">
        <w:rPr>
          <w:lang w:val="en-GB"/>
        </w:rPr>
        <w:t>whole.</w:t>
      </w:r>
      <w:r w:rsidR="00045F27" w:rsidRPr="00DF3CEE">
        <w:rPr>
          <w:lang w:val="en-GB"/>
        </w:rPr>
        <w:t xml:space="preserve"> </w:t>
      </w:r>
    </w:p>
    <w:p w:rsidR="005F537D" w:rsidRDefault="005F537D" w:rsidP="000D3B3E">
      <w:pPr>
        <w:jc w:val="both"/>
        <w:rPr>
          <w:lang w:val="en-GB"/>
        </w:rPr>
      </w:pPr>
    </w:p>
    <w:p w:rsidR="00E73DC5" w:rsidRDefault="005E65B3" w:rsidP="000D3B3E">
      <w:pPr>
        <w:jc w:val="both"/>
        <w:rPr>
          <w:b/>
          <w:lang w:val="en-GB"/>
        </w:rPr>
      </w:pPr>
      <w:r w:rsidRPr="00E73DC5">
        <w:rPr>
          <w:b/>
          <w:lang w:val="en-GB"/>
        </w:rPr>
        <w:t>6. SUMMARY OF FINDINGS</w:t>
      </w:r>
    </w:p>
    <w:p w:rsidR="00E9120E" w:rsidRDefault="00E9120E" w:rsidP="000D3B3E">
      <w:pPr>
        <w:jc w:val="both"/>
        <w:rPr>
          <w:b/>
          <w:lang w:val="en-GB"/>
        </w:rPr>
      </w:pPr>
    </w:p>
    <w:p w:rsidR="00E9120E" w:rsidRPr="00E9120E" w:rsidRDefault="005E65B3" w:rsidP="00E9120E">
      <w:pPr>
        <w:jc w:val="both"/>
      </w:pPr>
      <w:r w:rsidRPr="00E9120E">
        <w:t>The study reveals that 97% of participants are employed, with 97% working in government, particularly in academ</w:t>
      </w:r>
      <w:r>
        <w:t>ic</w:t>
      </w:r>
      <w:r w:rsidRPr="00E9120E">
        <w:t xml:space="preserve"> positions. Most hold non-supervisory jobs related to their course and work in Iloilo (82%). Graduates are moderately satisfied with their salaries and plan to pursue advanced </w:t>
      </w:r>
      <w:r w:rsidRPr="00E9120E">
        <w:lastRenderedPageBreak/>
        <w:t xml:space="preserve">education for career advancement. They have a high </w:t>
      </w:r>
      <w:r>
        <w:t>skill rating</w:t>
      </w:r>
      <w:r w:rsidRPr="00E9120E">
        <w:t>, with an average of 2.83. The program's coursework adequacy is moderately adequate, with a high rating for its relevance. The teaching methods are also deemed adequa</w:t>
      </w:r>
      <w:r>
        <w:t>te</w:t>
      </w:r>
      <w:r w:rsidRPr="00E9120E">
        <w:t xml:space="preserve"> and applicab</w:t>
      </w:r>
      <w:r>
        <w:t>le</w:t>
      </w:r>
      <w:r w:rsidRPr="00E9120E">
        <w:t xml:space="preserve">. Physical facilities are moderately adequate, with the library and classroom having a high rating. Office services are moderately adequate, </w:t>
      </w:r>
      <w:r w:rsidR="008A2195">
        <w:t>and</w:t>
      </w:r>
      <w:r w:rsidR="008A2195" w:rsidRPr="00E9120E">
        <w:t xml:space="preserve"> the registrar's office </w:t>
      </w:r>
      <w:r w:rsidR="008A2195">
        <w:t>is</w:t>
      </w:r>
      <w:r w:rsidRPr="00E9120E">
        <w:t xml:space="preserve"> highly adequate. Graduates' satisfaction with their current position is high, with factors such as position, salary, recognition, and training opportunities contributing to this satisfaction.</w:t>
      </w:r>
    </w:p>
    <w:p w:rsidR="00E9120E" w:rsidRDefault="00E9120E" w:rsidP="000D3B3E">
      <w:pPr>
        <w:jc w:val="both"/>
        <w:rPr>
          <w:b/>
          <w:lang w:val="en-GB"/>
        </w:rPr>
      </w:pPr>
    </w:p>
    <w:p w:rsidR="007417D0" w:rsidRPr="00DF3CEE" w:rsidRDefault="007417D0" w:rsidP="00DF089C">
      <w:pPr>
        <w:rPr>
          <w:lang w:val="en-GB"/>
        </w:rPr>
      </w:pPr>
    </w:p>
    <w:p w:rsidR="00DF089C" w:rsidRPr="00DF3CEE" w:rsidRDefault="005E65B3" w:rsidP="00DF089C">
      <w:pPr>
        <w:rPr>
          <w:b/>
          <w:lang w:val="en-GB"/>
        </w:rPr>
      </w:pPr>
      <w:r>
        <w:rPr>
          <w:b/>
          <w:lang w:val="en-GB"/>
        </w:rPr>
        <w:t>7</w:t>
      </w:r>
      <w:r w:rsidR="003D4E06" w:rsidRPr="00DF3CEE">
        <w:rPr>
          <w:b/>
          <w:lang w:val="en-GB"/>
        </w:rPr>
        <w:t xml:space="preserve">. CONCLUSION </w:t>
      </w:r>
      <w:r w:rsidR="00215F4F" w:rsidRPr="00DF3CEE">
        <w:rPr>
          <w:b/>
          <w:lang w:val="en-GB"/>
        </w:rPr>
        <w:t>AND IMPLICATION</w:t>
      </w:r>
    </w:p>
    <w:p w:rsidR="008C39A3" w:rsidRPr="00DF3CEE" w:rsidRDefault="008C39A3" w:rsidP="00DF089C">
      <w:pPr>
        <w:rPr>
          <w:b/>
          <w:lang w:val="en-GB"/>
        </w:rPr>
      </w:pPr>
    </w:p>
    <w:p w:rsidR="008B1516" w:rsidRPr="00DF3CEE" w:rsidRDefault="005E65B3" w:rsidP="008B1516">
      <w:pPr>
        <w:jc w:val="both"/>
      </w:pPr>
      <w:r w:rsidRPr="00DF3CEE">
        <w:t>The study aimed to assess the employment of MIT graduates and their evaluation of the program's relevance and suitability. The graduates, who have specialised in various professions, have achieved professional heights, promotions, and managerial positions. The university's commitment to providing high-quality, affordable advanced education has been evident in their current roles in government and academia. The graduates' dedication to their field has led to professional advancements, security of tenure, and high-level managerial positions. The study found that the MIT program results are sufficient and appropriate, and the curriculum is adequate. However, the graduates recommend further improvement. The findings have implications for the university's quota course policy and suggest policies for incorporating Industry 4.0 elements and 21st-century skills into curriculum offerings to create globally competitive graduates and prepare them for the workforce, particularly in science education.</w:t>
      </w:r>
    </w:p>
    <w:p w:rsidR="00215F4F" w:rsidRPr="00DF3CEE" w:rsidRDefault="00215F4F" w:rsidP="00215F4F">
      <w:pPr>
        <w:jc w:val="both"/>
        <w:rPr>
          <w:lang w:val="en-GB"/>
        </w:rPr>
      </w:pPr>
    </w:p>
    <w:p w:rsidR="008B1516" w:rsidRPr="00DF3CEE" w:rsidRDefault="005E65B3" w:rsidP="00215F4F">
      <w:pPr>
        <w:jc w:val="both"/>
        <w:rPr>
          <w:b/>
          <w:lang w:val="en-GB"/>
        </w:rPr>
      </w:pPr>
      <w:r>
        <w:rPr>
          <w:b/>
          <w:lang w:val="en-GB"/>
        </w:rPr>
        <w:t>8</w:t>
      </w:r>
      <w:r w:rsidR="003D4E06" w:rsidRPr="00DF3CEE">
        <w:rPr>
          <w:b/>
          <w:lang w:val="en-GB"/>
        </w:rPr>
        <w:t>. RECOMMENDATION</w:t>
      </w:r>
    </w:p>
    <w:p w:rsidR="008B1516" w:rsidRPr="00DF3CEE" w:rsidRDefault="008B1516" w:rsidP="00215F4F">
      <w:pPr>
        <w:jc w:val="both"/>
        <w:rPr>
          <w:lang w:val="en-GB"/>
        </w:rPr>
      </w:pPr>
    </w:p>
    <w:p w:rsidR="00B73465" w:rsidRDefault="005E65B3" w:rsidP="001C51A4">
      <w:pPr>
        <w:jc w:val="both"/>
      </w:pPr>
      <w:r w:rsidRPr="00DF3CEE">
        <w:t>The study suggests that the CIT and administration should create an innovative tracing system to monitor graduates' employability and condition. Artificial intelligence should be integrated to make informed decisions for graduates and service providers. A stricter admission policy will be implemented to ensure students are technologically and academically prepared. The program's adequacy and applicability will be reviewed to align with workplace needs. Capacity building and retooling will be provided to improve teaching technology subjects. Improving educational facilities will help students advance their competencies in response to Industry 4.0 demands. A tracer study could be conducted for other fields to gather feedback on curriculum development and employers' opinions on graduates' job preparedness.</w:t>
      </w:r>
    </w:p>
    <w:p w:rsidR="004B3FEB" w:rsidRDefault="004B3FEB" w:rsidP="001C51A4">
      <w:pPr>
        <w:jc w:val="both"/>
      </w:pPr>
    </w:p>
    <w:p w:rsidR="004B3FEB" w:rsidRPr="004B3FEB" w:rsidRDefault="004B3FEB" w:rsidP="001C51A4">
      <w:pPr>
        <w:jc w:val="both"/>
        <w:rPr>
          <w:b/>
        </w:rPr>
      </w:pPr>
      <w:r w:rsidRPr="004B3FEB">
        <w:rPr>
          <w:b/>
        </w:rPr>
        <w:t xml:space="preserve">Ethical Approval: </w:t>
      </w:r>
    </w:p>
    <w:p w:rsidR="004B3FEB" w:rsidRDefault="004B3FEB" w:rsidP="001C51A4">
      <w:pPr>
        <w:jc w:val="both"/>
      </w:pPr>
    </w:p>
    <w:p w:rsidR="004B3FEB" w:rsidRDefault="004B3FEB" w:rsidP="001C51A4">
      <w:pPr>
        <w:jc w:val="both"/>
      </w:pPr>
      <w:r w:rsidRPr="004B3FEB">
        <w:t>The authors of this article declare that the materials and methods they use in their work require ethical committee approval and/or legal-specific permission.</w:t>
      </w:r>
    </w:p>
    <w:p w:rsidR="004B3FEB" w:rsidRDefault="004B3FEB" w:rsidP="001C51A4">
      <w:pPr>
        <w:jc w:val="both"/>
      </w:pPr>
    </w:p>
    <w:p w:rsidR="004B3FEB" w:rsidRDefault="004B3FEB" w:rsidP="004B3FEB">
      <w:pPr>
        <w:jc w:val="both"/>
        <w:rPr>
          <w:b/>
        </w:rPr>
      </w:pPr>
      <w:r w:rsidRPr="004B3FEB">
        <w:rPr>
          <w:b/>
        </w:rPr>
        <w:t>Consent</w:t>
      </w:r>
      <w:r>
        <w:rPr>
          <w:b/>
        </w:rPr>
        <w:t xml:space="preserve">: </w:t>
      </w:r>
    </w:p>
    <w:p w:rsidR="004B3FEB" w:rsidRPr="004B3FEB" w:rsidRDefault="004B3FEB" w:rsidP="004B3FEB">
      <w:pPr>
        <w:jc w:val="both"/>
        <w:rPr>
          <w:b/>
        </w:rPr>
      </w:pPr>
    </w:p>
    <w:p w:rsidR="004B3FEB" w:rsidRDefault="004B3FEB" w:rsidP="004B3FEB">
      <w:pPr>
        <w:jc w:val="both"/>
      </w:pPr>
      <w:r>
        <w:t>As per international standards or university standards, Participants’ written consent has been collected and preserved by the author(s).</w:t>
      </w:r>
    </w:p>
    <w:p w:rsidR="0062780A" w:rsidRDefault="0062780A" w:rsidP="001C51A4">
      <w:pPr>
        <w:jc w:val="both"/>
      </w:pPr>
    </w:p>
    <w:p w:rsidR="005859F2" w:rsidRPr="005859F2" w:rsidRDefault="005E65B3" w:rsidP="00DB3FE6">
      <w:pPr>
        <w:spacing w:after="200" w:line="276" w:lineRule="auto"/>
        <w:rPr>
          <w:rFonts w:eastAsia="Calibri"/>
          <w:b/>
          <w:kern w:val="2"/>
          <w:sz w:val="28"/>
          <w:szCs w:val="22"/>
          <w:lang w:val="en-US"/>
        </w:rPr>
      </w:pPr>
      <w:bookmarkStart w:id="2" w:name="_Hlk180402183"/>
      <w:bookmarkStart w:id="3" w:name="_Hlk183680988"/>
      <w:r>
        <w:rPr>
          <w:rFonts w:eastAsia="Calibri"/>
          <w:b/>
          <w:kern w:val="2"/>
          <w:szCs w:val="22"/>
          <w:lang w:val="en-US"/>
        </w:rPr>
        <w:t>9</w:t>
      </w:r>
      <w:r w:rsidRPr="005859F2">
        <w:rPr>
          <w:rFonts w:eastAsia="Calibri"/>
          <w:b/>
          <w:kern w:val="2"/>
          <w:szCs w:val="22"/>
          <w:lang w:val="en-US"/>
        </w:rPr>
        <w:t>. DISCLAIMER (ARTIFICIAL INTELLIGENCE)</w:t>
      </w:r>
      <w:bookmarkStart w:id="4" w:name="_GoBack"/>
      <w:bookmarkEnd w:id="4"/>
    </w:p>
    <w:p w:rsidR="008C39A3" w:rsidRPr="00BC7337" w:rsidRDefault="005E65B3" w:rsidP="00BC7337">
      <w:pPr>
        <w:spacing w:after="200" w:line="276" w:lineRule="auto"/>
        <w:jc w:val="both"/>
        <w:rPr>
          <w:rFonts w:eastAsia="Calibri"/>
          <w:kern w:val="2"/>
          <w:szCs w:val="22"/>
          <w:lang w:val="en-US"/>
        </w:rPr>
      </w:pPr>
      <w:r w:rsidRPr="005859F2">
        <w:rPr>
          <w:rFonts w:eastAsia="Calibri"/>
          <w:kern w:val="2"/>
          <w:szCs w:val="22"/>
          <w:lang w:val="en-US"/>
        </w:rPr>
        <w:lastRenderedPageBreak/>
        <w:t xml:space="preserve">Author(s) hereby declare that generative AI technologies such as </w:t>
      </w:r>
      <w:r w:rsidR="005859F2">
        <w:rPr>
          <w:rFonts w:eastAsia="Calibri"/>
          <w:kern w:val="2"/>
          <w:szCs w:val="22"/>
          <w:lang w:val="en-US"/>
        </w:rPr>
        <w:t>Grammarly Plagiarism</w:t>
      </w:r>
      <w:r w:rsidR="00363EF8">
        <w:rPr>
          <w:rFonts w:eastAsia="Calibri"/>
          <w:kern w:val="2"/>
          <w:szCs w:val="22"/>
          <w:lang w:val="en-US"/>
        </w:rPr>
        <w:t xml:space="preserve"> for </w:t>
      </w:r>
      <w:r w:rsidR="00BC7337">
        <w:rPr>
          <w:rFonts w:eastAsia="Calibri"/>
          <w:kern w:val="2"/>
          <w:szCs w:val="22"/>
          <w:lang w:val="en-US"/>
        </w:rPr>
        <w:t>manuscript plagiarism tests were used</w:t>
      </w:r>
      <w:r w:rsidR="006C072F">
        <w:rPr>
          <w:rFonts w:eastAsia="Calibri"/>
          <w:kern w:val="2"/>
          <w:szCs w:val="22"/>
          <w:lang w:val="en-US"/>
        </w:rPr>
        <w:t>—</w:t>
      </w:r>
      <w:r w:rsidR="005859F2">
        <w:rPr>
          <w:rFonts w:eastAsia="Calibri"/>
          <w:kern w:val="2"/>
          <w:szCs w:val="22"/>
          <w:lang w:val="en-US"/>
        </w:rPr>
        <w:t>Quillbot Free version</w:t>
      </w:r>
      <w:r w:rsidR="00BC7337">
        <w:rPr>
          <w:rFonts w:eastAsia="Calibri"/>
          <w:kern w:val="2"/>
          <w:szCs w:val="22"/>
          <w:lang w:val="en-US"/>
        </w:rPr>
        <w:t xml:space="preserve"> for paraphrasing words, phrases, and sentences. Moreover, Quillbot for summarising long paragraphs.</w:t>
      </w:r>
      <w:r w:rsidR="005859F2">
        <w:rPr>
          <w:rFonts w:eastAsia="Calibri"/>
          <w:kern w:val="2"/>
          <w:szCs w:val="22"/>
          <w:lang w:val="en-US"/>
        </w:rPr>
        <w:t xml:space="preserve"> </w:t>
      </w:r>
      <w:r w:rsidRPr="005859F2">
        <w:rPr>
          <w:rFonts w:eastAsia="Calibri"/>
          <w:kern w:val="2"/>
          <w:szCs w:val="22"/>
          <w:lang w:val="en-US"/>
        </w:rPr>
        <w:t>have been used during the writing or editing of manuscripts. This explanation will include the name, version, model, and source of the generative AI technology</w:t>
      </w:r>
      <w:r w:rsidR="00BC7337">
        <w:rPr>
          <w:rFonts w:eastAsia="Calibri"/>
          <w:kern w:val="2"/>
          <w:szCs w:val="22"/>
          <w:lang w:val="en-US"/>
        </w:rPr>
        <w:t>,</w:t>
      </w:r>
      <w:r w:rsidRPr="005859F2">
        <w:rPr>
          <w:rFonts w:eastAsia="Calibri"/>
          <w:kern w:val="2"/>
          <w:szCs w:val="22"/>
          <w:lang w:val="en-US"/>
        </w:rPr>
        <w:t xml:space="preserve"> as well as all input prompts provided to the generative AI technology</w:t>
      </w:r>
      <w:bookmarkEnd w:id="2"/>
      <w:bookmarkEnd w:id="3"/>
      <w:r w:rsidR="00BC7337">
        <w:rPr>
          <w:rFonts w:eastAsia="Calibri"/>
          <w:kern w:val="2"/>
          <w:szCs w:val="22"/>
          <w:lang w:val="en-US"/>
        </w:rPr>
        <w:t>.</w:t>
      </w:r>
    </w:p>
    <w:p w:rsidR="00B413E3" w:rsidRPr="00397CA0" w:rsidRDefault="005E65B3" w:rsidP="00DF089C">
      <w:pPr>
        <w:rPr>
          <w:b/>
          <w:color w:val="FF0000"/>
          <w:lang w:val="en-GB"/>
        </w:rPr>
      </w:pPr>
      <w:r w:rsidRPr="00397CA0">
        <w:rPr>
          <w:b/>
          <w:color w:val="FF0000"/>
          <w:lang w:val="en-GB"/>
        </w:rPr>
        <w:t>10. AUTHOR’S CONTRIBUTION</w:t>
      </w:r>
    </w:p>
    <w:p w:rsidR="00367B69" w:rsidRPr="00397CA0" w:rsidRDefault="00367B69" w:rsidP="00367B69">
      <w:pPr>
        <w:jc w:val="both"/>
        <w:rPr>
          <w:color w:val="FF0000"/>
          <w:lang w:val="en-GB"/>
        </w:rPr>
      </w:pPr>
    </w:p>
    <w:p w:rsidR="00367B69" w:rsidRPr="00397CA0" w:rsidRDefault="005E65B3" w:rsidP="00367B69">
      <w:pPr>
        <w:jc w:val="both"/>
        <w:rPr>
          <w:color w:val="FF0000"/>
        </w:rPr>
      </w:pPr>
      <w:r w:rsidRPr="00397CA0">
        <w:rPr>
          <w:color w:val="FF0000"/>
          <w:lang w:val="en-GB"/>
        </w:rPr>
        <w:t>Pablo N. MINERVA, JR.: He compared the official list of MIT graduates with the list from the Registrar's Office by connecting emails, FB accounts, and Messengers to trace the graduates.</w:t>
      </w:r>
    </w:p>
    <w:p w:rsidR="00367B69" w:rsidRPr="00397CA0" w:rsidRDefault="00367B69" w:rsidP="00367B69">
      <w:pPr>
        <w:jc w:val="both"/>
        <w:rPr>
          <w:color w:val="FF0000"/>
          <w:lang w:val="en-GB"/>
        </w:rPr>
      </w:pPr>
    </w:p>
    <w:p w:rsidR="00367B69" w:rsidRPr="00397CA0" w:rsidRDefault="005E65B3" w:rsidP="00367B69">
      <w:pPr>
        <w:jc w:val="both"/>
        <w:rPr>
          <w:color w:val="FF0000"/>
          <w:lang w:val="en-GB"/>
        </w:rPr>
      </w:pPr>
      <w:r w:rsidRPr="00397CA0">
        <w:rPr>
          <w:color w:val="FF0000"/>
          <w:lang w:val="en-GB"/>
        </w:rPr>
        <w:t>Dynn G. HARO: He converted the whole instrument for Google Forms for easy access to the respondents and supplied missing items for enhancement</w:t>
      </w:r>
    </w:p>
    <w:p w:rsidR="00367B69" w:rsidRPr="00397CA0" w:rsidRDefault="005E65B3" w:rsidP="00367B69">
      <w:pPr>
        <w:jc w:val="both"/>
        <w:rPr>
          <w:rFonts w:ascii="Calibri" w:hAnsi="Calibri" w:cs="Calibri"/>
          <w:color w:val="FF0000"/>
          <w:lang w:val="en-GB"/>
        </w:rPr>
      </w:pPr>
      <w:r w:rsidRPr="00397CA0">
        <w:rPr>
          <w:rFonts w:ascii="Calibri" w:hAnsi="Calibri" w:cs="Calibri"/>
          <w:color w:val="FF0000"/>
          <w:lang w:val="en-GB"/>
        </w:rPr>
        <w:t>﻿</w:t>
      </w:r>
    </w:p>
    <w:p w:rsidR="00FA4BA8" w:rsidRPr="00397CA0" w:rsidRDefault="00FA4BA8" w:rsidP="00DF089C">
      <w:pPr>
        <w:rPr>
          <w:b/>
          <w:color w:val="FF0000"/>
          <w:lang w:val="en-GB"/>
        </w:rPr>
      </w:pPr>
    </w:p>
    <w:p w:rsidR="00FA4BA8" w:rsidRPr="00DF3CEE" w:rsidRDefault="00FA4BA8" w:rsidP="00DF089C">
      <w:pPr>
        <w:rPr>
          <w:b/>
          <w:lang w:val="en-GB"/>
        </w:rPr>
      </w:pPr>
    </w:p>
    <w:p w:rsidR="00DF089C" w:rsidRPr="00DF3CEE" w:rsidRDefault="005E65B3" w:rsidP="00DF089C">
      <w:pPr>
        <w:rPr>
          <w:b/>
          <w:lang w:val="en-GB"/>
        </w:rPr>
      </w:pPr>
      <w:r w:rsidRPr="00DF3CEE">
        <w:rPr>
          <w:b/>
          <w:lang w:val="en-GB"/>
        </w:rPr>
        <w:t>1</w:t>
      </w:r>
      <w:r w:rsidR="00367B69">
        <w:rPr>
          <w:b/>
          <w:lang w:val="en-GB"/>
        </w:rPr>
        <w:t>2</w:t>
      </w:r>
      <w:r w:rsidRPr="00DF3CEE">
        <w:rPr>
          <w:b/>
          <w:lang w:val="en-GB"/>
        </w:rPr>
        <w:t>. REFERENCES</w:t>
      </w:r>
    </w:p>
    <w:p w:rsidR="00160A8B" w:rsidRPr="00DF3CEE" w:rsidRDefault="00160A8B" w:rsidP="0050709B">
      <w:pPr>
        <w:rPr>
          <w:lang w:val="en-GB"/>
        </w:rPr>
      </w:pPr>
    </w:p>
    <w:p w:rsidR="0000030A" w:rsidRPr="00DF3CEE" w:rsidRDefault="005E65B3" w:rsidP="0000030A">
      <w:pPr>
        <w:ind w:left="720" w:hanging="720"/>
        <w:jc w:val="both"/>
      </w:pPr>
      <w:r w:rsidRPr="00DF3CEE">
        <w:rPr>
          <w:shd w:val="clear" w:color="auto" w:fill="FFFFFF"/>
        </w:rPr>
        <w:t>Alhebri, A. A. Q. (2017). Impact of the Adequacy of Teaching Methods on Accounting Education Quality According to International Education Standards and National Requirements. </w:t>
      </w:r>
      <w:r w:rsidRPr="00DF3CEE">
        <w:rPr>
          <w:i/>
          <w:iCs/>
          <w:shd w:val="clear" w:color="auto" w:fill="FFFFFF"/>
        </w:rPr>
        <w:t>International Journal of Management Studies</w:t>
      </w:r>
      <w:r w:rsidRPr="00DF3CEE">
        <w:rPr>
          <w:shd w:val="clear" w:color="auto" w:fill="FFFFFF"/>
        </w:rPr>
        <w:t>, </w:t>
      </w:r>
      <w:r w:rsidRPr="00DF3CEE">
        <w:rPr>
          <w:i/>
          <w:iCs/>
          <w:shd w:val="clear" w:color="auto" w:fill="FFFFFF"/>
        </w:rPr>
        <w:t>4</w:t>
      </w:r>
      <w:r w:rsidRPr="00DF3CEE">
        <w:rPr>
          <w:shd w:val="clear" w:color="auto" w:fill="FFFFFF"/>
        </w:rPr>
        <w:t>(4), 56-77.</w:t>
      </w:r>
    </w:p>
    <w:p w:rsidR="0000030A" w:rsidRPr="00DF3CEE" w:rsidRDefault="005E65B3" w:rsidP="0000030A">
      <w:pPr>
        <w:ind w:left="720" w:hanging="720"/>
        <w:jc w:val="both"/>
      </w:pPr>
      <w:r w:rsidRPr="00DF3CEE">
        <w:t xml:space="preserve">Amaliyah, N., Kosasih, K., El Vitra, R., &amp; Pebriansyah, A. (2023). Descriptive Study of Tracer Study on The Profile of UHAMKA Master of Basic Education Graduates. Devotion: </w:t>
      </w:r>
      <w:r w:rsidRPr="00DF3CEE">
        <w:rPr>
          <w:i/>
        </w:rPr>
        <w:t>Journal of Research and Community Service, 4</w:t>
      </w:r>
      <w:r w:rsidRPr="00DF3CEE">
        <w:t>(2), 642-647.</w:t>
      </w:r>
    </w:p>
    <w:p w:rsidR="0000030A" w:rsidRPr="00DF3CEE" w:rsidRDefault="003E24B4" w:rsidP="0000030A">
      <w:pPr>
        <w:ind w:left="720" w:hanging="720"/>
        <w:jc w:val="both"/>
      </w:pPr>
      <w:hyperlink r:id="rId10" w:tgtFrame="_blank" w:history="1">
        <w:r w:rsidR="003D4E06" w:rsidRPr="00DF3CEE">
          <w:rPr>
            <w:rStyle w:val="Hyperlink"/>
            <w:rFonts w:eastAsiaTheme="majorEastAsia"/>
            <w:color w:val="auto"/>
          </w:rPr>
          <w:t>https://doi.org/10.59188/devotion.v4i2.423</w:t>
        </w:r>
      </w:hyperlink>
    </w:p>
    <w:p w:rsidR="0000030A" w:rsidRPr="00DF3CEE" w:rsidRDefault="005E65B3" w:rsidP="0000030A">
      <w:pPr>
        <w:tabs>
          <w:tab w:val="left" w:pos="5895"/>
        </w:tabs>
        <w:ind w:left="720" w:hanging="720"/>
        <w:jc w:val="both"/>
      </w:pPr>
      <w:r w:rsidRPr="00DF3CEE">
        <w:t>Aranda, R.R., Diaz, L.P., and Altuna,R.B. (2024). Graduate Programs Tracer Study: Commitment to Quality Graduate School Education Ma. College of Education, Arts and Sciences, National University – Manila, Philippines. https://national-u.edu.ph/wp-content/uploads/2024/01/Commitment-to-Quality-Graduate-School.pdf</w:t>
      </w:r>
    </w:p>
    <w:p w:rsidR="0000030A" w:rsidRPr="00DF3CEE" w:rsidRDefault="005E65B3" w:rsidP="0000030A">
      <w:pPr>
        <w:ind w:left="720" w:hanging="720"/>
        <w:jc w:val="both"/>
        <w:rPr>
          <w:lang w:val="en-US"/>
        </w:rPr>
      </w:pPr>
      <w:r w:rsidRPr="00DF3CEE">
        <w:rPr>
          <w:lang w:val="en-US"/>
        </w:rPr>
        <w:t>ASEAN Qualifications Reference Framework (2024). Retrieved from https://asean.org/our-communities/economic-community/services/aqrf/</w:t>
      </w:r>
    </w:p>
    <w:p w:rsidR="0049650B" w:rsidRPr="0049650B" w:rsidRDefault="005E65B3" w:rsidP="0049650B">
      <w:pPr>
        <w:ind w:left="720" w:hanging="720"/>
        <w:jc w:val="both"/>
        <w:rPr>
          <w:color w:val="FF0000"/>
        </w:rPr>
      </w:pPr>
      <w:r w:rsidRPr="002B7F6B">
        <w:rPr>
          <w:color w:val="FF0000"/>
        </w:rPr>
        <w:t>Bansiong, A.J. &amp; Alawas, D.E. (22024). Alumni's Retrospective Evaluation of their Undergraduate Secondary Teacher Education Training. Mountain Journal of Science and Interdisciplinary Research, 8(1), 46-65.</w:t>
      </w:r>
      <w:r w:rsidRPr="0049650B">
        <w:rPr>
          <w:color w:val="FF0000"/>
        </w:rPr>
        <w:t xml:space="preserve"> </w:t>
      </w:r>
      <w:hyperlink r:id="rId11" w:history="1">
        <w:r w:rsidRPr="002B7F6B">
          <w:rPr>
            <w:rStyle w:val="Hyperlink"/>
            <w:rFonts w:eastAsiaTheme="majorEastAsia"/>
            <w:color w:val="FF0000"/>
          </w:rPr>
          <w:t>https://doi.org/10.70884/mjsir.v84i1.400</w:t>
        </w:r>
      </w:hyperlink>
    </w:p>
    <w:p w:rsidR="0000030A" w:rsidRPr="00DF3CEE" w:rsidRDefault="005E65B3" w:rsidP="0000030A">
      <w:pPr>
        <w:ind w:left="720" w:hanging="720"/>
        <w:jc w:val="both"/>
      </w:pPr>
      <w:r w:rsidRPr="00DF3CEE">
        <w:t xml:space="preserve">Bateman, A. &amp; Coles, M. (2015). ASEAN Qualifications Reference Framework and National Qualifications Frameworks: State of Play, SHARE-ASEAN Secretariat, Jakarta. </w:t>
      </w:r>
    </w:p>
    <w:p w:rsidR="0000030A" w:rsidRPr="00DF3CEE" w:rsidRDefault="005E65B3" w:rsidP="0000030A">
      <w:pPr>
        <w:ind w:left="720" w:hanging="720"/>
        <w:jc w:val="both"/>
      </w:pPr>
      <w:r w:rsidRPr="00DF3CEE">
        <w:rPr>
          <w:shd w:val="clear" w:color="auto" w:fill="FFFFFF"/>
        </w:rPr>
        <w:t>Catapano, S., Fleming, J., &amp; Elias, M. (2009). Building an Effective Classroom Library. </w:t>
      </w:r>
      <w:r w:rsidRPr="00DF3CEE">
        <w:rPr>
          <w:i/>
          <w:iCs/>
          <w:shd w:val="clear" w:color="auto" w:fill="FFFFFF"/>
        </w:rPr>
        <w:t>Journal of Language and Literacy Education</w:t>
      </w:r>
      <w:r w:rsidRPr="00DF3CEE">
        <w:rPr>
          <w:shd w:val="clear" w:color="auto" w:fill="FFFFFF"/>
        </w:rPr>
        <w:t>, </w:t>
      </w:r>
      <w:r w:rsidRPr="00DF3CEE">
        <w:rPr>
          <w:i/>
          <w:iCs/>
          <w:shd w:val="clear" w:color="auto" w:fill="FFFFFF"/>
        </w:rPr>
        <w:t>5</w:t>
      </w:r>
      <w:r w:rsidRPr="00DF3CEE">
        <w:rPr>
          <w:shd w:val="clear" w:color="auto" w:fill="FFFFFF"/>
        </w:rPr>
        <w:t>(1), 59-73.</w:t>
      </w:r>
    </w:p>
    <w:p w:rsidR="0000030A" w:rsidRPr="00DF3CEE" w:rsidRDefault="005E65B3" w:rsidP="0000030A">
      <w:pPr>
        <w:jc w:val="both"/>
      </w:pPr>
      <w:r w:rsidRPr="00DF3CEE">
        <w:rPr>
          <w:shd w:val="clear" w:color="auto" w:fill="FFFFFF"/>
        </w:rPr>
        <w:t>Collins, L. M. (2007). </w:t>
      </w:r>
      <w:r w:rsidRPr="00DF3CEE">
        <w:rPr>
          <w:i/>
          <w:iCs/>
          <w:shd w:val="clear" w:color="auto" w:fill="FFFFFF"/>
        </w:rPr>
        <w:t>Cronbach Alpha Coefficient-an overview| ScienceDirect Topics</w:t>
      </w:r>
      <w:r w:rsidRPr="00DF3CEE">
        <w:rPr>
          <w:shd w:val="clear" w:color="auto" w:fill="FFFFFF"/>
        </w:rPr>
        <w:t>.</w:t>
      </w:r>
    </w:p>
    <w:p w:rsidR="0000030A" w:rsidRPr="00DF3CEE" w:rsidRDefault="005E65B3" w:rsidP="0000030A">
      <w:pPr>
        <w:ind w:left="720" w:hanging="720"/>
        <w:jc w:val="both"/>
      </w:pPr>
      <w:r w:rsidRPr="00DF3CEE">
        <w:t>Collins, J. (2009). Lifelong learning in the 21st century and beyond. </w:t>
      </w:r>
      <w:r w:rsidRPr="00DF3CEE">
        <w:rPr>
          <w:i/>
          <w:iCs/>
        </w:rPr>
        <w:t>Radiographics</w:t>
      </w:r>
      <w:r w:rsidRPr="00DF3CEE">
        <w:t>, </w:t>
      </w:r>
      <w:r w:rsidRPr="00DF3CEE">
        <w:rPr>
          <w:i/>
          <w:iCs/>
        </w:rPr>
        <w:t>29</w:t>
      </w:r>
      <w:r w:rsidRPr="00DF3CEE">
        <w:t>(2), 613–622.</w:t>
      </w:r>
    </w:p>
    <w:p w:rsidR="0000030A" w:rsidRPr="00DF3CEE" w:rsidRDefault="005E65B3" w:rsidP="0000030A">
      <w:pPr>
        <w:ind w:left="720" w:hanging="720"/>
        <w:jc w:val="both"/>
        <w:rPr>
          <w:lang w:val="en-GB"/>
        </w:rPr>
      </w:pPr>
      <w:r w:rsidRPr="00DF3CEE">
        <w:rPr>
          <w:lang w:val="en-GB"/>
        </w:rPr>
        <w:t>Commission on Higher Education (CHED) Memorandum Order number 15 series of 2019 Policies and Guidelines for Graduate Education.</w:t>
      </w:r>
    </w:p>
    <w:p w:rsidR="0000030A" w:rsidRPr="00DF3CEE" w:rsidRDefault="005E65B3" w:rsidP="0000030A">
      <w:pPr>
        <w:tabs>
          <w:tab w:val="left" w:pos="5895"/>
        </w:tabs>
        <w:ind w:left="720" w:hanging="720"/>
        <w:jc w:val="both"/>
      </w:pPr>
      <w:r w:rsidRPr="00DF3CEE">
        <w:t>Crossman, A. (2018). What is a Quota Sample in Sociology? </w:t>
      </w:r>
      <w:r w:rsidRPr="00DF3CEE">
        <w:rPr>
          <w:i/>
          <w:iCs/>
        </w:rPr>
        <w:t xml:space="preserve">Thought Co. </w:t>
      </w:r>
      <w:r w:rsidRPr="00DF3CEE">
        <w:rPr>
          <w:iCs/>
        </w:rPr>
        <w:t>Retrieved from https://www. thoughtco.com/quota-sampling-3026728</w:t>
      </w:r>
      <w:r w:rsidRPr="00DF3CEE">
        <w:t>.</w:t>
      </w:r>
    </w:p>
    <w:p w:rsidR="0000030A" w:rsidRPr="00DF3CEE" w:rsidRDefault="005E65B3" w:rsidP="0000030A">
      <w:pPr>
        <w:tabs>
          <w:tab w:val="left" w:pos="5895"/>
        </w:tabs>
        <w:ind w:left="720" w:hanging="720"/>
        <w:jc w:val="both"/>
      </w:pPr>
      <w:r w:rsidRPr="00DF3CEE">
        <w:lastRenderedPageBreak/>
        <w:t>Creswell, J. (2013). Qualitative inquiry &amp; research design: Choosing among five approaches.</w:t>
      </w:r>
    </w:p>
    <w:p w:rsidR="008B6231" w:rsidRPr="0049650B" w:rsidRDefault="005E65B3" w:rsidP="0049650B">
      <w:pPr>
        <w:ind w:left="720" w:hanging="720"/>
        <w:jc w:val="both"/>
        <w:rPr>
          <w:lang w:val="en-US"/>
        </w:rPr>
      </w:pPr>
      <w:r w:rsidRPr="00DF3CEE">
        <w:rPr>
          <w:lang w:val="en-GB"/>
        </w:rPr>
        <w:t xml:space="preserve">DBM and CHED Joint Circular No. 01, series of 2022. </w:t>
      </w:r>
      <w:hyperlink r:id="rId12" w:history="1">
        <w:r w:rsidRPr="00DF3CEE">
          <w:rPr>
            <w:rStyle w:val="Hyperlink"/>
            <w:rFonts w:eastAsiaTheme="majorEastAsia"/>
            <w:color w:val="auto"/>
          </w:rPr>
          <w:t>https://www.dbm.gov.ph/wp-content/uploads/Issuances/2022/Joint-Circular/DBM-CHED-JC-No-1-S-2022.pdf</w:t>
        </w:r>
      </w:hyperlink>
    </w:p>
    <w:p w:rsidR="008B6231" w:rsidRPr="0037738A" w:rsidRDefault="005E65B3" w:rsidP="0037738A">
      <w:pPr>
        <w:ind w:left="810" w:hanging="810"/>
        <w:jc w:val="both"/>
        <w:rPr>
          <w:color w:val="FF0000"/>
          <w:szCs w:val="20"/>
        </w:rPr>
      </w:pPr>
      <w:r w:rsidRPr="008B6231">
        <w:rPr>
          <w:color w:val="FF0000"/>
          <w:szCs w:val="20"/>
        </w:rPr>
        <w:t>Echaveria, M. A. A. E., Tucar, M. T., Belmes, N. J., Subosa, M. U. (2007)</w:t>
      </w:r>
      <w:r w:rsidR="005F4E20">
        <w:rPr>
          <w:color w:val="FF0000"/>
          <w:szCs w:val="20"/>
        </w:rPr>
        <w:t>.</w:t>
      </w:r>
      <w:r w:rsidRPr="008B6231">
        <w:rPr>
          <w:color w:val="FF0000"/>
          <w:szCs w:val="20"/>
        </w:rPr>
        <w:t xml:space="preserve"> College of Education Graduates: A Tracer Study. Western Visayas College of Science and Technology, La Paz, Iloilo City.</w:t>
      </w:r>
    </w:p>
    <w:p w:rsidR="0000030A" w:rsidRPr="00DF3CEE" w:rsidRDefault="005E65B3" w:rsidP="0000030A">
      <w:pPr>
        <w:ind w:left="720" w:hanging="720"/>
        <w:jc w:val="both"/>
      </w:pPr>
      <w:r w:rsidRPr="00DF3CEE">
        <w:rPr>
          <w:shd w:val="clear" w:color="auto" w:fill="FFFFFF"/>
        </w:rPr>
        <w:t>Hashim, A., &amp; Firdaus, A. N. F. A. (2018). Sustainable development goals and capacity building in higher education in Malaysia and ASEAN. In </w:t>
      </w:r>
      <w:r w:rsidRPr="00DF3CEE">
        <w:rPr>
          <w:i/>
          <w:iCs/>
          <w:shd w:val="clear" w:color="auto" w:fill="FFFFFF"/>
        </w:rPr>
        <w:t>Sustainable development goals in Southeast Asia and ASEAN</w:t>
      </w:r>
      <w:r w:rsidRPr="00DF3CEE">
        <w:rPr>
          <w:shd w:val="clear" w:color="auto" w:fill="FFFFFF"/>
        </w:rPr>
        <w:t> (pp. 125-142). Brill.</w:t>
      </w:r>
    </w:p>
    <w:p w:rsidR="0000030A" w:rsidRPr="00DF3CEE" w:rsidRDefault="005E65B3" w:rsidP="0000030A">
      <w:pPr>
        <w:ind w:left="720" w:hanging="720"/>
        <w:jc w:val="both"/>
      </w:pPr>
      <w:r w:rsidRPr="00DF3CEE">
        <w:t>ItcIlo (2024). Tracer Studies: Measuring impact of vocational training. Retrieved from https://www.itcilo.org/courses/tracer-studies-measuring-impact-vocational-training</w:t>
      </w:r>
    </w:p>
    <w:p w:rsidR="0000030A" w:rsidRPr="00DF3CEE" w:rsidRDefault="005E65B3" w:rsidP="0000030A">
      <w:pPr>
        <w:ind w:left="720" w:hanging="720"/>
        <w:jc w:val="both"/>
      </w:pPr>
      <w:r w:rsidRPr="00DF3CEE">
        <w:t xml:space="preserve">ILO (2014). Tracer Study Technical Training Graduates. </w:t>
      </w:r>
      <w:r w:rsidRPr="00DF3CEE">
        <w:rPr>
          <w:rStyle w:val="Hyperlink"/>
          <w:rFonts w:eastAsiaTheme="majorEastAsia"/>
          <w:color w:val="auto"/>
        </w:rPr>
        <w:t>https://www.ilo.org/sites/default/files/wcmsp5/groups/public/@asia/@ro-bangkok/@ilo-jakarta/documents/publication/wcms_419172.pdf</w:t>
      </w:r>
    </w:p>
    <w:p w:rsidR="0000030A" w:rsidRPr="00DF3CEE" w:rsidRDefault="005E65B3" w:rsidP="0000030A">
      <w:pPr>
        <w:ind w:left="720" w:hanging="720"/>
        <w:jc w:val="both"/>
      </w:pPr>
      <w:r w:rsidRPr="00DF3CEE">
        <w:t>ItcIlo (2024). Tracer Studies: Measuring impact of vocational training. Retrieved from https://www.itcilo.org/courses/tracer-studies-measuring-impact-vocational-training</w:t>
      </w:r>
    </w:p>
    <w:p w:rsidR="0000030A" w:rsidRPr="00DF3CEE" w:rsidRDefault="005E65B3" w:rsidP="0000030A">
      <w:pPr>
        <w:ind w:left="720" w:right="41" w:hanging="735"/>
        <w:jc w:val="both"/>
      </w:pPr>
      <w:r w:rsidRPr="00DF3CEE">
        <w:t xml:space="preserve">Gines, A. C. (2014). Tracer study of PNU graduates. </w:t>
      </w:r>
      <w:r w:rsidRPr="00DF3CEE">
        <w:rPr>
          <w:i/>
        </w:rPr>
        <w:t>American International Journal of Contemporary Research</w:t>
      </w:r>
      <w:r w:rsidRPr="00DF3CEE">
        <w:t xml:space="preserve">. </w:t>
      </w:r>
      <w:r w:rsidRPr="00DF3CEE">
        <w:rPr>
          <w:i/>
        </w:rPr>
        <w:t>(4)</w:t>
      </w:r>
      <w:r w:rsidRPr="00DF3CEE">
        <w:t>3, 95–96.</w:t>
      </w:r>
    </w:p>
    <w:p w:rsidR="0000030A" w:rsidRPr="00DF3CEE" w:rsidRDefault="005E65B3" w:rsidP="0000030A">
      <w:pPr>
        <w:tabs>
          <w:tab w:val="left" w:pos="5895"/>
        </w:tabs>
        <w:ind w:left="720" w:hanging="720"/>
        <w:jc w:val="both"/>
      </w:pPr>
      <w:r w:rsidRPr="00DF3CEE">
        <w:t>Govil, P. (2013). Ethical considerations in educational research. </w:t>
      </w:r>
      <w:r w:rsidRPr="00DF3CEE">
        <w:rPr>
          <w:i/>
          <w:iCs/>
        </w:rPr>
        <w:t>International journal of advancement in education and social sciences</w:t>
      </w:r>
      <w:r w:rsidRPr="00DF3CEE">
        <w:t>, </w:t>
      </w:r>
      <w:r w:rsidRPr="00DF3CEE">
        <w:rPr>
          <w:i/>
          <w:iCs/>
        </w:rPr>
        <w:t>1</w:t>
      </w:r>
      <w:r w:rsidRPr="00DF3CEE">
        <w:t>(2), 17–22.</w:t>
      </w:r>
    </w:p>
    <w:p w:rsidR="0000030A" w:rsidRPr="00924AC1" w:rsidRDefault="005E65B3" w:rsidP="00924AC1">
      <w:pPr>
        <w:ind w:left="720" w:hanging="720"/>
        <w:jc w:val="both"/>
        <w:rPr>
          <w:lang w:val="en-US"/>
        </w:rPr>
      </w:pPr>
      <w:r w:rsidRPr="00DF3CEE">
        <w:t>Laal, M., &amp; Salamati, P. (2012). Lifelong learning</w:t>
      </w:r>
      <w:r w:rsidR="00DF3CEE">
        <w:t>:</w:t>
      </w:r>
      <w:r w:rsidRPr="00DF3CEE">
        <w:t xml:space="preserve"> </w:t>
      </w:r>
      <w:r w:rsidR="00DF3CEE">
        <w:t>W</w:t>
      </w:r>
      <w:r w:rsidRPr="00DF3CEE">
        <w:t>hy do we need it? </w:t>
      </w:r>
      <w:r w:rsidRPr="00DF3CEE">
        <w:rPr>
          <w:i/>
          <w:iCs/>
        </w:rPr>
        <w:t>Procedia-Social and Behavioral Sciences</w:t>
      </w:r>
      <w:r w:rsidRPr="00DF3CEE">
        <w:t>, </w:t>
      </w:r>
      <w:r w:rsidRPr="00DF3CEE">
        <w:rPr>
          <w:i/>
          <w:iCs/>
        </w:rPr>
        <w:t>31</w:t>
      </w:r>
      <w:r w:rsidRPr="00DF3CEE">
        <w:t xml:space="preserve">, 399-403. </w:t>
      </w:r>
      <w:hyperlink r:id="rId13" w:tgtFrame="_blank" w:tooltip="Persistent link using digital object identifier" w:history="1">
        <w:r w:rsidRPr="00DF3CEE">
          <w:rPr>
            <w:rStyle w:val="Hyperlink"/>
            <w:color w:val="auto"/>
          </w:rPr>
          <w:t>https://doi.org/10.1016/j.sbspro.2011.12.073</w:t>
        </w:r>
      </w:hyperlink>
    </w:p>
    <w:p w:rsidR="00805395" w:rsidRPr="0049650B" w:rsidRDefault="005E65B3" w:rsidP="0049650B">
      <w:pPr>
        <w:ind w:left="720" w:hanging="720"/>
        <w:rPr>
          <w:color w:val="FF0000"/>
        </w:rPr>
      </w:pPr>
      <w:r w:rsidRPr="00805395">
        <w:rPr>
          <w:color w:val="FF0000"/>
          <w:shd w:val="clear" w:color="auto" w:fill="FFFFFF"/>
        </w:rPr>
        <w:t>Menez, N. (2014). Tracer Study of the Masters in Business Administration (MBA) Graduates from 2008-2012. Asia Pacific Journal of Education, Arts and Sciences, 1, 14–18.</w:t>
      </w:r>
    </w:p>
    <w:p w:rsidR="00147223" w:rsidRPr="00924AC1" w:rsidRDefault="005E65B3" w:rsidP="00924AC1">
      <w:pPr>
        <w:ind w:left="720" w:hanging="720"/>
        <w:rPr>
          <w:color w:val="FF0000"/>
          <w:sz w:val="36"/>
        </w:rPr>
      </w:pPr>
      <w:r w:rsidRPr="00147223">
        <w:rPr>
          <w:color w:val="FF0000"/>
          <w:szCs w:val="20"/>
          <w:shd w:val="clear" w:color="auto" w:fill="FFFFFF"/>
        </w:rPr>
        <w:t>Millington, C. (2008). The use of tracer studies for enhancing relevance and marketability in online and distance education.</w:t>
      </w:r>
    </w:p>
    <w:p w:rsidR="0000030A" w:rsidRPr="00DF3CEE" w:rsidRDefault="005E65B3" w:rsidP="00147223">
      <w:pPr>
        <w:ind w:left="720" w:hanging="720"/>
        <w:jc w:val="both"/>
        <w:rPr>
          <w:u w:val="single"/>
        </w:rPr>
      </w:pPr>
      <w:r w:rsidRPr="00DF3CEE">
        <w:t xml:space="preserve">Miller, M. T., Murry Jr, J. W., &amp; Embry, C. (2023). Structure and Functional Responsibilities of Graduate Schools: An Organisational Analysis. </w:t>
      </w:r>
      <w:r w:rsidRPr="00DF3CEE">
        <w:rPr>
          <w:i/>
        </w:rPr>
        <w:t>Journal of Higher Education Theory &amp; Practice, 23</w:t>
      </w:r>
      <w:r w:rsidRPr="00DF3CEE">
        <w:t xml:space="preserve">(3). </w:t>
      </w:r>
      <w:hyperlink r:id="rId14" w:history="1">
        <w:r w:rsidRPr="00DF3CEE">
          <w:rPr>
            <w:rStyle w:val="Hyperlink"/>
            <w:rFonts w:eastAsiaTheme="majorEastAsia"/>
            <w:color w:val="auto"/>
          </w:rPr>
          <w:t>https://doi.org/10.33423/jhetp.v23i3.5847</w:t>
        </w:r>
      </w:hyperlink>
    </w:p>
    <w:p w:rsidR="0000030A" w:rsidRPr="00DF3CEE" w:rsidRDefault="005E65B3" w:rsidP="0000030A">
      <w:pPr>
        <w:ind w:left="720" w:hanging="720"/>
        <w:jc w:val="both"/>
      </w:pPr>
      <w:r w:rsidRPr="00DF3CEE">
        <w:t xml:space="preserve">Mohd Fahmi, Z., Balasingam, U., &amp; Laguador, J. M. (2019). ASEAN Qualification Reference Framework: Harmonization of ASEAN Higher Education Area. ASEAN Post-50: Emerging Issues and Challenges, 101-134. </w:t>
      </w:r>
      <w:hyperlink r:id="rId15" w:history="1">
        <w:r w:rsidRPr="00DF3CEE">
          <w:rPr>
            <w:rStyle w:val="Hyperlink"/>
            <w:rFonts w:eastAsiaTheme="majorEastAsia"/>
            <w:color w:val="auto"/>
          </w:rPr>
          <w:t>https://doi.org/10.1007/978-981-13-8043-3_6</w:t>
        </w:r>
      </w:hyperlink>
    </w:p>
    <w:p w:rsidR="0000030A" w:rsidRPr="00DF3CEE" w:rsidRDefault="005E65B3" w:rsidP="0000030A">
      <w:pPr>
        <w:ind w:left="720" w:hanging="720"/>
        <w:jc w:val="both"/>
        <w:rPr>
          <w:lang w:val="en-GB"/>
        </w:rPr>
      </w:pPr>
      <w:r w:rsidRPr="00DF3CEE">
        <w:rPr>
          <w:lang w:val="en-GB"/>
        </w:rPr>
        <w:t xml:space="preserve">Nivera, G.C., Toledo, Z. M. G.U., Sualibio, M.F.M., Boral, Z.P. &amp; Asuncion, Q.O. (2015). A tracer study of the PNU graduates of the BSMT and BSE math programs from 1985-2010. </w:t>
      </w:r>
      <w:r w:rsidRPr="00DF3CEE">
        <w:rPr>
          <w:i/>
          <w:iCs/>
          <w:lang w:val="en-GB"/>
        </w:rPr>
        <w:t>Philippine Normal University Journal of Teacher Education.</w:t>
      </w:r>
      <w:r w:rsidRPr="00DF3CEE">
        <w:rPr>
          <w:lang w:val="en-GB"/>
        </w:rPr>
        <w:t xml:space="preserve"> </w:t>
      </w:r>
      <w:r w:rsidRPr="00DF3CEE">
        <w:rPr>
          <w:i/>
          <w:iCs/>
          <w:lang w:val="en-GB"/>
        </w:rPr>
        <w:t>7</w:t>
      </w:r>
      <w:r w:rsidRPr="00DF3CEE">
        <w:rPr>
          <w:lang w:val="en-GB"/>
        </w:rPr>
        <w:t>(2). 82-83.</w:t>
      </w:r>
    </w:p>
    <w:p w:rsidR="0000030A" w:rsidRPr="00DF3CEE" w:rsidRDefault="005E65B3" w:rsidP="0000030A">
      <w:pPr>
        <w:ind w:left="720" w:hanging="720"/>
        <w:jc w:val="both"/>
      </w:pPr>
      <w:r w:rsidRPr="00DF3CEE">
        <w:rPr>
          <w:shd w:val="clear" w:color="auto" w:fill="FFFFFF"/>
        </w:rPr>
        <w:t>NYONE, C. B. (2024). Human relations skills and job performance of non-academic staff at Ignatius Ajuru University of Education. </w:t>
      </w:r>
      <w:r w:rsidRPr="00DF3CEE">
        <w:rPr>
          <w:i/>
          <w:iCs/>
          <w:shd w:val="clear" w:color="auto" w:fill="FFFFFF"/>
        </w:rPr>
        <w:t>International Journal of Financial Research and Management Science</w:t>
      </w:r>
      <w:r w:rsidRPr="00DF3CEE">
        <w:rPr>
          <w:shd w:val="clear" w:color="auto" w:fill="FFFFFF"/>
        </w:rPr>
        <w:t>.</w:t>
      </w:r>
    </w:p>
    <w:p w:rsidR="0000030A" w:rsidRPr="00DF3CEE" w:rsidRDefault="005E65B3" w:rsidP="0000030A">
      <w:pPr>
        <w:ind w:left="720" w:hanging="720"/>
        <w:jc w:val="both"/>
      </w:pPr>
      <w:r w:rsidRPr="00DF3CEE">
        <w:t>Parker, C., Scott, S., &amp; Geddes, A. (2019). Snowball sampling. </w:t>
      </w:r>
      <w:r w:rsidRPr="00DF3CEE">
        <w:rPr>
          <w:i/>
          <w:iCs/>
        </w:rPr>
        <w:t>SAGE research methods foundations</w:t>
      </w:r>
      <w:r w:rsidRPr="00DF3CEE">
        <w:t>.</w:t>
      </w:r>
    </w:p>
    <w:p w:rsidR="0000030A" w:rsidRPr="00DF3CEE" w:rsidRDefault="005E65B3" w:rsidP="0000030A">
      <w:pPr>
        <w:tabs>
          <w:tab w:val="left" w:pos="5895"/>
        </w:tabs>
        <w:ind w:left="720" w:hanging="720"/>
        <w:jc w:val="both"/>
      </w:pPr>
      <w:r w:rsidRPr="00DF3CEE">
        <w:t>Rani, R., &amp; Sharma, R. K. (2012). Ethical consideration in research. </w:t>
      </w:r>
      <w:r w:rsidRPr="00DF3CEE">
        <w:rPr>
          <w:i/>
          <w:iCs/>
        </w:rPr>
        <w:t>International Journal of Nursing Education</w:t>
      </w:r>
      <w:r w:rsidRPr="00DF3CEE">
        <w:t>, </w:t>
      </w:r>
      <w:r w:rsidRPr="00DF3CEE">
        <w:rPr>
          <w:i/>
          <w:iCs/>
        </w:rPr>
        <w:t>4</w:t>
      </w:r>
      <w:r w:rsidRPr="00DF3CEE">
        <w:t>(1), 45–48.</w:t>
      </w:r>
    </w:p>
    <w:p w:rsidR="00805395" w:rsidRPr="0049650B" w:rsidRDefault="005E65B3" w:rsidP="0049650B">
      <w:pPr>
        <w:ind w:left="720" w:hanging="720"/>
      </w:pPr>
      <w:r w:rsidRPr="00805395">
        <w:rPr>
          <w:color w:val="222222"/>
          <w:shd w:val="clear" w:color="auto" w:fill="FFFFFF"/>
        </w:rPr>
        <w:t>Sanchez, M. P. R., &amp; Diamante, V. A. M. (2017). Graduate tracer study of the College of Nursing. </w:t>
      </w:r>
      <w:r w:rsidRPr="00805395">
        <w:rPr>
          <w:i/>
          <w:iCs/>
          <w:color w:val="222222"/>
          <w:shd w:val="clear" w:color="auto" w:fill="FFFFFF"/>
        </w:rPr>
        <w:t>The Malaysian Journal of Nursing (MJN)</w:t>
      </w:r>
      <w:r w:rsidRPr="00805395">
        <w:rPr>
          <w:color w:val="222222"/>
          <w:shd w:val="clear" w:color="auto" w:fill="FFFFFF"/>
        </w:rPr>
        <w:t>, </w:t>
      </w:r>
      <w:r w:rsidRPr="00805395">
        <w:rPr>
          <w:i/>
          <w:iCs/>
          <w:color w:val="222222"/>
          <w:shd w:val="clear" w:color="auto" w:fill="FFFFFF"/>
        </w:rPr>
        <w:t>8</w:t>
      </w:r>
      <w:r w:rsidRPr="00805395">
        <w:rPr>
          <w:color w:val="222222"/>
          <w:shd w:val="clear" w:color="auto" w:fill="FFFFFF"/>
        </w:rPr>
        <w:t>(3), 41-47.</w:t>
      </w:r>
    </w:p>
    <w:p w:rsidR="0000030A" w:rsidRPr="00DF3CEE" w:rsidRDefault="005E65B3" w:rsidP="0000030A">
      <w:pPr>
        <w:ind w:left="720" w:hanging="720"/>
        <w:jc w:val="both"/>
      </w:pPr>
      <w:r w:rsidRPr="00DF3CEE">
        <w:rPr>
          <w:shd w:val="clear" w:color="auto" w:fill="FFFFFF"/>
        </w:rPr>
        <w:t>Sauter, D. M., &amp; Shanken, H. E. (2015). The registrar of the future. </w:t>
      </w:r>
      <w:r w:rsidRPr="00DF3CEE">
        <w:rPr>
          <w:i/>
          <w:iCs/>
          <w:shd w:val="clear" w:color="auto" w:fill="FFFFFF"/>
        </w:rPr>
        <w:t>Handbook of strategic enrollment management</w:t>
      </w:r>
      <w:r w:rsidRPr="00DF3CEE">
        <w:rPr>
          <w:shd w:val="clear" w:color="auto" w:fill="FFFFFF"/>
        </w:rPr>
        <w:t>, 396-407.</w:t>
      </w:r>
    </w:p>
    <w:p w:rsidR="0000030A" w:rsidRPr="00DF3CEE" w:rsidRDefault="005E65B3" w:rsidP="0000030A">
      <w:pPr>
        <w:ind w:left="720" w:hanging="720"/>
        <w:jc w:val="both"/>
      </w:pPr>
      <w:r w:rsidRPr="00DF3CEE">
        <w:rPr>
          <w:shd w:val="clear" w:color="auto" w:fill="FFFFFF"/>
        </w:rPr>
        <w:lastRenderedPageBreak/>
        <w:t>Schomburg, H. (2003). Handbook for graduate tracer studies. </w:t>
      </w:r>
      <w:r w:rsidRPr="00DF3CEE">
        <w:rPr>
          <w:i/>
          <w:iCs/>
          <w:shd w:val="clear" w:color="auto" w:fill="FFFFFF"/>
        </w:rPr>
        <w:t>University of Kassel, Germany: Centre for Research on Higher Education and Work</w:t>
      </w:r>
      <w:r w:rsidRPr="00DF3CEE">
        <w:rPr>
          <w:shd w:val="clear" w:color="auto" w:fill="FFFFFF"/>
        </w:rPr>
        <w:t>, 1-281.</w:t>
      </w:r>
    </w:p>
    <w:p w:rsidR="002C7B39" w:rsidRPr="002C7B39" w:rsidRDefault="005E65B3" w:rsidP="002C7B39">
      <w:pPr>
        <w:ind w:left="720" w:hanging="720"/>
        <w:jc w:val="both"/>
        <w:rPr>
          <w:color w:val="FF0000"/>
          <w:lang w:val="en-US"/>
        </w:rPr>
      </w:pPr>
      <w:r w:rsidRPr="002C7B39">
        <w:rPr>
          <w:color w:val="FF0000"/>
          <w:lang w:val="en-US"/>
        </w:rPr>
        <w:t>Sentilleces, S.R., &amp; Rungduin, T.T. (2013). A tracer study of Navotas Polytechnic College graduates of A.Y. 2009-2013: Exploring employment trends and implications to program delivery (Published Special Project). PNU, Manila, Philippines.</w:t>
      </w:r>
    </w:p>
    <w:p w:rsidR="0000030A" w:rsidRPr="00DF3CEE" w:rsidRDefault="005E65B3" w:rsidP="0000030A">
      <w:pPr>
        <w:ind w:left="720" w:hanging="720"/>
        <w:jc w:val="both"/>
      </w:pPr>
      <w:r w:rsidRPr="00DF3CEE">
        <w:t xml:space="preserve">Setiawan, A. (2015, November). Compliance of IQF towards AQRF: Challenges and Opportunities of the Referencing to Regional Qualification Framework. In 2015 International Conference on Innovation in Engineering and Vocational Education (pp. 84-88). Atlantis Press. </w:t>
      </w:r>
      <w:r w:rsidRPr="00DF3CEE">
        <w:rPr>
          <w:rFonts w:eastAsiaTheme="majorEastAsia"/>
        </w:rPr>
        <w:t>https://doi.org/10.2991/icieve-15.2016.19</w:t>
      </w:r>
    </w:p>
    <w:p w:rsidR="0000030A" w:rsidRPr="00DF3CEE" w:rsidRDefault="005E65B3" w:rsidP="0000030A">
      <w:pPr>
        <w:ind w:left="720" w:hanging="720"/>
        <w:jc w:val="both"/>
      </w:pPr>
      <w:r w:rsidRPr="00DF3CEE">
        <w:t xml:space="preserve">Siedlecki, S. L. (2020). Understanding descriptive research designs and methods. Clinical Nurse Specialist, 34(1), 8-12. </w:t>
      </w:r>
      <w:hyperlink r:id="rId16" w:history="1">
        <w:r w:rsidRPr="00DF3CEE">
          <w:rPr>
            <w:rStyle w:val="Hyperlink"/>
            <w:rFonts w:eastAsiaTheme="majorEastAsia"/>
            <w:color w:val="auto"/>
          </w:rPr>
          <w:t>https://doi.org/10.1097/NUR.0000000000000493</w:t>
        </w:r>
      </w:hyperlink>
    </w:p>
    <w:p w:rsidR="00A54521" w:rsidRPr="0049650B" w:rsidRDefault="005E65B3" w:rsidP="0049650B">
      <w:pPr>
        <w:ind w:left="720" w:hanging="720"/>
        <w:jc w:val="both"/>
      </w:pPr>
      <w:r w:rsidRPr="00DF3CEE">
        <w:t xml:space="preserve">Sira, K.S., Celda, M.A.M., Valenciana, D.S.O, &amp; Sobrepeña, A.C. (2018). The Bachelor of Industrial Technology Major in Architectural Drafting Technology Program Tracer Study. The Normal Lights, 12(2), 96 – 123. </w:t>
      </w:r>
      <w:hyperlink r:id="rId17" w:history="1">
        <w:r w:rsidRPr="00DF3CEE">
          <w:rPr>
            <w:rStyle w:val="Hyperlink"/>
            <w:color w:val="auto"/>
          </w:rPr>
          <w:t>https://doi.org/10.56278/tnl.v12i2.1003</w:t>
        </w:r>
      </w:hyperlink>
    </w:p>
    <w:p w:rsidR="00A54521" w:rsidRPr="0049650B" w:rsidRDefault="005E65B3" w:rsidP="0049650B">
      <w:pPr>
        <w:ind w:left="720" w:hanging="720"/>
        <w:jc w:val="both"/>
        <w:rPr>
          <w:color w:val="FF0000"/>
        </w:rPr>
      </w:pPr>
      <w:r w:rsidRPr="002C7B39">
        <w:rPr>
          <w:color w:val="FF0000"/>
        </w:rPr>
        <w:t>Sito, L. R., Alawas, D. E., Alvaro, M. N., Azupardo, F. V. T., Cawat, A. C., Mina, W. B., &amp; Parcasio, I. G. (2008). Tracer study on the bachelor of secondary education graduates of the college of teacher education Benguet State University. Mountain Journal of Science and Interdisciplinary Research (formerly Benguet State University Research Journal), 59(1-5), 31-42.</w:t>
      </w:r>
    </w:p>
    <w:p w:rsidR="00A54521" w:rsidRPr="0049650B" w:rsidRDefault="003E24B4" w:rsidP="0049650B">
      <w:pPr>
        <w:ind w:left="720" w:hanging="720"/>
        <w:jc w:val="both"/>
        <w:rPr>
          <w:color w:val="FF0000"/>
        </w:rPr>
      </w:pPr>
      <w:hyperlink r:id="rId18" w:tgtFrame="_blank" w:history="1">
        <w:r w:rsidR="005E65B3" w:rsidRPr="002C7B39">
          <w:rPr>
            <w:rStyle w:val="Hyperlink"/>
            <w:rFonts w:eastAsiaTheme="majorEastAsia"/>
            <w:color w:val="FF0000"/>
          </w:rPr>
          <w:t>https://doi.org/10.70884/mjsir.v59i1-5.228</w:t>
        </w:r>
      </w:hyperlink>
    </w:p>
    <w:p w:rsidR="0000030A" w:rsidRPr="00DF3CEE" w:rsidRDefault="005E65B3" w:rsidP="0000030A">
      <w:pPr>
        <w:ind w:left="720" w:hanging="720"/>
        <w:jc w:val="both"/>
      </w:pPr>
      <w:r w:rsidRPr="00DF3CEE">
        <w:t>Teichler, U., &amp; Schomburg, H. (2012). Analysing the Results of Study in Higher Education and the Requirements of the World of Work.</w:t>
      </w:r>
    </w:p>
    <w:p w:rsidR="0000030A" w:rsidRPr="00DF3CEE" w:rsidRDefault="005E65B3" w:rsidP="0000030A">
      <w:pPr>
        <w:ind w:left="720" w:hanging="720"/>
        <w:jc w:val="both"/>
      </w:pPr>
      <w:r w:rsidRPr="00DF3CEE">
        <w:rPr>
          <w:rFonts w:ascii="Calibri" w:hAnsi="Calibri" w:cs="Calibri"/>
          <w:lang w:val="en-US"/>
        </w:rPr>
        <w:t>﻿</w:t>
      </w:r>
      <w:r w:rsidRPr="00DF3CEE">
        <w:t xml:space="preserve">Tracer Study Technical Students of East Timor (2014). Retrieved from </w:t>
      </w:r>
      <w:hyperlink r:id="rId19" w:history="1">
        <w:r w:rsidRPr="00DF3CEE">
          <w:rPr>
            <w:rStyle w:val="Hyperlink"/>
            <w:rFonts w:eastAsiaTheme="majorEastAsia"/>
            <w:color w:val="auto"/>
          </w:rPr>
          <w:t>https://www.ilo.org/sites/default/files/wcmsp5/groups/public/@asia/@ro-bangkok/@ilo-jakarta/documents/publication/wcms_419172.pdf</w:t>
        </w:r>
      </w:hyperlink>
    </w:p>
    <w:p w:rsidR="008B6231" w:rsidRPr="0049650B" w:rsidRDefault="005E65B3" w:rsidP="0049650B">
      <w:pPr>
        <w:ind w:left="720" w:hanging="720"/>
        <w:jc w:val="both"/>
        <w:rPr>
          <w:color w:val="FF0000"/>
          <w:lang w:val="en-US"/>
        </w:rPr>
      </w:pPr>
      <w:r w:rsidRPr="00B27EF3">
        <w:rPr>
          <w:color w:val="FF0000"/>
          <w:lang w:val="en-US"/>
        </w:rPr>
        <w:t>Ursua, A. C. &amp; Monserate, Z. A. (2007). Bachelor in Elementary Education</w:t>
      </w:r>
      <w:r w:rsidR="00B27EF3" w:rsidRPr="00B27EF3">
        <w:rPr>
          <w:color w:val="FF0000"/>
          <w:lang w:val="en-US"/>
        </w:rPr>
        <w:t xml:space="preserve"> </w:t>
      </w:r>
      <w:r w:rsidRPr="00B27EF3">
        <w:rPr>
          <w:color w:val="FF0000"/>
          <w:lang w:val="en-US"/>
        </w:rPr>
        <w:t xml:space="preserve">Graduate: Tracer study. </w:t>
      </w:r>
      <w:r w:rsidRPr="00B27EF3">
        <w:rPr>
          <w:i/>
          <w:color w:val="FF0000"/>
          <w:lang w:val="en-US"/>
        </w:rPr>
        <w:t>Research and Extension Journal, 1</w:t>
      </w:r>
      <w:r w:rsidRPr="00B27EF3">
        <w:rPr>
          <w:color w:val="FF0000"/>
          <w:lang w:val="en-US"/>
        </w:rPr>
        <w:t>(1), 10‐13.</w:t>
      </w:r>
    </w:p>
    <w:p w:rsidR="00B27EF3" w:rsidRPr="007271B4" w:rsidRDefault="005E65B3" w:rsidP="00B27EF3">
      <w:pPr>
        <w:ind w:left="720" w:hanging="720"/>
        <w:jc w:val="both"/>
      </w:pPr>
      <w:r w:rsidRPr="007271B4">
        <w:t xml:space="preserve">Tria, </w:t>
      </w:r>
      <w:r>
        <w:t xml:space="preserve">L.V. &amp; </w:t>
      </w:r>
      <w:r w:rsidRPr="007271B4">
        <w:t>Bocacao</w:t>
      </w:r>
      <w:r>
        <w:t>, H.R.</w:t>
      </w:r>
      <w:r w:rsidRPr="007271B4">
        <w:t xml:space="preserve"> </w:t>
      </w:r>
      <w:r>
        <w:t xml:space="preserve">(2022). </w:t>
      </w:r>
      <w:r w:rsidRPr="007271B4">
        <w:t xml:space="preserve">Tracer </w:t>
      </w:r>
      <w:r>
        <w:t>S</w:t>
      </w:r>
      <w:r w:rsidRPr="007271B4">
        <w:t xml:space="preserve">tudy </w:t>
      </w:r>
      <w:r>
        <w:t>o</w:t>
      </w:r>
      <w:r w:rsidRPr="007271B4">
        <w:t xml:space="preserve">f </w:t>
      </w:r>
      <w:r>
        <w:t>B</w:t>
      </w:r>
      <w:r w:rsidRPr="007271B4">
        <w:t xml:space="preserve">achelor </w:t>
      </w:r>
      <w:r>
        <w:t>o</w:t>
      </w:r>
      <w:r w:rsidRPr="007271B4">
        <w:t xml:space="preserve">f </w:t>
      </w:r>
      <w:r>
        <w:t>S</w:t>
      </w:r>
      <w:r w:rsidRPr="007271B4">
        <w:t xml:space="preserve">cience </w:t>
      </w:r>
      <w:r>
        <w:t>i</w:t>
      </w:r>
      <w:r w:rsidRPr="007271B4">
        <w:t xml:space="preserve">n </w:t>
      </w:r>
      <w:r>
        <w:t>F</w:t>
      </w:r>
      <w:r w:rsidRPr="007271B4">
        <w:t xml:space="preserve">isheries </w:t>
      </w:r>
      <w:r>
        <w:t>G</w:t>
      </w:r>
      <w:r w:rsidRPr="007271B4">
        <w:t xml:space="preserve">raduates </w:t>
      </w:r>
      <w:r>
        <w:t>o</w:t>
      </w:r>
      <w:r w:rsidRPr="007271B4">
        <w:t xml:space="preserve">f </w:t>
      </w:r>
      <w:r>
        <w:t>P</w:t>
      </w:r>
      <w:r w:rsidRPr="007271B4">
        <w:t>artido State University (P</w:t>
      </w:r>
      <w:r>
        <w:t>SU</w:t>
      </w:r>
      <w:r w:rsidRPr="007271B4">
        <w:t>) Sagñay Campus</w:t>
      </w:r>
      <w:r>
        <w:t xml:space="preserve">. </w:t>
      </w:r>
      <w:r w:rsidRPr="007271B4">
        <w:rPr>
          <w:i/>
        </w:rPr>
        <w:t>The American Journal of Humanities and Social Sciences Research (THE AJHSSR)</w:t>
      </w:r>
      <w:r>
        <w:rPr>
          <w:i/>
        </w:rPr>
        <w:t>, 5</w:t>
      </w:r>
      <w:r w:rsidRPr="007271B4">
        <w:t>(5), 29-39.</w:t>
      </w:r>
    </w:p>
    <w:p w:rsidR="00B27EF3" w:rsidRDefault="003E24B4" w:rsidP="00B27EF3">
      <w:pPr>
        <w:ind w:left="720"/>
        <w:jc w:val="both"/>
      </w:pPr>
      <w:hyperlink r:id="rId20" w:history="1">
        <w:r w:rsidR="005E65B3" w:rsidRPr="007271B4">
          <w:rPr>
            <w:rStyle w:val="Hyperlink"/>
          </w:rPr>
          <w:t>https://doi.org/10.56805/ajhssr</w:t>
        </w:r>
      </w:hyperlink>
    </w:p>
    <w:p w:rsidR="00B27EF3" w:rsidRPr="007271B4" w:rsidRDefault="00B27EF3" w:rsidP="00B27EF3">
      <w:pPr>
        <w:ind w:left="720"/>
        <w:jc w:val="both"/>
      </w:pPr>
    </w:p>
    <w:p w:rsidR="00E54A91" w:rsidRPr="00DF3CEE" w:rsidRDefault="00E54A91" w:rsidP="0050709B">
      <w:pPr>
        <w:rPr>
          <w:lang w:val="en-GB"/>
        </w:rPr>
      </w:pPr>
    </w:p>
    <w:sectPr w:rsidR="00E54A91" w:rsidRPr="00DF3CE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4B4" w:rsidRDefault="003E24B4">
      <w:r>
        <w:separator/>
      </w:r>
    </w:p>
  </w:endnote>
  <w:endnote w:type="continuationSeparator" w:id="0">
    <w:p w:rsidR="003E24B4" w:rsidRDefault="003E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A24" w:rsidRDefault="00796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A24" w:rsidRDefault="00796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A24" w:rsidRDefault="0079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4B4" w:rsidRDefault="003E24B4">
      <w:r>
        <w:separator/>
      </w:r>
    </w:p>
  </w:footnote>
  <w:footnote w:type="continuationSeparator" w:id="0">
    <w:p w:rsidR="003E24B4" w:rsidRDefault="003E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A24" w:rsidRDefault="003E24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4641" o:spid="_x0000_s2051"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A24" w:rsidRDefault="003E24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4642" o:spid="_x0000_s2050" type="#_x0000_t136" alt="" style="position:absolute;margin-left:0;margin-top:0;width:593.85pt;height:65.9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A24" w:rsidRDefault="003E24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4640" o:spid="_x0000_s2049" type="#_x0000_t136" alt="" style="position:absolute;margin-left:0;margin-top:0;width:593.85pt;height:65.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2082"/>
    <w:multiLevelType w:val="hybridMultilevel"/>
    <w:tmpl w:val="3B56C11A"/>
    <w:lvl w:ilvl="0" w:tplc="DB144842">
      <w:start w:val="1"/>
      <w:numFmt w:val="decimal"/>
      <w:lvlText w:val="%1."/>
      <w:lvlJc w:val="left"/>
      <w:pPr>
        <w:ind w:left="720" w:hanging="360"/>
      </w:pPr>
      <w:rPr>
        <w:rFonts w:hint="default"/>
      </w:rPr>
    </w:lvl>
    <w:lvl w:ilvl="1" w:tplc="5DD88C62" w:tentative="1">
      <w:start w:val="1"/>
      <w:numFmt w:val="lowerLetter"/>
      <w:lvlText w:val="%2."/>
      <w:lvlJc w:val="left"/>
      <w:pPr>
        <w:ind w:left="1440" w:hanging="360"/>
      </w:pPr>
    </w:lvl>
    <w:lvl w:ilvl="2" w:tplc="2AFC71C6" w:tentative="1">
      <w:start w:val="1"/>
      <w:numFmt w:val="lowerRoman"/>
      <w:lvlText w:val="%3."/>
      <w:lvlJc w:val="right"/>
      <w:pPr>
        <w:ind w:left="2160" w:hanging="180"/>
      </w:pPr>
    </w:lvl>
    <w:lvl w:ilvl="3" w:tplc="1F8C835E" w:tentative="1">
      <w:start w:val="1"/>
      <w:numFmt w:val="decimal"/>
      <w:lvlText w:val="%4."/>
      <w:lvlJc w:val="left"/>
      <w:pPr>
        <w:ind w:left="2880" w:hanging="360"/>
      </w:pPr>
    </w:lvl>
    <w:lvl w:ilvl="4" w:tplc="49B05628" w:tentative="1">
      <w:start w:val="1"/>
      <w:numFmt w:val="lowerLetter"/>
      <w:lvlText w:val="%5."/>
      <w:lvlJc w:val="left"/>
      <w:pPr>
        <w:ind w:left="3600" w:hanging="360"/>
      </w:pPr>
    </w:lvl>
    <w:lvl w:ilvl="5" w:tplc="D5001718" w:tentative="1">
      <w:start w:val="1"/>
      <w:numFmt w:val="lowerRoman"/>
      <w:lvlText w:val="%6."/>
      <w:lvlJc w:val="right"/>
      <w:pPr>
        <w:ind w:left="4320" w:hanging="180"/>
      </w:pPr>
    </w:lvl>
    <w:lvl w:ilvl="6" w:tplc="618E079E" w:tentative="1">
      <w:start w:val="1"/>
      <w:numFmt w:val="decimal"/>
      <w:lvlText w:val="%7."/>
      <w:lvlJc w:val="left"/>
      <w:pPr>
        <w:ind w:left="5040" w:hanging="360"/>
      </w:pPr>
    </w:lvl>
    <w:lvl w:ilvl="7" w:tplc="8BC6D086" w:tentative="1">
      <w:start w:val="1"/>
      <w:numFmt w:val="lowerLetter"/>
      <w:lvlText w:val="%8."/>
      <w:lvlJc w:val="left"/>
      <w:pPr>
        <w:ind w:left="5760" w:hanging="360"/>
      </w:pPr>
    </w:lvl>
    <w:lvl w:ilvl="8" w:tplc="3E885C02" w:tentative="1">
      <w:start w:val="1"/>
      <w:numFmt w:val="lowerRoman"/>
      <w:lvlText w:val="%9."/>
      <w:lvlJc w:val="right"/>
      <w:pPr>
        <w:ind w:left="6480" w:hanging="180"/>
      </w:pPr>
    </w:lvl>
  </w:abstractNum>
  <w:abstractNum w:abstractNumId="1" w15:restartNumberingAfterBreak="0">
    <w:nsid w:val="246274AB"/>
    <w:multiLevelType w:val="hybridMultilevel"/>
    <w:tmpl w:val="E1A4FD52"/>
    <w:lvl w:ilvl="0" w:tplc="4DCE296E">
      <w:start w:val="1"/>
      <w:numFmt w:val="decimal"/>
      <w:lvlText w:val="%1."/>
      <w:lvlJc w:val="left"/>
      <w:pPr>
        <w:ind w:left="720" w:hanging="360"/>
      </w:pPr>
      <w:rPr>
        <w:rFonts w:hint="default"/>
      </w:rPr>
    </w:lvl>
    <w:lvl w:ilvl="1" w:tplc="BA109B12" w:tentative="1">
      <w:start w:val="1"/>
      <w:numFmt w:val="lowerLetter"/>
      <w:lvlText w:val="%2."/>
      <w:lvlJc w:val="left"/>
      <w:pPr>
        <w:ind w:left="1440" w:hanging="360"/>
      </w:pPr>
    </w:lvl>
    <w:lvl w:ilvl="2" w:tplc="939082FE" w:tentative="1">
      <w:start w:val="1"/>
      <w:numFmt w:val="lowerRoman"/>
      <w:lvlText w:val="%3."/>
      <w:lvlJc w:val="right"/>
      <w:pPr>
        <w:ind w:left="2160" w:hanging="180"/>
      </w:pPr>
    </w:lvl>
    <w:lvl w:ilvl="3" w:tplc="CA8A9122" w:tentative="1">
      <w:start w:val="1"/>
      <w:numFmt w:val="decimal"/>
      <w:lvlText w:val="%4."/>
      <w:lvlJc w:val="left"/>
      <w:pPr>
        <w:ind w:left="2880" w:hanging="360"/>
      </w:pPr>
    </w:lvl>
    <w:lvl w:ilvl="4" w:tplc="4C58192A" w:tentative="1">
      <w:start w:val="1"/>
      <w:numFmt w:val="lowerLetter"/>
      <w:lvlText w:val="%5."/>
      <w:lvlJc w:val="left"/>
      <w:pPr>
        <w:ind w:left="3600" w:hanging="360"/>
      </w:pPr>
    </w:lvl>
    <w:lvl w:ilvl="5" w:tplc="DA76836A" w:tentative="1">
      <w:start w:val="1"/>
      <w:numFmt w:val="lowerRoman"/>
      <w:lvlText w:val="%6."/>
      <w:lvlJc w:val="right"/>
      <w:pPr>
        <w:ind w:left="4320" w:hanging="180"/>
      </w:pPr>
    </w:lvl>
    <w:lvl w:ilvl="6" w:tplc="0988E9E6" w:tentative="1">
      <w:start w:val="1"/>
      <w:numFmt w:val="decimal"/>
      <w:lvlText w:val="%7."/>
      <w:lvlJc w:val="left"/>
      <w:pPr>
        <w:ind w:left="5040" w:hanging="360"/>
      </w:pPr>
    </w:lvl>
    <w:lvl w:ilvl="7" w:tplc="A776DAB2" w:tentative="1">
      <w:start w:val="1"/>
      <w:numFmt w:val="lowerLetter"/>
      <w:lvlText w:val="%8."/>
      <w:lvlJc w:val="left"/>
      <w:pPr>
        <w:ind w:left="5760" w:hanging="360"/>
      </w:pPr>
    </w:lvl>
    <w:lvl w:ilvl="8" w:tplc="61B4B832" w:tentative="1">
      <w:start w:val="1"/>
      <w:numFmt w:val="lowerRoman"/>
      <w:lvlText w:val="%9."/>
      <w:lvlJc w:val="right"/>
      <w:pPr>
        <w:ind w:left="6480" w:hanging="180"/>
      </w:pPr>
    </w:lvl>
  </w:abstractNum>
  <w:abstractNum w:abstractNumId="2" w15:restartNumberingAfterBreak="0">
    <w:nsid w:val="42527F22"/>
    <w:multiLevelType w:val="hybridMultilevel"/>
    <w:tmpl w:val="2790290C"/>
    <w:lvl w:ilvl="0" w:tplc="ED602966">
      <w:start w:val="1"/>
      <w:numFmt w:val="bullet"/>
      <w:lvlText w:val=""/>
      <w:lvlJc w:val="left"/>
      <w:pPr>
        <w:ind w:left="720" w:hanging="360"/>
      </w:pPr>
      <w:rPr>
        <w:rFonts w:ascii="Symbol" w:hAnsi="Symbol" w:hint="default"/>
      </w:rPr>
    </w:lvl>
    <w:lvl w:ilvl="1" w:tplc="B2BEA834" w:tentative="1">
      <w:start w:val="1"/>
      <w:numFmt w:val="bullet"/>
      <w:lvlText w:val="o"/>
      <w:lvlJc w:val="left"/>
      <w:pPr>
        <w:ind w:left="1440" w:hanging="360"/>
      </w:pPr>
      <w:rPr>
        <w:rFonts w:ascii="Courier New" w:hAnsi="Courier New" w:cs="Courier New" w:hint="default"/>
      </w:rPr>
    </w:lvl>
    <w:lvl w:ilvl="2" w:tplc="6C7E8B7C" w:tentative="1">
      <w:start w:val="1"/>
      <w:numFmt w:val="bullet"/>
      <w:lvlText w:val=""/>
      <w:lvlJc w:val="left"/>
      <w:pPr>
        <w:ind w:left="2160" w:hanging="360"/>
      </w:pPr>
      <w:rPr>
        <w:rFonts w:ascii="Wingdings" w:hAnsi="Wingdings" w:hint="default"/>
      </w:rPr>
    </w:lvl>
    <w:lvl w:ilvl="3" w:tplc="9D6CA654" w:tentative="1">
      <w:start w:val="1"/>
      <w:numFmt w:val="bullet"/>
      <w:lvlText w:val=""/>
      <w:lvlJc w:val="left"/>
      <w:pPr>
        <w:ind w:left="2880" w:hanging="360"/>
      </w:pPr>
      <w:rPr>
        <w:rFonts w:ascii="Symbol" w:hAnsi="Symbol" w:hint="default"/>
      </w:rPr>
    </w:lvl>
    <w:lvl w:ilvl="4" w:tplc="51CA11C8" w:tentative="1">
      <w:start w:val="1"/>
      <w:numFmt w:val="bullet"/>
      <w:lvlText w:val="o"/>
      <w:lvlJc w:val="left"/>
      <w:pPr>
        <w:ind w:left="3600" w:hanging="360"/>
      </w:pPr>
      <w:rPr>
        <w:rFonts w:ascii="Courier New" w:hAnsi="Courier New" w:cs="Courier New" w:hint="default"/>
      </w:rPr>
    </w:lvl>
    <w:lvl w:ilvl="5" w:tplc="6B7A98B8" w:tentative="1">
      <w:start w:val="1"/>
      <w:numFmt w:val="bullet"/>
      <w:lvlText w:val=""/>
      <w:lvlJc w:val="left"/>
      <w:pPr>
        <w:ind w:left="4320" w:hanging="360"/>
      </w:pPr>
      <w:rPr>
        <w:rFonts w:ascii="Wingdings" w:hAnsi="Wingdings" w:hint="default"/>
      </w:rPr>
    </w:lvl>
    <w:lvl w:ilvl="6" w:tplc="40569372" w:tentative="1">
      <w:start w:val="1"/>
      <w:numFmt w:val="bullet"/>
      <w:lvlText w:val=""/>
      <w:lvlJc w:val="left"/>
      <w:pPr>
        <w:ind w:left="5040" w:hanging="360"/>
      </w:pPr>
      <w:rPr>
        <w:rFonts w:ascii="Symbol" w:hAnsi="Symbol" w:hint="default"/>
      </w:rPr>
    </w:lvl>
    <w:lvl w:ilvl="7" w:tplc="DEFE39DE" w:tentative="1">
      <w:start w:val="1"/>
      <w:numFmt w:val="bullet"/>
      <w:lvlText w:val="o"/>
      <w:lvlJc w:val="left"/>
      <w:pPr>
        <w:ind w:left="5760" w:hanging="360"/>
      </w:pPr>
      <w:rPr>
        <w:rFonts w:ascii="Courier New" w:hAnsi="Courier New" w:cs="Courier New" w:hint="default"/>
      </w:rPr>
    </w:lvl>
    <w:lvl w:ilvl="8" w:tplc="5846F2C4" w:tentative="1">
      <w:start w:val="1"/>
      <w:numFmt w:val="bullet"/>
      <w:lvlText w:val=""/>
      <w:lvlJc w:val="left"/>
      <w:pPr>
        <w:ind w:left="6480" w:hanging="360"/>
      </w:pPr>
      <w:rPr>
        <w:rFonts w:ascii="Wingdings" w:hAnsi="Wingdings" w:hint="default"/>
      </w:rPr>
    </w:lvl>
  </w:abstractNum>
  <w:abstractNum w:abstractNumId="3" w15:restartNumberingAfterBreak="0">
    <w:nsid w:val="596716D3"/>
    <w:multiLevelType w:val="hybridMultilevel"/>
    <w:tmpl w:val="9288E0A0"/>
    <w:lvl w:ilvl="0" w:tplc="B95C9864">
      <w:start w:val="1"/>
      <w:numFmt w:val="decimal"/>
      <w:lvlText w:val="%1."/>
      <w:lvlJc w:val="left"/>
      <w:pPr>
        <w:ind w:left="720" w:hanging="360"/>
      </w:pPr>
      <w:rPr>
        <w:rFonts w:hint="default"/>
      </w:rPr>
    </w:lvl>
    <w:lvl w:ilvl="1" w:tplc="E2E4C804" w:tentative="1">
      <w:start w:val="1"/>
      <w:numFmt w:val="lowerLetter"/>
      <w:lvlText w:val="%2."/>
      <w:lvlJc w:val="left"/>
      <w:pPr>
        <w:ind w:left="1440" w:hanging="360"/>
      </w:pPr>
    </w:lvl>
    <w:lvl w:ilvl="2" w:tplc="BB36853E" w:tentative="1">
      <w:start w:val="1"/>
      <w:numFmt w:val="lowerRoman"/>
      <w:lvlText w:val="%3."/>
      <w:lvlJc w:val="right"/>
      <w:pPr>
        <w:ind w:left="2160" w:hanging="180"/>
      </w:pPr>
    </w:lvl>
    <w:lvl w:ilvl="3" w:tplc="00923ED2" w:tentative="1">
      <w:start w:val="1"/>
      <w:numFmt w:val="decimal"/>
      <w:lvlText w:val="%4."/>
      <w:lvlJc w:val="left"/>
      <w:pPr>
        <w:ind w:left="2880" w:hanging="360"/>
      </w:pPr>
    </w:lvl>
    <w:lvl w:ilvl="4" w:tplc="6B30A0AC" w:tentative="1">
      <w:start w:val="1"/>
      <w:numFmt w:val="lowerLetter"/>
      <w:lvlText w:val="%5."/>
      <w:lvlJc w:val="left"/>
      <w:pPr>
        <w:ind w:left="3600" w:hanging="360"/>
      </w:pPr>
    </w:lvl>
    <w:lvl w:ilvl="5" w:tplc="56EAA152" w:tentative="1">
      <w:start w:val="1"/>
      <w:numFmt w:val="lowerRoman"/>
      <w:lvlText w:val="%6."/>
      <w:lvlJc w:val="right"/>
      <w:pPr>
        <w:ind w:left="4320" w:hanging="180"/>
      </w:pPr>
    </w:lvl>
    <w:lvl w:ilvl="6" w:tplc="3260E6B0" w:tentative="1">
      <w:start w:val="1"/>
      <w:numFmt w:val="decimal"/>
      <w:lvlText w:val="%7."/>
      <w:lvlJc w:val="left"/>
      <w:pPr>
        <w:ind w:left="5040" w:hanging="360"/>
      </w:pPr>
    </w:lvl>
    <w:lvl w:ilvl="7" w:tplc="8F1812C0" w:tentative="1">
      <w:start w:val="1"/>
      <w:numFmt w:val="lowerLetter"/>
      <w:lvlText w:val="%8."/>
      <w:lvlJc w:val="left"/>
      <w:pPr>
        <w:ind w:left="5760" w:hanging="360"/>
      </w:pPr>
    </w:lvl>
    <w:lvl w:ilvl="8" w:tplc="D0EED73C"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9C"/>
    <w:rsid w:val="0000030A"/>
    <w:rsid w:val="00021A52"/>
    <w:rsid w:val="000249A8"/>
    <w:rsid w:val="00024C09"/>
    <w:rsid w:val="00033E04"/>
    <w:rsid w:val="00043CDF"/>
    <w:rsid w:val="00044371"/>
    <w:rsid w:val="00045F27"/>
    <w:rsid w:val="00055867"/>
    <w:rsid w:val="00074552"/>
    <w:rsid w:val="00080C97"/>
    <w:rsid w:val="00081AFA"/>
    <w:rsid w:val="00087218"/>
    <w:rsid w:val="000948EE"/>
    <w:rsid w:val="0009654D"/>
    <w:rsid w:val="0009682D"/>
    <w:rsid w:val="000A7B20"/>
    <w:rsid w:val="000B2FEF"/>
    <w:rsid w:val="000B3FAB"/>
    <w:rsid w:val="000B46BB"/>
    <w:rsid w:val="000D380A"/>
    <w:rsid w:val="000D3B3E"/>
    <w:rsid w:val="000D6075"/>
    <w:rsid w:val="000E22EA"/>
    <w:rsid w:val="00100397"/>
    <w:rsid w:val="001047C2"/>
    <w:rsid w:val="00104D23"/>
    <w:rsid w:val="00106127"/>
    <w:rsid w:val="00106450"/>
    <w:rsid w:val="00116FFF"/>
    <w:rsid w:val="00121AFD"/>
    <w:rsid w:val="00125D28"/>
    <w:rsid w:val="00130FF5"/>
    <w:rsid w:val="00133144"/>
    <w:rsid w:val="00134921"/>
    <w:rsid w:val="00145FB9"/>
    <w:rsid w:val="00147223"/>
    <w:rsid w:val="00147820"/>
    <w:rsid w:val="0015599B"/>
    <w:rsid w:val="00160A8B"/>
    <w:rsid w:val="001638EB"/>
    <w:rsid w:val="0016732D"/>
    <w:rsid w:val="00175B6F"/>
    <w:rsid w:val="00186825"/>
    <w:rsid w:val="001A0C49"/>
    <w:rsid w:val="001A28E6"/>
    <w:rsid w:val="001B34AE"/>
    <w:rsid w:val="001B4AF7"/>
    <w:rsid w:val="001C51A4"/>
    <w:rsid w:val="001D5B52"/>
    <w:rsid w:val="001E3235"/>
    <w:rsid w:val="001E530D"/>
    <w:rsid w:val="001E6BB2"/>
    <w:rsid w:val="001F325E"/>
    <w:rsid w:val="001F3B64"/>
    <w:rsid w:val="001F403A"/>
    <w:rsid w:val="002028D3"/>
    <w:rsid w:val="00203120"/>
    <w:rsid w:val="002033F9"/>
    <w:rsid w:val="00206F3F"/>
    <w:rsid w:val="00210BA2"/>
    <w:rsid w:val="00215F4F"/>
    <w:rsid w:val="00230896"/>
    <w:rsid w:val="00241D19"/>
    <w:rsid w:val="0024400E"/>
    <w:rsid w:val="00247E28"/>
    <w:rsid w:val="002526A2"/>
    <w:rsid w:val="002648D9"/>
    <w:rsid w:val="002649B9"/>
    <w:rsid w:val="00265E5B"/>
    <w:rsid w:val="002768B8"/>
    <w:rsid w:val="002875B7"/>
    <w:rsid w:val="00290E39"/>
    <w:rsid w:val="0029444F"/>
    <w:rsid w:val="002A0529"/>
    <w:rsid w:val="002A08D4"/>
    <w:rsid w:val="002A36AC"/>
    <w:rsid w:val="002A4A0C"/>
    <w:rsid w:val="002A5F12"/>
    <w:rsid w:val="002B6FB6"/>
    <w:rsid w:val="002B7366"/>
    <w:rsid w:val="002B7F6B"/>
    <w:rsid w:val="002C5B28"/>
    <w:rsid w:val="002C5B7D"/>
    <w:rsid w:val="002C6C25"/>
    <w:rsid w:val="002C7B39"/>
    <w:rsid w:val="002D4CF8"/>
    <w:rsid w:val="002E3B03"/>
    <w:rsid w:val="002E4607"/>
    <w:rsid w:val="002E7DE3"/>
    <w:rsid w:val="002F0798"/>
    <w:rsid w:val="003009BB"/>
    <w:rsid w:val="0030194D"/>
    <w:rsid w:val="00301976"/>
    <w:rsid w:val="00303DB2"/>
    <w:rsid w:val="00305B5A"/>
    <w:rsid w:val="003221F7"/>
    <w:rsid w:val="00327AE2"/>
    <w:rsid w:val="00330D9B"/>
    <w:rsid w:val="0033376D"/>
    <w:rsid w:val="003343B1"/>
    <w:rsid w:val="00334950"/>
    <w:rsid w:val="00335D58"/>
    <w:rsid w:val="00337CD1"/>
    <w:rsid w:val="00341F34"/>
    <w:rsid w:val="003450C7"/>
    <w:rsid w:val="00346FF6"/>
    <w:rsid w:val="0035203C"/>
    <w:rsid w:val="003521A4"/>
    <w:rsid w:val="003522DA"/>
    <w:rsid w:val="00360BDD"/>
    <w:rsid w:val="00363EF8"/>
    <w:rsid w:val="00367B69"/>
    <w:rsid w:val="00372EB7"/>
    <w:rsid w:val="0037738A"/>
    <w:rsid w:val="0038010A"/>
    <w:rsid w:val="00383302"/>
    <w:rsid w:val="00386C7E"/>
    <w:rsid w:val="00397CA0"/>
    <w:rsid w:val="003A07E4"/>
    <w:rsid w:val="003A3AF4"/>
    <w:rsid w:val="003A502D"/>
    <w:rsid w:val="003C4AD6"/>
    <w:rsid w:val="003D4E06"/>
    <w:rsid w:val="003E24B4"/>
    <w:rsid w:val="003E60AE"/>
    <w:rsid w:val="003E752D"/>
    <w:rsid w:val="003F3C06"/>
    <w:rsid w:val="003F3D2D"/>
    <w:rsid w:val="003F6765"/>
    <w:rsid w:val="003F6D48"/>
    <w:rsid w:val="00407749"/>
    <w:rsid w:val="00447EEE"/>
    <w:rsid w:val="004511E9"/>
    <w:rsid w:val="004549D7"/>
    <w:rsid w:val="00456CCE"/>
    <w:rsid w:val="00466E54"/>
    <w:rsid w:val="00470623"/>
    <w:rsid w:val="004721B8"/>
    <w:rsid w:val="00474ED3"/>
    <w:rsid w:val="00483AFA"/>
    <w:rsid w:val="00491E6C"/>
    <w:rsid w:val="00495A89"/>
    <w:rsid w:val="0049650B"/>
    <w:rsid w:val="004A143D"/>
    <w:rsid w:val="004A62E8"/>
    <w:rsid w:val="004B3FEB"/>
    <w:rsid w:val="004B7D95"/>
    <w:rsid w:val="004C53BD"/>
    <w:rsid w:val="004C6D3D"/>
    <w:rsid w:val="004C7A76"/>
    <w:rsid w:val="004D0A18"/>
    <w:rsid w:val="004D5111"/>
    <w:rsid w:val="004E044D"/>
    <w:rsid w:val="004E193B"/>
    <w:rsid w:val="004F08F8"/>
    <w:rsid w:val="004F1F4C"/>
    <w:rsid w:val="004F4CF3"/>
    <w:rsid w:val="004F5B40"/>
    <w:rsid w:val="00502761"/>
    <w:rsid w:val="0050510A"/>
    <w:rsid w:val="0050709B"/>
    <w:rsid w:val="00537860"/>
    <w:rsid w:val="00552CBE"/>
    <w:rsid w:val="00557D08"/>
    <w:rsid w:val="0056101B"/>
    <w:rsid w:val="00561CFC"/>
    <w:rsid w:val="00562D3A"/>
    <w:rsid w:val="0057376B"/>
    <w:rsid w:val="0057448B"/>
    <w:rsid w:val="005859F2"/>
    <w:rsid w:val="005A0C39"/>
    <w:rsid w:val="005C0381"/>
    <w:rsid w:val="005C0590"/>
    <w:rsid w:val="005C6767"/>
    <w:rsid w:val="005D138F"/>
    <w:rsid w:val="005D1DF5"/>
    <w:rsid w:val="005E2325"/>
    <w:rsid w:val="005E35D5"/>
    <w:rsid w:val="005E4E28"/>
    <w:rsid w:val="005E65B3"/>
    <w:rsid w:val="005F26F1"/>
    <w:rsid w:val="005F29D5"/>
    <w:rsid w:val="005F4E20"/>
    <w:rsid w:val="005F537D"/>
    <w:rsid w:val="005F54F3"/>
    <w:rsid w:val="0061476F"/>
    <w:rsid w:val="00616216"/>
    <w:rsid w:val="006163F2"/>
    <w:rsid w:val="00620367"/>
    <w:rsid w:val="006205CF"/>
    <w:rsid w:val="006206FF"/>
    <w:rsid w:val="00620C5B"/>
    <w:rsid w:val="0062141F"/>
    <w:rsid w:val="0062780A"/>
    <w:rsid w:val="0063205F"/>
    <w:rsid w:val="00646436"/>
    <w:rsid w:val="00653ACA"/>
    <w:rsid w:val="00657B45"/>
    <w:rsid w:val="00665C44"/>
    <w:rsid w:val="00672F1C"/>
    <w:rsid w:val="00677AD9"/>
    <w:rsid w:val="00680CF4"/>
    <w:rsid w:val="0069128F"/>
    <w:rsid w:val="00694DBF"/>
    <w:rsid w:val="0069659D"/>
    <w:rsid w:val="006A2104"/>
    <w:rsid w:val="006A6491"/>
    <w:rsid w:val="006B3EC7"/>
    <w:rsid w:val="006C055C"/>
    <w:rsid w:val="006C072F"/>
    <w:rsid w:val="006C08D5"/>
    <w:rsid w:val="006C1669"/>
    <w:rsid w:val="006D470A"/>
    <w:rsid w:val="006E0C88"/>
    <w:rsid w:val="006E3F1C"/>
    <w:rsid w:val="006E4752"/>
    <w:rsid w:val="006E59C5"/>
    <w:rsid w:val="006F4FD0"/>
    <w:rsid w:val="00704184"/>
    <w:rsid w:val="00706600"/>
    <w:rsid w:val="0070729C"/>
    <w:rsid w:val="00707403"/>
    <w:rsid w:val="00707CC9"/>
    <w:rsid w:val="00710195"/>
    <w:rsid w:val="0071036A"/>
    <w:rsid w:val="00722793"/>
    <w:rsid w:val="00722969"/>
    <w:rsid w:val="007242FD"/>
    <w:rsid w:val="0072654C"/>
    <w:rsid w:val="007271B4"/>
    <w:rsid w:val="00730DBD"/>
    <w:rsid w:val="007417D0"/>
    <w:rsid w:val="00763F2C"/>
    <w:rsid w:val="007645E3"/>
    <w:rsid w:val="00770188"/>
    <w:rsid w:val="00773A1F"/>
    <w:rsid w:val="00774037"/>
    <w:rsid w:val="007808AE"/>
    <w:rsid w:val="00785898"/>
    <w:rsid w:val="007912DD"/>
    <w:rsid w:val="00791C51"/>
    <w:rsid w:val="0079398A"/>
    <w:rsid w:val="00796A24"/>
    <w:rsid w:val="007A5E8D"/>
    <w:rsid w:val="007A69D5"/>
    <w:rsid w:val="007B0F67"/>
    <w:rsid w:val="007B300A"/>
    <w:rsid w:val="007B3A4A"/>
    <w:rsid w:val="007B4F3C"/>
    <w:rsid w:val="007B7B44"/>
    <w:rsid w:val="007D6E69"/>
    <w:rsid w:val="007E7BC8"/>
    <w:rsid w:val="007F298F"/>
    <w:rsid w:val="007F356E"/>
    <w:rsid w:val="00805395"/>
    <w:rsid w:val="008064E3"/>
    <w:rsid w:val="0081092C"/>
    <w:rsid w:val="00810B68"/>
    <w:rsid w:val="00821259"/>
    <w:rsid w:val="00823129"/>
    <w:rsid w:val="00827C68"/>
    <w:rsid w:val="00835EFA"/>
    <w:rsid w:val="008406DD"/>
    <w:rsid w:val="00840DF4"/>
    <w:rsid w:val="00846717"/>
    <w:rsid w:val="008528D0"/>
    <w:rsid w:val="0086557D"/>
    <w:rsid w:val="00872397"/>
    <w:rsid w:val="008870B6"/>
    <w:rsid w:val="008A0582"/>
    <w:rsid w:val="008A2195"/>
    <w:rsid w:val="008A3A5B"/>
    <w:rsid w:val="008B1516"/>
    <w:rsid w:val="008B18D7"/>
    <w:rsid w:val="008B1D85"/>
    <w:rsid w:val="008B6231"/>
    <w:rsid w:val="008B7890"/>
    <w:rsid w:val="008C1B97"/>
    <w:rsid w:val="008C39A3"/>
    <w:rsid w:val="008C4378"/>
    <w:rsid w:val="008D0ED1"/>
    <w:rsid w:val="008D1B25"/>
    <w:rsid w:val="008F567A"/>
    <w:rsid w:val="008F5C35"/>
    <w:rsid w:val="00902B59"/>
    <w:rsid w:val="0091249A"/>
    <w:rsid w:val="00913F20"/>
    <w:rsid w:val="009229F3"/>
    <w:rsid w:val="00924AC1"/>
    <w:rsid w:val="00927DBD"/>
    <w:rsid w:val="0094027F"/>
    <w:rsid w:val="00943A87"/>
    <w:rsid w:val="00945AB2"/>
    <w:rsid w:val="0095444B"/>
    <w:rsid w:val="009558BD"/>
    <w:rsid w:val="00955C26"/>
    <w:rsid w:val="0096246E"/>
    <w:rsid w:val="00967C1A"/>
    <w:rsid w:val="00971491"/>
    <w:rsid w:val="009748E6"/>
    <w:rsid w:val="00975D9F"/>
    <w:rsid w:val="00977215"/>
    <w:rsid w:val="00993611"/>
    <w:rsid w:val="00993B5F"/>
    <w:rsid w:val="00995C03"/>
    <w:rsid w:val="009A49B5"/>
    <w:rsid w:val="009A5782"/>
    <w:rsid w:val="009A651E"/>
    <w:rsid w:val="009B3913"/>
    <w:rsid w:val="009E4C28"/>
    <w:rsid w:val="009F5768"/>
    <w:rsid w:val="00A00973"/>
    <w:rsid w:val="00A17A8C"/>
    <w:rsid w:val="00A21FB3"/>
    <w:rsid w:val="00A27C78"/>
    <w:rsid w:val="00A34E0F"/>
    <w:rsid w:val="00A4122B"/>
    <w:rsid w:val="00A432FB"/>
    <w:rsid w:val="00A524E1"/>
    <w:rsid w:val="00A54521"/>
    <w:rsid w:val="00A728D6"/>
    <w:rsid w:val="00A74625"/>
    <w:rsid w:val="00A756C9"/>
    <w:rsid w:val="00A957BB"/>
    <w:rsid w:val="00A96A0E"/>
    <w:rsid w:val="00AC3181"/>
    <w:rsid w:val="00AD662D"/>
    <w:rsid w:val="00AE05C3"/>
    <w:rsid w:val="00AF106E"/>
    <w:rsid w:val="00AF17C0"/>
    <w:rsid w:val="00B02FE3"/>
    <w:rsid w:val="00B16C18"/>
    <w:rsid w:val="00B23012"/>
    <w:rsid w:val="00B24DED"/>
    <w:rsid w:val="00B274A0"/>
    <w:rsid w:val="00B27EF3"/>
    <w:rsid w:val="00B413E3"/>
    <w:rsid w:val="00B42A78"/>
    <w:rsid w:val="00B4583E"/>
    <w:rsid w:val="00B510FB"/>
    <w:rsid w:val="00B52388"/>
    <w:rsid w:val="00B53721"/>
    <w:rsid w:val="00B537B7"/>
    <w:rsid w:val="00B540A8"/>
    <w:rsid w:val="00B63662"/>
    <w:rsid w:val="00B66557"/>
    <w:rsid w:val="00B67B3C"/>
    <w:rsid w:val="00B702BD"/>
    <w:rsid w:val="00B73465"/>
    <w:rsid w:val="00B90786"/>
    <w:rsid w:val="00B90849"/>
    <w:rsid w:val="00BC3172"/>
    <w:rsid w:val="00BC7337"/>
    <w:rsid w:val="00BD123E"/>
    <w:rsid w:val="00BD35FE"/>
    <w:rsid w:val="00BD42A9"/>
    <w:rsid w:val="00BD76D9"/>
    <w:rsid w:val="00BE2873"/>
    <w:rsid w:val="00BF5007"/>
    <w:rsid w:val="00C026A3"/>
    <w:rsid w:val="00C02E61"/>
    <w:rsid w:val="00C0662B"/>
    <w:rsid w:val="00C13FA3"/>
    <w:rsid w:val="00C149D1"/>
    <w:rsid w:val="00C16275"/>
    <w:rsid w:val="00C33D27"/>
    <w:rsid w:val="00C34276"/>
    <w:rsid w:val="00C37095"/>
    <w:rsid w:val="00C43F22"/>
    <w:rsid w:val="00C50AD4"/>
    <w:rsid w:val="00C52337"/>
    <w:rsid w:val="00C52AB6"/>
    <w:rsid w:val="00C52B92"/>
    <w:rsid w:val="00C536E1"/>
    <w:rsid w:val="00C53BF7"/>
    <w:rsid w:val="00C53EAF"/>
    <w:rsid w:val="00C5486B"/>
    <w:rsid w:val="00C714AC"/>
    <w:rsid w:val="00C72B12"/>
    <w:rsid w:val="00C76D89"/>
    <w:rsid w:val="00C85955"/>
    <w:rsid w:val="00C87869"/>
    <w:rsid w:val="00C878EA"/>
    <w:rsid w:val="00C87E61"/>
    <w:rsid w:val="00C94596"/>
    <w:rsid w:val="00C968A5"/>
    <w:rsid w:val="00CB19BF"/>
    <w:rsid w:val="00CB4BAE"/>
    <w:rsid w:val="00CD42FD"/>
    <w:rsid w:val="00CD5C6B"/>
    <w:rsid w:val="00CD7158"/>
    <w:rsid w:val="00CE3EF6"/>
    <w:rsid w:val="00CF48E3"/>
    <w:rsid w:val="00D00DA6"/>
    <w:rsid w:val="00D0277F"/>
    <w:rsid w:val="00D05374"/>
    <w:rsid w:val="00D07294"/>
    <w:rsid w:val="00D10150"/>
    <w:rsid w:val="00D10383"/>
    <w:rsid w:val="00D12550"/>
    <w:rsid w:val="00D17EB9"/>
    <w:rsid w:val="00D226BE"/>
    <w:rsid w:val="00D357C8"/>
    <w:rsid w:val="00D36974"/>
    <w:rsid w:val="00D40D39"/>
    <w:rsid w:val="00D479C4"/>
    <w:rsid w:val="00D50068"/>
    <w:rsid w:val="00D61B62"/>
    <w:rsid w:val="00D703C5"/>
    <w:rsid w:val="00D7233F"/>
    <w:rsid w:val="00D72F5A"/>
    <w:rsid w:val="00D860C9"/>
    <w:rsid w:val="00D9265E"/>
    <w:rsid w:val="00D9303E"/>
    <w:rsid w:val="00DA71C6"/>
    <w:rsid w:val="00DB3FE6"/>
    <w:rsid w:val="00DC5DF3"/>
    <w:rsid w:val="00DD277F"/>
    <w:rsid w:val="00DE2384"/>
    <w:rsid w:val="00DF089C"/>
    <w:rsid w:val="00DF12F9"/>
    <w:rsid w:val="00DF2735"/>
    <w:rsid w:val="00DF3CEE"/>
    <w:rsid w:val="00DF6AFF"/>
    <w:rsid w:val="00E10465"/>
    <w:rsid w:val="00E12689"/>
    <w:rsid w:val="00E126C0"/>
    <w:rsid w:val="00E130F5"/>
    <w:rsid w:val="00E1543A"/>
    <w:rsid w:val="00E238F2"/>
    <w:rsid w:val="00E23EAB"/>
    <w:rsid w:val="00E24644"/>
    <w:rsid w:val="00E36A8D"/>
    <w:rsid w:val="00E37A52"/>
    <w:rsid w:val="00E40EC8"/>
    <w:rsid w:val="00E4266D"/>
    <w:rsid w:val="00E463FA"/>
    <w:rsid w:val="00E504AC"/>
    <w:rsid w:val="00E50AA8"/>
    <w:rsid w:val="00E51834"/>
    <w:rsid w:val="00E52B79"/>
    <w:rsid w:val="00E54A91"/>
    <w:rsid w:val="00E73DC5"/>
    <w:rsid w:val="00E80BCB"/>
    <w:rsid w:val="00E85513"/>
    <w:rsid w:val="00E9120E"/>
    <w:rsid w:val="00E917FD"/>
    <w:rsid w:val="00E92862"/>
    <w:rsid w:val="00E9720A"/>
    <w:rsid w:val="00E97C2B"/>
    <w:rsid w:val="00EA1FE0"/>
    <w:rsid w:val="00EA78E5"/>
    <w:rsid w:val="00EB236A"/>
    <w:rsid w:val="00EB5E6B"/>
    <w:rsid w:val="00EC4727"/>
    <w:rsid w:val="00EC7F5A"/>
    <w:rsid w:val="00ED24FB"/>
    <w:rsid w:val="00ED5F89"/>
    <w:rsid w:val="00EE3D0A"/>
    <w:rsid w:val="00EE6590"/>
    <w:rsid w:val="00EE6BC2"/>
    <w:rsid w:val="00EF00CC"/>
    <w:rsid w:val="00EF4F0A"/>
    <w:rsid w:val="00F00768"/>
    <w:rsid w:val="00F02BCF"/>
    <w:rsid w:val="00F10A83"/>
    <w:rsid w:val="00F10C39"/>
    <w:rsid w:val="00F11351"/>
    <w:rsid w:val="00F11824"/>
    <w:rsid w:val="00F14F89"/>
    <w:rsid w:val="00F233B8"/>
    <w:rsid w:val="00F33C80"/>
    <w:rsid w:val="00F42C66"/>
    <w:rsid w:val="00F51289"/>
    <w:rsid w:val="00F569DD"/>
    <w:rsid w:val="00F57572"/>
    <w:rsid w:val="00F70083"/>
    <w:rsid w:val="00F80EB3"/>
    <w:rsid w:val="00F87872"/>
    <w:rsid w:val="00F917AF"/>
    <w:rsid w:val="00F91828"/>
    <w:rsid w:val="00FA4BA8"/>
    <w:rsid w:val="00FB196F"/>
    <w:rsid w:val="00FE1493"/>
    <w:rsid w:val="00FE1AC4"/>
    <w:rsid w:val="00FF0AD6"/>
    <w:rsid w:val="00FF329A"/>
    <w:rsid w:val="00FF79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B190E0"/>
  <w15:chartTrackingRefBased/>
  <w15:docId w15:val="{5574F574-271B-224A-9E38-82B63E21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52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089C"/>
    <w:pPr>
      <w:keepNext/>
      <w:keepLines/>
      <w:spacing w:before="360" w:after="80" w:line="265" w:lineRule="auto"/>
      <w:ind w:right="56" w:firstLine="710"/>
      <w:jc w:val="both"/>
      <w:outlineLvl w:val="0"/>
    </w:pPr>
    <w:rPr>
      <w:rFonts w:asciiTheme="majorHAnsi" w:eastAsiaTheme="majorEastAsia" w:hAnsiTheme="majorHAnsi" w:cstheme="majorBidi"/>
      <w:color w:val="0F4761" w:themeColor="accent1" w:themeShade="BF"/>
      <w:kern w:val="2"/>
      <w:sz w:val="40"/>
      <w:szCs w:val="40"/>
      <w:lang w:val="en-US" w:bidi="en-US"/>
      <w14:ligatures w14:val="standardContextual"/>
    </w:rPr>
  </w:style>
  <w:style w:type="paragraph" w:styleId="Heading2">
    <w:name w:val="heading 2"/>
    <w:basedOn w:val="Normal"/>
    <w:next w:val="Normal"/>
    <w:link w:val="Heading2Char"/>
    <w:uiPriority w:val="9"/>
    <w:semiHidden/>
    <w:unhideWhenUsed/>
    <w:qFormat/>
    <w:rsid w:val="00DF089C"/>
    <w:pPr>
      <w:keepNext/>
      <w:keepLines/>
      <w:spacing w:before="160" w:after="80" w:line="265" w:lineRule="auto"/>
      <w:ind w:right="56" w:firstLine="710"/>
      <w:jc w:val="both"/>
      <w:outlineLvl w:val="1"/>
    </w:pPr>
    <w:rPr>
      <w:rFonts w:asciiTheme="majorHAnsi" w:eastAsiaTheme="majorEastAsia" w:hAnsiTheme="majorHAnsi" w:cstheme="majorBidi"/>
      <w:color w:val="0F4761" w:themeColor="accent1" w:themeShade="BF"/>
      <w:kern w:val="2"/>
      <w:sz w:val="32"/>
      <w:szCs w:val="32"/>
      <w:lang w:val="en-US" w:bidi="en-US"/>
      <w14:ligatures w14:val="standardContextual"/>
    </w:rPr>
  </w:style>
  <w:style w:type="paragraph" w:styleId="Heading3">
    <w:name w:val="heading 3"/>
    <w:basedOn w:val="Normal"/>
    <w:next w:val="Normal"/>
    <w:link w:val="Heading3Char"/>
    <w:uiPriority w:val="9"/>
    <w:semiHidden/>
    <w:unhideWhenUsed/>
    <w:qFormat/>
    <w:rsid w:val="00DF0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9C"/>
    <w:rPr>
      <w:rFonts w:eastAsiaTheme="majorEastAsia" w:cstheme="majorBidi"/>
      <w:color w:val="272727" w:themeColor="text1" w:themeTint="D8"/>
    </w:rPr>
  </w:style>
  <w:style w:type="paragraph" w:styleId="Title">
    <w:name w:val="Title"/>
    <w:basedOn w:val="Normal"/>
    <w:next w:val="Normal"/>
    <w:link w:val="TitleChar"/>
    <w:uiPriority w:val="10"/>
    <w:qFormat/>
    <w:rsid w:val="00DF089C"/>
    <w:pPr>
      <w:spacing w:after="80" w:line="265" w:lineRule="auto"/>
      <w:ind w:right="56" w:firstLine="710"/>
      <w:contextualSpacing/>
      <w:jc w:val="both"/>
    </w:pPr>
    <w:rPr>
      <w:rFonts w:asciiTheme="majorHAnsi" w:eastAsiaTheme="majorEastAsia" w:hAnsiTheme="majorHAnsi" w:cstheme="majorBidi"/>
      <w:color w:val="181717"/>
      <w:spacing w:val="-10"/>
      <w:kern w:val="28"/>
      <w:sz w:val="56"/>
      <w:szCs w:val="56"/>
      <w:lang w:val="en-US" w:bidi="en-US"/>
      <w14:ligatures w14:val="standardContextual"/>
    </w:rPr>
  </w:style>
  <w:style w:type="character" w:customStyle="1" w:styleId="TitleChar">
    <w:name w:val="Title Char"/>
    <w:basedOn w:val="DefaultParagraphFont"/>
    <w:link w:val="Title"/>
    <w:uiPriority w:val="10"/>
    <w:rsid w:val="00DF0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9C"/>
    <w:pPr>
      <w:numPr>
        <w:ilvl w:val="1"/>
      </w:numPr>
      <w:spacing w:after="160" w:line="265" w:lineRule="auto"/>
      <w:ind w:right="56" w:firstLine="710"/>
      <w:jc w:val="both"/>
    </w:pPr>
    <w:rPr>
      <w:rFonts w:eastAsiaTheme="majorEastAsia" w:cstheme="majorBidi"/>
      <w:color w:val="595959" w:themeColor="text1" w:themeTint="A6"/>
      <w:spacing w:val="15"/>
      <w:kern w:val="2"/>
      <w:sz w:val="28"/>
      <w:szCs w:val="28"/>
      <w:lang w:val="en-US" w:bidi="en-US"/>
      <w14:ligatures w14:val="standardContextual"/>
    </w:rPr>
  </w:style>
  <w:style w:type="character" w:customStyle="1" w:styleId="SubtitleChar">
    <w:name w:val="Subtitle Char"/>
    <w:basedOn w:val="DefaultParagraphFont"/>
    <w:link w:val="Subtitle"/>
    <w:uiPriority w:val="11"/>
    <w:rsid w:val="00DF0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9C"/>
    <w:pPr>
      <w:spacing w:before="160" w:after="160" w:line="265" w:lineRule="auto"/>
      <w:ind w:right="56" w:firstLine="710"/>
      <w:jc w:val="center"/>
    </w:pPr>
    <w:rPr>
      <w:i/>
      <w:iCs/>
      <w:color w:val="404040" w:themeColor="text1" w:themeTint="BF"/>
      <w:kern w:val="2"/>
      <w:sz w:val="22"/>
      <w:lang w:val="en-US" w:bidi="en-US"/>
      <w14:ligatures w14:val="standardContextual"/>
    </w:rPr>
  </w:style>
  <w:style w:type="character" w:customStyle="1" w:styleId="QuoteChar">
    <w:name w:val="Quote Char"/>
    <w:basedOn w:val="DefaultParagraphFont"/>
    <w:link w:val="Quote"/>
    <w:uiPriority w:val="29"/>
    <w:rsid w:val="00DF089C"/>
    <w:rPr>
      <w:i/>
      <w:iCs/>
      <w:color w:val="404040" w:themeColor="text1" w:themeTint="BF"/>
    </w:rPr>
  </w:style>
  <w:style w:type="paragraph" w:styleId="ListParagraph">
    <w:name w:val="List Paragraph"/>
    <w:basedOn w:val="Normal"/>
    <w:uiPriority w:val="34"/>
    <w:qFormat/>
    <w:rsid w:val="00DF089C"/>
    <w:pPr>
      <w:spacing w:after="157" w:line="265" w:lineRule="auto"/>
      <w:ind w:left="720" w:right="56" w:firstLine="710"/>
      <w:contextualSpacing/>
      <w:jc w:val="both"/>
    </w:pPr>
    <w:rPr>
      <w:color w:val="181717"/>
      <w:kern w:val="2"/>
      <w:sz w:val="22"/>
      <w:lang w:val="en-US" w:bidi="en-US"/>
      <w14:ligatures w14:val="standardContextual"/>
    </w:rPr>
  </w:style>
  <w:style w:type="character" w:styleId="IntenseEmphasis">
    <w:name w:val="Intense Emphasis"/>
    <w:basedOn w:val="DefaultParagraphFont"/>
    <w:uiPriority w:val="21"/>
    <w:qFormat/>
    <w:rsid w:val="00DF089C"/>
    <w:rPr>
      <w:i/>
      <w:iCs/>
      <w:color w:val="0F4761" w:themeColor="accent1" w:themeShade="BF"/>
    </w:rPr>
  </w:style>
  <w:style w:type="paragraph" w:styleId="IntenseQuote">
    <w:name w:val="Intense Quote"/>
    <w:basedOn w:val="Normal"/>
    <w:next w:val="Normal"/>
    <w:link w:val="IntenseQuoteChar"/>
    <w:uiPriority w:val="30"/>
    <w:qFormat/>
    <w:rsid w:val="00DF089C"/>
    <w:pPr>
      <w:pBdr>
        <w:top w:val="single" w:sz="4" w:space="10" w:color="0F4761" w:themeColor="accent1" w:themeShade="BF"/>
        <w:bottom w:val="single" w:sz="4" w:space="10" w:color="0F4761" w:themeColor="accent1" w:themeShade="BF"/>
      </w:pBdr>
      <w:spacing w:before="360" w:after="360" w:line="265" w:lineRule="auto"/>
      <w:ind w:left="864" w:right="864" w:firstLine="710"/>
      <w:jc w:val="center"/>
    </w:pPr>
    <w:rPr>
      <w:i/>
      <w:iCs/>
      <w:color w:val="0F4761" w:themeColor="accent1" w:themeShade="BF"/>
      <w:kern w:val="2"/>
      <w:sz w:val="22"/>
      <w:lang w:val="en-US" w:bidi="en-US"/>
      <w14:ligatures w14:val="standardContextual"/>
    </w:rPr>
  </w:style>
  <w:style w:type="character" w:customStyle="1" w:styleId="IntenseQuoteChar">
    <w:name w:val="Intense Quote Char"/>
    <w:basedOn w:val="DefaultParagraphFont"/>
    <w:link w:val="IntenseQuote"/>
    <w:uiPriority w:val="30"/>
    <w:rsid w:val="00DF089C"/>
    <w:rPr>
      <w:i/>
      <w:iCs/>
      <w:color w:val="0F4761" w:themeColor="accent1" w:themeShade="BF"/>
    </w:rPr>
  </w:style>
  <w:style w:type="character" w:styleId="IntenseReference">
    <w:name w:val="Intense Reference"/>
    <w:basedOn w:val="DefaultParagraphFont"/>
    <w:uiPriority w:val="32"/>
    <w:qFormat/>
    <w:rsid w:val="00DF089C"/>
    <w:rPr>
      <w:b/>
      <w:bCs/>
      <w:smallCaps/>
      <w:color w:val="0F4761" w:themeColor="accent1" w:themeShade="BF"/>
      <w:spacing w:val="5"/>
    </w:rPr>
  </w:style>
  <w:style w:type="character" w:styleId="Hyperlink">
    <w:name w:val="Hyperlink"/>
    <w:basedOn w:val="DefaultParagraphFont"/>
    <w:uiPriority w:val="99"/>
    <w:unhideWhenUsed/>
    <w:rsid w:val="00DF089C"/>
    <w:rPr>
      <w:color w:val="467886" w:themeColor="hyperlink"/>
      <w:u w:val="single"/>
    </w:rPr>
  </w:style>
  <w:style w:type="paragraph" w:customStyle="1" w:styleId="Default">
    <w:name w:val="Default"/>
    <w:rsid w:val="00DF089C"/>
    <w:pPr>
      <w:autoSpaceDE w:val="0"/>
      <w:autoSpaceDN w:val="0"/>
      <w:adjustRightInd w:val="0"/>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A728D6"/>
    <w:rPr>
      <w:color w:val="96607D" w:themeColor="followedHyperlink"/>
      <w:u w:val="single"/>
    </w:rPr>
  </w:style>
  <w:style w:type="character" w:styleId="UnresolvedMention">
    <w:name w:val="Unresolved Mention"/>
    <w:basedOn w:val="DefaultParagraphFont"/>
    <w:uiPriority w:val="99"/>
    <w:semiHidden/>
    <w:unhideWhenUsed/>
    <w:rsid w:val="00A728D6"/>
    <w:rPr>
      <w:color w:val="605E5C"/>
      <w:shd w:val="clear" w:color="auto" w:fill="E1DFDD"/>
    </w:rPr>
  </w:style>
  <w:style w:type="table" w:styleId="TableGrid">
    <w:name w:val="Table Grid"/>
    <w:basedOn w:val="TableNormal"/>
    <w:uiPriority w:val="59"/>
    <w:rsid w:val="009B3913"/>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413E3"/>
    <w:pPr>
      <w:tabs>
        <w:tab w:val="center" w:pos="4680"/>
        <w:tab w:val="right" w:pos="9360"/>
      </w:tabs>
    </w:pPr>
  </w:style>
  <w:style w:type="character" w:customStyle="1" w:styleId="HeaderChar">
    <w:name w:val="Header Char"/>
    <w:basedOn w:val="DefaultParagraphFont"/>
    <w:link w:val="Header"/>
    <w:uiPriority w:val="99"/>
    <w:rsid w:val="00B413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413E3"/>
    <w:pPr>
      <w:tabs>
        <w:tab w:val="center" w:pos="4680"/>
        <w:tab w:val="right" w:pos="9360"/>
      </w:tabs>
    </w:pPr>
  </w:style>
  <w:style w:type="character" w:customStyle="1" w:styleId="FooterChar">
    <w:name w:val="Footer Char"/>
    <w:basedOn w:val="DefaultParagraphFont"/>
    <w:link w:val="Footer"/>
    <w:uiPriority w:val="99"/>
    <w:rsid w:val="00B413E3"/>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A5E8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5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sbspro.2011.12.073" TargetMode="External"/><Relationship Id="rId18" Type="http://schemas.openxmlformats.org/officeDocument/2006/relationships/hyperlink" Target="https://doi.org/10.70884/mjsir.v59i1-5.22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bm.gov.ph/wp-content/uploads/Issuances/2022/Joint-Circular/DBM-CHED-JC-No-1-S-2022.pdf" TargetMode="External"/><Relationship Id="rId17" Type="http://schemas.openxmlformats.org/officeDocument/2006/relationships/hyperlink" Target="https://doi.org/10.56278/tnl.v12i2.100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97/NUR.0000000000000493" TargetMode="External"/><Relationship Id="rId20" Type="http://schemas.openxmlformats.org/officeDocument/2006/relationships/hyperlink" Target="https://doi.org/10.56805/ajhs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0884/mjsir.v84i1.4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981-13-8043-3_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59188/devotion.v4i2.423" TargetMode="External"/><Relationship Id="rId19" Type="http://schemas.openxmlformats.org/officeDocument/2006/relationships/hyperlink" Target="https://www.ilo.org/sites/default/files/wcmsp5/groups/public/@asia/@ro-bangkok/@ilo-jakarta/documents/publication/wcms_419172.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33423/jhetp.v23i3.5847"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arlosidonsira\Documents\MY%20WORKS\COPYRIGHT%20WORKS%20SECTION\FOR%20PUBLICATION%20MANUSCRIPTS\KSira_2MIT%20Tracer%20Study\DIT_MIT%20graduat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Sheet1!$C$41:$C$49</c:f>
              <c:strCache>
                <c:ptCount val="9"/>
                <c:pt idx="0">
                  <c:v>2015-2016</c:v>
                </c:pt>
                <c:pt idx="1">
                  <c:v>2016-2017</c:v>
                </c:pt>
                <c:pt idx="2">
                  <c:v>2017-2018</c:v>
                </c:pt>
                <c:pt idx="3">
                  <c:v>2018-2019</c:v>
                </c:pt>
                <c:pt idx="4">
                  <c:v>2019-2020</c:v>
                </c:pt>
                <c:pt idx="5">
                  <c:v>2020-2021</c:v>
                </c:pt>
                <c:pt idx="6">
                  <c:v>2021-2022</c:v>
                </c:pt>
                <c:pt idx="7">
                  <c:v>2022-2023</c:v>
                </c:pt>
                <c:pt idx="8">
                  <c:v>2023-2024</c:v>
                </c:pt>
              </c:strCache>
            </c:strRef>
          </c:cat>
          <c:val>
            <c:numRef>
              <c:f>Sheet1!$D$41:$D$49</c:f>
              <c:numCache>
                <c:formatCode>General</c:formatCode>
                <c:ptCount val="9"/>
                <c:pt idx="0">
                  <c:v>18</c:v>
                </c:pt>
                <c:pt idx="1">
                  <c:v>6</c:v>
                </c:pt>
                <c:pt idx="2">
                  <c:v>12</c:v>
                </c:pt>
                <c:pt idx="3">
                  <c:v>10</c:v>
                </c:pt>
                <c:pt idx="4">
                  <c:v>16</c:v>
                </c:pt>
                <c:pt idx="5">
                  <c:v>4</c:v>
                </c:pt>
                <c:pt idx="6">
                  <c:v>5</c:v>
                </c:pt>
                <c:pt idx="7">
                  <c:v>5</c:v>
                </c:pt>
                <c:pt idx="8">
                  <c:v>11</c:v>
                </c:pt>
              </c:numCache>
            </c:numRef>
          </c:val>
          <c:extLst>
            <c:ext xmlns:c16="http://schemas.microsoft.com/office/drawing/2014/chart" uri="{C3380CC4-5D6E-409C-BE32-E72D297353CC}">
              <c16:uniqueId val="{00000000-1432-2A43-B27F-4F48313C9767}"/>
            </c:ext>
          </c:extLst>
        </c:ser>
        <c:dLbls>
          <c:dLblPos val="inEnd"/>
          <c:showLegendKey val="0"/>
          <c:showVal val="1"/>
          <c:showCatName val="0"/>
          <c:showSerName val="0"/>
          <c:showPercent val="0"/>
          <c:showBubbleSize val="0"/>
        </c:dLbls>
        <c:gapWidth val="41"/>
        <c:axId val="1062973855"/>
        <c:axId val="1063215535"/>
      </c:barChart>
      <c:catAx>
        <c:axId val="1062973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lumMod val="65000"/>
                    <a:lumOff val="35000"/>
                  </a:schemeClr>
                </a:solidFill>
                <a:effectLst/>
                <a:latin typeface="+mn-lt"/>
                <a:ea typeface="+mn-ea"/>
                <a:cs typeface="+mn-cs"/>
              </a:defRPr>
            </a:pPr>
            <a:endParaRPr lang="en-US"/>
          </a:p>
        </c:txPr>
        <c:crossAx val="1063215535"/>
        <c:crosses val="autoZero"/>
        <c:auto val="1"/>
        <c:lblAlgn val="ctr"/>
        <c:lblOffset val="100"/>
        <c:noMultiLvlLbl val="0"/>
      </c:catAx>
      <c:valAx>
        <c:axId val="1063215535"/>
        <c:scaling>
          <c:orientation val="minMax"/>
        </c:scaling>
        <c:delete val="1"/>
        <c:axPos val="l"/>
        <c:numFmt formatCode="General" sourceLinked="1"/>
        <c:majorTickMark val="none"/>
        <c:minorTickMark val="none"/>
        <c:tickLblPos val="nextTo"/>
        <c:crossAx val="1062973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68000">
          <a:schemeClr val="lt1">
            <a:lumMod val="85000"/>
          </a:schemeClr>
        </a:gs>
        <a:gs pos="100000">
          <a:schemeClr val="lt1"/>
        </a:gs>
      </a:gsLst>
      <a:lin ang="5400000" scaled="1"/>
    </a:gradFill>
    <a:ln w="9525">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rotWithShape="1">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64C55-BB5F-4797-88C9-F3038042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16</Pages>
  <Words>6181</Words>
  <Characters>35233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 Sira</dc:creator>
  <cp:lastModifiedBy>SDI 1183</cp:lastModifiedBy>
  <cp:revision>312</cp:revision>
  <dcterms:created xsi:type="dcterms:W3CDTF">2025-02-14T08:56:00Z</dcterms:created>
  <dcterms:modified xsi:type="dcterms:W3CDTF">2025-05-09T11:32:00Z</dcterms:modified>
</cp:coreProperties>
</file>