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909C5" w14:textId="77777777" w:rsidR="00754C9A" w:rsidRPr="00381CD8" w:rsidRDefault="00754C9A" w:rsidP="00441B6F">
      <w:pPr>
        <w:pStyle w:val="Title"/>
        <w:spacing w:after="0"/>
        <w:jc w:val="both"/>
        <w:rPr>
          <w:rFonts w:ascii="Arial" w:hAnsi="Arial" w:cs="Arial"/>
          <w:sz w:val="18"/>
          <w:szCs w:val="18"/>
        </w:rPr>
      </w:pPr>
    </w:p>
    <w:p w14:paraId="2CE8B3FE" w14:textId="77777777" w:rsidR="00163BC4" w:rsidRPr="00F9393E" w:rsidRDefault="001A7234" w:rsidP="00441B6F">
      <w:pPr>
        <w:pStyle w:val="Author"/>
        <w:spacing w:line="240" w:lineRule="auto"/>
        <w:rPr>
          <w:rFonts w:ascii="Arial" w:hAnsi="Arial" w:cs="Arial"/>
          <w:bCs/>
          <w:iCs/>
          <w:kern w:val="28"/>
          <w:sz w:val="36"/>
        </w:rPr>
      </w:pPr>
      <w:r w:rsidRPr="00F9393E">
        <w:rPr>
          <w:rFonts w:ascii="Arial" w:hAnsi="Arial" w:cs="Arial"/>
          <w:sz w:val="36"/>
          <w:szCs w:val="36"/>
        </w:rPr>
        <w:t>Microbial Diversity of Soils Under Anthropogenic Load</w:t>
      </w:r>
    </w:p>
    <w:p w14:paraId="764DE08D" w14:textId="77777777" w:rsidR="00A258C3" w:rsidRPr="00F9393E" w:rsidRDefault="00A258C3" w:rsidP="00441B6F">
      <w:pPr>
        <w:pStyle w:val="Author"/>
        <w:spacing w:line="240" w:lineRule="auto"/>
        <w:jc w:val="both"/>
        <w:rPr>
          <w:rFonts w:ascii="Arial" w:hAnsi="Arial" w:cs="Arial"/>
          <w:sz w:val="36"/>
        </w:rPr>
      </w:pPr>
    </w:p>
    <w:p w14:paraId="4B1AE2AF" w14:textId="77777777" w:rsidR="00B01FCD" w:rsidRPr="00F9393E" w:rsidRDefault="00B01FCD" w:rsidP="0086354D">
      <w:pPr>
        <w:pStyle w:val="AbstHead"/>
        <w:spacing w:after="0"/>
        <w:rPr>
          <w:rFonts w:ascii="Arial" w:hAnsi="Arial" w:cs="Arial"/>
        </w:rPr>
      </w:pPr>
      <w:r w:rsidRPr="00F9393E">
        <w:rPr>
          <w:rFonts w:ascii="Arial" w:hAnsi="Arial" w:cs="Arial"/>
        </w:rPr>
        <w:t>ABSTRACT</w:t>
      </w:r>
    </w:p>
    <w:p w14:paraId="61773E7F" w14:textId="77777777" w:rsidR="00790ADA" w:rsidRPr="00F9393E"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F9393E" w14:paraId="2F515CE7" w14:textId="77777777" w:rsidTr="001E44FE">
        <w:tc>
          <w:tcPr>
            <w:tcW w:w="9576" w:type="dxa"/>
            <w:shd w:val="clear" w:color="auto" w:fill="F2F2F2"/>
          </w:tcPr>
          <w:p w14:paraId="36A56FB2" w14:textId="77777777" w:rsidR="00216F89" w:rsidRPr="00F9393E" w:rsidRDefault="00216F89" w:rsidP="00216F89">
            <w:pPr>
              <w:pStyle w:val="Body"/>
              <w:rPr>
                <w:rFonts w:ascii="Arial" w:eastAsia="Calibri" w:hAnsi="Arial" w:cs="Arial"/>
                <w:szCs w:val="22"/>
              </w:rPr>
            </w:pPr>
            <w:r w:rsidRPr="00F9393E">
              <w:rPr>
                <w:rFonts w:ascii="Arial" w:eastAsia="Calibri" w:hAnsi="Arial" w:cs="Arial"/>
                <w:szCs w:val="22"/>
              </w:rPr>
              <w:t>Anthropogenic impacts have complex effects on microbial communities in urban soils. These changes can impact key ecosystem functions such as carbon cycling, biodegradation, and the maintenance of ecosystem health. Monitoring and assessing anthropogenic effects, as well as preserving soil biodiversity in urbanized areas, are important tasks to ensure the sustainability of the urban ecosystem in the future. Given the increasing urbanization and ecosystem changes, research in this area is becoming increasingly relevant.</w:t>
            </w:r>
          </w:p>
          <w:p w14:paraId="03BAC62D" w14:textId="77777777" w:rsidR="00505F06" w:rsidRPr="00F9393E" w:rsidRDefault="00216F89" w:rsidP="009331BD">
            <w:pPr>
              <w:pStyle w:val="Body"/>
              <w:spacing w:after="0"/>
              <w:rPr>
                <w:rFonts w:ascii="Arial" w:eastAsia="Calibri" w:hAnsi="Arial" w:cs="Arial"/>
                <w:szCs w:val="22"/>
              </w:rPr>
            </w:pPr>
            <w:r w:rsidRPr="00F9393E">
              <w:rPr>
                <w:rFonts w:ascii="Arial" w:eastAsia="Calibri" w:hAnsi="Arial" w:cs="Arial"/>
                <w:szCs w:val="22"/>
              </w:rPr>
              <w:t xml:space="preserve">The taxonomic structure of microorganisms in the urban soils of a metropolis has been determined. It has been established that soil </w:t>
            </w:r>
            <w:proofErr w:type="spellStart"/>
            <w:r w:rsidRPr="00F9393E">
              <w:rPr>
                <w:rFonts w:ascii="Arial" w:eastAsia="Calibri" w:hAnsi="Arial" w:cs="Arial"/>
                <w:szCs w:val="22"/>
              </w:rPr>
              <w:t>microbiocenoses</w:t>
            </w:r>
            <w:proofErr w:type="spellEnd"/>
            <w:r w:rsidRPr="00F9393E">
              <w:rPr>
                <w:rFonts w:ascii="Arial" w:eastAsia="Calibri" w:hAnsi="Arial" w:cs="Arial"/>
                <w:szCs w:val="22"/>
              </w:rPr>
              <w:t xml:space="preserve"> directly depend on the degree of anthropogenic load. Thus, a decrease in the total microbial count was noted in samples with a low organic matter content - locations near busy highways, while park areas have a higher concentration and a wider variety of different groups of microorganisms. It was shown that the intensity of basal soil respiration is directly proportional to the number of viable microbial cells detected.</w:t>
            </w:r>
          </w:p>
        </w:tc>
      </w:tr>
    </w:tbl>
    <w:p w14:paraId="5F65D85E" w14:textId="77777777" w:rsidR="00636EB2" w:rsidRPr="00F9393E" w:rsidRDefault="00636EB2" w:rsidP="00441B6F">
      <w:pPr>
        <w:pStyle w:val="Body"/>
        <w:spacing w:after="0"/>
        <w:rPr>
          <w:rFonts w:ascii="Arial" w:hAnsi="Arial" w:cs="Arial"/>
          <w:i/>
        </w:rPr>
      </w:pPr>
    </w:p>
    <w:p w14:paraId="612A6ECE" w14:textId="77777777" w:rsidR="00A24E7E" w:rsidRPr="00F9393E" w:rsidRDefault="00216F89" w:rsidP="00441B6F">
      <w:pPr>
        <w:pStyle w:val="Body"/>
        <w:spacing w:after="0"/>
        <w:rPr>
          <w:rFonts w:ascii="Arial" w:hAnsi="Arial" w:cs="Arial"/>
          <w:i/>
        </w:rPr>
      </w:pPr>
      <w:r w:rsidRPr="00F9393E">
        <w:rPr>
          <w:rFonts w:ascii="Arial" w:hAnsi="Arial" w:cs="Arial"/>
          <w:b/>
          <w:i/>
        </w:rPr>
        <w:t>Keywords:</w:t>
      </w:r>
      <w:r w:rsidRPr="00F9393E">
        <w:rPr>
          <w:rFonts w:ascii="Arial" w:hAnsi="Arial" w:cs="Arial"/>
          <w:i/>
        </w:rPr>
        <w:t xml:space="preserve"> microorganisms, biodiversity, soil, basal soil respiration</w:t>
      </w:r>
    </w:p>
    <w:p w14:paraId="33E9BAD0" w14:textId="77777777" w:rsidR="00790ADA" w:rsidRPr="00F9393E" w:rsidRDefault="00790ADA" w:rsidP="00441B6F">
      <w:pPr>
        <w:pStyle w:val="Body"/>
        <w:spacing w:after="0"/>
        <w:rPr>
          <w:rFonts w:ascii="Arial" w:hAnsi="Arial" w:cs="Arial"/>
          <w:i/>
        </w:rPr>
      </w:pPr>
    </w:p>
    <w:p w14:paraId="28B09F92" w14:textId="77777777" w:rsidR="00505F06" w:rsidRPr="00F9393E" w:rsidRDefault="00505F06" w:rsidP="00441B6F">
      <w:pPr>
        <w:pStyle w:val="Body"/>
        <w:spacing w:after="0"/>
        <w:rPr>
          <w:rFonts w:ascii="Arial" w:hAnsi="Arial" w:cs="Arial"/>
          <w:i/>
        </w:rPr>
      </w:pPr>
    </w:p>
    <w:p w14:paraId="1AE66DFF" w14:textId="77777777" w:rsidR="007F7B32" w:rsidRPr="00F9393E" w:rsidRDefault="00902823" w:rsidP="00216F89">
      <w:pPr>
        <w:pStyle w:val="AbstHead"/>
        <w:spacing w:after="0"/>
        <w:rPr>
          <w:rFonts w:ascii="Arial" w:hAnsi="Arial" w:cs="Arial"/>
        </w:rPr>
      </w:pPr>
      <w:r w:rsidRPr="00F9393E">
        <w:rPr>
          <w:rFonts w:ascii="Arial" w:hAnsi="Arial" w:cs="Arial"/>
        </w:rPr>
        <w:t xml:space="preserve">1. </w:t>
      </w:r>
      <w:r w:rsidR="00B01FCD" w:rsidRPr="00F9393E">
        <w:rPr>
          <w:rFonts w:ascii="Arial" w:hAnsi="Arial" w:cs="Arial"/>
        </w:rPr>
        <w:t>INTRODUCTION</w:t>
      </w:r>
      <w:r w:rsidR="007F7B32" w:rsidRPr="00F9393E">
        <w:rPr>
          <w:rFonts w:ascii="Arial" w:hAnsi="Arial" w:cs="Arial"/>
        </w:rPr>
        <w:t xml:space="preserve"> </w:t>
      </w:r>
    </w:p>
    <w:p w14:paraId="15168DD5" w14:textId="77777777" w:rsidR="00790ADA" w:rsidRPr="00F9393E" w:rsidRDefault="00790ADA" w:rsidP="00441B6F">
      <w:pPr>
        <w:pStyle w:val="AbstHead"/>
        <w:spacing w:after="0"/>
        <w:jc w:val="both"/>
        <w:rPr>
          <w:rFonts w:ascii="Arial" w:hAnsi="Arial" w:cs="Arial"/>
        </w:rPr>
      </w:pPr>
    </w:p>
    <w:p w14:paraId="1D4BCEB7" w14:textId="77777777" w:rsidR="00216F89" w:rsidRPr="00F9393E" w:rsidRDefault="00216F89" w:rsidP="00216F89">
      <w:pPr>
        <w:pStyle w:val="Body"/>
        <w:rPr>
          <w:rFonts w:ascii="Arial" w:hAnsi="Arial" w:cs="Arial"/>
        </w:rPr>
      </w:pPr>
      <w:r w:rsidRPr="00F9393E">
        <w:rPr>
          <w:rFonts w:ascii="Arial" w:hAnsi="Arial" w:cs="Arial"/>
        </w:rPr>
        <w:t>Soil microbiota plays a key role in maintaining ecosystem functions, such as organic matter recycling, carbon and nitrogen cycles, and in the fight against pathogenic microorganisms. Thus, up to 80% of the stable fraction of soil organic matter is provided by microbiota components (</w:t>
      </w:r>
      <w:proofErr w:type="spellStart"/>
      <w:r w:rsidRPr="00F9393E">
        <w:rPr>
          <w:rFonts w:ascii="Arial" w:hAnsi="Arial" w:cs="Arial"/>
        </w:rPr>
        <w:t>Wiesmeier</w:t>
      </w:r>
      <w:proofErr w:type="spellEnd"/>
      <w:r w:rsidRPr="00F9393E">
        <w:rPr>
          <w:rFonts w:ascii="Arial" w:hAnsi="Arial" w:cs="Arial"/>
        </w:rPr>
        <w:t xml:space="preserve"> et al., 2019). However, anthropogenic impacts, including construction, pollution, intensive land use and climate change, can significantly change the composition of the microbiota. Changes in the ratio of </w:t>
      </w:r>
      <w:proofErr w:type="spellStart"/>
      <w:r w:rsidRPr="00F9393E">
        <w:rPr>
          <w:rFonts w:ascii="Arial" w:hAnsi="Arial" w:cs="Arial"/>
        </w:rPr>
        <w:t>micromycetes</w:t>
      </w:r>
      <w:proofErr w:type="spellEnd"/>
      <w:r w:rsidRPr="00F9393E">
        <w:rPr>
          <w:rFonts w:ascii="Arial" w:hAnsi="Arial" w:cs="Arial"/>
        </w:rPr>
        <w:t xml:space="preserve"> and bacteria in the soil can serve as an indicator of the direction of the processes of formation and decomposition of organic matter: with the predominance of bacteria, the processes of organic metabolism shift towards decomposition, since bacteria require a lot of nitrogen, and with an increase in the number of fungi, the process shifts towards accumulation due to greater accumulation of carbon in their biomass with less nitrogen consumption (</w:t>
      </w:r>
      <w:proofErr w:type="spellStart"/>
      <w:r w:rsidRPr="00F9393E">
        <w:rPr>
          <w:rFonts w:ascii="Arial" w:hAnsi="Arial" w:cs="Arial"/>
        </w:rPr>
        <w:t>Habtewold</w:t>
      </w:r>
      <w:proofErr w:type="spellEnd"/>
      <w:r w:rsidRPr="00F9393E">
        <w:rPr>
          <w:rFonts w:ascii="Arial" w:hAnsi="Arial" w:cs="Arial"/>
        </w:rPr>
        <w:t xml:space="preserve"> et al., 2020). However, it is very difficult to reliably estimate the ratio of these groups of microorganisms due to the wide range of figures, which depends on the method for determining the number and biomass of fungi and bacteria (Wang et al., 2019). </w:t>
      </w:r>
    </w:p>
    <w:p w14:paraId="00460E03" w14:textId="77777777" w:rsidR="00216F89" w:rsidRPr="00F9393E" w:rsidRDefault="00216F89" w:rsidP="00216F89">
      <w:pPr>
        <w:pStyle w:val="Body"/>
        <w:rPr>
          <w:rFonts w:ascii="Arial" w:hAnsi="Arial" w:cs="Arial"/>
        </w:rPr>
      </w:pPr>
      <w:r w:rsidRPr="00F9393E">
        <w:rPr>
          <w:rFonts w:ascii="Arial" w:hAnsi="Arial" w:cs="Arial"/>
        </w:rPr>
        <w:t>In modern cities, special biotopes are formed that primarily affect soil components. The accumulation of various pollutants, changes in the density and moisture saturation of the soil cover due to biogeochemical processes have a significant impact on the composition and functionality of microbial consortia, as the first link in the biodiversity chain. Under the influence of anthropogenic stress, soils degrade, losing the ability to self-regulate. In large cities, there is a decline in biodiversity, especially in central areas where there are high levels of pollution and anthropogenic pressure. Natural ecosystems can only survive in the remaining city parks, the area of which has been rapidly shrinking in recent years.</w:t>
      </w:r>
    </w:p>
    <w:p w14:paraId="1A94402A" w14:textId="77777777" w:rsidR="00216F89" w:rsidRPr="00F9393E" w:rsidRDefault="00216F89" w:rsidP="00216F89">
      <w:pPr>
        <w:pStyle w:val="Body"/>
        <w:rPr>
          <w:rFonts w:ascii="Arial" w:hAnsi="Arial" w:cs="Arial"/>
        </w:rPr>
      </w:pPr>
      <w:r w:rsidRPr="00F9393E">
        <w:rPr>
          <w:rFonts w:ascii="Arial" w:hAnsi="Arial" w:cs="Arial"/>
        </w:rPr>
        <w:lastRenderedPageBreak/>
        <w:t>Under urbanization conditions, natural soil profiles are mixed, buried under layers of anthropogenic origin, large areas are sealed with asphalt, and construction waste enters the soil, which causes changes in bacterial communities in soils along the urbanization gradient (</w:t>
      </w:r>
      <w:proofErr w:type="spellStart"/>
      <w:r w:rsidRPr="00F9393E">
        <w:rPr>
          <w:rFonts w:ascii="Arial" w:hAnsi="Arial" w:cs="Arial"/>
        </w:rPr>
        <w:t>Gorbov</w:t>
      </w:r>
      <w:proofErr w:type="spellEnd"/>
      <w:r w:rsidRPr="00F9393E">
        <w:rPr>
          <w:rFonts w:ascii="Arial" w:hAnsi="Arial" w:cs="Arial"/>
        </w:rPr>
        <w:t xml:space="preserve"> et al., 2016).</w:t>
      </w:r>
    </w:p>
    <w:p w14:paraId="446E5224" w14:textId="77777777" w:rsidR="00216F89" w:rsidRPr="00F9393E" w:rsidRDefault="00216F89" w:rsidP="00216F89">
      <w:pPr>
        <w:pStyle w:val="Body"/>
        <w:rPr>
          <w:rFonts w:ascii="Arial" w:hAnsi="Arial" w:cs="Arial"/>
        </w:rPr>
      </w:pPr>
      <w:r w:rsidRPr="00F9393E">
        <w:rPr>
          <w:rFonts w:ascii="Arial" w:hAnsi="Arial" w:cs="Arial"/>
        </w:rPr>
        <w:t xml:space="preserve">Various studies conducted around the world indicate that the microbial community responds to anthropogenic pressure by fluctuating the abundance and species composition of individual taxonomic and </w:t>
      </w:r>
      <w:proofErr w:type="spellStart"/>
      <w:r w:rsidRPr="00F9393E">
        <w:rPr>
          <w:rFonts w:ascii="Arial" w:hAnsi="Arial" w:cs="Arial"/>
        </w:rPr>
        <w:t>ecotrophic</w:t>
      </w:r>
      <w:proofErr w:type="spellEnd"/>
      <w:r w:rsidRPr="00F9393E">
        <w:rPr>
          <w:rFonts w:ascii="Arial" w:hAnsi="Arial" w:cs="Arial"/>
        </w:rPr>
        <w:t xml:space="preserve"> groups of bacteria, as well as by decreasing biodiversity and changing the functional structure of communities. The detection of a higher proportion of fast-growing species indicates a state of soil stress, and an increase in the number of pigmented forms indicates adaptation to changed environmental conditions (</w:t>
      </w:r>
      <w:proofErr w:type="spellStart"/>
      <w:r w:rsidRPr="00F9393E">
        <w:rPr>
          <w:rFonts w:ascii="Arial" w:hAnsi="Arial" w:cs="Arial"/>
        </w:rPr>
        <w:t>Loeppmann</w:t>
      </w:r>
      <w:proofErr w:type="spellEnd"/>
      <w:r w:rsidRPr="00F9393E">
        <w:rPr>
          <w:rFonts w:ascii="Arial" w:hAnsi="Arial" w:cs="Arial"/>
        </w:rPr>
        <w:t xml:space="preserve"> et al., 2018; Fierer et al., 2006; </w:t>
      </w:r>
      <w:proofErr w:type="spellStart"/>
      <w:r w:rsidRPr="00F9393E">
        <w:rPr>
          <w:rFonts w:ascii="Arial" w:hAnsi="Arial" w:cs="Arial"/>
        </w:rPr>
        <w:t>Zaynitdinova</w:t>
      </w:r>
      <w:proofErr w:type="spellEnd"/>
      <w:r w:rsidRPr="00F9393E">
        <w:rPr>
          <w:rFonts w:ascii="Arial" w:hAnsi="Arial" w:cs="Arial"/>
        </w:rPr>
        <w:t xml:space="preserve"> et al., 2022).</w:t>
      </w:r>
    </w:p>
    <w:p w14:paraId="575210D7" w14:textId="71935662" w:rsidR="00216F89" w:rsidRPr="00F9393E" w:rsidRDefault="00216F89" w:rsidP="00216F89">
      <w:pPr>
        <w:pStyle w:val="Body"/>
        <w:rPr>
          <w:rFonts w:ascii="Arial" w:hAnsi="Arial" w:cs="Arial"/>
        </w:rPr>
      </w:pPr>
      <w:r w:rsidRPr="00F9393E">
        <w:rPr>
          <w:rFonts w:ascii="Arial" w:hAnsi="Arial" w:cs="Arial"/>
        </w:rPr>
        <w:t xml:space="preserve">Thus, in heavily polluted urban soils, microbial communities differ significantly from those in undisturbed zonal soils. In cases of oil and polychlorinated biphenyl pollution, potential dominants are </w:t>
      </w:r>
      <w:proofErr w:type="spellStart"/>
      <w:r w:rsidRPr="00F9393E">
        <w:rPr>
          <w:rFonts w:ascii="Arial" w:hAnsi="Arial" w:cs="Arial"/>
        </w:rPr>
        <w:t>rhodococci</w:t>
      </w:r>
      <w:proofErr w:type="spellEnd"/>
      <w:r w:rsidRPr="00F9393E">
        <w:rPr>
          <w:rFonts w:ascii="Arial" w:hAnsi="Arial" w:cs="Arial"/>
        </w:rPr>
        <w:t xml:space="preserve"> (gen. </w:t>
      </w:r>
      <w:proofErr w:type="spellStart"/>
      <w:r w:rsidRPr="00F9393E">
        <w:rPr>
          <w:rFonts w:ascii="Arial" w:hAnsi="Arial" w:cs="Arial"/>
        </w:rPr>
        <w:t>Rhodococcus</w:t>
      </w:r>
      <w:proofErr w:type="spellEnd"/>
      <w:r w:rsidRPr="00F9393E">
        <w:rPr>
          <w:rFonts w:ascii="Arial" w:hAnsi="Arial" w:cs="Arial"/>
        </w:rPr>
        <w:t>), in cases of complex household pollution — enterobacteria (gen. Escherichia, Enterobacter, Klebsiella), in cases of cement dust pollution — genera Arthrobacter, Pseudomonas, Streptomyces (</w:t>
      </w:r>
      <w:proofErr w:type="spellStart"/>
      <w:r w:rsidR="005A2563" w:rsidRPr="00F9393E">
        <w:rPr>
          <w:rFonts w:ascii="Arial" w:hAnsi="Arial" w:cs="Arial"/>
        </w:rPr>
        <w:t>Gorovtsov</w:t>
      </w:r>
      <w:proofErr w:type="spellEnd"/>
      <w:r w:rsidR="005A2563" w:rsidRPr="00F9393E">
        <w:rPr>
          <w:rFonts w:ascii="Arial" w:hAnsi="Arial" w:cs="Arial"/>
        </w:rPr>
        <w:t xml:space="preserve">, </w:t>
      </w:r>
      <w:r w:rsidRPr="00F9393E">
        <w:rPr>
          <w:rFonts w:ascii="Arial" w:hAnsi="Arial" w:cs="Arial"/>
        </w:rPr>
        <w:t>20</w:t>
      </w:r>
      <w:r w:rsidR="005A2563" w:rsidRPr="00F9393E">
        <w:rPr>
          <w:rFonts w:ascii="Arial" w:hAnsi="Arial" w:cs="Arial"/>
        </w:rPr>
        <w:t>2</w:t>
      </w:r>
      <w:r w:rsidRPr="00F9393E">
        <w:rPr>
          <w:rFonts w:ascii="Arial" w:hAnsi="Arial" w:cs="Arial"/>
        </w:rPr>
        <w:t>0).</w:t>
      </w:r>
    </w:p>
    <w:p w14:paraId="025CEB64" w14:textId="77777777" w:rsidR="00216F89" w:rsidRPr="00F9393E" w:rsidRDefault="00216F89" w:rsidP="00216F89">
      <w:pPr>
        <w:pStyle w:val="Body"/>
        <w:rPr>
          <w:rFonts w:ascii="Arial" w:hAnsi="Arial" w:cs="Arial"/>
        </w:rPr>
      </w:pPr>
      <w:r w:rsidRPr="00F9393E">
        <w:rPr>
          <w:rFonts w:ascii="Arial" w:hAnsi="Arial" w:cs="Arial"/>
        </w:rPr>
        <w:t xml:space="preserve">The study of the quantitative and qualitative composition of </w:t>
      </w:r>
      <w:proofErr w:type="spellStart"/>
      <w:r w:rsidRPr="00F9393E">
        <w:rPr>
          <w:rFonts w:ascii="Arial" w:hAnsi="Arial" w:cs="Arial"/>
        </w:rPr>
        <w:t>microbiocenoses</w:t>
      </w:r>
      <w:proofErr w:type="spellEnd"/>
      <w:r w:rsidRPr="00F9393E">
        <w:rPr>
          <w:rFonts w:ascii="Arial" w:hAnsi="Arial" w:cs="Arial"/>
        </w:rPr>
        <w:t xml:space="preserve"> is particularly relevant in studies of this kind. Soil microorganisms (bacteria, actinomycetes, microscopic fungi) play a leading role in the self-regulation processes of the natural ecosystem. They, participating in biogeochemical cycles, either exclude substances polluting nature from the biological cycle, or accumulate (</w:t>
      </w:r>
      <w:proofErr w:type="spellStart"/>
      <w:r w:rsidRPr="00F9393E">
        <w:rPr>
          <w:rFonts w:ascii="Arial" w:hAnsi="Arial" w:cs="Arial"/>
        </w:rPr>
        <w:t>Chernov</w:t>
      </w:r>
      <w:proofErr w:type="spellEnd"/>
      <w:r w:rsidRPr="00F9393E">
        <w:rPr>
          <w:rFonts w:ascii="Arial" w:hAnsi="Arial" w:cs="Arial"/>
        </w:rPr>
        <w:t xml:space="preserve"> &amp; </w:t>
      </w:r>
      <w:proofErr w:type="spellStart"/>
      <w:r w:rsidRPr="00F9393E">
        <w:rPr>
          <w:rFonts w:ascii="Arial" w:hAnsi="Arial" w:cs="Arial"/>
        </w:rPr>
        <w:t>Zhelezova</w:t>
      </w:r>
      <w:proofErr w:type="spellEnd"/>
      <w:r w:rsidRPr="00F9393E">
        <w:rPr>
          <w:rFonts w:ascii="Arial" w:hAnsi="Arial" w:cs="Arial"/>
        </w:rPr>
        <w:t>, 2020).</w:t>
      </w:r>
    </w:p>
    <w:p w14:paraId="41BF024B" w14:textId="77777777" w:rsidR="00216F89" w:rsidRPr="00F9393E" w:rsidRDefault="00216F89" w:rsidP="00216F89">
      <w:pPr>
        <w:pStyle w:val="Body"/>
        <w:rPr>
          <w:rFonts w:ascii="Arial" w:hAnsi="Arial" w:cs="Arial"/>
        </w:rPr>
      </w:pPr>
      <w:r w:rsidRPr="00F9393E">
        <w:rPr>
          <w:rFonts w:ascii="Arial" w:hAnsi="Arial" w:cs="Arial"/>
        </w:rPr>
        <w:t>A widely used informative indicator of the microbiological activity of the soil in research is the respiration of microorganisms.</w:t>
      </w:r>
    </w:p>
    <w:p w14:paraId="57C7BC1B" w14:textId="4E61EA87" w:rsidR="00216F89" w:rsidRPr="00F9393E" w:rsidRDefault="00216F89" w:rsidP="00216F89">
      <w:pPr>
        <w:pStyle w:val="Body"/>
        <w:rPr>
          <w:rFonts w:ascii="Arial" w:hAnsi="Arial" w:cs="Arial"/>
        </w:rPr>
      </w:pPr>
      <w:r w:rsidRPr="00F9393E">
        <w:rPr>
          <w:rFonts w:ascii="Arial" w:hAnsi="Arial" w:cs="Arial"/>
        </w:rPr>
        <w:t>In general, soil respiration is the formation of carbon dioxide by two main components: soil microorganisms (due to the transformation of organic matter) and plant roots. According to various estimates, about 50-90% of soil respiration is the contribution of microorganisms (</w:t>
      </w:r>
      <w:r w:rsidR="00853694" w:rsidRPr="00F9393E">
        <w:rPr>
          <w:rFonts w:ascii="Arial" w:hAnsi="Arial" w:cs="Arial"/>
        </w:rPr>
        <w:t>Zhao</w:t>
      </w:r>
      <w:r w:rsidRPr="00F9393E">
        <w:rPr>
          <w:rFonts w:ascii="Arial" w:hAnsi="Arial" w:cs="Arial"/>
        </w:rPr>
        <w:t xml:space="preserve"> et al., </w:t>
      </w:r>
      <w:r w:rsidR="00853694" w:rsidRPr="00F9393E">
        <w:rPr>
          <w:rFonts w:ascii="Arial" w:hAnsi="Arial" w:cs="Arial"/>
        </w:rPr>
        <w:t>2016</w:t>
      </w:r>
      <w:r w:rsidRPr="00F9393E">
        <w:rPr>
          <w:rFonts w:ascii="Arial" w:hAnsi="Arial" w:cs="Arial"/>
        </w:rPr>
        <w:t>; Tate et al., 1993; Evdokimov et al., 2010).</w:t>
      </w:r>
    </w:p>
    <w:p w14:paraId="248845E1" w14:textId="16CE78CE" w:rsidR="00216F89" w:rsidRPr="00F9393E" w:rsidRDefault="00216F89" w:rsidP="00216F89">
      <w:pPr>
        <w:pStyle w:val="Body"/>
        <w:rPr>
          <w:rFonts w:ascii="Arial" w:hAnsi="Arial" w:cs="Arial"/>
        </w:rPr>
      </w:pPr>
      <w:r w:rsidRPr="00F9393E">
        <w:rPr>
          <w:rFonts w:ascii="Arial" w:hAnsi="Arial" w:cs="Arial"/>
        </w:rPr>
        <w:t>It is believed that the respiration of native (unenriched) soil (freed from plant roots) is caused only by microorganisms, so it is usually called "basal" or microbial respiration of the soil. The traditional and most frequently used method for determining the metabolic activity of the soil and the physiological state of microorganisms is the determination of basal respiration (BR) (</w:t>
      </w:r>
      <w:proofErr w:type="spellStart"/>
      <w:r w:rsidRPr="00F9393E">
        <w:rPr>
          <w:rFonts w:ascii="Arial" w:hAnsi="Arial" w:cs="Arial"/>
        </w:rPr>
        <w:t>Zibilske</w:t>
      </w:r>
      <w:proofErr w:type="spellEnd"/>
      <w:r w:rsidRPr="00F9393E">
        <w:rPr>
          <w:rFonts w:ascii="Arial" w:hAnsi="Arial" w:cs="Arial"/>
        </w:rPr>
        <w:t xml:space="preserve">, 1994; </w:t>
      </w:r>
      <w:proofErr w:type="spellStart"/>
      <w:r w:rsidRPr="00F9393E">
        <w:rPr>
          <w:rFonts w:ascii="Arial" w:hAnsi="Arial" w:cs="Arial"/>
        </w:rPr>
        <w:t>Alef</w:t>
      </w:r>
      <w:proofErr w:type="spellEnd"/>
      <w:r w:rsidRPr="00F9393E">
        <w:rPr>
          <w:rFonts w:ascii="Arial" w:hAnsi="Arial" w:cs="Arial"/>
        </w:rPr>
        <w:t xml:space="preserve"> &amp; </w:t>
      </w:r>
      <w:proofErr w:type="spellStart"/>
      <w:r w:rsidRPr="00F9393E">
        <w:rPr>
          <w:rFonts w:ascii="Arial" w:hAnsi="Arial" w:cs="Arial"/>
        </w:rPr>
        <w:t>Nannipieri</w:t>
      </w:r>
      <w:proofErr w:type="spellEnd"/>
      <w:r w:rsidRPr="00F9393E">
        <w:rPr>
          <w:rFonts w:ascii="Arial" w:hAnsi="Arial" w:cs="Arial"/>
        </w:rPr>
        <w:t>, 1995).</w:t>
      </w:r>
    </w:p>
    <w:p w14:paraId="1AED9C10" w14:textId="77777777" w:rsidR="00216F89" w:rsidRPr="00F9393E" w:rsidRDefault="00216F89" w:rsidP="00216F89">
      <w:pPr>
        <w:pStyle w:val="Body"/>
        <w:rPr>
          <w:rFonts w:ascii="Arial" w:hAnsi="Arial" w:cs="Arial"/>
        </w:rPr>
      </w:pPr>
      <w:r w:rsidRPr="00F9393E">
        <w:rPr>
          <w:rFonts w:ascii="Arial" w:hAnsi="Arial" w:cs="Arial"/>
        </w:rPr>
        <w:t>However, anthropogenic transformation of ecosystems inevitably affects the respiratory activity of the soil microbial community, which is also an indicator of the physiological state of the soil microbiome (Szili-Kovács &amp; Takács, 2024; Wang et al., 2014).</w:t>
      </w:r>
    </w:p>
    <w:p w14:paraId="2888C4B1" w14:textId="07031D6B" w:rsidR="00216F89" w:rsidRPr="00F9393E" w:rsidRDefault="00216F89" w:rsidP="00216F89">
      <w:pPr>
        <w:pStyle w:val="Body"/>
        <w:rPr>
          <w:rFonts w:ascii="Arial" w:hAnsi="Arial" w:cs="Arial"/>
        </w:rPr>
      </w:pPr>
      <w:r w:rsidRPr="00F9393E">
        <w:rPr>
          <w:rFonts w:ascii="Arial" w:hAnsi="Arial" w:cs="Arial"/>
        </w:rPr>
        <w:t>The soil BR indicator is widely used in monitoring programs in many European countries: Germany, Switzerland, the Czech Republic, Great Britain, Estonia, Finland, Italy, Latvia, Sweden (Nielsen &amp; Winding, 2002</w:t>
      </w:r>
      <w:r w:rsidR="004B0FD4" w:rsidRPr="00F9393E">
        <w:rPr>
          <w:rFonts w:ascii="Arial" w:hAnsi="Arial" w:cs="Arial"/>
        </w:rPr>
        <w:t>; Karvinen et al., 2024</w:t>
      </w:r>
      <w:r w:rsidRPr="00F9393E">
        <w:rPr>
          <w:rFonts w:ascii="Arial" w:hAnsi="Arial" w:cs="Arial"/>
        </w:rPr>
        <w:t>).</w:t>
      </w:r>
    </w:p>
    <w:p w14:paraId="21EE7A97" w14:textId="77777777" w:rsidR="00B95236" w:rsidRPr="00F9393E" w:rsidRDefault="00216F89" w:rsidP="00216F89">
      <w:pPr>
        <w:pStyle w:val="Body"/>
        <w:spacing w:after="0"/>
        <w:rPr>
          <w:rFonts w:ascii="Arial" w:hAnsi="Arial" w:cs="Arial"/>
        </w:rPr>
      </w:pPr>
      <w:r w:rsidRPr="00F9393E">
        <w:rPr>
          <w:rFonts w:ascii="Arial" w:hAnsi="Arial" w:cs="Arial"/>
        </w:rPr>
        <w:t>In connection with the above, we conducted a seasonal microbiological survey of the territories of Tashkent city, which were subject to varying degrees of anthropogenic impact (Guo et al., 2022; Landesman, 2019).</w:t>
      </w:r>
      <w:r w:rsidR="00B95236" w:rsidRPr="00F9393E">
        <w:rPr>
          <w:rFonts w:ascii="Arial" w:hAnsi="Arial" w:cs="Arial"/>
        </w:rPr>
        <w:t xml:space="preserve"> </w:t>
      </w:r>
    </w:p>
    <w:p w14:paraId="54E1C6D9" w14:textId="77777777" w:rsidR="00505F06" w:rsidRPr="00F9393E" w:rsidRDefault="00505F06" w:rsidP="00441B6F">
      <w:pPr>
        <w:pStyle w:val="Body"/>
        <w:spacing w:after="0"/>
        <w:rPr>
          <w:rFonts w:ascii="Arial" w:hAnsi="Arial" w:cs="Arial"/>
        </w:rPr>
      </w:pPr>
    </w:p>
    <w:p w14:paraId="7496646C" w14:textId="77777777" w:rsidR="00B01FCD" w:rsidRPr="00F9393E" w:rsidRDefault="006B57D0" w:rsidP="00441B6F">
      <w:pPr>
        <w:pStyle w:val="Body"/>
        <w:spacing w:after="0"/>
        <w:rPr>
          <w:rFonts w:ascii="Arial" w:hAnsi="Arial" w:cs="Arial"/>
        </w:rPr>
      </w:pPr>
      <w:r w:rsidRPr="00F9393E">
        <w:rPr>
          <w:rFonts w:ascii="Arial" w:hAnsi="Arial" w:cs="Arial"/>
        </w:rPr>
        <w:t>Provide a factual background, clearly defined problem, proposed solution, a brief literature survey and the scope and justification of the work done.]</w:t>
      </w:r>
    </w:p>
    <w:p w14:paraId="48976B29" w14:textId="77777777" w:rsidR="00790ADA" w:rsidRPr="00F9393E" w:rsidRDefault="00790ADA" w:rsidP="00441B6F">
      <w:pPr>
        <w:pStyle w:val="Body"/>
        <w:spacing w:after="0"/>
        <w:rPr>
          <w:rFonts w:ascii="Arial" w:hAnsi="Arial" w:cs="Arial"/>
        </w:rPr>
      </w:pPr>
    </w:p>
    <w:p w14:paraId="73F6DB55" w14:textId="77777777" w:rsidR="007F7B32" w:rsidRPr="00F9393E" w:rsidRDefault="00902823" w:rsidP="00A679BD">
      <w:pPr>
        <w:pStyle w:val="AbstHead"/>
        <w:spacing w:after="0"/>
        <w:rPr>
          <w:rFonts w:ascii="Arial" w:hAnsi="Arial" w:cs="Arial"/>
        </w:rPr>
      </w:pPr>
      <w:r w:rsidRPr="00F9393E">
        <w:rPr>
          <w:rFonts w:ascii="Arial" w:hAnsi="Arial" w:cs="Arial"/>
        </w:rPr>
        <w:t>2. material and method</w:t>
      </w:r>
      <w:r w:rsidR="00000F8F" w:rsidRPr="00F9393E">
        <w:rPr>
          <w:rFonts w:ascii="Arial" w:hAnsi="Arial" w:cs="Arial"/>
        </w:rPr>
        <w:t xml:space="preserve">s </w:t>
      </w:r>
    </w:p>
    <w:p w14:paraId="60494B1B" w14:textId="77777777" w:rsidR="00790ADA" w:rsidRPr="00F9393E" w:rsidRDefault="00790ADA" w:rsidP="00441B6F">
      <w:pPr>
        <w:pStyle w:val="AbstHead"/>
        <w:spacing w:after="0"/>
        <w:jc w:val="both"/>
        <w:rPr>
          <w:rFonts w:ascii="Arial" w:hAnsi="Arial" w:cs="Arial"/>
        </w:rPr>
      </w:pPr>
    </w:p>
    <w:p w14:paraId="71E97090" w14:textId="650D0039" w:rsidR="000D239C" w:rsidRPr="00F9393E" w:rsidRDefault="009331BD" w:rsidP="00441B6F">
      <w:pPr>
        <w:pStyle w:val="Body"/>
        <w:spacing w:after="0"/>
        <w:rPr>
          <w:rFonts w:ascii="Arial" w:hAnsi="Arial" w:cs="Arial"/>
        </w:rPr>
      </w:pPr>
      <w:r w:rsidRPr="00F9393E">
        <w:rPr>
          <w:rFonts w:ascii="Arial" w:hAnsi="Arial" w:cs="Arial"/>
        </w:rPr>
        <w:t xml:space="preserve">Soil samples from roadside areas in the central part of the city with high traffic (motor transport, construction, proximity to the railway station) and recreational (park) areas were studied. The topsoil with a depth of 0 to 20 cm was used for microbiological analysis. Soil samples were collected using the "envelope" method from </w:t>
      </w:r>
      <w:r w:rsidR="00D54417" w:rsidRPr="00F9393E">
        <w:rPr>
          <w:rFonts w:ascii="Arial" w:hAnsi="Arial" w:cs="Arial"/>
        </w:rPr>
        <w:t>25-point</w:t>
      </w:r>
      <w:r w:rsidRPr="00F9393E">
        <w:rPr>
          <w:rFonts w:ascii="Arial" w:hAnsi="Arial" w:cs="Arial"/>
        </w:rPr>
        <w:t xml:space="preserve"> samples. The structure of the bacterial complex was characterized using physiological, biochemical and morphological indicators of individual cultures. </w:t>
      </w:r>
    </w:p>
    <w:p w14:paraId="3ECE7315" w14:textId="54EC8E76" w:rsidR="000D239C" w:rsidRPr="00F9393E" w:rsidRDefault="000D239C" w:rsidP="00441B6F">
      <w:pPr>
        <w:pStyle w:val="Body"/>
        <w:spacing w:after="0"/>
        <w:rPr>
          <w:rFonts w:ascii="Arial" w:hAnsi="Arial" w:cs="Arial"/>
        </w:rPr>
      </w:pPr>
    </w:p>
    <w:p w14:paraId="12C72739" w14:textId="77777777" w:rsidR="000D239C" w:rsidRPr="00F9393E" w:rsidRDefault="000D239C" w:rsidP="00441B6F">
      <w:pPr>
        <w:pStyle w:val="Body"/>
        <w:spacing w:after="0"/>
        <w:rPr>
          <w:rStyle w:val="rynqvb"/>
          <w:lang w:val="en"/>
        </w:rPr>
      </w:pPr>
      <w:r w:rsidRPr="00F9393E">
        <w:rPr>
          <w:rStyle w:val="rynqvb"/>
          <w:lang w:val="en"/>
        </w:rPr>
        <w:t xml:space="preserve">The soil samples were examined for the presence of eco-trophic groups of microorganisms and were carried out by the dilution method on diagnostic nutrient media manufactured by </w:t>
      </w:r>
      <w:proofErr w:type="spellStart"/>
      <w:r w:rsidRPr="00F9393E">
        <w:rPr>
          <w:rStyle w:val="rynqvb"/>
          <w:lang w:val="en"/>
        </w:rPr>
        <w:t>HiMedia</w:t>
      </w:r>
      <w:proofErr w:type="spellEnd"/>
      <w:r w:rsidRPr="00F9393E">
        <w:rPr>
          <w:rStyle w:val="rynqvb"/>
          <w:lang w:val="en"/>
        </w:rPr>
        <w:t xml:space="preserve">: MPA - to identify the total number of saprophytic microorganisms, </w:t>
      </w:r>
      <w:proofErr w:type="spellStart"/>
      <w:r w:rsidRPr="00F9393E">
        <w:rPr>
          <w:rStyle w:val="rynqvb"/>
          <w:lang w:val="en"/>
        </w:rPr>
        <w:t>Czapek</w:t>
      </w:r>
      <w:proofErr w:type="spellEnd"/>
      <w:r w:rsidRPr="00F9393E">
        <w:rPr>
          <w:rStyle w:val="rynqvb"/>
          <w:lang w:val="en"/>
        </w:rPr>
        <w:t xml:space="preserve">-Dox - to identify </w:t>
      </w:r>
      <w:proofErr w:type="spellStart"/>
      <w:r w:rsidRPr="00F9393E">
        <w:rPr>
          <w:rStyle w:val="rynqvb"/>
          <w:lang w:val="en"/>
        </w:rPr>
        <w:t>micromycetes</w:t>
      </w:r>
      <w:proofErr w:type="spellEnd"/>
      <w:r w:rsidRPr="00F9393E">
        <w:rPr>
          <w:rStyle w:val="rynqvb"/>
          <w:lang w:val="en"/>
        </w:rPr>
        <w:t>, microorganisms using mineral nitrogen and actinomycetes - on starch-ammonia agar (SAA);</w:t>
      </w:r>
      <w:r w:rsidRPr="00F9393E">
        <w:rPr>
          <w:rStyle w:val="hwtze"/>
          <w:lang w:val="en"/>
        </w:rPr>
        <w:t xml:space="preserve"> </w:t>
      </w:r>
      <w:proofErr w:type="spellStart"/>
      <w:r w:rsidRPr="00F9393E">
        <w:rPr>
          <w:rStyle w:val="rynqvb"/>
          <w:lang w:val="en"/>
        </w:rPr>
        <w:t>oligonitrophils</w:t>
      </w:r>
      <w:proofErr w:type="spellEnd"/>
      <w:r w:rsidRPr="00F9393E">
        <w:rPr>
          <w:rStyle w:val="rynqvb"/>
          <w:lang w:val="en"/>
        </w:rPr>
        <w:t xml:space="preserve"> - on Ashby medium.</w:t>
      </w:r>
      <w:r w:rsidRPr="00F9393E">
        <w:rPr>
          <w:rStyle w:val="hwtze"/>
          <w:lang w:val="en"/>
        </w:rPr>
        <w:t xml:space="preserve"> </w:t>
      </w:r>
      <w:r w:rsidRPr="00F9393E">
        <w:rPr>
          <w:rStyle w:val="rynqvb"/>
          <w:lang w:val="en"/>
        </w:rPr>
        <w:t xml:space="preserve">Denitrification and the number of </w:t>
      </w:r>
      <w:proofErr w:type="spellStart"/>
      <w:r w:rsidRPr="00F9393E">
        <w:rPr>
          <w:rStyle w:val="rynqvb"/>
          <w:lang w:val="en"/>
        </w:rPr>
        <w:t>denitrifiers</w:t>
      </w:r>
      <w:proofErr w:type="spellEnd"/>
      <w:r w:rsidRPr="00F9393E">
        <w:rPr>
          <w:rStyle w:val="rynqvb"/>
          <w:lang w:val="en"/>
        </w:rPr>
        <w:t xml:space="preserve"> were determined during cultivation on </w:t>
      </w:r>
      <w:proofErr w:type="spellStart"/>
      <w:r w:rsidRPr="00F9393E">
        <w:rPr>
          <w:rStyle w:val="rynqvb"/>
          <w:lang w:val="en"/>
        </w:rPr>
        <w:t>Giltai</w:t>
      </w:r>
      <w:proofErr w:type="spellEnd"/>
      <w:r w:rsidRPr="00F9393E">
        <w:rPr>
          <w:rStyle w:val="rynqvb"/>
          <w:lang w:val="en"/>
        </w:rPr>
        <w:t xml:space="preserve"> medium.</w:t>
      </w:r>
      <w:r w:rsidRPr="00F9393E">
        <w:rPr>
          <w:rStyle w:val="hwtze"/>
          <w:lang w:val="en"/>
        </w:rPr>
        <w:t xml:space="preserve"> </w:t>
      </w:r>
      <w:r w:rsidRPr="00F9393E">
        <w:rPr>
          <w:rStyle w:val="rynqvb"/>
          <w:lang w:val="en"/>
        </w:rPr>
        <w:t xml:space="preserve">The number of cellulolytic bacteria was determined on Hutchinson's elective dense nutrient medium with Na-carboxymethylcellulose (Na-CMC) as the only source of carbon and energy. </w:t>
      </w:r>
    </w:p>
    <w:p w14:paraId="79EB4D70" w14:textId="77777777" w:rsidR="000D239C" w:rsidRPr="00F9393E" w:rsidRDefault="000D239C" w:rsidP="00441B6F">
      <w:pPr>
        <w:pStyle w:val="Body"/>
        <w:spacing w:after="0"/>
        <w:rPr>
          <w:rStyle w:val="rynqvb"/>
          <w:lang w:val="en"/>
        </w:rPr>
      </w:pPr>
    </w:p>
    <w:p w14:paraId="4601114C" w14:textId="77777777" w:rsidR="000D239C" w:rsidRPr="00F9393E" w:rsidRDefault="000D239C" w:rsidP="00441B6F">
      <w:pPr>
        <w:pStyle w:val="Body"/>
        <w:spacing w:after="0"/>
        <w:rPr>
          <w:rStyle w:val="hwtze"/>
          <w:lang w:val="en"/>
        </w:rPr>
      </w:pPr>
      <w:r w:rsidRPr="00F9393E">
        <w:rPr>
          <w:rStyle w:val="rynqvb"/>
          <w:lang w:val="en"/>
        </w:rPr>
        <w:t>All sowings were carried out from two parallel flasks in two replicates.</w:t>
      </w:r>
      <w:r w:rsidRPr="00F9393E">
        <w:rPr>
          <w:rStyle w:val="hwtze"/>
          <w:lang w:val="en"/>
        </w:rPr>
        <w:t xml:space="preserve"> </w:t>
      </w:r>
      <w:r w:rsidRPr="00F9393E">
        <w:rPr>
          <w:rStyle w:val="rynqvb"/>
          <w:lang w:val="en"/>
        </w:rPr>
        <w:t>The number of microorganisms in 1 g (1 ml) of the initial substrate was determined by serial dilutions with seeding on solid and liquid media [</w:t>
      </w:r>
      <w:proofErr w:type="spellStart"/>
      <w:r w:rsidRPr="00F9393E">
        <w:rPr>
          <w:rStyle w:val="rynqvb"/>
          <w:lang w:val="en"/>
        </w:rPr>
        <w:t>Netrusov</w:t>
      </w:r>
      <w:proofErr w:type="spellEnd"/>
      <w:r w:rsidRPr="00F9393E">
        <w:rPr>
          <w:rStyle w:val="rynqvb"/>
          <w:lang w:val="en"/>
        </w:rPr>
        <w:t xml:space="preserve"> A.I., et al., 2005].</w:t>
      </w:r>
      <w:r w:rsidRPr="00F9393E">
        <w:rPr>
          <w:rStyle w:val="hwtze"/>
          <w:lang w:val="en"/>
        </w:rPr>
        <w:t xml:space="preserve"> </w:t>
      </w:r>
      <w:r w:rsidRPr="00F9393E">
        <w:rPr>
          <w:rStyle w:val="rynqvb"/>
          <w:lang w:val="en"/>
        </w:rPr>
        <w:t>The number of microorganisms in liquid media was determined using the McCready table.</w:t>
      </w:r>
      <w:r w:rsidRPr="00F9393E">
        <w:rPr>
          <w:rStyle w:val="hwtze"/>
          <w:lang w:val="en"/>
        </w:rPr>
        <w:t xml:space="preserve"> </w:t>
      </w:r>
    </w:p>
    <w:p w14:paraId="7D0F9BEB" w14:textId="77777777" w:rsidR="000D239C" w:rsidRPr="00F9393E" w:rsidRDefault="000D239C" w:rsidP="00441B6F">
      <w:pPr>
        <w:pStyle w:val="Body"/>
        <w:spacing w:after="0"/>
        <w:rPr>
          <w:rStyle w:val="hwtze"/>
          <w:lang w:val="en"/>
        </w:rPr>
      </w:pPr>
    </w:p>
    <w:p w14:paraId="122237E3" w14:textId="320175C4" w:rsidR="000D239C" w:rsidRPr="00F9393E" w:rsidRDefault="000D239C" w:rsidP="00441B6F">
      <w:pPr>
        <w:pStyle w:val="Body"/>
        <w:spacing w:after="0"/>
        <w:rPr>
          <w:rFonts w:ascii="Arial" w:hAnsi="Arial" w:cs="Arial"/>
        </w:rPr>
      </w:pPr>
      <w:r w:rsidRPr="00F9393E">
        <w:rPr>
          <w:rStyle w:val="rynqvb"/>
          <w:lang w:val="en"/>
        </w:rPr>
        <w:t xml:space="preserve">After determining the moisture content of each soil sample at 105 </w:t>
      </w:r>
      <w:r w:rsidRPr="00F9393E">
        <w:rPr>
          <w:rStyle w:val="rynqvb"/>
          <w:vertAlign w:val="superscript"/>
          <w:lang w:val="en"/>
        </w:rPr>
        <w:t>0</w:t>
      </w:r>
      <w:r w:rsidRPr="00F9393E">
        <w:rPr>
          <w:rStyle w:val="rynqvb"/>
          <w:lang w:val="en"/>
        </w:rPr>
        <w:t>C, the number of microorganisms was recalculated per 1 g of absolutely dry soil and expressed in colony-forming units (CFU g</w:t>
      </w:r>
      <w:r w:rsidRPr="00F9393E">
        <w:rPr>
          <w:rStyle w:val="rynqvb"/>
          <w:vertAlign w:val="superscript"/>
          <w:lang w:val="en"/>
        </w:rPr>
        <w:t>-1</w:t>
      </w:r>
      <w:r w:rsidRPr="00F9393E">
        <w:rPr>
          <w:rStyle w:val="rynqvb"/>
          <w:lang w:val="en"/>
        </w:rPr>
        <w:t>).</w:t>
      </w:r>
    </w:p>
    <w:p w14:paraId="71C0453F" w14:textId="77777777" w:rsidR="000D239C" w:rsidRPr="00F9393E" w:rsidRDefault="000D239C" w:rsidP="00441B6F">
      <w:pPr>
        <w:pStyle w:val="Body"/>
        <w:spacing w:after="0"/>
        <w:rPr>
          <w:rFonts w:ascii="Arial" w:hAnsi="Arial" w:cs="Arial"/>
        </w:rPr>
      </w:pPr>
    </w:p>
    <w:p w14:paraId="76D33521" w14:textId="61C66B41" w:rsidR="00B95236" w:rsidRPr="00F9393E" w:rsidRDefault="009331BD" w:rsidP="00441B6F">
      <w:pPr>
        <w:pStyle w:val="Body"/>
        <w:spacing w:after="0"/>
        <w:rPr>
          <w:rFonts w:ascii="Arial" w:hAnsi="Arial" w:cs="Arial"/>
        </w:rPr>
      </w:pPr>
      <w:r w:rsidRPr="00F9393E">
        <w:rPr>
          <w:rFonts w:ascii="Arial" w:hAnsi="Arial" w:cs="Arial"/>
        </w:rPr>
        <w:t>Samples were collected in the territory of Tashkent in the soils of roadside areas and in the soils of urban recreational areas (Table 1).</w:t>
      </w:r>
    </w:p>
    <w:p w14:paraId="1FAA2987" w14:textId="77777777" w:rsidR="009331BD" w:rsidRPr="00F9393E" w:rsidRDefault="009331BD" w:rsidP="00441B6F">
      <w:pPr>
        <w:pStyle w:val="Body"/>
        <w:spacing w:after="0"/>
        <w:rPr>
          <w:rFonts w:ascii="Arial" w:hAnsi="Arial" w:cs="Arial"/>
        </w:rPr>
      </w:pPr>
    </w:p>
    <w:p w14:paraId="5E07E14E" w14:textId="77777777" w:rsidR="009331BD" w:rsidRPr="00F9393E" w:rsidRDefault="009331BD" w:rsidP="00A96891">
      <w:pPr>
        <w:pStyle w:val="Body"/>
        <w:spacing w:after="0"/>
        <w:rPr>
          <w:rFonts w:ascii="Arial" w:hAnsi="Arial" w:cs="Arial"/>
          <w:b/>
        </w:rPr>
      </w:pPr>
      <w:bookmarkStart w:id="0" w:name="_GoBack"/>
      <w:r w:rsidRPr="00F9393E">
        <w:rPr>
          <w:rFonts w:ascii="Arial" w:hAnsi="Arial" w:cs="Arial"/>
          <w:b/>
        </w:rPr>
        <w:t>Table</w:t>
      </w:r>
      <w:bookmarkEnd w:id="0"/>
      <w:r w:rsidRPr="00F9393E">
        <w:rPr>
          <w:rFonts w:ascii="Arial" w:hAnsi="Arial" w:cs="Arial"/>
          <w:b/>
        </w:rPr>
        <w:t xml:space="preserve"> 1. Coordinates of sampling and characteristics of soil samples</w:t>
      </w:r>
    </w:p>
    <w:p w14:paraId="6F5B4F31" w14:textId="77777777" w:rsidR="00790ADA" w:rsidRPr="00F9393E" w:rsidRDefault="00790ADA" w:rsidP="00441B6F">
      <w:pPr>
        <w:pStyle w:val="Body"/>
        <w:spacing w:after="0"/>
        <w:rPr>
          <w:rFonts w:ascii="Arial" w:hAnsi="Arial" w:cs="Arial"/>
        </w:rPr>
      </w:pPr>
    </w:p>
    <w:tbl>
      <w:tblPr>
        <w:tblW w:w="0" w:type="auto"/>
        <w:tblBorders>
          <w:top w:val="single" w:sz="4" w:space="0" w:color="auto"/>
          <w:bottom w:val="single" w:sz="4" w:space="0" w:color="auto"/>
        </w:tblBorders>
        <w:tblLook w:val="04A0" w:firstRow="1" w:lastRow="0" w:firstColumn="1" w:lastColumn="0" w:noHBand="0" w:noVBand="1"/>
      </w:tblPr>
      <w:tblGrid>
        <w:gridCol w:w="950"/>
        <w:gridCol w:w="2100"/>
        <w:gridCol w:w="5158"/>
      </w:tblGrid>
      <w:tr w:rsidR="00A96891" w:rsidRPr="00F9393E" w14:paraId="2B1CF3D0" w14:textId="77777777" w:rsidTr="00C1656C">
        <w:tc>
          <w:tcPr>
            <w:tcW w:w="888" w:type="dxa"/>
            <w:tcBorders>
              <w:top w:val="single" w:sz="4" w:space="0" w:color="auto"/>
              <w:bottom w:val="single" w:sz="4" w:space="0" w:color="auto"/>
            </w:tcBorders>
          </w:tcPr>
          <w:p w14:paraId="1CF9ED2F" w14:textId="77777777" w:rsidR="00A96891" w:rsidRPr="00F9393E" w:rsidRDefault="00A96891" w:rsidP="009A161C">
            <w:pPr>
              <w:rPr>
                <w:rFonts w:ascii="Arial" w:hAnsi="Arial" w:cs="Arial"/>
                <w:b/>
              </w:rPr>
            </w:pPr>
            <w:r w:rsidRPr="00F9393E">
              <w:rPr>
                <w:rFonts w:ascii="Arial" w:hAnsi="Arial" w:cs="Arial"/>
                <w:b/>
              </w:rPr>
              <w:t>Sample number</w:t>
            </w:r>
          </w:p>
        </w:tc>
        <w:tc>
          <w:tcPr>
            <w:tcW w:w="2226" w:type="dxa"/>
            <w:tcBorders>
              <w:top w:val="single" w:sz="4" w:space="0" w:color="auto"/>
              <w:bottom w:val="single" w:sz="4" w:space="0" w:color="auto"/>
            </w:tcBorders>
          </w:tcPr>
          <w:p w14:paraId="3B0CEA95" w14:textId="77777777" w:rsidR="00A96891" w:rsidRPr="00F9393E" w:rsidRDefault="00A96891" w:rsidP="009A161C">
            <w:pPr>
              <w:rPr>
                <w:rFonts w:ascii="Arial" w:hAnsi="Arial" w:cs="Arial"/>
                <w:b/>
              </w:rPr>
            </w:pPr>
            <w:r w:rsidRPr="00F9393E">
              <w:rPr>
                <w:rFonts w:ascii="Arial" w:hAnsi="Arial" w:cs="Arial"/>
                <w:b/>
              </w:rPr>
              <w:t>Selection coordinates</w:t>
            </w:r>
          </w:p>
        </w:tc>
        <w:tc>
          <w:tcPr>
            <w:tcW w:w="5893" w:type="dxa"/>
            <w:tcBorders>
              <w:top w:val="single" w:sz="4" w:space="0" w:color="auto"/>
              <w:bottom w:val="single" w:sz="4" w:space="0" w:color="auto"/>
            </w:tcBorders>
          </w:tcPr>
          <w:p w14:paraId="79902D0B" w14:textId="77777777" w:rsidR="00A96891" w:rsidRPr="00F9393E" w:rsidRDefault="00A96891" w:rsidP="009A161C">
            <w:pPr>
              <w:rPr>
                <w:rFonts w:ascii="Arial" w:hAnsi="Arial" w:cs="Arial"/>
                <w:b/>
              </w:rPr>
            </w:pPr>
            <w:r w:rsidRPr="00F9393E">
              <w:rPr>
                <w:rFonts w:ascii="Arial" w:hAnsi="Arial" w:cs="Arial"/>
                <w:b/>
              </w:rPr>
              <w:t>Sample characteristics</w:t>
            </w:r>
          </w:p>
        </w:tc>
      </w:tr>
      <w:tr w:rsidR="00A96891" w:rsidRPr="00F9393E" w14:paraId="595A9C73" w14:textId="77777777" w:rsidTr="00C1656C">
        <w:tc>
          <w:tcPr>
            <w:tcW w:w="888" w:type="dxa"/>
            <w:tcBorders>
              <w:top w:val="single" w:sz="4" w:space="0" w:color="auto"/>
            </w:tcBorders>
          </w:tcPr>
          <w:p w14:paraId="10C22CEF" w14:textId="77777777" w:rsidR="00A96891" w:rsidRPr="00F9393E" w:rsidRDefault="00A96891" w:rsidP="009A161C">
            <w:pPr>
              <w:rPr>
                <w:rFonts w:ascii="Arial" w:hAnsi="Arial" w:cs="Arial"/>
              </w:rPr>
            </w:pPr>
            <w:r w:rsidRPr="00F9393E">
              <w:rPr>
                <w:rFonts w:ascii="Arial" w:hAnsi="Arial" w:cs="Arial"/>
              </w:rPr>
              <w:t>1</w:t>
            </w:r>
          </w:p>
        </w:tc>
        <w:tc>
          <w:tcPr>
            <w:tcW w:w="2226" w:type="dxa"/>
            <w:tcBorders>
              <w:top w:val="single" w:sz="4" w:space="0" w:color="auto"/>
            </w:tcBorders>
          </w:tcPr>
          <w:p w14:paraId="04429369" w14:textId="77777777" w:rsidR="00A96891" w:rsidRPr="00F9393E" w:rsidRDefault="00A96891" w:rsidP="009A161C">
            <w:pPr>
              <w:rPr>
                <w:rFonts w:ascii="Arial" w:hAnsi="Arial" w:cs="Arial"/>
              </w:rPr>
            </w:pPr>
            <w:r w:rsidRPr="00F9393E">
              <w:rPr>
                <w:rFonts w:ascii="Arial" w:hAnsi="Arial" w:cs="Arial"/>
              </w:rPr>
              <w:t>41°18ʹ15.19ʺN     69°16ʹ14.76ʺE</w:t>
            </w:r>
          </w:p>
        </w:tc>
        <w:tc>
          <w:tcPr>
            <w:tcW w:w="5893" w:type="dxa"/>
            <w:tcBorders>
              <w:top w:val="single" w:sz="4" w:space="0" w:color="auto"/>
            </w:tcBorders>
          </w:tcPr>
          <w:p w14:paraId="091DDAAC" w14:textId="77777777" w:rsidR="00A96891" w:rsidRPr="00F9393E" w:rsidRDefault="00A96891" w:rsidP="009A161C">
            <w:pPr>
              <w:rPr>
                <w:rFonts w:ascii="Arial" w:hAnsi="Arial" w:cs="Arial"/>
              </w:rPr>
            </w:pPr>
            <w:r w:rsidRPr="00F9393E">
              <w:rPr>
                <w:rFonts w:ascii="Arial" w:hAnsi="Arial" w:cs="Arial"/>
              </w:rPr>
              <w:t>Roadside area (parking lot near secondary school #110)</w:t>
            </w:r>
          </w:p>
        </w:tc>
      </w:tr>
      <w:tr w:rsidR="00A96891" w:rsidRPr="00F9393E" w14:paraId="3C3C8727" w14:textId="77777777" w:rsidTr="00C1656C">
        <w:tc>
          <w:tcPr>
            <w:tcW w:w="888" w:type="dxa"/>
            <w:tcBorders>
              <w:bottom w:val="nil"/>
            </w:tcBorders>
          </w:tcPr>
          <w:p w14:paraId="0430C8D0" w14:textId="77777777" w:rsidR="00A96891" w:rsidRPr="00F9393E" w:rsidRDefault="00A96891" w:rsidP="009A161C">
            <w:pPr>
              <w:rPr>
                <w:rFonts w:ascii="Arial" w:hAnsi="Arial" w:cs="Arial"/>
              </w:rPr>
            </w:pPr>
            <w:r w:rsidRPr="00F9393E">
              <w:rPr>
                <w:rFonts w:ascii="Arial" w:hAnsi="Arial" w:cs="Arial"/>
              </w:rPr>
              <w:t>2</w:t>
            </w:r>
          </w:p>
        </w:tc>
        <w:tc>
          <w:tcPr>
            <w:tcW w:w="2226" w:type="dxa"/>
            <w:tcBorders>
              <w:bottom w:val="nil"/>
            </w:tcBorders>
          </w:tcPr>
          <w:p w14:paraId="5E948FA7" w14:textId="77777777" w:rsidR="00A96891" w:rsidRPr="00F9393E" w:rsidRDefault="00A96891" w:rsidP="009A161C">
            <w:pPr>
              <w:rPr>
                <w:rFonts w:ascii="Arial" w:hAnsi="Arial" w:cs="Arial"/>
              </w:rPr>
            </w:pPr>
            <w:r w:rsidRPr="00F9393E">
              <w:rPr>
                <w:rFonts w:ascii="Arial" w:hAnsi="Arial" w:cs="Arial"/>
              </w:rPr>
              <w:t>41°18ʹ08.33ʺN     69°16ʹ33.23ʺE</w:t>
            </w:r>
          </w:p>
        </w:tc>
        <w:tc>
          <w:tcPr>
            <w:tcW w:w="5893" w:type="dxa"/>
            <w:tcBorders>
              <w:bottom w:val="nil"/>
            </w:tcBorders>
          </w:tcPr>
          <w:p w14:paraId="0457ED70" w14:textId="77777777" w:rsidR="00A96891" w:rsidRPr="00F9393E" w:rsidRDefault="00A96891" w:rsidP="009A161C">
            <w:pPr>
              <w:rPr>
                <w:rFonts w:ascii="Arial" w:hAnsi="Arial" w:cs="Arial"/>
              </w:rPr>
            </w:pPr>
            <w:r w:rsidRPr="00F9393E">
              <w:rPr>
                <w:rFonts w:ascii="Arial" w:hAnsi="Arial" w:cs="Arial"/>
              </w:rPr>
              <w:t>Roadside area (intersection of T. Shevchenko Street and Yakob Kolos Street)</w:t>
            </w:r>
          </w:p>
        </w:tc>
      </w:tr>
      <w:tr w:rsidR="00A96891" w:rsidRPr="00F9393E" w14:paraId="009669BB" w14:textId="77777777" w:rsidTr="00C1656C">
        <w:tc>
          <w:tcPr>
            <w:tcW w:w="888" w:type="dxa"/>
            <w:tcBorders>
              <w:top w:val="nil"/>
              <w:bottom w:val="nil"/>
            </w:tcBorders>
          </w:tcPr>
          <w:p w14:paraId="7919B61C" w14:textId="77777777" w:rsidR="00A96891" w:rsidRPr="00F9393E" w:rsidRDefault="00A96891" w:rsidP="009A161C">
            <w:pPr>
              <w:rPr>
                <w:rFonts w:ascii="Arial" w:hAnsi="Arial" w:cs="Arial"/>
              </w:rPr>
            </w:pPr>
            <w:r w:rsidRPr="00F9393E">
              <w:rPr>
                <w:rFonts w:ascii="Arial" w:hAnsi="Arial" w:cs="Arial"/>
              </w:rPr>
              <w:t>3</w:t>
            </w:r>
          </w:p>
        </w:tc>
        <w:tc>
          <w:tcPr>
            <w:tcW w:w="2226" w:type="dxa"/>
            <w:tcBorders>
              <w:top w:val="nil"/>
              <w:bottom w:val="nil"/>
            </w:tcBorders>
          </w:tcPr>
          <w:p w14:paraId="6A6C534B" w14:textId="77777777" w:rsidR="00A96891" w:rsidRPr="00F9393E" w:rsidRDefault="00A96891" w:rsidP="009A161C">
            <w:pPr>
              <w:rPr>
                <w:rFonts w:ascii="Arial" w:hAnsi="Arial" w:cs="Arial"/>
              </w:rPr>
            </w:pPr>
            <w:r w:rsidRPr="00F9393E">
              <w:rPr>
                <w:rFonts w:ascii="Arial" w:hAnsi="Arial" w:cs="Arial"/>
              </w:rPr>
              <w:t>41°17ʹ21.42ʺN     69°15ʹ21.63ʺE</w:t>
            </w:r>
          </w:p>
        </w:tc>
        <w:tc>
          <w:tcPr>
            <w:tcW w:w="5893" w:type="dxa"/>
            <w:tcBorders>
              <w:top w:val="nil"/>
              <w:bottom w:val="nil"/>
            </w:tcBorders>
          </w:tcPr>
          <w:p w14:paraId="58C45FA7" w14:textId="77777777" w:rsidR="00A96891" w:rsidRPr="00F9393E" w:rsidRDefault="00A96891" w:rsidP="009A161C">
            <w:pPr>
              <w:rPr>
                <w:rFonts w:ascii="Arial" w:hAnsi="Arial" w:cs="Arial"/>
              </w:rPr>
            </w:pPr>
            <w:r w:rsidRPr="00F9393E">
              <w:rPr>
                <w:rFonts w:ascii="Arial" w:hAnsi="Arial" w:cs="Arial"/>
              </w:rPr>
              <w:t>Friendship Park (by the lake)</w:t>
            </w:r>
          </w:p>
        </w:tc>
      </w:tr>
      <w:tr w:rsidR="00A96891" w:rsidRPr="00F9393E" w14:paraId="2643E9A5" w14:textId="77777777" w:rsidTr="00C1656C">
        <w:tc>
          <w:tcPr>
            <w:tcW w:w="888" w:type="dxa"/>
            <w:tcBorders>
              <w:top w:val="nil"/>
              <w:bottom w:val="nil"/>
            </w:tcBorders>
          </w:tcPr>
          <w:p w14:paraId="2562D92B" w14:textId="77777777" w:rsidR="00A96891" w:rsidRPr="00F9393E" w:rsidRDefault="00A96891" w:rsidP="009A161C">
            <w:pPr>
              <w:rPr>
                <w:rFonts w:ascii="Arial" w:hAnsi="Arial" w:cs="Arial"/>
              </w:rPr>
            </w:pPr>
            <w:r w:rsidRPr="00F9393E">
              <w:rPr>
                <w:rFonts w:ascii="Arial" w:hAnsi="Arial" w:cs="Arial"/>
              </w:rPr>
              <w:t>4</w:t>
            </w:r>
          </w:p>
        </w:tc>
        <w:tc>
          <w:tcPr>
            <w:tcW w:w="2226" w:type="dxa"/>
            <w:tcBorders>
              <w:top w:val="nil"/>
              <w:bottom w:val="nil"/>
            </w:tcBorders>
          </w:tcPr>
          <w:p w14:paraId="5C31FCDE" w14:textId="77777777" w:rsidR="00A96891" w:rsidRPr="00F9393E" w:rsidRDefault="00A96891" w:rsidP="009A161C">
            <w:pPr>
              <w:rPr>
                <w:rFonts w:ascii="Arial" w:hAnsi="Arial" w:cs="Arial"/>
              </w:rPr>
            </w:pPr>
            <w:r w:rsidRPr="00F9393E">
              <w:rPr>
                <w:rFonts w:ascii="Arial" w:hAnsi="Arial" w:cs="Arial"/>
              </w:rPr>
              <w:t>41°17ʹ21.56ʺN     69°15ʹ14.76ʺE</w:t>
            </w:r>
          </w:p>
        </w:tc>
        <w:tc>
          <w:tcPr>
            <w:tcW w:w="5893" w:type="dxa"/>
            <w:tcBorders>
              <w:top w:val="nil"/>
              <w:bottom w:val="nil"/>
            </w:tcBorders>
          </w:tcPr>
          <w:p w14:paraId="04BEC979" w14:textId="77777777" w:rsidR="00A96891" w:rsidRPr="00F9393E" w:rsidRDefault="00A96891" w:rsidP="009A161C">
            <w:pPr>
              <w:rPr>
                <w:rFonts w:ascii="Arial" w:hAnsi="Arial" w:cs="Arial"/>
              </w:rPr>
            </w:pPr>
            <w:r w:rsidRPr="00F9393E">
              <w:rPr>
                <w:rFonts w:ascii="Arial" w:hAnsi="Arial" w:cs="Arial"/>
              </w:rPr>
              <w:t>Friendship Park (forest area)</w:t>
            </w:r>
          </w:p>
        </w:tc>
      </w:tr>
      <w:tr w:rsidR="00A96891" w:rsidRPr="00F9393E" w14:paraId="59871439" w14:textId="77777777" w:rsidTr="00C1656C">
        <w:tc>
          <w:tcPr>
            <w:tcW w:w="888" w:type="dxa"/>
            <w:tcBorders>
              <w:top w:val="nil"/>
            </w:tcBorders>
          </w:tcPr>
          <w:p w14:paraId="16672BBF" w14:textId="77777777" w:rsidR="00A96891" w:rsidRPr="00F9393E" w:rsidRDefault="00A96891" w:rsidP="009A161C">
            <w:pPr>
              <w:rPr>
                <w:rFonts w:ascii="Arial" w:hAnsi="Arial" w:cs="Arial"/>
              </w:rPr>
            </w:pPr>
            <w:r w:rsidRPr="00F9393E">
              <w:rPr>
                <w:rFonts w:ascii="Arial" w:hAnsi="Arial" w:cs="Arial"/>
              </w:rPr>
              <w:t>5</w:t>
            </w:r>
          </w:p>
        </w:tc>
        <w:tc>
          <w:tcPr>
            <w:tcW w:w="2226" w:type="dxa"/>
            <w:tcBorders>
              <w:top w:val="nil"/>
            </w:tcBorders>
          </w:tcPr>
          <w:p w14:paraId="0F05F8D6" w14:textId="77777777" w:rsidR="00A96891" w:rsidRPr="00F9393E" w:rsidRDefault="00A96891" w:rsidP="009A161C">
            <w:pPr>
              <w:rPr>
                <w:rFonts w:ascii="Arial" w:hAnsi="Arial" w:cs="Arial"/>
              </w:rPr>
            </w:pPr>
            <w:r w:rsidRPr="00F9393E">
              <w:rPr>
                <w:rFonts w:ascii="Arial" w:hAnsi="Arial" w:cs="Arial"/>
              </w:rPr>
              <w:t>41°15ʹ23.74ʺN     69°13ʹ00.58ʺE</w:t>
            </w:r>
          </w:p>
        </w:tc>
        <w:tc>
          <w:tcPr>
            <w:tcW w:w="5893" w:type="dxa"/>
            <w:tcBorders>
              <w:top w:val="nil"/>
            </w:tcBorders>
          </w:tcPr>
          <w:p w14:paraId="7327D0ED" w14:textId="77777777" w:rsidR="00A96891" w:rsidRPr="00F9393E" w:rsidRDefault="00A96891" w:rsidP="009A161C">
            <w:pPr>
              <w:rPr>
                <w:rFonts w:ascii="Arial" w:hAnsi="Arial" w:cs="Arial"/>
              </w:rPr>
            </w:pPr>
            <w:r w:rsidRPr="00F9393E">
              <w:rPr>
                <w:rFonts w:ascii="Arial" w:hAnsi="Arial" w:cs="Arial"/>
              </w:rPr>
              <w:t>South Station, Sh. Rustaveli Street (island "Deciduous Forest")</w:t>
            </w:r>
          </w:p>
        </w:tc>
      </w:tr>
      <w:tr w:rsidR="00A96891" w:rsidRPr="00F9393E" w14:paraId="78DEA598" w14:textId="77777777" w:rsidTr="00C1656C">
        <w:tc>
          <w:tcPr>
            <w:tcW w:w="888" w:type="dxa"/>
          </w:tcPr>
          <w:p w14:paraId="2E1FBFED" w14:textId="77777777" w:rsidR="00A96891" w:rsidRPr="00F9393E" w:rsidRDefault="00A96891" w:rsidP="009A161C">
            <w:pPr>
              <w:rPr>
                <w:rFonts w:ascii="Arial" w:hAnsi="Arial" w:cs="Arial"/>
              </w:rPr>
            </w:pPr>
            <w:r w:rsidRPr="00F9393E">
              <w:rPr>
                <w:rFonts w:ascii="Arial" w:hAnsi="Arial" w:cs="Arial"/>
              </w:rPr>
              <w:t>6</w:t>
            </w:r>
          </w:p>
        </w:tc>
        <w:tc>
          <w:tcPr>
            <w:tcW w:w="2226" w:type="dxa"/>
          </w:tcPr>
          <w:p w14:paraId="1312AC2F" w14:textId="77777777" w:rsidR="00A96891" w:rsidRPr="00F9393E" w:rsidRDefault="00A96891" w:rsidP="009A161C">
            <w:pPr>
              <w:rPr>
                <w:rFonts w:ascii="Arial" w:hAnsi="Arial" w:cs="Arial"/>
              </w:rPr>
            </w:pPr>
            <w:r w:rsidRPr="00F9393E">
              <w:rPr>
                <w:rFonts w:ascii="Arial" w:hAnsi="Arial" w:cs="Arial"/>
              </w:rPr>
              <w:t>41°15ʹ25.47ʺN     69°13ʹ00.39ʺE</w:t>
            </w:r>
          </w:p>
        </w:tc>
        <w:tc>
          <w:tcPr>
            <w:tcW w:w="5893" w:type="dxa"/>
          </w:tcPr>
          <w:p w14:paraId="4E644CAF" w14:textId="77777777" w:rsidR="00A96891" w:rsidRPr="00F9393E" w:rsidRDefault="00A96891" w:rsidP="009A161C">
            <w:pPr>
              <w:rPr>
                <w:rFonts w:ascii="Arial" w:hAnsi="Arial" w:cs="Arial"/>
              </w:rPr>
            </w:pPr>
            <w:r w:rsidRPr="00F9393E">
              <w:rPr>
                <w:rFonts w:ascii="Arial" w:hAnsi="Arial" w:cs="Arial"/>
              </w:rPr>
              <w:t>South Station, Sh. Rustaveli Street (Roadside area)</w:t>
            </w:r>
          </w:p>
        </w:tc>
      </w:tr>
      <w:tr w:rsidR="00A96891" w:rsidRPr="00F9393E" w14:paraId="02ED5ECB" w14:textId="77777777" w:rsidTr="00C1656C">
        <w:tc>
          <w:tcPr>
            <w:tcW w:w="888" w:type="dxa"/>
          </w:tcPr>
          <w:p w14:paraId="1083B820" w14:textId="77777777" w:rsidR="00A96891" w:rsidRPr="00F9393E" w:rsidRDefault="00A96891" w:rsidP="009A161C">
            <w:pPr>
              <w:rPr>
                <w:rFonts w:ascii="Arial" w:hAnsi="Arial" w:cs="Arial"/>
              </w:rPr>
            </w:pPr>
            <w:r w:rsidRPr="00F9393E">
              <w:rPr>
                <w:rFonts w:ascii="Arial" w:hAnsi="Arial" w:cs="Arial"/>
              </w:rPr>
              <w:t>7</w:t>
            </w:r>
          </w:p>
        </w:tc>
        <w:tc>
          <w:tcPr>
            <w:tcW w:w="2226" w:type="dxa"/>
          </w:tcPr>
          <w:p w14:paraId="283B5980" w14:textId="77777777" w:rsidR="00A96891" w:rsidRPr="00F9393E" w:rsidRDefault="00A96891" w:rsidP="009A161C">
            <w:pPr>
              <w:rPr>
                <w:rFonts w:ascii="Arial" w:hAnsi="Arial" w:cs="Arial"/>
              </w:rPr>
            </w:pPr>
            <w:r w:rsidRPr="00F9393E">
              <w:rPr>
                <w:rFonts w:ascii="Arial" w:hAnsi="Arial" w:cs="Arial"/>
              </w:rPr>
              <w:t>41°19ʹ25.78ʺN     69°16ʹ18.93ʺE</w:t>
            </w:r>
          </w:p>
        </w:tc>
        <w:tc>
          <w:tcPr>
            <w:tcW w:w="5893" w:type="dxa"/>
          </w:tcPr>
          <w:p w14:paraId="07E54DFC" w14:textId="77777777" w:rsidR="00A96891" w:rsidRPr="00F9393E" w:rsidRDefault="00A96891" w:rsidP="009A161C">
            <w:pPr>
              <w:rPr>
                <w:rFonts w:ascii="Arial" w:hAnsi="Arial" w:cs="Arial"/>
              </w:rPr>
            </w:pPr>
            <w:r w:rsidRPr="00F9393E">
              <w:rPr>
                <w:rFonts w:ascii="Arial" w:hAnsi="Arial" w:cs="Arial"/>
              </w:rPr>
              <w:t>Anchor Park (forest park area between the Courage Monument and the Anchor River)</w:t>
            </w:r>
          </w:p>
        </w:tc>
      </w:tr>
    </w:tbl>
    <w:p w14:paraId="675A4598" w14:textId="77777777" w:rsidR="00A96891" w:rsidRPr="00F9393E" w:rsidRDefault="00A96891" w:rsidP="00441B6F">
      <w:pPr>
        <w:pStyle w:val="Body"/>
        <w:spacing w:after="0"/>
        <w:rPr>
          <w:rFonts w:ascii="Arial" w:hAnsi="Arial" w:cs="Arial"/>
        </w:rPr>
      </w:pPr>
    </w:p>
    <w:p w14:paraId="0AB72416" w14:textId="77777777" w:rsidR="00A03B96" w:rsidRPr="00F9393E" w:rsidRDefault="00A96891" w:rsidP="00441B6F">
      <w:pPr>
        <w:pStyle w:val="Body"/>
        <w:spacing w:after="0"/>
        <w:rPr>
          <w:rFonts w:ascii="Arial" w:hAnsi="Arial" w:cs="Arial"/>
        </w:rPr>
      </w:pPr>
      <w:r w:rsidRPr="00F9393E">
        <w:rPr>
          <w:rFonts w:ascii="Arial" w:hAnsi="Arial" w:cs="Arial"/>
        </w:rPr>
        <w:t>The formation of CO</w:t>
      </w:r>
      <w:r w:rsidRPr="00F9393E">
        <w:rPr>
          <w:rFonts w:ascii="Arial" w:hAnsi="Arial" w:cs="Arial"/>
          <w:vertAlign w:val="subscript"/>
        </w:rPr>
        <w:t>2</w:t>
      </w:r>
      <w:r w:rsidRPr="00F9393E">
        <w:rPr>
          <w:rFonts w:ascii="Arial" w:hAnsi="Arial" w:cs="Arial"/>
        </w:rPr>
        <w:t xml:space="preserve"> by soil in laboratory conditions was assessed by absorption with an alkali solution with subsequent titration (Artamonova, 2002).</w:t>
      </w:r>
    </w:p>
    <w:p w14:paraId="2EF02707" w14:textId="77777777" w:rsidR="00790ADA" w:rsidRPr="00F9393E" w:rsidRDefault="00790ADA" w:rsidP="00441B6F">
      <w:pPr>
        <w:pStyle w:val="Body"/>
        <w:spacing w:after="0"/>
        <w:rPr>
          <w:rFonts w:ascii="Arial" w:hAnsi="Arial" w:cs="Arial"/>
        </w:rPr>
      </w:pPr>
    </w:p>
    <w:p w14:paraId="4E15F283" w14:textId="77777777" w:rsidR="00902823" w:rsidRPr="00F9393E" w:rsidRDefault="00000F8F" w:rsidP="00A96891">
      <w:pPr>
        <w:pStyle w:val="Head1"/>
        <w:spacing w:after="0"/>
        <w:rPr>
          <w:rFonts w:ascii="Arial" w:hAnsi="Arial" w:cs="Arial"/>
        </w:rPr>
      </w:pPr>
      <w:r w:rsidRPr="00F9393E">
        <w:rPr>
          <w:rFonts w:ascii="Arial" w:hAnsi="Arial" w:cs="Arial"/>
        </w:rPr>
        <w:lastRenderedPageBreak/>
        <w:t>3</w:t>
      </w:r>
      <w:r w:rsidR="00902823" w:rsidRPr="00F9393E">
        <w:rPr>
          <w:rFonts w:ascii="Arial" w:hAnsi="Arial" w:cs="Arial"/>
        </w:rPr>
        <w:t xml:space="preserve">. </w:t>
      </w:r>
      <w:r w:rsidRPr="00F9393E">
        <w:rPr>
          <w:rFonts w:ascii="Arial" w:hAnsi="Arial" w:cs="Arial"/>
        </w:rPr>
        <w:t>results and discussion</w:t>
      </w:r>
    </w:p>
    <w:p w14:paraId="3B05638E" w14:textId="77777777" w:rsidR="00790ADA" w:rsidRPr="00F9393E" w:rsidRDefault="00790ADA" w:rsidP="00441B6F">
      <w:pPr>
        <w:pStyle w:val="Head1"/>
        <w:spacing w:after="0"/>
        <w:jc w:val="both"/>
        <w:rPr>
          <w:rFonts w:ascii="Arial" w:hAnsi="Arial" w:cs="Arial"/>
        </w:rPr>
      </w:pPr>
    </w:p>
    <w:p w14:paraId="58C921DD" w14:textId="510A622E" w:rsidR="00A96891" w:rsidRPr="00F9393E" w:rsidRDefault="00A96891" w:rsidP="00A96891">
      <w:pPr>
        <w:pStyle w:val="Body"/>
        <w:rPr>
          <w:rFonts w:ascii="Arial" w:hAnsi="Arial" w:cs="Arial"/>
        </w:rPr>
      </w:pPr>
      <w:r w:rsidRPr="00F9393E">
        <w:rPr>
          <w:rFonts w:ascii="Arial" w:hAnsi="Arial" w:cs="Arial"/>
        </w:rPr>
        <w:t xml:space="preserve">The conducted studies of soil samples show the diversity of the identified </w:t>
      </w:r>
      <w:proofErr w:type="spellStart"/>
      <w:r w:rsidRPr="00F9393E">
        <w:rPr>
          <w:rFonts w:ascii="Arial" w:hAnsi="Arial" w:cs="Arial"/>
        </w:rPr>
        <w:t>microbiocenoses</w:t>
      </w:r>
      <w:proofErr w:type="spellEnd"/>
      <w:r w:rsidRPr="00F9393E">
        <w:rPr>
          <w:rFonts w:ascii="Arial" w:hAnsi="Arial" w:cs="Arial"/>
        </w:rPr>
        <w:t xml:space="preserve">, which largely determine its activity and development in the upcoming </w:t>
      </w:r>
      <w:proofErr w:type="spellStart"/>
      <w:r w:rsidRPr="00F9393E">
        <w:rPr>
          <w:rFonts w:ascii="Arial" w:hAnsi="Arial" w:cs="Arial"/>
        </w:rPr>
        <w:t>urbanogenesis</w:t>
      </w:r>
      <w:proofErr w:type="spellEnd"/>
      <w:r w:rsidRPr="00F9393E">
        <w:rPr>
          <w:rFonts w:ascii="Arial" w:hAnsi="Arial" w:cs="Arial"/>
        </w:rPr>
        <w:t xml:space="preserve">. Analyzing the obtained data on the microbiological examination of soil samples in Tashkent, subjected to varying degrees of anthropogenic impact, it was revealed that the microbial communities in the studied samples have their own characteristics </w:t>
      </w:r>
      <w:r w:rsidR="00F96B4F" w:rsidRPr="00F9393E">
        <w:rPr>
          <w:rStyle w:val="rynqvb"/>
          <w:rFonts w:ascii="Arial" w:hAnsi="Arial" w:cs="Arial"/>
          <w:lang w:val="en"/>
        </w:rPr>
        <w:t xml:space="preserve">and vary depending on the season. Thus, it was noted that samples taken in park zones (No. 3, 4, 5 and 7) are distinguished by a greater microbial diversity </w:t>
      </w:r>
      <w:r w:rsidR="00F96B4F" w:rsidRPr="00F9393E">
        <w:rPr>
          <w:rFonts w:ascii="Arial" w:hAnsi="Arial" w:cs="Arial"/>
        </w:rPr>
        <w:t>(Fig. 1).</w:t>
      </w:r>
      <w:r w:rsidR="00F96B4F" w:rsidRPr="00F9393E">
        <w:rPr>
          <w:rStyle w:val="rynqvb"/>
          <w:rFonts w:ascii="Arial" w:hAnsi="Arial" w:cs="Arial"/>
        </w:rPr>
        <w:t xml:space="preserve"> </w:t>
      </w:r>
      <w:r w:rsidR="00F96B4F" w:rsidRPr="00F9393E">
        <w:rPr>
          <w:rStyle w:val="rynqvb"/>
          <w:rFonts w:ascii="Arial" w:hAnsi="Arial" w:cs="Arial"/>
          <w:lang w:val="en"/>
        </w:rPr>
        <w:t>The difference is especially noticeable in the summer period, when the temperature factor has a strong influence.</w:t>
      </w:r>
      <w:r w:rsidR="00F96B4F" w:rsidRPr="00F9393E">
        <w:rPr>
          <w:rFonts w:ascii="Arial" w:hAnsi="Arial" w:cs="Arial"/>
        </w:rPr>
        <w:t xml:space="preserve"> </w:t>
      </w:r>
    </w:p>
    <w:p w14:paraId="166559FA" w14:textId="4DB75E0B" w:rsidR="00F96B4F" w:rsidRPr="00F9393E" w:rsidRDefault="00F96B4F" w:rsidP="00A96891">
      <w:pPr>
        <w:pStyle w:val="Body"/>
        <w:rPr>
          <w:rFonts w:ascii="Arial" w:hAnsi="Arial" w:cs="Arial"/>
        </w:rPr>
      </w:pPr>
      <w:r w:rsidRPr="00F9393E">
        <w:rPr>
          <w:noProof/>
        </w:rPr>
        <w:drawing>
          <wp:inline distT="0" distB="0" distL="0" distR="0" wp14:anchorId="3F340881" wp14:editId="76886F0A">
            <wp:extent cx="5198076" cy="3097427"/>
            <wp:effectExtent l="0" t="0" r="3175" b="8255"/>
            <wp:docPr id="1" name="Диаграмма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9F9A4D" w14:textId="3DFDAF06" w:rsidR="00F96B4F" w:rsidRPr="00F9393E" w:rsidRDefault="00F96B4F" w:rsidP="00A96891">
      <w:pPr>
        <w:pStyle w:val="Body"/>
        <w:rPr>
          <w:rFonts w:ascii="Arial" w:hAnsi="Arial" w:cs="Arial"/>
        </w:rPr>
      </w:pPr>
      <w:r w:rsidRPr="00F9393E">
        <w:rPr>
          <w:rStyle w:val="rynqvb"/>
          <w:rFonts w:ascii="Arial" w:hAnsi="Arial" w:cs="Arial"/>
          <w:lang w:val="en"/>
        </w:rPr>
        <w:t>Fig.</w:t>
      </w:r>
      <w:r w:rsidRPr="00F9393E">
        <w:rPr>
          <w:rStyle w:val="hwtze"/>
          <w:rFonts w:ascii="Arial" w:hAnsi="Arial" w:cs="Arial"/>
          <w:lang w:val="en"/>
        </w:rPr>
        <w:t xml:space="preserve"> </w:t>
      </w:r>
      <w:r w:rsidRPr="00F9393E">
        <w:rPr>
          <w:rStyle w:val="rynqvb"/>
          <w:rFonts w:ascii="Arial" w:hAnsi="Arial" w:cs="Arial"/>
          <w:lang w:val="en"/>
        </w:rPr>
        <w:t>1. Microorganisms of samples from the territory of Tashkent in dynamics by season, growing on an MPA medium.</w:t>
      </w:r>
    </w:p>
    <w:p w14:paraId="37250EFA" w14:textId="27B412F3" w:rsidR="00B95236" w:rsidRPr="00F9393E" w:rsidRDefault="00A96891" w:rsidP="00A96891">
      <w:pPr>
        <w:pStyle w:val="Body"/>
        <w:spacing w:after="0"/>
        <w:rPr>
          <w:rFonts w:ascii="Arial" w:hAnsi="Arial" w:cs="Arial"/>
        </w:rPr>
      </w:pPr>
      <w:r w:rsidRPr="00F9393E">
        <w:rPr>
          <w:rFonts w:ascii="Arial" w:hAnsi="Arial" w:cs="Arial"/>
        </w:rPr>
        <w:t>It should be noted that, in qualitative terms, the microbial communities of the studied sites are distinguished by high biodiversity. Compared to the soils of park zones (samples 3, 4, 5, 7), the content of fungal mycelium, the main soil-forming organisms - destructors of organic residues, is reduced in roadside urban soils (samples 1, 2, 6)</w:t>
      </w:r>
      <w:r w:rsidR="009D0C7A" w:rsidRPr="00F9393E">
        <w:rPr>
          <w:rFonts w:ascii="Arial" w:hAnsi="Arial" w:cs="Arial"/>
        </w:rPr>
        <w:t xml:space="preserve"> (Fig.2)</w:t>
      </w:r>
      <w:r w:rsidRPr="00F9393E">
        <w:rPr>
          <w:rFonts w:ascii="Arial" w:hAnsi="Arial" w:cs="Arial"/>
        </w:rPr>
        <w:t>. At the same time, the conditions for plant growth worsen. A decrease in cellulolytic microorganisms was noted in roadside soils compared to soils in recreational areas, which have a higher plant biomass, which is consistent with the authors’ data (</w:t>
      </w:r>
      <w:proofErr w:type="spellStart"/>
      <w:r w:rsidRPr="00F9393E">
        <w:rPr>
          <w:rFonts w:ascii="Arial" w:hAnsi="Arial" w:cs="Arial"/>
        </w:rPr>
        <w:t>Alef</w:t>
      </w:r>
      <w:proofErr w:type="spellEnd"/>
      <w:r w:rsidRPr="00F9393E">
        <w:rPr>
          <w:rFonts w:ascii="Arial" w:hAnsi="Arial" w:cs="Arial"/>
        </w:rPr>
        <w:t xml:space="preserve"> &amp; </w:t>
      </w:r>
      <w:proofErr w:type="spellStart"/>
      <w:r w:rsidRPr="00F9393E">
        <w:rPr>
          <w:rFonts w:ascii="Arial" w:hAnsi="Arial" w:cs="Arial"/>
        </w:rPr>
        <w:t>Nannipieri</w:t>
      </w:r>
      <w:proofErr w:type="spellEnd"/>
      <w:r w:rsidRPr="00F9393E">
        <w:rPr>
          <w:rFonts w:ascii="Arial" w:hAnsi="Arial" w:cs="Arial"/>
        </w:rPr>
        <w:t>, 1995).</w:t>
      </w:r>
    </w:p>
    <w:p w14:paraId="23BC51AE" w14:textId="77777777" w:rsidR="00A96891" w:rsidRPr="00F9393E" w:rsidRDefault="00A96891" w:rsidP="00A96891">
      <w:pPr>
        <w:pStyle w:val="Body"/>
        <w:spacing w:after="0"/>
        <w:rPr>
          <w:rFonts w:ascii="Arial" w:hAnsi="Arial" w:cs="Arial"/>
        </w:rPr>
      </w:pPr>
    </w:p>
    <w:p w14:paraId="0A965748" w14:textId="77777777" w:rsidR="00A96891" w:rsidRPr="00F9393E" w:rsidRDefault="00A96891" w:rsidP="00A96891">
      <w:pPr>
        <w:pStyle w:val="Body"/>
        <w:spacing w:after="0"/>
        <w:rPr>
          <w:rFonts w:ascii="Arial" w:hAnsi="Arial" w:cs="Arial"/>
        </w:rPr>
      </w:pPr>
      <w:r w:rsidRPr="00F9393E">
        <w:rPr>
          <w:rFonts w:ascii="Arial" w:hAnsi="Arial" w:cs="Arial"/>
          <w:noProof/>
          <w:sz w:val="24"/>
          <w:szCs w:val="24"/>
          <w:lang w:val="ru-RU" w:eastAsia="ru-RU"/>
        </w:rPr>
        <w:lastRenderedPageBreak/>
        <w:drawing>
          <wp:inline distT="0" distB="0" distL="0" distR="0" wp14:anchorId="0C997D24" wp14:editId="7762988E">
            <wp:extent cx="5138420" cy="3478696"/>
            <wp:effectExtent l="0" t="0" r="5080" b="762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9F1B2E" w14:textId="77777777" w:rsidR="009A161C" w:rsidRPr="00F9393E" w:rsidRDefault="009A161C" w:rsidP="00A96891">
      <w:pPr>
        <w:pStyle w:val="Body"/>
        <w:spacing w:after="0"/>
        <w:rPr>
          <w:rFonts w:ascii="Arial" w:hAnsi="Arial" w:cs="Arial"/>
          <w:b/>
        </w:rPr>
      </w:pPr>
    </w:p>
    <w:p w14:paraId="26E28C21" w14:textId="54DE278C" w:rsidR="00A96891" w:rsidRPr="00F9393E" w:rsidRDefault="00A96891" w:rsidP="00A96891">
      <w:pPr>
        <w:pStyle w:val="Body"/>
        <w:spacing w:after="0"/>
        <w:rPr>
          <w:rFonts w:ascii="Arial" w:hAnsi="Arial" w:cs="Arial"/>
          <w:b/>
        </w:rPr>
      </w:pPr>
      <w:r w:rsidRPr="00F9393E">
        <w:rPr>
          <w:rFonts w:ascii="Arial" w:hAnsi="Arial" w:cs="Arial"/>
          <w:b/>
        </w:rPr>
        <w:t xml:space="preserve">Fig. </w:t>
      </w:r>
      <w:r w:rsidR="009D0C7A" w:rsidRPr="00F9393E">
        <w:rPr>
          <w:rFonts w:ascii="Arial" w:hAnsi="Arial" w:cs="Arial"/>
          <w:b/>
        </w:rPr>
        <w:t>2</w:t>
      </w:r>
      <w:r w:rsidRPr="00F9393E">
        <w:rPr>
          <w:rFonts w:ascii="Arial" w:hAnsi="Arial" w:cs="Arial"/>
          <w:b/>
        </w:rPr>
        <w:t>. Quantitative and qualitative indicators of gray soils in Tashkent.</w:t>
      </w:r>
    </w:p>
    <w:p w14:paraId="5C268E5A" w14:textId="77777777" w:rsidR="00A96891" w:rsidRPr="00F9393E" w:rsidRDefault="00A96891" w:rsidP="00A96891">
      <w:pPr>
        <w:pStyle w:val="Body"/>
        <w:spacing w:after="0"/>
        <w:rPr>
          <w:rFonts w:ascii="Arial" w:hAnsi="Arial" w:cs="Arial"/>
          <w:b/>
        </w:rPr>
      </w:pPr>
    </w:p>
    <w:p w14:paraId="00609C7E" w14:textId="77777777" w:rsidR="009844FA" w:rsidRPr="00F9393E" w:rsidRDefault="00A96891" w:rsidP="00A96891">
      <w:pPr>
        <w:pStyle w:val="Body"/>
        <w:spacing w:after="0"/>
        <w:rPr>
          <w:rFonts w:ascii="Arial" w:hAnsi="Arial" w:cs="Arial"/>
        </w:rPr>
      </w:pPr>
      <w:r w:rsidRPr="00F9393E">
        <w:rPr>
          <w:rFonts w:ascii="Arial" w:hAnsi="Arial" w:cs="Arial"/>
        </w:rPr>
        <w:t xml:space="preserve">The total number of bacteria in the soil biomass decreases. However, the number of </w:t>
      </w:r>
      <w:proofErr w:type="spellStart"/>
      <w:r w:rsidRPr="00F9393E">
        <w:rPr>
          <w:rFonts w:ascii="Arial" w:hAnsi="Arial" w:cs="Arial"/>
        </w:rPr>
        <w:t>denitrifiers</w:t>
      </w:r>
      <w:proofErr w:type="spellEnd"/>
      <w:r w:rsidRPr="00F9393E">
        <w:rPr>
          <w:rFonts w:ascii="Arial" w:hAnsi="Arial" w:cs="Arial"/>
        </w:rPr>
        <w:t xml:space="preserve"> increases significantly - by 3 orders of magnitude. In the soil </w:t>
      </w:r>
      <w:proofErr w:type="spellStart"/>
      <w:r w:rsidRPr="00F9393E">
        <w:rPr>
          <w:rFonts w:ascii="Arial" w:hAnsi="Arial" w:cs="Arial"/>
        </w:rPr>
        <w:t>microbiocenoses</w:t>
      </w:r>
      <w:proofErr w:type="spellEnd"/>
      <w:r w:rsidRPr="00F9393E">
        <w:rPr>
          <w:rFonts w:ascii="Arial" w:hAnsi="Arial" w:cs="Arial"/>
        </w:rPr>
        <w:t xml:space="preserve"> of all the studied samples, the dominant position is occupied by the bacterial complex, in which microorganisms were identified, among which bacteria of the genera Bacillus and Pseudomonas prevail. </w:t>
      </w:r>
      <w:proofErr w:type="spellStart"/>
      <w:r w:rsidRPr="00F9393E">
        <w:rPr>
          <w:rFonts w:ascii="Arial" w:hAnsi="Arial" w:cs="Arial"/>
        </w:rPr>
        <w:t>Coccal</w:t>
      </w:r>
      <w:proofErr w:type="spellEnd"/>
      <w:r w:rsidRPr="00F9393E">
        <w:rPr>
          <w:rFonts w:ascii="Arial" w:hAnsi="Arial" w:cs="Arial"/>
        </w:rPr>
        <w:t xml:space="preserve"> forms are rare, mainly of the genus Micrococcus. Thus, it is noted that the species diversity of microorganisms in the studied soils is somewhat reduced. Among the </w:t>
      </w:r>
      <w:proofErr w:type="spellStart"/>
      <w:r w:rsidRPr="00F9393E">
        <w:rPr>
          <w:rFonts w:ascii="Arial" w:hAnsi="Arial" w:cs="Arial"/>
        </w:rPr>
        <w:t>micromycetes</w:t>
      </w:r>
      <w:proofErr w:type="spellEnd"/>
      <w:r w:rsidRPr="00F9393E">
        <w:rPr>
          <w:rFonts w:ascii="Arial" w:hAnsi="Arial" w:cs="Arial"/>
        </w:rPr>
        <w:t xml:space="preserve"> of roadside areas, the main share is made up of gen. Fusarium, Penicillium, Aspergillus, Mucor, while in park areas, gen. Trichoderma, Alternaria, Aspergillus prevail. The presence of phytopathogenic fungi on the soil surface increases. The number of actinomycetes increases, mainly pigmented forms (up to 105 CFU/g). More simplified microbial complexes are formed than in natural conditions, with a predominance of fast-growing and pigment-forming forms. </w:t>
      </w:r>
    </w:p>
    <w:p w14:paraId="298E7C19" w14:textId="77777777" w:rsidR="009844FA" w:rsidRPr="00F9393E" w:rsidRDefault="009844FA" w:rsidP="00A96891">
      <w:pPr>
        <w:pStyle w:val="Body"/>
        <w:spacing w:after="0"/>
        <w:rPr>
          <w:rFonts w:ascii="Arial" w:hAnsi="Arial" w:cs="Arial"/>
        </w:rPr>
      </w:pPr>
    </w:p>
    <w:p w14:paraId="4E2FEDA8" w14:textId="70A9C0F2" w:rsidR="00A96891" w:rsidRPr="00F9393E" w:rsidRDefault="000351D0" w:rsidP="00A96891">
      <w:pPr>
        <w:pStyle w:val="Body"/>
        <w:spacing w:after="0"/>
        <w:rPr>
          <w:rFonts w:ascii="Arial" w:hAnsi="Arial" w:cs="Arial"/>
        </w:rPr>
      </w:pPr>
      <w:r w:rsidRPr="00F9393E">
        <w:rPr>
          <w:rStyle w:val="rynqvb"/>
          <w:lang w:val="en"/>
        </w:rPr>
        <w:t>The activity of microbial biomass in the soil is usually assessed by the "basal" respiration, i.e. the respiration of native (unenriched) soil (freed from plant roots), caused only by microorganisms.</w:t>
      </w:r>
      <w:r w:rsidRPr="00F9393E">
        <w:rPr>
          <w:rStyle w:val="hwtze"/>
          <w:lang w:val="en"/>
        </w:rPr>
        <w:t xml:space="preserve"> </w:t>
      </w:r>
      <w:r w:rsidRPr="00F9393E">
        <w:rPr>
          <w:rStyle w:val="rynqvb"/>
          <w:lang w:val="en"/>
        </w:rPr>
        <w:t>It is assessed by the rate of their formation of CO</w:t>
      </w:r>
      <w:r w:rsidRPr="00F9393E">
        <w:rPr>
          <w:rStyle w:val="rynqvb"/>
          <w:vertAlign w:val="subscript"/>
          <w:lang w:val="en"/>
        </w:rPr>
        <w:t>2</w:t>
      </w:r>
      <w:r w:rsidRPr="00F9393E">
        <w:rPr>
          <w:rStyle w:val="rynqvb"/>
          <w:lang w:val="en"/>
        </w:rPr>
        <w:t xml:space="preserve"> or consumption of O</w:t>
      </w:r>
      <w:r w:rsidRPr="00F9393E">
        <w:rPr>
          <w:rStyle w:val="rynqvb"/>
          <w:vertAlign w:val="subscript"/>
          <w:lang w:val="en"/>
        </w:rPr>
        <w:t>2</w:t>
      </w:r>
      <w:r w:rsidRPr="00F9393E">
        <w:rPr>
          <w:rStyle w:val="rynqvb"/>
          <w:lang w:val="en"/>
        </w:rPr>
        <w:t>.</w:t>
      </w:r>
      <w:r w:rsidRPr="00F9393E">
        <w:rPr>
          <w:rStyle w:val="hwtze"/>
          <w:lang w:val="en"/>
        </w:rPr>
        <w:t xml:space="preserve"> </w:t>
      </w:r>
      <w:r w:rsidRPr="00F9393E">
        <w:rPr>
          <w:rStyle w:val="rynqvb"/>
          <w:lang w:val="en"/>
        </w:rPr>
        <w:t>The determination of basal soil respiration is traditional and is still most often used to assess its metabolic activity and the physiological state of microorganisms.</w:t>
      </w:r>
      <w:r w:rsidR="007276B6" w:rsidRPr="00F9393E">
        <w:rPr>
          <w:rStyle w:val="rynqvb"/>
          <w:lang w:val="en"/>
        </w:rPr>
        <w:t xml:space="preserve"> </w:t>
      </w:r>
      <w:r w:rsidR="00A96891" w:rsidRPr="00F9393E">
        <w:rPr>
          <w:rFonts w:ascii="Arial" w:hAnsi="Arial" w:cs="Arial"/>
        </w:rPr>
        <w:t>In our studies, we assessed the formation of CO</w:t>
      </w:r>
      <w:r w:rsidR="00A96891" w:rsidRPr="00F9393E">
        <w:rPr>
          <w:rFonts w:ascii="Arial" w:hAnsi="Arial" w:cs="Arial"/>
          <w:vertAlign w:val="subscript"/>
        </w:rPr>
        <w:t>2</w:t>
      </w:r>
      <w:r w:rsidR="00A96891" w:rsidRPr="00F9393E">
        <w:rPr>
          <w:rFonts w:ascii="Arial" w:hAnsi="Arial" w:cs="Arial"/>
        </w:rPr>
        <w:t xml:space="preserve"> by soil in seasonal dynamics in laboratory conditions using the method of absorption by an alkali solution with subsequent titration (Fig. </w:t>
      </w:r>
      <w:r w:rsidR="009844FA" w:rsidRPr="00F9393E">
        <w:rPr>
          <w:rFonts w:ascii="Arial" w:hAnsi="Arial" w:cs="Arial"/>
        </w:rPr>
        <w:t>3</w:t>
      </w:r>
      <w:r w:rsidR="00A96891" w:rsidRPr="00F9393E">
        <w:rPr>
          <w:rFonts w:ascii="Arial" w:hAnsi="Arial" w:cs="Arial"/>
        </w:rPr>
        <w:t>).</w:t>
      </w:r>
    </w:p>
    <w:p w14:paraId="1FBD3381" w14:textId="77777777" w:rsidR="00A96891" w:rsidRPr="00F9393E" w:rsidRDefault="00A96891" w:rsidP="00A96891">
      <w:pPr>
        <w:pStyle w:val="Body"/>
        <w:spacing w:after="0"/>
        <w:rPr>
          <w:rFonts w:ascii="Arial" w:hAnsi="Arial" w:cs="Arial"/>
        </w:rPr>
      </w:pPr>
    </w:p>
    <w:p w14:paraId="386D9DCD" w14:textId="77777777" w:rsidR="00A96891" w:rsidRPr="00F9393E" w:rsidRDefault="00A96891" w:rsidP="00A96891">
      <w:pPr>
        <w:pStyle w:val="Body"/>
        <w:spacing w:after="0"/>
        <w:rPr>
          <w:rFonts w:ascii="Arial" w:hAnsi="Arial" w:cs="Arial"/>
        </w:rPr>
      </w:pPr>
      <w:r w:rsidRPr="00F9393E">
        <w:rPr>
          <w:rFonts w:ascii="Arial" w:hAnsi="Arial" w:cs="Arial"/>
          <w:noProof/>
          <w:sz w:val="24"/>
          <w:szCs w:val="24"/>
          <w:lang w:val="ru-RU" w:eastAsia="ru-RU"/>
        </w:rPr>
        <w:lastRenderedPageBreak/>
        <w:drawing>
          <wp:inline distT="0" distB="0" distL="0" distR="0" wp14:anchorId="1C836E8F" wp14:editId="793517DF">
            <wp:extent cx="5212080" cy="3103328"/>
            <wp:effectExtent l="0" t="0" r="7620" b="190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4B9551" w14:textId="77777777" w:rsidR="00A96891" w:rsidRPr="00F9393E" w:rsidRDefault="00A96891" w:rsidP="00A96891">
      <w:pPr>
        <w:pStyle w:val="Body"/>
        <w:spacing w:after="0"/>
        <w:rPr>
          <w:rFonts w:ascii="Arial" w:hAnsi="Arial" w:cs="Arial"/>
        </w:rPr>
      </w:pPr>
    </w:p>
    <w:p w14:paraId="4EAC2814" w14:textId="33E070F7" w:rsidR="00A96891" w:rsidRPr="00F9393E" w:rsidRDefault="00A96891" w:rsidP="00A96891">
      <w:pPr>
        <w:pStyle w:val="Body"/>
        <w:spacing w:after="0"/>
        <w:rPr>
          <w:rFonts w:ascii="Arial" w:hAnsi="Arial" w:cs="Arial"/>
          <w:b/>
        </w:rPr>
      </w:pPr>
      <w:r w:rsidRPr="00F9393E">
        <w:rPr>
          <w:rFonts w:ascii="Arial" w:hAnsi="Arial" w:cs="Arial"/>
          <w:b/>
        </w:rPr>
        <w:t xml:space="preserve">Fig. </w:t>
      </w:r>
      <w:r w:rsidR="009844FA" w:rsidRPr="00F9393E">
        <w:rPr>
          <w:rFonts w:ascii="Arial" w:hAnsi="Arial" w:cs="Arial"/>
          <w:b/>
        </w:rPr>
        <w:t>3</w:t>
      </w:r>
      <w:r w:rsidRPr="00F9393E">
        <w:rPr>
          <w:rFonts w:ascii="Arial" w:hAnsi="Arial" w:cs="Arial"/>
          <w:b/>
        </w:rPr>
        <w:t>. Seasonal changes in the respiratory activity of soils in Tashkent.</w:t>
      </w:r>
    </w:p>
    <w:p w14:paraId="3D8A776F" w14:textId="77777777" w:rsidR="00790ADA" w:rsidRPr="00F9393E" w:rsidRDefault="00790ADA" w:rsidP="00441B6F">
      <w:pPr>
        <w:pStyle w:val="Body"/>
        <w:spacing w:after="0"/>
        <w:rPr>
          <w:rFonts w:ascii="Arial" w:hAnsi="Arial" w:cs="Arial"/>
        </w:rPr>
      </w:pPr>
    </w:p>
    <w:p w14:paraId="0414B3F2" w14:textId="77777777" w:rsidR="00790ADA" w:rsidRPr="00F9393E" w:rsidRDefault="005D71F0" w:rsidP="00441B6F">
      <w:pPr>
        <w:pStyle w:val="Body"/>
        <w:spacing w:after="0"/>
        <w:rPr>
          <w:rFonts w:ascii="Arial" w:hAnsi="Arial" w:cs="Arial"/>
        </w:rPr>
      </w:pPr>
      <w:r w:rsidRPr="00F9393E">
        <w:rPr>
          <w:rFonts w:ascii="Arial" w:hAnsi="Arial" w:cs="Arial"/>
        </w:rPr>
        <w:t>Assessing microbial parameters that potentially serve as indicators of environmental changes in the context of monitoring seasonal development dynamics and assessing anthropogenic impact, it can be noted that soil samples from disturbed areas (nearby roads - samples No. 1, 2, 6) and park areas (samples No. 3, 4, 5, 7) had some differences in basal respiration intensity of up to 2 or more times. The groups showed differences in the main microbial parameters. The lowest microbial biomass was found in soil samples that were exposed to a greater negative impact and with a low content of organic matter (samples 1, 2, 5, 6). Respiration showed similar results for microbial biomass. Thus, it can be said that the functional diversity and respiratory activity of soils are important indicators of temporal trends, microbial biomass, apparently, reflects the different conditions developing in disturbed areas.</w:t>
      </w:r>
    </w:p>
    <w:p w14:paraId="2947FD7E" w14:textId="77777777" w:rsidR="00E053D0" w:rsidRPr="00F9393E" w:rsidRDefault="00E053D0" w:rsidP="00441B6F">
      <w:pPr>
        <w:pStyle w:val="Body"/>
        <w:spacing w:after="0"/>
        <w:rPr>
          <w:rFonts w:ascii="Arial" w:hAnsi="Arial" w:cs="Arial"/>
        </w:rPr>
      </w:pPr>
    </w:p>
    <w:p w14:paraId="49D4958D" w14:textId="77777777" w:rsidR="00B01FCD" w:rsidRPr="00F9393E" w:rsidRDefault="00000F8F" w:rsidP="005D71F0">
      <w:pPr>
        <w:pStyle w:val="ConcHead"/>
        <w:spacing w:after="0"/>
        <w:rPr>
          <w:rFonts w:ascii="Arial" w:hAnsi="Arial" w:cs="Arial"/>
        </w:rPr>
      </w:pPr>
      <w:r w:rsidRPr="00F9393E">
        <w:rPr>
          <w:rFonts w:ascii="Arial" w:hAnsi="Arial" w:cs="Arial"/>
        </w:rPr>
        <w:t xml:space="preserve">4. </w:t>
      </w:r>
      <w:r w:rsidR="00B01FCD" w:rsidRPr="00F9393E">
        <w:rPr>
          <w:rFonts w:ascii="Arial" w:hAnsi="Arial" w:cs="Arial"/>
        </w:rPr>
        <w:t>Conclusion</w:t>
      </w:r>
    </w:p>
    <w:p w14:paraId="7B7A26B3" w14:textId="77777777" w:rsidR="00790ADA" w:rsidRPr="00F9393E" w:rsidRDefault="00790ADA" w:rsidP="00441B6F">
      <w:pPr>
        <w:pStyle w:val="ConcHead"/>
        <w:spacing w:after="0"/>
        <w:jc w:val="both"/>
        <w:rPr>
          <w:rFonts w:ascii="Arial" w:hAnsi="Arial" w:cs="Arial"/>
        </w:rPr>
      </w:pPr>
    </w:p>
    <w:p w14:paraId="182B911F" w14:textId="20B184C8" w:rsidR="00B01FCD" w:rsidRPr="00F9393E" w:rsidRDefault="005D71F0" w:rsidP="00441B6F">
      <w:pPr>
        <w:pStyle w:val="Body"/>
        <w:spacing w:after="0"/>
        <w:rPr>
          <w:rFonts w:ascii="Arial" w:hAnsi="Arial" w:cs="Arial"/>
        </w:rPr>
      </w:pPr>
      <w:r w:rsidRPr="00F9393E">
        <w:rPr>
          <w:rFonts w:ascii="Arial" w:hAnsi="Arial" w:cs="Arial"/>
        </w:rPr>
        <w:t xml:space="preserve">Microbiological examination revealed changes in the qualitative composition of urban soil </w:t>
      </w:r>
      <w:proofErr w:type="spellStart"/>
      <w:r w:rsidRPr="00F9393E">
        <w:rPr>
          <w:rFonts w:ascii="Arial" w:hAnsi="Arial" w:cs="Arial"/>
        </w:rPr>
        <w:t>microbiocenoses</w:t>
      </w:r>
      <w:proofErr w:type="spellEnd"/>
      <w:r w:rsidRPr="00F9393E">
        <w:rPr>
          <w:rFonts w:ascii="Arial" w:hAnsi="Arial" w:cs="Arial"/>
        </w:rPr>
        <w:t>, especially those located at short distances from transport systems. A decrease in the number of microorganisms actively involved in the self-regulation of the soil cover and an increase in species resistant to adverse conditions are noted, which may subsequently affect the entire biocenosis. It becomes obvious that in order to preserve the natural properties of soils during urban development, it is necessary to reduce the "sealing" of soils and preserve as many interconnected green areas as possible that preserve the specifics of natural ecosystems. It is also necessary to carry out measures to reclaim soils in industrial zones. To do this, it is necessary to develop and apply new methods, including biotechnological ones, and create microbial complexes capable of actively participating in land restoration.</w:t>
      </w:r>
    </w:p>
    <w:p w14:paraId="553FA560" w14:textId="05B840F9" w:rsidR="0091577D" w:rsidRPr="00F9393E" w:rsidRDefault="0091577D" w:rsidP="00441B6F">
      <w:pPr>
        <w:pStyle w:val="Body"/>
        <w:spacing w:after="0"/>
        <w:rPr>
          <w:rFonts w:ascii="Arial" w:hAnsi="Arial" w:cs="Arial"/>
        </w:rPr>
      </w:pPr>
    </w:p>
    <w:p w14:paraId="3069DA76" w14:textId="77777777" w:rsidR="0091577D" w:rsidRPr="00F9393E" w:rsidRDefault="0091577D" w:rsidP="0091577D">
      <w:pPr>
        <w:rPr>
          <w:rFonts w:ascii="Arial" w:eastAsia="Calibri" w:hAnsi="Arial" w:cs="Arial"/>
          <w:kern w:val="2"/>
        </w:rPr>
      </w:pPr>
      <w:bookmarkStart w:id="1" w:name="_Hlk193540946"/>
      <w:bookmarkStart w:id="2" w:name="_Hlk180402183"/>
      <w:bookmarkStart w:id="3" w:name="_Hlk183680988"/>
      <w:r w:rsidRPr="00F9393E">
        <w:rPr>
          <w:rFonts w:ascii="Arial" w:eastAsia="Calibri" w:hAnsi="Arial" w:cs="Arial"/>
          <w:kern w:val="2"/>
        </w:rPr>
        <w:t>Disclaimer (Artificial intelligence)</w:t>
      </w:r>
    </w:p>
    <w:p w14:paraId="67EE9C49" w14:textId="77777777" w:rsidR="0091577D" w:rsidRPr="00F9393E" w:rsidRDefault="0091577D" w:rsidP="0091577D">
      <w:pPr>
        <w:rPr>
          <w:rFonts w:ascii="Arial" w:eastAsia="Calibri" w:hAnsi="Arial" w:cs="Arial"/>
          <w:kern w:val="2"/>
        </w:rPr>
      </w:pPr>
      <w:r w:rsidRPr="00F9393E">
        <w:rPr>
          <w:rFonts w:ascii="Arial" w:eastAsia="Calibri" w:hAnsi="Arial" w:cs="Arial"/>
          <w:kern w:val="2"/>
        </w:rPr>
        <w:t xml:space="preserve">Option 1: </w:t>
      </w:r>
    </w:p>
    <w:p w14:paraId="47EE77EF" w14:textId="5A20678D" w:rsidR="0091577D" w:rsidRPr="00F9393E" w:rsidRDefault="00B43AAF" w:rsidP="0091577D">
      <w:pPr>
        <w:rPr>
          <w:rFonts w:ascii="Arial" w:eastAsia="Calibri" w:hAnsi="Arial" w:cs="Arial"/>
          <w:kern w:val="2"/>
        </w:rPr>
      </w:pPr>
      <w:r w:rsidRPr="00F9393E">
        <w:rPr>
          <w:rFonts w:ascii="Arial" w:eastAsia="Calibri" w:hAnsi="Arial" w:cs="Arial"/>
          <w:kern w:val="2"/>
        </w:rPr>
        <w:lastRenderedPageBreak/>
        <w:t>We</w:t>
      </w:r>
      <w:r w:rsidR="0091577D" w:rsidRPr="00F9393E">
        <w:rPr>
          <w:rFonts w:ascii="Arial" w:eastAsia="Calibri" w:hAnsi="Arial" w:cs="Arial"/>
          <w:kern w:val="2"/>
        </w:rPr>
        <w:t xml:space="preserve"> hereby declare that NO generative AI technologies such as Large Language Models (</w:t>
      </w:r>
      <w:proofErr w:type="spellStart"/>
      <w:r w:rsidR="0091577D" w:rsidRPr="00F9393E">
        <w:rPr>
          <w:rFonts w:ascii="Arial" w:eastAsia="Calibri" w:hAnsi="Arial" w:cs="Arial"/>
          <w:kern w:val="2"/>
        </w:rPr>
        <w:t>ChatGPT</w:t>
      </w:r>
      <w:proofErr w:type="spellEnd"/>
      <w:r w:rsidR="0091577D" w:rsidRPr="00F9393E">
        <w:rPr>
          <w:rFonts w:ascii="Arial" w:eastAsia="Calibri" w:hAnsi="Arial" w:cs="Arial"/>
          <w:kern w:val="2"/>
        </w:rPr>
        <w:t xml:space="preserve">, COPILOT, etc.) and text-to-image generators have been used during the writing or editing of this manuscript. </w:t>
      </w:r>
    </w:p>
    <w:p w14:paraId="28316E01" w14:textId="77777777" w:rsidR="00B43AAF" w:rsidRPr="00F9393E" w:rsidRDefault="00B43AAF" w:rsidP="0091577D">
      <w:pPr>
        <w:rPr>
          <w:rFonts w:ascii="Arial" w:eastAsia="Calibri" w:hAnsi="Arial" w:cs="Arial"/>
          <w:kern w:val="2"/>
        </w:rPr>
      </w:pPr>
    </w:p>
    <w:bookmarkEnd w:id="1"/>
    <w:bookmarkEnd w:id="2"/>
    <w:bookmarkEnd w:id="3"/>
    <w:p w14:paraId="74F242F6" w14:textId="77777777" w:rsidR="005D71F0" w:rsidRPr="00F9393E" w:rsidRDefault="005D71F0" w:rsidP="00441B6F">
      <w:pPr>
        <w:pStyle w:val="ReferHead"/>
        <w:spacing w:after="0"/>
        <w:jc w:val="both"/>
        <w:rPr>
          <w:rFonts w:ascii="Arial" w:hAnsi="Arial" w:cs="Arial"/>
          <w:b w:val="0"/>
          <w:caps w:val="0"/>
          <w:sz w:val="20"/>
          <w:lang w:val="ru-RU"/>
        </w:rPr>
      </w:pPr>
    </w:p>
    <w:p w14:paraId="0CFFD40D" w14:textId="77777777" w:rsidR="005D71F0" w:rsidRPr="00F9393E" w:rsidRDefault="005D71F0" w:rsidP="005D71F0">
      <w:pPr>
        <w:rPr>
          <w:rFonts w:ascii="Arial" w:hAnsi="Arial" w:cs="Arial"/>
          <w:b/>
          <w:sz w:val="22"/>
          <w:szCs w:val="22"/>
        </w:rPr>
      </w:pPr>
      <w:r w:rsidRPr="00F9393E">
        <w:rPr>
          <w:rFonts w:ascii="Arial" w:hAnsi="Arial" w:cs="Arial"/>
          <w:b/>
          <w:sz w:val="22"/>
          <w:szCs w:val="22"/>
        </w:rPr>
        <w:t>References</w:t>
      </w:r>
    </w:p>
    <w:p w14:paraId="0CE30518" w14:textId="77777777" w:rsidR="00A977E9" w:rsidRPr="00F9393E" w:rsidRDefault="00A977E9" w:rsidP="00A977E9">
      <w:pPr>
        <w:rPr>
          <w:rFonts w:ascii="Arial" w:hAnsi="Arial" w:cs="Arial"/>
        </w:rPr>
      </w:pPr>
    </w:p>
    <w:p w14:paraId="7EBA2D08" w14:textId="600DCFA0" w:rsidR="00A977E9" w:rsidRPr="00F9393E" w:rsidRDefault="00A977E9" w:rsidP="00A977E9">
      <w:pPr>
        <w:rPr>
          <w:rFonts w:ascii="Arial" w:hAnsi="Arial" w:cs="Arial"/>
        </w:rPr>
      </w:pPr>
      <w:proofErr w:type="spellStart"/>
      <w:r w:rsidRPr="00F9393E">
        <w:rPr>
          <w:rFonts w:ascii="Arial" w:hAnsi="Arial" w:cs="Arial"/>
        </w:rPr>
        <w:t>Wiesmeier</w:t>
      </w:r>
      <w:proofErr w:type="spellEnd"/>
      <w:r w:rsidRPr="00F9393E">
        <w:rPr>
          <w:rFonts w:ascii="Arial" w:hAnsi="Arial" w:cs="Arial"/>
        </w:rPr>
        <w:t xml:space="preserve">, M., Livia Urbanski, L., Hobley, E., Lang, B., Lutzow, M. von, Marin-Spiotta, et al. (2019). Soil organic carbon storage as a key function of soils - A review of drivers and indicators at various scales. </w:t>
      </w:r>
      <w:proofErr w:type="spellStart"/>
      <w:r w:rsidRPr="00F9393E">
        <w:rPr>
          <w:rFonts w:ascii="Arial" w:hAnsi="Arial" w:cs="Arial"/>
          <w:i/>
        </w:rPr>
        <w:t>Geoderma</w:t>
      </w:r>
      <w:proofErr w:type="spellEnd"/>
      <w:r w:rsidRPr="00F9393E">
        <w:rPr>
          <w:rFonts w:ascii="Arial" w:hAnsi="Arial" w:cs="Arial"/>
        </w:rPr>
        <w:t>, 333, 149-162. https://doi.org/10.1016/j.geoderma.2018.07.026.</w:t>
      </w:r>
    </w:p>
    <w:p w14:paraId="475E77CE" w14:textId="77777777" w:rsidR="00A977E9" w:rsidRPr="00F9393E" w:rsidRDefault="00A977E9" w:rsidP="00A977E9">
      <w:pPr>
        <w:rPr>
          <w:rFonts w:ascii="Arial" w:hAnsi="Arial" w:cs="Arial"/>
        </w:rPr>
      </w:pPr>
      <w:proofErr w:type="spellStart"/>
      <w:r w:rsidRPr="00F9393E">
        <w:rPr>
          <w:rFonts w:ascii="Arial" w:hAnsi="Arial" w:cs="Arial"/>
        </w:rPr>
        <w:t>Habtewold</w:t>
      </w:r>
      <w:proofErr w:type="spellEnd"/>
      <w:r w:rsidRPr="00F9393E">
        <w:rPr>
          <w:rFonts w:ascii="Arial" w:hAnsi="Arial" w:cs="Arial"/>
        </w:rPr>
        <w:t xml:space="preserve">, J.Z., </w:t>
      </w:r>
      <w:proofErr w:type="spellStart"/>
      <w:r w:rsidRPr="00F9393E">
        <w:rPr>
          <w:rFonts w:ascii="Arial" w:hAnsi="Arial" w:cs="Arial"/>
        </w:rPr>
        <w:t>Helgason</w:t>
      </w:r>
      <w:proofErr w:type="spellEnd"/>
      <w:r w:rsidRPr="00F9393E">
        <w:rPr>
          <w:rFonts w:ascii="Arial" w:hAnsi="Arial" w:cs="Arial"/>
        </w:rPr>
        <w:t xml:space="preserve">, B.L., Yanni, S.F., Janzen, H.H., Ellert, B.H. &amp; Gregorich, E.G. (2020). Litter composition has stronger influence on the structure of soil fungal than bacterial communities. </w:t>
      </w:r>
      <w:r w:rsidRPr="00F9393E">
        <w:rPr>
          <w:rFonts w:ascii="Arial" w:hAnsi="Arial" w:cs="Arial"/>
          <w:i/>
        </w:rPr>
        <w:t>European Journal of Soil Biology</w:t>
      </w:r>
      <w:r w:rsidRPr="00F9393E">
        <w:rPr>
          <w:rFonts w:ascii="Arial" w:hAnsi="Arial" w:cs="Arial"/>
        </w:rPr>
        <w:t>, 98, 103190. https://doi.org/10.1016/j.ejsobi. 2020.103190.</w:t>
      </w:r>
    </w:p>
    <w:p w14:paraId="0E26E2E5" w14:textId="77777777" w:rsidR="00A977E9" w:rsidRPr="00F9393E" w:rsidRDefault="00A977E9" w:rsidP="00A977E9">
      <w:pPr>
        <w:rPr>
          <w:rFonts w:ascii="Arial" w:hAnsi="Arial" w:cs="Arial"/>
        </w:rPr>
      </w:pPr>
      <w:r w:rsidRPr="00F9393E">
        <w:rPr>
          <w:rFonts w:ascii="Arial" w:hAnsi="Arial" w:cs="Arial"/>
        </w:rPr>
        <w:t xml:space="preserve">Wang, X., Zhang, W., Shao, Y., Zhao, J., Zhou, L., Zou, X. et al. (2019). Fungi to bacteria ratio: Historical misinterpretations and potential implications. </w:t>
      </w:r>
      <w:r w:rsidRPr="00F9393E">
        <w:rPr>
          <w:rFonts w:ascii="Arial" w:hAnsi="Arial" w:cs="Arial"/>
          <w:i/>
        </w:rPr>
        <w:t xml:space="preserve">Acta </w:t>
      </w:r>
      <w:proofErr w:type="spellStart"/>
      <w:r w:rsidRPr="00F9393E">
        <w:rPr>
          <w:rFonts w:ascii="Arial" w:hAnsi="Arial" w:cs="Arial"/>
          <w:i/>
        </w:rPr>
        <w:t>Oecologica</w:t>
      </w:r>
      <w:proofErr w:type="spellEnd"/>
      <w:r w:rsidRPr="00F9393E">
        <w:rPr>
          <w:rFonts w:ascii="Arial" w:hAnsi="Arial" w:cs="Arial"/>
        </w:rPr>
        <w:t xml:space="preserve">, 95, 1–11. https://doi.org/10.1016/j.actao.2018.10.003. </w:t>
      </w:r>
    </w:p>
    <w:p w14:paraId="04DB227E" w14:textId="77777777" w:rsidR="00A977E9" w:rsidRPr="00F9393E" w:rsidRDefault="00A977E9" w:rsidP="00A977E9">
      <w:pPr>
        <w:rPr>
          <w:rFonts w:ascii="Arial" w:hAnsi="Arial" w:cs="Arial"/>
        </w:rPr>
      </w:pPr>
      <w:proofErr w:type="spellStart"/>
      <w:r w:rsidRPr="00F9393E">
        <w:rPr>
          <w:rFonts w:ascii="Arial" w:hAnsi="Arial" w:cs="Arial"/>
        </w:rPr>
        <w:t>Gorbov</w:t>
      </w:r>
      <w:proofErr w:type="spellEnd"/>
      <w:r w:rsidRPr="00F9393E">
        <w:rPr>
          <w:rFonts w:ascii="Arial" w:hAnsi="Arial" w:cs="Arial"/>
        </w:rPr>
        <w:t xml:space="preserve">, S.N., </w:t>
      </w:r>
      <w:proofErr w:type="spellStart"/>
      <w:r w:rsidRPr="00F9393E">
        <w:rPr>
          <w:rFonts w:ascii="Arial" w:hAnsi="Arial" w:cs="Arial"/>
        </w:rPr>
        <w:t>Gorovtsov</w:t>
      </w:r>
      <w:proofErr w:type="spellEnd"/>
      <w:r w:rsidRPr="00F9393E">
        <w:rPr>
          <w:rFonts w:ascii="Arial" w:hAnsi="Arial" w:cs="Arial"/>
        </w:rPr>
        <w:t xml:space="preserve">, A.V., </w:t>
      </w:r>
      <w:proofErr w:type="spellStart"/>
      <w:r w:rsidRPr="00F9393E">
        <w:rPr>
          <w:rFonts w:ascii="Arial" w:hAnsi="Arial" w:cs="Arial"/>
        </w:rPr>
        <w:t>Bezuglova</w:t>
      </w:r>
      <w:proofErr w:type="spellEnd"/>
      <w:r w:rsidRPr="00F9393E">
        <w:rPr>
          <w:rFonts w:ascii="Arial" w:hAnsi="Arial" w:cs="Arial"/>
        </w:rPr>
        <w:t xml:space="preserve">, O.S., </w:t>
      </w:r>
      <w:proofErr w:type="spellStart"/>
      <w:r w:rsidRPr="00F9393E">
        <w:rPr>
          <w:rFonts w:ascii="Arial" w:hAnsi="Arial" w:cs="Arial"/>
        </w:rPr>
        <w:t>Varduni</w:t>
      </w:r>
      <w:proofErr w:type="spellEnd"/>
      <w:r w:rsidRPr="00F9393E">
        <w:rPr>
          <w:rFonts w:ascii="Arial" w:hAnsi="Arial" w:cs="Arial"/>
        </w:rPr>
        <w:t xml:space="preserve">, T.V. &amp; </w:t>
      </w:r>
      <w:proofErr w:type="spellStart"/>
      <w:r w:rsidRPr="00F9393E">
        <w:rPr>
          <w:rFonts w:ascii="Arial" w:hAnsi="Arial" w:cs="Arial"/>
        </w:rPr>
        <w:t>Tagiverdiev</w:t>
      </w:r>
      <w:proofErr w:type="spellEnd"/>
      <w:r w:rsidRPr="00F9393E">
        <w:rPr>
          <w:rFonts w:ascii="Arial" w:hAnsi="Arial" w:cs="Arial"/>
        </w:rPr>
        <w:t xml:space="preserve"> S.S. (2016). Biological activity of sealed soils of Rostov-on-Don. Bulletin of the Samara Scientific Center of the Russian Academy of Sciences, 18, 2(2), 331–336. </w:t>
      </w:r>
    </w:p>
    <w:p w14:paraId="65C6F132" w14:textId="77777777" w:rsidR="00A977E9" w:rsidRPr="00F9393E" w:rsidRDefault="00A977E9" w:rsidP="00A977E9">
      <w:pPr>
        <w:rPr>
          <w:rFonts w:ascii="Arial" w:hAnsi="Arial" w:cs="Arial"/>
        </w:rPr>
      </w:pPr>
      <w:proofErr w:type="spellStart"/>
      <w:r w:rsidRPr="00F9393E">
        <w:rPr>
          <w:rFonts w:ascii="Arial" w:hAnsi="Arial" w:cs="Arial"/>
        </w:rPr>
        <w:t>Loeppmann</w:t>
      </w:r>
      <w:proofErr w:type="spellEnd"/>
      <w:r w:rsidRPr="00F9393E">
        <w:rPr>
          <w:rFonts w:ascii="Arial" w:hAnsi="Arial" w:cs="Arial"/>
        </w:rPr>
        <w:t xml:space="preserve">, S., Semenov, M., </w:t>
      </w:r>
      <w:proofErr w:type="spellStart"/>
      <w:r w:rsidRPr="00F9393E">
        <w:rPr>
          <w:rFonts w:ascii="Arial" w:hAnsi="Arial" w:cs="Arial"/>
        </w:rPr>
        <w:t>Kuzyakov</w:t>
      </w:r>
      <w:proofErr w:type="spellEnd"/>
      <w:r w:rsidRPr="00F9393E">
        <w:rPr>
          <w:rFonts w:ascii="Arial" w:hAnsi="Arial" w:cs="Arial"/>
        </w:rPr>
        <w:t xml:space="preserve">, Y. &amp; </w:t>
      </w:r>
      <w:proofErr w:type="spellStart"/>
      <w:r w:rsidRPr="00F9393E">
        <w:rPr>
          <w:rFonts w:ascii="Arial" w:hAnsi="Arial" w:cs="Arial"/>
        </w:rPr>
        <w:t>Blagodatskaya</w:t>
      </w:r>
      <w:proofErr w:type="spellEnd"/>
      <w:r w:rsidRPr="00F9393E">
        <w:rPr>
          <w:rFonts w:ascii="Arial" w:hAnsi="Arial" w:cs="Arial"/>
        </w:rPr>
        <w:t xml:space="preserve">, E. (2018). Shift from dormancy to microbial growth revealed by RNA:DNA ratio. </w:t>
      </w:r>
      <w:r w:rsidRPr="00F9393E">
        <w:rPr>
          <w:rFonts w:ascii="Arial" w:hAnsi="Arial" w:cs="Arial"/>
          <w:i/>
        </w:rPr>
        <w:t>Ecological Indicators</w:t>
      </w:r>
      <w:r w:rsidRPr="00F9393E">
        <w:rPr>
          <w:rFonts w:ascii="Arial" w:hAnsi="Arial" w:cs="Arial"/>
        </w:rPr>
        <w:t>, 85, 603-612. https://doi.org/10.1016/j.ecolind.2017.11.020.</w:t>
      </w:r>
    </w:p>
    <w:p w14:paraId="1C1FF890" w14:textId="77777777" w:rsidR="00A977E9" w:rsidRPr="00F9393E" w:rsidRDefault="00A977E9" w:rsidP="00A977E9">
      <w:pPr>
        <w:rPr>
          <w:rFonts w:ascii="Arial" w:hAnsi="Arial" w:cs="Arial"/>
        </w:rPr>
      </w:pPr>
      <w:proofErr w:type="spellStart"/>
      <w:r w:rsidRPr="00F9393E">
        <w:rPr>
          <w:rFonts w:ascii="Arial" w:hAnsi="Arial" w:cs="Arial"/>
        </w:rPr>
        <w:t>Fierer</w:t>
      </w:r>
      <w:proofErr w:type="spellEnd"/>
      <w:r w:rsidRPr="00F9393E">
        <w:rPr>
          <w:rFonts w:ascii="Arial" w:hAnsi="Arial" w:cs="Arial"/>
        </w:rPr>
        <w:t xml:space="preserve">, N. &amp; Jackson, R.B. (2006). The diversity and biogeography of soil bacterial communities. </w:t>
      </w:r>
      <w:r w:rsidRPr="00F9393E">
        <w:rPr>
          <w:rFonts w:ascii="Arial" w:hAnsi="Arial" w:cs="Arial"/>
          <w:i/>
        </w:rPr>
        <w:t>Proceedings of the National Academy of Sciences of the United States of America</w:t>
      </w:r>
      <w:r w:rsidRPr="00F9393E">
        <w:rPr>
          <w:rFonts w:ascii="Arial" w:hAnsi="Arial" w:cs="Arial"/>
        </w:rPr>
        <w:t xml:space="preserve">, 118(15), e2024192118. https://doi.org/10.1073/pnas.0507535103. </w:t>
      </w:r>
    </w:p>
    <w:p w14:paraId="118F6749" w14:textId="77777777" w:rsidR="00A977E9" w:rsidRPr="00F9393E" w:rsidRDefault="00A977E9" w:rsidP="00A977E9">
      <w:pPr>
        <w:rPr>
          <w:rFonts w:ascii="Arial" w:hAnsi="Arial" w:cs="Arial"/>
        </w:rPr>
      </w:pPr>
      <w:proofErr w:type="spellStart"/>
      <w:r w:rsidRPr="00F9393E">
        <w:rPr>
          <w:rFonts w:ascii="Arial" w:hAnsi="Arial" w:cs="Arial"/>
        </w:rPr>
        <w:t>Zaynitdinova</w:t>
      </w:r>
      <w:proofErr w:type="spellEnd"/>
      <w:r w:rsidRPr="00F9393E">
        <w:rPr>
          <w:rFonts w:ascii="Arial" w:hAnsi="Arial" w:cs="Arial"/>
        </w:rPr>
        <w:t xml:space="preserve">, L.I., </w:t>
      </w:r>
      <w:proofErr w:type="spellStart"/>
      <w:r w:rsidRPr="00F9393E">
        <w:rPr>
          <w:rFonts w:ascii="Arial" w:hAnsi="Arial" w:cs="Arial"/>
        </w:rPr>
        <w:t>Juraeva</w:t>
      </w:r>
      <w:proofErr w:type="spellEnd"/>
      <w:r w:rsidRPr="00F9393E">
        <w:rPr>
          <w:rFonts w:ascii="Arial" w:hAnsi="Arial" w:cs="Arial"/>
        </w:rPr>
        <w:t xml:space="preserve">, R.N., </w:t>
      </w:r>
      <w:proofErr w:type="spellStart"/>
      <w:r w:rsidRPr="00F9393E">
        <w:rPr>
          <w:rFonts w:ascii="Arial" w:hAnsi="Arial" w:cs="Arial"/>
        </w:rPr>
        <w:t>Lazutin</w:t>
      </w:r>
      <w:proofErr w:type="spellEnd"/>
      <w:r w:rsidRPr="00F9393E">
        <w:rPr>
          <w:rFonts w:ascii="Arial" w:hAnsi="Arial" w:cs="Arial"/>
        </w:rPr>
        <w:t xml:space="preserve">, N.A., </w:t>
      </w:r>
      <w:proofErr w:type="spellStart"/>
      <w:r w:rsidRPr="00F9393E">
        <w:rPr>
          <w:rFonts w:ascii="Arial" w:hAnsi="Arial" w:cs="Arial"/>
        </w:rPr>
        <w:t>Mavjudova</w:t>
      </w:r>
      <w:proofErr w:type="spellEnd"/>
      <w:r w:rsidRPr="00F9393E">
        <w:rPr>
          <w:rFonts w:ascii="Arial" w:hAnsi="Arial" w:cs="Arial"/>
        </w:rPr>
        <w:t xml:space="preserve">, A.M., </w:t>
      </w:r>
      <w:proofErr w:type="spellStart"/>
      <w:r w:rsidRPr="00F9393E">
        <w:rPr>
          <w:rFonts w:ascii="Arial" w:hAnsi="Arial" w:cs="Arial"/>
        </w:rPr>
        <w:t>Bekmukhamedova</w:t>
      </w:r>
      <w:proofErr w:type="spellEnd"/>
      <w:r w:rsidRPr="00F9393E">
        <w:rPr>
          <w:rFonts w:ascii="Arial" w:hAnsi="Arial" w:cs="Arial"/>
        </w:rPr>
        <w:t xml:space="preserve">, N.K. &amp; </w:t>
      </w:r>
      <w:proofErr w:type="spellStart"/>
      <w:r w:rsidRPr="00F9393E">
        <w:rPr>
          <w:rFonts w:ascii="Arial" w:hAnsi="Arial" w:cs="Arial"/>
        </w:rPr>
        <w:t>Ergashev</w:t>
      </w:r>
      <w:proofErr w:type="spellEnd"/>
      <w:r w:rsidRPr="00F9393E">
        <w:rPr>
          <w:rFonts w:ascii="Arial" w:hAnsi="Arial" w:cs="Arial"/>
        </w:rPr>
        <w:t xml:space="preserve">, R.B. (2022). </w:t>
      </w:r>
      <w:proofErr w:type="spellStart"/>
      <w:r w:rsidRPr="00F9393E">
        <w:rPr>
          <w:rFonts w:ascii="Arial" w:hAnsi="Arial" w:cs="Arial"/>
        </w:rPr>
        <w:t>Microbiocenosis</w:t>
      </w:r>
      <w:proofErr w:type="spellEnd"/>
      <w:r w:rsidRPr="00F9393E">
        <w:rPr>
          <w:rFonts w:ascii="Arial" w:hAnsi="Arial" w:cs="Arial"/>
        </w:rPr>
        <w:t xml:space="preserve"> of anthropogenically transformed soils. </w:t>
      </w:r>
      <w:r w:rsidRPr="00F9393E">
        <w:rPr>
          <w:rFonts w:ascii="Arial" w:hAnsi="Arial" w:cs="Arial"/>
          <w:i/>
        </w:rPr>
        <w:t>Proceedings of the Pakistan Academy of Sciences: Part B Life and Environmental Sciences</w:t>
      </w:r>
      <w:r w:rsidRPr="00F9393E">
        <w:rPr>
          <w:rFonts w:ascii="Arial" w:hAnsi="Arial" w:cs="Arial"/>
        </w:rPr>
        <w:t xml:space="preserve">, 59(4), 15-23. http://doi.org/10.53560/PPASB(59-4)722.   </w:t>
      </w:r>
    </w:p>
    <w:p w14:paraId="457A0D1F" w14:textId="77777777" w:rsidR="00A977E9" w:rsidRPr="00F9393E" w:rsidRDefault="00A977E9" w:rsidP="00A977E9">
      <w:pPr>
        <w:rPr>
          <w:rFonts w:ascii="Arial" w:hAnsi="Arial" w:cs="Arial"/>
        </w:rPr>
      </w:pPr>
      <w:proofErr w:type="spellStart"/>
      <w:r w:rsidRPr="00F9393E">
        <w:rPr>
          <w:rFonts w:ascii="Arial" w:hAnsi="Arial" w:cs="Arial"/>
        </w:rPr>
        <w:t>Gorovtsov</w:t>
      </w:r>
      <w:proofErr w:type="spellEnd"/>
      <w:r w:rsidRPr="00F9393E">
        <w:rPr>
          <w:rFonts w:ascii="Arial" w:hAnsi="Arial" w:cs="Arial"/>
        </w:rPr>
        <w:t xml:space="preserve">, A.V., Rajput, V.D., </w:t>
      </w:r>
      <w:proofErr w:type="spellStart"/>
      <w:r w:rsidRPr="00F9393E">
        <w:rPr>
          <w:rFonts w:ascii="Arial" w:hAnsi="Arial" w:cs="Arial"/>
        </w:rPr>
        <w:t>Pulikova</w:t>
      </w:r>
      <w:proofErr w:type="spellEnd"/>
      <w:r w:rsidRPr="00F9393E">
        <w:rPr>
          <w:rFonts w:ascii="Arial" w:hAnsi="Arial" w:cs="Arial"/>
        </w:rPr>
        <w:t xml:space="preserve">, E., Gerasimenko, A., Ivanov, F., Vasilchenko, N.G. et al. (2020). Soil microbial communities in urban environment. In Advances in environmental research, 76. Nova Science Publisher, USA. </w:t>
      </w:r>
    </w:p>
    <w:p w14:paraId="7656418A" w14:textId="77777777" w:rsidR="00A977E9" w:rsidRPr="00F9393E" w:rsidRDefault="00A977E9" w:rsidP="00A977E9">
      <w:pPr>
        <w:rPr>
          <w:rFonts w:ascii="Arial" w:hAnsi="Arial" w:cs="Arial"/>
        </w:rPr>
      </w:pPr>
      <w:proofErr w:type="spellStart"/>
      <w:r w:rsidRPr="00F9393E">
        <w:rPr>
          <w:rFonts w:ascii="Arial" w:hAnsi="Arial" w:cs="Arial"/>
        </w:rPr>
        <w:t>Chernov</w:t>
      </w:r>
      <w:proofErr w:type="spellEnd"/>
      <w:r w:rsidRPr="00F9393E">
        <w:rPr>
          <w:rFonts w:ascii="Arial" w:hAnsi="Arial" w:cs="Arial"/>
        </w:rPr>
        <w:t xml:space="preserve">, T.I., &amp; </w:t>
      </w:r>
      <w:proofErr w:type="spellStart"/>
      <w:r w:rsidRPr="00F9393E">
        <w:rPr>
          <w:rFonts w:ascii="Arial" w:hAnsi="Arial" w:cs="Arial"/>
        </w:rPr>
        <w:t>Zhelezova</w:t>
      </w:r>
      <w:proofErr w:type="spellEnd"/>
      <w:r w:rsidRPr="00F9393E">
        <w:rPr>
          <w:rFonts w:ascii="Arial" w:hAnsi="Arial" w:cs="Arial"/>
        </w:rPr>
        <w:t xml:space="preserve"> A.D. (2020). The dynamics of soil microbial communities in different timescales: A review. </w:t>
      </w:r>
      <w:r w:rsidRPr="00F9393E">
        <w:rPr>
          <w:rFonts w:ascii="Arial" w:hAnsi="Arial" w:cs="Arial"/>
          <w:i/>
        </w:rPr>
        <w:t>Eurasian Soil Science</w:t>
      </w:r>
      <w:r w:rsidRPr="00F9393E">
        <w:rPr>
          <w:rFonts w:ascii="Arial" w:hAnsi="Arial" w:cs="Arial"/>
        </w:rPr>
        <w:t xml:space="preserve">, 53(5), 590–600. https://doi.org/10.1134/S106422932005004X.  </w:t>
      </w:r>
    </w:p>
    <w:p w14:paraId="661D3ED2" w14:textId="77777777" w:rsidR="00A977E9" w:rsidRPr="00F9393E" w:rsidRDefault="00A977E9" w:rsidP="00A977E9">
      <w:pPr>
        <w:rPr>
          <w:rFonts w:ascii="Arial" w:hAnsi="Arial" w:cs="Arial"/>
        </w:rPr>
      </w:pPr>
      <w:r w:rsidRPr="00F9393E">
        <w:rPr>
          <w:rFonts w:ascii="Arial" w:hAnsi="Arial" w:cs="Arial"/>
        </w:rPr>
        <w:t xml:space="preserve">Zhao, C., Miao, Y., Yu, C., Zhu, L., Wang, F., Jiang, L., et al. (2016). Soil microbial community composition and respiration along an experimental precipitation gradient in a semiarid steppe. </w:t>
      </w:r>
      <w:r w:rsidRPr="00F9393E">
        <w:rPr>
          <w:rFonts w:ascii="Arial" w:hAnsi="Arial" w:cs="Arial"/>
          <w:i/>
        </w:rPr>
        <w:t>Scientific Reports,</w:t>
      </w:r>
      <w:r w:rsidRPr="00F9393E">
        <w:rPr>
          <w:rFonts w:ascii="Arial" w:hAnsi="Arial" w:cs="Arial"/>
        </w:rPr>
        <w:t xml:space="preserve"> 6, 24317. https://doi.org/10.1038/srep24317 </w:t>
      </w:r>
    </w:p>
    <w:p w14:paraId="0AFFE984" w14:textId="77777777" w:rsidR="00A977E9" w:rsidRPr="00F9393E" w:rsidRDefault="00A977E9" w:rsidP="00A977E9">
      <w:pPr>
        <w:rPr>
          <w:rFonts w:ascii="Arial" w:hAnsi="Arial" w:cs="Arial"/>
        </w:rPr>
      </w:pPr>
      <w:r w:rsidRPr="00F9393E">
        <w:rPr>
          <w:rFonts w:ascii="Arial" w:hAnsi="Arial" w:cs="Arial"/>
        </w:rPr>
        <w:t>Tate, K.R., Ross, D.J., O'Brien, B.J. &amp; Kelliher F.M. (1993). Carbon storage and turnover, and respiratory activity, in the litter and soil of an old-growth southern beech (</w:t>
      </w:r>
      <w:proofErr w:type="spellStart"/>
      <w:r w:rsidRPr="00F9393E">
        <w:rPr>
          <w:rFonts w:ascii="Arial" w:hAnsi="Arial" w:cs="Arial"/>
        </w:rPr>
        <w:t>Nothofagus</w:t>
      </w:r>
      <w:proofErr w:type="spellEnd"/>
      <w:r w:rsidRPr="00F9393E">
        <w:rPr>
          <w:rFonts w:ascii="Arial" w:hAnsi="Arial" w:cs="Arial"/>
        </w:rPr>
        <w:t xml:space="preserve">) forest. </w:t>
      </w:r>
      <w:r w:rsidRPr="00F9393E">
        <w:rPr>
          <w:rFonts w:ascii="Arial" w:hAnsi="Arial" w:cs="Arial"/>
          <w:i/>
        </w:rPr>
        <w:t>Soil biology &amp; biochemistry</w:t>
      </w:r>
      <w:r w:rsidRPr="00F9393E">
        <w:rPr>
          <w:rFonts w:ascii="Arial" w:hAnsi="Arial" w:cs="Arial"/>
        </w:rPr>
        <w:t xml:space="preserve">, 25, 1601-1612. https://doi.org/10.1016/0038-0717(93)90016-5. </w:t>
      </w:r>
    </w:p>
    <w:p w14:paraId="16AE1DA9" w14:textId="77777777" w:rsidR="00A977E9" w:rsidRPr="00F9393E" w:rsidRDefault="00A977E9" w:rsidP="00A977E9">
      <w:pPr>
        <w:rPr>
          <w:rFonts w:ascii="Arial" w:hAnsi="Arial" w:cs="Arial"/>
        </w:rPr>
      </w:pPr>
      <w:r w:rsidRPr="00F9393E">
        <w:rPr>
          <w:rFonts w:ascii="Arial" w:hAnsi="Arial" w:cs="Arial"/>
        </w:rPr>
        <w:t xml:space="preserve">Evdokimov, I.V., Larionova, A.A., Schmitt, M., Lopez de </w:t>
      </w:r>
      <w:proofErr w:type="spellStart"/>
      <w:r w:rsidRPr="00F9393E">
        <w:rPr>
          <w:rFonts w:ascii="Arial" w:hAnsi="Arial" w:cs="Arial"/>
        </w:rPr>
        <w:t>Guerenu</w:t>
      </w:r>
      <w:proofErr w:type="spellEnd"/>
      <w:r w:rsidRPr="00F9393E">
        <w:rPr>
          <w:rFonts w:ascii="Arial" w:hAnsi="Arial" w:cs="Arial"/>
        </w:rPr>
        <w:t xml:space="preserve">, V.O. &amp; Ban M. (2010). Determination of the contribution of plant root respiration to CO2 emission from soil by the substrate-induced respiration method. </w:t>
      </w:r>
      <w:r w:rsidRPr="00F9393E">
        <w:rPr>
          <w:rFonts w:ascii="Arial" w:hAnsi="Arial" w:cs="Arial"/>
          <w:i/>
        </w:rPr>
        <w:t>Soil Science</w:t>
      </w:r>
      <w:r w:rsidRPr="00F9393E">
        <w:rPr>
          <w:rFonts w:ascii="Arial" w:hAnsi="Arial" w:cs="Arial"/>
        </w:rPr>
        <w:t xml:space="preserve">, 3, 349-355. </w:t>
      </w:r>
    </w:p>
    <w:p w14:paraId="30B4926B" w14:textId="77777777" w:rsidR="00A977E9" w:rsidRPr="00F9393E" w:rsidRDefault="00A977E9" w:rsidP="00A977E9">
      <w:pPr>
        <w:rPr>
          <w:rFonts w:ascii="Arial" w:hAnsi="Arial" w:cs="Arial"/>
        </w:rPr>
      </w:pPr>
      <w:proofErr w:type="spellStart"/>
      <w:r w:rsidRPr="00F9393E">
        <w:rPr>
          <w:rFonts w:ascii="Arial" w:hAnsi="Arial" w:cs="Arial"/>
        </w:rPr>
        <w:t>Zibilske</w:t>
      </w:r>
      <w:proofErr w:type="spellEnd"/>
      <w:r w:rsidRPr="00F9393E">
        <w:rPr>
          <w:rFonts w:ascii="Arial" w:hAnsi="Arial" w:cs="Arial"/>
        </w:rPr>
        <w:t xml:space="preserve">, L.M. (1994). Methods of soil analysis. Part 2 Microbiological and biochemical properties: Carbon mineralization. </w:t>
      </w:r>
      <w:r w:rsidRPr="00F9393E">
        <w:rPr>
          <w:rFonts w:ascii="Arial" w:hAnsi="Arial" w:cs="Arial"/>
          <w:i/>
        </w:rPr>
        <w:t>Soil Science Society of America</w:t>
      </w:r>
      <w:r w:rsidRPr="00F9393E">
        <w:rPr>
          <w:rFonts w:ascii="Arial" w:hAnsi="Arial" w:cs="Arial"/>
        </w:rPr>
        <w:t>, 835-863.</w:t>
      </w:r>
    </w:p>
    <w:p w14:paraId="1A61EB4A" w14:textId="77777777" w:rsidR="00A977E9" w:rsidRPr="00F9393E" w:rsidRDefault="00A977E9" w:rsidP="00A977E9">
      <w:pPr>
        <w:rPr>
          <w:rFonts w:ascii="Arial" w:hAnsi="Arial" w:cs="Arial"/>
        </w:rPr>
      </w:pPr>
      <w:r w:rsidRPr="00F9393E">
        <w:rPr>
          <w:rFonts w:ascii="Arial" w:hAnsi="Arial" w:cs="Arial"/>
        </w:rPr>
        <w:t xml:space="preserve">Alef, K. &amp; </w:t>
      </w:r>
      <w:proofErr w:type="spellStart"/>
      <w:r w:rsidRPr="00F9393E">
        <w:rPr>
          <w:rFonts w:ascii="Arial" w:hAnsi="Arial" w:cs="Arial"/>
        </w:rPr>
        <w:t>Nannipieri</w:t>
      </w:r>
      <w:proofErr w:type="spellEnd"/>
      <w:r w:rsidRPr="00F9393E">
        <w:rPr>
          <w:rFonts w:ascii="Arial" w:hAnsi="Arial" w:cs="Arial"/>
        </w:rPr>
        <w:t>, P. (1995). Methods in applied soil microbiology and biochemistry: Soil respiration. Academic Press Inc, San Diego, USA, 214-218.</w:t>
      </w:r>
    </w:p>
    <w:p w14:paraId="398C363F" w14:textId="77777777" w:rsidR="00A977E9" w:rsidRPr="00F9393E" w:rsidRDefault="00A977E9" w:rsidP="00A977E9">
      <w:pPr>
        <w:rPr>
          <w:rFonts w:ascii="Arial" w:hAnsi="Arial" w:cs="Arial"/>
        </w:rPr>
      </w:pPr>
      <w:r w:rsidRPr="00F9393E">
        <w:rPr>
          <w:rFonts w:ascii="Arial" w:hAnsi="Arial" w:cs="Arial"/>
        </w:rPr>
        <w:lastRenderedPageBreak/>
        <w:t xml:space="preserve">Szili-Kovács, T. &amp; Takács, T. (2024). Microbial Biomass and Rhizosphere Soil Properties in Response to Heavy Metal-Contaminated Flooding. </w:t>
      </w:r>
      <w:r w:rsidRPr="00F9393E">
        <w:rPr>
          <w:rFonts w:ascii="Arial" w:hAnsi="Arial" w:cs="Arial"/>
          <w:i/>
        </w:rPr>
        <w:t>Agriculture</w:t>
      </w:r>
      <w:r w:rsidRPr="00F9393E">
        <w:rPr>
          <w:rFonts w:ascii="Arial" w:hAnsi="Arial" w:cs="Arial"/>
        </w:rPr>
        <w:t xml:space="preserve">, 14(5), 756. https://doi.org/10.3390/agriculture14050756. </w:t>
      </w:r>
    </w:p>
    <w:p w14:paraId="5309E9D9" w14:textId="77777777" w:rsidR="00A977E9" w:rsidRPr="00F9393E" w:rsidRDefault="00A977E9" w:rsidP="00A977E9">
      <w:pPr>
        <w:rPr>
          <w:rFonts w:ascii="Arial" w:hAnsi="Arial" w:cs="Arial"/>
        </w:rPr>
      </w:pPr>
      <w:r w:rsidRPr="00F9393E">
        <w:rPr>
          <w:rFonts w:ascii="Arial" w:hAnsi="Arial" w:cs="Arial"/>
        </w:rPr>
        <w:t xml:space="preserve">Wang, W., Zhang, Y., Ma, </w:t>
      </w:r>
      <w:proofErr w:type="spellStart"/>
      <w:r w:rsidRPr="00F9393E">
        <w:rPr>
          <w:rFonts w:ascii="Arial" w:hAnsi="Arial" w:cs="Arial"/>
        </w:rPr>
        <w:t>Zh</w:t>
      </w:r>
      <w:proofErr w:type="spellEnd"/>
      <w:r w:rsidRPr="00F9393E">
        <w:rPr>
          <w:rFonts w:ascii="Arial" w:hAnsi="Arial" w:cs="Arial"/>
        </w:rPr>
        <w:t xml:space="preserve">. &amp; Chen, P. (2014). Basal respiration influence factors of petroleum polluted soil. </w:t>
      </w:r>
      <w:r w:rsidRPr="00F9393E">
        <w:rPr>
          <w:rFonts w:ascii="Arial" w:hAnsi="Arial" w:cs="Arial"/>
          <w:i/>
        </w:rPr>
        <w:t>Science and Technology Review</w:t>
      </w:r>
      <w:r w:rsidRPr="00F9393E">
        <w:rPr>
          <w:rFonts w:ascii="Arial" w:hAnsi="Arial" w:cs="Arial"/>
        </w:rPr>
        <w:t>, 32(7), 67-70. https://doi.org/10.3981/j.issn.1000-7857.2014.07.010.</w:t>
      </w:r>
    </w:p>
    <w:p w14:paraId="3E5D174D" w14:textId="77777777" w:rsidR="00A977E9" w:rsidRPr="00F9393E" w:rsidRDefault="00A977E9" w:rsidP="00A977E9">
      <w:pPr>
        <w:rPr>
          <w:rFonts w:ascii="Arial" w:hAnsi="Arial" w:cs="Arial"/>
        </w:rPr>
      </w:pPr>
      <w:r w:rsidRPr="00F9393E">
        <w:rPr>
          <w:rFonts w:ascii="Arial" w:hAnsi="Arial" w:cs="Arial"/>
        </w:rPr>
        <w:t>Nielsen, M.N. &amp; Winding, A. (2002). Microorganisms as indicators of soil health. National environmental research institute. Technical report No. 388, Denmark.</w:t>
      </w:r>
    </w:p>
    <w:p w14:paraId="1453CD47" w14:textId="77777777" w:rsidR="00A977E9" w:rsidRPr="00F9393E" w:rsidRDefault="00A977E9" w:rsidP="00A977E9">
      <w:pPr>
        <w:rPr>
          <w:rFonts w:ascii="Arial" w:hAnsi="Arial" w:cs="Arial"/>
        </w:rPr>
      </w:pPr>
      <w:r w:rsidRPr="00F9393E">
        <w:rPr>
          <w:rFonts w:ascii="Arial" w:hAnsi="Arial" w:cs="Arial"/>
        </w:rPr>
        <w:t xml:space="preserve">Karvinen, E., Backman, L., Järvi, L., Kulmala, L. (2024). Soil respiration across a variety of tree-covered urban green spaces in Helsinki, Finland. </w:t>
      </w:r>
      <w:r w:rsidRPr="00F9393E">
        <w:rPr>
          <w:rFonts w:ascii="Arial" w:hAnsi="Arial" w:cs="Arial"/>
          <w:i/>
        </w:rPr>
        <w:t>Soil</w:t>
      </w:r>
      <w:r w:rsidRPr="00F9393E">
        <w:rPr>
          <w:rFonts w:ascii="Arial" w:hAnsi="Arial" w:cs="Arial"/>
        </w:rPr>
        <w:t xml:space="preserve">, 10, 381–406. https://doi.org/10.5194/soil-10-381-2024. </w:t>
      </w:r>
    </w:p>
    <w:p w14:paraId="6DF6CA46" w14:textId="77777777" w:rsidR="00A977E9" w:rsidRPr="00F9393E" w:rsidRDefault="00A977E9" w:rsidP="00A977E9">
      <w:pPr>
        <w:rPr>
          <w:rFonts w:ascii="Arial" w:hAnsi="Arial" w:cs="Arial"/>
        </w:rPr>
      </w:pPr>
      <w:r w:rsidRPr="00F9393E">
        <w:rPr>
          <w:rFonts w:ascii="Arial" w:hAnsi="Arial" w:cs="Arial"/>
        </w:rPr>
        <w:t xml:space="preserve">Guo, </w:t>
      </w:r>
      <w:proofErr w:type="spellStart"/>
      <w:r w:rsidRPr="00F9393E">
        <w:rPr>
          <w:rFonts w:ascii="Arial" w:hAnsi="Arial" w:cs="Arial"/>
        </w:rPr>
        <w:t>Zh</w:t>
      </w:r>
      <w:proofErr w:type="spellEnd"/>
      <w:r w:rsidRPr="00F9393E">
        <w:rPr>
          <w:rFonts w:ascii="Arial" w:hAnsi="Arial" w:cs="Arial"/>
        </w:rPr>
        <w:t xml:space="preserve">., Liu, C.-A., Hua, K., Wang, D., Wan, Sh., He, Ch. et al. (2022). Temporal variation of management effects on soil microbial communities. </w:t>
      </w:r>
      <w:proofErr w:type="spellStart"/>
      <w:r w:rsidRPr="00F9393E">
        <w:rPr>
          <w:rFonts w:ascii="Arial" w:hAnsi="Arial" w:cs="Arial"/>
          <w:i/>
        </w:rPr>
        <w:t>Geoderma</w:t>
      </w:r>
      <w:proofErr w:type="spellEnd"/>
      <w:r w:rsidRPr="00F9393E">
        <w:rPr>
          <w:rFonts w:ascii="Arial" w:hAnsi="Arial" w:cs="Arial"/>
        </w:rPr>
        <w:t xml:space="preserve">, 418: 115828. https://doi.org/10.1016/j.geoderma.2022.115828.  </w:t>
      </w:r>
    </w:p>
    <w:p w14:paraId="2FBAC316" w14:textId="77777777" w:rsidR="00A977E9" w:rsidRPr="00F9393E" w:rsidRDefault="00A977E9" w:rsidP="00A977E9">
      <w:pPr>
        <w:rPr>
          <w:rFonts w:ascii="Arial" w:hAnsi="Arial" w:cs="Arial"/>
        </w:rPr>
      </w:pPr>
      <w:r w:rsidRPr="00F9393E">
        <w:rPr>
          <w:rFonts w:ascii="Arial" w:hAnsi="Arial" w:cs="Arial"/>
        </w:rPr>
        <w:t xml:space="preserve">Landesman, W.J., Freedman, Z.B. &amp; Nelson, D.M. (2019). Seasonal, sub-seasonal and diurnal variation of soil bacterial community composition in a temperate deciduous forest. </w:t>
      </w:r>
      <w:r w:rsidRPr="00F9393E">
        <w:rPr>
          <w:rFonts w:ascii="Arial" w:hAnsi="Arial" w:cs="Arial"/>
          <w:i/>
        </w:rPr>
        <w:t>FEMS microbiology ecology</w:t>
      </w:r>
      <w:r w:rsidRPr="00F9393E">
        <w:rPr>
          <w:rFonts w:ascii="Arial" w:hAnsi="Arial" w:cs="Arial"/>
        </w:rPr>
        <w:t xml:space="preserve">, 95(2), fiz002. https://doi.org/10.1093/femsec/fiz002. </w:t>
      </w:r>
    </w:p>
    <w:p w14:paraId="2ADAECF3" w14:textId="77777777" w:rsidR="00A977E9" w:rsidRPr="00F9393E" w:rsidRDefault="00A977E9" w:rsidP="00A977E9">
      <w:pPr>
        <w:rPr>
          <w:rFonts w:ascii="Arial" w:hAnsi="Arial" w:cs="Arial"/>
        </w:rPr>
      </w:pPr>
      <w:proofErr w:type="spellStart"/>
      <w:r w:rsidRPr="00F9393E">
        <w:rPr>
          <w:rFonts w:ascii="Arial" w:hAnsi="Arial" w:cs="Arial"/>
        </w:rPr>
        <w:t>Netrusov</w:t>
      </w:r>
      <w:proofErr w:type="spellEnd"/>
      <w:r w:rsidRPr="00F9393E">
        <w:rPr>
          <w:rFonts w:ascii="Arial" w:hAnsi="Arial" w:cs="Arial"/>
        </w:rPr>
        <w:t xml:space="preserve">, A.I., </w:t>
      </w:r>
      <w:proofErr w:type="spellStart"/>
      <w:r w:rsidRPr="00F9393E">
        <w:rPr>
          <w:rFonts w:ascii="Arial" w:hAnsi="Arial" w:cs="Arial"/>
        </w:rPr>
        <w:t>Egorova</w:t>
      </w:r>
      <w:proofErr w:type="spellEnd"/>
      <w:r w:rsidRPr="00F9393E">
        <w:rPr>
          <w:rFonts w:ascii="Arial" w:hAnsi="Arial" w:cs="Arial"/>
        </w:rPr>
        <w:t xml:space="preserve">, M.A., Zakharchuk, L.M. &amp; </w:t>
      </w:r>
      <w:proofErr w:type="spellStart"/>
      <w:r w:rsidRPr="00F9393E">
        <w:rPr>
          <w:rFonts w:ascii="Arial" w:hAnsi="Arial" w:cs="Arial"/>
        </w:rPr>
        <w:t>Kolotilova</w:t>
      </w:r>
      <w:proofErr w:type="spellEnd"/>
      <w:r w:rsidRPr="00F9393E">
        <w:rPr>
          <w:rFonts w:ascii="Arial" w:hAnsi="Arial" w:cs="Arial"/>
        </w:rPr>
        <w:t xml:space="preserve">, N.N. (2005). Microbiology workshop. Textbook for students of higher educational institutions. Academy, Moscow. </w:t>
      </w:r>
    </w:p>
    <w:p w14:paraId="2BC0E478" w14:textId="77777777" w:rsidR="00A977E9" w:rsidRPr="00774B6C" w:rsidRDefault="00A977E9" w:rsidP="00A977E9">
      <w:pPr>
        <w:rPr>
          <w:rFonts w:ascii="Arial" w:hAnsi="Arial" w:cs="Arial"/>
          <w:sz w:val="24"/>
          <w:szCs w:val="24"/>
        </w:rPr>
      </w:pPr>
      <w:r w:rsidRPr="00F9393E">
        <w:rPr>
          <w:rFonts w:ascii="Arial" w:hAnsi="Arial" w:cs="Arial"/>
        </w:rPr>
        <w:t>Artamonova, V. S. (2002). Features of microbiological properties of soils of urbanized territories. Siberian Ecological Journal, 9(3), 349-354.</w:t>
      </w:r>
    </w:p>
    <w:p w14:paraId="4D76B3CA" w14:textId="77777777" w:rsidR="005D71F0" w:rsidRPr="00102FA2" w:rsidRDefault="005D71F0" w:rsidP="005D71F0">
      <w:pPr>
        <w:rPr>
          <w:rFonts w:ascii="Arial" w:hAnsi="Arial" w:cs="Arial"/>
          <w:b/>
          <w:lang w:val="ru-RU"/>
        </w:rPr>
      </w:pPr>
    </w:p>
    <w:p w14:paraId="1F388375" w14:textId="77777777" w:rsidR="004D4277" w:rsidRPr="00FB3A86" w:rsidRDefault="004D4277" w:rsidP="00441B6F">
      <w:pPr>
        <w:pStyle w:val="Appendix"/>
        <w:spacing w:after="0"/>
        <w:jc w:val="both"/>
        <w:rPr>
          <w:rFonts w:ascii="Arial" w:hAnsi="Arial" w:cs="Arial"/>
          <w:b w:val="0"/>
        </w:rPr>
        <w:sectPr w:rsidR="004D4277" w:rsidRPr="00FB3A86" w:rsidSect="002D51B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pPr>
    </w:p>
    <w:p w14:paraId="5617F479" w14:textId="77777777" w:rsidR="00B01FCD" w:rsidRPr="00FB3A86" w:rsidRDefault="00B01FCD" w:rsidP="00441B6F">
      <w:pPr>
        <w:pStyle w:val="Appendix"/>
        <w:spacing w:after="0"/>
        <w:jc w:val="both"/>
        <w:rPr>
          <w:rFonts w:ascii="Arial" w:hAnsi="Arial" w:cs="Arial"/>
          <w:b w:val="0"/>
        </w:rPr>
      </w:pPr>
    </w:p>
    <w:sectPr w:rsidR="00B01FCD" w:rsidRPr="00FB3A86" w:rsidSect="002D51B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F8965" w14:textId="77777777" w:rsidR="005934D9" w:rsidRDefault="005934D9" w:rsidP="00C37E61">
      <w:r>
        <w:separator/>
      </w:r>
    </w:p>
  </w:endnote>
  <w:endnote w:type="continuationSeparator" w:id="0">
    <w:p w14:paraId="678C65B1" w14:textId="77777777" w:rsidR="005934D9" w:rsidRDefault="005934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4969" w14:textId="77777777" w:rsidR="002D51BE" w:rsidRDefault="002D5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DDA00"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29B34" w14:textId="77777777" w:rsidR="002D51BE" w:rsidRDefault="002D5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5DC02" w14:textId="77777777" w:rsidR="005934D9" w:rsidRDefault="005934D9" w:rsidP="00C37E61">
      <w:r>
        <w:separator/>
      </w:r>
    </w:p>
  </w:footnote>
  <w:footnote w:type="continuationSeparator" w:id="0">
    <w:p w14:paraId="16F4CDB4" w14:textId="77777777" w:rsidR="005934D9" w:rsidRDefault="005934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9770" w14:textId="5F1C7517" w:rsidR="002D51BE" w:rsidRDefault="005934D9">
    <w:pPr>
      <w:pStyle w:val="Header"/>
    </w:pPr>
    <w:r>
      <w:rPr>
        <w:noProof/>
      </w:rPr>
      <w:pict w14:anchorId="01BD8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3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194A3" w14:textId="1DAFDE81" w:rsidR="002D51BE" w:rsidRDefault="005934D9">
    <w:pPr>
      <w:pStyle w:val="Header"/>
    </w:pPr>
    <w:r>
      <w:rPr>
        <w:noProof/>
      </w:rPr>
      <w:pict w14:anchorId="392D6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3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7618" w14:textId="1928BEF1" w:rsidR="002D51BE" w:rsidRDefault="005934D9">
    <w:pPr>
      <w:pStyle w:val="Header"/>
    </w:pPr>
    <w:r>
      <w:rPr>
        <w:noProof/>
      </w:rPr>
      <w:pict w14:anchorId="5B9FB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370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AE4"/>
    <w:rsid w:val="00030174"/>
    <w:rsid w:val="000351D0"/>
    <w:rsid w:val="0004579C"/>
    <w:rsid w:val="00062CCD"/>
    <w:rsid w:val="000A47FA"/>
    <w:rsid w:val="000A65D3"/>
    <w:rsid w:val="000B1E33"/>
    <w:rsid w:val="000B7EDD"/>
    <w:rsid w:val="000D239C"/>
    <w:rsid w:val="000D689F"/>
    <w:rsid w:val="000E7B7B"/>
    <w:rsid w:val="000E7D62"/>
    <w:rsid w:val="00102FA2"/>
    <w:rsid w:val="00103357"/>
    <w:rsid w:val="00123C9F"/>
    <w:rsid w:val="00126190"/>
    <w:rsid w:val="00130F17"/>
    <w:rsid w:val="001320BF"/>
    <w:rsid w:val="00152DCD"/>
    <w:rsid w:val="00163BC4"/>
    <w:rsid w:val="00191062"/>
    <w:rsid w:val="00192B72"/>
    <w:rsid w:val="001A29D8"/>
    <w:rsid w:val="001A5CAA"/>
    <w:rsid w:val="001A7234"/>
    <w:rsid w:val="001B0427"/>
    <w:rsid w:val="001B4365"/>
    <w:rsid w:val="001D3A51"/>
    <w:rsid w:val="001E10D2"/>
    <w:rsid w:val="001E25B4"/>
    <w:rsid w:val="001E44FE"/>
    <w:rsid w:val="00200595"/>
    <w:rsid w:val="00204835"/>
    <w:rsid w:val="00216F89"/>
    <w:rsid w:val="00231920"/>
    <w:rsid w:val="0023195C"/>
    <w:rsid w:val="0024282C"/>
    <w:rsid w:val="002460DC"/>
    <w:rsid w:val="00250985"/>
    <w:rsid w:val="002556F6"/>
    <w:rsid w:val="00257F3A"/>
    <w:rsid w:val="00281A81"/>
    <w:rsid w:val="00283105"/>
    <w:rsid w:val="00284C4C"/>
    <w:rsid w:val="00287E68"/>
    <w:rsid w:val="00296529"/>
    <w:rsid w:val="002B27FB"/>
    <w:rsid w:val="002B685A"/>
    <w:rsid w:val="002C57D2"/>
    <w:rsid w:val="002C5F81"/>
    <w:rsid w:val="002D51BE"/>
    <w:rsid w:val="002E0D56"/>
    <w:rsid w:val="003008E4"/>
    <w:rsid w:val="00315186"/>
    <w:rsid w:val="0033343E"/>
    <w:rsid w:val="003512C2"/>
    <w:rsid w:val="00371FB6"/>
    <w:rsid w:val="003763C1"/>
    <w:rsid w:val="00376BBE"/>
    <w:rsid w:val="00381CD8"/>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68AC"/>
    <w:rsid w:val="0049737C"/>
    <w:rsid w:val="004B0FD4"/>
    <w:rsid w:val="004D305E"/>
    <w:rsid w:val="004D4277"/>
    <w:rsid w:val="00502516"/>
    <w:rsid w:val="00505F06"/>
    <w:rsid w:val="00506828"/>
    <w:rsid w:val="0053056E"/>
    <w:rsid w:val="00554FDA"/>
    <w:rsid w:val="005934D9"/>
    <w:rsid w:val="005A2563"/>
    <w:rsid w:val="005C784C"/>
    <w:rsid w:val="005D17F6"/>
    <w:rsid w:val="005D71F0"/>
    <w:rsid w:val="005E5539"/>
    <w:rsid w:val="00602BF5"/>
    <w:rsid w:val="00617FDD"/>
    <w:rsid w:val="00633614"/>
    <w:rsid w:val="00633F68"/>
    <w:rsid w:val="00636EB2"/>
    <w:rsid w:val="006375B8"/>
    <w:rsid w:val="0064286B"/>
    <w:rsid w:val="00654313"/>
    <w:rsid w:val="0066510A"/>
    <w:rsid w:val="00673F9F"/>
    <w:rsid w:val="00686953"/>
    <w:rsid w:val="00687DEA"/>
    <w:rsid w:val="00687E67"/>
    <w:rsid w:val="006967F7"/>
    <w:rsid w:val="006A250C"/>
    <w:rsid w:val="006B21D3"/>
    <w:rsid w:val="006B57D0"/>
    <w:rsid w:val="006D30FF"/>
    <w:rsid w:val="006D6940"/>
    <w:rsid w:val="006F11EC"/>
    <w:rsid w:val="0070082C"/>
    <w:rsid w:val="0072565D"/>
    <w:rsid w:val="007276B6"/>
    <w:rsid w:val="007369E6"/>
    <w:rsid w:val="00746E59"/>
    <w:rsid w:val="00754C9A"/>
    <w:rsid w:val="0075599A"/>
    <w:rsid w:val="00761D52"/>
    <w:rsid w:val="0077749E"/>
    <w:rsid w:val="00790ADA"/>
    <w:rsid w:val="007D2288"/>
    <w:rsid w:val="007E088F"/>
    <w:rsid w:val="007F7B32"/>
    <w:rsid w:val="00804BC2"/>
    <w:rsid w:val="0081431A"/>
    <w:rsid w:val="0083216F"/>
    <w:rsid w:val="00853694"/>
    <w:rsid w:val="00860000"/>
    <w:rsid w:val="008628DD"/>
    <w:rsid w:val="0086354D"/>
    <w:rsid w:val="00863BD3"/>
    <w:rsid w:val="008641ED"/>
    <w:rsid w:val="00866D66"/>
    <w:rsid w:val="008671C6"/>
    <w:rsid w:val="00875803"/>
    <w:rsid w:val="008B459E"/>
    <w:rsid w:val="008E13AE"/>
    <w:rsid w:val="008E1506"/>
    <w:rsid w:val="008E710C"/>
    <w:rsid w:val="008F69D6"/>
    <w:rsid w:val="00902823"/>
    <w:rsid w:val="0091577D"/>
    <w:rsid w:val="00915CA6"/>
    <w:rsid w:val="00927834"/>
    <w:rsid w:val="009331BD"/>
    <w:rsid w:val="009500A6"/>
    <w:rsid w:val="00957C18"/>
    <w:rsid w:val="009659BA"/>
    <w:rsid w:val="00983040"/>
    <w:rsid w:val="009844FA"/>
    <w:rsid w:val="009A161C"/>
    <w:rsid w:val="009B3FB9"/>
    <w:rsid w:val="009B4781"/>
    <w:rsid w:val="009C2465"/>
    <w:rsid w:val="009C68DF"/>
    <w:rsid w:val="009D0C7A"/>
    <w:rsid w:val="009D35A0"/>
    <w:rsid w:val="009D7EB7"/>
    <w:rsid w:val="009E048A"/>
    <w:rsid w:val="009E08E9"/>
    <w:rsid w:val="009E3DB9"/>
    <w:rsid w:val="009E6E35"/>
    <w:rsid w:val="009F0EDA"/>
    <w:rsid w:val="00A03B96"/>
    <w:rsid w:val="00A05B19"/>
    <w:rsid w:val="00A10533"/>
    <w:rsid w:val="00A1134E"/>
    <w:rsid w:val="00A24E7E"/>
    <w:rsid w:val="00A258C3"/>
    <w:rsid w:val="00A347C0"/>
    <w:rsid w:val="00A51431"/>
    <w:rsid w:val="00A539AD"/>
    <w:rsid w:val="00A679BD"/>
    <w:rsid w:val="00A94063"/>
    <w:rsid w:val="00A96891"/>
    <w:rsid w:val="00A977E9"/>
    <w:rsid w:val="00AA6219"/>
    <w:rsid w:val="00AA74E0"/>
    <w:rsid w:val="00AB703F"/>
    <w:rsid w:val="00AC2830"/>
    <w:rsid w:val="00AC6BB8"/>
    <w:rsid w:val="00AE008F"/>
    <w:rsid w:val="00B01FCD"/>
    <w:rsid w:val="00B1776C"/>
    <w:rsid w:val="00B375E2"/>
    <w:rsid w:val="00B43AAF"/>
    <w:rsid w:val="00B52583"/>
    <w:rsid w:val="00B52896"/>
    <w:rsid w:val="00B772C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2790"/>
    <w:rsid w:val="00C70F1B"/>
    <w:rsid w:val="00C71A47"/>
    <w:rsid w:val="00C7464C"/>
    <w:rsid w:val="00C85588"/>
    <w:rsid w:val="00CD6755"/>
    <w:rsid w:val="00CD6856"/>
    <w:rsid w:val="00CE0089"/>
    <w:rsid w:val="00CE793C"/>
    <w:rsid w:val="00CF193C"/>
    <w:rsid w:val="00D173F1"/>
    <w:rsid w:val="00D54417"/>
    <w:rsid w:val="00D55C30"/>
    <w:rsid w:val="00D74CB0"/>
    <w:rsid w:val="00D8295D"/>
    <w:rsid w:val="00DC2A65"/>
    <w:rsid w:val="00DE15F0"/>
    <w:rsid w:val="00DE550D"/>
    <w:rsid w:val="00DE5663"/>
    <w:rsid w:val="00DE78AA"/>
    <w:rsid w:val="00E053D0"/>
    <w:rsid w:val="00E055CC"/>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6BEC"/>
    <w:rsid w:val="00EF7FD8"/>
    <w:rsid w:val="00F021B7"/>
    <w:rsid w:val="00F06F59"/>
    <w:rsid w:val="00F17988"/>
    <w:rsid w:val="00F21893"/>
    <w:rsid w:val="00F469F0"/>
    <w:rsid w:val="00F53273"/>
    <w:rsid w:val="00F755E4"/>
    <w:rsid w:val="00F77D02"/>
    <w:rsid w:val="00F9393E"/>
    <w:rsid w:val="00F96B4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65E0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1">
    <w:name w:val="Неразрешенное упоминание1"/>
    <w:basedOn w:val="DefaultParagraphFont"/>
    <w:uiPriority w:val="99"/>
    <w:semiHidden/>
    <w:unhideWhenUsed/>
    <w:rsid w:val="00287E68"/>
    <w:rPr>
      <w:color w:val="605E5C"/>
      <w:shd w:val="clear" w:color="auto" w:fill="E1DFDD"/>
    </w:rPr>
  </w:style>
  <w:style w:type="character" w:customStyle="1" w:styleId="hwtze">
    <w:name w:val="hwtze"/>
    <w:basedOn w:val="DefaultParagraphFont"/>
    <w:rsid w:val="00102FA2"/>
  </w:style>
  <w:style w:type="character" w:customStyle="1" w:styleId="rynqvb">
    <w:name w:val="rynqvb"/>
    <w:basedOn w:val="DefaultParagraphFont"/>
    <w:rsid w:val="00102FA2"/>
  </w:style>
  <w:style w:type="character" w:styleId="UnresolvedMention">
    <w:name w:val="Unresolved Mention"/>
    <w:basedOn w:val="DefaultParagraphFont"/>
    <w:uiPriority w:val="99"/>
    <w:semiHidden/>
    <w:unhideWhenUsed/>
    <w:rsid w:val="00B77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76;&#1080;&#1072;&#1075;&#1088;&#1072;&#1084;&#1084;&#1099;%20&#1073;&#1099;&#1089;&#1090;&#1088;&#1086;&#1088;&#1072;&#1089;&#1090;&#1091;&#1097;&#1080;&#107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esktop\&#1044;&#1080;&#1072;&#1075;&#1088;&#1072;&#1084;&#1084;&#1072;%20&#1074;%20Microsoft%20Wor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esktop\&#1044;&#1080;&#1072;&#1075;&#1088;&#1072;&#1084;&#1084;&#1072;%20&#1074;%20Microsoft%20Wor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Лист1!$B$3</c:f>
              <c:strCache>
                <c:ptCount val="1"/>
                <c:pt idx="0">
                  <c:v>winter</c:v>
                </c:pt>
              </c:strCache>
            </c:strRef>
          </c:tx>
          <c:spPr>
            <a:solidFill>
              <a:schemeClr val="accent1"/>
            </a:solidFill>
            <a:ln>
              <a:noFill/>
            </a:ln>
            <a:effectLst/>
            <a:sp3d/>
          </c:spPr>
          <c:invertIfNegative val="0"/>
          <c:cat>
            <c:numRef>
              <c:f>Лист1!$A$4:$A$10</c:f>
              <c:numCache>
                <c:formatCode>General</c:formatCode>
                <c:ptCount val="7"/>
                <c:pt idx="0">
                  <c:v>1</c:v>
                </c:pt>
                <c:pt idx="1">
                  <c:v>2</c:v>
                </c:pt>
                <c:pt idx="2">
                  <c:v>3</c:v>
                </c:pt>
                <c:pt idx="3">
                  <c:v>4</c:v>
                </c:pt>
                <c:pt idx="4">
                  <c:v>5</c:v>
                </c:pt>
                <c:pt idx="5">
                  <c:v>6</c:v>
                </c:pt>
                <c:pt idx="6">
                  <c:v>7</c:v>
                </c:pt>
              </c:numCache>
            </c:numRef>
          </c:cat>
          <c:val>
            <c:numRef>
              <c:f>Лист1!$B$4:$B$10</c:f>
              <c:numCache>
                <c:formatCode>General</c:formatCode>
                <c:ptCount val="7"/>
                <c:pt idx="0">
                  <c:v>4.1100000000000003</c:v>
                </c:pt>
                <c:pt idx="1">
                  <c:v>5.0999999999999996</c:v>
                </c:pt>
                <c:pt idx="2">
                  <c:v>5.12</c:v>
                </c:pt>
                <c:pt idx="3">
                  <c:v>5.15</c:v>
                </c:pt>
                <c:pt idx="4">
                  <c:v>4.8</c:v>
                </c:pt>
                <c:pt idx="5">
                  <c:v>5.12</c:v>
                </c:pt>
                <c:pt idx="6">
                  <c:v>4.2</c:v>
                </c:pt>
              </c:numCache>
            </c:numRef>
          </c:val>
          <c:extLst>
            <c:ext xmlns:c16="http://schemas.microsoft.com/office/drawing/2014/chart" uri="{C3380CC4-5D6E-409C-BE32-E72D297353CC}">
              <c16:uniqueId val="{00000000-7368-4C18-AB76-D2825ED84938}"/>
            </c:ext>
          </c:extLst>
        </c:ser>
        <c:ser>
          <c:idx val="1"/>
          <c:order val="1"/>
          <c:tx>
            <c:strRef>
              <c:f>Лист1!$C$3</c:f>
              <c:strCache>
                <c:ptCount val="1"/>
                <c:pt idx="0">
                  <c:v>spring</c:v>
                </c:pt>
              </c:strCache>
            </c:strRef>
          </c:tx>
          <c:spPr>
            <a:solidFill>
              <a:schemeClr val="accent2"/>
            </a:solidFill>
            <a:ln>
              <a:noFill/>
            </a:ln>
            <a:effectLst/>
            <a:sp3d/>
          </c:spPr>
          <c:invertIfNegative val="0"/>
          <c:cat>
            <c:numRef>
              <c:f>Лист1!$A$4:$A$10</c:f>
              <c:numCache>
                <c:formatCode>General</c:formatCode>
                <c:ptCount val="7"/>
                <c:pt idx="0">
                  <c:v>1</c:v>
                </c:pt>
                <c:pt idx="1">
                  <c:v>2</c:v>
                </c:pt>
                <c:pt idx="2">
                  <c:v>3</c:v>
                </c:pt>
                <c:pt idx="3">
                  <c:v>4</c:v>
                </c:pt>
                <c:pt idx="4">
                  <c:v>5</c:v>
                </c:pt>
                <c:pt idx="5">
                  <c:v>6</c:v>
                </c:pt>
                <c:pt idx="6">
                  <c:v>7</c:v>
                </c:pt>
              </c:numCache>
            </c:numRef>
          </c:cat>
          <c:val>
            <c:numRef>
              <c:f>Лист1!$C$4:$C$10</c:f>
              <c:numCache>
                <c:formatCode>General</c:formatCode>
                <c:ptCount val="7"/>
                <c:pt idx="0">
                  <c:v>5.9</c:v>
                </c:pt>
                <c:pt idx="1">
                  <c:v>5.1100000000000003</c:v>
                </c:pt>
                <c:pt idx="2">
                  <c:v>6.26</c:v>
                </c:pt>
                <c:pt idx="3">
                  <c:v>7.12</c:v>
                </c:pt>
                <c:pt idx="4">
                  <c:v>6.12</c:v>
                </c:pt>
                <c:pt idx="5">
                  <c:v>5.5</c:v>
                </c:pt>
                <c:pt idx="6">
                  <c:v>7.9</c:v>
                </c:pt>
              </c:numCache>
            </c:numRef>
          </c:val>
          <c:extLst>
            <c:ext xmlns:c16="http://schemas.microsoft.com/office/drawing/2014/chart" uri="{C3380CC4-5D6E-409C-BE32-E72D297353CC}">
              <c16:uniqueId val="{00000001-7368-4C18-AB76-D2825ED84938}"/>
            </c:ext>
          </c:extLst>
        </c:ser>
        <c:ser>
          <c:idx val="2"/>
          <c:order val="2"/>
          <c:tx>
            <c:strRef>
              <c:f>Лист1!$D$3</c:f>
              <c:strCache>
                <c:ptCount val="1"/>
                <c:pt idx="0">
                  <c:v>summer</c:v>
                </c:pt>
              </c:strCache>
            </c:strRef>
          </c:tx>
          <c:spPr>
            <a:solidFill>
              <a:schemeClr val="accent3"/>
            </a:solidFill>
            <a:ln>
              <a:noFill/>
            </a:ln>
            <a:effectLst/>
            <a:sp3d/>
          </c:spPr>
          <c:invertIfNegative val="0"/>
          <c:cat>
            <c:numRef>
              <c:f>Лист1!$A$4:$A$10</c:f>
              <c:numCache>
                <c:formatCode>General</c:formatCode>
                <c:ptCount val="7"/>
                <c:pt idx="0">
                  <c:v>1</c:v>
                </c:pt>
                <c:pt idx="1">
                  <c:v>2</c:v>
                </c:pt>
                <c:pt idx="2">
                  <c:v>3</c:v>
                </c:pt>
                <c:pt idx="3">
                  <c:v>4</c:v>
                </c:pt>
                <c:pt idx="4">
                  <c:v>5</c:v>
                </c:pt>
                <c:pt idx="5">
                  <c:v>6</c:v>
                </c:pt>
                <c:pt idx="6">
                  <c:v>7</c:v>
                </c:pt>
              </c:numCache>
            </c:numRef>
          </c:cat>
          <c:val>
            <c:numRef>
              <c:f>Лист1!$D$4:$D$10</c:f>
              <c:numCache>
                <c:formatCode>General</c:formatCode>
                <c:ptCount val="7"/>
                <c:pt idx="0">
                  <c:v>6.58</c:v>
                </c:pt>
                <c:pt idx="1">
                  <c:v>6.5</c:v>
                </c:pt>
                <c:pt idx="2">
                  <c:v>7.21</c:v>
                </c:pt>
                <c:pt idx="3">
                  <c:v>7.12</c:v>
                </c:pt>
                <c:pt idx="4">
                  <c:v>7.71</c:v>
                </c:pt>
                <c:pt idx="5">
                  <c:v>5.44</c:v>
                </c:pt>
                <c:pt idx="6">
                  <c:v>8.2899999999999991</c:v>
                </c:pt>
              </c:numCache>
            </c:numRef>
          </c:val>
          <c:extLst>
            <c:ext xmlns:c16="http://schemas.microsoft.com/office/drawing/2014/chart" uri="{C3380CC4-5D6E-409C-BE32-E72D297353CC}">
              <c16:uniqueId val="{00000002-7368-4C18-AB76-D2825ED84938}"/>
            </c:ext>
          </c:extLst>
        </c:ser>
        <c:ser>
          <c:idx val="3"/>
          <c:order val="3"/>
          <c:tx>
            <c:strRef>
              <c:f>Лист1!$E$3</c:f>
              <c:strCache>
                <c:ptCount val="1"/>
                <c:pt idx="0">
                  <c:v>autumn</c:v>
                </c:pt>
              </c:strCache>
            </c:strRef>
          </c:tx>
          <c:spPr>
            <a:solidFill>
              <a:schemeClr val="accent4"/>
            </a:solidFill>
            <a:ln>
              <a:noFill/>
            </a:ln>
            <a:effectLst/>
            <a:sp3d/>
          </c:spPr>
          <c:invertIfNegative val="0"/>
          <c:cat>
            <c:numRef>
              <c:f>Лист1!$A$4:$A$10</c:f>
              <c:numCache>
                <c:formatCode>General</c:formatCode>
                <c:ptCount val="7"/>
                <c:pt idx="0">
                  <c:v>1</c:v>
                </c:pt>
                <c:pt idx="1">
                  <c:v>2</c:v>
                </c:pt>
                <c:pt idx="2">
                  <c:v>3</c:v>
                </c:pt>
                <c:pt idx="3">
                  <c:v>4</c:v>
                </c:pt>
                <c:pt idx="4">
                  <c:v>5</c:v>
                </c:pt>
                <c:pt idx="5">
                  <c:v>6</c:v>
                </c:pt>
                <c:pt idx="6">
                  <c:v>7</c:v>
                </c:pt>
              </c:numCache>
            </c:numRef>
          </c:cat>
          <c:val>
            <c:numRef>
              <c:f>Лист1!$E$4:$E$10</c:f>
              <c:numCache>
                <c:formatCode>General</c:formatCode>
                <c:ptCount val="7"/>
                <c:pt idx="0">
                  <c:v>5.1100000000000003</c:v>
                </c:pt>
                <c:pt idx="1">
                  <c:v>5.82</c:v>
                </c:pt>
                <c:pt idx="2">
                  <c:v>6.12</c:v>
                </c:pt>
                <c:pt idx="3">
                  <c:v>6.15</c:v>
                </c:pt>
                <c:pt idx="4">
                  <c:v>4.8</c:v>
                </c:pt>
                <c:pt idx="5">
                  <c:v>5.12</c:v>
                </c:pt>
                <c:pt idx="6">
                  <c:v>6.42</c:v>
                </c:pt>
              </c:numCache>
            </c:numRef>
          </c:val>
          <c:extLst>
            <c:ext xmlns:c16="http://schemas.microsoft.com/office/drawing/2014/chart" uri="{C3380CC4-5D6E-409C-BE32-E72D297353CC}">
              <c16:uniqueId val="{00000003-7368-4C18-AB76-D2825ED84938}"/>
            </c:ext>
          </c:extLst>
        </c:ser>
        <c:dLbls>
          <c:showLegendKey val="0"/>
          <c:showVal val="0"/>
          <c:showCatName val="0"/>
          <c:showSerName val="0"/>
          <c:showPercent val="0"/>
          <c:showBubbleSize val="0"/>
        </c:dLbls>
        <c:gapWidth val="150"/>
        <c:shape val="box"/>
        <c:axId val="286165808"/>
        <c:axId val="286170120"/>
        <c:axId val="0"/>
      </c:bar3DChart>
      <c:catAx>
        <c:axId val="286165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170120"/>
        <c:crosses val="autoZero"/>
        <c:auto val="1"/>
        <c:lblAlgn val="ctr"/>
        <c:lblOffset val="100"/>
        <c:noMultiLvlLbl val="0"/>
      </c:catAx>
      <c:valAx>
        <c:axId val="286170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CFU/g</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165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gradFill>
      <a:gsLst>
        <a:gs pos="0">
          <a:schemeClr val="accent1">
            <a:lumMod val="5000"/>
            <a:lumOff val="95000"/>
          </a:schemeClr>
        </a:gs>
        <a:gs pos="73000">
          <a:schemeClr val="bg1"/>
        </a:gs>
        <a:gs pos="83000">
          <a:schemeClr val="accent1">
            <a:lumMod val="45000"/>
            <a:lumOff val="55000"/>
          </a:schemeClr>
        </a:gs>
        <a:gs pos="100000">
          <a:schemeClr val="accent1">
            <a:lumMod val="30000"/>
            <a:lumOff val="70000"/>
          </a:schemeClr>
        </a:gs>
      </a:gsLst>
      <a:lin ang="5400000" scaled="1"/>
    </a:gra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Лист1!$B$27</c:f>
              <c:strCache>
                <c:ptCount val="1"/>
                <c:pt idx="0">
                  <c:v>denitrifiers</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numRef>
              <c:f>Лист1!$A$28:$A$34</c:f>
              <c:numCache>
                <c:formatCode>General</c:formatCode>
                <c:ptCount val="7"/>
                <c:pt idx="0">
                  <c:v>3</c:v>
                </c:pt>
                <c:pt idx="1">
                  <c:v>4</c:v>
                </c:pt>
                <c:pt idx="2">
                  <c:v>5</c:v>
                </c:pt>
                <c:pt idx="3">
                  <c:v>7</c:v>
                </c:pt>
                <c:pt idx="4">
                  <c:v>1</c:v>
                </c:pt>
                <c:pt idx="5">
                  <c:v>2</c:v>
                </c:pt>
                <c:pt idx="6">
                  <c:v>6</c:v>
                </c:pt>
              </c:numCache>
            </c:numRef>
          </c:cat>
          <c:val>
            <c:numRef>
              <c:f>Лист1!$B$28:$B$34</c:f>
              <c:numCache>
                <c:formatCode>General</c:formatCode>
                <c:ptCount val="7"/>
                <c:pt idx="0">
                  <c:v>3.25</c:v>
                </c:pt>
                <c:pt idx="1">
                  <c:v>3.5</c:v>
                </c:pt>
                <c:pt idx="2">
                  <c:v>3.5</c:v>
                </c:pt>
                <c:pt idx="3">
                  <c:v>3.25</c:v>
                </c:pt>
                <c:pt idx="4">
                  <c:v>6.13</c:v>
                </c:pt>
                <c:pt idx="5">
                  <c:v>5.13</c:v>
                </c:pt>
                <c:pt idx="6">
                  <c:v>4.5999999999999996</c:v>
                </c:pt>
              </c:numCache>
            </c:numRef>
          </c:val>
          <c:extLst>
            <c:ext xmlns:c16="http://schemas.microsoft.com/office/drawing/2014/chart" uri="{C3380CC4-5D6E-409C-BE32-E72D297353CC}">
              <c16:uniqueId val="{00000000-D23A-43ED-9E94-B057E6FE53C8}"/>
            </c:ext>
          </c:extLst>
        </c:ser>
        <c:ser>
          <c:idx val="1"/>
          <c:order val="1"/>
          <c:tx>
            <c:strRef>
              <c:f>Лист1!$C$27</c:f>
              <c:strCache>
                <c:ptCount val="1"/>
                <c:pt idx="0">
                  <c:v>oligonitrophils</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numRef>
              <c:f>Лист1!$A$28:$A$34</c:f>
              <c:numCache>
                <c:formatCode>General</c:formatCode>
                <c:ptCount val="7"/>
                <c:pt idx="0">
                  <c:v>3</c:v>
                </c:pt>
                <c:pt idx="1">
                  <c:v>4</c:v>
                </c:pt>
                <c:pt idx="2">
                  <c:v>5</c:v>
                </c:pt>
                <c:pt idx="3">
                  <c:v>7</c:v>
                </c:pt>
                <c:pt idx="4">
                  <c:v>1</c:v>
                </c:pt>
                <c:pt idx="5">
                  <c:v>2</c:v>
                </c:pt>
                <c:pt idx="6">
                  <c:v>6</c:v>
                </c:pt>
              </c:numCache>
            </c:numRef>
          </c:cat>
          <c:val>
            <c:numRef>
              <c:f>Лист1!$C$28:$C$34</c:f>
              <c:numCache>
                <c:formatCode>General</c:formatCode>
                <c:ptCount val="7"/>
                <c:pt idx="0">
                  <c:v>6.34</c:v>
                </c:pt>
                <c:pt idx="1">
                  <c:v>6.35</c:v>
                </c:pt>
                <c:pt idx="2">
                  <c:v>6.24</c:v>
                </c:pt>
                <c:pt idx="3">
                  <c:v>6.2</c:v>
                </c:pt>
                <c:pt idx="4">
                  <c:v>7.13</c:v>
                </c:pt>
                <c:pt idx="5">
                  <c:v>6.65</c:v>
                </c:pt>
                <c:pt idx="6">
                  <c:v>6.13</c:v>
                </c:pt>
              </c:numCache>
            </c:numRef>
          </c:val>
          <c:extLst>
            <c:ext xmlns:c16="http://schemas.microsoft.com/office/drawing/2014/chart" uri="{C3380CC4-5D6E-409C-BE32-E72D297353CC}">
              <c16:uniqueId val="{00000001-D23A-43ED-9E94-B057E6FE53C8}"/>
            </c:ext>
          </c:extLst>
        </c:ser>
        <c:ser>
          <c:idx val="2"/>
          <c:order val="2"/>
          <c:tx>
            <c:strRef>
              <c:f>Лист1!$D$27</c:f>
              <c:strCache>
                <c:ptCount val="1"/>
                <c:pt idx="0">
                  <c:v>actinomycetes</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numRef>
              <c:f>Лист1!$A$28:$A$34</c:f>
              <c:numCache>
                <c:formatCode>General</c:formatCode>
                <c:ptCount val="7"/>
                <c:pt idx="0">
                  <c:v>3</c:v>
                </c:pt>
                <c:pt idx="1">
                  <c:v>4</c:v>
                </c:pt>
                <c:pt idx="2">
                  <c:v>5</c:v>
                </c:pt>
                <c:pt idx="3">
                  <c:v>7</c:v>
                </c:pt>
                <c:pt idx="4">
                  <c:v>1</c:v>
                </c:pt>
                <c:pt idx="5">
                  <c:v>2</c:v>
                </c:pt>
                <c:pt idx="6">
                  <c:v>6</c:v>
                </c:pt>
              </c:numCache>
            </c:numRef>
          </c:cat>
          <c:val>
            <c:numRef>
              <c:f>Лист1!$D$28:$D$34</c:f>
              <c:numCache>
                <c:formatCode>General</c:formatCode>
                <c:ptCount val="7"/>
                <c:pt idx="0">
                  <c:v>5.68</c:v>
                </c:pt>
                <c:pt idx="1">
                  <c:v>5.7</c:v>
                </c:pt>
                <c:pt idx="2">
                  <c:v>5.75</c:v>
                </c:pt>
                <c:pt idx="3">
                  <c:v>5.56</c:v>
                </c:pt>
                <c:pt idx="4">
                  <c:v>6.7</c:v>
                </c:pt>
                <c:pt idx="5">
                  <c:v>6.5</c:v>
                </c:pt>
                <c:pt idx="6">
                  <c:v>6.1</c:v>
                </c:pt>
              </c:numCache>
            </c:numRef>
          </c:val>
          <c:extLst>
            <c:ext xmlns:c16="http://schemas.microsoft.com/office/drawing/2014/chart" uri="{C3380CC4-5D6E-409C-BE32-E72D297353CC}">
              <c16:uniqueId val="{00000002-D23A-43ED-9E94-B057E6FE53C8}"/>
            </c:ext>
          </c:extLst>
        </c:ser>
        <c:ser>
          <c:idx val="3"/>
          <c:order val="3"/>
          <c:tx>
            <c:strRef>
              <c:f>Лист1!$E$27</c:f>
              <c:strCache>
                <c:ptCount val="1"/>
                <c:pt idx="0">
                  <c:v>micromycetes</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numRef>
              <c:f>Лист1!$A$28:$A$34</c:f>
              <c:numCache>
                <c:formatCode>General</c:formatCode>
                <c:ptCount val="7"/>
                <c:pt idx="0">
                  <c:v>3</c:v>
                </c:pt>
                <c:pt idx="1">
                  <c:v>4</c:v>
                </c:pt>
                <c:pt idx="2">
                  <c:v>5</c:v>
                </c:pt>
                <c:pt idx="3">
                  <c:v>7</c:v>
                </c:pt>
                <c:pt idx="4">
                  <c:v>1</c:v>
                </c:pt>
                <c:pt idx="5">
                  <c:v>2</c:v>
                </c:pt>
                <c:pt idx="6">
                  <c:v>6</c:v>
                </c:pt>
              </c:numCache>
            </c:numRef>
          </c:cat>
          <c:val>
            <c:numRef>
              <c:f>Лист1!$E$28:$E$34</c:f>
              <c:numCache>
                <c:formatCode>General</c:formatCode>
                <c:ptCount val="7"/>
                <c:pt idx="0">
                  <c:v>5.1100000000000003</c:v>
                </c:pt>
                <c:pt idx="1">
                  <c:v>4.5999999999999996</c:v>
                </c:pt>
                <c:pt idx="2">
                  <c:v>4.5</c:v>
                </c:pt>
                <c:pt idx="3">
                  <c:v>4.5999999999999996</c:v>
                </c:pt>
                <c:pt idx="4">
                  <c:v>4.2</c:v>
                </c:pt>
                <c:pt idx="5">
                  <c:v>4.4000000000000004</c:v>
                </c:pt>
                <c:pt idx="6">
                  <c:v>4.0999999999999996</c:v>
                </c:pt>
              </c:numCache>
            </c:numRef>
          </c:val>
          <c:extLst>
            <c:ext xmlns:c16="http://schemas.microsoft.com/office/drawing/2014/chart" uri="{C3380CC4-5D6E-409C-BE32-E72D297353CC}">
              <c16:uniqueId val="{00000003-D23A-43ED-9E94-B057E6FE53C8}"/>
            </c:ext>
          </c:extLst>
        </c:ser>
        <c:ser>
          <c:idx val="4"/>
          <c:order val="4"/>
          <c:tx>
            <c:strRef>
              <c:f>Лист1!$F$27</c:f>
              <c:strCache>
                <c:ptCount val="1"/>
                <c:pt idx="0">
                  <c:v>saprotrophs</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cat>
            <c:numRef>
              <c:f>Лист1!$A$28:$A$34</c:f>
              <c:numCache>
                <c:formatCode>General</c:formatCode>
                <c:ptCount val="7"/>
                <c:pt idx="0">
                  <c:v>3</c:v>
                </c:pt>
                <c:pt idx="1">
                  <c:v>4</c:v>
                </c:pt>
                <c:pt idx="2">
                  <c:v>5</c:v>
                </c:pt>
                <c:pt idx="3">
                  <c:v>7</c:v>
                </c:pt>
                <c:pt idx="4">
                  <c:v>1</c:v>
                </c:pt>
                <c:pt idx="5">
                  <c:v>2</c:v>
                </c:pt>
                <c:pt idx="6">
                  <c:v>6</c:v>
                </c:pt>
              </c:numCache>
            </c:numRef>
          </c:cat>
          <c:val>
            <c:numRef>
              <c:f>Лист1!$F$28:$F$34</c:f>
              <c:numCache>
                <c:formatCode>General</c:formatCode>
                <c:ptCount val="7"/>
                <c:pt idx="0">
                  <c:v>5.65</c:v>
                </c:pt>
                <c:pt idx="1">
                  <c:v>6.68</c:v>
                </c:pt>
                <c:pt idx="2">
                  <c:v>5.35</c:v>
                </c:pt>
                <c:pt idx="3">
                  <c:v>5.28</c:v>
                </c:pt>
                <c:pt idx="4">
                  <c:v>4.4400000000000004</c:v>
                </c:pt>
                <c:pt idx="5">
                  <c:v>4.7</c:v>
                </c:pt>
                <c:pt idx="6">
                  <c:v>4.58</c:v>
                </c:pt>
              </c:numCache>
            </c:numRef>
          </c:val>
          <c:extLst>
            <c:ext xmlns:c16="http://schemas.microsoft.com/office/drawing/2014/chart" uri="{C3380CC4-5D6E-409C-BE32-E72D297353CC}">
              <c16:uniqueId val="{00000004-D23A-43ED-9E94-B057E6FE53C8}"/>
            </c:ext>
          </c:extLst>
        </c:ser>
        <c:ser>
          <c:idx val="5"/>
          <c:order val="5"/>
          <c:tx>
            <c:strRef>
              <c:f>Лист1!$G$27</c:f>
              <c:strCache>
                <c:ptCount val="1"/>
                <c:pt idx="0">
                  <c:v>cellulolytics</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cat>
            <c:numRef>
              <c:f>Лист1!$A$28:$A$34</c:f>
              <c:numCache>
                <c:formatCode>General</c:formatCode>
                <c:ptCount val="7"/>
                <c:pt idx="0">
                  <c:v>3</c:v>
                </c:pt>
                <c:pt idx="1">
                  <c:v>4</c:v>
                </c:pt>
                <c:pt idx="2">
                  <c:v>5</c:v>
                </c:pt>
                <c:pt idx="3">
                  <c:v>7</c:v>
                </c:pt>
                <c:pt idx="4">
                  <c:v>1</c:v>
                </c:pt>
                <c:pt idx="5">
                  <c:v>2</c:v>
                </c:pt>
                <c:pt idx="6">
                  <c:v>6</c:v>
                </c:pt>
              </c:numCache>
            </c:numRef>
          </c:cat>
          <c:val>
            <c:numRef>
              <c:f>Лист1!$G$28:$G$34</c:f>
              <c:numCache>
                <c:formatCode>General</c:formatCode>
                <c:ptCount val="7"/>
                <c:pt idx="0">
                  <c:v>5.28</c:v>
                </c:pt>
                <c:pt idx="1">
                  <c:v>5.33</c:v>
                </c:pt>
                <c:pt idx="2">
                  <c:v>4.8899999999999997</c:v>
                </c:pt>
                <c:pt idx="3">
                  <c:v>5.13</c:v>
                </c:pt>
                <c:pt idx="4">
                  <c:v>4.0199999999999996</c:v>
                </c:pt>
                <c:pt idx="5">
                  <c:v>3.96</c:v>
                </c:pt>
                <c:pt idx="6">
                  <c:v>3.2</c:v>
                </c:pt>
              </c:numCache>
            </c:numRef>
          </c:val>
          <c:extLst>
            <c:ext xmlns:c16="http://schemas.microsoft.com/office/drawing/2014/chart" uri="{C3380CC4-5D6E-409C-BE32-E72D297353CC}">
              <c16:uniqueId val="{00000005-D23A-43ED-9E94-B057E6FE53C8}"/>
            </c:ext>
          </c:extLst>
        </c:ser>
        <c:dLbls>
          <c:showLegendKey val="0"/>
          <c:showVal val="0"/>
          <c:showCatName val="0"/>
          <c:showSerName val="0"/>
          <c:showPercent val="0"/>
          <c:showBubbleSize val="0"/>
        </c:dLbls>
        <c:gapWidth val="65"/>
        <c:shape val="box"/>
        <c:axId val="444091952"/>
        <c:axId val="345194808"/>
        <c:axId val="0"/>
      </c:bar3DChart>
      <c:catAx>
        <c:axId val="44409195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Samples</a:t>
                </a:r>
                <a:endParaRPr lang="ru-RU"/>
              </a:p>
            </c:rich>
          </c:tx>
          <c:layout>
            <c:manualLayout>
              <c:xMode val="edge"/>
              <c:yMode val="edge"/>
              <c:x val="0.8517170393700787"/>
              <c:y val="0.7798250218722657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45194808"/>
        <c:crosses val="autoZero"/>
        <c:auto val="1"/>
        <c:lblAlgn val="ctr"/>
        <c:lblOffset val="100"/>
        <c:noMultiLvlLbl val="0"/>
      </c:catAx>
      <c:valAx>
        <c:axId val="34519480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CFU/g</a:t>
                </a:r>
                <a:endParaRPr lang="ru-RU"/>
              </a:p>
            </c:rich>
          </c:tx>
          <c:layout>
            <c:manualLayout>
              <c:xMode val="edge"/>
              <c:yMode val="edge"/>
              <c:x val="1.8420577427821518E-2"/>
              <c:y val="9.6155949256342951E-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440919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lgn="just">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Лист2!$T$8</c:f>
              <c:strCache>
                <c:ptCount val="1"/>
                <c:pt idx="0">
                  <c:v>spring</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numRef>
              <c:f>Лист2!$U$7:$AA$7</c:f>
              <c:numCache>
                <c:formatCode>General</c:formatCode>
                <c:ptCount val="7"/>
                <c:pt idx="0">
                  <c:v>1</c:v>
                </c:pt>
                <c:pt idx="1">
                  <c:v>2</c:v>
                </c:pt>
                <c:pt idx="2">
                  <c:v>3</c:v>
                </c:pt>
                <c:pt idx="3">
                  <c:v>4</c:v>
                </c:pt>
                <c:pt idx="4">
                  <c:v>5</c:v>
                </c:pt>
                <c:pt idx="5">
                  <c:v>6</c:v>
                </c:pt>
                <c:pt idx="6">
                  <c:v>7</c:v>
                </c:pt>
              </c:numCache>
            </c:numRef>
          </c:cat>
          <c:val>
            <c:numRef>
              <c:f>Лист2!$U$8:$AA$8</c:f>
              <c:numCache>
                <c:formatCode>General</c:formatCode>
                <c:ptCount val="7"/>
                <c:pt idx="0">
                  <c:v>3.1E-2</c:v>
                </c:pt>
                <c:pt idx="1">
                  <c:v>0.01</c:v>
                </c:pt>
                <c:pt idx="2">
                  <c:v>0.105</c:v>
                </c:pt>
                <c:pt idx="3">
                  <c:v>0.113</c:v>
                </c:pt>
                <c:pt idx="4">
                  <c:v>0.10199999999999999</c:v>
                </c:pt>
                <c:pt idx="5">
                  <c:v>7.4999999999999997E-2</c:v>
                </c:pt>
                <c:pt idx="6">
                  <c:v>0.10199999999999999</c:v>
                </c:pt>
              </c:numCache>
            </c:numRef>
          </c:val>
          <c:extLst>
            <c:ext xmlns:c16="http://schemas.microsoft.com/office/drawing/2014/chart" uri="{C3380CC4-5D6E-409C-BE32-E72D297353CC}">
              <c16:uniqueId val="{00000000-254B-4BD7-BC28-932222946144}"/>
            </c:ext>
          </c:extLst>
        </c:ser>
        <c:ser>
          <c:idx val="1"/>
          <c:order val="1"/>
          <c:tx>
            <c:strRef>
              <c:f>Лист2!$T$9</c:f>
              <c:strCache>
                <c:ptCount val="1"/>
                <c:pt idx="0">
                  <c:v>summer</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numRef>
              <c:f>Лист2!$U$7:$AA$7</c:f>
              <c:numCache>
                <c:formatCode>General</c:formatCode>
                <c:ptCount val="7"/>
                <c:pt idx="0">
                  <c:v>1</c:v>
                </c:pt>
                <c:pt idx="1">
                  <c:v>2</c:v>
                </c:pt>
                <c:pt idx="2">
                  <c:v>3</c:v>
                </c:pt>
                <c:pt idx="3">
                  <c:v>4</c:v>
                </c:pt>
                <c:pt idx="4">
                  <c:v>5</c:v>
                </c:pt>
                <c:pt idx="5">
                  <c:v>6</c:v>
                </c:pt>
                <c:pt idx="6">
                  <c:v>7</c:v>
                </c:pt>
              </c:numCache>
            </c:numRef>
          </c:cat>
          <c:val>
            <c:numRef>
              <c:f>Лист2!$U$9:$AA$9</c:f>
              <c:numCache>
                <c:formatCode>General</c:formatCode>
                <c:ptCount val="7"/>
                <c:pt idx="0">
                  <c:v>0.16900000000000001</c:v>
                </c:pt>
                <c:pt idx="1">
                  <c:v>0.18099999999999999</c:v>
                </c:pt>
                <c:pt idx="2">
                  <c:v>0.10199999999999999</c:v>
                </c:pt>
                <c:pt idx="3">
                  <c:v>0.18099999999999999</c:v>
                </c:pt>
                <c:pt idx="4">
                  <c:v>0.13800000000000001</c:v>
                </c:pt>
                <c:pt idx="5">
                  <c:v>0.11</c:v>
                </c:pt>
                <c:pt idx="6">
                  <c:v>0.252</c:v>
                </c:pt>
              </c:numCache>
            </c:numRef>
          </c:val>
          <c:extLst>
            <c:ext xmlns:c16="http://schemas.microsoft.com/office/drawing/2014/chart" uri="{C3380CC4-5D6E-409C-BE32-E72D297353CC}">
              <c16:uniqueId val="{00000001-254B-4BD7-BC28-932222946144}"/>
            </c:ext>
          </c:extLst>
        </c:ser>
        <c:ser>
          <c:idx val="2"/>
          <c:order val="2"/>
          <c:tx>
            <c:strRef>
              <c:f>Лист2!$T$10</c:f>
              <c:strCache>
                <c:ptCount val="1"/>
                <c:pt idx="0">
                  <c:v>autumn</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numRef>
              <c:f>Лист2!$U$7:$AA$7</c:f>
              <c:numCache>
                <c:formatCode>General</c:formatCode>
                <c:ptCount val="7"/>
                <c:pt idx="0">
                  <c:v>1</c:v>
                </c:pt>
                <c:pt idx="1">
                  <c:v>2</c:v>
                </c:pt>
                <c:pt idx="2">
                  <c:v>3</c:v>
                </c:pt>
                <c:pt idx="3">
                  <c:v>4</c:v>
                </c:pt>
                <c:pt idx="4">
                  <c:v>5</c:v>
                </c:pt>
                <c:pt idx="5">
                  <c:v>6</c:v>
                </c:pt>
                <c:pt idx="6">
                  <c:v>7</c:v>
                </c:pt>
              </c:numCache>
            </c:numRef>
          </c:cat>
          <c:val>
            <c:numRef>
              <c:f>Лист2!$U$10:$AA$10</c:f>
              <c:numCache>
                <c:formatCode>General</c:formatCode>
                <c:ptCount val="7"/>
                <c:pt idx="0">
                  <c:v>3.7999999999999999E-2</c:v>
                </c:pt>
                <c:pt idx="1">
                  <c:v>7.6999999999999999E-2</c:v>
                </c:pt>
                <c:pt idx="2">
                  <c:v>8.1000000000000003E-2</c:v>
                </c:pt>
                <c:pt idx="3">
                  <c:v>7.4999999999999997E-2</c:v>
                </c:pt>
                <c:pt idx="4">
                  <c:v>0.10299999999999999</c:v>
                </c:pt>
                <c:pt idx="5">
                  <c:v>0.13200000000000001</c:v>
                </c:pt>
                <c:pt idx="6">
                  <c:v>0.14499999999999999</c:v>
                </c:pt>
              </c:numCache>
            </c:numRef>
          </c:val>
          <c:extLst>
            <c:ext xmlns:c16="http://schemas.microsoft.com/office/drawing/2014/chart" uri="{C3380CC4-5D6E-409C-BE32-E72D297353CC}">
              <c16:uniqueId val="{00000002-254B-4BD7-BC28-932222946144}"/>
            </c:ext>
          </c:extLst>
        </c:ser>
        <c:dLbls>
          <c:showLegendKey val="0"/>
          <c:showVal val="0"/>
          <c:showCatName val="0"/>
          <c:showSerName val="0"/>
          <c:showPercent val="0"/>
          <c:showBubbleSize val="0"/>
        </c:dLbls>
        <c:gapWidth val="65"/>
        <c:shape val="box"/>
        <c:axId val="449714192"/>
        <c:axId val="449699184"/>
        <c:axId val="0"/>
      </c:bar3DChart>
      <c:catAx>
        <c:axId val="44971419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Samples</a:t>
                </a:r>
                <a:endParaRPr lang="ru-RU"/>
              </a:p>
            </c:rich>
          </c:tx>
          <c:layout>
            <c:manualLayout>
              <c:xMode val="edge"/>
              <c:yMode val="edge"/>
              <c:x val="3.4094050743657039E-2"/>
              <c:y val="9.0752770487022461E-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49699184"/>
        <c:crosses val="autoZero"/>
        <c:auto val="1"/>
        <c:lblAlgn val="ctr"/>
        <c:lblOffset val="100"/>
        <c:noMultiLvlLbl val="0"/>
      </c:catAx>
      <c:valAx>
        <c:axId val="449699184"/>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sz="1000">
                    <a:effectLst/>
                    <a:latin typeface="Times New Roman" panose="02020603050405020304" pitchFamily="18" charset="0"/>
                    <a:cs typeface="Times New Roman" panose="02020603050405020304" pitchFamily="18" charset="0"/>
                  </a:rPr>
                  <a:t>CO</a:t>
                </a:r>
                <a:r>
                  <a:rPr lang="en-US" sz="1000" baseline="-25000">
                    <a:effectLst/>
                    <a:latin typeface="Times New Roman" panose="02020603050405020304" pitchFamily="18" charset="0"/>
                    <a:cs typeface="Times New Roman" panose="02020603050405020304" pitchFamily="18" charset="0"/>
                  </a:rPr>
                  <a:t>2</a:t>
                </a:r>
                <a:r>
                  <a:rPr lang="en-US" sz="1000">
                    <a:effectLst/>
                    <a:latin typeface="Times New Roman" panose="02020603050405020304" pitchFamily="18" charset="0"/>
                    <a:cs typeface="Times New Roman" panose="02020603050405020304" pitchFamily="18" charset="0"/>
                  </a:rPr>
                  <a:t>, kg/ha</a:t>
                </a:r>
                <a:endParaRPr lang="ru-RU" sz="1000">
                  <a:effectLst/>
                  <a:latin typeface="Times New Roman" panose="02020603050405020304" pitchFamily="18" charset="0"/>
                  <a:cs typeface="Times New Roman" panose="02020603050405020304" pitchFamily="18" charset="0"/>
                </a:endParaRPr>
              </a:p>
            </c:rich>
          </c:tx>
          <c:layout>
            <c:manualLayout>
              <c:xMode val="edge"/>
              <c:yMode val="edge"/>
              <c:x val="0.80804571303587036"/>
              <c:y val="0.778691309419655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49714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CEE2A-8201-4AF3-B3DC-1FDC83DEE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8</Pages>
  <Words>2965</Words>
  <Characters>16904</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19830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41</cp:revision>
  <cp:lastPrinted>1999-07-06T11:00:00Z</cp:lastPrinted>
  <dcterms:created xsi:type="dcterms:W3CDTF">2025-04-23T08:23:00Z</dcterms:created>
  <dcterms:modified xsi:type="dcterms:W3CDTF">2025-04-30T08:15:00Z</dcterms:modified>
</cp:coreProperties>
</file>