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8BEB3" w14:textId="63AA2F59" w:rsidR="00BC28F6" w:rsidRDefault="00BC28F6" w:rsidP="00BC28F6">
      <w:pPr>
        <w:pBdr>
          <w:bottom w:val="single" w:sz="6" w:space="1" w:color="auto"/>
        </w:pBdr>
        <w:rPr>
          <w:rFonts w:asciiTheme="majorBidi" w:hAnsiTheme="majorBidi" w:cstheme="majorBidi"/>
          <w:b/>
          <w:bCs/>
          <w:sz w:val="32"/>
          <w:szCs w:val="32"/>
        </w:rPr>
      </w:pPr>
    </w:p>
    <w:p w14:paraId="21DF402F" w14:textId="437BEB75" w:rsidR="00BC28F6" w:rsidRPr="00EB6654" w:rsidRDefault="00BC28F6" w:rsidP="00BC28F6">
      <w:pPr>
        <w:pBdr>
          <w:bottom w:val="single" w:sz="6" w:space="1" w:color="auto"/>
        </w:pBdr>
        <w:jc w:val="center"/>
        <w:rPr>
          <w:rFonts w:asciiTheme="majorBidi" w:hAnsiTheme="majorBidi" w:cstheme="majorBidi"/>
          <w:b/>
          <w:bCs/>
          <w:sz w:val="32"/>
          <w:szCs w:val="32"/>
        </w:rPr>
      </w:pPr>
      <w:r w:rsidRPr="00EB6654">
        <w:rPr>
          <w:rFonts w:asciiTheme="majorBidi" w:hAnsiTheme="majorBidi" w:cstheme="majorBidi"/>
          <w:b/>
          <w:bCs/>
          <w:sz w:val="32"/>
          <w:szCs w:val="32"/>
        </w:rPr>
        <w:t>Assessing the Influence of Merger with Respect to Financial Performance of Indian Bank: A CAMEL Approach Analysis</w:t>
      </w:r>
    </w:p>
    <w:p w14:paraId="0404C578" w14:textId="77777777" w:rsidR="009B6EBC" w:rsidRDefault="009B6EBC" w:rsidP="00BC28F6">
      <w:pPr>
        <w:pBdr>
          <w:bottom w:val="single" w:sz="6" w:space="1" w:color="auto"/>
        </w:pBdr>
        <w:jc w:val="center"/>
        <w:rPr>
          <w:rFonts w:asciiTheme="majorBidi" w:hAnsiTheme="majorBidi" w:cstheme="majorBidi"/>
          <w:b/>
          <w:bCs/>
        </w:rPr>
      </w:pPr>
    </w:p>
    <w:p w14:paraId="1825DEC3" w14:textId="77777777" w:rsidR="00DC4927" w:rsidRDefault="00DC4927" w:rsidP="00BC28F6">
      <w:pPr>
        <w:pBdr>
          <w:bottom w:val="single" w:sz="6" w:space="1" w:color="auto"/>
        </w:pBdr>
        <w:jc w:val="center"/>
        <w:rPr>
          <w:rFonts w:asciiTheme="majorBidi" w:hAnsiTheme="majorBidi" w:cstheme="majorBidi"/>
          <w:b/>
          <w:bCs/>
        </w:rPr>
      </w:pPr>
    </w:p>
    <w:p w14:paraId="62DF1FD1" w14:textId="3C79BF6C" w:rsidR="007A2724" w:rsidRPr="005D629B" w:rsidRDefault="007A2724" w:rsidP="00F10B99">
      <w:pPr>
        <w:spacing w:before="240"/>
        <w:jc w:val="center"/>
        <w:rPr>
          <w:rFonts w:asciiTheme="majorBidi" w:hAnsiTheme="majorBidi" w:cstheme="majorBidi"/>
          <w:b/>
          <w:bCs/>
          <w:sz w:val="28"/>
          <w:szCs w:val="28"/>
          <w:lang w:val="en-US"/>
        </w:rPr>
      </w:pPr>
      <w:r w:rsidRPr="005D629B">
        <w:rPr>
          <w:rFonts w:asciiTheme="majorBidi" w:hAnsiTheme="majorBidi" w:cstheme="majorBidi"/>
          <w:b/>
          <w:bCs/>
          <w:sz w:val="28"/>
          <w:szCs w:val="28"/>
          <w:lang w:val="en-US"/>
        </w:rPr>
        <w:t>ABSTRACT</w:t>
      </w:r>
    </w:p>
    <w:p w14:paraId="7BBE2B70" w14:textId="77777777" w:rsidR="0042337F" w:rsidRDefault="0042337F" w:rsidP="0042337F">
      <w:pPr>
        <w:spacing w:line="360" w:lineRule="auto"/>
        <w:jc w:val="both"/>
        <w:rPr>
          <w:color w:val="000000"/>
        </w:rPr>
      </w:pPr>
    </w:p>
    <w:p w14:paraId="7D0DAF65" w14:textId="110EB18D" w:rsidR="0042337F" w:rsidRPr="0042337F" w:rsidRDefault="0042337F" w:rsidP="0042337F">
      <w:pPr>
        <w:spacing w:line="360" w:lineRule="auto"/>
        <w:jc w:val="both"/>
      </w:pPr>
      <w:r w:rsidRPr="0042337F">
        <w:rPr>
          <w:color w:val="000000"/>
        </w:rPr>
        <w:t>The merger of Allahabad Bank and Indian Bank, effective from April 1, 2020, is a significant event in India’s public sector banking consolidation. This study examines the merger's impact on Indian Bank’s financial performance using the CAMEL framework, which assesses Capital Adequacy, Asset Quality, Management Quality, Earnings, and Liquidity. A paired t-test was applied to analyse the bank's pre- and post-merger performance. The results show notable improvements in Asset Quality, Management Quality, and Earnings, indicating that the merger enhanced operational efficiency, profitability, and management practices. However, mixed results were observed in Asset Quality and Management Efficiency, suggesting ongoing challenges related to liquidity and financial stability. The study concludes that while the merger offers growth potential, its success depends on effective integration and continuous monitoring of key performance metrics. The CAMEL framework provides valuable insights into the impact of mergers in the Indian banking sector.</w:t>
      </w:r>
    </w:p>
    <w:p w14:paraId="3210DC96" w14:textId="73561028" w:rsidR="00F10B99" w:rsidRDefault="00B72542" w:rsidP="00B10EB4">
      <w:pPr>
        <w:spacing w:before="100" w:beforeAutospacing="1" w:after="100" w:afterAutospacing="1" w:line="360" w:lineRule="auto"/>
        <w:jc w:val="both"/>
        <w:rPr>
          <w:color w:val="000000"/>
        </w:rPr>
      </w:pPr>
      <w:r w:rsidRPr="00B72542">
        <w:rPr>
          <w:b/>
          <w:bCs/>
          <w:color w:val="000000"/>
        </w:rPr>
        <w:t>Keywords</w:t>
      </w:r>
      <w:r w:rsidRPr="00B72542">
        <w:rPr>
          <w:color w:val="000000"/>
        </w:rPr>
        <w:t>: Merger</w:t>
      </w:r>
      <w:r w:rsidR="004E2549">
        <w:rPr>
          <w:color w:val="000000"/>
        </w:rPr>
        <w:t>;</w:t>
      </w:r>
      <w:r w:rsidRPr="00B72542">
        <w:rPr>
          <w:color w:val="000000"/>
        </w:rPr>
        <w:t xml:space="preserve"> Financial Performance</w:t>
      </w:r>
      <w:r w:rsidR="004E2549">
        <w:rPr>
          <w:color w:val="000000"/>
        </w:rPr>
        <w:t xml:space="preserve">; </w:t>
      </w:r>
      <w:r w:rsidRPr="00B72542">
        <w:rPr>
          <w:color w:val="000000"/>
        </w:rPr>
        <w:t>CAMEL Framework</w:t>
      </w:r>
      <w:r w:rsidR="004E2549">
        <w:rPr>
          <w:color w:val="000000"/>
        </w:rPr>
        <w:t xml:space="preserve">; </w:t>
      </w:r>
      <w:r w:rsidR="0025516F">
        <w:rPr>
          <w:color w:val="000000"/>
        </w:rPr>
        <w:t>Commercial Banks</w:t>
      </w:r>
      <w:r w:rsidR="004E2549">
        <w:rPr>
          <w:color w:val="000000"/>
        </w:rPr>
        <w:t>;</w:t>
      </w:r>
      <w:r w:rsidR="0025516F">
        <w:rPr>
          <w:color w:val="000000"/>
        </w:rPr>
        <w:t xml:space="preserve"> India.</w:t>
      </w:r>
    </w:p>
    <w:p w14:paraId="355C1CDA" w14:textId="782E37E5" w:rsidR="00EA7507" w:rsidRDefault="00EA7507" w:rsidP="00B10EB4">
      <w:pPr>
        <w:spacing w:before="100" w:beforeAutospacing="1" w:after="100" w:afterAutospacing="1" w:line="360" w:lineRule="auto"/>
        <w:jc w:val="both"/>
        <w:rPr>
          <w:rFonts w:ascii="Calibri" w:hAnsi="Calibri" w:cs="Calibri"/>
          <w:color w:val="000000"/>
        </w:rPr>
      </w:pPr>
      <w:r w:rsidRPr="00EA7507">
        <w:rPr>
          <w:rFonts w:ascii="Calibri" w:hAnsi="Calibri" w:cs="Calibri"/>
          <w:color w:val="000000"/>
        </w:rPr>
        <w:t>JEL CLASSIFICATION : C12, G21, G28, G34, L25</w:t>
      </w:r>
    </w:p>
    <w:p w14:paraId="03F77EB9" w14:textId="5BEC0EA8" w:rsidR="009B62C9" w:rsidRPr="005D629B" w:rsidRDefault="005D629B" w:rsidP="009B62C9">
      <w:pPr>
        <w:rPr>
          <w:rFonts w:asciiTheme="majorBidi" w:hAnsiTheme="majorBidi" w:cstheme="majorBidi"/>
          <w:b/>
          <w:bCs/>
          <w:sz w:val="28"/>
          <w:szCs w:val="28"/>
        </w:rPr>
      </w:pPr>
      <w:r w:rsidRPr="005D629B">
        <w:rPr>
          <w:rFonts w:asciiTheme="majorBidi" w:hAnsiTheme="majorBidi" w:cstheme="majorBidi"/>
          <w:b/>
          <w:bCs/>
          <w:sz w:val="28"/>
          <w:szCs w:val="28"/>
        </w:rPr>
        <w:t>STUDY HIGHLIGHTS</w:t>
      </w:r>
    </w:p>
    <w:p w14:paraId="48C52F50" w14:textId="77777777" w:rsidR="009B62C9" w:rsidRPr="005D629B" w:rsidRDefault="009B62C9" w:rsidP="009B62C9">
      <w:pPr>
        <w:spacing w:before="100" w:beforeAutospacing="1" w:after="100" w:afterAutospacing="1" w:line="360" w:lineRule="auto"/>
        <w:jc w:val="both"/>
        <w:rPr>
          <w:color w:val="000000"/>
        </w:rPr>
      </w:pPr>
      <w:r w:rsidRPr="005D629B">
        <w:rPr>
          <w:color w:val="000000"/>
        </w:rPr>
        <w:t>The merger of Allahabad Bank and Indian Bank, effective from April 1, 2020, is a key development in India’s public sector banking consolidation. This study evaluates the impact of the merger on Indian Bank's financial performance using the CAMEL framework, which assesses Capital Adequacy, Asset Quality, Management Quality, Earnings, and Liquidity. By applying a paired t-test to pre- and post-merger data, the results reveal improvements in Asset Quality, Management Quality, and Earnings, indicating enhanced operational efficiency, profitability, and management practices.</w:t>
      </w:r>
    </w:p>
    <w:p w14:paraId="20234414" w14:textId="1A8B1E16" w:rsidR="009B62C9" w:rsidRPr="005D629B" w:rsidRDefault="009B62C9" w:rsidP="00B10EB4">
      <w:pPr>
        <w:spacing w:before="100" w:beforeAutospacing="1" w:after="100" w:afterAutospacing="1" w:line="360" w:lineRule="auto"/>
        <w:jc w:val="both"/>
        <w:rPr>
          <w:color w:val="000000"/>
        </w:rPr>
      </w:pPr>
      <w:r w:rsidRPr="005D629B">
        <w:rPr>
          <w:color w:val="000000"/>
        </w:rPr>
        <w:t xml:space="preserve">However, mixed outcomes were observed in Asset Quality and Management Efficiency, highlighting persistent challenges in liquidity and financial stability. The findings suggest that </w:t>
      </w:r>
      <w:r w:rsidRPr="005D629B">
        <w:rPr>
          <w:color w:val="000000"/>
        </w:rPr>
        <w:lastRenderedPageBreak/>
        <w:t>while the merger has the potential for long-term growth, its success hinges on effective integration and continuous monitoring of key performance metrics. This study provides valuable insights into the impact of banking mergers in India, emphasizing the need for careful management of integration processes to ensure sustained financial health and operational success.</w:t>
      </w:r>
    </w:p>
    <w:p w14:paraId="3F91E7BE" w14:textId="6AA5B57C" w:rsidR="00124C44" w:rsidRPr="005D629B" w:rsidRDefault="00124C44" w:rsidP="00EA4355">
      <w:pPr>
        <w:pStyle w:val="ListParagraph"/>
        <w:numPr>
          <w:ilvl w:val="0"/>
          <w:numId w:val="1"/>
        </w:numPr>
        <w:spacing w:after="240"/>
        <w:jc w:val="both"/>
        <w:rPr>
          <w:rFonts w:asciiTheme="majorBidi" w:hAnsiTheme="majorBidi" w:cstheme="majorBidi"/>
          <w:b/>
          <w:sz w:val="28"/>
          <w:szCs w:val="28"/>
          <w:lang w:val="en-US"/>
        </w:rPr>
      </w:pPr>
      <w:r w:rsidRPr="005D629B">
        <w:rPr>
          <w:rFonts w:asciiTheme="majorBidi" w:hAnsiTheme="majorBidi" w:cstheme="majorBidi"/>
          <w:b/>
          <w:sz w:val="28"/>
          <w:szCs w:val="28"/>
          <w:lang w:val="en-US"/>
        </w:rPr>
        <w:t>INTRODUCTION</w:t>
      </w:r>
      <w:r w:rsidR="00F10B99" w:rsidRPr="005D629B">
        <w:rPr>
          <w:rFonts w:asciiTheme="majorBidi" w:hAnsiTheme="majorBidi" w:cstheme="majorBidi"/>
          <w:b/>
          <w:sz w:val="28"/>
          <w:szCs w:val="28"/>
          <w:lang w:val="en-US"/>
        </w:rPr>
        <w:t>:</w:t>
      </w:r>
    </w:p>
    <w:p w14:paraId="39CC670C" w14:textId="411E571C" w:rsidR="004165E8" w:rsidRDefault="004165E8" w:rsidP="00770EAA">
      <w:pPr>
        <w:spacing w:line="360" w:lineRule="auto"/>
        <w:jc w:val="both"/>
        <w:rPr>
          <w:rFonts w:asciiTheme="majorBidi" w:hAnsiTheme="majorBidi" w:cstheme="majorBidi"/>
        </w:rPr>
      </w:pPr>
      <w:r w:rsidRPr="00A34F87">
        <w:rPr>
          <w:rFonts w:asciiTheme="majorBidi" w:hAnsiTheme="majorBidi" w:cstheme="majorBidi"/>
        </w:rPr>
        <w:t>For decades banking mergers have significantly impacted the financial industry influencing both domestic and global banking environments</w:t>
      </w:r>
      <w:r w:rsidRPr="00F10B99">
        <w:rPr>
          <w:rFonts w:asciiTheme="majorBidi" w:hAnsiTheme="majorBidi" w:cstheme="majorBidi"/>
          <w:color w:val="FF0000"/>
        </w:rPr>
        <w:t xml:space="preserve">. </w:t>
      </w:r>
      <w:r w:rsidRPr="008048F6">
        <w:rPr>
          <w:rFonts w:asciiTheme="majorBidi" w:hAnsiTheme="majorBidi" w:cstheme="majorBidi"/>
          <w:color w:val="000000"/>
        </w:rPr>
        <w:t>These mergers, where multiple banking institutions combine into one, have substantial economic repercussions. They are motivated by various factors such as the drive for greater operational efficiency, expansion into new markets, and improved financial stability</w:t>
      </w:r>
      <w:r w:rsidR="008E3DC3">
        <w:rPr>
          <w:rFonts w:asciiTheme="majorBidi" w:hAnsiTheme="majorBidi" w:cstheme="majorBidi"/>
          <w:color w:val="000000"/>
        </w:rPr>
        <w:t xml:space="preserve"> (</w:t>
      </w:r>
      <w:proofErr w:type="spellStart"/>
      <w:r w:rsidR="008E3DC3" w:rsidRPr="008E3DC3">
        <w:rPr>
          <w:rFonts w:asciiTheme="majorBidi" w:hAnsiTheme="majorBidi" w:cstheme="majorBidi"/>
          <w:color w:val="000000"/>
        </w:rPr>
        <w:t>Maani</w:t>
      </w:r>
      <w:proofErr w:type="spellEnd"/>
      <w:r w:rsidR="008E3DC3">
        <w:rPr>
          <w:rFonts w:asciiTheme="majorBidi" w:hAnsiTheme="majorBidi" w:cstheme="majorBidi"/>
          <w:color w:val="000000"/>
        </w:rPr>
        <w:t xml:space="preserve"> </w:t>
      </w:r>
      <w:r w:rsidR="008E3DC3" w:rsidRPr="008E3DC3">
        <w:rPr>
          <w:rFonts w:asciiTheme="majorBidi" w:hAnsiTheme="majorBidi" w:cstheme="majorBidi"/>
          <w:color w:val="000000"/>
        </w:rPr>
        <w:t>&amp; Rajkumar</w:t>
      </w:r>
      <w:r w:rsidR="008E3DC3">
        <w:rPr>
          <w:rFonts w:asciiTheme="majorBidi" w:hAnsiTheme="majorBidi" w:cstheme="majorBidi"/>
          <w:color w:val="000000"/>
        </w:rPr>
        <w:t>, 2024)</w:t>
      </w:r>
      <w:r w:rsidRPr="008048F6">
        <w:rPr>
          <w:rFonts w:asciiTheme="majorBidi" w:hAnsiTheme="majorBidi" w:cstheme="majorBidi"/>
          <w:color w:val="000000"/>
        </w:rPr>
        <w:t>. As banks aim to enhance their performance and adjust to changing market conditions, it is essential to grasp the complexities and outcomes of these mergers.</w:t>
      </w:r>
      <w:r w:rsidR="009E341D" w:rsidRPr="008048F6">
        <w:rPr>
          <w:rFonts w:asciiTheme="majorBidi" w:hAnsiTheme="majorBidi" w:cstheme="majorBidi"/>
          <w:color w:val="000000"/>
        </w:rPr>
        <w:t xml:space="preserve"> </w:t>
      </w:r>
      <w:r w:rsidR="009E341D" w:rsidRPr="008048F6">
        <w:rPr>
          <w:rFonts w:asciiTheme="majorBidi" w:hAnsiTheme="majorBidi" w:cstheme="majorBidi"/>
        </w:rPr>
        <w:t xml:space="preserve">M&amp;A transactions offer Indian companies benefits like access to new markets, technologies, and economies of scale. </w:t>
      </w:r>
      <w:r w:rsidR="009E341D" w:rsidRPr="00B72248">
        <w:rPr>
          <w:rFonts w:asciiTheme="majorBidi" w:hAnsiTheme="majorBidi" w:cstheme="majorBidi"/>
          <w:color w:val="000000" w:themeColor="text1"/>
        </w:rPr>
        <w:t>However, they also involve</w:t>
      </w:r>
      <w:r w:rsidR="00352336" w:rsidRPr="00352336">
        <w:rPr>
          <w:rFonts w:ascii="-webkit-standard" w:hAnsi="-webkit-standard"/>
          <w:color w:val="000000"/>
          <w:sz w:val="27"/>
          <w:szCs w:val="27"/>
        </w:rPr>
        <w:t xml:space="preserve"> </w:t>
      </w:r>
      <w:r w:rsidR="00352336" w:rsidRPr="00352336">
        <w:rPr>
          <w:color w:val="000000"/>
        </w:rPr>
        <w:t>Challenges, such as difficulties in merging systems, cultural disparities, and compliance with regulations</w:t>
      </w:r>
      <w:r w:rsidR="009E341D" w:rsidRPr="00B72248">
        <w:rPr>
          <w:rFonts w:asciiTheme="majorBidi" w:hAnsiTheme="majorBidi" w:cstheme="majorBidi"/>
          <w:color w:val="000000" w:themeColor="text1"/>
        </w:rPr>
        <w:t>, necessitating careful planning and understanding of local dynamics</w:t>
      </w:r>
      <w:r w:rsidR="00504429">
        <w:rPr>
          <w:rFonts w:asciiTheme="majorBidi" w:hAnsiTheme="majorBidi" w:cstheme="majorBidi"/>
          <w:color w:val="000000" w:themeColor="text1"/>
        </w:rPr>
        <w:t xml:space="preserve"> </w:t>
      </w:r>
      <w:r w:rsidR="00866A0E" w:rsidRPr="00B72248">
        <w:rPr>
          <w:rFonts w:asciiTheme="majorBidi" w:hAnsiTheme="majorBidi" w:cstheme="majorBidi"/>
          <w:color w:val="000000" w:themeColor="text1"/>
        </w:rPr>
        <w:fldChar w:fldCharType="begin"/>
      </w:r>
      <w:r w:rsidR="00866A0E" w:rsidRPr="00B72248">
        <w:rPr>
          <w:rFonts w:asciiTheme="majorBidi" w:hAnsiTheme="majorBidi" w:cstheme="majorBidi"/>
          <w:color w:val="000000" w:themeColor="text1"/>
        </w:rPr>
        <w:instrText xml:space="preserve"> ADDIN ZOTERO_ITEM CSL_CITATION {"citationID":"pKoEAbC6","properties":{"formattedCitation":"({\\i{}17ArticleJayBhaveshParekh.Pdf}, n.d.)","plainCitation":"(17ArticleJayBhaveshParekh.Pdf, n.d.)","noteIndex":0},"citationItems":[{"id":84,"uris":["http://zotero.org/users/local/yasKWql4/items/FRIZUXHL"],"itemData":{"id":84,"type":"document","title":"17ArticleJayBhaveshParekh.pdf","URL":"https://www.icsi.edu/media/webmodules/CSJ/May/17ArticleJayBhaveshParekh.pdf","accessed":{"date-parts":[["2024",9,23]]}}}],"schema":"https://github.com/citation-style-language/schema/raw/master/csl-citation.json"} </w:instrText>
      </w:r>
      <w:r w:rsidR="00866A0E" w:rsidRPr="00B72248">
        <w:rPr>
          <w:rFonts w:asciiTheme="majorBidi" w:hAnsiTheme="majorBidi" w:cstheme="majorBidi"/>
          <w:color w:val="000000" w:themeColor="text1"/>
        </w:rPr>
        <w:fldChar w:fldCharType="separate"/>
      </w:r>
      <w:r w:rsidR="00866A0E" w:rsidRPr="00B72248">
        <w:rPr>
          <w:rFonts w:asciiTheme="majorBidi" w:hAnsiTheme="majorBidi" w:cstheme="majorBidi"/>
          <w:color w:val="000000" w:themeColor="text1"/>
          <w:lang w:val="en-US"/>
        </w:rPr>
        <w:t>(</w:t>
      </w:r>
      <w:r w:rsidR="00866A0E" w:rsidRPr="00B72248">
        <w:rPr>
          <w:rFonts w:asciiTheme="majorBidi" w:hAnsiTheme="majorBidi" w:cstheme="majorBidi"/>
          <w:i/>
          <w:iCs/>
          <w:color w:val="000000" w:themeColor="text1"/>
          <w:lang w:val="en-US"/>
        </w:rPr>
        <w:t>17ArticleJayBhaveshParekh.Pdf</w:t>
      </w:r>
      <w:r w:rsidR="00866A0E" w:rsidRPr="00B72248">
        <w:rPr>
          <w:rFonts w:asciiTheme="majorBidi" w:hAnsiTheme="majorBidi" w:cstheme="majorBidi"/>
          <w:color w:val="000000" w:themeColor="text1"/>
          <w:lang w:val="en-US"/>
        </w:rPr>
        <w:t>, n.d.)</w:t>
      </w:r>
      <w:r w:rsidR="00866A0E" w:rsidRPr="00B72248">
        <w:rPr>
          <w:rFonts w:asciiTheme="majorBidi" w:hAnsiTheme="majorBidi" w:cstheme="majorBidi"/>
          <w:color w:val="000000" w:themeColor="text1"/>
        </w:rPr>
        <w:fldChar w:fldCharType="end"/>
      </w:r>
      <w:r w:rsidR="00F10B99">
        <w:rPr>
          <w:rFonts w:asciiTheme="majorBidi" w:hAnsiTheme="majorBidi" w:cstheme="majorBidi"/>
        </w:rPr>
        <w:t>.</w:t>
      </w:r>
      <w:r w:rsidR="00866A0E" w:rsidRPr="008048F6">
        <w:rPr>
          <w:rFonts w:asciiTheme="majorBidi" w:hAnsiTheme="majorBidi" w:cstheme="majorBidi"/>
        </w:rPr>
        <w:t xml:space="preserve"> Mergers and acquisitions are strategies for growth and market expansion, but they involve complexities that demand careful planning and integration. Success hinges on factors like strategic fit, cultural alignment, and communication. Companies must assess potential benefits and risks to ensure effective management and stakeholder value creation.</w:t>
      </w:r>
    </w:p>
    <w:p w14:paraId="3E89AD90" w14:textId="77777777" w:rsidR="00D80F46" w:rsidRDefault="00D80F46" w:rsidP="00D80F46">
      <w:pPr>
        <w:rPr>
          <w:rFonts w:ascii="-webkit-standard" w:hAnsi="-webkit-standard"/>
          <w:color w:val="000000"/>
          <w:sz w:val="27"/>
          <w:szCs w:val="27"/>
        </w:rPr>
      </w:pPr>
    </w:p>
    <w:p w14:paraId="4805FEEF" w14:textId="1ACD4AAB" w:rsidR="00D80F46" w:rsidRPr="00D80F46" w:rsidRDefault="00D80F46" w:rsidP="00D80F46">
      <w:pPr>
        <w:spacing w:line="360" w:lineRule="auto"/>
        <w:jc w:val="both"/>
      </w:pPr>
      <w:r w:rsidRPr="00D80F46">
        <w:rPr>
          <w:color w:val="000000"/>
        </w:rPr>
        <w:t xml:space="preserve">The impact of mergers and acquisitions (M&amp;As) on the financial performance of banks has been widely studied in the context of both developed and emerging markets. Research suggests that the effects of mergers on a bank’s financial stability and profitability depend on various factors, including the efficiency of integration, the scale of operations, and the financial health of the institutions involved </w:t>
      </w:r>
      <w:sdt>
        <w:sdtPr>
          <w:rPr>
            <w:color w:val="000000"/>
          </w:rPr>
          <w:id w:val="-248663087"/>
          <w:citation/>
        </w:sdtPr>
        <w:sdtEndPr/>
        <w:sdtContent>
          <w:r w:rsidR="00AF4076">
            <w:rPr>
              <w:color w:val="000000"/>
            </w:rPr>
            <w:fldChar w:fldCharType="begin"/>
          </w:r>
          <w:r w:rsidR="001C5323">
            <w:rPr>
              <w:color w:val="000000"/>
              <w:lang w:val="en-US"/>
            </w:rPr>
            <w:instrText xml:space="preserve">CITATION Ban14 \l 1033 </w:instrText>
          </w:r>
          <w:r w:rsidR="00AF4076">
            <w:rPr>
              <w:color w:val="000000"/>
            </w:rPr>
            <w:fldChar w:fldCharType="separate"/>
          </w:r>
          <w:r w:rsidR="001C5323" w:rsidRPr="001C5323">
            <w:rPr>
              <w:noProof/>
              <w:color w:val="000000"/>
              <w:lang w:val="en-US"/>
            </w:rPr>
            <w:t>(Bandyopadhyay, 2014)</w:t>
          </w:r>
          <w:r w:rsidR="00AF4076">
            <w:rPr>
              <w:color w:val="000000"/>
            </w:rPr>
            <w:fldChar w:fldCharType="end"/>
          </w:r>
        </w:sdtContent>
      </w:sdt>
      <w:r w:rsidRPr="00D80F46">
        <w:rPr>
          <w:color w:val="000000"/>
        </w:rPr>
        <w:t xml:space="preserve">. In the banking sector, mergers often lead to improved financial performance due to increased market share, enhanced operational efficiency, and better resource utilization </w:t>
      </w:r>
      <w:sdt>
        <w:sdtPr>
          <w:rPr>
            <w:color w:val="000000"/>
          </w:rPr>
          <w:id w:val="1447659654"/>
          <w:citation/>
        </w:sdtPr>
        <w:sdtEndPr/>
        <w:sdtContent>
          <w:r w:rsidR="00504429">
            <w:rPr>
              <w:color w:val="000000"/>
            </w:rPr>
            <w:fldChar w:fldCharType="begin"/>
          </w:r>
          <w:r w:rsidR="001C5323">
            <w:rPr>
              <w:color w:val="000000"/>
              <w:lang w:val="en-US"/>
            </w:rPr>
            <w:instrText xml:space="preserve">CITATION DeY07 \l 1033 </w:instrText>
          </w:r>
          <w:r w:rsidR="00504429">
            <w:rPr>
              <w:color w:val="000000"/>
            </w:rPr>
            <w:fldChar w:fldCharType="separate"/>
          </w:r>
          <w:r w:rsidR="001C5323" w:rsidRPr="001C5323">
            <w:rPr>
              <w:noProof/>
              <w:color w:val="000000"/>
              <w:lang w:val="en-US"/>
            </w:rPr>
            <w:t>(DeYoung, 2007)</w:t>
          </w:r>
          <w:r w:rsidR="00504429">
            <w:rPr>
              <w:color w:val="000000"/>
            </w:rPr>
            <w:fldChar w:fldCharType="end"/>
          </w:r>
        </w:sdtContent>
      </w:sdt>
      <w:r w:rsidRPr="00D80F46">
        <w:rPr>
          <w:color w:val="000000"/>
        </w:rPr>
        <w:t>.</w:t>
      </w:r>
    </w:p>
    <w:p w14:paraId="1D4211B5" w14:textId="77777777" w:rsidR="00D80F46" w:rsidRDefault="00D80F46" w:rsidP="00F10B99">
      <w:pPr>
        <w:spacing w:line="360" w:lineRule="auto"/>
        <w:jc w:val="both"/>
        <w:rPr>
          <w:rFonts w:asciiTheme="majorBidi" w:hAnsiTheme="majorBidi" w:cstheme="majorBidi"/>
        </w:rPr>
      </w:pPr>
    </w:p>
    <w:p w14:paraId="1793A9EB" w14:textId="14AD1437" w:rsidR="00A34F87" w:rsidRDefault="00A34F87" w:rsidP="00F10B99">
      <w:pPr>
        <w:spacing w:line="360" w:lineRule="auto"/>
        <w:jc w:val="both"/>
        <w:rPr>
          <w:rFonts w:asciiTheme="majorBidi" w:hAnsiTheme="majorBidi" w:cstheme="majorBidi"/>
          <w:color w:val="FF0000"/>
        </w:rPr>
      </w:pPr>
      <w:r w:rsidRPr="00A34F87">
        <w:rPr>
          <w:rFonts w:asciiTheme="majorBidi" w:hAnsiTheme="majorBidi" w:cstheme="majorBidi"/>
        </w:rPr>
        <w:t>Bank mergers lead to enhanced scale efficiency by expanding the customer base and market presence. With a wider array of products and services available to customers, the risk associated with lending capital is reduced</w:t>
      </w:r>
      <w:r w:rsidR="00DD7FE3">
        <w:rPr>
          <w:rFonts w:asciiTheme="majorBidi" w:hAnsiTheme="majorBidi" w:cstheme="majorBidi"/>
        </w:rPr>
        <w:t xml:space="preserve"> (</w:t>
      </w:r>
      <w:r w:rsidR="00DD7FE3">
        <w:rPr>
          <w:rFonts w:ascii="Arial" w:hAnsi="Arial" w:cs="Arial"/>
          <w:color w:val="222222"/>
          <w:sz w:val="20"/>
          <w:szCs w:val="20"/>
          <w:shd w:val="clear" w:color="auto" w:fill="FFFFFF"/>
        </w:rPr>
        <w:t>Singh &amp; Das, 2018</w:t>
      </w:r>
      <w:r w:rsidR="00DD7FE3">
        <w:rPr>
          <w:rFonts w:asciiTheme="majorBidi" w:hAnsiTheme="majorBidi" w:cstheme="majorBidi"/>
        </w:rPr>
        <w:t>)</w:t>
      </w:r>
      <w:r w:rsidRPr="00A34F87">
        <w:rPr>
          <w:rFonts w:asciiTheme="majorBidi" w:hAnsiTheme="majorBidi" w:cstheme="majorBidi"/>
        </w:rPr>
        <w:t xml:space="preserve">. The merger of two banks enables </w:t>
      </w:r>
      <w:r w:rsidRPr="00A34F87">
        <w:rPr>
          <w:rFonts w:asciiTheme="majorBidi" w:hAnsiTheme="majorBidi" w:cstheme="majorBidi"/>
        </w:rPr>
        <w:lastRenderedPageBreak/>
        <w:t>the realization of economies of scale. By combining their resources and asset bases, the merged entity can more effectively reach new customers and provide enhanced, customized services due to its larger financial foundation. Additionally, administrative and operational costs decrease, as these expenses are distributed over a broader customer base</w:t>
      </w:r>
      <w:r w:rsidRPr="00A34F87">
        <w:rPr>
          <w:rFonts w:asciiTheme="majorBidi" w:hAnsiTheme="majorBidi" w:cstheme="majorBidi"/>
          <w:color w:val="FF0000"/>
        </w:rPr>
        <w:t xml:space="preserve"> </w:t>
      </w:r>
      <w:r w:rsidRPr="00B72248">
        <w:rPr>
          <w:rFonts w:asciiTheme="majorBidi" w:hAnsiTheme="majorBidi" w:cstheme="majorBidi"/>
          <w:color w:val="000000" w:themeColor="text1"/>
        </w:rPr>
        <w:t>(Kumar &amp; Bahl, 2022).</w:t>
      </w:r>
    </w:p>
    <w:p w14:paraId="7DAB0CC7" w14:textId="77777777" w:rsidR="001C5323" w:rsidRDefault="001C5323" w:rsidP="00F10B99">
      <w:pPr>
        <w:spacing w:line="360" w:lineRule="auto"/>
        <w:jc w:val="both"/>
        <w:rPr>
          <w:rFonts w:asciiTheme="majorBidi" w:hAnsiTheme="majorBidi" w:cstheme="majorBidi"/>
        </w:rPr>
      </w:pPr>
    </w:p>
    <w:p w14:paraId="35282658" w14:textId="77777777" w:rsidR="00B0347A" w:rsidRDefault="00F7336F" w:rsidP="00D64AD7">
      <w:pPr>
        <w:spacing w:line="360" w:lineRule="auto"/>
        <w:jc w:val="both"/>
        <w:rPr>
          <w:rFonts w:asciiTheme="majorBidi" w:hAnsiTheme="majorBidi" w:cstheme="majorBidi"/>
        </w:rPr>
      </w:pPr>
      <w:r w:rsidRPr="008048F6">
        <w:rPr>
          <w:rFonts w:asciiTheme="majorBidi" w:hAnsiTheme="majorBidi" w:cstheme="majorBidi"/>
        </w:rPr>
        <w:t>Many companies find that mergers lead to instability and losses, often faring better pre-merger. Poor integration, negotiation errors, and external factors contribute to M&amp;A failures, necessitating thorough analysis beforehand.</w:t>
      </w:r>
      <w:r w:rsidR="00B0347A">
        <w:rPr>
          <w:rFonts w:asciiTheme="majorBidi" w:hAnsiTheme="majorBidi" w:cstheme="majorBidi"/>
        </w:rPr>
        <w:t xml:space="preserve"> </w:t>
      </w:r>
    </w:p>
    <w:p w14:paraId="0AB35B93" w14:textId="77777777" w:rsidR="00B0347A" w:rsidRDefault="00B0347A" w:rsidP="00D64AD7">
      <w:pPr>
        <w:spacing w:line="360" w:lineRule="auto"/>
        <w:jc w:val="both"/>
        <w:rPr>
          <w:rFonts w:asciiTheme="majorBidi" w:hAnsiTheme="majorBidi" w:cstheme="majorBidi"/>
        </w:rPr>
      </w:pPr>
    </w:p>
    <w:p w14:paraId="2C2CC584" w14:textId="6053D230" w:rsidR="00770EAA" w:rsidRPr="00B0347A" w:rsidRDefault="00124C44" w:rsidP="00D64AD7">
      <w:pPr>
        <w:spacing w:line="360" w:lineRule="auto"/>
        <w:jc w:val="both"/>
        <w:rPr>
          <w:rFonts w:asciiTheme="majorBidi" w:hAnsiTheme="majorBidi" w:cstheme="majorBidi"/>
        </w:rPr>
      </w:pPr>
      <w:r w:rsidRPr="00F10B99">
        <w:rPr>
          <w:rFonts w:asciiTheme="majorBidi" w:hAnsiTheme="majorBidi" w:cstheme="majorBidi"/>
        </w:rPr>
        <w:t xml:space="preserve">Through a thorough analysis, this paper seeks to contribute to a deeper understanding of banking mergers, highlighting their role in </w:t>
      </w:r>
      <w:r w:rsidRPr="00A34F87">
        <w:rPr>
          <w:rFonts w:asciiTheme="majorBidi" w:hAnsiTheme="majorBidi" w:cstheme="majorBidi"/>
        </w:rPr>
        <w:t xml:space="preserve">the evolving economic environment and providing valuable perspectives </w:t>
      </w:r>
      <w:r w:rsidR="00A34F87" w:rsidRPr="00A34F87">
        <w:rPr>
          <w:rFonts w:asciiTheme="majorBidi" w:hAnsiTheme="majorBidi" w:cstheme="majorBidi"/>
        </w:rPr>
        <w:t>on their financial efficiency</w:t>
      </w:r>
      <w:r w:rsidRPr="00F10B99">
        <w:rPr>
          <w:rFonts w:asciiTheme="majorBidi" w:hAnsiTheme="majorBidi" w:cstheme="majorBidi"/>
        </w:rPr>
        <w:t>.</w:t>
      </w:r>
      <w:r w:rsidR="00DB7917" w:rsidRPr="00F10B99">
        <w:rPr>
          <w:rFonts w:asciiTheme="majorBidi" w:hAnsiTheme="majorBidi" w:cstheme="majorBidi"/>
        </w:rPr>
        <w:t xml:space="preserve"> This study uses CAMEL model</w:t>
      </w:r>
      <w:r w:rsidR="00825927">
        <w:rPr>
          <w:rFonts w:asciiTheme="majorBidi" w:hAnsiTheme="majorBidi" w:cstheme="majorBidi"/>
        </w:rPr>
        <w:t>,</w:t>
      </w:r>
      <w:r w:rsidR="00825927" w:rsidRPr="00EF0988">
        <w:rPr>
          <w:rFonts w:asciiTheme="majorBidi" w:hAnsiTheme="majorBidi" w:cstheme="majorBidi"/>
        </w:rPr>
        <w:t xml:space="preserve"> </w:t>
      </w:r>
      <w:r w:rsidR="00770EAA" w:rsidRPr="00770EAA">
        <w:rPr>
          <w:color w:val="000000"/>
        </w:rPr>
        <w:t>Conducted by the Federal Financial Institutions Examination Council (FFIEC) in the United States in the early 1980s, this study examines the financial performance of Indian Bank both prior to and following its merger.</w:t>
      </w:r>
    </w:p>
    <w:p w14:paraId="00B23EE7" w14:textId="77777777" w:rsidR="00770EAA" w:rsidRDefault="00770EAA" w:rsidP="00770EAA">
      <w:pPr>
        <w:spacing w:line="360" w:lineRule="auto"/>
        <w:jc w:val="both"/>
        <w:rPr>
          <w:rFonts w:asciiTheme="majorBidi" w:hAnsiTheme="majorBidi" w:cstheme="majorBidi"/>
        </w:rPr>
      </w:pPr>
    </w:p>
    <w:p w14:paraId="205FC631" w14:textId="4CA212A6" w:rsidR="00730896" w:rsidRPr="005D629B" w:rsidRDefault="00825927" w:rsidP="00770EAA">
      <w:pPr>
        <w:spacing w:line="360" w:lineRule="auto"/>
        <w:jc w:val="both"/>
        <w:rPr>
          <w:rFonts w:asciiTheme="majorBidi" w:hAnsiTheme="majorBidi" w:cstheme="majorBidi"/>
          <w:b/>
          <w:sz w:val="28"/>
          <w:szCs w:val="28"/>
        </w:rPr>
      </w:pPr>
      <w:r w:rsidRPr="00EF0988">
        <w:rPr>
          <w:rFonts w:asciiTheme="majorBidi" w:hAnsiTheme="majorBidi" w:cstheme="majorBidi"/>
        </w:rPr>
        <w:t xml:space="preserve"> </w:t>
      </w:r>
      <w:r w:rsidR="00730896" w:rsidRPr="005D629B">
        <w:rPr>
          <w:rFonts w:asciiTheme="majorBidi" w:hAnsiTheme="majorBidi" w:cstheme="majorBidi"/>
          <w:b/>
          <w:sz w:val="28"/>
          <w:szCs w:val="28"/>
        </w:rPr>
        <w:t>LITERATURE REVIEW</w:t>
      </w:r>
    </w:p>
    <w:p w14:paraId="1F01B1EC" w14:textId="1F137F2E" w:rsidR="00730896" w:rsidRPr="008048F6" w:rsidRDefault="00730896" w:rsidP="008048F6">
      <w:pPr>
        <w:jc w:val="both"/>
        <w:rPr>
          <w:rFonts w:asciiTheme="majorBidi" w:hAnsiTheme="majorBidi" w:cstheme="majorBidi"/>
        </w:rPr>
      </w:pPr>
    </w:p>
    <w:p w14:paraId="411D767D" w14:textId="19B65228" w:rsidR="007A4F92" w:rsidRDefault="008E3DC3" w:rsidP="00976C59">
      <w:pPr>
        <w:spacing w:line="360" w:lineRule="auto"/>
        <w:jc w:val="both"/>
        <w:rPr>
          <w:rFonts w:asciiTheme="majorBidi" w:hAnsiTheme="majorBidi" w:cstheme="majorBidi"/>
        </w:rPr>
      </w:pPr>
      <w:sdt>
        <w:sdtPr>
          <w:rPr>
            <w:rFonts w:asciiTheme="majorBidi" w:hAnsiTheme="majorBidi" w:cstheme="majorBidi"/>
          </w:rPr>
          <w:id w:val="245156863"/>
          <w:citation/>
        </w:sdtPr>
        <w:sdtEndPr/>
        <w:sdtContent>
          <w:r w:rsidR="001C5323">
            <w:rPr>
              <w:rFonts w:asciiTheme="majorBidi" w:hAnsiTheme="majorBidi" w:cstheme="majorBidi"/>
            </w:rPr>
            <w:fldChar w:fldCharType="begin"/>
          </w:r>
          <w:r w:rsidR="001C5323">
            <w:rPr>
              <w:rFonts w:asciiTheme="majorBidi" w:hAnsiTheme="majorBidi" w:cstheme="majorBidi"/>
              <w:lang w:val="en-US"/>
            </w:rPr>
            <w:instrText xml:space="preserve"> CITATION Moh06 \l 1033 </w:instrText>
          </w:r>
          <w:r w:rsidR="001C5323">
            <w:rPr>
              <w:rFonts w:asciiTheme="majorBidi" w:hAnsiTheme="majorBidi" w:cstheme="majorBidi"/>
            </w:rPr>
            <w:fldChar w:fldCharType="separate"/>
          </w:r>
          <w:r w:rsidR="001C5323" w:rsidRPr="001C5323">
            <w:rPr>
              <w:rFonts w:asciiTheme="majorBidi" w:hAnsiTheme="majorBidi" w:cstheme="majorBidi"/>
              <w:noProof/>
              <w:lang w:val="en-US"/>
            </w:rPr>
            <w:t>(Mohan, 2006)</w:t>
          </w:r>
          <w:r w:rsidR="001C5323">
            <w:rPr>
              <w:rFonts w:asciiTheme="majorBidi" w:hAnsiTheme="majorBidi" w:cstheme="majorBidi"/>
            </w:rPr>
            <w:fldChar w:fldCharType="end"/>
          </w:r>
        </w:sdtContent>
      </w:sdt>
      <w:r w:rsidR="005255B4" w:rsidRPr="008048F6">
        <w:rPr>
          <w:rFonts w:asciiTheme="majorBidi" w:hAnsiTheme="majorBidi" w:cstheme="majorBidi"/>
        </w:rPr>
        <w:t xml:space="preserve"> </w:t>
      </w:r>
      <w:r w:rsidR="00EF0988">
        <w:rPr>
          <w:rFonts w:asciiTheme="majorBidi" w:hAnsiTheme="majorBidi" w:cstheme="majorBidi"/>
        </w:rPr>
        <w:t>signifies</w:t>
      </w:r>
      <w:r w:rsidR="005255B4" w:rsidRPr="008048F6">
        <w:rPr>
          <w:rFonts w:asciiTheme="majorBidi" w:hAnsiTheme="majorBidi" w:cstheme="majorBidi"/>
        </w:rPr>
        <w:t xml:space="preserve"> that </w:t>
      </w:r>
      <w:r w:rsidR="00EC5A8F">
        <w:rPr>
          <w:rFonts w:asciiTheme="majorBidi" w:hAnsiTheme="majorBidi" w:cstheme="majorBidi"/>
        </w:rPr>
        <w:t>t</w:t>
      </w:r>
      <w:r w:rsidR="00A01D1C" w:rsidRPr="008048F6">
        <w:rPr>
          <w:rFonts w:asciiTheme="majorBidi" w:hAnsiTheme="majorBidi" w:cstheme="majorBidi"/>
        </w:rPr>
        <w:t>he Indian banking sector suffers from an oversupply of banks with poor service levels, limiting their global presence. Consolidation is crucial for creating stronger institutions, achieving economies of scale, enhancing competitiveness, and reducing costs. It should focus on synergies, skill sets, and capacity to improve the overall financial landscape.</w:t>
      </w:r>
      <w:r w:rsidR="00976C59">
        <w:rPr>
          <w:rFonts w:asciiTheme="majorBidi" w:hAnsiTheme="majorBidi" w:cstheme="majorBidi"/>
        </w:rPr>
        <w:t xml:space="preserve"> </w:t>
      </w:r>
    </w:p>
    <w:p w14:paraId="027A78DD" w14:textId="2F7B6FD5" w:rsidR="00BC3873" w:rsidRDefault="00BC3873" w:rsidP="00976C59">
      <w:pPr>
        <w:spacing w:line="360" w:lineRule="auto"/>
        <w:jc w:val="both"/>
        <w:rPr>
          <w:rFonts w:asciiTheme="majorBidi" w:hAnsiTheme="majorBidi" w:cstheme="majorBidi"/>
        </w:rPr>
      </w:pPr>
    </w:p>
    <w:p w14:paraId="2D7E050A" w14:textId="246D7F6A" w:rsidR="00BC3873" w:rsidRPr="00BC3873" w:rsidRDefault="008E3DC3" w:rsidP="00976C59">
      <w:pPr>
        <w:spacing w:line="360" w:lineRule="auto"/>
        <w:jc w:val="both"/>
        <w:rPr>
          <w:color w:val="000000"/>
        </w:rPr>
      </w:pPr>
      <w:sdt>
        <w:sdtPr>
          <w:rPr>
            <w:color w:val="000000"/>
          </w:rPr>
          <w:id w:val="1469555118"/>
          <w:citation/>
        </w:sdtPr>
        <w:sdtEndPr/>
        <w:sdtContent>
          <w:r w:rsidR="00BC3873" w:rsidRPr="00841659">
            <w:rPr>
              <w:color w:val="000000"/>
            </w:rPr>
            <w:fldChar w:fldCharType="begin"/>
          </w:r>
          <w:r w:rsidR="00BC3873" w:rsidRPr="00841659">
            <w:rPr>
              <w:color w:val="000000"/>
              <w:lang w:val="en-US"/>
            </w:rPr>
            <w:instrText xml:space="preserve"> CITATION Rag15 \l 1033 </w:instrText>
          </w:r>
          <w:r w:rsidR="00BC3873" w:rsidRPr="00841659">
            <w:rPr>
              <w:color w:val="000000"/>
            </w:rPr>
            <w:fldChar w:fldCharType="separate"/>
          </w:r>
          <w:r w:rsidR="00BC3873" w:rsidRPr="00841659">
            <w:rPr>
              <w:noProof/>
              <w:color w:val="000000"/>
              <w:lang w:val="en-US"/>
            </w:rPr>
            <w:t>(Raghavan, 2015)</w:t>
          </w:r>
          <w:r w:rsidR="00BC3873" w:rsidRPr="00841659">
            <w:rPr>
              <w:color w:val="000000"/>
            </w:rPr>
            <w:fldChar w:fldCharType="end"/>
          </w:r>
        </w:sdtContent>
      </w:sdt>
      <w:r w:rsidR="00BC3873" w:rsidRPr="00841659">
        <w:rPr>
          <w:color w:val="000000"/>
        </w:rPr>
        <w:t xml:space="preserve"> focused on the efficiency gains resulting from mergers in Indian banks, with a special emphasis on liquidity and earnings. The study concluded that larger banks benefitted from better economies of scale, leading to higher earnings. However, liquidity management was a challenge during the initial post-merger phase.</w:t>
      </w:r>
    </w:p>
    <w:p w14:paraId="0E4982CF" w14:textId="684B40BA" w:rsidR="007A4F92" w:rsidRDefault="007A4F92" w:rsidP="00976C59">
      <w:pPr>
        <w:spacing w:line="360" w:lineRule="auto"/>
        <w:jc w:val="both"/>
        <w:rPr>
          <w:rFonts w:asciiTheme="majorBidi" w:hAnsiTheme="majorBidi" w:cstheme="majorBidi"/>
          <w:color w:val="000000" w:themeColor="text1"/>
        </w:rPr>
      </w:pPr>
    </w:p>
    <w:p w14:paraId="29FF211F" w14:textId="72750E23" w:rsidR="00BC3873" w:rsidRDefault="008E3DC3" w:rsidP="00976C59">
      <w:pPr>
        <w:spacing w:line="360" w:lineRule="auto"/>
        <w:jc w:val="both"/>
        <w:rPr>
          <w:color w:val="000000"/>
        </w:rPr>
      </w:pPr>
      <w:sdt>
        <w:sdtPr>
          <w:rPr>
            <w:color w:val="000000"/>
          </w:rPr>
          <w:id w:val="-2124601492"/>
          <w:citation/>
        </w:sdtPr>
        <w:sdtEndPr/>
        <w:sdtContent>
          <w:r w:rsidR="00BC3873">
            <w:rPr>
              <w:color w:val="000000"/>
            </w:rPr>
            <w:fldChar w:fldCharType="begin"/>
          </w:r>
          <w:r w:rsidR="00BC3873">
            <w:rPr>
              <w:color w:val="000000"/>
              <w:lang w:val="en-US"/>
            </w:rPr>
            <w:instrText xml:space="preserve"> CITATION Kau16 \l 1033 </w:instrText>
          </w:r>
          <w:r w:rsidR="00BC3873">
            <w:rPr>
              <w:color w:val="000000"/>
            </w:rPr>
            <w:fldChar w:fldCharType="separate"/>
          </w:r>
          <w:r w:rsidR="00BC3873" w:rsidRPr="000310AC">
            <w:rPr>
              <w:noProof/>
              <w:color w:val="000000"/>
              <w:lang w:val="en-US"/>
            </w:rPr>
            <w:t>(Kaur, 2016)</w:t>
          </w:r>
          <w:r w:rsidR="00BC3873">
            <w:rPr>
              <w:color w:val="000000"/>
            </w:rPr>
            <w:fldChar w:fldCharType="end"/>
          </w:r>
        </w:sdtContent>
      </w:sdt>
      <w:r w:rsidR="00BC3873" w:rsidRPr="000310AC">
        <w:rPr>
          <w:color w:val="000000"/>
        </w:rPr>
        <w:t xml:space="preserve"> analy</w:t>
      </w:r>
      <w:r w:rsidR="00BC3873">
        <w:rPr>
          <w:color w:val="000000"/>
        </w:rPr>
        <w:t>s</w:t>
      </w:r>
      <w:r w:rsidR="00BC3873" w:rsidRPr="000310AC">
        <w:rPr>
          <w:color w:val="000000"/>
        </w:rPr>
        <w:t>ed the strategic benefits of mergers in public sector banks, particularly focusing on the impact on earnings and liquidity. The study found that while larger banks post-merger enjoyed enhanced market reach and financial stability, they faced difficulties in asset quality management due to the integration of diverse asset portfolios.</w:t>
      </w:r>
    </w:p>
    <w:p w14:paraId="0FAC3B5F" w14:textId="56284A70" w:rsidR="00BC3873" w:rsidRDefault="008E3DC3" w:rsidP="00976C59">
      <w:pPr>
        <w:spacing w:line="360" w:lineRule="auto"/>
        <w:jc w:val="both"/>
        <w:rPr>
          <w:color w:val="000000"/>
        </w:rPr>
      </w:pPr>
      <w:sdt>
        <w:sdtPr>
          <w:rPr>
            <w:rStyle w:val="Strong"/>
            <w:color w:val="000000"/>
          </w:rPr>
          <w:id w:val="334966406"/>
          <w:citation/>
        </w:sdtPr>
        <w:sdtEndPr>
          <w:rPr>
            <w:rStyle w:val="Strong"/>
          </w:rPr>
        </w:sdtEndPr>
        <w:sdtContent>
          <w:r w:rsidR="00BC3873" w:rsidRPr="00BD7396">
            <w:rPr>
              <w:rStyle w:val="Strong"/>
              <w:color w:val="000000"/>
            </w:rPr>
            <w:fldChar w:fldCharType="begin"/>
          </w:r>
          <w:r w:rsidR="00BC3873" w:rsidRPr="00BD7396">
            <w:rPr>
              <w:rStyle w:val="Strong"/>
              <w:color w:val="000000"/>
              <w:lang w:val="en-US"/>
            </w:rPr>
            <w:instrText xml:space="preserve"> CITATION Red17 \l 1033 </w:instrText>
          </w:r>
          <w:r w:rsidR="00BC3873" w:rsidRPr="00BD7396">
            <w:rPr>
              <w:rStyle w:val="Strong"/>
              <w:color w:val="000000"/>
            </w:rPr>
            <w:fldChar w:fldCharType="separate"/>
          </w:r>
          <w:r w:rsidR="00BC3873" w:rsidRPr="00BD7396">
            <w:rPr>
              <w:noProof/>
              <w:color w:val="000000"/>
              <w:lang w:val="en-US"/>
            </w:rPr>
            <w:t>(Reddy, 2017)</w:t>
          </w:r>
          <w:r w:rsidR="00BC3873" w:rsidRPr="00BD7396">
            <w:rPr>
              <w:rStyle w:val="Strong"/>
              <w:color w:val="000000"/>
            </w:rPr>
            <w:fldChar w:fldCharType="end"/>
          </w:r>
        </w:sdtContent>
      </w:sdt>
      <w:r w:rsidR="00BC3873" w:rsidRPr="00BD7396">
        <w:rPr>
          <w:color w:val="000000"/>
        </w:rPr>
        <w:t xml:space="preserve"> explored the effects of bank mergers in India, focusing on public sector banks. The study found that mergers generally enhanced capital adequacy and profitability, but challenges in asset quality and liquidity persisted. The author suggested that while the merged entities saw improved operational scale, the integration process required careful attention to management practices and risk handling.</w:t>
      </w:r>
    </w:p>
    <w:p w14:paraId="62BC7F6E" w14:textId="3A64FC86" w:rsidR="00BC3873" w:rsidRDefault="00BC3873" w:rsidP="00976C59">
      <w:pPr>
        <w:spacing w:line="360" w:lineRule="auto"/>
        <w:jc w:val="both"/>
        <w:rPr>
          <w:color w:val="000000"/>
        </w:rPr>
      </w:pPr>
    </w:p>
    <w:p w14:paraId="4F387CB1" w14:textId="3BD5EF21" w:rsidR="00BC3873" w:rsidRPr="00BC3873" w:rsidRDefault="008E3DC3" w:rsidP="00976C59">
      <w:pPr>
        <w:spacing w:line="360" w:lineRule="auto"/>
        <w:jc w:val="both"/>
      </w:pPr>
      <w:sdt>
        <w:sdtPr>
          <w:rPr>
            <w:color w:val="000000"/>
          </w:rPr>
          <w:id w:val="355015206"/>
          <w:citation/>
        </w:sdtPr>
        <w:sdtEndPr/>
        <w:sdtContent>
          <w:r w:rsidR="00BC3873" w:rsidRPr="003C74AC">
            <w:rPr>
              <w:color w:val="000000"/>
            </w:rPr>
            <w:fldChar w:fldCharType="begin"/>
          </w:r>
          <w:r w:rsidR="00BC3873" w:rsidRPr="003C74AC">
            <w:rPr>
              <w:color w:val="000000"/>
              <w:lang w:val="en-US"/>
            </w:rPr>
            <w:instrText xml:space="preserve"> CITATION Cho18 \l 1033 </w:instrText>
          </w:r>
          <w:r w:rsidR="00BC3873" w:rsidRPr="003C74AC">
            <w:rPr>
              <w:color w:val="000000"/>
            </w:rPr>
            <w:fldChar w:fldCharType="separate"/>
          </w:r>
          <w:r w:rsidR="00BC3873" w:rsidRPr="003C74AC">
            <w:rPr>
              <w:noProof/>
              <w:color w:val="000000"/>
              <w:lang w:val="en-US"/>
            </w:rPr>
            <w:t>(Choudhury, 2018)</w:t>
          </w:r>
          <w:r w:rsidR="00BC3873" w:rsidRPr="003C74AC">
            <w:rPr>
              <w:color w:val="000000"/>
            </w:rPr>
            <w:fldChar w:fldCharType="end"/>
          </w:r>
        </w:sdtContent>
      </w:sdt>
      <w:r w:rsidR="00BC3873" w:rsidRPr="003C74AC">
        <w:rPr>
          <w:color w:val="000000"/>
        </w:rPr>
        <w:t xml:space="preserve"> assessed the financial performance of banks post-merger in India using the CAMEL framework. The study revealed improvements in capital adequacy, earnings, and liquidity, although asset quality showed mixed outcomes. The paper concluded that while mergers offered growth potential, their success largely depended on effective integration strategies and continuous monitoring of financial health.</w:t>
      </w:r>
    </w:p>
    <w:p w14:paraId="272C3E3B" w14:textId="6D9AA26B" w:rsidR="00BC3873" w:rsidRDefault="00BC3873" w:rsidP="00976C59">
      <w:pPr>
        <w:spacing w:line="360" w:lineRule="auto"/>
        <w:jc w:val="both"/>
        <w:rPr>
          <w:color w:val="000000"/>
        </w:rPr>
      </w:pPr>
    </w:p>
    <w:p w14:paraId="6055D3B6" w14:textId="20903337" w:rsidR="00BC3873" w:rsidRPr="00BC3873" w:rsidRDefault="00BC3873" w:rsidP="00976C59">
      <w:pPr>
        <w:spacing w:line="360" w:lineRule="auto"/>
        <w:jc w:val="both"/>
        <w:rPr>
          <w:rFonts w:asciiTheme="majorBidi" w:hAnsiTheme="majorBidi" w:cstheme="majorBidi"/>
        </w:rPr>
      </w:pPr>
      <w:r>
        <w:rPr>
          <w:rFonts w:asciiTheme="majorBidi" w:hAnsiTheme="majorBidi" w:cstheme="majorBidi"/>
        </w:rPr>
        <w:t xml:space="preserve">The impact of mergers of banks was found negative in </w:t>
      </w:r>
      <w:r w:rsidRPr="008048F6">
        <w:rPr>
          <w:rFonts w:asciiTheme="majorBidi" w:hAnsiTheme="majorBidi" w:cstheme="majorBidi"/>
        </w:rPr>
        <w:t>Private sector banks</w:t>
      </w:r>
      <w:r>
        <w:rPr>
          <w:rFonts w:asciiTheme="majorBidi" w:hAnsiTheme="majorBidi" w:cstheme="majorBidi"/>
        </w:rPr>
        <w:t xml:space="preserve"> while </w:t>
      </w:r>
      <w:r w:rsidRPr="008048F6">
        <w:rPr>
          <w:rFonts w:asciiTheme="majorBidi" w:hAnsiTheme="majorBidi" w:cstheme="majorBidi"/>
        </w:rPr>
        <w:t>public sector banks experienced notable changes in liquidity due to acquisitions. Acquisitions negatively impacted the liquidity and overall performance of private banks, while public banks saw a positive effect on net earnings</w:t>
      </w:r>
      <w:r>
        <w:rPr>
          <w:rFonts w:asciiTheme="majorBidi" w:hAnsiTheme="majorBidi" w:cstheme="majorBidi"/>
        </w:rPr>
        <w:t xml:space="preserve"> </w:t>
      </w:r>
      <w:sdt>
        <w:sdtPr>
          <w:rPr>
            <w:rFonts w:asciiTheme="majorBidi" w:hAnsiTheme="majorBidi" w:cstheme="majorBidi"/>
          </w:rPr>
          <w:id w:val="1117641150"/>
          <w:citation/>
        </w:sdtPr>
        <w:sdtEndPr/>
        <w:sdtContent>
          <w:r>
            <w:rPr>
              <w:rFonts w:asciiTheme="majorBidi" w:hAnsiTheme="majorBidi" w:cstheme="majorBidi"/>
            </w:rPr>
            <w:fldChar w:fldCharType="begin"/>
          </w:r>
          <w:r>
            <w:rPr>
              <w:rFonts w:asciiTheme="majorBidi" w:hAnsiTheme="majorBidi" w:cstheme="majorBidi"/>
              <w:lang w:val="en-US"/>
            </w:rPr>
            <w:instrText xml:space="preserve"> CITATION Gan18 \l 1033 </w:instrText>
          </w:r>
          <w:r>
            <w:rPr>
              <w:rFonts w:asciiTheme="majorBidi" w:hAnsiTheme="majorBidi" w:cstheme="majorBidi"/>
            </w:rPr>
            <w:fldChar w:fldCharType="separate"/>
          </w:r>
          <w:r w:rsidRPr="001C5323">
            <w:rPr>
              <w:rFonts w:asciiTheme="majorBidi" w:hAnsiTheme="majorBidi" w:cstheme="majorBidi"/>
              <w:noProof/>
              <w:lang w:val="en-US"/>
            </w:rPr>
            <w:t>(Gandhi, 2018)</w:t>
          </w:r>
          <w:r>
            <w:rPr>
              <w:rFonts w:asciiTheme="majorBidi" w:hAnsiTheme="majorBidi" w:cstheme="majorBidi"/>
            </w:rPr>
            <w:fldChar w:fldCharType="end"/>
          </w:r>
        </w:sdtContent>
      </w:sdt>
      <w:r>
        <w:rPr>
          <w:rFonts w:asciiTheme="majorBidi" w:hAnsiTheme="majorBidi" w:cstheme="majorBidi"/>
        </w:rPr>
        <w:t>.</w:t>
      </w:r>
    </w:p>
    <w:p w14:paraId="312AB20A" w14:textId="22DA611B" w:rsidR="00BC3873" w:rsidRDefault="008E3DC3" w:rsidP="00BC3873">
      <w:pPr>
        <w:pStyle w:val="NormalWeb"/>
        <w:spacing w:line="360" w:lineRule="auto"/>
        <w:jc w:val="both"/>
        <w:rPr>
          <w:color w:val="000000"/>
        </w:rPr>
      </w:pPr>
      <w:sdt>
        <w:sdtPr>
          <w:rPr>
            <w:color w:val="000000"/>
          </w:rPr>
          <w:id w:val="-352034602"/>
          <w:citation/>
        </w:sdtPr>
        <w:sdtEndPr/>
        <w:sdtContent>
          <w:r w:rsidR="00BC3873">
            <w:rPr>
              <w:color w:val="000000"/>
            </w:rPr>
            <w:fldChar w:fldCharType="begin"/>
          </w:r>
          <w:r w:rsidR="00BC3873">
            <w:rPr>
              <w:color w:val="000000"/>
              <w:lang w:val="en-US"/>
            </w:rPr>
            <w:instrText xml:space="preserve"> CITATION Sin18 \l 1033 </w:instrText>
          </w:r>
          <w:r w:rsidR="00BC3873">
            <w:rPr>
              <w:color w:val="000000"/>
            </w:rPr>
            <w:fldChar w:fldCharType="separate"/>
          </w:r>
          <w:r w:rsidR="00BC3873" w:rsidRPr="00BD7396">
            <w:rPr>
              <w:noProof/>
              <w:color w:val="000000"/>
              <w:lang w:val="en-US"/>
            </w:rPr>
            <w:t>(Singh, 2018)</w:t>
          </w:r>
          <w:r w:rsidR="00BC3873">
            <w:rPr>
              <w:color w:val="000000"/>
            </w:rPr>
            <w:fldChar w:fldCharType="end"/>
          </w:r>
        </w:sdtContent>
      </w:sdt>
      <w:r w:rsidR="00BC3873">
        <w:rPr>
          <w:color w:val="000000"/>
        </w:rPr>
        <w:t xml:space="preserve"> used the CAMEL framework to analyse the performance of Indian banks post-merger. They observed improvements in capital adequacy and earnings due to enhanced synergies and economies of scale. However, asset quality and liquidity were areas of concern, with some merged banks struggling to maintain healthy NPA levels.</w:t>
      </w:r>
    </w:p>
    <w:p w14:paraId="2ECC1B4E" w14:textId="0E290053" w:rsidR="00BC3873" w:rsidRDefault="008E3DC3" w:rsidP="00BC3873">
      <w:pPr>
        <w:spacing w:line="360" w:lineRule="auto"/>
        <w:jc w:val="both"/>
        <w:rPr>
          <w:rFonts w:asciiTheme="majorBidi" w:hAnsiTheme="majorBidi" w:cstheme="majorBidi"/>
        </w:rPr>
      </w:pPr>
      <w:sdt>
        <w:sdtPr>
          <w:rPr>
            <w:rFonts w:asciiTheme="majorBidi" w:hAnsiTheme="majorBidi" w:cstheme="majorBidi"/>
          </w:rPr>
          <w:id w:val="2142383243"/>
          <w:citation/>
        </w:sdtPr>
        <w:sdtEndPr/>
        <w:sdtContent>
          <w:r w:rsidR="00BC3873">
            <w:rPr>
              <w:rFonts w:asciiTheme="majorBidi" w:hAnsiTheme="majorBidi" w:cstheme="majorBidi"/>
            </w:rPr>
            <w:fldChar w:fldCharType="begin"/>
          </w:r>
          <w:r w:rsidR="00BC3873">
            <w:rPr>
              <w:rFonts w:asciiTheme="majorBidi" w:hAnsiTheme="majorBidi" w:cstheme="majorBidi"/>
              <w:lang w:val="en-US"/>
            </w:rPr>
            <w:instrText xml:space="preserve"> CITATION Pod19 \l 1033 </w:instrText>
          </w:r>
          <w:r w:rsidR="00BC3873">
            <w:rPr>
              <w:rFonts w:asciiTheme="majorBidi" w:hAnsiTheme="majorBidi" w:cstheme="majorBidi"/>
            </w:rPr>
            <w:fldChar w:fldCharType="separate"/>
          </w:r>
          <w:r w:rsidR="00BC3873" w:rsidRPr="001C5323">
            <w:rPr>
              <w:rFonts w:asciiTheme="majorBidi" w:hAnsiTheme="majorBidi" w:cstheme="majorBidi"/>
              <w:noProof/>
              <w:lang w:val="en-US"/>
            </w:rPr>
            <w:t>(Poddar, 2019)</w:t>
          </w:r>
          <w:r w:rsidR="00BC3873">
            <w:rPr>
              <w:rFonts w:asciiTheme="majorBidi" w:hAnsiTheme="majorBidi" w:cstheme="majorBidi"/>
            </w:rPr>
            <w:fldChar w:fldCharType="end"/>
          </w:r>
        </w:sdtContent>
      </w:sdt>
      <w:r w:rsidR="00BC3873" w:rsidRPr="008048F6">
        <w:rPr>
          <w:rFonts w:asciiTheme="majorBidi" w:hAnsiTheme="majorBidi" w:cstheme="majorBidi"/>
        </w:rPr>
        <w:t xml:space="preserve"> </w:t>
      </w:r>
      <w:r w:rsidR="00BC3873">
        <w:rPr>
          <w:rFonts w:asciiTheme="majorBidi" w:hAnsiTheme="majorBidi" w:cstheme="majorBidi"/>
        </w:rPr>
        <w:t xml:space="preserve">study found that </w:t>
      </w:r>
      <w:r w:rsidR="00BC3873" w:rsidRPr="008048F6">
        <w:rPr>
          <w:rFonts w:asciiTheme="majorBidi" w:hAnsiTheme="majorBidi" w:cstheme="majorBidi"/>
        </w:rPr>
        <w:t>M&amp;A deals provide less value than anticipat</w:t>
      </w:r>
      <w:r w:rsidR="00BC3873">
        <w:rPr>
          <w:rFonts w:asciiTheme="majorBidi" w:hAnsiTheme="majorBidi" w:cstheme="majorBidi"/>
        </w:rPr>
        <w:t>ion</w:t>
      </w:r>
      <w:r w:rsidR="00BC3873" w:rsidRPr="008048F6">
        <w:rPr>
          <w:rFonts w:asciiTheme="majorBidi" w:hAnsiTheme="majorBidi" w:cstheme="majorBidi"/>
        </w:rPr>
        <w:t xml:space="preserve"> for acquiring companies, influenced by factors like the macroeconomic environment and motivations for the mergers. Additionally, overarching issues such as the global financial crisis constrained the performance of Indian acquirers</w:t>
      </w:r>
      <w:r w:rsidR="00BC3873">
        <w:rPr>
          <w:rFonts w:asciiTheme="majorBidi" w:hAnsiTheme="majorBidi" w:cstheme="majorBidi"/>
        </w:rPr>
        <w:t>.</w:t>
      </w:r>
    </w:p>
    <w:p w14:paraId="55FE2653" w14:textId="7067FD0B" w:rsidR="00BC3873" w:rsidRDefault="00BC3873" w:rsidP="00BC3873">
      <w:pPr>
        <w:spacing w:line="360" w:lineRule="auto"/>
        <w:jc w:val="both"/>
        <w:rPr>
          <w:rFonts w:asciiTheme="majorBidi" w:hAnsiTheme="majorBidi" w:cstheme="majorBidi"/>
        </w:rPr>
      </w:pPr>
    </w:p>
    <w:p w14:paraId="6063756C" w14:textId="4344A59A" w:rsidR="00BC3873" w:rsidRDefault="008E3DC3" w:rsidP="00BC3873">
      <w:pPr>
        <w:spacing w:line="360" w:lineRule="auto"/>
        <w:jc w:val="both"/>
        <w:rPr>
          <w:color w:val="000000"/>
        </w:rPr>
      </w:pPr>
      <w:sdt>
        <w:sdtPr>
          <w:rPr>
            <w:color w:val="000000"/>
          </w:rPr>
          <w:id w:val="725182175"/>
          <w:citation/>
        </w:sdtPr>
        <w:sdtEndPr/>
        <w:sdtContent>
          <w:r w:rsidR="00BC3873">
            <w:rPr>
              <w:color w:val="000000"/>
            </w:rPr>
            <w:fldChar w:fldCharType="begin"/>
          </w:r>
          <w:r w:rsidR="00BC3873">
            <w:rPr>
              <w:color w:val="000000"/>
              <w:lang w:val="en-US"/>
            </w:rPr>
            <w:instrText xml:space="preserve"> CITATION Ver19 \l 1033 </w:instrText>
          </w:r>
          <w:r w:rsidR="00BC3873">
            <w:rPr>
              <w:color w:val="000000"/>
            </w:rPr>
            <w:fldChar w:fldCharType="separate"/>
          </w:r>
          <w:r w:rsidR="00BC3873" w:rsidRPr="00B2454A">
            <w:rPr>
              <w:noProof/>
              <w:color w:val="000000"/>
              <w:lang w:val="en-US"/>
            </w:rPr>
            <w:t>(Verma, 2019)</w:t>
          </w:r>
          <w:r w:rsidR="00BC3873">
            <w:rPr>
              <w:color w:val="000000"/>
            </w:rPr>
            <w:fldChar w:fldCharType="end"/>
          </w:r>
        </w:sdtContent>
      </w:sdt>
      <w:r w:rsidR="00BC3873" w:rsidRPr="00B2454A">
        <w:rPr>
          <w:color w:val="000000"/>
        </w:rPr>
        <w:t xml:space="preserve"> evaluated the effect of mergers on asset quality in Indian banks. The study highlighted that while mergers contributed to stronger financial metrics such as earnings and capital adequacy, asset quality showed mixed results. Non-performing assets (NPAs) increased in some cases, reflecting integration challenges in loan management.</w:t>
      </w:r>
    </w:p>
    <w:p w14:paraId="3B91EAC6" w14:textId="1170BDF9" w:rsidR="00BC3873" w:rsidRDefault="00BC3873" w:rsidP="00BC3873">
      <w:pPr>
        <w:spacing w:line="360" w:lineRule="auto"/>
        <w:jc w:val="both"/>
      </w:pPr>
    </w:p>
    <w:p w14:paraId="2D34AAD6" w14:textId="597A3296" w:rsidR="00BC3873" w:rsidRPr="00BC3873" w:rsidRDefault="008E3DC3" w:rsidP="00BC3873">
      <w:pPr>
        <w:spacing w:line="360" w:lineRule="auto"/>
        <w:jc w:val="both"/>
        <w:rPr>
          <w:color w:val="000000"/>
        </w:rPr>
      </w:pPr>
      <w:sdt>
        <w:sdtPr>
          <w:rPr>
            <w:color w:val="000000"/>
          </w:rPr>
          <w:id w:val="-670331205"/>
          <w:citation/>
        </w:sdtPr>
        <w:sdtEndPr/>
        <w:sdtContent>
          <w:r w:rsidR="00BC3873" w:rsidRPr="003C74AC">
            <w:rPr>
              <w:color w:val="000000"/>
            </w:rPr>
            <w:fldChar w:fldCharType="begin"/>
          </w:r>
          <w:r w:rsidR="00BC3873" w:rsidRPr="003C74AC">
            <w:rPr>
              <w:color w:val="000000"/>
              <w:lang w:val="en-US"/>
            </w:rPr>
            <w:instrText xml:space="preserve"> CITATION Gup20 \l 1033 </w:instrText>
          </w:r>
          <w:r w:rsidR="00BC3873" w:rsidRPr="003C74AC">
            <w:rPr>
              <w:color w:val="000000"/>
            </w:rPr>
            <w:fldChar w:fldCharType="separate"/>
          </w:r>
          <w:r w:rsidR="00BC3873" w:rsidRPr="003C74AC">
            <w:rPr>
              <w:noProof/>
              <w:color w:val="000000"/>
              <w:lang w:val="en-US"/>
            </w:rPr>
            <w:t>(Gupta, 2020)</w:t>
          </w:r>
          <w:r w:rsidR="00BC3873" w:rsidRPr="003C74AC">
            <w:rPr>
              <w:color w:val="000000"/>
            </w:rPr>
            <w:fldChar w:fldCharType="end"/>
          </w:r>
        </w:sdtContent>
      </w:sdt>
      <w:r w:rsidR="00BC3873" w:rsidRPr="003C74AC">
        <w:rPr>
          <w:color w:val="000000"/>
        </w:rPr>
        <w:t xml:space="preserve"> examined the role of corporate governance in determining the success of bank mergers. The study found that mergers improved financial performance in terms of capital </w:t>
      </w:r>
      <w:r w:rsidR="00BC3873" w:rsidRPr="003C74AC">
        <w:rPr>
          <w:color w:val="000000"/>
        </w:rPr>
        <w:lastRenderedPageBreak/>
        <w:t>adequacy and profitability when effective governance practices were followed. However, without proper governance, asset quality could suffer due to poor integration practices.</w:t>
      </w:r>
    </w:p>
    <w:p w14:paraId="4435BB52" w14:textId="7DB2187C" w:rsidR="00BC3873" w:rsidRDefault="00BC3873" w:rsidP="00BC3873">
      <w:pPr>
        <w:spacing w:line="360" w:lineRule="auto"/>
        <w:jc w:val="both"/>
        <w:rPr>
          <w:rFonts w:asciiTheme="majorBidi" w:hAnsiTheme="majorBidi" w:cstheme="majorBidi"/>
        </w:rPr>
      </w:pPr>
    </w:p>
    <w:p w14:paraId="346240E3" w14:textId="39175E5B" w:rsidR="00BC3873" w:rsidRDefault="008E3DC3" w:rsidP="00BC3873">
      <w:pPr>
        <w:spacing w:line="360" w:lineRule="auto"/>
        <w:jc w:val="both"/>
        <w:rPr>
          <w:color w:val="000000"/>
        </w:rPr>
      </w:pPr>
      <w:sdt>
        <w:sdtPr>
          <w:rPr>
            <w:color w:val="000000"/>
          </w:rPr>
          <w:id w:val="-1249192136"/>
          <w:citation/>
        </w:sdtPr>
        <w:sdtEndPr/>
        <w:sdtContent>
          <w:r w:rsidR="00BC3873">
            <w:rPr>
              <w:color w:val="000000"/>
            </w:rPr>
            <w:fldChar w:fldCharType="begin"/>
          </w:r>
          <w:r w:rsidR="00BC3873">
            <w:rPr>
              <w:color w:val="000000"/>
              <w:lang w:val="en-US"/>
            </w:rPr>
            <w:instrText xml:space="preserve"> CITATION Sun20 \l 1033 </w:instrText>
          </w:r>
          <w:r w:rsidR="00BC3873">
            <w:rPr>
              <w:color w:val="000000"/>
            </w:rPr>
            <w:fldChar w:fldCharType="separate"/>
          </w:r>
          <w:r w:rsidR="00BC3873" w:rsidRPr="00E75A13">
            <w:rPr>
              <w:noProof/>
              <w:color w:val="000000"/>
              <w:lang w:val="en-US"/>
            </w:rPr>
            <w:t>(Sundararajan, 2020)</w:t>
          </w:r>
          <w:r w:rsidR="00BC3873">
            <w:rPr>
              <w:color w:val="000000"/>
            </w:rPr>
            <w:fldChar w:fldCharType="end"/>
          </w:r>
        </w:sdtContent>
      </w:sdt>
      <w:r w:rsidR="00BC3873" w:rsidRPr="00FF736B">
        <w:rPr>
          <w:color w:val="000000"/>
        </w:rPr>
        <w:t xml:space="preserve"> investigated the role of synergies in improving the financial performance of banks after mergers. Using the CAMEL approach, the study found that mergers led to significant improvements in profitability, capital adequacy, and liquidity. However, managing asset quality remained a critical challenge, particularly in terms of integrating loan portfolios.</w:t>
      </w:r>
    </w:p>
    <w:p w14:paraId="508BAC43" w14:textId="28004371" w:rsidR="00BC3873" w:rsidRDefault="00BC3873" w:rsidP="00BC3873">
      <w:pPr>
        <w:spacing w:line="360" w:lineRule="auto"/>
        <w:jc w:val="both"/>
        <w:rPr>
          <w:color w:val="000000"/>
        </w:rPr>
      </w:pPr>
    </w:p>
    <w:p w14:paraId="2D27FF99" w14:textId="2C4725BB" w:rsidR="00BC3873" w:rsidRDefault="008E3DC3" w:rsidP="00BC3873">
      <w:pPr>
        <w:spacing w:line="360" w:lineRule="auto"/>
        <w:jc w:val="both"/>
        <w:rPr>
          <w:color w:val="000000"/>
        </w:rPr>
      </w:pPr>
      <w:sdt>
        <w:sdtPr>
          <w:rPr>
            <w:color w:val="000000"/>
          </w:rPr>
          <w:id w:val="-239400341"/>
          <w:citation/>
        </w:sdtPr>
        <w:sdtEndPr/>
        <w:sdtContent>
          <w:r w:rsidR="00BC3873">
            <w:rPr>
              <w:color w:val="000000"/>
            </w:rPr>
            <w:fldChar w:fldCharType="begin"/>
          </w:r>
          <w:r w:rsidR="00BC3873">
            <w:rPr>
              <w:color w:val="000000"/>
              <w:lang w:val="en-US"/>
            </w:rPr>
            <w:instrText xml:space="preserve"> CITATION Bha21 \l 1033 </w:instrText>
          </w:r>
          <w:r w:rsidR="00BC3873">
            <w:rPr>
              <w:color w:val="000000"/>
            </w:rPr>
            <w:fldChar w:fldCharType="separate"/>
          </w:r>
          <w:r w:rsidR="00BC3873" w:rsidRPr="00841659">
            <w:rPr>
              <w:noProof/>
              <w:color w:val="000000"/>
              <w:lang w:val="en-US"/>
            </w:rPr>
            <w:t>(Bhatia, 2021)</w:t>
          </w:r>
          <w:r w:rsidR="00BC3873">
            <w:rPr>
              <w:color w:val="000000"/>
            </w:rPr>
            <w:fldChar w:fldCharType="end"/>
          </w:r>
        </w:sdtContent>
      </w:sdt>
      <w:r w:rsidR="00BC3873" w:rsidRPr="00841659">
        <w:rPr>
          <w:color w:val="000000"/>
        </w:rPr>
        <w:t xml:space="preserve"> explored the role of management quality post-merger in the banking sector. They found that the management practices of merged banks improved in terms of efficiency and decision-making. However, the study noted that effective leadership during the integration process was crucial for realizing the expected financial benefits from the merger.</w:t>
      </w:r>
    </w:p>
    <w:p w14:paraId="407F2F6E" w14:textId="2F4F153D" w:rsidR="00BC3873" w:rsidRDefault="00BC3873" w:rsidP="00BC3873">
      <w:pPr>
        <w:spacing w:line="360" w:lineRule="auto"/>
        <w:jc w:val="both"/>
        <w:rPr>
          <w:color w:val="000000"/>
        </w:rPr>
      </w:pPr>
    </w:p>
    <w:p w14:paraId="07EE8B26" w14:textId="1F9E2CEB" w:rsidR="00BC3873" w:rsidRDefault="008E3DC3" w:rsidP="00BC3873">
      <w:pPr>
        <w:spacing w:line="360" w:lineRule="auto"/>
        <w:jc w:val="both"/>
        <w:rPr>
          <w:color w:val="000000"/>
        </w:rPr>
      </w:pPr>
      <w:sdt>
        <w:sdtPr>
          <w:rPr>
            <w:color w:val="000000"/>
          </w:rPr>
          <w:id w:val="-893883555"/>
          <w:citation/>
        </w:sdtPr>
        <w:sdtEndPr/>
        <w:sdtContent>
          <w:r w:rsidR="00BC3873">
            <w:rPr>
              <w:color w:val="000000"/>
            </w:rPr>
            <w:fldChar w:fldCharType="begin"/>
          </w:r>
          <w:r w:rsidR="00BC3873">
            <w:rPr>
              <w:color w:val="000000"/>
              <w:lang w:val="en-US"/>
            </w:rPr>
            <w:instrText xml:space="preserve"> CITATION Sin22 \l 1033 </w:instrText>
          </w:r>
          <w:r w:rsidR="00BC3873">
            <w:rPr>
              <w:color w:val="000000"/>
            </w:rPr>
            <w:fldChar w:fldCharType="separate"/>
          </w:r>
          <w:r w:rsidR="00BC3873" w:rsidRPr="00841659">
            <w:rPr>
              <w:noProof/>
              <w:color w:val="000000"/>
              <w:lang w:val="en-US"/>
            </w:rPr>
            <w:t>(Singh A. , 2022)</w:t>
          </w:r>
          <w:r w:rsidR="00BC3873">
            <w:rPr>
              <w:color w:val="000000"/>
            </w:rPr>
            <w:fldChar w:fldCharType="end"/>
          </w:r>
        </w:sdtContent>
      </w:sdt>
      <w:r w:rsidR="00BC3873" w:rsidRPr="00841659">
        <w:rPr>
          <w:color w:val="000000"/>
        </w:rPr>
        <w:t xml:space="preserve"> analy</w:t>
      </w:r>
      <w:r w:rsidR="00BC3873">
        <w:rPr>
          <w:color w:val="000000"/>
        </w:rPr>
        <w:t>s</w:t>
      </w:r>
      <w:r w:rsidR="00BC3873" w:rsidRPr="00841659">
        <w:rPr>
          <w:color w:val="000000"/>
        </w:rPr>
        <w:t>ed the increased risk exposure of banks after mergers using the CAMEL framework. The study found that although merged banks were more capitalized, they often faced risks in terms of liquidity management and asset quality, particularly in integrating large, diverse portfolios from both banks.</w:t>
      </w:r>
    </w:p>
    <w:p w14:paraId="7A97F077" w14:textId="05D5A651" w:rsidR="00BC3873" w:rsidRDefault="00BC3873" w:rsidP="00BC3873">
      <w:pPr>
        <w:spacing w:line="360" w:lineRule="auto"/>
        <w:jc w:val="both"/>
        <w:rPr>
          <w:color w:val="000000"/>
        </w:rPr>
      </w:pPr>
    </w:p>
    <w:p w14:paraId="705A37C8" w14:textId="724E1EF3" w:rsidR="00BC3873" w:rsidRDefault="008E3DC3" w:rsidP="00BC3873">
      <w:pPr>
        <w:spacing w:line="360" w:lineRule="auto"/>
        <w:jc w:val="both"/>
        <w:rPr>
          <w:rFonts w:asciiTheme="majorBidi" w:hAnsiTheme="majorBidi" w:cstheme="majorBidi"/>
        </w:rPr>
      </w:pPr>
      <w:sdt>
        <w:sdtPr>
          <w:rPr>
            <w:rFonts w:asciiTheme="majorBidi" w:hAnsiTheme="majorBidi" w:cstheme="majorBidi"/>
          </w:rPr>
          <w:id w:val="-581765056"/>
          <w:citation/>
        </w:sdtPr>
        <w:sdtEndPr/>
        <w:sdtContent>
          <w:r w:rsidR="00BC3873">
            <w:rPr>
              <w:rFonts w:asciiTheme="majorBidi" w:hAnsiTheme="majorBidi" w:cstheme="majorBidi"/>
            </w:rPr>
            <w:fldChar w:fldCharType="begin"/>
          </w:r>
          <w:r w:rsidR="00BC3873">
            <w:rPr>
              <w:rFonts w:asciiTheme="majorBidi" w:hAnsiTheme="majorBidi" w:cstheme="majorBidi"/>
              <w:lang w:val="en-US"/>
            </w:rPr>
            <w:instrText xml:space="preserve">CITATION Dad23 \l 1033 </w:instrText>
          </w:r>
          <w:r w:rsidR="00BC3873">
            <w:rPr>
              <w:rFonts w:asciiTheme="majorBidi" w:hAnsiTheme="majorBidi" w:cstheme="majorBidi"/>
            </w:rPr>
            <w:fldChar w:fldCharType="separate"/>
          </w:r>
          <w:r w:rsidR="00BC3873" w:rsidRPr="001C5323">
            <w:rPr>
              <w:rFonts w:asciiTheme="majorBidi" w:hAnsiTheme="majorBidi" w:cstheme="majorBidi"/>
              <w:noProof/>
              <w:lang w:val="en-US"/>
            </w:rPr>
            <w:t>(Dadresha, 2023)</w:t>
          </w:r>
          <w:r w:rsidR="00BC3873">
            <w:rPr>
              <w:rFonts w:asciiTheme="majorBidi" w:hAnsiTheme="majorBidi" w:cstheme="majorBidi"/>
            </w:rPr>
            <w:fldChar w:fldCharType="end"/>
          </w:r>
        </w:sdtContent>
      </w:sdt>
      <w:r w:rsidR="00BC3873" w:rsidRPr="00F43EA4">
        <w:rPr>
          <w:rFonts w:asciiTheme="majorBidi" w:hAnsiTheme="majorBidi" w:cstheme="majorBidi"/>
        </w:rPr>
        <w:t xml:space="preserve"> found that merger of banks leads to high return on assets and dividend </w:t>
      </w:r>
      <w:proofErr w:type="spellStart"/>
      <w:r w:rsidR="00BC3873" w:rsidRPr="00F43EA4">
        <w:rPr>
          <w:rFonts w:asciiTheme="majorBidi" w:hAnsiTheme="majorBidi" w:cstheme="majorBidi"/>
        </w:rPr>
        <w:t>payouts</w:t>
      </w:r>
      <w:proofErr w:type="spellEnd"/>
      <w:r w:rsidR="00BC3873" w:rsidRPr="00F43EA4">
        <w:rPr>
          <w:rFonts w:asciiTheme="majorBidi" w:hAnsiTheme="majorBidi" w:cstheme="majorBidi"/>
        </w:rPr>
        <w:t xml:space="preserve"> and improvement in the earnings of Merged Bank, however, it did not able to increase the interest income. The bank's asset quality declined with falling total and non-performing assets. Deposits grew, liquidity remained strong, and adequate capital supported stability and reduced failure risk</w:t>
      </w:r>
      <w:r w:rsidR="00BC3873">
        <w:rPr>
          <w:rFonts w:asciiTheme="majorBidi" w:hAnsiTheme="majorBidi" w:cstheme="majorBidi"/>
        </w:rPr>
        <w:t xml:space="preserve">. </w:t>
      </w:r>
    </w:p>
    <w:p w14:paraId="3A06350E" w14:textId="77777777" w:rsidR="00BC3873" w:rsidRPr="00BC3873" w:rsidRDefault="00BC3873" w:rsidP="00BC3873">
      <w:pPr>
        <w:spacing w:line="360" w:lineRule="auto"/>
        <w:jc w:val="both"/>
        <w:rPr>
          <w:rFonts w:asciiTheme="majorBidi" w:hAnsiTheme="majorBidi" w:cstheme="majorBidi"/>
        </w:rPr>
      </w:pPr>
    </w:p>
    <w:p w14:paraId="48AA5368" w14:textId="22576850" w:rsidR="001F38A5" w:rsidRDefault="00743369" w:rsidP="00976C59">
      <w:pPr>
        <w:spacing w:line="360" w:lineRule="auto"/>
        <w:jc w:val="both"/>
        <w:rPr>
          <w:rFonts w:asciiTheme="majorBidi" w:hAnsiTheme="majorBidi" w:cstheme="majorBidi"/>
        </w:rPr>
      </w:pPr>
      <w:r w:rsidRPr="001000CB">
        <w:rPr>
          <w:rFonts w:asciiTheme="majorBidi" w:hAnsiTheme="majorBidi" w:cstheme="majorBidi"/>
          <w:color w:val="000000" w:themeColor="text1"/>
        </w:rPr>
        <w:fldChar w:fldCharType="begin"/>
      </w:r>
      <w:r w:rsidRPr="001000CB">
        <w:rPr>
          <w:rFonts w:asciiTheme="majorBidi" w:hAnsiTheme="majorBidi" w:cstheme="majorBidi"/>
          <w:color w:val="000000" w:themeColor="text1"/>
        </w:rPr>
        <w:instrText xml:space="preserve"> ADDIN ZOTERO_ITEM CSL_CITATION {"citationID":"dRYawoEU","properties":{"formattedCitation":"({\\i{}Impact of Merger Announcements on Shareholders\\uc0\\u8217{} Wealth}, n.d.)","plainCitation":"(Impact of Merger Announcements on Shareholders’ Wealth, n.d.)","noteIndex":0},"citationItems":[{"id":61,"uris":["http://zotero.org/users/local/yasKWql4/items/EU3UGJBS"],"itemData":{"id":61,"type":"webpage","language":"en","note":"DOI: 10.1177/0256090920080103","title":"Impact of Merger Announcements on Shareholders' Wealth: Evidence from Indian Private Sector Banks","title-short":"Impact of Merger Announcements on Shareholders' Wealth","URL":"https://journals.sagepub.com/doi/epdf/10.1177/0256090920080103","accessed":{"date-parts":[["2024",9,23]]}}}],"schema":"https://github.com/citation-style-language/schema/raw/master/csl-citation.json"} </w:instrText>
      </w:r>
      <w:r w:rsidRPr="001000CB">
        <w:rPr>
          <w:rFonts w:asciiTheme="majorBidi" w:hAnsiTheme="majorBidi" w:cstheme="majorBidi"/>
          <w:color w:val="000000" w:themeColor="text1"/>
        </w:rPr>
        <w:fldChar w:fldCharType="separate"/>
      </w:r>
      <w:r w:rsidRPr="001000CB">
        <w:rPr>
          <w:rFonts w:asciiTheme="majorBidi" w:hAnsiTheme="majorBidi" w:cstheme="majorBidi"/>
          <w:color w:val="000000" w:themeColor="text1"/>
          <w:lang w:val="en-US"/>
        </w:rPr>
        <w:t>(</w:t>
      </w:r>
      <w:r w:rsidRPr="001000CB">
        <w:rPr>
          <w:rFonts w:asciiTheme="majorBidi" w:hAnsiTheme="majorBidi" w:cstheme="majorBidi"/>
          <w:i/>
          <w:iCs/>
          <w:color w:val="000000" w:themeColor="text1"/>
          <w:lang w:val="en-US"/>
        </w:rPr>
        <w:t>Impact of Merger Announcements on Shareholders’ Wealth</w:t>
      </w:r>
      <w:r w:rsidRPr="001000CB">
        <w:rPr>
          <w:rFonts w:asciiTheme="majorBidi" w:hAnsiTheme="majorBidi" w:cstheme="majorBidi"/>
          <w:color w:val="000000" w:themeColor="text1"/>
          <w:lang w:val="en-US"/>
        </w:rPr>
        <w:t>, n.d.)</w:t>
      </w:r>
      <w:r w:rsidRPr="001000CB">
        <w:rPr>
          <w:rFonts w:asciiTheme="majorBidi" w:hAnsiTheme="majorBidi" w:cstheme="majorBidi"/>
          <w:color w:val="000000" w:themeColor="text1"/>
        </w:rPr>
        <w:fldChar w:fldCharType="end"/>
      </w:r>
      <w:r w:rsidRPr="001000CB">
        <w:rPr>
          <w:rFonts w:asciiTheme="majorBidi" w:hAnsiTheme="majorBidi" w:cstheme="majorBidi"/>
          <w:color w:val="000000" w:themeColor="text1"/>
        </w:rPr>
        <w:t xml:space="preserve"> </w:t>
      </w:r>
      <w:r w:rsidR="001F38A5" w:rsidRPr="008048F6">
        <w:rPr>
          <w:rFonts w:asciiTheme="majorBidi" w:hAnsiTheme="majorBidi" w:cstheme="majorBidi"/>
        </w:rPr>
        <w:t xml:space="preserve">looked at how merger announcements affect the shareholders of banks. In India, </w:t>
      </w:r>
      <w:r w:rsidR="001F38A5" w:rsidRPr="001000CB">
        <w:rPr>
          <w:rFonts w:asciiTheme="majorBidi" w:hAnsiTheme="majorBidi" w:cstheme="majorBidi"/>
          <w:color w:val="000000" w:themeColor="text1"/>
        </w:rPr>
        <w:t xml:space="preserve">several banks have merged recently, including Times Bank with HDFC Bank, Bank of Madurai with ICICI Bank, ICICI Ltd with ICICI Bank, Global Trust Bank with Oriental Bank of Commerce, and Bank of Punjab with Centurion Bank. These announcements had a positive and significant impact on the shareholders' wealth. The study also explored mergers between European and American </w:t>
      </w:r>
      <w:r w:rsidR="001F38A5" w:rsidRPr="008048F6">
        <w:rPr>
          <w:rFonts w:asciiTheme="majorBidi" w:hAnsiTheme="majorBidi" w:cstheme="majorBidi"/>
        </w:rPr>
        <w:t xml:space="preserve">banks, noting that while there were positive effects for both the acquiring and target banks, there was some loss of shareholder value in the US cases. The analysis showed that in the days surrounding the merger announcements, the combined banks had capital adequacy ratios of </w:t>
      </w:r>
      <w:r w:rsidR="001F38A5" w:rsidRPr="008048F6">
        <w:rPr>
          <w:rFonts w:asciiTheme="majorBidi" w:hAnsiTheme="majorBidi" w:cstheme="majorBidi"/>
        </w:rPr>
        <w:lastRenderedPageBreak/>
        <w:t>4.29% over three days and 9.71% over eleven days. This suggests that merging banks can be beneficial for the shareholders.</w:t>
      </w:r>
    </w:p>
    <w:p w14:paraId="3C41AD21" w14:textId="77777777" w:rsidR="007A4F92" w:rsidRDefault="007A4F92" w:rsidP="00F43EA4">
      <w:pPr>
        <w:spacing w:line="360" w:lineRule="auto"/>
        <w:jc w:val="both"/>
        <w:rPr>
          <w:rFonts w:asciiTheme="majorBidi" w:hAnsiTheme="majorBidi" w:cstheme="majorBidi"/>
        </w:rPr>
      </w:pPr>
    </w:p>
    <w:p w14:paraId="6178B30B" w14:textId="17D018AA" w:rsidR="008A1195" w:rsidRPr="008048F6" w:rsidRDefault="008A1195" w:rsidP="00F43EA4">
      <w:pPr>
        <w:spacing w:line="360" w:lineRule="auto"/>
        <w:jc w:val="both"/>
        <w:rPr>
          <w:rFonts w:asciiTheme="majorBidi" w:hAnsiTheme="majorBidi" w:cstheme="majorBidi"/>
        </w:rPr>
      </w:pPr>
      <w:r w:rsidRPr="008048F6">
        <w:rPr>
          <w:rFonts w:asciiTheme="majorBidi" w:hAnsiTheme="majorBidi" w:cstheme="majorBidi"/>
        </w:rPr>
        <w:t>The analysis of recent mergers and demergers in India highlights significant trends in corporate restructuring. Mergers are strategic initiatives designed to enhance operational efficiency, market competitiveness, and shareholder value, often leading to synergies and improved financial results. Conversely, demergers enable companies to concentrate on core operations and enhance shareholder value by separating different business segments. Both processes demand careful planning, clear communication, and regulatory adherence to optimize outcomes and create value for stakeholders</w:t>
      </w:r>
      <w:r w:rsidR="006C738E">
        <w:rPr>
          <w:rFonts w:asciiTheme="majorBidi" w:hAnsiTheme="majorBidi" w:cstheme="majorBidi"/>
        </w:rPr>
        <w:t xml:space="preserve"> </w:t>
      </w:r>
      <w:sdt>
        <w:sdtPr>
          <w:rPr>
            <w:rFonts w:asciiTheme="majorBidi" w:hAnsiTheme="majorBidi" w:cstheme="majorBidi"/>
          </w:rPr>
          <w:id w:val="12968056"/>
          <w:citation/>
        </w:sdtPr>
        <w:sdtEndPr/>
        <w:sdtContent>
          <w:r w:rsidR="006C738E">
            <w:rPr>
              <w:rFonts w:asciiTheme="majorBidi" w:hAnsiTheme="majorBidi" w:cstheme="majorBidi"/>
            </w:rPr>
            <w:fldChar w:fldCharType="begin"/>
          </w:r>
          <w:r w:rsidR="006C738E">
            <w:rPr>
              <w:rFonts w:asciiTheme="majorBidi" w:hAnsiTheme="majorBidi" w:cstheme="majorBidi"/>
              <w:lang w:val="en-US"/>
            </w:rPr>
            <w:instrText xml:space="preserve"> CITATION Mah24 \l 1033 </w:instrText>
          </w:r>
          <w:r w:rsidR="006C738E">
            <w:rPr>
              <w:rFonts w:asciiTheme="majorBidi" w:hAnsiTheme="majorBidi" w:cstheme="majorBidi"/>
            </w:rPr>
            <w:fldChar w:fldCharType="separate"/>
          </w:r>
          <w:r w:rsidR="006C738E" w:rsidRPr="006C738E">
            <w:rPr>
              <w:rFonts w:asciiTheme="majorBidi" w:hAnsiTheme="majorBidi" w:cstheme="majorBidi"/>
              <w:noProof/>
              <w:lang w:val="en-US"/>
            </w:rPr>
            <w:t>(Maheshwari, 2024)</w:t>
          </w:r>
          <w:r w:rsidR="006C738E">
            <w:rPr>
              <w:rFonts w:asciiTheme="majorBidi" w:hAnsiTheme="majorBidi" w:cstheme="majorBidi"/>
            </w:rPr>
            <w:fldChar w:fldCharType="end"/>
          </w:r>
        </w:sdtContent>
      </w:sdt>
      <w:r w:rsidR="001C5323">
        <w:rPr>
          <w:rFonts w:asciiTheme="majorBidi" w:hAnsiTheme="majorBidi" w:cstheme="majorBidi"/>
        </w:rPr>
        <w:t>.</w:t>
      </w:r>
    </w:p>
    <w:p w14:paraId="06B3E9F1" w14:textId="77777777" w:rsidR="005C41AE" w:rsidRDefault="005C41AE" w:rsidP="00D21665">
      <w:pPr>
        <w:spacing w:line="360" w:lineRule="auto"/>
        <w:jc w:val="both"/>
        <w:rPr>
          <w:rFonts w:asciiTheme="majorBidi" w:hAnsiTheme="majorBidi" w:cstheme="majorBidi"/>
        </w:rPr>
      </w:pPr>
    </w:p>
    <w:p w14:paraId="303F5C71" w14:textId="3BAC9B31" w:rsidR="009F7800" w:rsidRDefault="009F7800" w:rsidP="00D21665">
      <w:pPr>
        <w:spacing w:line="360" w:lineRule="auto"/>
        <w:jc w:val="both"/>
        <w:rPr>
          <w:rFonts w:asciiTheme="majorBidi" w:hAnsiTheme="majorBidi" w:cstheme="majorBidi"/>
        </w:rPr>
      </w:pPr>
      <w:r w:rsidRPr="008048F6">
        <w:rPr>
          <w:rFonts w:asciiTheme="majorBidi" w:hAnsiTheme="majorBidi" w:cstheme="majorBidi"/>
        </w:rPr>
        <w:t>The study indicates that M&amp;A deals often provide less value to acquiring companies within three years due to factors like the economic environment and merger motivations. Cultural differences pose significant challenges during integration, leading to layoffs and executive turnover, which delays the realization of synergy benefits. While some acquisitions aim for immediate gains, most are intended for long-term advantages, such as economies of scale and reduced costs</w:t>
      </w:r>
      <w:r w:rsidR="001C5323">
        <w:rPr>
          <w:rFonts w:asciiTheme="majorBidi" w:hAnsiTheme="majorBidi" w:cstheme="majorBidi"/>
        </w:rPr>
        <w:t xml:space="preserve"> </w:t>
      </w:r>
      <w:sdt>
        <w:sdtPr>
          <w:rPr>
            <w:rFonts w:asciiTheme="majorBidi" w:hAnsiTheme="majorBidi" w:cstheme="majorBidi"/>
          </w:rPr>
          <w:id w:val="1936404287"/>
          <w:citation/>
        </w:sdtPr>
        <w:sdtEndPr/>
        <w:sdtContent>
          <w:r w:rsidR="001C5323">
            <w:rPr>
              <w:rFonts w:asciiTheme="majorBidi" w:hAnsiTheme="majorBidi" w:cstheme="majorBidi"/>
            </w:rPr>
            <w:fldChar w:fldCharType="begin"/>
          </w:r>
          <w:r w:rsidR="001C5323">
            <w:rPr>
              <w:rFonts w:asciiTheme="majorBidi" w:hAnsiTheme="majorBidi" w:cstheme="majorBidi"/>
              <w:lang w:val="en-US"/>
            </w:rPr>
            <w:instrText xml:space="preserve"> CITATION Muk \l 1033 </w:instrText>
          </w:r>
          <w:r w:rsidR="001C5323">
            <w:rPr>
              <w:rFonts w:asciiTheme="majorBidi" w:hAnsiTheme="majorBidi" w:cstheme="majorBidi"/>
            </w:rPr>
            <w:fldChar w:fldCharType="separate"/>
          </w:r>
          <w:r w:rsidR="001C5323" w:rsidRPr="001C5323">
            <w:rPr>
              <w:rFonts w:asciiTheme="majorBidi" w:hAnsiTheme="majorBidi" w:cstheme="majorBidi"/>
              <w:noProof/>
              <w:lang w:val="en-US"/>
            </w:rPr>
            <w:t>(Mukherjee)</w:t>
          </w:r>
          <w:r w:rsidR="001C5323">
            <w:rPr>
              <w:rFonts w:asciiTheme="majorBidi" w:hAnsiTheme="majorBidi" w:cstheme="majorBidi"/>
            </w:rPr>
            <w:fldChar w:fldCharType="end"/>
          </w:r>
        </w:sdtContent>
      </w:sdt>
      <w:r w:rsidR="001C5323">
        <w:rPr>
          <w:rFonts w:asciiTheme="majorBidi" w:hAnsiTheme="majorBidi" w:cstheme="majorBidi"/>
        </w:rPr>
        <w:t>.</w:t>
      </w:r>
      <w:r w:rsidR="001C5323" w:rsidRPr="008048F6">
        <w:rPr>
          <w:rFonts w:asciiTheme="majorBidi" w:hAnsiTheme="majorBidi" w:cstheme="majorBidi"/>
        </w:rPr>
        <w:t xml:space="preserve"> </w:t>
      </w:r>
    </w:p>
    <w:p w14:paraId="5CE93C83" w14:textId="77777777" w:rsidR="00BC3873" w:rsidRDefault="00BC3873" w:rsidP="00FF736B">
      <w:pPr>
        <w:spacing w:line="360" w:lineRule="auto"/>
        <w:jc w:val="both"/>
        <w:rPr>
          <w:color w:val="000000"/>
        </w:rPr>
      </w:pPr>
    </w:p>
    <w:p w14:paraId="2B5BD0E4" w14:textId="7C698FA5" w:rsidR="008A1195" w:rsidRPr="008048F6" w:rsidRDefault="008A1195" w:rsidP="008048F6">
      <w:pPr>
        <w:jc w:val="both"/>
        <w:rPr>
          <w:rFonts w:asciiTheme="majorBidi" w:hAnsiTheme="majorBidi" w:cstheme="majorBidi"/>
        </w:rPr>
      </w:pPr>
    </w:p>
    <w:p w14:paraId="47F46496" w14:textId="4FED1B9B" w:rsidR="00B30F57" w:rsidRPr="005D629B" w:rsidRDefault="003C1117" w:rsidP="00EA4355">
      <w:pPr>
        <w:pStyle w:val="ListParagraph"/>
        <w:numPr>
          <w:ilvl w:val="0"/>
          <w:numId w:val="1"/>
        </w:numPr>
        <w:jc w:val="both"/>
        <w:rPr>
          <w:rFonts w:asciiTheme="majorBidi" w:eastAsia="Times New Roman" w:hAnsiTheme="majorBidi" w:cstheme="majorBidi"/>
          <w:b/>
          <w:sz w:val="28"/>
          <w:szCs w:val="28"/>
        </w:rPr>
      </w:pPr>
      <w:r w:rsidRPr="005D629B">
        <w:rPr>
          <w:rFonts w:asciiTheme="majorBidi" w:eastAsia="Times New Roman" w:hAnsiTheme="majorBidi" w:cstheme="majorBidi"/>
          <w:b/>
          <w:sz w:val="28"/>
          <w:szCs w:val="28"/>
        </w:rPr>
        <w:t xml:space="preserve">RESEARCH </w:t>
      </w:r>
      <w:r w:rsidR="009D1076" w:rsidRPr="005D629B">
        <w:rPr>
          <w:rFonts w:asciiTheme="majorBidi" w:eastAsia="Times New Roman" w:hAnsiTheme="majorBidi" w:cstheme="majorBidi"/>
          <w:b/>
          <w:sz w:val="28"/>
          <w:szCs w:val="28"/>
        </w:rPr>
        <w:t>METHODOLOGY</w:t>
      </w:r>
    </w:p>
    <w:p w14:paraId="5E5F7068" w14:textId="67AB22EB" w:rsidR="009D1076" w:rsidRPr="005D629B" w:rsidRDefault="009D1076" w:rsidP="008048F6">
      <w:pPr>
        <w:jc w:val="both"/>
        <w:rPr>
          <w:rFonts w:asciiTheme="majorBidi" w:hAnsiTheme="majorBidi" w:cstheme="majorBidi"/>
          <w:sz w:val="28"/>
          <w:szCs w:val="28"/>
        </w:rPr>
      </w:pPr>
    </w:p>
    <w:p w14:paraId="2B678A9B" w14:textId="279F5237" w:rsidR="00BF35A6" w:rsidRPr="00F43EA4" w:rsidRDefault="005D16E5" w:rsidP="008048F6">
      <w:pPr>
        <w:jc w:val="both"/>
        <w:rPr>
          <w:rFonts w:asciiTheme="majorBidi" w:hAnsiTheme="majorBidi" w:cstheme="majorBidi"/>
          <w:b/>
          <w:bCs/>
          <w:u w:val="single"/>
        </w:rPr>
      </w:pPr>
      <w:r w:rsidRPr="00F43EA4">
        <w:rPr>
          <w:rFonts w:asciiTheme="majorBidi" w:hAnsiTheme="majorBidi" w:cstheme="majorBidi"/>
          <w:b/>
          <w:bCs/>
          <w:u w:val="single"/>
        </w:rPr>
        <w:t>Objective</w:t>
      </w:r>
    </w:p>
    <w:p w14:paraId="493AB61C" w14:textId="6C69310D" w:rsidR="005D16E5" w:rsidRPr="008048F6" w:rsidRDefault="005D16E5" w:rsidP="008048F6">
      <w:pPr>
        <w:jc w:val="both"/>
        <w:rPr>
          <w:rFonts w:asciiTheme="majorBidi" w:hAnsiTheme="majorBidi" w:cstheme="majorBidi"/>
        </w:rPr>
      </w:pPr>
    </w:p>
    <w:p w14:paraId="760CA647" w14:textId="77777777" w:rsidR="005F216F" w:rsidRPr="005F216F" w:rsidRDefault="005F216F" w:rsidP="005F216F">
      <w:pPr>
        <w:spacing w:line="360" w:lineRule="auto"/>
        <w:jc w:val="both"/>
      </w:pPr>
      <w:r w:rsidRPr="005F216F">
        <w:rPr>
          <w:color w:val="000000"/>
        </w:rPr>
        <w:t>This study seeks to evaluate the financial performance of Indian Bank before and after its merger, using the CAMEL model. The primary goal of the paper is to determine whether the merger has influenced the bank's overall financial performance.</w:t>
      </w:r>
    </w:p>
    <w:p w14:paraId="54E4FBE7" w14:textId="77777777" w:rsidR="005F216F" w:rsidRDefault="005F216F" w:rsidP="008048F6">
      <w:pPr>
        <w:jc w:val="both"/>
        <w:rPr>
          <w:rFonts w:asciiTheme="majorBidi" w:hAnsiTheme="majorBidi" w:cstheme="majorBidi"/>
          <w:b/>
          <w:bCs/>
          <w:u w:val="single"/>
        </w:rPr>
      </w:pPr>
    </w:p>
    <w:p w14:paraId="590BD6D8" w14:textId="4618A7B8" w:rsidR="005D16E5" w:rsidRPr="00F43EA4" w:rsidRDefault="005D16E5" w:rsidP="008048F6">
      <w:pPr>
        <w:jc w:val="both"/>
        <w:rPr>
          <w:rFonts w:asciiTheme="majorBidi" w:hAnsiTheme="majorBidi" w:cstheme="majorBidi"/>
          <w:b/>
          <w:bCs/>
          <w:u w:val="single"/>
        </w:rPr>
      </w:pPr>
      <w:r w:rsidRPr="00F43EA4">
        <w:rPr>
          <w:rFonts w:asciiTheme="majorBidi" w:hAnsiTheme="majorBidi" w:cstheme="majorBidi"/>
          <w:b/>
          <w:bCs/>
          <w:u w:val="single"/>
        </w:rPr>
        <w:t>Data Sources</w:t>
      </w:r>
    </w:p>
    <w:p w14:paraId="1C6517B8" w14:textId="6D4BA9A2" w:rsidR="00BE2C96" w:rsidRPr="008048F6" w:rsidRDefault="00BE2C96" w:rsidP="008048F6">
      <w:pPr>
        <w:jc w:val="both"/>
        <w:rPr>
          <w:rFonts w:asciiTheme="majorBidi" w:hAnsiTheme="majorBidi" w:cstheme="majorBidi"/>
        </w:rPr>
      </w:pPr>
    </w:p>
    <w:p w14:paraId="011A4A38" w14:textId="77777777" w:rsidR="00E11439" w:rsidRPr="00E11439" w:rsidRDefault="00E11439" w:rsidP="00E11439">
      <w:pPr>
        <w:spacing w:line="360" w:lineRule="auto"/>
        <w:jc w:val="both"/>
        <w:rPr>
          <w:color w:val="000000"/>
        </w:rPr>
      </w:pPr>
      <w:r w:rsidRPr="00E11439">
        <w:rPr>
          <w:color w:val="000000"/>
        </w:rPr>
        <w:t>The study primarily relies on secondary data, including the annual reports of Indian Bank for the period 2017–18 to 2022–23, which were obtained from the Reserve Bank of India’s website and the CMIE database. It also draws on various journals, periodicals, research papers, and publications—both domestic and international—that examine the financial performance of India’s banking sector. The analysis spans six years, from 2017 to 2023, with three years covering the period before the merger (2017–2020) and three years after the merger (2021–2023) between Allahabad Bank and Indian Bank, which took effect on April 1, 2020.</w:t>
      </w:r>
    </w:p>
    <w:p w14:paraId="0EB3E868" w14:textId="77777777" w:rsidR="00E11439" w:rsidRDefault="00E11439" w:rsidP="00E11439">
      <w:pPr>
        <w:rPr>
          <w:rFonts w:asciiTheme="majorBidi" w:hAnsiTheme="majorBidi" w:cstheme="majorBidi"/>
          <w:b/>
          <w:bCs/>
          <w:u w:val="single"/>
        </w:rPr>
      </w:pPr>
    </w:p>
    <w:p w14:paraId="1A302DE9" w14:textId="3AE727A5" w:rsidR="00F245F4" w:rsidRPr="00E11439" w:rsidRDefault="00EA4355" w:rsidP="00E11439">
      <w:r w:rsidRPr="00EA4355">
        <w:rPr>
          <w:rFonts w:asciiTheme="majorBidi" w:hAnsiTheme="majorBidi" w:cstheme="majorBidi"/>
          <w:b/>
          <w:bCs/>
          <w:u w:val="single"/>
        </w:rPr>
        <w:t>Hypothesis</w:t>
      </w:r>
    </w:p>
    <w:p w14:paraId="02F3F837" w14:textId="416A74FB" w:rsidR="002D19A2" w:rsidRPr="00B904E5" w:rsidRDefault="00B904E5" w:rsidP="005D6E0E">
      <w:pPr>
        <w:spacing w:before="100" w:beforeAutospacing="1" w:after="100" w:afterAutospacing="1" w:line="360" w:lineRule="auto"/>
        <w:jc w:val="both"/>
        <w:rPr>
          <w:color w:val="000000"/>
        </w:rPr>
      </w:pPr>
      <w:r w:rsidRPr="00B904E5">
        <w:rPr>
          <w:color w:val="000000"/>
        </w:rPr>
        <w:t>The primary objective of the study is achieved, and the research hypothesis is validated using paired t-tests. The sample period includes both the pre-merger and post-merger phases. Based on this division, the financial metrics from the CAMEL framework are organized into two groups: one representing the period before the merger and the other reflecting the period after the merger. The hypotheses formulated for the study are as follows:</w:t>
      </w:r>
    </w:p>
    <w:p w14:paraId="18C634CF" w14:textId="5995DD9B" w:rsidR="00F245F4" w:rsidRPr="00B904E5" w:rsidRDefault="00F245F4" w:rsidP="005D6E0E">
      <w:pPr>
        <w:spacing w:line="360" w:lineRule="auto"/>
        <w:jc w:val="both"/>
      </w:pPr>
      <w:r w:rsidRPr="008048F6">
        <w:rPr>
          <w:rFonts w:asciiTheme="majorBidi" w:hAnsiTheme="majorBidi" w:cstheme="majorBidi"/>
        </w:rPr>
        <w:t>H</w:t>
      </w:r>
      <w:r w:rsidR="00A465CC" w:rsidRPr="008048F6">
        <w:rPr>
          <w:rFonts w:asciiTheme="majorBidi" w:hAnsiTheme="majorBidi" w:cstheme="majorBidi"/>
          <w:vertAlign w:val="subscript"/>
        </w:rPr>
        <w:t>0</w:t>
      </w:r>
      <w:r w:rsidRPr="008048F6">
        <w:rPr>
          <w:rFonts w:asciiTheme="majorBidi" w:hAnsiTheme="majorBidi" w:cstheme="majorBidi"/>
        </w:rPr>
        <w:t xml:space="preserve">: </w:t>
      </w:r>
      <w:r w:rsidR="00B904E5" w:rsidRPr="00B904E5">
        <w:rPr>
          <w:color w:val="000000"/>
        </w:rPr>
        <w:t>There is no notable change in the financial performance of Indian Bank when comparing the periods before and after the merger.</w:t>
      </w:r>
    </w:p>
    <w:p w14:paraId="063C72A3" w14:textId="7326F461" w:rsidR="002D19A2" w:rsidRDefault="00F245F4" w:rsidP="005D6E0E">
      <w:pPr>
        <w:spacing w:line="360" w:lineRule="auto"/>
        <w:jc w:val="both"/>
        <w:rPr>
          <w:rFonts w:asciiTheme="majorBidi" w:hAnsiTheme="majorBidi" w:cstheme="majorBidi"/>
        </w:rPr>
      </w:pPr>
      <w:r w:rsidRPr="008048F6">
        <w:rPr>
          <w:rFonts w:asciiTheme="majorBidi" w:hAnsiTheme="majorBidi" w:cstheme="majorBidi"/>
        </w:rPr>
        <w:t>H</w:t>
      </w:r>
      <w:r w:rsidR="00A465CC" w:rsidRPr="008048F6">
        <w:rPr>
          <w:rFonts w:asciiTheme="majorBidi" w:hAnsiTheme="majorBidi" w:cstheme="majorBidi"/>
          <w:vertAlign w:val="subscript"/>
        </w:rPr>
        <w:t>1</w:t>
      </w:r>
      <w:r w:rsidRPr="008048F6">
        <w:rPr>
          <w:rFonts w:asciiTheme="majorBidi" w:hAnsiTheme="majorBidi" w:cstheme="majorBidi"/>
        </w:rPr>
        <w:t xml:space="preserve">: </w:t>
      </w:r>
      <w:r w:rsidR="00B904E5">
        <w:rPr>
          <w:rFonts w:asciiTheme="majorBidi" w:hAnsiTheme="majorBidi" w:cstheme="majorBidi"/>
        </w:rPr>
        <w:t>There is notable change in the financial performance of Indian Bank when comparing the periods before and after the merger.</w:t>
      </w:r>
    </w:p>
    <w:p w14:paraId="387A2460" w14:textId="77777777" w:rsidR="00CB1918" w:rsidRDefault="00CB1918" w:rsidP="005D6E0E">
      <w:pPr>
        <w:spacing w:line="360" w:lineRule="auto"/>
        <w:jc w:val="both"/>
        <w:rPr>
          <w:rFonts w:asciiTheme="majorBidi" w:hAnsiTheme="majorBidi" w:cstheme="majorBidi"/>
        </w:rPr>
      </w:pPr>
    </w:p>
    <w:p w14:paraId="38C37169" w14:textId="50E8AAB3" w:rsidR="00DB0723" w:rsidRPr="005D629B" w:rsidRDefault="00DB0723" w:rsidP="00F43EA4">
      <w:pPr>
        <w:spacing w:line="360" w:lineRule="auto"/>
        <w:jc w:val="both"/>
        <w:rPr>
          <w:rFonts w:asciiTheme="majorBidi" w:hAnsiTheme="majorBidi" w:cstheme="majorBidi"/>
          <w:b/>
          <w:bCs/>
          <w:u w:val="single"/>
        </w:rPr>
      </w:pPr>
      <w:r w:rsidRPr="005D629B">
        <w:rPr>
          <w:rFonts w:asciiTheme="majorBidi" w:hAnsiTheme="majorBidi" w:cstheme="majorBidi"/>
          <w:b/>
          <w:bCs/>
          <w:u w:val="single"/>
        </w:rPr>
        <w:t>Tools Used</w:t>
      </w:r>
    </w:p>
    <w:p w14:paraId="7EED2534" w14:textId="77777777" w:rsidR="005D629B" w:rsidRDefault="005D629B" w:rsidP="001D3A4F">
      <w:pPr>
        <w:spacing w:line="360" w:lineRule="auto"/>
        <w:jc w:val="both"/>
        <w:rPr>
          <w:color w:val="000000"/>
        </w:rPr>
      </w:pPr>
    </w:p>
    <w:p w14:paraId="035010B7" w14:textId="206C7F53" w:rsidR="00BF3C16" w:rsidRDefault="001D3A4F" w:rsidP="001D3A4F">
      <w:pPr>
        <w:spacing w:line="360" w:lineRule="auto"/>
        <w:jc w:val="both"/>
        <w:rPr>
          <w:color w:val="000000"/>
        </w:rPr>
      </w:pPr>
      <w:r w:rsidRPr="001D3A4F">
        <w:rPr>
          <w:color w:val="000000"/>
        </w:rPr>
        <w:t>The financial stability of Indian banks is assessed using seventeen financial indicators from the CAMEL model, covering various dimensions. To evaluate </w:t>
      </w:r>
      <w:r w:rsidRPr="001D3A4F">
        <w:rPr>
          <w:b/>
          <w:bCs/>
          <w:color w:val="000000"/>
        </w:rPr>
        <w:t>Capital Adequacy</w:t>
      </w:r>
      <w:r w:rsidRPr="001D3A4F">
        <w:rPr>
          <w:color w:val="000000"/>
        </w:rPr>
        <w:t>, four ratios are considered: Capital Adequacy Ratio (CAR), Debt to Equity Ratio (DER), Total Advances to Total Assets (</w:t>
      </w:r>
      <w:proofErr w:type="spellStart"/>
      <w:r w:rsidRPr="001D3A4F">
        <w:rPr>
          <w:color w:val="000000"/>
        </w:rPr>
        <w:t>TAd</w:t>
      </w:r>
      <w:proofErr w:type="spellEnd"/>
      <w:r w:rsidRPr="001D3A4F">
        <w:rPr>
          <w:color w:val="000000"/>
        </w:rPr>
        <w:t xml:space="preserve"> to TA) Ratio, and Government Securities to Total Investment Ratio (GSTIR). </w:t>
      </w:r>
      <w:r w:rsidRPr="001D3A4F">
        <w:rPr>
          <w:b/>
          <w:bCs/>
          <w:color w:val="000000"/>
        </w:rPr>
        <w:t>Asset Quality</w:t>
      </w:r>
      <w:r w:rsidRPr="001D3A4F">
        <w:rPr>
          <w:color w:val="000000"/>
        </w:rPr>
        <w:t> is analy</w:t>
      </w:r>
      <w:r w:rsidR="00BC6CBA">
        <w:rPr>
          <w:color w:val="000000"/>
        </w:rPr>
        <w:t>s</w:t>
      </w:r>
      <w:r w:rsidRPr="001D3A4F">
        <w:rPr>
          <w:color w:val="000000"/>
        </w:rPr>
        <w:t xml:space="preserve">ed using two ratios: Net NPA to Net Advances (NNPA to </w:t>
      </w:r>
      <w:proofErr w:type="spellStart"/>
      <w:r w:rsidRPr="001D3A4F">
        <w:rPr>
          <w:color w:val="000000"/>
        </w:rPr>
        <w:t>NAd</w:t>
      </w:r>
      <w:proofErr w:type="spellEnd"/>
      <w:r w:rsidRPr="001D3A4F">
        <w:rPr>
          <w:color w:val="000000"/>
        </w:rPr>
        <w:t>) and Total Investments to Total Assets (TI to TA) Ratio. For measuring </w:t>
      </w:r>
      <w:r w:rsidRPr="001D3A4F">
        <w:rPr>
          <w:b/>
          <w:bCs/>
          <w:color w:val="000000"/>
        </w:rPr>
        <w:t>Management Efficiency</w:t>
      </w:r>
      <w:r w:rsidRPr="001D3A4F">
        <w:rPr>
          <w:color w:val="000000"/>
        </w:rPr>
        <w:t>, three indicators are used: Total Advances to Total Deposits (</w:t>
      </w:r>
      <w:proofErr w:type="spellStart"/>
      <w:r w:rsidRPr="001D3A4F">
        <w:rPr>
          <w:color w:val="000000"/>
        </w:rPr>
        <w:t>TAd</w:t>
      </w:r>
      <w:proofErr w:type="spellEnd"/>
      <w:r w:rsidRPr="001D3A4F">
        <w:rPr>
          <w:color w:val="000000"/>
        </w:rPr>
        <w:t xml:space="preserve"> to TD) Ratio, Earnings Per Employee (EPE), and Business per Employee (BPE). </w:t>
      </w:r>
      <w:r w:rsidRPr="001D3A4F">
        <w:rPr>
          <w:b/>
          <w:bCs/>
          <w:color w:val="000000"/>
        </w:rPr>
        <w:t>Profitability</w:t>
      </w:r>
      <w:r w:rsidRPr="001D3A4F">
        <w:rPr>
          <w:color w:val="000000"/>
        </w:rPr>
        <w:t> is assessed through four ratios: Return on Assets (ROA), Return on Equity (ROE), Net Interest Margin (NIM), and Operating Profit to Working Fund Ratio (OPWFR). To examine the bank's </w:t>
      </w:r>
      <w:r w:rsidRPr="001D3A4F">
        <w:rPr>
          <w:b/>
          <w:bCs/>
          <w:color w:val="000000"/>
        </w:rPr>
        <w:t>liquidity position</w:t>
      </w:r>
      <w:r w:rsidRPr="001D3A4F">
        <w:rPr>
          <w:color w:val="000000"/>
        </w:rPr>
        <w:t> pre- and post-merger, four ratios are used: Liquid Assets to Total Assets Ratio (LATAR), Liquid Assets to Total Deposits Ratio (LATDR), Government Securities to Total Assets Ratio (GSTAR), and Liquid Assets to Demand Deposits (LADD). Additionally, a Paired Sample t-test is applied to test the study's hypothesis.</w:t>
      </w:r>
    </w:p>
    <w:p w14:paraId="7D5D5A68" w14:textId="01623E06" w:rsidR="00125619" w:rsidRDefault="00125619" w:rsidP="001D3A4F">
      <w:pPr>
        <w:spacing w:line="360" w:lineRule="auto"/>
        <w:jc w:val="both"/>
      </w:pPr>
    </w:p>
    <w:p w14:paraId="30F21192" w14:textId="7E471E66" w:rsidR="00125619" w:rsidRDefault="00125619" w:rsidP="001D3A4F">
      <w:pPr>
        <w:spacing w:line="360" w:lineRule="auto"/>
        <w:jc w:val="both"/>
        <w:rPr>
          <w:b/>
          <w:u w:val="single"/>
        </w:rPr>
      </w:pPr>
      <w:r w:rsidRPr="00125619">
        <w:rPr>
          <w:b/>
          <w:u w:val="single"/>
        </w:rPr>
        <w:t>Limitations of the Study</w:t>
      </w:r>
    </w:p>
    <w:p w14:paraId="09662419" w14:textId="2E837C12" w:rsidR="00125619" w:rsidRDefault="00125619" w:rsidP="001D3A4F">
      <w:pPr>
        <w:spacing w:line="360" w:lineRule="auto"/>
        <w:jc w:val="both"/>
        <w:rPr>
          <w:b/>
          <w:u w:val="single"/>
        </w:rPr>
      </w:pPr>
    </w:p>
    <w:p w14:paraId="053B7FBB" w14:textId="56E8E55C" w:rsidR="00125619" w:rsidRPr="00426B3A" w:rsidRDefault="00426B3A" w:rsidP="00426B3A">
      <w:pPr>
        <w:spacing w:line="360" w:lineRule="auto"/>
        <w:jc w:val="both"/>
      </w:pPr>
      <w:r w:rsidRPr="00426B3A">
        <w:rPr>
          <w:color w:val="000000"/>
        </w:rPr>
        <w:t xml:space="preserve">The study has several limitations. It focuses on the short-term impact of the merger, leaving long-term effects on financial stability unexplored. While the CAMEL framework provides a </w:t>
      </w:r>
      <w:r w:rsidRPr="00426B3A">
        <w:rPr>
          <w:color w:val="000000"/>
        </w:rPr>
        <w:lastRenderedPageBreak/>
        <w:t>detailed financial analysis, non-financial factors like customer satisfaction and employee morale are not considered. The study also overlooks broader macroeconomic or regulatory influences that may have impacted the bank's post-merger performance. Additionally, it relies on secondary financial data, which may have accuracy or completeness issues. Finally, by concentrating on the merger between Indian Bank and Allahabad Bank, the findings may not be applicable to other public sector bank mergers.</w:t>
      </w:r>
    </w:p>
    <w:p w14:paraId="5EF74892" w14:textId="3FB3CE31" w:rsidR="001D3A4F" w:rsidRDefault="001D3A4F" w:rsidP="001D3A4F">
      <w:pPr>
        <w:spacing w:line="360" w:lineRule="auto"/>
        <w:jc w:val="both"/>
      </w:pPr>
    </w:p>
    <w:p w14:paraId="6FFA0A7C" w14:textId="24FD193D" w:rsidR="00426B3A" w:rsidRDefault="00426B3A" w:rsidP="001D3A4F">
      <w:pPr>
        <w:spacing w:line="360" w:lineRule="auto"/>
        <w:jc w:val="both"/>
        <w:rPr>
          <w:b/>
          <w:u w:val="single"/>
        </w:rPr>
      </w:pPr>
      <w:r w:rsidRPr="00426B3A">
        <w:rPr>
          <w:b/>
          <w:u w:val="single"/>
        </w:rPr>
        <w:t>Research Gap</w:t>
      </w:r>
    </w:p>
    <w:p w14:paraId="1CBE07C3" w14:textId="413C8C12" w:rsidR="00426B3A" w:rsidRDefault="00426B3A" w:rsidP="001D3A4F">
      <w:pPr>
        <w:spacing w:line="360" w:lineRule="auto"/>
        <w:jc w:val="both"/>
        <w:rPr>
          <w:b/>
          <w:u w:val="single"/>
        </w:rPr>
      </w:pPr>
    </w:p>
    <w:p w14:paraId="4AD66C46" w14:textId="206BCC5E" w:rsidR="00426B3A" w:rsidRPr="00426B3A" w:rsidRDefault="00426B3A" w:rsidP="00426B3A">
      <w:pPr>
        <w:spacing w:line="360" w:lineRule="auto"/>
        <w:jc w:val="both"/>
      </w:pPr>
      <w:r w:rsidRPr="00426B3A">
        <w:rPr>
          <w:color w:val="000000"/>
        </w:rPr>
        <w:t>This study has several research gaps, including the long-term effects of mergers on financial stability, customer loyalty, and efficiency. It also overlooks the cultural and organizational integration process, which affects merger success. The influence of regulatory changes, customer perceptions, and market trust in the merged entity is not explored. A comparative study of different public sector bank mergers and the impact on smaller banks also presents valuable areas for future research.</w:t>
      </w:r>
    </w:p>
    <w:p w14:paraId="6F6C3368" w14:textId="77777777" w:rsidR="00426B3A" w:rsidRPr="001D3A4F" w:rsidRDefault="00426B3A" w:rsidP="001D3A4F">
      <w:pPr>
        <w:spacing w:line="360" w:lineRule="auto"/>
        <w:jc w:val="both"/>
      </w:pPr>
    </w:p>
    <w:p w14:paraId="4EBF63D5" w14:textId="0CFEDC9F" w:rsidR="009D1076" w:rsidRPr="005D629B" w:rsidRDefault="00EA4355" w:rsidP="00EA4355">
      <w:pPr>
        <w:pStyle w:val="ListParagraph"/>
        <w:numPr>
          <w:ilvl w:val="0"/>
          <w:numId w:val="1"/>
        </w:numPr>
        <w:jc w:val="both"/>
        <w:rPr>
          <w:rFonts w:asciiTheme="majorBidi" w:eastAsia="Times New Roman" w:hAnsiTheme="majorBidi" w:cstheme="majorBidi"/>
          <w:b/>
          <w:sz w:val="28"/>
          <w:szCs w:val="28"/>
        </w:rPr>
      </w:pPr>
      <w:r w:rsidRPr="005D629B">
        <w:rPr>
          <w:rFonts w:asciiTheme="majorBidi" w:eastAsia="Times New Roman" w:hAnsiTheme="majorBidi" w:cstheme="majorBidi"/>
          <w:b/>
          <w:sz w:val="28"/>
          <w:szCs w:val="28"/>
        </w:rPr>
        <w:t>RESULT</w:t>
      </w:r>
      <w:r w:rsidR="00DB0723" w:rsidRPr="005D629B">
        <w:rPr>
          <w:rFonts w:asciiTheme="majorBidi" w:eastAsia="Times New Roman" w:hAnsiTheme="majorBidi" w:cstheme="majorBidi"/>
          <w:b/>
          <w:sz w:val="28"/>
          <w:szCs w:val="28"/>
        </w:rPr>
        <w:t>S</w:t>
      </w:r>
      <w:r w:rsidRPr="005D629B">
        <w:rPr>
          <w:rFonts w:asciiTheme="majorBidi" w:eastAsia="Times New Roman" w:hAnsiTheme="majorBidi" w:cstheme="majorBidi"/>
          <w:b/>
          <w:sz w:val="28"/>
          <w:szCs w:val="28"/>
        </w:rPr>
        <w:t xml:space="preserve"> AND DISCUSSION:</w:t>
      </w:r>
    </w:p>
    <w:p w14:paraId="285D3F3F" w14:textId="2D50C904" w:rsidR="00B30F57" w:rsidRPr="008048F6" w:rsidRDefault="00DB0723" w:rsidP="00B91A62">
      <w:pPr>
        <w:spacing w:before="240" w:after="120"/>
        <w:jc w:val="both"/>
        <w:rPr>
          <w:rFonts w:asciiTheme="majorBidi" w:hAnsiTheme="majorBidi" w:cstheme="majorBidi"/>
        </w:rPr>
      </w:pPr>
      <w:r w:rsidRPr="008048F6">
        <w:rPr>
          <w:rFonts w:asciiTheme="majorBidi" w:hAnsiTheme="majorBidi" w:cstheme="majorBidi"/>
          <w:b/>
        </w:rPr>
        <w:t xml:space="preserve">Table </w:t>
      </w:r>
      <w:r w:rsidR="00B91A62" w:rsidRPr="008048F6">
        <w:rPr>
          <w:rFonts w:asciiTheme="majorBidi" w:hAnsiTheme="majorBidi" w:cstheme="majorBidi"/>
          <w:b/>
        </w:rPr>
        <w:t>1:</w:t>
      </w:r>
      <w:r w:rsidRPr="008048F6">
        <w:rPr>
          <w:rFonts w:asciiTheme="majorBidi" w:hAnsiTheme="majorBidi" w:cstheme="majorBidi"/>
          <w:b/>
        </w:rPr>
        <w:t xml:space="preserve"> Capital Adequacy</w:t>
      </w:r>
    </w:p>
    <w:tbl>
      <w:tblPr>
        <w:tblStyle w:val="TableGrid"/>
        <w:tblW w:w="5504" w:type="pct"/>
        <w:tblLayout w:type="fixed"/>
        <w:tblLook w:val="04A0" w:firstRow="1" w:lastRow="0" w:firstColumn="1" w:lastColumn="0" w:noHBand="0" w:noVBand="1"/>
      </w:tblPr>
      <w:tblGrid>
        <w:gridCol w:w="2268"/>
        <w:gridCol w:w="843"/>
        <w:gridCol w:w="843"/>
        <w:gridCol w:w="843"/>
        <w:gridCol w:w="1152"/>
        <w:gridCol w:w="849"/>
        <w:gridCol w:w="994"/>
        <w:gridCol w:w="853"/>
        <w:gridCol w:w="1273"/>
      </w:tblGrid>
      <w:tr w:rsidR="0038750F" w:rsidRPr="008048F6" w14:paraId="31BE7FB4" w14:textId="77777777" w:rsidTr="00367BCF">
        <w:trPr>
          <w:trHeight w:val="341"/>
        </w:trPr>
        <w:tc>
          <w:tcPr>
            <w:tcW w:w="1143" w:type="pct"/>
            <w:vMerge w:val="restart"/>
            <w:noWrap/>
            <w:vAlign w:val="center"/>
            <w:hideMark/>
          </w:tcPr>
          <w:p w14:paraId="78A0910B" w14:textId="77777777" w:rsidR="0038750F" w:rsidRPr="008048F6" w:rsidRDefault="0038750F" w:rsidP="008048F6">
            <w:pPr>
              <w:jc w:val="both"/>
              <w:rPr>
                <w:rFonts w:asciiTheme="majorBidi" w:hAnsiTheme="majorBidi" w:cstheme="majorBidi"/>
                <w:b/>
              </w:rPr>
            </w:pPr>
            <w:r w:rsidRPr="008048F6">
              <w:rPr>
                <w:rFonts w:asciiTheme="majorBidi" w:hAnsiTheme="majorBidi" w:cstheme="majorBidi"/>
                <w:b/>
              </w:rPr>
              <w:t>Particulars</w:t>
            </w:r>
          </w:p>
        </w:tc>
        <w:tc>
          <w:tcPr>
            <w:tcW w:w="1856" w:type="pct"/>
            <w:gridSpan w:val="4"/>
            <w:noWrap/>
            <w:hideMark/>
          </w:tcPr>
          <w:p w14:paraId="42E94BA1" w14:textId="53EF6FF0" w:rsidR="0038750F" w:rsidRPr="008048F6" w:rsidRDefault="002749B3" w:rsidP="00DB0723">
            <w:pPr>
              <w:jc w:val="center"/>
              <w:rPr>
                <w:rFonts w:asciiTheme="majorBidi" w:hAnsiTheme="majorBidi" w:cstheme="majorBidi"/>
                <w:b/>
              </w:rPr>
            </w:pPr>
            <w:r>
              <w:rPr>
                <w:rFonts w:asciiTheme="majorBidi" w:hAnsiTheme="majorBidi" w:cstheme="majorBidi"/>
                <w:b/>
              </w:rPr>
              <w:t xml:space="preserve">After </w:t>
            </w:r>
            <w:r w:rsidR="0038750F" w:rsidRPr="008048F6">
              <w:rPr>
                <w:rFonts w:asciiTheme="majorBidi" w:hAnsiTheme="majorBidi" w:cstheme="majorBidi"/>
                <w:b/>
              </w:rPr>
              <w:t>Merger</w:t>
            </w:r>
          </w:p>
        </w:tc>
        <w:tc>
          <w:tcPr>
            <w:tcW w:w="2001" w:type="pct"/>
            <w:gridSpan w:val="4"/>
            <w:noWrap/>
            <w:hideMark/>
          </w:tcPr>
          <w:p w14:paraId="0B074A6A" w14:textId="2647742B" w:rsidR="0038750F" w:rsidRPr="008048F6" w:rsidRDefault="002749B3" w:rsidP="00DB0723">
            <w:pPr>
              <w:jc w:val="center"/>
              <w:rPr>
                <w:rFonts w:asciiTheme="majorBidi" w:hAnsiTheme="majorBidi" w:cstheme="majorBidi"/>
                <w:b/>
              </w:rPr>
            </w:pPr>
            <w:r>
              <w:rPr>
                <w:rFonts w:asciiTheme="majorBidi" w:hAnsiTheme="majorBidi" w:cstheme="majorBidi"/>
                <w:b/>
              </w:rPr>
              <w:t xml:space="preserve">Before </w:t>
            </w:r>
            <w:r w:rsidR="0038750F" w:rsidRPr="008048F6">
              <w:rPr>
                <w:rFonts w:asciiTheme="majorBidi" w:hAnsiTheme="majorBidi" w:cstheme="majorBidi"/>
                <w:b/>
              </w:rPr>
              <w:t>Merger</w:t>
            </w:r>
          </w:p>
        </w:tc>
      </w:tr>
      <w:tr w:rsidR="00367BCF" w:rsidRPr="008048F6" w14:paraId="2535EEDF" w14:textId="77777777" w:rsidTr="00367BCF">
        <w:trPr>
          <w:trHeight w:val="482"/>
        </w:trPr>
        <w:tc>
          <w:tcPr>
            <w:tcW w:w="1143" w:type="pct"/>
            <w:vMerge/>
            <w:hideMark/>
          </w:tcPr>
          <w:p w14:paraId="7435E2E5" w14:textId="77777777" w:rsidR="0038750F" w:rsidRPr="008048F6" w:rsidRDefault="0038750F" w:rsidP="008048F6">
            <w:pPr>
              <w:jc w:val="both"/>
              <w:rPr>
                <w:rFonts w:asciiTheme="majorBidi" w:hAnsiTheme="majorBidi" w:cstheme="majorBidi"/>
              </w:rPr>
            </w:pPr>
          </w:p>
        </w:tc>
        <w:tc>
          <w:tcPr>
            <w:tcW w:w="425" w:type="pct"/>
            <w:noWrap/>
            <w:vAlign w:val="center"/>
            <w:hideMark/>
          </w:tcPr>
          <w:p w14:paraId="524E6879" w14:textId="0A18BC01" w:rsidR="0038750F" w:rsidRPr="008048F6" w:rsidRDefault="0038750F" w:rsidP="00DB0723">
            <w:pPr>
              <w:jc w:val="center"/>
              <w:rPr>
                <w:rFonts w:asciiTheme="majorBidi" w:hAnsiTheme="majorBidi" w:cstheme="majorBidi"/>
              </w:rPr>
            </w:pPr>
            <w:r w:rsidRPr="008048F6">
              <w:rPr>
                <w:rFonts w:asciiTheme="majorBidi" w:hAnsiTheme="majorBidi" w:cstheme="majorBidi"/>
              </w:rPr>
              <w:t>2022-</w:t>
            </w:r>
            <w:r w:rsidR="00367BCF">
              <w:rPr>
                <w:rFonts w:asciiTheme="majorBidi" w:hAnsiTheme="majorBidi" w:cstheme="majorBidi"/>
              </w:rPr>
              <w:t>20</w:t>
            </w:r>
            <w:r w:rsidRPr="008048F6">
              <w:rPr>
                <w:rFonts w:asciiTheme="majorBidi" w:hAnsiTheme="majorBidi" w:cstheme="majorBidi"/>
              </w:rPr>
              <w:t>23</w:t>
            </w:r>
          </w:p>
        </w:tc>
        <w:tc>
          <w:tcPr>
            <w:tcW w:w="425" w:type="pct"/>
            <w:noWrap/>
            <w:vAlign w:val="center"/>
            <w:hideMark/>
          </w:tcPr>
          <w:p w14:paraId="250AB869" w14:textId="4BAFD5FE" w:rsidR="0038750F" w:rsidRPr="008048F6" w:rsidRDefault="0038750F" w:rsidP="00DB0723">
            <w:pPr>
              <w:jc w:val="center"/>
              <w:rPr>
                <w:rFonts w:asciiTheme="majorBidi" w:hAnsiTheme="majorBidi" w:cstheme="majorBidi"/>
              </w:rPr>
            </w:pPr>
            <w:r w:rsidRPr="008048F6">
              <w:rPr>
                <w:rFonts w:asciiTheme="majorBidi" w:hAnsiTheme="majorBidi" w:cstheme="majorBidi"/>
              </w:rPr>
              <w:t>2021</w:t>
            </w:r>
            <w:r w:rsidR="00284368" w:rsidRPr="008048F6">
              <w:rPr>
                <w:rFonts w:asciiTheme="majorBidi" w:hAnsiTheme="majorBidi" w:cstheme="majorBidi"/>
              </w:rPr>
              <w:t>-</w:t>
            </w:r>
            <w:r w:rsidR="00367BCF">
              <w:rPr>
                <w:rFonts w:asciiTheme="majorBidi" w:hAnsiTheme="majorBidi" w:cstheme="majorBidi"/>
              </w:rPr>
              <w:t>20</w:t>
            </w:r>
            <w:r w:rsidRPr="008048F6">
              <w:rPr>
                <w:rFonts w:asciiTheme="majorBidi" w:hAnsiTheme="majorBidi" w:cstheme="majorBidi"/>
              </w:rPr>
              <w:t>22</w:t>
            </w:r>
          </w:p>
        </w:tc>
        <w:tc>
          <w:tcPr>
            <w:tcW w:w="425" w:type="pct"/>
            <w:noWrap/>
            <w:vAlign w:val="center"/>
            <w:hideMark/>
          </w:tcPr>
          <w:p w14:paraId="27514E71" w14:textId="33B2682C" w:rsidR="0038750F" w:rsidRPr="008048F6" w:rsidRDefault="0038750F" w:rsidP="00DB0723">
            <w:pPr>
              <w:jc w:val="center"/>
              <w:rPr>
                <w:rFonts w:asciiTheme="majorBidi" w:hAnsiTheme="majorBidi" w:cstheme="majorBidi"/>
              </w:rPr>
            </w:pPr>
            <w:r w:rsidRPr="008048F6">
              <w:rPr>
                <w:rFonts w:asciiTheme="majorBidi" w:hAnsiTheme="majorBidi" w:cstheme="majorBidi"/>
              </w:rPr>
              <w:t>2020-</w:t>
            </w:r>
            <w:r w:rsidR="00367BCF">
              <w:rPr>
                <w:rFonts w:asciiTheme="majorBidi" w:hAnsiTheme="majorBidi" w:cstheme="majorBidi"/>
              </w:rPr>
              <w:t>20</w:t>
            </w:r>
            <w:r w:rsidRPr="008048F6">
              <w:rPr>
                <w:rFonts w:asciiTheme="majorBidi" w:hAnsiTheme="majorBidi" w:cstheme="majorBidi"/>
              </w:rPr>
              <w:t>21</w:t>
            </w:r>
          </w:p>
        </w:tc>
        <w:tc>
          <w:tcPr>
            <w:tcW w:w="581" w:type="pct"/>
            <w:noWrap/>
            <w:vAlign w:val="center"/>
            <w:hideMark/>
          </w:tcPr>
          <w:p w14:paraId="753B04A9" w14:textId="3FE1EF50" w:rsidR="0038750F" w:rsidRPr="00DB0723" w:rsidRDefault="0038750F" w:rsidP="00DB0723">
            <w:pPr>
              <w:jc w:val="center"/>
              <w:rPr>
                <w:rFonts w:asciiTheme="majorBidi" w:hAnsiTheme="majorBidi" w:cstheme="majorBidi"/>
                <w:b/>
                <w:bCs/>
              </w:rPr>
            </w:pPr>
            <w:r w:rsidRPr="00DB0723">
              <w:rPr>
                <w:rFonts w:asciiTheme="majorBidi" w:hAnsiTheme="majorBidi" w:cstheme="majorBidi"/>
                <w:b/>
                <w:bCs/>
              </w:rPr>
              <w:t>Av</w:t>
            </w:r>
            <w:r w:rsidR="00367BCF">
              <w:rPr>
                <w:rFonts w:asciiTheme="majorBidi" w:hAnsiTheme="majorBidi" w:cstheme="majorBidi"/>
                <w:b/>
                <w:bCs/>
              </w:rPr>
              <w:t>era</w:t>
            </w:r>
            <w:r w:rsidR="00DB0723">
              <w:rPr>
                <w:rFonts w:asciiTheme="majorBidi" w:hAnsiTheme="majorBidi" w:cstheme="majorBidi"/>
                <w:b/>
                <w:bCs/>
              </w:rPr>
              <w:t>g</w:t>
            </w:r>
            <w:r w:rsidR="00367BCF">
              <w:rPr>
                <w:rFonts w:asciiTheme="majorBidi" w:hAnsiTheme="majorBidi" w:cstheme="majorBidi"/>
                <w:b/>
                <w:bCs/>
              </w:rPr>
              <w:t>e</w:t>
            </w:r>
          </w:p>
        </w:tc>
        <w:tc>
          <w:tcPr>
            <w:tcW w:w="428" w:type="pct"/>
            <w:noWrap/>
            <w:vAlign w:val="center"/>
            <w:hideMark/>
          </w:tcPr>
          <w:p w14:paraId="742ECFC3" w14:textId="6AE7A80B" w:rsidR="0038750F" w:rsidRPr="008048F6" w:rsidRDefault="0038750F" w:rsidP="00DB0723">
            <w:pPr>
              <w:jc w:val="center"/>
              <w:rPr>
                <w:rFonts w:asciiTheme="majorBidi" w:hAnsiTheme="majorBidi" w:cstheme="majorBidi"/>
              </w:rPr>
            </w:pPr>
            <w:r w:rsidRPr="008048F6">
              <w:rPr>
                <w:rFonts w:asciiTheme="majorBidi" w:hAnsiTheme="majorBidi" w:cstheme="majorBidi"/>
              </w:rPr>
              <w:t>2019-</w:t>
            </w:r>
            <w:r w:rsidR="00367BCF">
              <w:rPr>
                <w:rFonts w:asciiTheme="majorBidi" w:hAnsiTheme="majorBidi" w:cstheme="majorBidi"/>
              </w:rPr>
              <w:t>20</w:t>
            </w:r>
            <w:r w:rsidRPr="008048F6">
              <w:rPr>
                <w:rFonts w:asciiTheme="majorBidi" w:hAnsiTheme="majorBidi" w:cstheme="majorBidi"/>
              </w:rPr>
              <w:t>20</w:t>
            </w:r>
          </w:p>
        </w:tc>
        <w:tc>
          <w:tcPr>
            <w:tcW w:w="501" w:type="pct"/>
            <w:noWrap/>
            <w:vAlign w:val="center"/>
            <w:hideMark/>
          </w:tcPr>
          <w:p w14:paraId="42E55C28" w14:textId="687A68EE" w:rsidR="0038750F" w:rsidRPr="008048F6" w:rsidRDefault="0038750F" w:rsidP="00DB0723">
            <w:pPr>
              <w:jc w:val="center"/>
              <w:rPr>
                <w:rFonts w:asciiTheme="majorBidi" w:hAnsiTheme="majorBidi" w:cstheme="majorBidi"/>
              </w:rPr>
            </w:pPr>
            <w:r w:rsidRPr="008048F6">
              <w:rPr>
                <w:rFonts w:asciiTheme="majorBidi" w:hAnsiTheme="majorBidi" w:cstheme="majorBidi"/>
              </w:rPr>
              <w:t>2018-</w:t>
            </w:r>
            <w:r w:rsidR="00367BCF">
              <w:rPr>
                <w:rFonts w:asciiTheme="majorBidi" w:hAnsiTheme="majorBidi" w:cstheme="majorBidi"/>
              </w:rPr>
              <w:t>20</w:t>
            </w:r>
            <w:r w:rsidRPr="008048F6">
              <w:rPr>
                <w:rFonts w:asciiTheme="majorBidi" w:hAnsiTheme="majorBidi" w:cstheme="majorBidi"/>
              </w:rPr>
              <w:t>19</w:t>
            </w:r>
          </w:p>
        </w:tc>
        <w:tc>
          <w:tcPr>
            <w:tcW w:w="430" w:type="pct"/>
            <w:noWrap/>
            <w:vAlign w:val="center"/>
            <w:hideMark/>
          </w:tcPr>
          <w:p w14:paraId="740D4F28" w14:textId="2EBB1191" w:rsidR="0038750F" w:rsidRPr="008048F6" w:rsidRDefault="0038750F" w:rsidP="00DB0723">
            <w:pPr>
              <w:jc w:val="center"/>
              <w:rPr>
                <w:rFonts w:asciiTheme="majorBidi" w:hAnsiTheme="majorBidi" w:cstheme="majorBidi"/>
              </w:rPr>
            </w:pPr>
            <w:r w:rsidRPr="008048F6">
              <w:rPr>
                <w:rFonts w:asciiTheme="majorBidi" w:hAnsiTheme="majorBidi" w:cstheme="majorBidi"/>
              </w:rPr>
              <w:t>2017-</w:t>
            </w:r>
            <w:r w:rsidR="00367BCF">
              <w:rPr>
                <w:rFonts w:asciiTheme="majorBidi" w:hAnsiTheme="majorBidi" w:cstheme="majorBidi"/>
              </w:rPr>
              <w:t>20</w:t>
            </w:r>
            <w:r w:rsidRPr="008048F6">
              <w:rPr>
                <w:rFonts w:asciiTheme="majorBidi" w:hAnsiTheme="majorBidi" w:cstheme="majorBidi"/>
              </w:rPr>
              <w:t>18</w:t>
            </w:r>
          </w:p>
        </w:tc>
        <w:tc>
          <w:tcPr>
            <w:tcW w:w="642" w:type="pct"/>
            <w:noWrap/>
            <w:vAlign w:val="center"/>
            <w:hideMark/>
          </w:tcPr>
          <w:p w14:paraId="3DA2AF90" w14:textId="48015306" w:rsidR="0038750F" w:rsidRPr="00DB0723" w:rsidRDefault="0038750F" w:rsidP="00DB0723">
            <w:pPr>
              <w:jc w:val="center"/>
              <w:rPr>
                <w:rFonts w:asciiTheme="majorBidi" w:hAnsiTheme="majorBidi" w:cstheme="majorBidi"/>
                <w:b/>
                <w:bCs/>
              </w:rPr>
            </w:pPr>
            <w:r w:rsidRPr="00DB0723">
              <w:rPr>
                <w:rFonts w:asciiTheme="majorBidi" w:hAnsiTheme="majorBidi" w:cstheme="majorBidi"/>
                <w:b/>
                <w:bCs/>
              </w:rPr>
              <w:t>Av</w:t>
            </w:r>
            <w:r w:rsidR="00367BCF">
              <w:rPr>
                <w:rFonts w:asciiTheme="majorBidi" w:hAnsiTheme="majorBidi" w:cstheme="majorBidi"/>
                <w:b/>
                <w:bCs/>
              </w:rPr>
              <w:t>era</w:t>
            </w:r>
            <w:r w:rsidR="00DB0723">
              <w:rPr>
                <w:rFonts w:asciiTheme="majorBidi" w:hAnsiTheme="majorBidi" w:cstheme="majorBidi"/>
                <w:b/>
                <w:bCs/>
              </w:rPr>
              <w:t>g</w:t>
            </w:r>
            <w:r w:rsidR="00367BCF">
              <w:rPr>
                <w:rFonts w:asciiTheme="majorBidi" w:hAnsiTheme="majorBidi" w:cstheme="majorBidi"/>
                <w:b/>
                <w:bCs/>
              </w:rPr>
              <w:t>e</w:t>
            </w:r>
          </w:p>
        </w:tc>
      </w:tr>
      <w:tr w:rsidR="00367BCF" w:rsidRPr="008048F6" w14:paraId="1618F356" w14:textId="77777777" w:rsidTr="00367BCF">
        <w:trPr>
          <w:trHeight w:val="341"/>
        </w:trPr>
        <w:tc>
          <w:tcPr>
            <w:tcW w:w="1143" w:type="pct"/>
            <w:noWrap/>
            <w:hideMark/>
          </w:tcPr>
          <w:p w14:paraId="2119A666" w14:textId="74453D46" w:rsidR="0038750F" w:rsidRPr="008048F6" w:rsidRDefault="00DB0723" w:rsidP="008048F6">
            <w:pPr>
              <w:jc w:val="both"/>
              <w:rPr>
                <w:rFonts w:asciiTheme="majorBidi" w:hAnsiTheme="majorBidi" w:cstheme="majorBidi"/>
              </w:rPr>
            </w:pPr>
            <w:r>
              <w:rPr>
                <w:rFonts w:asciiTheme="majorBidi" w:hAnsiTheme="majorBidi" w:cstheme="majorBidi"/>
              </w:rPr>
              <w:t xml:space="preserve">CAR </w:t>
            </w:r>
            <w:r w:rsidR="0038750F" w:rsidRPr="008048F6">
              <w:rPr>
                <w:rFonts w:asciiTheme="majorBidi" w:hAnsiTheme="majorBidi" w:cstheme="majorBidi"/>
              </w:rPr>
              <w:t>(%)</w:t>
            </w:r>
          </w:p>
        </w:tc>
        <w:tc>
          <w:tcPr>
            <w:tcW w:w="425" w:type="pct"/>
            <w:noWrap/>
            <w:vAlign w:val="center"/>
            <w:hideMark/>
          </w:tcPr>
          <w:p w14:paraId="7011522C"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16.49</w:t>
            </w:r>
          </w:p>
        </w:tc>
        <w:tc>
          <w:tcPr>
            <w:tcW w:w="425" w:type="pct"/>
            <w:noWrap/>
            <w:vAlign w:val="center"/>
            <w:hideMark/>
          </w:tcPr>
          <w:p w14:paraId="638A47E3"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16.53</w:t>
            </w:r>
          </w:p>
        </w:tc>
        <w:tc>
          <w:tcPr>
            <w:tcW w:w="425" w:type="pct"/>
            <w:noWrap/>
            <w:vAlign w:val="center"/>
            <w:hideMark/>
          </w:tcPr>
          <w:p w14:paraId="4AF4AA81"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15.71</w:t>
            </w:r>
          </w:p>
        </w:tc>
        <w:tc>
          <w:tcPr>
            <w:tcW w:w="581" w:type="pct"/>
            <w:noWrap/>
            <w:vAlign w:val="center"/>
            <w:hideMark/>
          </w:tcPr>
          <w:p w14:paraId="273DE4F1" w14:textId="625BBB99" w:rsidR="0038750F" w:rsidRPr="008048F6" w:rsidRDefault="0038750F" w:rsidP="00DB0723">
            <w:pPr>
              <w:jc w:val="center"/>
              <w:rPr>
                <w:rFonts w:asciiTheme="majorBidi" w:hAnsiTheme="majorBidi" w:cstheme="majorBidi"/>
              </w:rPr>
            </w:pPr>
            <w:r w:rsidRPr="008048F6">
              <w:rPr>
                <w:rFonts w:asciiTheme="majorBidi" w:hAnsiTheme="majorBidi" w:cstheme="majorBidi"/>
              </w:rPr>
              <w:t>16.24</w:t>
            </w:r>
          </w:p>
        </w:tc>
        <w:tc>
          <w:tcPr>
            <w:tcW w:w="428" w:type="pct"/>
            <w:noWrap/>
            <w:vAlign w:val="center"/>
            <w:hideMark/>
          </w:tcPr>
          <w:p w14:paraId="0C84AF5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14.12</w:t>
            </w:r>
          </w:p>
        </w:tc>
        <w:tc>
          <w:tcPr>
            <w:tcW w:w="501" w:type="pct"/>
            <w:noWrap/>
            <w:vAlign w:val="center"/>
            <w:hideMark/>
          </w:tcPr>
          <w:p w14:paraId="59487D5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13.21</w:t>
            </w:r>
          </w:p>
        </w:tc>
        <w:tc>
          <w:tcPr>
            <w:tcW w:w="430" w:type="pct"/>
            <w:noWrap/>
            <w:vAlign w:val="center"/>
            <w:hideMark/>
          </w:tcPr>
          <w:p w14:paraId="4CFE5F48"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12.55</w:t>
            </w:r>
          </w:p>
        </w:tc>
        <w:tc>
          <w:tcPr>
            <w:tcW w:w="642" w:type="pct"/>
            <w:noWrap/>
            <w:vAlign w:val="center"/>
            <w:hideMark/>
          </w:tcPr>
          <w:p w14:paraId="559A28B8" w14:textId="503CE576" w:rsidR="0038750F" w:rsidRPr="008048F6" w:rsidRDefault="0038750F" w:rsidP="00DB0723">
            <w:pPr>
              <w:jc w:val="center"/>
              <w:rPr>
                <w:rFonts w:asciiTheme="majorBidi" w:hAnsiTheme="majorBidi" w:cstheme="majorBidi"/>
              </w:rPr>
            </w:pPr>
            <w:r w:rsidRPr="008048F6">
              <w:rPr>
                <w:rFonts w:asciiTheme="majorBidi" w:hAnsiTheme="majorBidi" w:cstheme="majorBidi"/>
              </w:rPr>
              <w:t>13.29</w:t>
            </w:r>
          </w:p>
        </w:tc>
      </w:tr>
      <w:tr w:rsidR="00367BCF" w:rsidRPr="008048F6" w14:paraId="3C706173" w14:textId="77777777" w:rsidTr="00367BCF">
        <w:trPr>
          <w:trHeight w:val="341"/>
        </w:trPr>
        <w:tc>
          <w:tcPr>
            <w:tcW w:w="1143" w:type="pct"/>
            <w:noWrap/>
            <w:hideMark/>
          </w:tcPr>
          <w:p w14:paraId="563BF193" w14:textId="08BE0D42" w:rsidR="0038750F" w:rsidRPr="008048F6" w:rsidRDefault="00DB0723" w:rsidP="008048F6">
            <w:pPr>
              <w:jc w:val="both"/>
              <w:rPr>
                <w:rFonts w:asciiTheme="majorBidi" w:hAnsiTheme="majorBidi" w:cstheme="majorBidi"/>
              </w:rPr>
            </w:pPr>
            <w:r>
              <w:rPr>
                <w:rFonts w:asciiTheme="majorBidi" w:hAnsiTheme="majorBidi" w:cstheme="majorBidi"/>
              </w:rPr>
              <w:t>DER</w:t>
            </w:r>
          </w:p>
        </w:tc>
        <w:tc>
          <w:tcPr>
            <w:tcW w:w="425" w:type="pct"/>
            <w:noWrap/>
            <w:vAlign w:val="center"/>
            <w:hideMark/>
          </w:tcPr>
          <w:p w14:paraId="54AF6B3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0.53</w:t>
            </w:r>
          </w:p>
        </w:tc>
        <w:tc>
          <w:tcPr>
            <w:tcW w:w="425" w:type="pct"/>
            <w:noWrap/>
            <w:vAlign w:val="center"/>
            <w:hideMark/>
          </w:tcPr>
          <w:p w14:paraId="68B2175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0.46</w:t>
            </w:r>
          </w:p>
        </w:tc>
        <w:tc>
          <w:tcPr>
            <w:tcW w:w="425" w:type="pct"/>
            <w:noWrap/>
            <w:vAlign w:val="center"/>
            <w:hideMark/>
          </w:tcPr>
          <w:p w14:paraId="133755EE"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0.76</w:t>
            </w:r>
          </w:p>
        </w:tc>
        <w:tc>
          <w:tcPr>
            <w:tcW w:w="581" w:type="pct"/>
            <w:noWrap/>
            <w:vAlign w:val="center"/>
            <w:hideMark/>
          </w:tcPr>
          <w:p w14:paraId="4CE84AB3" w14:textId="25E801EF" w:rsidR="0038750F" w:rsidRPr="008048F6" w:rsidRDefault="0038750F" w:rsidP="00DB0723">
            <w:pPr>
              <w:jc w:val="center"/>
              <w:rPr>
                <w:rFonts w:asciiTheme="majorBidi" w:hAnsiTheme="majorBidi" w:cstheme="majorBidi"/>
              </w:rPr>
            </w:pPr>
            <w:r w:rsidRPr="008048F6">
              <w:rPr>
                <w:rFonts w:asciiTheme="majorBidi" w:hAnsiTheme="majorBidi" w:cstheme="majorBidi"/>
              </w:rPr>
              <w:t>0.58</w:t>
            </w:r>
            <w:r w:rsidR="00330240" w:rsidRPr="008048F6">
              <w:rPr>
                <w:rFonts w:asciiTheme="majorBidi" w:hAnsiTheme="majorBidi" w:cstheme="majorBidi"/>
              </w:rPr>
              <w:t>3</w:t>
            </w:r>
          </w:p>
        </w:tc>
        <w:tc>
          <w:tcPr>
            <w:tcW w:w="428" w:type="pct"/>
            <w:noWrap/>
            <w:vAlign w:val="center"/>
            <w:hideMark/>
          </w:tcPr>
          <w:p w14:paraId="06869A8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1.09</w:t>
            </w:r>
          </w:p>
        </w:tc>
        <w:tc>
          <w:tcPr>
            <w:tcW w:w="501" w:type="pct"/>
            <w:noWrap/>
            <w:vAlign w:val="center"/>
            <w:hideMark/>
          </w:tcPr>
          <w:p w14:paraId="74E41824"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0.74</w:t>
            </w:r>
          </w:p>
        </w:tc>
        <w:tc>
          <w:tcPr>
            <w:tcW w:w="430" w:type="pct"/>
            <w:noWrap/>
            <w:vAlign w:val="center"/>
            <w:hideMark/>
          </w:tcPr>
          <w:p w14:paraId="6D7F261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1.25</w:t>
            </w:r>
          </w:p>
        </w:tc>
        <w:tc>
          <w:tcPr>
            <w:tcW w:w="642" w:type="pct"/>
            <w:noWrap/>
            <w:vAlign w:val="center"/>
            <w:hideMark/>
          </w:tcPr>
          <w:p w14:paraId="41E655A5" w14:textId="723993CD" w:rsidR="0038750F" w:rsidRPr="008048F6" w:rsidRDefault="0038750F" w:rsidP="00DB0723">
            <w:pPr>
              <w:jc w:val="center"/>
              <w:rPr>
                <w:rFonts w:asciiTheme="majorBidi" w:hAnsiTheme="majorBidi" w:cstheme="majorBidi"/>
              </w:rPr>
            </w:pPr>
            <w:r w:rsidRPr="008048F6">
              <w:rPr>
                <w:rFonts w:asciiTheme="majorBidi" w:hAnsiTheme="majorBidi" w:cstheme="majorBidi"/>
              </w:rPr>
              <w:t>1.02</w:t>
            </w:r>
            <w:r w:rsidR="00330240" w:rsidRPr="008048F6">
              <w:rPr>
                <w:rFonts w:asciiTheme="majorBidi" w:hAnsiTheme="majorBidi" w:cstheme="majorBidi"/>
              </w:rPr>
              <w:t>7</w:t>
            </w:r>
          </w:p>
        </w:tc>
      </w:tr>
      <w:tr w:rsidR="00367BCF" w:rsidRPr="008048F6" w14:paraId="0F2A2911" w14:textId="77777777" w:rsidTr="00367BCF">
        <w:trPr>
          <w:trHeight w:val="341"/>
        </w:trPr>
        <w:tc>
          <w:tcPr>
            <w:tcW w:w="1143" w:type="pct"/>
            <w:noWrap/>
            <w:hideMark/>
          </w:tcPr>
          <w:p w14:paraId="3E574FB2" w14:textId="3A828E86" w:rsidR="0038750F" w:rsidRPr="008048F6" w:rsidRDefault="00DB0723" w:rsidP="008048F6">
            <w:pPr>
              <w:jc w:val="both"/>
              <w:rPr>
                <w:rFonts w:asciiTheme="majorBidi" w:hAnsiTheme="majorBidi" w:cstheme="majorBidi"/>
              </w:rPr>
            </w:pPr>
            <w:proofErr w:type="spellStart"/>
            <w:r>
              <w:rPr>
                <w:rFonts w:asciiTheme="majorBidi" w:hAnsiTheme="majorBidi" w:cstheme="majorBidi"/>
              </w:rPr>
              <w:t>TAd</w:t>
            </w:r>
            <w:proofErr w:type="spellEnd"/>
            <w:r>
              <w:rPr>
                <w:rFonts w:asciiTheme="majorBidi" w:hAnsiTheme="majorBidi" w:cstheme="majorBidi"/>
              </w:rPr>
              <w:t xml:space="preserve"> to TA</w:t>
            </w:r>
            <w:r w:rsidR="0038750F" w:rsidRPr="008048F6">
              <w:rPr>
                <w:rFonts w:asciiTheme="majorBidi" w:hAnsiTheme="majorBidi" w:cstheme="majorBidi"/>
              </w:rPr>
              <w:t xml:space="preserve"> Ratio (%)</w:t>
            </w:r>
          </w:p>
        </w:tc>
        <w:tc>
          <w:tcPr>
            <w:tcW w:w="425" w:type="pct"/>
            <w:noWrap/>
            <w:vAlign w:val="center"/>
            <w:hideMark/>
          </w:tcPr>
          <w:p w14:paraId="36992E1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63.23</w:t>
            </w:r>
          </w:p>
        </w:tc>
        <w:tc>
          <w:tcPr>
            <w:tcW w:w="425" w:type="pct"/>
            <w:noWrap/>
            <w:vAlign w:val="center"/>
            <w:hideMark/>
          </w:tcPr>
          <w:p w14:paraId="2D8AEF32"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57.94</w:t>
            </w:r>
          </w:p>
        </w:tc>
        <w:tc>
          <w:tcPr>
            <w:tcW w:w="425" w:type="pct"/>
            <w:noWrap/>
            <w:vAlign w:val="center"/>
            <w:hideMark/>
          </w:tcPr>
          <w:p w14:paraId="460710C7"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58.17</w:t>
            </w:r>
          </w:p>
        </w:tc>
        <w:tc>
          <w:tcPr>
            <w:tcW w:w="581" w:type="pct"/>
            <w:noWrap/>
            <w:vAlign w:val="center"/>
            <w:hideMark/>
          </w:tcPr>
          <w:p w14:paraId="181B844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59.78</w:t>
            </w:r>
          </w:p>
        </w:tc>
        <w:tc>
          <w:tcPr>
            <w:tcW w:w="428" w:type="pct"/>
            <w:noWrap/>
            <w:vAlign w:val="center"/>
            <w:hideMark/>
          </w:tcPr>
          <w:p w14:paraId="72AF47E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63.94</w:t>
            </w:r>
          </w:p>
        </w:tc>
        <w:tc>
          <w:tcPr>
            <w:tcW w:w="501" w:type="pct"/>
            <w:noWrap/>
            <w:vAlign w:val="center"/>
            <w:hideMark/>
          </w:tcPr>
          <w:p w14:paraId="496733A7"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64.72</w:t>
            </w:r>
          </w:p>
        </w:tc>
        <w:tc>
          <w:tcPr>
            <w:tcW w:w="430" w:type="pct"/>
            <w:noWrap/>
            <w:vAlign w:val="center"/>
            <w:hideMark/>
          </w:tcPr>
          <w:p w14:paraId="17355E85"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61.95</w:t>
            </w:r>
          </w:p>
        </w:tc>
        <w:tc>
          <w:tcPr>
            <w:tcW w:w="642" w:type="pct"/>
            <w:noWrap/>
            <w:vAlign w:val="center"/>
            <w:hideMark/>
          </w:tcPr>
          <w:p w14:paraId="7577C76A" w14:textId="2C1746F9" w:rsidR="0038750F" w:rsidRPr="008048F6" w:rsidRDefault="0038750F" w:rsidP="00DB0723">
            <w:pPr>
              <w:jc w:val="center"/>
              <w:rPr>
                <w:rFonts w:asciiTheme="majorBidi" w:hAnsiTheme="majorBidi" w:cstheme="majorBidi"/>
              </w:rPr>
            </w:pPr>
            <w:r w:rsidRPr="008048F6">
              <w:rPr>
                <w:rFonts w:asciiTheme="majorBidi" w:hAnsiTheme="majorBidi" w:cstheme="majorBidi"/>
              </w:rPr>
              <w:t>63.53</w:t>
            </w:r>
            <w:r w:rsidR="00330240" w:rsidRPr="008048F6">
              <w:rPr>
                <w:rFonts w:asciiTheme="majorBidi" w:hAnsiTheme="majorBidi" w:cstheme="majorBidi"/>
              </w:rPr>
              <w:t>7</w:t>
            </w:r>
          </w:p>
        </w:tc>
      </w:tr>
      <w:tr w:rsidR="00367BCF" w:rsidRPr="008048F6" w14:paraId="129C9065" w14:textId="77777777" w:rsidTr="00367BCF">
        <w:trPr>
          <w:trHeight w:val="455"/>
        </w:trPr>
        <w:tc>
          <w:tcPr>
            <w:tcW w:w="1143" w:type="pct"/>
            <w:noWrap/>
            <w:hideMark/>
          </w:tcPr>
          <w:p w14:paraId="5F7638E1" w14:textId="0BBA5504" w:rsidR="0038750F" w:rsidRPr="008048F6" w:rsidRDefault="0038750F" w:rsidP="008048F6">
            <w:pPr>
              <w:jc w:val="both"/>
              <w:rPr>
                <w:rFonts w:asciiTheme="majorBidi" w:hAnsiTheme="majorBidi" w:cstheme="majorBidi"/>
              </w:rPr>
            </w:pPr>
            <w:r w:rsidRPr="008048F6">
              <w:rPr>
                <w:rFonts w:asciiTheme="majorBidi" w:hAnsiTheme="majorBidi" w:cstheme="majorBidi"/>
              </w:rPr>
              <w:t>GSTIR</w:t>
            </w:r>
            <w:r w:rsidR="00475246">
              <w:rPr>
                <w:rFonts w:asciiTheme="majorBidi" w:hAnsiTheme="majorBidi" w:cstheme="majorBidi"/>
              </w:rPr>
              <w:t xml:space="preserve"> </w:t>
            </w:r>
            <w:r w:rsidRPr="008048F6">
              <w:rPr>
                <w:rFonts w:asciiTheme="majorBidi" w:hAnsiTheme="majorBidi" w:cstheme="majorBidi"/>
              </w:rPr>
              <w:t>(%)</w:t>
            </w:r>
          </w:p>
        </w:tc>
        <w:tc>
          <w:tcPr>
            <w:tcW w:w="425" w:type="pct"/>
            <w:noWrap/>
            <w:vAlign w:val="center"/>
            <w:hideMark/>
          </w:tcPr>
          <w:p w14:paraId="5571096C"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90.53</w:t>
            </w:r>
          </w:p>
        </w:tc>
        <w:tc>
          <w:tcPr>
            <w:tcW w:w="425" w:type="pct"/>
            <w:noWrap/>
            <w:vAlign w:val="center"/>
            <w:hideMark/>
          </w:tcPr>
          <w:p w14:paraId="6C834D79"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91.67</w:t>
            </w:r>
          </w:p>
        </w:tc>
        <w:tc>
          <w:tcPr>
            <w:tcW w:w="425" w:type="pct"/>
            <w:noWrap/>
            <w:vAlign w:val="center"/>
            <w:hideMark/>
          </w:tcPr>
          <w:p w14:paraId="0440019D"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90.56</w:t>
            </w:r>
          </w:p>
        </w:tc>
        <w:tc>
          <w:tcPr>
            <w:tcW w:w="581" w:type="pct"/>
            <w:noWrap/>
            <w:vAlign w:val="center"/>
            <w:hideMark/>
          </w:tcPr>
          <w:p w14:paraId="268A91D1"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90.92</w:t>
            </w:r>
          </w:p>
        </w:tc>
        <w:tc>
          <w:tcPr>
            <w:tcW w:w="428" w:type="pct"/>
            <w:noWrap/>
            <w:vAlign w:val="center"/>
            <w:hideMark/>
          </w:tcPr>
          <w:p w14:paraId="2D08D818"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85.78</w:t>
            </w:r>
          </w:p>
        </w:tc>
        <w:tc>
          <w:tcPr>
            <w:tcW w:w="501" w:type="pct"/>
            <w:noWrap/>
            <w:vAlign w:val="center"/>
            <w:hideMark/>
          </w:tcPr>
          <w:p w14:paraId="4756CA0A"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82.73</w:t>
            </w:r>
          </w:p>
        </w:tc>
        <w:tc>
          <w:tcPr>
            <w:tcW w:w="430" w:type="pct"/>
            <w:noWrap/>
            <w:vAlign w:val="center"/>
            <w:hideMark/>
          </w:tcPr>
          <w:p w14:paraId="6791B9BF" w14:textId="77777777" w:rsidR="0038750F" w:rsidRPr="008048F6" w:rsidRDefault="0038750F" w:rsidP="00DB0723">
            <w:pPr>
              <w:jc w:val="center"/>
              <w:rPr>
                <w:rFonts w:asciiTheme="majorBidi" w:hAnsiTheme="majorBidi" w:cstheme="majorBidi"/>
              </w:rPr>
            </w:pPr>
            <w:r w:rsidRPr="008048F6">
              <w:rPr>
                <w:rFonts w:asciiTheme="majorBidi" w:hAnsiTheme="majorBidi" w:cstheme="majorBidi"/>
              </w:rPr>
              <w:t>87.67</w:t>
            </w:r>
          </w:p>
        </w:tc>
        <w:tc>
          <w:tcPr>
            <w:tcW w:w="642" w:type="pct"/>
            <w:noWrap/>
            <w:vAlign w:val="center"/>
            <w:hideMark/>
          </w:tcPr>
          <w:p w14:paraId="5C8FC59A" w14:textId="743C9BE4" w:rsidR="0038750F" w:rsidRPr="008048F6" w:rsidRDefault="0038750F" w:rsidP="00DB0723">
            <w:pPr>
              <w:jc w:val="center"/>
              <w:rPr>
                <w:rFonts w:asciiTheme="majorBidi" w:hAnsiTheme="majorBidi" w:cstheme="majorBidi"/>
              </w:rPr>
            </w:pPr>
            <w:r w:rsidRPr="008048F6">
              <w:rPr>
                <w:rFonts w:asciiTheme="majorBidi" w:hAnsiTheme="majorBidi" w:cstheme="majorBidi"/>
              </w:rPr>
              <w:t>85.393</w:t>
            </w:r>
          </w:p>
        </w:tc>
      </w:tr>
    </w:tbl>
    <w:p w14:paraId="6700D601" w14:textId="6042D700" w:rsidR="00B30F57" w:rsidRPr="00D92A5F" w:rsidRDefault="008C0CB8" w:rsidP="00006BEA">
      <w:pPr>
        <w:spacing w:after="240"/>
        <w:jc w:val="both"/>
        <w:rPr>
          <w:rFonts w:asciiTheme="majorBidi" w:hAnsiTheme="majorBidi" w:cstheme="majorBidi"/>
          <w:i/>
          <w:iCs/>
        </w:rPr>
      </w:pPr>
      <w:r w:rsidRPr="00D92A5F">
        <w:rPr>
          <w:rFonts w:asciiTheme="majorBidi" w:hAnsiTheme="majorBidi" w:cstheme="majorBidi"/>
          <w:i/>
          <w:iCs/>
        </w:rPr>
        <w:t xml:space="preserve">Source: </w:t>
      </w:r>
      <w:r w:rsidR="00006BEA" w:rsidRPr="00D92A5F">
        <w:rPr>
          <w:rFonts w:asciiTheme="majorBidi" w:hAnsiTheme="majorBidi" w:cstheme="majorBidi"/>
          <w:i/>
          <w:iCs/>
        </w:rPr>
        <w:t>Auth</w:t>
      </w:r>
      <w:r w:rsidR="00D92A5F" w:rsidRPr="00D92A5F">
        <w:rPr>
          <w:rFonts w:asciiTheme="majorBidi" w:hAnsiTheme="majorBidi" w:cstheme="majorBidi"/>
          <w:i/>
          <w:iCs/>
        </w:rPr>
        <w:t>o</w:t>
      </w:r>
      <w:r w:rsidR="00006BEA" w:rsidRPr="00D92A5F">
        <w:rPr>
          <w:rFonts w:asciiTheme="majorBidi" w:hAnsiTheme="majorBidi" w:cstheme="majorBidi"/>
          <w:i/>
          <w:iCs/>
        </w:rPr>
        <w:t>rs’ Calculation</w:t>
      </w:r>
    </w:p>
    <w:p w14:paraId="37F0A4C7" w14:textId="55B206B2" w:rsidR="00110A6E" w:rsidRDefault="00110A6E" w:rsidP="00F43EA4">
      <w:pPr>
        <w:spacing w:line="360" w:lineRule="auto"/>
        <w:jc w:val="both"/>
        <w:rPr>
          <w:rFonts w:asciiTheme="majorBidi" w:hAnsiTheme="majorBidi" w:cstheme="majorBidi"/>
          <w:color w:val="000000"/>
        </w:rPr>
      </w:pPr>
      <w:r w:rsidRPr="008048F6">
        <w:rPr>
          <w:rFonts w:asciiTheme="majorBidi" w:hAnsiTheme="majorBidi" w:cstheme="majorBidi"/>
          <w:color w:val="000000"/>
        </w:rPr>
        <w:t xml:space="preserve">Table 1 presents </w:t>
      </w:r>
      <w:r w:rsidR="003B4608" w:rsidRPr="008048F6">
        <w:rPr>
          <w:rFonts w:asciiTheme="majorBidi" w:hAnsiTheme="majorBidi" w:cstheme="majorBidi"/>
          <w:color w:val="000000"/>
        </w:rPr>
        <w:t>the capital</w:t>
      </w:r>
      <w:r w:rsidRPr="008048F6">
        <w:rPr>
          <w:rFonts w:asciiTheme="majorBidi" w:hAnsiTheme="majorBidi" w:cstheme="majorBidi"/>
          <w:color w:val="000000"/>
        </w:rPr>
        <w:t xml:space="preserve"> adequacy </w:t>
      </w:r>
      <w:r w:rsidR="00E92810">
        <w:rPr>
          <w:rFonts w:asciiTheme="majorBidi" w:hAnsiTheme="majorBidi" w:cstheme="majorBidi"/>
          <w:color w:val="000000"/>
        </w:rPr>
        <w:t xml:space="preserve">of </w:t>
      </w:r>
      <w:r w:rsidR="0027160C">
        <w:rPr>
          <w:rFonts w:asciiTheme="majorBidi" w:hAnsiTheme="majorBidi" w:cstheme="majorBidi"/>
          <w:color w:val="000000"/>
        </w:rPr>
        <w:t xml:space="preserve">Indian Bank </w:t>
      </w:r>
      <w:r w:rsidRPr="008048F6">
        <w:rPr>
          <w:rFonts w:asciiTheme="majorBidi" w:hAnsiTheme="majorBidi" w:cstheme="majorBidi"/>
          <w:color w:val="000000"/>
        </w:rPr>
        <w:t xml:space="preserve">for </w:t>
      </w:r>
      <w:r w:rsidR="00475246">
        <w:rPr>
          <w:rFonts w:asciiTheme="majorBidi" w:hAnsiTheme="majorBidi" w:cstheme="majorBidi"/>
          <w:color w:val="000000"/>
        </w:rPr>
        <w:t xml:space="preserve">the </w:t>
      </w:r>
      <w:r w:rsidRPr="008048F6">
        <w:rPr>
          <w:rFonts w:asciiTheme="majorBidi" w:hAnsiTheme="majorBidi" w:cstheme="majorBidi"/>
          <w:color w:val="000000"/>
        </w:rPr>
        <w:t xml:space="preserve">both Pre-Merger (2017-20) and </w:t>
      </w:r>
      <w:r w:rsidR="00B91A62" w:rsidRPr="008048F6">
        <w:rPr>
          <w:rFonts w:asciiTheme="majorBidi" w:hAnsiTheme="majorBidi" w:cstheme="majorBidi"/>
          <w:color w:val="000000"/>
        </w:rPr>
        <w:t>post-merger</w:t>
      </w:r>
      <w:r w:rsidR="00417CD3" w:rsidRPr="008048F6">
        <w:rPr>
          <w:rFonts w:asciiTheme="majorBidi" w:hAnsiTheme="majorBidi" w:cstheme="majorBidi"/>
          <w:color w:val="000000"/>
        </w:rPr>
        <w:t xml:space="preserve"> (2021-23)</w:t>
      </w:r>
      <w:r w:rsidRPr="008048F6">
        <w:rPr>
          <w:rFonts w:asciiTheme="majorBidi" w:hAnsiTheme="majorBidi" w:cstheme="majorBidi"/>
          <w:color w:val="000000"/>
        </w:rPr>
        <w:t xml:space="preserve"> periods. </w:t>
      </w:r>
      <w:r w:rsidR="00475246">
        <w:rPr>
          <w:rFonts w:asciiTheme="majorBidi" w:hAnsiTheme="majorBidi" w:cstheme="majorBidi"/>
          <w:color w:val="000000"/>
        </w:rPr>
        <w:t xml:space="preserve">Table depicts that post-merger average CAR and GSTIR are </w:t>
      </w:r>
      <w:r w:rsidR="00B91A62">
        <w:rPr>
          <w:rFonts w:asciiTheme="majorBidi" w:hAnsiTheme="majorBidi" w:cstheme="majorBidi"/>
          <w:color w:val="000000"/>
        </w:rPr>
        <w:t>improved</w:t>
      </w:r>
      <w:r w:rsidR="00475246">
        <w:rPr>
          <w:rFonts w:asciiTheme="majorBidi" w:hAnsiTheme="majorBidi" w:cstheme="majorBidi"/>
          <w:color w:val="000000"/>
        </w:rPr>
        <w:t xml:space="preserve"> as compared to </w:t>
      </w:r>
      <w:r w:rsidR="00B91A62">
        <w:rPr>
          <w:rFonts w:asciiTheme="majorBidi" w:hAnsiTheme="majorBidi" w:cstheme="majorBidi"/>
          <w:color w:val="000000"/>
        </w:rPr>
        <w:t xml:space="preserve">the pre-merger period. </w:t>
      </w:r>
      <w:r w:rsidRPr="008048F6">
        <w:rPr>
          <w:rFonts w:asciiTheme="majorBidi" w:hAnsiTheme="majorBidi" w:cstheme="majorBidi"/>
          <w:color w:val="000000"/>
        </w:rPr>
        <w:t xml:space="preserve">Conversely, the </w:t>
      </w:r>
      <w:r w:rsidR="007D1FE4">
        <w:rPr>
          <w:rFonts w:asciiTheme="majorBidi" w:hAnsiTheme="majorBidi" w:cstheme="majorBidi"/>
          <w:color w:val="000000"/>
        </w:rPr>
        <w:t>DER</w:t>
      </w:r>
      <w:r w:rsidRPr="008048F6">
        <w:rPr>
          <w:rFonts w:asciiTheme="majorBidi" w:hAnsiTheme="majorBidi" w:cstheme="majorBidi"/>
          <w:color w:val="000000"/>
        </w:rPr>
        <w:t xml:space="preserve"> Ratio </w:t>
      </w:r>
      <w:r w:rsidR="00B91A62">
        <w:rPr>
          <w:rFonts w:asciiTheme="majorBidi" w:hAnsiTheme="majorBidi" w:cstheme="majorBidi"/>
          <w:color w:val="000000"/>
        </w:rPr>
        <w:t xml:space="preserve">and </w:t>
      </w:r>
      <w:proofErr w:type="spellStart"/>
      <w:r w:rsidR="00B91A62">
        <w:rPr>
          <w:rFonts w:asciiTheme="majorBidi" w:hAnsiTheme="majorBidi" w:cstheme="majorBidi"/>
          <w:color w:val="000000"/>
        </w:rPr>
        <w:t>TAd</w:t>
      </w:r>
      <w:proofErr w:type="spellEnd"/>
      <w:r w:rsidR="00B91A62">
        <w:rPr>
          <w:rFonts w:asciiTheme="majorBidi" w:hAnsiTheme="majorBidi" w:cstheme="majorBidi"/>
          <w:color w:val="000000"/>
        </w:rPr>
        <w:t xml:space="preserve"> to TA Ratio are declined</w:t>
      </w:r>
      <w:r w:rsidRPr="008048F6">
        <w:rPr>
          <w:rFonts w:asciiTheme="majorBidi" w:hAnsiTheme="majorBidi" w:cstheme="majorBidi"/>
          <w:color w:val="000000"/>
        </w:rPr>
        <w:t>.</w:t>
      </w:r>
      <w:r w:rsidR="00417CD3" w:rsidRPr="008048F6">
        <w:rPr>
          <w:rFonts w:asciiTheme="majorBidi" w:hAnsiTheme="majorBidi" w:cstheme="majorBidi"/>
          <w:color w:val="000000"/>
        </w:rPr>
        <w:t xml:space="preserve"> Indian Bank has adequate capital to satisfy its payments and commitments. Less </w:t>
      </w:r>
      <w:r w:rsidR="007D1FE4">
        <w:rPr>
          <w:rFonts w:asciiTheme="majorBidi" w:hAnsiTheme="majorBidi" w:cstheme="majorBidi"/>
          <w:color w:val="000000"/>
        </w:rPr>
        <w:t>DER</w:t>
      </w:r>
      <w:r w:rsidR="00417CD3" w:rsidRPr="008048F6">
        <w:rPr>
          <w:rFonts w:asciiTheme="majorBidi" w:hAnsiTheme="majorBidi" w:cstheme="majorBidi"/>
          <w:color w:val="000000"/>
        </w:rPr>
        <w:t xml:space="preserve"> </w:t>
      </w:r>
      <w:r w:rsidR="007D1FE4">
        <w:rPr>
          <w:rFonts w:asciiTheme="majorBidi" w:hAnsiTheme="majorBidi" w:cstheme="majorBidi"/>
          <w:color w:val="000000"/>
        </w:rPr>
        <w:t>R</w:t>
      </w:r>
      <w:r w:rsidR="00417CD3" w:rsidRPr="008048F6">
        <w:rPr>
          <w:rFonts w:asciiTheme="majorBidi" w:hAnsiTheme="majorBidi" w:cstheme="majorBidi"/>
          <w:color w:val="000000"/>
        </w:rPr>
        <w:t>atio means the bank is financing its operations less with debt and more with equity which makes it less risky.</w:t>
      </w:r>
      <w:r w:rsidR="00B91A62">
        <w:rPr>
          <w:rFonts w:asciiTheme="majorBidi" w:hAnsiTheme="majorBidi" w:cstheme="majorBidi"/>
          <w:color w:val="000000"/>
        </w:rPr>
        <w:t xml:space="preserve"> It suggests that post-merger the Capital Adequacy of the bank has improved.</w:t>
      </w:r>
    </w:p>
    <w:p w14:paraId="7609FB4A" w14:textId="59917611" w:rsidR="009B4572" w:rsidRPr="008048F6" w:rsidRDefault="00B91A62" w:rsidP="00B91A62">
      <w:pPr>
        <w:spacing w:before="240" w:after="120" w:line="360" w:lineRule="auto"/>
        <w:jc w:val="both"/>
        <w:rPr>
          <w:rFonts w:asciiTheme="majorBidi" w:hAnsiTheme="majorBidi" w:cstheme="majorBidi"/>
        </w:rPr>
      </w:pPr>
      <w:r w:rsidRPr="008048F6">
        <w:rPr>
          <w:rFonts w:asciiTheme="majorBidi" w:hAnsiTheme="majorBidi" w:cstheme="majorBidi"/>
          <w:b/>
        </w:rPr>
        <w:t>Table 2</w:t>
      </w:r>
      <w:r>
        <w:rPr>
          <w:rFonts w:asciiTheme="majorBidi" w:hAnsiTheme="majorBidi" w:cstheme="majorBidi"/>
          <w:b/>
        </w:rPr>
        <w:t>:</w:t>
      </w:r>
      <w:r w:rsidRPr="008048F6">
        <w:rPr>
          <w:rFonts w:asciiTheme="majorBidi" w:hAnsiTheme="majorBidi" w:cstheme="majorBidi"/>
          <w:b/>
        </w:rPr>
        <w:t xml:space="preserve"> Asset Quality</w:t>
      </w:r>
    </w:p>
    <w:tbl>
      <w:tblPr>
        <w:tblStyle w:val="TableGrid"/>
        <w:tblW w:w="0" w:type="auto"/>
        <w:tblInd w:w="-147" w:type="dxa"/>
        <w:tblLayout w:type="fixed"/>
        <w:tblLook w:val="04A0" w:firstRow="1" w:lastRow="0" w:firstColumn="1" w:lastColumn="0" w:noHBand="0" w:noVBand="1"/>
      </w:tblPr>
      <w:tblGrid>
        <w:gridCol w:w="1491"/>
        <w:gridCol w:w="919"/>
        <w:gridCol w:w="851"/>
        <w:gridCol w:w="992"/>
        <w:gridCol w:w="1134"/>
        <w:gridCol w:w="801"/>
        <w:gridCol w:w="900"/>
        <w:gridCol w:w="992"/>
        <w:gridCol w:w="1077"/>
      </w:tblGrid>
      <w:tr w:rsidR="00367BCF" w:rsidRPr="008048F6" w14:paraId="573CD18A" w14:textId="77777777" w:rsidTr="00B128BD">
        <w:trPr>
          <w:trHeight w:val="433"/>
        </w:trPr>
        <w:tc>
          <w:tcPr>
            <w:tcW w:w="1491" w:type="dxa"/>
            <w:vMerge w:val="restart"/>
            <w:noWrap/>
            <w:vAlign w:val="center"/>
            <w:hideMark/>
          </w:tcPr>
          <w:p w14:paraId="1C866DD2" w14:textId="77777777" w:rsidR="00B406AB" w:rsidRPr="008048F6" w:rsidRDefault="00B406AB" w:rsidP="008048F6">
            <w:pPr>
              <w:pStyle w:val="NormalWeb"/>
              <w:jc w:val="both"/>
              <w:rPr>
                <w:rFonts w:asciiTheme="majorBidi" w:hAnsiTheme="majorBidi" w:cstheme="majorBidi"/>
                <w:b/>
              </w:rPr>
            </w:pPr>
            <w:r w:rsidRPr="008048F6">
              <w:rPr>
                <w:rFonts w:asciiTheme="majorBidi" w:hAnsiTheme="majorBidi" w:cstheme="majorBidi"/>
                <w:b/>
              </w:rPr>
              <w:lastRenderedPageBreak/>
              <w:t>Particulars</w:t>
            </w:r>
          </w:p>
        </w:tc>
        <w:tc>
          <w:tcPr>
            <w:tcW w:w="3896" w:type="dxa"/>
            <w:gridSpan w:val="4"/>
            <w:noWrap/>
            <w:vAlign w:val="center"/>
            <w:hideMark/>
          </w:tcPr>
          <w:p w14:paraId="6C2FC2F7" w14:textId="53C6E625" w:rsidR="00B406AB" w:rsidRPr="008048F6" w:rsidRDefault="002749B3" w:rsidP="00B91A62">
            <w:pPr>
              <w:pStyle w:val="NormalWeb"/>
              <w:jc w:val="center"/>
              <w:rPr>
                <w:rFonts w:asciiTheme="majorBidi" w:hAnsiTheme="majorBidi" w:cstheme="majorBidi"/>
                <w:b/>
              </w:rPr>
            </w:pPr>
            <w:r>
              <w:rPr>
                <w:rFonts w:asciiTheme="majorBidi" w:hAnsiTheme="majorBidi" w:cstheme="majorBidi"/>
                <w:b/>
              </w:rPr>
              <w:t xml:space="preserve">After </w:t>
            </w:r>
            <w:r w:rsidR="00B406AB" w:rsidRPr="008048F6">
              <w:rPr>
                <w:rFonts w:asciiTheme="majorBidi" w:hAnsiTheme="majorBidi" w:cstheme="majorBidi"/>
                <w:b/>
              </w:rPr>
              <w:t>Merger</w:t>
            </w:r>
          </w:p>
        </w:tc>
        <w:tc>
          <w:tcPr>
            <w:tcW w:w="3770" w:type="dxa"/>
            <w:gridSpan w:val="4"/>
            <w:noWrap/>
            <w:vAlign w:val="center"/>
            <w:hideMark/>
          </w:tcPr>
          <w:p w14:paraId="7F5767FA" w14:textId="5D4A4B18" w:rsidR="00B406AB" w:rsidRPr="008048F6" w:rsidRDefault="002749B3" w:rsidP="00B91A62">
            <w:pPr>
              <w:pStyle w:val="NormalWeb"/>
              <w:jc w:val="center"/>
              <w:rPr>
                <w:rFonts w:asciiTheme="majorBidi" w:hAnsiTheme="majorBidi" w:cstheme="majorBidi"/>
                <w:b/>
              </w:rPr>
            </w:pPr>
            <w:r>
              <w:rPr>
                <w:rFonts w:asciiTheme="majorBidi" w:hAnsiTheme="majorBidi" w:cstheme="majorBidi"/>
                <w:b/>
              </w:rPr>
              <w:t xml:space="preserve">Before </w:t>
            </w:r>
            <w:r w:rsidR="00B406AB" w:rsidRPr="008048F6">
              <w:rPr>
                <w:rFonts w:asciiTheme="majorBidi" w:hAnsiTheme="majorBidi" w:cstheme="majorBidi"/>
                <w:b/>
              </w:rPr>
              <w:t>Merger</w:t>
            </w:r>
          </w:p>
        </w:tc>
      </w:tr>
      <w:tr w:rsidR="00367BCF" w:rsidRPr="008048F6" w14:paraId="6713D7CA" w14:textId="77777777" w:rsidTr="00B128BD">
        <w:trPr>
          <w:trHeight w:val="433"/>
        </w:trPr>
        <w:tc>
          <w:tcPr>
            <w:tcW w:w="1491" w:type="dxa"/>
            <w:vMerge/>
            <w:hideMark/>
          </w:tcPr>
          <w:p w14:paraId="533F6E61" w14:textId="77777777" w:rsidR="00B406AB" w:rsidRPr="008048F6" w:rsidRDefault="00B406AB" w:rsidP="008048F6">
            <w:pPr>
              <w:pStyle w:val="NormalWeb"/>
              <w:jc w:val="both"/>
              <w:rPr>
                <w:rFonts w:asciiTheme="majorBidi" w:hAnsiTheme="majorBidi" w:cstheme="majorBidi"/>
              </w:rPr>
            </w:pPr>
          </w:p>
        </w:tc>
        <w:tc>
          <w:tcPr>
            <w:tcW w:w="919" w:type="dxa"/>
            <w:noWrap/>
            <w:vAlign w:val="center"/>
            <w:hideMark/>
          </w:tcPr>
          <w:p w14:paraId="437A5182" w14:textId="048686BD"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2022-</w:t>
            </w:r>
            <w:r w:rsidR="00367BCF">
              <w:rPr>
                <w:rFonts w:asciiTheme="majorBidi" w:hAnsiTheme="majorBidi" w:cstheme="majorBidi"/>
              </w:rPr>
              <w:t>20</w:t>
            </w:r>
            <w:r w:rsidRPr="008048F6">
              <w:rPr>
                <w:rFonts w:asciiTheme="majorBidi" w:hAnsiTheme="majorBidi" w:cstheme="majorBidi"/>
              </w:rPr>
              <w:t>23</w:t>
            </w:r>
          </w:p>
        </w:tc>
        <w:tc>
          <w:tcPr>
            <w:tcW w:w="851" w:type="dxa"/>
            <w:noWrap/>
            <w:vAlign w:val="center"/>
            <w:hideMark/>
          </w:tcPr>
          <w:p w14:paraId="4695D300" w14:textId="695BE985"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2021-</w:t>
            </w:r>
            <w:r w:rsidR="00367BCF">
              <w:rPr>
                <w:rFonts w:asciiTheme="majorBidi" w:hAnsiTheme="majorBidi" w:cstheme="majorBidi"/>
              </w:rPr>
              <w:t>20</w:t>
            </w:r>
            <w:r w:rsidRPr="008048F6">
              <w:rPr>
                <w:rFonts w:asciiTheme="majorBidi" w:hAnsiTheme="majorBidi" w:cstheme="majorBidi"/>
              </w:rPr>
              <w:t>22</w:t>
            </w:r>
          </w:p>
        </w:tc>
        <w:tc>
          <w:tcPr>
            <w:tcW w:w="992" w:type="dxa"/>
            <w:noWrap/>
            <w:vAlign w:val="center"/>
            <w:hideMark/>
          </w:tcPr>
          <w:p w14:paraId="7CCC7A9E" w14:textId="44666951"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2020-</w:t>
            </w:r>
            <w:r w:rsidR="00367BCF">
              <w:rPr>
                <w:rFonts w:asciiTheme="majorBidi" w:hAnsiTheme="majorBidi" w:cstheme="majorBidi"/>
              </w:rPr>
              <w:t>20</w:t>
            </w:r>
            <w:r w:rsidRPr="008048F6">
              <w:rPr>
                <w:rFonts w:asciiTheme="majorBidi" w:hAnsiTheme="majorBidi" w:cstheme="majorBidi"/>
              </w:rPr>
              <w:t>21</w:t>
            </w:r>
          </w:p>
        </w:tc>
        <w:tc>
          <w:tcPr>
            <w:tcW w:w="1134" w:type="dxa"/>
            <w:noWrap/>
            <w:vAlign w:val="center"/>
            <w:hideMark/>
          </w:tcPr>
          <w:p w14:paraId="4B88F483" w14:textId="60AC26A9" w:rsidR="00B406AB" w:rsidRPr="00B91A62" w:rsidRDefault="00B406AB" w:rsidP="00B91A62">
            <w:pPr>
              <w:pStyle w:val="NormalWeb"/>
              <w:jc w:val="center"/>
              <w:rPr>
                <w:rFonts w:asciiTheme="majorBidi" w:hAnsiTheme="majorBidi" w:cstheme="majorBidi"/>
                <w:b/>
                <w:bCs/>
              </w:rPr>
            </w:pPr>
            <w:r w:rsidRPr="00B91A62">
              <w:rPr>
                <w:rFonts w:asciiTheme="majorBidi" w:hAnsiTheme="majorBidi" w:cstheme="majorBidi"/>
                <w:b/>
                <w:bCs/>
              </w:rPr>
              <w:t>A</w:t>
            </w:r>
            <w:r w:rsidR="00B91A62" w:rsidRPr="00B91A62">
              <w:rPr>
                <w:rFonts w:asciiTheme="majorBidi" w:hAnsiTheme="majorBidi" w:cstheme="majorBidi"/>
                <w:b/>
                <w:bCs/>
              </w:rPr>
              <w:t>v</w:t>
            </w:r>
            <w:r w:rsidR="00367BCF">
              <w:rPr>
                <w:rFonts w:asciiTheme="majorBidi" w:hAnsiTheme="majorBidi" w:cstheme="majorBidi"/>
                <w:b/>
                <w:bCs/>
              </w:rPr>
              <w:t>erage</w:t>
            </w:r>
          </w:p>
        </w:tc>
        <w:tc>
          <w:tcPr>
            <w:tcW w:w="801" w:type="dxa"/>
            <w:noWrap/>
            <w:vAlign w:val="center"/>
            <w:hideMark/>
          </w:tcPr>
          <w:p w14:paraId="60191BD5" w14:textId="7F2158B4"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2019-</w:t>
            </w:r>
            <w:r w:rsidR="00367BCF">
              <w:rPr>
                <w:rFonts w:asciiTheme="majorBidi" w:hAnsiTheme="majorBidi" w:cstheme="majorBidi"/>
              </w:rPr>
              <w:t>20</w:t>
            </w:r>
            <w:r w:rsidRPr="008048F6">
              <w:rPr>
                <w:rFonts w:asciiTheme="majorBidi" w:hAnsiTheme="majorBidi" w:cstheme="majorBidi"/>
              </w:rPr>
              <w:t>20</w:t>
            </w:r>
          </w:p>
        </w:tc>
        <w:tc>
          <w:tcPr>
            <w:tcW w:w="900" w:type="dxa"/>
            <w:noWrap/>
            <w:vAlign w:val="center"/>
            <w:hideMark/>
          </w:tcPr>
          <w:p w14:paraId="3E4D96D7" w14:textId="7C977F0D"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2018-</w:t>
            </w:r>
            <w:r w:rsidR="00367BCF">
              <w:rPr>
                <w:rFonts w:asciiTheme="majorBidi" w:hAnsiTheme="majorBidi" w:cstheme="majorBidi"/>
              </w:rPr>
              <w:t>20</w:t>
            </w:r>
            <w:r w:rsidRPr="008048F6">
              <w:rPr>
                <w:rFonts w:asciiTheme="majorBidi" w:hAnsiTheme="majorBidi" w:cstheme="majorBidi"/>
              </w:rPr>
              <w:t>19</w:t>
            </w:r>
          </w:p>
        </w:tc>
        <w:tc>
          <w:tcPr>
            <w:tcW w:w="992" w:type="dxa"/>
            <w:noWrap/>
            <w:vAlign w:val="center"/>
            <w:hideMark/>
          </w:tcPr>
          <w:p w14:paraId="41A0957D" w14:textId="144E5620"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2017-</w:t>
            </w:r>
            <w:r w:rsidR="00367BCF">
              <w:rPr>
                <w:rFonts w:asciiTheme="majorBidi" w:hAnsiTheme="majorBidi" w:cstheme="majorBidi"/>
              </w:rPr>
              <w:t>20</w:t>
            </w:r>
            <w:r w:rsidRPr="008048F6">
              <w:rPr>
                <w:rFonts w:asciiTheme="majorBidi" w:hAnsiTheme="majorBidi" w:cstheme="majorBidi"/>
              </w:rPr>
              <w:t>18</w:t>
            </w:r>
          </w:p>
        </w:tc>
        <w:tc>
          <w:tcPr>
            <w:tcW w:w="1077" w:type="dxa"/>
            <w:noWrap/>
            <w:vAlign w:val="center"/>
            <w:hideMark/>
          </w:tcPr>
          <w:p w14:paraId="4893BF04" w14:textId="2F000377" w:rsidR="00B406AB" w:rsidRPr="008048F6" w:rsidRDefault="00B91A62" w:rsidP="00B91A62">
            <w:pPr>
              <w:pStyle w:val="NormalWeb"/>
              <w:jc w:val="center"/>
              <w:rPr>
                <w:rFonts w:asciiTheme="majorBidi" w:hAnsiTheme="majorBidi" w:cstheme="majorBidi"/>
              </w:rPr>
            </w:pPr>
            <w:r w:rsidRPr="00B91A62">
              <w:rPr>
                <w:rFonts w:asciiTheme="majorBidi" w:hAnsiTheme="majorBidi" w:cstheme="majorBidi"/>
                <w:b/>
                <w:bCs/>
              </w:rPr>
              <w:t>Av</w:t>
            </w:r>
            <w:r w:rsidR="00367BCF">
              <w:rPr>
                <w:rFonts w:asciiTheme="majorBidi" w:hAnsiTheme="majorBidi" w:cstheme="majorBidi"/>
                <w:b/>
                <w:bCs/>
              </w:rPr>
              <w:t>erage</w:t>
            </w:r>
          </w:p>
        </w:tc>
      </w:tr>
      <w:tr w:rsidR="00367BCF" w:rsidRPr="008048F6" w14:paraId="2CCA01A5" w14:textId="77777777" w:rsidTr="00B128BD">
        <w:trPr>
          <w:trHeight w:val="433"/>
        </w:trPr>
        <w:tc>
          <w:tcPr>
            <w:tcW w:w="1491" w:type="dxa"/>
            <w:noWrap/>
            <w:hideMark/>
          </w:tcPr>
          <w:p w14:paraId="7F4A4A54" w14:textId="0FDB0A34" w:rsidR="00B406AB" w:rsidRPr="008048F6" w:rsidRDefault="00B91A62" w:rsidP="008048F6">
            <w:pPr>
              <w:pStyle w:val="NormalWeb"/>
              <w:jc w:val="both"/>
              <w:rPr>
                <w:rFonts w:asciiTheme="majorBidi" w:hAnsiTheme="majorBidi" w:cstheme="majorBidi"/>
              </w:rPr>
            </w:pPr>
            <w:r>
              <w:rPr>
                <w:rFonts w:asciiTheme="majorBidi" w:hAnsiTheme="majorBidi" w:cstheme="majorBidi"/>
              </w:rPr>
              <w:t xml:space="preserve">NNPA to </w:t>
            </w:r>
            <w:proofErr w:type="spellStart"/>
            <w:r>
              <w:rPr>
                <w:rFonts w:asciiTheme="majorBidi" w:hAnsiTheme="majorBidi" w:cstheme="majorBidi"/>
              </w:rPr>
              <w:t>NAd</w:t>
            </w:r>
            <w:proofErr w:type="spellEnd"/>
          </w:p>
        </w:tc>
        <w:tc>
          <w:tcPr>
            <w:tcW w:w="919" w:type="dxa"/>
            <w:noWrap/>
            <w:vAlign w:val="center"/>
            <w:hideMark/>
          </w:tcPr>
          <w:p w14:paraId="60127292"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0.9</w:t>
            </w:r>
          </w:p>
        </w:tc>
        <w:tc>
          <w:tcPr>
            <w:tcW w:w="851" w:type="dxa"/>
            <w:noWrap/>
            <w:vAlign w:val="center"/>
            <w:hideMark/>
          </w:tcPr>
          <w:p w14:paraId="3EC24732"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2.27</w:t>
            </w:r>
          </w:p>
        </w:tc>
        <w:tc>
          <w:tcPr>
            <w:tcW w:w="992" w:type="dxa"/>
            <w:noWrap/>
            <w:vAlign w:val="center"/>
            <w:hideMark/>
          </w:tcPr>
          <w:p w14:paraId="3E32222E"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3.37</w:t>
            </w:r>
          </w:p>
        </w:tc>
        <w:tc>
          <w:tcPr>
            <w:tcW w:w="1134" w:type="dxa"/>
            <w:noWrap/>
            <w:vAlign w:val="center"/>
            <w:hideMark/>
          </w:tcPr>
          <w:p w14:paraId="24561076"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2.18</w:t>
            </w:r>
          </w:p>
        </w:tc>
        <w:tc>
          <w:tcPr>
            <w:tcW w:w="801" w:type="dxa"/>
            <w:noWrap/>
            <w:vAlign w:val="center"/>
            <w:hideMark/>
          </w:tcPr>
          <w:p w14:paraId="14C238DD"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3.13</w:t>
            </w:r>
          </w:p>
        </w:tc>
        <w:tc>
          <w:tcPr>
            <w:tcW w:w="900" w:type="dxa"/>
            <w:noWrap/>
            <w:vAlign w:val="center"/>
            <w:hideMark/>
          </w:tcPr>
          <w:p w14:paraId="7A0C4063"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3.75</w:t>
            </w:r>
          </w:p>
        </w:tc>
        <w:tc>
          <w:tcPr>
            <w:tcW w:w="992" w:type="dxa"/>
            <w:noWrap/>
            <w:vAlign w:val="center"/>
            <w:hideMark/>
          </w:tcPr>
          <w:p w14:paraId="430F0875"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3.81</w:t>
            </w:r>
          </w:p>
        </w:tc>
        <w:tc>
          <w:tcPr>
            <w:tcW w:w="1077" w:type="dxa"/>
            <w:noWrap/>
            <w:vAlign w:val="center"/>
            <w:hideMark/>
          </w:tcPr>
          <w:p w14:paraId="32C438F6" w14:textId="10636945"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3.56</w:t>
            </w:r>
          </w:p>
        </w:tc>
      </w:tr>
      <w:tr w:rsidR="00367BCF" w:rsidRPr="008048F6" w14:paraId="3B1CE877" w14:textId="77777777" w:rsidTr="00B128BD">
        <w:trPr>
          <w:trHeight w:val="433"/>
        </w:trPr>
        <w:tc>
          <w:tcPr>
            <w:tcW w:w="1491" w:type="dxa"/>
            <w:noWrap/>
            <w:hideMark/>
          </w:tcPr>
          <w:p w14:paraId="5CADED55" w14:textId="571179F2" w:rsidR="00B406AB" w:rsidRPr="008048F6" w:rsidRDefault="00B91A62" w:rsidP="008048F6">
            <w:pPr>
              <w:pStyle w:val="NormalWeb"/>
              <w:jc w:val="both"/>
              <w:rPr>
                <w:rFonts w:asciiTheme="majorBidi" w:hAnsiTheme="majorBidi" w:cstheme="majorBidi"/>
              </w:rPr>
            </w:pPr>
            <w:r>
              <w:rPr>
                <w:rFonts w:asciiTheme="majorBidi" w:hAnsiTheme="majorBidi" w:cstheme="majorBidi"/>
              </w:rPr>
              <w:t>TI to TA</w:t>
            </w:r>
            <w:r w:rsidRPr="008048F6">
              <w:rPr>
                <w:rFonts w:asciiTheme="majorBidi" w:hAnsiTheme="majorBidi" w:cstheme="majorBidi"/>
              </w:rPr>
              <w:t xml:space="preserve"> </w:t>
            </w:r>
            <w:r w:rsidR="00B406AB" w:rsidRPr="008048F6">
              <w:rPr>
                <w:rFonts w:asciiTheme="majorBidi" w:hAnsiTheme="majorBidi" w:cstheme="majorBidi"/>
              </w:rPr>
              <w:t>Ratio(%)</w:t>
            </w:r>
          </w:p>
        </w:tc>
        <w:tc>
          <w:tcPr>
            <w:tcW w:w="919" w:type="dxa"/>
            <w:noWrap/>
            <w:vAlign w:val="center"/>
            <w:hideMark/>
          </w:tcPr>
          <w:p w14:paraId="1776C048"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26.18</w:t>
            </w:r>
          </w:p>
        </w:tc>
        <w:tc>
          <w:tcPr>
            <w:tcW w:w="851" w:type="dxa"/>
            <w:noWrap/>
            <w:vAlign w:val="center"/>
            <w:hideMark/>
          </w:tcPr>
          <w:p w14:paraId="41BB3AEF"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w:t>
            </w:r>
          </w:p>
        </w:tc>
        <w:tc>
          <w:tcPr>
            <w:tcW w:w="992" w:type="dxa"/>
            <w:noWrap/>
            <w:vAlign w:val="center"/>
            <w:hideMark/>
          </w:tcPr>
          <w:p w14:paraId="46D0C62E"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28.32</w:t>
            </w:r>
          </w:p>
        </w:tc>
        <w:tc>
          <w:tcPr>
            <w:tcW w:w="1134" w:type="dxa"/>
            <w:noWrap/>
            <w:vAlign w:val="center"/>
            <w:hideMark/>
          </w:tcPr>
          <w:p w14:paraId="524FA701" w14:textId="22C2280D"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26.83</w:t>
            </w:r>
          </w:p>
        </w:tc>
        <w:tc>
          <w:tcPr>
            <w:tcW w:w="801" w:type="dxa"/>
            <w:noWrap/>
            <w:vAlign w:val="center"/>
            <w:hideMark/>
          </w:tcPr>
          <w:p w14:paraId="54C6B877"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26.25</w:t>
            </w:r>
          </w:p>
        </w:tc>
        <w:tc>
          <w:tcPr>
            <w:tcW w:w="900" w:type="dxa"/>
            <w:noWrap/>
            <w:vAlign w:val="center"/>
            <w:hideMark/>
          </w:tcPr>
          <w:p w14:paraId="669F84AB"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23.21</w:t>
            </w:r>
          </w:p>
        </w:tc>
        <w:tc>
          <w:tcPr>
            <w:tcW w:w="992" w:type="dxa"/>
            <w:noWrap/>
            <w:vAlign w:val="center"/>
            <w:hideMark/>
          </w:tcPr>
          <w:p w14:paraId="10B1935A" w14:textId="77777777"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28.25</w:t>
            </w:r>
          </w:p>
        </w:tc>
        <w:tc>
          <w:tcPr>
            <w:tcW w:w="1077" w:type="dxa"/>
            <w:noWrap/>
            <w:vAlign w:val="center"/>
            <w:hideMark/>
          </w:tcPr>
          <w:p w14:paraId="076EA782" w14:textId="17075C0F" w:rsidR="00B406AB" w:rsidRPr="008048F6" w:rsidRDefault="00B406AB" w:rsidP="00B91A62">
            <w:pPr>
              <w:pStyle w:val="NormalWeb"/>
              <w:jc w:val="center"/>
              <w:rPr>
                <w:rFonts w:asciiTheme="majorBidi" w:hAnsiTheme="majorBidi" w:cstheme="majorBidi"/>
              </w:rPr>
            </w:pPr>
            <w:r w:rsidRPr="008048F6">
              <w:rPr>
                <w:rFonts w:asciiTheme="majorBidi" w:hAnsiTheme="majorBidi" w:cstheme="majorBidi"/>
              </w:rPr>
              <w:t>25.90</w:t>
            </w:r>
          </w:p>
        </w:tc>
      </w:tr>
    </w:tbl>
    <w:p w14:paraId="0A55B015" w14:textId="24549191" w:rsidR="003A1D1F" w:rsidRDefault="00507AF7" w:rsidP="00820191">
      <w:pPr>
        <w:spacing w:after="240"/>
        <w:jc w:val="both"/>
        <w:rPr>
          <w:rFonts w:asciiTheme="majorBidi" w:hAnsiTheme="majorBidi" w:cstheme="majorBidi"/>
          <w:i/>
          <w:iCs/>
        </w:rPr>
      </w:pPr>
      <w:r>
        <w:rPr>
          <w:rFonts w:asciiTheme="majorBidi" w:hAnsiTheme="majorBidi" w:cstheme="majorBidi"/>
          <w:color w:val="000000"/>
        </w:rPr>
        <w:t xml:space="preserve">  </w:t>
      </w:r>
      <w:r w:rsidR="0027160C" w:rsidRPr="00D92A5F">
        <w:rPr>
          <w:rFonts w:asciiTheme="majorBidi" w:hAnsiTheme="majorBidi" w:cstheme="majorBidi"/>
          <w:i/>
          <w:iCs/>
        </w:rPr>
        <w:t>Source: Authors’ Calculation</w:t>
      </w:r>
    </w:p>
    <w:p w14:paraId="38E5471F" w14:textId="4A261228" w:rsidR="00820191" w:rsidRPr="00820191" w:rsidRDefault="00820191" w:rsidP="00820191">
      <w:pPr>
        <w:spacing w:after="240" w:line="360" w:lineRule="auto"/>
        <w:jc w:val="both"/>
        <w:rPr>
          <w:rFonts w:asciiTheme="majorBidi" w:hAnsiTheme="majorBidi" w:cstheme="majorBidi"/>
        </w:rPr>
      </w:pPr>
      <w:r w:rsidRPr="00D569E2">
        <w:rPr>
          <w:color w:val="000000"/>
        </w:rPr>
        <w:t xml:space="preserve">Table 2 presents an overview of the Asset Quality </w:t>
      </w:r>
      <w:r w:rsidR="00123619">
        <w:rPr>
          <w:color w:val="000000"/>
        </w:rPr>
        <w:t xml:space="preserve">of Indian Bank </w:t>
      </w:r>
      <w:r w:rsidRPr="00D569E2">
        <w:rPr>
          <w:color w:val="000000"/>
        </w:rPr>
        <w:t xml:space="preserve">for the periods before </w:t>
      </w:r>
      <w:r w:rsidR="00EE06F7">
        <w:rPr>
          <w:color w:val="000000"/>
        </w:rPr>
        <w:t xml:space="preserve">the merger </w:t>
      </w:r>
      <w:r w:rsidRPr="00D569E2">
        <w:rPr>
          <w:color w:val="000000"/>
        </w:rPr>
        <w:t>(2017-</w:t>
      </w:r>
      <w:r w:rsidR="00B128BD">
        <w:rPr>
          <w:color w:val="000000"/>
        </w:rPr>
        <w:t>20</w:t>
      </w:r>
      <w:r w:rsidRPr="00D569E2">
        <w:rPr>
          <w:color w:val="000000"/>
        </w:rPr>
        <w:t>20) and after the merger (2021-</w:t>
      </w:r>
      <w:r w:rsidR="00B128BD">
        <w:rPr>
          <w:color w:val="000000"/>
        </w:rPr>
        <w:t>20</w:t>
      </w:r>
      <w:r w:rsidRPr="00D569E2">
        <w:rPr>
          <w:color w:val="000000"/>
        </w:rPr>
        <w:t xml:space="preserve">23). The NNPA to </w:t>
      </w:r>
      <w:proofErr w:type="spellStart"/>
      <w:r w:rsidRPr="00D569E2">
        <w:rPr>
          <w:color w:val="000000"/>
        </w:rPr>
        <w:t>NAd</w:t>
      </w:r>
      <w:proofErr w:type="spellEnd"/>
      <w:r w:rsidRPr="00D569E2">
        <w:rPr>
          <w:color w:val="000000"/>
        </w:rPr>
        <w:t xml:space="preserve"> ratio</w:t>
      </w:r>
      <w:r w:rsidR="00B22C3E">
        <w:rPr>
          <w:color w:val="000000"/>
        </w:rPr>
        <w:t xml:space="preserve">, one of the </w:t>
      </w:r>
      <w:r w:rsidR="002A056F">
        <w:rPr>
          <w:color w:val="000000"/>
        </w:rPr>
        <w:t>two parameters</w:t>
      </w:r>
      <w:r w:rsidR="00B22C3E">
        <w:rPr>
          <w:color w:val="000000"/>
        </w:rPr>
        <w:t xml:space="preserve"> of Asset Quality under CAMEL,</w:t>
      </w:r>
      <w:r w:rsidR="002A056F">
        <w:rPr>
          <w:color w:val="000000"/>
        </w:rPr>
        <w:t xml:space="preserve"> of Indian Bank</w:t>
      </w:r>
      <w:r w:rsidRPr="00D569E2">
        <w:rPr>
          <w:color w:val="000000"/>
        </w:rPr>
        <w:t xml:space="preserve"> decreased from 3.13% in 2019-20 to 0.9% in 2022-23, suggesting that only 0.9% of total advances are unrecoverable</w:t>
      </w:r>
      <w:r w:rsidR="00A94F0E">
        <w:rPr>
          <w:color w:val="000000"/>
        </w:rPr>
        <w:t xml:space="preserve"> in 2022-23. The average </w:t>
      </w:r>
      <w:r w:rsidR="00863A5C">
        <w:rPr>
          <w:color w:val="000000"/>
        </w:rPr>
        <w:t xml:space="preserve">of the ratio during </w:t>
      </w:r>
      <w:r w:rsidR="00D2529F">
        <w:rPr>
          <w:color w:val="000000"/>
        </w:rPr>
        <w:t>post-merger</w:t>
      </w:r>
      <w:r w:rsidR="00863A5C">
        <w:rPr>
          <w:color w:val="000000"/>
        </w:rPr>
        <w:t>, 2.18 times</w:t>
      </w:r>
      <w:r w:rsidR="00D2529F">
        <w:rPr>
          <w:color w:val="000000"/>
        </w:rPr>
        <w:t>,</w:t>
      </w:r>
      <w:r w:rsidR="00863A5C">
        <w:rPr>
          <w:color w:val="000000"/>
        </w:rPr>
        <w:t xml:space="preserve"> is also less than average in Pre</w:t>
      </w:r>
      <w:r w:rsidR="00D2529F">
        <w:rPr>
          <w:color w:val="000000"/>
        </w:rPr>
        <w:t>-merger period (3.56 times).</w:t>
      </w:r>
      <w:r w:rsidRPr="00D569E2">
        <w:rPr>
          <w:color w:val="000000"/>
        </w:rPr>
        <w:t xml:space="preserve"> </w:t>
      </w:r>
      <w:r w:rsidR="00D2529F">
        <w:rPr>
          <w:color w:val="000000"/>
        </w:rPr>
        <w:t>It</w:t>
      </w:r>
      <w:r w:rsidRPr="00D569E2">
        <w:rPr>
          <w:color w:val="000000"/>
        </w:rPr>
        <w:t xml:space="preserve"> reflects </w:t>
      </w:r>
      <w:r w:rsidR="00FA5F65">
        <w:rPr>
          <w:color w:val="000000"/>
        </w:rPr>
        <w:t xml:space="preserve">that bank’s </w:t>
      </w:r>
      <w:r w:rsidR="00AC2BF9">
        <w:rPr>
          <w:color w:val="000000"/>
        </w:rPr>
        <w:t>NPA</w:t>
      </w:r>
      <w:r w:rsidR="00742847">
        <w:rPr>
          <w:color w:val="000000"/>
        </w:rPr>
        <w:t xml:space="preserve">, </w:t>
      </w:r>
      <w:r w:rsidR="00FA5F65">
        <w:rPr>
          <w:color w:val="000000"/>
        </w:rPr>
        <w:t>after merger</w:t>
      </w:r>
      <w:r w:rsidR="00742847">
        <w:rPr>
          <w:color w:val="000000"/>
        </w:rPr>
        <w:t>,</w:t>
      </w:r>
      <w:r w:rsidR="00FA5F65">
        <w:rPr>
          <w:color w:val="000000"/>
        </w:rPr>
        <w:t xml:space="preserve"> </w:t>
      </w:r>
      <w:r w:rsidR="00742847">
        <w:rPr>
          <w:color w:val="000000"/>
        </w:rPr>
        <w:t xml:space="preserve">relatively </w:t>
      </w:r>
      <w:r w:rsidR="00521EFF">
        <w:rPr>
          <w:color w:val="000000"/>
        </w:rPr>
        <w:t>reduced</w:t>
      </w:r>
      <w:r w:rsidR="00FA5F65">
        <w:rPr>
          <w:color w:val="000000"/>
        </w:rPr>
        <w:t>.</w:t>
      </w:r>
      <w:r w:rsidRPr="00D569E2">
        <w:rPr>
          <w:color w:val="000000"/>
        </w:rPr>
        <w:t xml:space="preserve"> Furthermore, the T</w:t>
      </w:r>
      <w:r w:rsidR="00412265">
        <w:rPr>
          <w:color w:val="000000"/>
        </w:rPr>
        <w:t>I</w:t>
      </w:r>
      <w:r w:rsidRPr="00D569E2">
        <w:rPr>
          <w:color w:val="000000"/>
        </w:rPr>
        <w:t xml:space="preserve"> </w:t>
      </w:r>
      <w:r w:rsidR="00412265">
        <w:rPr>
          <w:color w:val="000000"/>
        </w:rPr>
        <w:t xml:space="preserve">to </w:t>
      </w:r>
      <w:r w:rsidRPr="00D569E2">
        <w:rPr>
          <w:color w:val="000000"/>
        </w:rPr>
        <w:t>TA Ratio experienced a minor decline, from 26.25% in 2019-20 to 26.18% in 2022-23.</w:t>
      </w:r>
      <w:r w:rsidR="006620F8">
        <w:rPr>
          <w:color w:val="000000"/>
        </w:rPr>
        <w:t xml:space="preserve"> </w:t>
      </w:r>
      <w:r w:rsidR="00521EFF">
        <w:rPr>
          <w:color w:val="000000"/>
        </w:rPr>
        <w:t>T</w:t>
      </w:r>
      <w:r w:rsidR="006620F8">
        <w:rPr>
          <w:color w:val="000000"/>
        </w:rPr>
        <w:t xml:space="preserve">he average TI to TA ratio is also </w:t>
      </w:r>
      <w:r w:rsidR="00521EFF">
        <w:rPr>
          <w:color w:val="000000"/>
        </w:rPr>
        <w:t>declined from 25.9</w:t>
      </w:r>
      <w:r w:rsidR="00E40ECF">
        <w:rPr>
          <w:color w:val="000000"/>
        </w:rPr>
        <w:t>0 percent during pre-merger period to 26.83 percent during the reported post-merger period.</w:t>
      </w:r>
    </w:p>
    <w:p w14:paraId="7BFD6E6E" w14:textId="62872741" w:rsidR="003A1D1F" w:rsidRPr="008048F6" w:rsidRDefault="00B91A62" w:rsidP="008048F6">
      <w:pPr>
        <w:jc w:val="both"/>
        <w:rPr>
          <w:rFonts w:asciiTheme="majorBidi" w:hAnsiTheme="majorBidi" w:cstheme="majorBidi"/>
        </w:rPr>
      </w:pPr>
      <w:r w:rsidRPr="008048F6">
        <w:rPr>
          <w:rFonts w:asciiTheme="majorBidi" w:hAnsiTheme="majorBidi" w:cstheme="majorBidi"/>
          <w:b/>
        </w:rPr>
        <w:t>Table 3</w:t>
      </w:r>
      <w:r w:rsidR="00792594">
        <w:rPr>
          <w:rFonts w:asciiTheme="majorBidi" w:hAnsiTheme="majorBidi" w:cstheme="majorBidi"/>
          <w:b/>
        </w:rPr>
        <w:t>:</w:t>
      </w:r>
      <w:r w:rsidRPr="008048F6">
        <w:rPr>
          <w:rFonts w:asciiTheme="majorBidi" w:hAnsiTheme="majorBidi" w:cstheme="majorBidi"/>
          <w:b/>
        </w:rPr>
        <w:t xml:space="preserve"> Management Efficiency</w:t>
      </w:r>
    </w:p>
    <w:tbl>
      <w:tblPr>
        <w:tblStyle w:val="TableGrid"/>
        <w:tblW w:w="5110" w:type="pct"/>
        <w:tblLayout w:type="fixed"/>
        <w:tblLook w:val="04A0" w:firstRow="1" w:lastRow="0" w:firstColumn="1" w:lastColumn="0" w:noHBand="0" w:noVBand="1"/>
      </w:tblPr>
      <w:tblGrid>
        <w:gridCol w:w="1694"/>
        <w:gridCol w:w="847"/>
        <w:gridCol w:w="851"/>
        <w:gridCol w:w="993"/>
        <w:gridCol w:w="1136"/>
        <w:gridCol w:w="849"/>
        <w:gridCol w:w="851"/>
        <w:gridCol w:w="851"/>
        <w:gridCol w:w="1136"/>
      </w:tblGrid>
      <w:tr w:rsidR="00741C73" w:rsidRPr="008048F6" w14:paraId="6C154A42" w14:textId="77777777" w:rsidTr="00B128BD">
        <w:trPr>
          <w:trHeight w:val="300"/>
        </w:trPr>
        <w:tc>
          <w:tcPr>
            <w:tcW w:w="5000" w:type="pct"/>
            <w:gridSpan w:val="9"/>
            <w:noWrap/>
            <w:hideMark/>
          </w:tcPr>
          <w:p w14:paraId="2C203EC8" w14:textId="3E15A219" w:rsidR="00741C73" w:rsidRPr="008048F6" w:rsidRDefault="00741C73" w:rsidP="00B91A62">
            <w:pPr>
              <w:pStyle w:val="NormalWeb"/>
              <w:jc w:val="both"/>
              <w:rPr>
                <w:rFonts w:asciiTheme="majorBidi" w:hAnsiTheme="majorBidi" w:cstheme="majorBidi"/>
                <w:b/>
              </w:rPr>
            </w:pPr>
          </w:p>
        </w:tc>
      </w:tr>
      <w:tr w:rsidR="00965E8D" w:rsidRPr="008048F6" w14:paraId="405CCF46" w14:textId="77777777" w:rsidTr="00B128BD">
        <w:trPr>
          <w:trHeight w:val="300"/>
        </w:trPr>
        <w:tc>
          <w:tcPr>
            <w:tcW w:w="920" w:type="pct"/>
            <w:vMerge w:val="restart"/>
            <w:noWrap/>
            <w:vAlign w:val="center"/>
            <w:hideMark/>
          </w:tcPr>
          <w:p w14:paraId="07CEAA62" w14:textId="77777777" w:rsidR="00741C73" w:rsidRPr="008048F6" w:rsidRDefault="00741C73" w:rsidP="00B91A62">
            <w:pPr>
              <w:pStyle w:val="NormalWeb"/>
              <w:jc w:val="both"/>
              <w:rPr>
                <w:rFonts w:asciiTheme="majorBidi" w:hAnsiTheme="majorBidi" w:cstheme="majorBidi"/>
                <w:b/>
              </w:rPr>
            </w:pPr>
            <w:r w:rsidRPr="008048F6">
              <w:rPr>
                <w:rFonts w:asciiTheme="majorBidi" w:hAnsiTheme="majorBidi" w:cstheme="majorBidi"/>
                <w:b/>
              </w:rPr>
              <w:t>Particulars</w:t>
            </w:r>
          </w:p>
        </w:tc>
        <w:tc>
          <w:tcPr>
            <w:tcW w:w="2078" w:type="pct"/>
            <w:gridSpan w:val="4"/>
            <w:noWrap/>
            <w:hideMark/>
          </w:tcPr>
          <w:p w14:paraId="1E6B345D" w14:textId="19DC020E" w:rsidR="00741C73" w:rsidRPr="008048F6" w:rsidRDefault="003C0691" w:rsidP="00B91A62">
            <w:pPr>
              <w:pStyle w:val="NormalWeb"/>
              <w:jc w:val="both"/>
              <w:rPr>
                <w:rFonts w:asciiTheme="majorBidi" w:hAnsiTheme="majorBidi" w:cstheme="majorBidi"/>
                <w:b/>
              </w:rPr>
            </w:pPr>
            <w:r>
              <w:rPr>
                <w:rFonts w:asciiTheme="majorBidi" w:hAnsiTheme="majorBidi" w:cstheme="majorBidi"/>
                <w:b/>
              </w:rPr>
              <w:t xml:space="preserve">            </w:t>
            </w:r>
            <w:r w:rsidR="004A4310">
              <w:rPr>
                <w:rFonts w:asciiTheme="majorBidi" w:hAnsiTheme="majorBidi" w:cstheme="majorBidi"/>
                <w:b/>
              </w:rPr>
              <w:t xml:space="preserve">    </w:t>
            </w:r>
            <w:r>
              <w:rPr>
                <w:rFonts w:asciiTheme="majorBidi" w:hAnsiTheme="majorBidi" w:cstheme="majorBidi"/>
                <w:b/>
              </w:rPr>
              <w:t xml:space="preserve">After </w:t>
            </w:r>
            <w:r w:rsidR="00741C73" w:rsidRPr="008048F6">
              <w:rPr>
                <w:rFonts w:asciiTheme="majorBidi" w:hAnsiTheme="majorBidi" w:cstheme="majorBidi"/>
                <w:b/>
              </w:rPr>
              <w:t>Merger</w:t>
            </w:r>
          </w:p>
        </w:tc>
        <w:tc>
          <w:tcPr>
            <w:tcW w:w="2002" w:type="pct"/>
            <w:gridSpan w:val="4"/>
            <w:noWrap/>
            <w:hideMark/>
          </w:tcPr>
          <w:p w14:paraId="11C4A78F" w14:textId="42B27EC5" w:rsidR="00741C73" w:rsidRPr="008048F6" w:rsidRDefault="004A4310" w:rsidP="00B91A62">
            <w:pPr>
              <w:pStyle w:val="NormalWeb"/>
              <w:jc w:val="both"/>
              <w:rPr>
                <w:rFonts w:asciiTheme="majorBidi" w:hAnsiTheme="majorBidi" w:cstheme="majorBidi"/>
                <w:b/>
              </w:rPr>
            </w:pPr>
            <w:r>
              <w:rPr>
                <w:rFonts w:asciiTheme="majorBidi" w:hAnsiTheme="majorBidi" w:cstheme="majorBidi"/>
                <w:b/>
              </w:rPr>
              <w:t xml:space="preserve">                 Before </w:t>
            </w:r>
            <w:r w:rsidR="00741C73" w:rsidRPr="008048F6">
              <w:rPr>
                <w:rFonts w:asciiTheme="majorBidi" w:hAnsiTheme="majorBidi" w:cstheme="majorBidi"/>
                <w:b/>
              </w:rPr>
              <w:t>Merger</w:t>
            </w:r>
          </w:p>
        </w:tc>
      </w:tr>
      <w:tr w:rsidR="00B128BD" w:rsidRPr="008048F6" w14:paraId="796220FA" w14:textId="77777777" w:rsidTr="00B128BD">
        <w:trPr>
          <w:trHeight w:val="300"/>
        </w:trPr>
        <w:tc>
          <w:tcPr>
            <w:tcW w:w="920" w:type="pct"/>
            <w:vMerge/>
            <w:hideMark/>
          </w:tcPr>
          <w:p w14:paraId="43887E5B" w14:textId="77777777" w:rsidR="00741C73" w:rsidRPr="008048F6" w:rsidRDefault="00741C73" w:rsidP="00B91A62">
            <w:pPr>
              <w:pStyle w:val="NormalWeb"/>
              <w:jc w:val="both"/>
              <w:rPr>
                <w:rFonts w:asciiTheme="majorBidi" w:hAnsiTheme="majorBidi" w:cstheme="majorBidi"/>
              </w:rPr>
            </w:pPr>
          </w:p>
        </w:tc>
        <w:tc>
          <w:tcPr>
            <w:tcW w:w="460" w:type="pct"/>
            <w:noWrap/>
            <w:vAlign w:val="center"/>
            <w:hideMark/>
          </w:tcPr>
          <w:p w14:paraId="66643F4D" w14:textId="48A71D0A"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2022-</w:t>
            </w:r>
            <w:r w:rsidR="00B128BD">
              <w:rPr>
                <w:rFonts w:asciiTheme="majorBidi" w:hAnsiTheme="majorBidi" w:cstheme="majorBidi"/>
              </w:rPr>
              <w:t>20</w:t>
            </w:r>
            <w:r w:rsidRPr="008048F6">
              <w:rPr>
                <w:rFonts w:asciiTheme="majorBidi" w:hAnsiTheme="majorBidi" w:cstheme="majorBidi"/>
              </w:rPr>
              <w:t>23</w:t>
            </w:r>
          </w:p>
        </w:tc>
        <w:tc>
          <w:tcPr>
            <w:tcW w:w="462" w:type="pct"/>
            <w:noWrap/>
            <w:vAlign w:val="center"/>
            <w:hideMark/>
          </w:tcPr>
          <w:p w14:paraId="2EDD496F" w14:textId="21B97025"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2021-</w:t>
            </w:r>
            <w:r w:rsidR="00B128BD">
              <w:rPr>
                <w:rFonts w:asciiTheme="majorBidi" w:hAnsiTheme="majorBidi" w:cstheme="majorBidi"/>
              </w:rPr>
              <w:t>20</w:t>
            </w:r>
            <w:r w:rsidRPr="008048F6">
              <w:rPr>
                <w:rFonts w:asciiTheme="majorBidi" w:hAnsiTheme="majorBidi" w:cstheme="majorBidi"/>
              </w:rPr>
              <w:t>22</w:t>
            </w:r>
          </w:p>
        </w:tc>
        <w:tc>
          <w:tcPr>
            <w:tcW w:w="539" w:type="pct"/>
            <w:noWrap/>
            <w:vAlign w:val="center"/>
            <w:hideMark/>
          </w:tcPr>
          <w:p w14:paraId="7A5706B4" w14:textId="1B279E32"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2020-</w:t>
            </w:r>
            <w:r w:rsidR="00B128BD">
              <w:rPr>
                <w:rFonts w:asciiTheme="majorBidi" w:hAnsiTheme="majorBidi" w:cstheme="majorBidi"/>
              </w:rPr>
              <w:t>20</w:t>
            </w:r>
            <w:r w:rsidRPr="008048F6">
              <w:rPr>
                <w:rFonts w:asciiTheme="majorBidi" w:hAnsiTheme="majorBidi" w:cstheme="majorBidi"/>
              </w:rPr>
              <w:t>21</w:t>
            </w:r>
          </w:p>
        </w:tc>
        <w:tc>
          <w:tcPr>
            <w:tcW w:w="616" w:type="pct"/>
            <w:noWrap/>
            <w:vAlign w:val="center"/>
            <w:hideMark/>
          </w:tcPr>
          <w:p w14:paraId="77A9305B" w14:textId="6C98A3B9" w:rsidR="00741C73" w:rsidRPr="00B128BD" w:rsidRDefault="00741C73" w:rsidP="008E625F">
            <w:pPr>
              <w:pStyle w:val="NormalWeb"/>
              <w:jc w:val="center"/>
              <w:rPr>
                <w:rFonts w:asciiTheme="majorBidi" w:hAnsiTheme="majorBidi" w:cstheme="majorBidi"/>
                <w:b/>
              </w:rPr>
            </w:pPr>
            <w:r w:rsidRPr="00B128BD">
              <w:rPr>
                <w:rFonts w:asciiTheme="majorBidi" w:hAnsiTheme="majorBidi" w:cstheme="majorBidi"/>
                <w:b/>
              </w:rPr>
              <w:t>A</w:t>
            </w:r>
            <w:r w:rsidR="00B128BD" w:rsidRPr="00B128BD">
              <w:rPr>
                <w:rFonts w:asciiTheme="majorBidi" w:hAnsiTheme="majorBidi" w:cstheme="majorBidi"/>
                <w:b/>
              </w:rPr>
              <w:t>verage</w:t>
            </w:r>
          </w:p>
        </w:tc>
        <w:tc>
          <w:tcPr>
            <w:tcW w:w="461" w:type="pct"/>
            <w:noWrap/>
            <w:vAlign w:val="center"/>
            <w:hideMark/>
          </w:tcPr>
          <w:p w14:paraId="30B114C3" w14:textId="688D11B1"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2019-</w:t>
            </w:r>
            <w:r w:rsidR="00B128BD">
              <w:rPr>
                <w:rFonts w:asciiTheme="majorBidi" w:hAnsiTheme="majorBidi" w:cstheme="majorBidi"/>
              </w:rPr>
              <w:t>20</w:t>
            </w:r>
            <w:r w:rsidRPr="008048F6">
              <w:rPr>
                <w:rFonts w:asciiTheme="majorBidi" w:hAnsiTheme="majorBidi" w:cstheme="majorBidi"/>
              </w:rPr>
              <w:t>20</w:t>
            </w:r>
          </w:p>
        </w:tc>
        <w:tc>
          <w:tcPr>
            <w:tcW w:w="462" w:type="pct"/>
            <w:noWrap/>
            <w:vAlign w:val="center"/>
            <w:hideMark/>
          </w:tcPr>
          <w:p w14:paraId="14764081" w14:textId="3DC11ACD"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2018-</w:t>
            </w:r>
            <w:r w:rsidR="00B128BD">
              <w:rPr>
                <w:rFonts w:asciiTheme="majorBidi" w:hAnsiTheme="majorBidi" w:cstheme="majorBidi"/>
              </w:rPr>
              <w:t>20</w:t>
            </w:r>
            <w:r w:rsidRPr="008048F6">
              <w:rPr>
                <w:rFonts w:asciiTheme="majorBidi" w:hAnsiTheme="majorBidi" w:cstheme="majorBidi"/>
              </w:rPr>
              <w:t>19</w:t>
            </w:r>
          </w:p>
        </w:tc>
        <w:tc>
          <w:tcPr>
            <w:tcW w:w="462" w:type="pct"/>
            <w:noWrap/>
            <w:vAlign w:val="center"/>
            <w:hideMark/>
          </w:tcPr>
          <w:p w14:paraId="1795492B" w14:textId="6206DE26"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2017-</w:t>
            </w:r>
            <w:r w:rsidR="00B128BD">
              <w:rPr>
                <w:rFonts w:asciiTheme="majorBidi" w:hAnsiTheme="majorBidi" w:cstheme="majorBidi"/>
              </w:rPr>
              <w:t>20</w:t>
            </w:r>
            <w:r w:rsidRPr="008048F6">
              <w:rPr>
                <w:rFonts w:asciiTheme="majorBidi" w:hAnsiTheme="majorBidi" w:cstheme="majorBidi"/>
              </w:rPr>
              <w:t>18</w:t>
            </w:r>
          </w:p>
        </w:tc>
        <w:tc>
          <w:tcPr>
            <w:tcW w:w="617" w:type="pct"/>
            <w:noWrap/>
            <w:vAlign w:val="center"/>
            <w:hideMark/>
          </w:tcPr>
          <w:p w14:paraId="5524A1DB" w14:textId="29A17FBF" w:rsidR="00741C73" w:rsidRPr="00B128BD" w:rsidRDefault="00741C73" w:rsidP="008E625F">
            <w:pPr>
              <w:pStyle w:val="NormalWeb"/>
              <w:jc w:val="center"/>
              <w:rPr>
                <w:rFonts w:asciiTheme="majorBidi" w:hAnsiTheme="majorBidi" w:cstheme="majorBidi"/>
                <w:b/>
              </w:rPr>
            </w:pPr>
            <w:r w:rsidRPr="00B128BD">
              <w:rPr>
                <w:rFonts w:asciiTheme="majorBidi" w:hAnsiTheme="majorBidi" w:cstheme="majorBidi"/>
                <w:b/>
              </w:rPr>
              <w:t>Av</w:t>
            </w:r>
            <w:r w:rsidR="00B128BD" w:rsidRPr="00B128BD">
              <w:rPr>
                <w:rFonts w:asciiTheme="majorBidi" w:hAnsiTheme="majorBidi" w:cstheme="majorBidi"/>
                <w:b/>
              </w:rPr>
              <w:t>erage</w:t>
            </w:r>
          </w:p>
        </w:tc>
      </w:tr>
      <w:tr w:rsidR="00B128BD" w:rsidRPr="008048F6" w14:paraId="04DCFCA6" w14:textId="77777777" w:rsidTr="00B128BD">
        <w:trPr>
          <w:trHeight w:val="300"/>
        </w:trPr>
        <w:tc>
          <w:tcPr>
            <w:tcW w:w="920" w:type="pct"/>
            <w:noWrap/>
            <w:hideMark/>
          </w:tcPr>
          <w:p w14:paraId="44980F88" w14:textId="467ADC3F" w:rsidR="00741C73" w:rsidRPr="008048F6" w:rsidRDefault="00741C73" w:rsidP="00B91A62">
            <w:pPr>
              <w:pStyle w:val="NormalWeb"/>
              <w:jc w:val="both"/>
              <w:rPr>
                <w:rFonts w:asciiTheme="majorBidi" w:hAnsiTheme="majorBidi" w:cstheme="majorBidi"/>
              </w:rPr>
            </w:pPr>
            <w:proofErr w:type="spellStart"/>
            <w:r w:rsidRPr="008048F6">
              <w:rPr>
                <w:rFonts w:asciiTheme="majorBidi" w:hAnsiTheme="majorBidi" w:cstheme="majorBidi"/>
              </w:rPr>
              <w:t>TAd</w:t>
            </w:r>
            <w:proofErr w:type="spellEnd"/>
            <w:r w:rsidRPr="008048F6">
              <w:rPr>
                <w:rFonts w:asciiTheme="majorBidi" w:hAnsiTheme="majorBidi" w:cstheme="majorBidi"/>
              </w:rPr>
              <w:t xml:space="preserve"> to TD Ratio (%)</w:t>
            </w:r>
          </w:p>
        </w:tc>
        <w:tc>
          <w:tcPr>
            <w:tcW w:w="460" w:type="pct"/>
            <w:noWrap/>
            <w:vAlign w:val="center"/>
            <w:hideMark/>
          </w:tcPr>
          <w:p w14:paraId="18989FD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72.33</w:t>
            </w:r>
          </w:p>
        </w:tc>
        <w:tc>
          <w:tcPr>
            <w:tcW w:w="462" w:type="pct"/>
            <w:noWrap/>
            <w:vAlign w:val="center"/>
            <w:hideMark/>
          </w:tcPr>
          <w:p w14:paraId="3239916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65.56</w:t>
            </w:r>
          </w:p>
        </w:tc>
        <w:tc>
          <w:tcPr>
            <w:tcW w:w="539" w:type="pct"/>
            <w:noWrap/>
            <w:vAlign w:val="center"/>
            <w:hideMark/>
          </w:tcPr>
          <w:p w14:paraId="658B745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67.4</w:t>
            </w:r>
          </w:p>
        </w:tc>
        <w:tc>
          <w:tcPr>
            <w:tcW w:w="616" w:type="pct"/>
            <w:noWrap/>
            <w:vAlign w:val="center"/>
            <w:hideMark/>
          </w:tcPr>
          <w:p w14:paraId="31FAB3E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68.43</w:t>
            </w:r>
          </w:p>
        </w:tc>
        <w:tc>
          <w:tcPr>
            <w:tcW w:w="461" w:type="pct"/>
            <w:noWrap/>
            <w:vAlign w:val="center"/>
            <w:hideMark/>
          </w:tcPr>
          <w:p w14:paraId="79D46248"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76.04</w:t>
            </w:r>
          </w:p>
        </w:tc>
        <w:tc>
          <w:tcPr>
            <w:tcW w:w="462" w:type="pct"/>
            <w:noWrap/>
            <w:vAlign w:val="center"/>
            <w:hideMark/>
          </w:tcPr>
          <w:p w14:paraId="63CB5B4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74.88</w:t>
            </w:r>
          </w:p>
        </w:tc>
        <w:tc>
          <w:tcPr>
            <w:tcW w:w="462" w:type="pct"/>
            <w:noWrap/>
            <w:vAlign w:val="center"/>
            <w:hideMark/>
          </w:tcPr>
          <w:p w14:paraId="0B7A1EE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75.17</w:t>
            </w:r>
          </w:p>
        </w:tc>
        <w:tc>
          <w:tcPr>
            <w:tcW w:w="617" w:type="pct"/>
            <w:noWrap/>
            <w:vAlign w:val="center"/>
            <w:hideMark/>
          </w:tcPr>
          <w:p w14:paraId="66FFF814" w14:textId="6AC17A35"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75.36</w:t>
            </w:r>
          </w:p>
        </w:tc>
      </w:tr>
      <w:tr w:rsidR="00B128BD" w:rsidRPr="008048F6" w14:paraId="7A9A0E81" w14:textId="77777777" w:rsidTr="00B128BD">
        <w:trPr>
          <w:trHeight w:val="300"/>
        </w:trPr>
        <w:tc>
          <w:tcPr>
            <w:tcW w:w="920" w:type="pct"/>
            <w:noWrap/>
            <w:hideMark/>
          </w:tcPr>
          <w:p w14:paraId="2CD51691" w14:textId="1DB47AA6" w:rsidR="00741C73" w:rsidRPr="008048F6" w:rsidRDefault="00741C73" w:rsidP="00B91A62">
            <w:pPr>
              <w:pStyle w:val="NormalWeb"/>
              <w:jc w:val="both"/>
              <w:rPr>
                <w:rFonts w:asciiTheme="majorBidi" w:hAnsiTheme="majorBidi" w:cstheme="majorBidi"/>
              </w:rPr>
            </w:pPr>
            <w:r w:rsidRPr="008048F6">
              <w:rPr>
                <w:rFonts w:asciiTheme="majorBidi" w:hAnsiTheme="majorBidi" w:cstheme="majorBidi"/>
              </w:rPr>
              <w:t>EPE (Rs.)</w:t>
            </w:r>
          </w:p>
        </w:tc>
        <w:tc>
          <w:tcPr>
            <w:tcW w:w="460" w:type="pct"/>
            <w:noWrap/>
            <w:vAlign w:val="center"/>
            <w:hideMark/>
          </w:tcPr>
          <w:p w14:paraId="05CF7D3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1.3</w:t>
            </w:r>
          </w:p>
        </w:tc>
        <w:tc>
          <w:tcPr>
            <w:tcW w:w="462" w:type="pct"/>
            <w:noWrap/>
            <w:vAlign w:val="center"/>
            <w:hideMark/>
          </w:tcPr>
          <w:p w14:paraId="0404485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w:t>
            </w:r>
          </w:p>
        </w:tc>
        <w:tc>
          <w:tcPr>
            <w:tcW w:w="539" w:type="pct"/>
            <w:noWrap/>
            <w:vAlign w:val="center"/>
            <w:hideMark/>
          </w:tcPr>
          <w:p w14:paraId="3358919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0.7</w:t>
            </w:r>
          </w:p>
        </w:tc>
        <w:tc>
          <w:tcPr>
            <w:tcW w:w="616" w:type="pct"/>
            <w:noWrap/>
            <w:vAlign w:val="center"/>
            <w:hideMark/>
          </w:tcPr>
          <w:p w14:paraId="67D53E9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w:t>
            </w:r>
          </w:p>
        </w:tc>
        <w:tc>
          <w:tcPr>
            <w:tcW w:w="461" w:type="pct"/>
            <w:noWrap/>
            <w:vAlign w:val="center"/>
            <w:hideMark/>
          </w:tcPr>
          <w:p w14:paraId="7ACF1BA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0.4</w:t>
            </w:r>
          </w:p>
        </w:tc>
        <w:tc>
          <w:tcPr>
            <w:tcW w:w="462" w:type="pct"/>
            <w:noWrap/>
            <w:vAlign w:val="center"/>
            <w:hideMark/>
          </w:tcPr>
          <w:p w14:paraId="76654FC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0.2</w:t>
            </w:r>
          </w:p>
        </w:tc>
        <w:tc>
          <w:tcPr>
            <w:tcW w:w="462" w:type="pct"/>
            <w:noWrap/>
            <w:vAlign w:val="center"/>
            <w:hideMark/>
          </w:tcPr>
          <w:p w14:paraId="27B26B6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0.6</w:t>
            </w:r>
          </w:p>
        </w:tc>
        <w:tc>
          <w:tcPr>
            <w:tcW w:w="617" w:type="pct"/>
            <w:noWrap/>
            <w:vAlign w:val="center"/>
            <w:hideMark/>
          </w:tcPr>
          <w:p w14:paraId="02CFD7E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0.4</w:t>
            </w:r>
          </w:p>
        </w:tc>
      </w:tr>
      <w:tr w:rsidR="00B128BD" w:rsidRPr="008048F6" w14:paraId="3CCCFDEB" w14:textId="77777777" w:rsidTr="00B128BD">
        <w:trPr>
          <w:trHeight w:val="300"/>
        </w:trPr>
        <w:tc>
          <w:tcPr>
            <w:tcW w:w="920" w:type="pct"/>
            <w:noWrap/>
            <w:hideMark/>
          </w:tcPr>
          <w:p w14:paraId="032B726A" w14:textId="257FCCE9" w:rsidR="00741C73" w:rsidRPr="008048F6" w:rsidRDefault="00741C73" w:rsidP="00B91A62">
            <w:pPr>
              <w:pStyle w:val="NormalWeb"/>
              <w:jc w:val="both"/>
              <w:rPr>
                <w:rFonts w:asciiTheme="majorBidi" w:hAnsiTheme="majorBidi" w:cstheme="majorBidi"/>
              </w:rPr>
            </w:pPr>
            <w:r w:rsidRPr="008048F6">
              <w:rPr>
                <w:rFonts w:asciiTheme="majorBidi" w:hAnsiTheme="majorBidi" w:cstheme="majorBidi"/>
              </w:rPr>
              <w:t>BPE (Rs</w:t>
            </w:r>
            <w:r w:rsidR="008C3D17" w:rsidRPr="008048F6">
              <w:rPr>
                <w:rFonts w:asciiTheme="majorBidi" w:hAnsiTheme="majorBidi" w:cstheme="majorBidi"/>
              </w:rPr>
              <w:t>.</w:t>
            </w:r>
            <w:r w:rsidRPr="008048F6">
              <w:rPr>
                <w:rFonts w:asciiTheme="majorBidi" w:hAnsiTheme="majorBidi" w:cstheme="majorBidi"/>
              </w:rPr>
              <w:t>)</w:t>
            </w:r>
          </w:p>
        </w:tc>
        <w:tc>
          <w:tcPr>
            <w:tcW w:w="460" w:type="pct"/>
            <w:noWrap/>
            <w:vAlign w:val="center"/>
            <w:hideMark/>
          </w:tcPr>
          <w:p w14:paraId="34D1072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266.1</w:t>
            </w:r>
          </w:p>
        </w:tc>
        <w:tc>
          <w:tcPr>
            <w:tcW w:w="462" w:type="pct"/>
            <w:noWrap/>
            <w:vAlign w:val="center"/>
            <w:hideMark/>
          </w:tcPr>
          <w:p w14:paraId="520D2BCE"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262</w:t>
            </w:r>
          </w:p>
        </w:tc>
        <w:tc>
          <w:tcPr>
            <w:tcW w:w="539" w:type="pct"/>
            <w:noWrap/>
            <w:vAlign w:val="center"/>
            <w:hideMark/>
          </w:tcPr>
          <w:p w14:paraId="5E56623D" w14:textId="3E077148"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w:t>
            </w:r>
            <w:r w:rsidR="0023666A" w:rsidRPr="008048F6">
              <w:rPr>
                <w:rFonts w:asciiTheme="majorBidi" w:hAnsiTheme="majorBidi" w:cstheme="majorBidi"/>
              </w:rPr>
              <w:t>21.7</w:t>
            </w:r>
          </w:p>
        </w:tc>
        <w:tc>
          <w:tcPr>
            <w:tcW w:w="616" w:type="pct"/>
            <w:noWrap/>
            <w:vAlign w:val="center"/>
            <w:hideMark/>
          </w:tcPr>
          <w:p w14:paraId="3303A749" w14:textId="4171271F" w:rsidR="00741C73" w:rsidRPr="008048F6" w:rsidRDefault="0023666A" w:rsidP="008E625F">
            <w:pPr>
              <w:pStyle w:val="NormalWeb"/>
              <w:jc w:val="center"/>
              <w:rPr>
                <w:rFonts w:asciiTheme="majorBidi" w:hAnsiTheme="majorBidi" w:cstheme="majorBidi"/>
              </w:rPr>
            </w:pPr>
            <w:r w:rsidRPr="008048F6">
              <w:rPr>
                <w:rFonts w:asciiTheme="majorBidi" w:hAnsiTheme="majorBidi" w:cstheme="majorBidi"/>
              </w:rPr>
              <w:t>249.93</w:t>
            </w:r>
          </w:p>
        </w:tc>
        <w:tc>
          <w:tcPr>
            <w:tcW w:w="461" w:type="pct"/>
            <w:noWrap/>
            <w:vAlign w:val="center"/>
            <w:hideMark/>
          </w:tcPr>
          <w:p w14:paraId="2E356F4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246.2</w:t>
            </w:r>
          </w:p>
        </w:tc>
        <w:tc>
          <w:tcPr>
            <w:tcW w:w="462" w:type="pct"/>
            <w:noWrap/>
            <w:vAlign w:val="center"/>
            <w:hideMark/>
          </w:tcPr>
          <w:p w14:paraId="52FB469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217.4</w:t>
            </w:r>
          </w:p>
        </w:tc>
        <w:tc>
          <w:tcPr>
            <w:tcW w:w="462" w:type="pct"/>
            <w:noWrap/>
            <w:vAlign w:val="center"/>
            <w:hideMark/>
          </w:tcPr>
          <w:p w14:paraId="0CCF1CF8"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185.6</w:t>
            </w:r>
          </w:p>
        </w:tc>
        <w:tc>
          <w:tcPr>
            <w:tcW w:w="617" w:type="pct"/>
            <w:noWrap/>
            <w:vAlign w:val="center"/>
            <w:hideMark/>
          </w:tcPr>
          <w:p w14:paraId="009705FA"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216.4</w:t>
            </w:r>
          </w:p>
        </w:tc>
      </w:tr>
    </w:tbl>
    <w:p w14:paraId="5ED2B1CB" w14:textId="4A7511CA" w:rsidR="005D5ECF" w:rsidRPr="008048F6" w:rsidRDefault="00DC2CED" w:rsidP="00DC2CED">
      <w:pPr>
        <w:spacing w:after="240"/>
        <w:jc w:val="both"/>
        <w:rPr>
          <w:rFonts w:asciiTheme="majorBidi" w:hAnsiTheme="majorBidi" w:cstheme="majorBidi"/>
          <w:color w:val="000000"/>
        </w:rPr>
      </w:pPr>
      <w:r w:rsidRPr="00D92A5F">
        <w:rPr>
          <w:rFonts w:asciiTheme="majorBidi" w:hAnsiTheme="majorBidi" w:cstheme="majorBidi"/>
          <w:i/>
          <w:iCs/>
        </w:rPr>
        <w:t>Source: Authors’ Calculation</w:t>
      </w:r>
    </w:p>
    <w:p w14:paraId="7545CE96" w14:textId="3F16CD6F" w:rsidR="005D5ECF" w:rsidRPr="008048F6" w:rsidRDefault="005D5ECF" w:rsidP="008E625F">
      <w:pPr>
        <w:spacing w:line="360" w:lineRule="auto"/>
        <w:jc w:val="both"/>
        <w:rPr>
          <w:rFonts w:asciiTheme="majorBidi" w:hAnsiTheme="majorBidi" w:cstheme="majorBidi"/>
        </w:rPr>
      </w:pPr>
      <w:r w:rsidRPr="008048F6">
        <w:rPr>
          <w:rFonts w:asciiTheme="majorBidi" w:hAnsiTheme="majorBidi" w:cstheme="majorBidi"/>
          <w:color w:val="000000"/>
        </w:rPr>
        <w:t xml:space="preserve">Table 3 illustrates the Management Efficiency of the Indian Bank for the periods before </w:t>
      </w:r>
      <w:r w:rsidR="00EE06F7">
        <w:rPr>
          <w:rFonts w:asciiTheme="majorBidi" w:hAnsiTheme="majorBidi" w:cstheme="majorBidi"/>
          <w:color w:val="000000"/>
        </w:rPr>
        <w:t xml:space="preserve">the merger </w:t>
      </w:r>
      <w:r w:rsidRPr="008048F6">
        <w:rPr>
          <w:rFonts w:asciiTheme="majorBidi" w:hAnsiTheme="majorBidi" w:cstheme="majorBidi"/>
          <w:color w:val="000000"/>
        </w:rPr>
        <w:t>(2017-2020) and after the merger (2021-2023). Three indicators are used to assess management efficiency:</w:t>
      </w:r>
      <w:r w:rsidR="007D1FE4">
        <w:rPr>
          <w:rFonts w:asciiTheme="majorBidi" w:hAnsiTheme="majorBidi" w:cstheme="majorBidi"/>
          <w:color w:val="000000"/>
        </w:rPr>
        <w:t xml:space="preserve"> </w:t>
      </w:r>
      <w:proofErr w:type="spellStart"/>
      <w:r w:rsidR="007D1FE4">
        <w:rPr>
          <w:rFonts w:asciiTheme="majorBidi" w:hAnsiTheme="majorBidi" w:cstheme="majorBidi"/>
          <w:color w:val="000000"/>
        </w:rPr>
        <w:t>TAd</w:t>
      </w:r>
      <w:proofErr w:type="spellEnd"/>
      <w:r w:rsidR="007D1FE4">
        <w:rPr>
          <w:rFonts w:asciiTheme="majorBidi" w:hAnsiTheme="majorBidi" w:cstheme="majorBidi"/>
          <w:color w:val="000000"/>
        </w:rPr>
        <w:t xml:space="preserve"> to TD, EPE, and BPE</w:t>
      </w:r>
      <w:r w:rsidRPr="008048F6">
        <w:rPr>
          <w:rFonts w:asciiTheme="majorBidi" w:hAnsiTheme="majorBidi" w:cstheme="majorBidi"/>
          <w:color w:val="000000"/>
        </w:rPr>
        <w:t xml:space="preserve">. The </w:t>
      </w:r>
      <w:proofErr w:type="spellStart"/>
      <w:r w:rsidRPr="008048F6">
        <w:rPr>
          <w:rFonts w:asciiTheme="majorBidi" w:hAnsiTheme="majorBidi" w:cstheme="majorBidi"/>
          <w:color w:val="000000"/>
        </w:rPr>
        <w:t>TAd</w:t>
      </w:r>
      <w:proofErr w:type="spellEnd"/>
      <w:r w:rsidRPr="008048F6">
        <w:rPr>
          <w:rFonts w:asciiTheme="majorBidi" w:hAnsiTheme="majorBidi" w:cstheme="majorBidi"/>
          <w:color w:val="000000"/>
        </w:rPr>
        <w:t xml:space="preserve"> to TD ratio decreased from 76.04% in 2019-</w:t>
      </w:r>
      <w:r w:rsidR="00B128BD">
        <w:rPr>
          <w:rFonts w:asciiTheme="majorBidi" w:hAnsiTheme="majorBidi" w:cstheme="majorBidi"/>
          <w:color w:val="000000"/>
        </w:rPr>
        <w:t>20</w:t>
      </w:r>
      <w:r w:rsidRPr="008048F6">
        <w:rPr>
          <w:rFonts w:asciiTheme="majorBidi" w:hAnsiTheme="majorBidi" w:cstheme="majorBidi"/>
          <w:color w:val="000000"/>
        </w:rPr>
        <w:t>20 to 72.33% in 2022-</w:t>
      </w:r>
      <w:r w:rsidR="00B128BD">
        <w:rPr>
          <w:rFonts w:asciiTheme="majorBidi" w:hAnsiTheme="majorBidi" w:cstheme="majorBidi"/>
          <w:color w:val="000000"/>
        </w:rPr>
        <w:t>20</w:t>
      </w:r>
      <w:r w:rsidRPr="008048F6">
        <w:rPr>
          <w:rFonts w:asciiTheme="majorBidi" w:hAnsiTheme="majorBidi" w:cstheme="majorBidi"/>
          <w:color w:val="000000"/>
        </w:rPr>
        <w:t>23. However, the merger had a positive effect on EPE, which rose from Rs.0.4 in 2019-</w:t>
      </w:r>
      <w:r w:rsidR="00B128BD">
        <w:rPr>
          <w:rFonts w:asciiTheme="majorBidi" w:hAnsiTheme="majorBidi" w:cstheme="majorBidi"/>
          <w:color w:val="000000"/>
        </w:rPr>
        <w:t>20</w:t>
      </w:r>
      <w:r w:rsidRPr="008048F6">
        <w:rPr>
          <w:rFonts w:asciiTheme="majorBidi" w:hAnsiTheme="majorBidi" w:cstheme="majorBidi"/>
          <w:color w:val="000000"/>
        </w:rPr>
        <w:t>20 to Rs.1.3 in 2022-</w:t>
      </w:r>
      <w:r w:rsidR="00B128BD">
        <w:rPr>
          <w:rFonts w:asciiTheme="majorBidi" w:hAnsiTheme="majorBidi" w:cstheme="majorBidi"/>
          <w:color w:val="000000"/>
        </w:rPr>
        <w:t>20</w:t>
      </w:r>
      <w:r w:rsidRPr="008048F6">
        <w:rPr>
          <w:rFonts w:asciiTheme="majorBidi" w:hAnsiTheme="majorBidi" w:cstheme="majorBidi"/>
          <w:color w:val="000000"/>
        </w:rPr>
        <w:t>23, as well as on BPE, which increased from Rs.246.2 i</w:t>
      </w:r>
      <w:r w:rsidR="008C367E" w:rsidRPr="008048F6">
        <w:rPr>
          <w:rFonts w:asciiTheme="majorBidi" w:hAnsiTheme="majorBidi" w:cstheme="majorBidi"/>
          <w:color w:val="000000"/>
        </w:rPr>
        <w:t xml:space="preserve">n </w:t>
      </w:r>
      <w:r w:rsidRPr="008048F6">
        <w:rPr>
          <w:rFonts w:asciiTheme="majorBidi" w:hAnsiTheme="majorBidi" w:cstheme="majorBidi"/>
          <w:color w:val="000000"/>
        </w:rPr>
        <w:t>2019-</w:t>
      </w:r>
      <w:r w:rsidR="00B128BD">
        <w:rPr>
          <w:rFonts w:asciiTheme="majorBidi" w:hAnsiTheme="majorBidi" w:cstheme="majorBidi"/>
          <w:color w:val="000000"/>
        </w:rPr>
        <w:t>20</w:t>
      </w:r>
      <w:r w:rsidRPr="008048F6">
        <w:rPr>
          <w:rFonts w:asciiTheme="majorBidi" w:hAnsiTheme="majorBidi" w:cstheme="majorBidi"/>
          <w:color w:val="000000"/>
        </w:rPr>
        <w:t>20 to Rs.266.1 in 2022-</w:t>
      </w:r>
      <w:r w:rsidR="00B128BD">
        <w:rPr>
          <w:rFonts w:asciiTheme="majorBidi" w:hAnsiTheme="majorBidi" w:cstheme="majorBidi"/>
          <w:color w:val="000000"/>
        </w:rPr>
        <w:t>20</w:t>
      </w:r>
      <w:r w:rsidRPr="008048F6">
        <w:rPr>
          <w:rFonts w:asciiTheme="majorBidi" w:hAnsiTheme="majorBidi" w:cstheme="majorBidi"/>
          <w:color w:val="000000"/>
        </w:rPr>
        <w:t>23.</w:t>
      </w:r>
    </w:p>
    <w:p w14:paraId="45A09493" w14:textId="75F9C66C" w:rsidR="003A1D1F" w:rsidRPr="008048F6" w:rsidRDefault="00965E8D" w:rsidP="008048F6">
      <w:pPr>
        <w:pStyle w:val="NormalWeb"/>
        <w:jc w:val="both"/>
        <w:rPr>
          <w:rFonts w:asciiTheme="majorBidi" w:hAnsiTheme="majorBidi" w:cstheme="majorBidi"/>
        </w:rPr>
      </w:pPr>
      <w:r w:rsidRPr="008048F6">
        <w:rPr>
          <w:rFonts w:asciiTheme="majorBidi" w:hAnsiTheme="majorBidi" w:cstheme="majorBidi"/>
          <w:b/>
        </w:rPr>
        <w:t>Table 4</w:t>
      </w:r>
      <w:r w:rsidR="00792594">
        <w:rPr>
          <w:rFonts w:asciiTheme="majorBidi" w:hAnsiTheme="majorBidi" w:cstheme="majorBidi"/>
          <w:b/>
        </w:rPr>
        <w:t>:</w:t>
      </w:r>
      <w:r w:rsidRPr="008048F6">
        <w:rPr>
          <w:rFonts w:asciiTheme="majorBidi" w:hAnsiTheme="majorBidi" w:cstheme="majorBidi"/>
          <w:b/>
        </w:rPr>
        <w:t xml:space="preserve"> Earning Efficiency</w:t>
      </w:r>
    </w:p>
    <w:tbl>
      <w:tblPr>
        <w:tblStyle w:val="TableGrid"/>
        <w:tblW w:w="5425" w:type="pct"/>
        <w:tblLayout w:type="fixed"/>
        <w:tblLook w:val="04A0" w:firstRow="1" w:lastRow="0" w:firstColumn="1" w:lastColumn="0" w:noHBand="0" w:noVBand="1"/>
      </w:tblPr>
      <w:tblGrid>
        <w:gridCol w:w="1414"/>
        <w:gridCol w:w="993"/>
        <w:gridCol w:w="991"/>
        <w:gridCol w:w="993"/>
        <w:gridCol w:w="1247"/>
        <w:gridCol w:w="1019"/>
        <w:gridCol w:w="1021"/>
        <w:gridCol w:w="1021"/>
        <w:gridCol w:w="1077"/>
      </w:tblGrid>
      <w:tr w:rsidR="00284368" w:rsidRPr="008048F6" w14:paraId="59A5E9E0" w14:textId="77777777" w:rsidTr="00B128BD">
        <w:trPr>
          <w:trHeight w:val="300"/>
        </w:trPr>
        <w:tc>
          <w:tcPr>
            <w:tcW w:w="723" w:type="pct"/>
            <w:vMerge w:val="restart"/>
            <w:noWrap/>
            <w:vAlign w:val="center"/>
            <w:hideMark/>
          </w:tcPr>
          <w:p w14:paraId="5E7812D0" w14:textId="77777777" w:rsidR="00741C73" w:rsidRPr="008048F6" w:rsidRDefault="00741C73" w:rsidP="008048F6">
            <w:pPr>
              <w:pStyle w:val="NormalWeb"/>
              <w:jc w:val="both"/>
              <w:rPr>
                <w:rFonts w:asciiTheme="majorBidi" w:hAnsiTheme="majorBidi" w:cstheme="majorBidi"/>
                <w:b/>
              </w:rPr>
            </w:pPr>
            <w:r w:rsidRPr="008048F6">
              <w:rPr>
                <w:rFonts w:asciiTheme="majorBidi" w:hAnsiTheme="majorBidi" w:cstheme="majorBidi"/>
                <w:b/>
              </w:rPr>
              <w:t>Particulars</w:t>
            </w:r>
          </w:p>
        </w:tc>
        <w:tc>
          <w:tcPr>
            <w:tcW w:w="2160" w:type="pct"/>
            <w:gridSpan w:val="4"/>
            <w:noWrap/>
            <w:vAlign w:val="center"/>
            <w:hideMark/>
          </w:tcPr>
          <w:p w14:paraId="3F769E63" w14:textId="0CFD02BE" w:rsidR="00741C73" w:rsidRPr="008048F6" w:rsidRDefault="003C0691" w:rsidP="008E625F">
            <w:pPr>
              <w:pStyle w:val="NormalWeb"/>
              <w:jc w:val="center"/>
              <w:rPr>
                <w:rFonts w:asciiTheme="majorBidi" w:hAnsiTheme="majorBidi" w:cstheme="majorBidi"/>
                <w:b/>
              </w:rPr>
            </w:pPr>
            <w:r>
              <w:rPr>
                <w:rFonts w:asciiTheme="majorBidi" w:hAnsiTheme="majorBidi" w:cstheme="majorBidi"/>
                <w:b/>
              </w:rPr>
              <w:t xml:space="preserve">After </w:t>
            </w:r>
            <w:r w:rsidR="00741C73" w:rsidRPr="008048F6">
              <w:rPr>
                <w:rFonts w:asciiTheme="majorBidi" w:hAnsiTheme="majorBidi" w:cstheme="majorBidi"/>
                <w:b/>
              </w:rPr>
              <w:t>Merger</w:t>
            </w:r>
          </w:p>
        </w:tc>
        <w:tc>
          <w:tcPr>
            <w:tcW w:w="2117" w:type="pct"/>
            <w:gridSpan w:val="4"/>
            <w:noWrap/>
            <w:vAlign w:val="center"/>
            <w:hideMark/>
          </w:tcPr>
          <w:p w14:paraId="44A71A3A" w14:textId="6808C4C1" w:rsidR="00741C73" w:rsidRPr="008048F6" w:rsidRDefault="003C0691" w:rsidP="008E625F">
            <w:pPr>
              <w:pStyle w:val="NormalWeb"/>
              <w:jc w:val="center"/>
              <w:rPr>
                <w:rFonts w:asciiTheme="majorBidi" w:hAnsiTheme="majorBidi" w:cstheme="majorBidi"/>
                <w:b/>
              </w:rPr>
            </w:pPr>
            <w:r>
              <w:rPr>
                <w:rFonts w:asciiTheme="majorBidi" w:hAnsiTheme="majorBidi" w:cstheme="majorBidi"/>
                <w:b/>
              </w:rPr>
              <w:t xml:space="preserve">Before </w:t>
            </w:r>
            <w:r w:rsidR="00741C73" w:rsidRPr="008048F6">
              <w:rPr>
                <w:rFonts w:asciiTheme="majorBidi" w:hAnsiTheme="majorBidi" w:cstheme="majorBidi"/>
                <w:b/>
              </w:rPr>
              <w:t>Merger</w:t>
            </w:r>
          </w:p>
        </w:tc>
      </w:tr>
      <w:tr w:rsidR="008E625F" w:rsidRPr="008048F6" w14:paraId="087B320D" w14:textId="77777777" w:rsidTr="00B128BD">
        <w:trPr>
          <w:trHeight w:val="300"/>
        </w:trPr>
        <w:tc>
          <w:tcPr>
            <w:tcW w:w="723" w:type="pct"/>
            <w:vMerge/>
            <w:hideMark/>
          </w:tcPr>
          <w:p w14:paraId="4D0A292A" w14:textId="77777777" w:rsidR="00741C73" w:rsidRPr="008048F6" w:rsidRDefault="00741C73" w:rsidP="008048F6">
            <w:pPr>
              <w:pStyle w:val="NormalWeb"/>
              <w:jc w:val="both"/>
              <w:rPr>
                <w:rFonts w:asciiTheme="majorBidi" w:hAnsiTheme="majorBidi" w:cstheme="majorBidi"/>
              </w:rPr>
            </w:pPr>
          </w:p>
        </w:tc>
        <w:tc>
          <w:tcPr>
            <w:tcW w:w="508" w:type="pct"/>
            <w:noWrap/>
            <w:vAlign w:val="center"/>
            <w:hideMark/>
          </w:tcPr>
          <w:p w14:paraId="19DA1497" w14:textId="003CD0A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2022-</w:t>
            </w:r>
            <w:r w:rsidR="00B128BD">
              <w:rPr>
                <w:rFonts w:asciiTheme="majorBidi" w:hAnsiTheme="majorBidi" w:cstheme="majorBidi"/>
              </w:rPr>
              <w:t>20</w:t>
            </w:r>
            <w:r w:rsidRPr="008048F6">
              <w:rPr>
                <w:rFonts w:asciiTheme="majorBidi" w:hAnsiTheme="majorBidi" w:cstheme="majorBidi"/>
              </w:rPr>
              <w:t>23</w:t>
            </w:r>
          </w:p>
        </w:tc>
        <w:tc>
          <w:tcPr>
            <w:tcW w:w="507" w:type="pct"/>
            <w:noWrap/>
            <w:vAlign w:val="center"/>
            <w:hideMark/>
          </w:tcPr>
          <w:p w14:paraId="5E54A0A6" w14:textId="5376645C"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2021-</w:t>
            </w:r>
            <w:r w:rsidR="00B128BD">
              <w:rPr>
                <w:rFonts w:asciiTheme="majorBidi" w:hAnsiTheme="majorBidi" w:cstheme="majorBidi"/>
              </w:rPr>
              <w:t>20</w:t>
            </w:r>
            <w:r w:rsidRPr="008048F6">
              <w:rPr>
                <w:rFonts w:asciiTheme="majorBidi" w:hAnsiTheme="majorBidi" w:cstheme="majorBidi"/>
              </w:rPr>
              <w:t>22</w:t>
            </w:r>
          </w:p>
        </w:tc>
        <w:tc>
          <w:tcPr>
            <w:tcW w:w="508" w:type="pct"/>
            <w:noWrap/>
            <w:vAlign w:val="center"/>
            <w:hideMark/>
          </w:tcPr>
          <w:p w14:paraId="6FA3D831" w14:textId="75794318"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2020-</w:t>
            </w:r>
            <w:r w:rsidR="00B128BD">
              <w:rPr>
                <w:rFonts w:asciiTheme="majorBidi" w:hAnsiTheme="majorBidi" w:cstheme="majorBidi"/>
              </w:rPr>
              <w:t>20</w:t>
            </w:r>
            <w:r w:rsidRPr="008048F6">
              <w:rPr>
                <w:rFonts w:asciiTheme="majorBidi" w:hAnsiTheme="majorBidi" w:cstheme="majorBidi"/>
              </w:rPr>
              <w:t>21</w:t>
            </w:r>
          </w:p>
        </w:tc>
        <w:tc>
          <w:tcPr>
            <w:tcW w:w="638" w:type="pct"/>
            <w:noWrap/>
            <w:vAlign w:val="center"/>
            <w:hideMark/>
          </w:tcPr>
          <w:p w14:paraId="7BA9D279" w14:textId="0994B73A" w:rsidR="00741C73" w:rsidRPr="00B128BD" w:rsidRDefault="00741C73" w:rsidP="008E625F">
            <w:pPr>
              <w:pStyle w:val="NormalWeb"/>
              <w:jc w:val="center"/>
              <w:rPr>
                <w:rFonts w:asciiTheme="majorBidi" w:hAnsiTheme="majorBidi" w:cstheme="majorBidi"/>
                <w:b/>
              </w:rPr>
            </w:pPr>
            <w:r w:rsidRPr="00B128BD">
              <w:rPr>
                <w:rFonts w:asciiTheme="majorBidi" w:hAnsiTheme="majorBidi" w:cstheme="majorBidi"/>
                <w:b/>
              </w:rPr>
              <w:t>Av</w:t>
            </w:r>
            <w:r w:rsidR="00B128BD" w:rsidRPr="00B128BD">
              <w:rPr>
                <w:rFonts w:asciiTheme="majorBidi" w:hAnsiTheme="majorBidi" w:cstheme="majorBidi"/>
                <w:b/>
              </w:rPr>
              <w:t>erage</w:t>
            </w:r>
          </w:p>
        </w:tc>
        <w:tc>
          <w:tcPr>
            <w:tcW w:w="521" w:type="pct"/>
            <w:noWrap/>
            <w:vAlign w:val="center"/>
            <w:hideMark/>
          </w:tcPr>
          <w:p w14:paraId="3CFC63C5" w14:textId="6F1EC533"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2019-</w:t>
            </w:r>
            <w:r w:rsidR="00B128BD">
              <w:rPr>
                <w:rFonts w:asciiTheme="majorBidi" w:hAnsiTheme="majorBidi" w:cstheme="majorBidi"/>
              </w:rPr>
              <w:t>20</w:t>
            </w:r>
            <w:r w:rsidRPr="008048F6">
              <w:rPr>
                <w:rFonts w:asciiTheme="majorBidi" w:hAnsiTheme="majorBidi" w:cstheme="majorBidi"/>
              </w:rPr>
              <w:t>20</w:t>
            </w:r>
          </w:p>
        </w:tc>
        <w:tc>
          <w:tcPr>
            <w:tcW w:w="522" w:type="pct"/>
            <w:noWrap/>
            <w:vAlign w:val="center"/>
            <w:hideMark/>
          </w:tcPr>
          <w:p w14:paraId="398C4120" w14:textId="71A02F70"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2018-</w:t>
            </w:r>
            <w:r w:rsidR="00B128BD">
              <w:rPr>
                <w:rFonts w:asciiTheme="majorBidi" w:hAnsiTheme="majorBidi" w:cstheme="majorBidi"/>
              </w:rPr>
              <w:t>20</w:t>
            </w:r>
            <w:r w:rsidRPr="008048F6">
              <w:rPr>
                <w:rFonts w:asciiTheme="majorBidi" w:hAnsiTheme="majorBidi" w:cstheme="majorBidi"/>
              </w:rPr>
              <w:t>19</w:t>
            </w:r>
          </w:p>
        </w:tc>
        <w:tc>
          <w:tcPr>
            <w:tcW w:w="522" w:type="pct"/>
            <w:noWrap/>
            <w:vAlign w:val="center"/>
            <w:hideMark/>
          </w:tcPr>
          <w:p w14:paraId="54AB4A2E" w14:textId="6B98A69B"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2017-</w:t>
            </w:r>
            <w:r w:rsidR="00B128BD">
              <w:rPr>
                <w:rFonts w:asciiTheme="majorBidi" w:hAnsiTheme="majorBidi" w:cstheme="majorBidi"/>
              </w:rPr>
              <w:t>20</w:t>
            </w:r>
            <w:r w:rsidRPr="008048F6">
              <w:rPr>
                <w:rFonts w:asciiTheme="majorBidi" w:hAnsiTheme="majorBidi" w:cstheme="majorBidi"/>
              </w:rPr>
              <w:t>18</w:t>
            </w:r>
          </w:p>
        </w:tc>
        <w:tc>
          <w:tcPr>
            <w:tcW w:w="553" w:type="pct"/>
            <w:noWrap/>
            <w:vAlign w:val="center"/>
            <w:hideMark/>
          </w:tcPr>
          <w:p w14:paraId="4A49B395" w14:textId="3802BA7B" w:rsidR="00741C73" w:rsidRPr="00B128BD" w:rsidRDefault="008E625F" w:rsidP="008E625F">
            <w:pPr>
              <w:pStyle w:val="NormalWeb"/>
              <w:jc w:val="center"/>
              <w:rPr>
                <w:rFonts w:asciiTheme="majorBidi" w:hAnsiTheme="majorBidi" w:cstheme="majorBidi"/>
                <w:b/>
              </w:rPr>
            </w:pPr>
            <w:r w:rsidRPr="00B128BD">
              <w:rPr>
                <w:rFonts w:asciiTheme="majorBidi" w:hAnsiTheme="majorBidi" w:cstheme="majorBidi"/>
                <w:b/>
              </w:rPr>
              <w:t>Av</w:t>
            </w:r>
            <w:r w:rsidR="00B128BD" w:rsidRPr="00B128BD">
              <w:rPr>
                <w:rFonts w:asciiTheme="majorBidi" w:hAnsiTheme="majorBidi" w:cstheme="majorBidi"/>
                <w:b/>
              </w:rPr>
              <w:t>erage</w:t>
            </w:r>
          </w:p>
        </w:tc>
      </w:tr>
      <w:tr w:rsidR="008E625F" w:rsidRPr="008048F6" w14:paraId="2CED5ECF" w14:textId="77777777" w:rsidTr="00B128BD">
        <w:trPr>
          <w:trHeight w:val="300"/>
        </w:trPr>
        <w:tc>
          <w:tcPr>
            <w:tcW w:w="723" w:type="pct"/>
            <w:noWrap/>
            <w:hideMark/>
          </w:tcPr>
          <w:p w14:paraId="793BC4CE" w14:textId="4948EF8C" w:rsidR="00741C73" w:rsidRPr="008048F6" w:rsidRDefault="00965E8D" w:rsidP="008048F6">
            <w:pPr>
              <w:pStyle w:val="NormalWeb"/>
              <w:jc w:val="both"/>
              <w:rPr>
                <w:rFonts w:asciiTheme="majorBidi" w:hAnsiTheme="majorBidi" w:cstheme="majorBidi"/>
              </w:rPr>
            </w:pPr>
            <w:r>
              <w:rPr>
                <w:rFonts w:asciiTheme="majorBidi" w:hAnsiTheme="majorBidi" w:cstheme="majorBidi"/>
              </w:rPr>
              <w:t>ROA</w:t>
            </w:r>
            <w:r w:rsidR="00741C73" w:rsidRPr="008048F6">
              <w:rPr>
                <w:rFonts w:asciiTheme="majorBidi" w:hAnsiTheme="majorBidi" w:cstheme="majorBidi"/>
              </w:rPr>
              <w:t xml:space="preserve"> (%)</w:t>
            </w:r>
          </w:p>
        </w:tc>
        <w:tc>
          <w:tcPr>
            <w:tcW w:w="508" w:type="pct"/>
            <w:noWrap/>
            <w:vAlign w:val="center"/>
            <w:hideMark/>
          </w:tcPr>
          <w:p w14:paraId="04FA19D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0.77</w:t>
            </w:r>
          </w:p>
        </w:tc>
        <w:tc>
          <w:tcPr>
            <w:tcW w:w="507" w:type="pct"/>
            <w:noWrap/>
            <w:vAlign w:val="center"/>
            <w:hideMark/>
          </w:tcPr>
          <w:p w14:paraId="09BECCB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0.63</w:t>
            </w:r>
          </w:p>
        </w:tc>
        <w:tc>
          <w:tcPr>
            <w:tcW w:w="508" w:type="pct"/>
            <w:noWrap/>
            <w:vAlign w:val="center"/>
            <w:hideMark/>
          </w:tcPr>
          <w:p w14:paraId="77BF458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0.5</w:t>
            </w:r>
          </w:p>
        </w:tc>
        <w:tc>
          <w:tcPr>
            <w:tcW w:w="638" w:type="pct"/>
            <w:noWrap/>
            <w:vAlign w:val="center"/>
            <w:hideMark/>
          </w:tcPr>
          <w:p w14:paraId="7FDAC106" w14:textId="0481959C"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0.63</w:t>
            </w:r>
          </w:p>
        </w:tc>
        <w:tc>
          <w:tcPr>
            <w:tcW w:w="521" w:type="pct"/>
            <w:noWrap/>
            <w:vAlign w:val="center"/>
            <w:hideMark/>
          </w:tcPr>
          <w:p w14:paraId="062C0EE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0.26</w:t>
            </w:r>
          </w:p>
        </w:tc>
        <w:tc>
          <w:tcPr>
            <w:tcW w:w="522" w:type="pct"/>
            <w:noWrap/>
            <w:vAlign w:val="center"/>
            <w:hideMark/>
          </w:tcPr>
          <w:p w14:paraId="6345446E"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0.12</w:t>
            </w:r>
          </w:p>
        </w:tc>
        <w:tc>
          <w:tcPr>
            <w:tcW w:w="522" w:type="pct"/>
            <w:noWrap/>
            <w:vAlign w:val="center"/>
            <w:hideMark/>
          </w:tcPr>
          <w:p w14:paraId="735F21D9"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0.53</w:t>
            </w:r>
          </w:p>
        </w:tc>
        <w:tc>
          <w:tcPr>
            <w:tcW w:w="553" w:type="pct"/>
            <w:noWrap/>
            <w:vAlign w:val="center"/>
            <w:hideMark/>
          </w:tcPr>
          <w:p w14:paraId="23A285A2" w14:textId="1F3825D2"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0.30</w:t>
            </w:r>
          </w:p>
        </w:tc>
      </w:tr>
      <w:tr w:rsidR="008E625F" w:rsidRPr="008048F6" w14:paraId="4A124018" w14:textId="77777777" w:rsidTr="00B128BD">
        <w:trPr>
          <w:trHeight w:val="300"/>
        </w:trPr>
        <w:tc>
          <w:tcPr>
            <w:tcW w:w="723" w:type="pct"/>
            <w:noWrap/>
            <w:hideMark/>
          </w:tcPr>
          <w:p w14:paraId="295B0590" w14:textId="4620F2B9"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R</w:t>
            </w:r>
            <w:r w:rsidR="00965E8D">
              <w:rPr>
                <w:rFonts w:asciiTheme="majorBidi" w:hAnsiTheme="majorBidi" w:cstheme="majorBidi"/>
              </w:rPr>
              <w:t>OE</w:t>
            </w:r>
            <w:r w:rsidRPr="008048F6">
              <w:rPr>
                <w:rFonts w:asciiTheme="majorBidi" w:hAnsiTheme="majorBidi" w:cstheme="majorBidi"/>
              </w:rPr>
              <w:t xml:space="preserve"> (%)</w:t>
            </w:r>
          </w:p>
        </w:tc>
        <w:tc>
          <w:tcPr>
            <w:tcW w:w="508" w:type="pct"/>
            <w:noWrap/>
            <w:vAlign w:val="center"/>
            <w:hideMark/>
          </w:tcPr>
          <w:p w14:paraId="23F1416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5.23</w:t>
            </w:r>
          </w:p>
        </w:tc>
        <w:tc>
          <w:tcPr>
            <w:tcW w:w="507" w:type="pct"/>
            <w:noWrap/>
            <w:vAlign w:val="center"/>
            <w:hideMark/>
          </w:tcPr>
          <w:p w14:paraId="7966C8F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2.81</w:t>
            </w:r>
          </w:p>
        </w:tc>
        <w:tc>
          <w:tcPr>
            <w:tcW w:w="508" w:type="pct"/>
            <w:noWrap/>
            <w:vAlign w:val="center"/>
            <w:hideMark/>
          </w:tcPr>
          <w:p w14:paraId="77385636"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5.97</w:t>
            </w:r>
          </w:p>
        </w:tc>
        <w:tc>
          <w:tcPr>
            <w:tcW w:w="638" w:type="pct"/>
            <w:noWrap/>
            <w:vAlign w:val="center"/>
            <w:hideMark/>
          </w:tcPr>
          <w:p w14:paraId="47505585"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4.67</w:t>
            </w:r>
          </w:p>
        </w:tc>
        <w:tc>
          <w:tcPr>
            <w:tcW w:w="521" w:type="pct"/>
            <w:noWrap/>
            <w:vAlign w:val="center"/>
            <w:hideMark/>
          </w:tcPr>
          <w:p w14:paraId="6FEDAB8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2.06</w:t>
            </w:r>
          </w:p>
        </w:tc>
        <w:tc>
          <w:tcPr>
            <w:tcW w:w="522" w:type="pct"/>
            <w:noWrap/>
            <w:vAlign w:val="center"/>
            <w:hideMark/>
          </w:tcPr>
          <w:p w14:paraId="0BDB311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0.72</w:t>
            </w:r>
          </w:p>
        </w:tc>
        <w:tc>
          <w:tcPr>
            <w:tcW w:w="522" w:type="pct"/>
            <w:noWrap/>
            <w:vAlign w:val="center"/>
            <w:hideMark/>
          </w:tcPr>
          <w:p w14:paraId="72F621EE"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3.25</w:t>
            </w:r>
          </w:p>
        </w:tc>
        <w:tc>
          <w:tcPr>
            <w:tcW w:w="553" w:type="pct"/>
            <w:noWrap/>
            <w:vAlign w:val="center"/>
            <w:hideMark/>
          </w:tcPr>
          <w:p w14:paraId="67808F9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2.01</w:t>
            </w:r>
          </w:p>
        </w:tc>
      </w:tr>
      <w:tr w:rsidR="008E625F" w:rsidRPr="008048F6" w14:paraId="23D467F6" w14:textId="77777777" w:rsidTr="00B128BD">
        <w:trPr>
          <w:trHeight w:val="300"/>
        </w:trPr>
        <w:tc>
          <w:tcPr>
            <w:tcW w:w="723" w:type="pct"/>
            <w:noWrap/>
            <w:hideMark/>
          </w:tcPr>
          <w:p w14:paraId="3931AC31" w14:textId="2A993E92" w:rsidR="00741C73" w:rsidRPr="008048F6" w:rsidRDefault="00965E8D" w:rsidP="008048F6">
            <w:pPr>
              <w:pStyle w:val="NormalWeb"/>
              <w:jc w:val="both"/>
              <w:rPr>
                <w:rFonts w:asciiTheme="majorBidi" w:hAnsiTheme="majorBidi" w:cstheme="majorBidi"/>
              </w:rPr>
            </w:pPr>
            <w:r>
              <w:rPr>
                <w:rFonts w:asciiTheme="majorBidi" w:hAnsiTheme="majorBidi" w:cstheme="majorBidi"/>
              </w:rPr>
              <w:t>NIM</w:t>
            </w:r>
          </w:p>
        </w:tc>
        <w:tc>
          <w:tcPr>
            <w:tcW w:w="508" w:type="pct"/>
            <w:noWrap/>
            <w:vAlign w:val="center"/>
            <w:hideMark/>
          </w:tcPr>
          <w:p w14:paraId="41A7949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3.37</w:t>
            </w:r>
          </w:p>
        </w:tc>
        <w:tc>
          <w:tcPr>
            <w:tcW w:w="507" w:type="pct"/>
            <w:noWrap/>
            <w:vAlign w:val="center"/>
            <w:hideMark/>
          </w:tcPr>
          <w:p w14:paraId="54FD2972"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2.93</w:t>
            </w:r>
          </w:p>
        </w:tc>
        <w:tc>
          <w:tcPr>
            <w:tcW w:w="508" w:type="pct"/>
            <w:noWrap/>
            <w:vAlign w:val="center"/>
            <w:hideMark/>
          </w:tcPr>
          <w:p w14:paraId="0F2BCF29"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2.81</w:t>
            </w:r>
          </w:p>
        </w:tc>
        <w:tc>
          <w:tcPr>
            <w:tcW w:w="638" w:type="pct"/>
            <w:noWrap/>
            <w:vAlign w:val="center"/>
            <w:hideMark/>
          </w:tcPr>
          <w:p w14:paraId="1EB71C15" w14:textId="504D456B"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3.03</w:t>
            </w:r>
            <w:r w:rsidR="00330240" w:rsidRPr="008048F6">
              <w:rPr>
                <w:rFonts w:asciiTheme="majorBidi" w:hAnsiTheme="majorBidi" w:cstheme="majorBidi"/>
              </w:rPr>
              <w:t>7</w:t>
            </w:r>
          </w:p>
        </w:tc>
        <w:tc>
          <w:tcPr>
            <w:tcW w:w="521" w:type="pct"/>
            <w:noWrap/>
            <w:vAlign w:val="center"/>
            <w:hideMark/>
          </w:tcPr>
          <w:p w14:paraId="71BD1057"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2.87</w:t>
            </w:r>
          </w:p>
        </w:tc>
        <w:tc>
          <w:tcPr>
            <w:tcW w:w="522" w:type="pct"/>
            <w:noWrap/>
            <w:vAlign w:val="center"/>
            <w:hideMark/>
          </w:tcPr>
          <w:p w14:paraId="7D28DB1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2.96</w:t>
            </w:r>
          </w:p>
        </w:tc>
        <w:tc>
          <w:tcPr>
            <w:tcW w:w="522" w:type="pct"/>
            <w:noWrap/>
            <w:vAlign w:val="center"/>
            <w:hideMark/>
          </w:tcPr>
          <w:p w14:paraId="236989A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w:t>
            </w:r>
          </w:p>
        </w:tc>
        <w:tc>
          <w:tcPr>
            <w:tcW w:w="553" w:type="pct"/>
            <w:noWrap/>
            <w:vAlign w:val="center"/>
            <w:hideMark/>
          </w:tcPr>
          <w:p w14:paraId="22D36B9F"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2.91</w:t>
            </w:r>
          </w:p>
        </w:tc>
      </w:tr>
      <w:tr w:rsidR="008E625F" w:rsidRPr="008048F6" w14:paraId="00A7DFBE" w14:textId="77777777" w:rsidTr="00B128BD">
        <w:trPr>
          <w:trHeight w:val="300"/>
        </w:trPr>
        <w:tc>
          <w:tcPr>
            <w:tcW w:w="723" w:type="pct"/>
            <w:noWrap/>
            <w:hideMark/>
          </w:tcPr>
          <w:p w14:paraId="26A520DC" w14:textId="4943D5BF" w:rsidR="00741C73" w:rsidRPr="008048F6" w:rsidRDefault="00741C73" w:rsidP="008E625F">
            <w:pPr>
              <w:pStyle w:val="NormalWeb"/>
              <w:ind w:right="-108"/>
              <w:jc w:val="both"/>
              <w:rPr>
                <w:rFonts w:asciiTheme="majorBidi" w:hAnsiTheme="majorBidi" w:cstheme="majorBidi"/>
              </w:rPr>
            </w:pPr>
            <w:r w:rsidRPr="008048F6">
              <w:rPr>
                <w:rFonts w:asciiTheme="majorBidi" w:hAnsiTheme="majorBidi" w:cstheme="majorBidi"/>
              </w:rPr>
              <w:t>O</w:t>
            </w:r>
            <w:r w:rsidR="00965E8D">
              <w:rPr>
                <w:rFonts w:asciiTheme="majorBidi" w:hAnsiTheme="majorBidi" w:cstheme="majorBidi"/>
              </w:rPr>
              <w:t>PWFR</w:t>
            </w:r>
            <w:r w:rsidR="008E625F">
              <w:rPr>
                <w:rFonts w:asciiTheme="majorBidi" w:hAnsiTheme="majorBidi" w:cstheme="majorBidi"/>
              </w:rPr>
              <w:t xml:space="preserve"> </w:t>
            </w:r>
            <w:r w:rsidRPr="008048F6">
              <w:rPr>
                <w:rFonts w:asciiTheme="majorBidi" w:hAnsiTheme="majorBidi" w:cstheme="majorBidi"/>
              </w:rPr>
              <w:t>(%)</w:t>
            </w:r>
          </w:p>
        </w:tc>
        <w:tc>
          <w:tcPr>
            <w:tcW w:w="508" w:type="pct"/>
            <w:noWrap/>
            <w:vAlign w:val="center"/>
            <w:hideMark/>
          </w:tcPr>
          <w:p w14:paraId="27EA5F41"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2.22</w:t>
            </w:r>
          </w:p>
        </w:tc>
        <w:tc>
          <w:tcPr>
            <w:tcW w:w="507" w:type="pct"/>
            <w:noWrap/>
            <w:vAlign w:val="center"/>
            <w:hideMark/>
          </w:tcPr>
          <w:p w14:paraId="65551774"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2.03</w:t>
            </w:r>
          </w:p>
        </w:tc>
        <w:tc>
          <w:tcPr>
            <w:tcW w:w="508" w:type="pct"/>
            <w:noWrap/>
            <w:vAlign w:val="center"/>
            <w:hideMark/>
          </w:tcPr>
          <w:p w14:paraId="0C71AAFD"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1.84</w:t>
            </w:r>
          </w:p>
        </w:tc>
        <w:tc>
          <w:tcPr>
            <w:tcW w:w="638" w:type="pct"/>
            <w:noWrap/>
            <w:vAlign w:val="center"/>
            <w:hideMark/>
          </w:tcPr>
          <w:p w14:paraId="7FB96A52"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2.03</w:t>
            </w:r>
          </w:p>
        </w:tc>
        <w:tc>
          <w:tcPr>
            <w:tcW w:w="521" w:type="pct"/>
            <w:noWrap/>
            <w:vAlign w:val="center"/>
            <w:hideMark/>
          </w:tcPr>
          <w:p w14:paraId="0730D7C2"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2.2</w:t>
            </w:r>
          </w:p>
        </w:tc>
        <w:tc>
          <w:tcPr>
            <w:tcW w:w="522" w:type="pct"/>
            <w:noWrap/>
            <w:vAlign w:val="center"/>
            <w:hideMark/>
          </w:tcPr>
          <w:p w14:paraId="77D1ECA3"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1.86</w:t>
            </w:r>
          </w:p>
        </w:tc>
        <w:tc>
          <w:tcPr>
            <w:tcW w:w="522" w:type="pct"/>
            <w:noWrap/>
            <w:vAlign w:val="center"/>
            <w:hideMark/>
          </w:tcPr>
          <w:p w14:paraId="4B702E23"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2.12</w:t>
            </w:r>
          </w:p>
        </w:tc>
        <w:tc>
          <w:tcPr>
            <w:tcW w:w="553" w:type="pct"/>
            <w:noWrap/>
            <w:vAlign w:val="center"/>
            <w:hideMark/>
          </w:tcPr>
          <w:p w14:paraId="29A6D78C" w14:textId="77777777" w:rsidR="00741C73" w:rsidRPr="008048F6" w:rsidRDefault="00741C73" w:rsidP="008E625F">
            <w:pPr>
              <w:pStyle w:val="NormalWeb"/>
              <w:jc w:val="center"/>
              <w:rPr>
                <w:rFonts w:asciiTheme="majorBidi" w:hAnsiTheme="majorBidi" w:cstheme="majorBidi"/>
              </w:rPr>
            </w:pPr>
            <w:r w:rsidRPr="008048F6">
              <w:rPr>
                <w:rFonts w:asciiTheme="majorBidi" w:hAnsiTheme="majorBidi" w:cstheme="majorBidi"/>
              </w:rPr>
              <w:t>2.06</w:t>
            </w:r>
          </w:p>
        </w:tc>
      </w:tr>
    </w:tbl>
    <w:p w14:paraId="16BB2999" w14:textId="10A6D51E" w:rsidR="00672781" w:rsidRPr="008048F6" w:rsidRDefault="00DC2CED" w:rsidP="00DC2CED">
      <w:pPr>
        <w:spacing w:after="240"/>
        <w:jc w:val="both"/>
        <w:rPr>
          <w:rFonts w:asciiTheme="majorBidi" w:hAnsiTheme="majorBidi" w:cstheme="majorBidi"/>
          <w:color w:val="000000"/>
        </w:rPr>
      </w:pPr>
      <w:r w:rsidRPr="00D92A5F">
        <w:rPr>
          <w:rFonts w:asciiTheme="majorBidi" w:hAnsiTheme="majorBidi" w:cstheme="majorBidi"/>
          <w:i/>
          <w:iCs/>
        </w:rPr>
        <w:t>Source: Authors’ Calculation</w:t>
      </w:r>
    </w:p>
    <w:p w14:paraId="1A4DF897" w14:textId="79B0FFC6" w:rsidR="009B4572" w:rsidRPr="008048F6" w:rsidRDefault="00672781" w:rsidP="008E625F">
      <w:pPr>
        <w:spacing w:line="360" w:lineRule="auto"/>
        <w:jc w:val="both"/>
        <w:rPr>
          <w:rFonts w:asciiTheme="majorBidi" w:hAnsiTheme="majorBidi" w:cstheme="majorBidi"/>
          <w:color w:val="000000"/>
        </w:rPr>
      </w:pPr>
      <w:r w:rsidRPr="008048F6">
        <w:rPr>
          <w:rFonts w:asciiTheme="majorBidi" w:hAnsiTheme="majorBidi" w:cstheme="majorBidi"/>
          <w:color w:val="000000"/>
        </w:rPr>
        <w:t xml:space="preserve">The banks' earning efficiency is demonstrated through four indicators: </w:t>
      </w:r>
      <w:r w:rsidR="00D647C9">
        <w:rPr>
          <w:rFonts w:asciiTheme="majorBidi" w:hAnsiTheme="majorBidi" w:cstheme="majorBidi"/>
          <w:color w:val="000000"/>
        </w:rPr>
        <w:t>ROA, ROE, NIM and OPWFR</w:t>
      </w:r>
      <w:r w:rsidRPr="008048F6">
        <w:rPr>
          <w:rFonts w:asciiTheme="majorBidi" w:hAnsiTheme="majorBidi" w:cstheme="majorBidi"/>
          <w:color w:val="000000"/>
        </w:rPr>
        <w:t>, as shown in Table</w:t>
      </w:r>
      <w:r w:rsidR="00DC2CED">
        <w:rPr>
          <w:rFonts w:asciiTheme="majorBidi" w:hAnsiTheme="majorBidi" w:cstheme="majorBidi"/>
          <w:color w:val="000000"/>
        </w:rPr>
        <w:t>-</w:t>
      </w:r>
      <w:r w:rsidRPr="008048F6">
        <w:rPr>
          <w:rFonts w:asciiTheme="majorBidi" w:hAnsiTheme="majorBidi" w:cstheme="majorBidi"/>
          <w:color w:val="000000"/>
        </w:rPr>
        <w:t>4. High-earning banks exhibit strong financial health, while low-earning banks face financial difficulties. The table compares the earning efficiencies of Indian bank before and after the merger. R</w:t>
      </w:r>
      <w:r w:rsidR="00D647C9">
        <w:rPr>
          <w:rFonts w:asciiTheme="majorBidi" w:hAnsiTheme="majorBidi" w:cstheme="majorBidi"/>
          <w:color w:val="000000"/>
        </w:rPr>
        <w:t>OA</w:t>
      </w:r>
      <w:r w:rsidRPr="008048F6">
        <w:rPr>
          <w:rFonts w:asciiTheme="majorBidi" w:hAnsiTheme="majorBidi" w:cstheme="majorBidi"/>
          <w:color w:val="000000"/>
        </w:rPr>
        <w:t xml:space="preserve"> improved significantly from 0.26% in 2019-20 to 0.77% in 2022-23 following the merger with Allahabad Bank. R</w:t>
      </w:r>
      <w:r w:rsidR="00D647C9">
        <w:rPr>
          <w:rFonts w:asciiTheme="majorBidi" w:hAnsiTheme="majorBidi" w:cstheme="majorBidi"/>
          <w:color w:val="000000"/>
        </w:rPr>
        <w:t>OE</w:t>
      </w:r>
      <w:r w:rsidRPr="008048F6">
        <w:rPr>
          <w:rFonts w:asciiTheme="majorBidi" w:hAnsiTheme="majorBidi" w:cstheme="majorBidi"/>
          <w:color w:val="000000"/>
        </w:rPr>
        <w:t xml:space="preserve"> rose from 2.06% to 5.23%, and net interest margin increased from 2.87% to 3.37%. However, </w:t>
      </w:r>
      <w:r w:rsidR="00D647C9">
        <w:rPr>
          <w:rFonts w:asciiTheme="majorBidi" w:hAnsiTheme="majorBidi" w:cstheme="majorBidi"/>
          <w:color w:val="000000"/>
        </w:rPr>
        <w:t xml:space="preserve">OPWFR </w:t>
      </w:r>
      <w:r w:rsidRPr="008048F6">
        <w:rPr>
          <w:rFonts w:asciiTheme="majorBidi" w:hAnsiTheme="majorBidi" w:cstheme="majorBidi"/>
          <w:color w:val="000000"/>
        </w:rPr>
        <w:t>remained relatively unchanged, staying at 2.2% in 2019-20 and rising slightly to 2.22% in 2022-23.</w:t>
      </w:r>
    </w:p>
    <w:p w14:paraId="5E555CAA" w14:textId="0BD0BD94" w:rsidR="00672781" w:rsidRPr="008048F6" w:rsidRDefault="00672781" w:rsidP="008048F6">
      <w:pPr>
        <w:jc w:val="both"/>
        <w:rPr>
          <w:rFonts w:asciiTheme="majorBidi" w:hAnsiTheme="majorBidi" w:cstheme="majorBidi"/>
        </w:rPr>
      </w:pPr>
    </w:p>
    <w:p w14:paraId="620585BE" w14:textId="0A3E06F6" w:rsidR="00672781" w:rsidRPr="008048F6" w:rsidRDefault="008E625F" w:rsidP="00082A82">
      <w:pPr>
        <w:spacing w:after="120"/>
        <w:jc w:val="both"/>
        <w:rPr>
          <w:rFonts w:asciiTheme="majorBidi" w:hAnsiTheme="majorBidi" w:cstheme="majorBidi"/>
        </w:rPr>
      </w:pPr>
      <w:r w:rsidRPr="008048F6">
        <w:rPr>
          <w:rFonts w:asciiTheme="majorBidi" w:hAnsiTheme="majorBidi" w:cstheme="majorBidi"/>
          <w:b/>
        </w:rPr>
        <w:t>Table 5</w:t>
      </w:r>
      <w:r w:rsidR="00792594">
        <w:rPr>
          <w:rFonts w:asciiTheme="majorBidi" w:hAnsiTheme="majorBidi" w:cstheme="majorBidi"/>
          <w:b/>
        </w:rPr>
        <w:t>:</w:t>
      </w:r>
      <w:r w:rsidRPr="008048F6">
        <w:rPr>
          <w:rFonts w:asciiTheme="majorBidi" w:hAnsiTheme="majorBidi" w:cstheme="majorBidi"/>
          <w:b/>
        </w:rPr>
        <w:t xml:space="preserve"> Liquidity</w:t>
      </w:r>
    </w:p>
    <w:tbl>
      <w:tblPr>
        <w:tblStyle w:val="TableGrid"/>
        <w:tblW w:w="5488" w:type="pct"/>
        <w:tblInd w:w="-147" w:type="dxa"/>
        <w:tblLayout w:type="fixed"/>
        <w:tblLook w:val="04A0" w:firstRow="1" w:lastRow="0" w:firstColumn="1" w:lastColumn="0" w:noHBand="0" w:noVBand="1"/>
      </w:tblPr>
      <w:tblGrid>
        <w:gridCol w:w="1436"/>
        <w:gridCol w:w="973"/>
        <w:gridCol w:w="995"/>
        <w:gridCol w:w="1133"/>
        <w:gridCol w:w="1135"/>
        <w:gridCol w:w="991"/>
        <w:gridCol w:w="993"/>
        <w:gridCol w:w="991"/>
        <w:gridCol w:w="1242"/>
      </w:tblGrid>
      <w:tr w:rsidR="00284368" w:rsidRPr="008048F6" w14:paraId="6FDFF016" w14:textId="77777777" w:rsidTr="003B162F">
        <w:trPr>
          <w:trHeight w:val="300"/>
        </w:trPr>
        <w:tc>
          <w:tcPr>
            <w:tcW w:w="726" w:type="pct"/>
            <w:vMerge w:val="restart"/>
            <w:noWrap/>
            <w:vAlign w:val="center"/>
            <w:hideMark/>
          </w:tcPr>
          <w:p w14:paraId="483AF18E" w14:textId="77777777" w:rsidR="00741C73" w:rsidRPr="008048F6" w:rsidRDefault="00741C73" w:rsidP="008048F6">
            <w:pPr>
              <w:pStyle w:val="NormalWeb"/>
              <w:jc w:val="both"/>
              <w:rPr>
                <w:rFonts w:asciiTheme="majorBidi" w:hAnsiTheme="majorBidi" w:cstheme="majorBidi"/>
                <w:b/>
              </w:rPr>
            </w:pPr>
            <w:r w:rsidRPr="008048F6">
              <w:rPr>
                <w:rFonts w:asciiTheme="majorBidi" w:hAnsiTheme="majorBidi" w:cstheme="majorBidi"/>
                <w:b/>
              </w:rPr>
              <w:t>Particulars</w:t>
            </w:r>
          </w:p>
        </w:tc>
        <w:tc>
          <w:tcPr>
            <w:tcW w:w="2142" w:type="pct"/>
            <w:gridSpan w:val="4"/>
            <w:noWrap/>
            <w:hideMark/>
          </w:tcPr>
          <w:p w14:paraId="1851BFD0" w14:textId="69561D2C" w:rsidR="00741C73" w:rsidRPr="008048F6" w:rsidRDefault="003C0691" w:rsidP="00771978">
            <w:pPr>
              <w:pStyle w:val="NormalWeb"/>
              <w:jc w:val="center"/>
              <w:rPr>
                <w:rFonts w:asciiTheme="majorBidi" w:hAnsiTheme="majorBidi" w:cstheme="majorBidi"/>
                <w:b/>
              </w:rPr>
            </w:pPr>
            <w:r>
              <w:rPr>
                <w:rFonts w:asciiTheme="majorBidi" w:hAnsiTheme="majorBidi" w:cstheme="majorBidi"/>
                <w:b/>
              </w:rPr>
              <w:t>After Merger</w:t>
            </w:r>
          </w:p>
        </w:tc>
        <w:tc>
          <w:tcPr>
            <w:tcW w:w="2132" w:type="pct"/>
            <w:gridSpan w:val="4"/>
            <w:noWrap/>
            <w:hideMark/>
          </w:tcPr>
          <w:p w14:paraId="13383F45" w14:textId="2ECAA62E" w:rsidR="00741C73" w:rsidRPr="008048F6" w:rsidRDefault="003C0691" w:rsidP="00771978">
            <w:pPr>
              <w:pStyle w:val="NormalWeb"/>
              <w:jc w:val="center"/>
              <w:rPr>
                <w:rFonts w:asciiTheme="majorBidi" w:hAnsiTheme="majorBidi" w:cstheme="majorBidi"/>
                <w:b/>
              </w:rPr>
            </w:pPr>
            <w:r>
              <w:rPr>
                <w:rFonts w:asciiTheme="majorBidi" w:hAnsiTheme="majorBidi" w:cstheme="majorBidi"/>
                <w:b/>
              </w:rPr>
              <w:t>Before Merger</w:t>
            </w:r>
          </w:p>
        </w:tc>
      </w:tr>
      <w:tr w:rsidR="003B162F" w:rsidRPr="008048F6" w14:paraId="3C01005A" w14:textId="77777777" w:rsidTr="003B162F">
        <w:trPr>
          <w:trHeight w:val="300"/>
        </w:trPr>
        <w:tc>
          <w:tcPr>
            <w:tcW w:w="726" w:type="pct"/>
            <w:vMerge/>
            <w:hideMark/>
          </w:tcPr>
          <w:p w14:paraId="7D0A7AC4" w14:textId="77777777" w:rsidR="00741C73" w:rsidRPr="008048F6" w:rsidRDefault="00741C73" w:rsidP="008048F6">
            <w:pPr>
              <w:pStyle w:val="NormalWeb"/>
              <w:jc w:val="both"/>
              <w:rPr>
                <w:rFonts w:asciiTheme="majorBidi" w:hAnsiTheme="majorBidi" w:cstheme="majorBidi"/>
              </w:rPr>
            </w:pPr>
          </w:p>
        </w:tc>
        <w:tc>
          <w:tcPr>
            <w:tcW w:w="492" w:type="pct"/>
            <w:noWrap/>
            <w:hideMark/>
          </w:tcPr>
          <w:p w14:paraId="1614BE4C" w14:textId="5DD8CDF3"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2022-</w:t>
            </w:r>
            <w:r w:rsidR="003B162F">
              <w:rPr>
                <w:rFonts w:asciiTheme="majorBidi" w:hAnsiTheme="majorBidi" w:cstheme="majorBidi"/>
              </w:rPr>
              <w:t xml:space="preserve"> 20</w:t>
            </w:r>
            <w:r w:rsidRPr="008048F6">
              <w:rPr>
                <w:rFonts w:asciiTheme="majorBidi" w:hAnsiTheme="majorBidi" w:cstheme="majorBidi"/>
              </w:rPr>
              <w:t>23</w:t>
            </w:r>
          </w:p>
        </w:tc>
        <w:tc>
          <w:tcPr>
            <w:tcW w:w="503" w:type="pct"/>
            <w:noWrap/>
            <w:hideMark/>
          </w:tcPr>
          <w:p w14:paraId="34D51E49" w14:textId="2AD21190"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2021-</w:t>
            </w:r>
            <w:r w:rsidR="003B162F">
              <w:rPr>
                <w:rFonts w:asciiTheme="majorBidi" w:hAnsiTheme="majorBidi" w:cstheme="majorBidi"/>
              </w:rPr>
              <w:t xml:space="preserve"> 20</w:t>
            </w:r>
            <w:r w:rsidRPr="008048F6">
              <w:rPr>
                <w:rFonts w:asciiTheme="majorBidi" w:hAnsiTheme="majorBidi" w:cstheme="majorBidi"/>
              </w:rPr>
              <w:t>22</w:t>
            </w:r>
          </w:p>
        </w:tc>
        <w:tc>
          <w:tcPr>
            <w:tcW w:w="573" w:type="pct"/>
            <w:noWrap/>
            <w:hideMark/>
          </w:tcPr>
          <w:p w14:paraId="6EF7A498" w14:textId="4051A5E0"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2020-</w:t>
            </w:r>
            <w:r w:rsidR="003B162F">
              <w:rPr>
                <w:rFonts w:asciiTheme="majorBidi" w:hAnsiTheme="majorBidi" w:cstheme="majorBidi"/>
              </w:rPr>
              <w:t xml:space="preserve"> 20</w:t>
            </w:r>
            <w:r w:rsidRPr="008048F6">
              <w:rPr>
                <w:rFonts w:asciiTheme="majorBidi" w:hAnsiTheme="majorBidi" w:cstheme="majorBidi"/>
              </w:rPr>
              <w:t>21</w:t>
            </w:r>
          </w:p>
        </w:tc>
        <w:tc>
          <w:tcPr>
            <w:tcW w:w="574" w:type="pct"/>
            <w:noWrap/>
            <w:hideMark/>
          </w:tcPr>
          <w:p w14:paraId="2D723F66" w14:textId="77777777" w:rsidR="00741C73" w:rsidRPr="003B162F" w:rsidRDefault="00741C73" w:rsidP="008048F6">
            <w:pPr>
              <w:pStyle w:val="NormalWeb"/>
              <w:jc w:val="both"/>
              <w:rPr>
                <w:rFonts w:asciiTheme="majorBidi" w:hAnsiTheme="majorBidi" w:cstheme="majorBidi"/>
                <w:b/>
              </w:rPr>
            </w:pPr>
            <w:r w:rsidRPr="003B162F">
              <w:rPr>
                <w:rFonts w:asciiTheme="majorBidi" w:hAnsiTheme="majorBidi" w:cstheme="majorBidi"/>
                <w:b/>
              </w:rPr>
              <w:t>Average</w:t>
            </w:r>
          </w:p>
        </w:tc>
        <w:tc>
          <w:tcPr>
            <w:tcW w:w="501" w:type="pct"/>
            <w:noWrap/>
            <w:hideMark/>
          </w:tcPr>
          <w:p w14:paraId="12F7005A" w14:textId="2CA40B85"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2019-</w:t>
            </w:r>
            <w:r w:rsidR="003B162F">
              <w:rPr>
                <w:rFonts w:asciiTheme="majorBidi" w:hAnsiTheme="majorBidi" w:cstheme="majorBidi"/>
              </w:rPr>
              <w:t xml:space="preserve"> 20</w:t>
            </w:r>
            <w:r w:rsidRPr="008048F6">
              <w:rPr>
                <w:rFonts w:asciiTheme="majorBidi" w:hAnsiTheme="majorBidi" w:cstheme="majorBidi"/>
              </w:rPr>
              <w:t>20</w:t>
            </w:r>
          </w:p>
        </w:tc>
        <w:tc>
          <w:tcPr>
            <w:tcW w:w="502" w:type="pct"/>
            <w:noWrap/>
            <w:hideMark/>
          </w:tcPr>
          <w:p w14:paraId="28D53D6F" w14:textId="73C56A05"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2018-</w:t>
            </w:r>
            <w:r w:rsidR="003B162F">
              <w:rPr>
                <w:rFonts w:asciiTheme="majorBidi" w:hAnsiTheme="majorBidi" w:cstheme="majorBidi"/>
              </w:rPr>
              <w:t xml:space="preserve"> 20</w:t>
            </w:r>
            <w:r w:rsidRPr="008048F6">
              <w:rPr>
                <w:rFonts w:asciiTheme="majorBidi" w:hAnsiTheme="majorBidi" w:cstheme="majorBidi"/>
              </w:rPr>
              <w:t>19</w:t>
            </w:r>
          </w:p>
        </w:tc>
        <w:tc>
          <w:tcPr>
            <w:tcW w:w="501" w:type="pct"/>
            <w:noWrap/>
            <w:hideMark/>
          </w:tcPr>
          <w:p w14:paraId="17A2A2C5" w14:textId="49C15892"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2017-</w:t>
            </w:r>
            <w:r w:rsidR="003B162F">
              <w:rPr>
                <w:rFonts w:asciiTheme="majorBidi" w:hAnsiTheme="majorBidi" w:cstheme="majorBidi"/>
              </w:rPr>
              <w:t xml:space="preserve"> 20</w:t>
            </w:r>
            <w:r w:rsidRPr="008048F6">
              <w:rPr>
                <w:rFonts w:asciiTheme="majorBidi" w:hAnsiTheme="majorBidi" w:cstheme="majorBidi"/>
              </w:rPr>
              <w:t>18</w:t>
            </w:r>
          </w:p>
        </w:tc>
        <w:tc>
          <w:tcPr>
            <w:tcW w:w="628" w:type="pct"/>
            <w:noWrap/>
            <w:hideMark/>
          </w:tcPr>
          <w:p w14:paraId="554B1211" w14:textId="77777777" w:rsidR="00741C73" w:rsidRPr="003B162F" w:rsidRDefault="00741C73" w:rsidP="008048F6">
            <w:pPr>
              <w:pStyle w:val="NormalWeb"/>
              <w:jc w:val="both"/>
              <w:rPr>
                <w:rFonts w:asciiTheme="majorBidi" w:hAnsiTheme="majorBidi" w:cstheme="majorBidi"/>
                <w:b/>
              </w:rPr>
            </w:pPr>
            <w:r w:rsidRPr="003B162F">
              <w:rPr>
                <w:rFonts w:asciiTheme="majorBidi" w:hAnsiTheme="majorBidi" w:cstheme="majorBidi"/>
                <w:b/>
              </w:rPr>
              <w:t>Average</w:t>
            </w:r>
          </w:p>
        </w:tc>
      </w:tr>
      <w:tr w:rsidR="003B162F" w:rsidRPr="008048F6" w14:paraId="79802798" w14:textId="77777777" w:rsidTr="003B162F">
        <w:trPr>
          <w:trHeight w:val="300"/>
        </w:trPr>
        <w:tc>
          <w:tcPr>
            <w:tcW w:w="726" w:type="pct"/>
            <w:noWrap/>
            <w:hideMark/>
          </w:tcPr>
          <w:p w14:paraId="0D773EEF" w14:textId="1E526B6C" w:rsidR="00741C73" w:rsidRPr="008048F6" w:rsidRDefault="008E625F" w:rsidP="008048F6">
            <w:pPr>
              <w:pStyle w:val="NormalWeb"/>
              <w:jc w:val="both"/>
              <w:rPr>
                <w:rFonts w:asciiTheme="majorBidi" w:hAnsiTheme="majorBidi" w:cstheme="majorBidi"/>
              </w:rPr>
            </w:pPr>
            <w:r>
              <w:rPr>
                <w:rFonts w:asciiTheme="majorBidi" w:hAnsiTheme="majorBidi" w:cstheme="majorBidi"/>
              </w:rPr>
              <w:t>LATAR</w:t>
            </w:r>
            <w:r w:rsidR="00741C73" w:rsidRPr="008048F6">
              <w:rPr>
                <w:rFonts w:asciiTheme="majorBidi" w:hAnsiTheme="majorBidi" w:cstheme="majorBidi"/>
              </w:rPr>
              <w:t xml:space="preserve"> (%)</w:t>
            </w:r>
          </w:p>
        </w:tc>
        <w:tc>
          <w:tcPr>
            <w:tcW w:w="492" w:type="pct"/>
            <w:noWrap/>
            <w:hideMark/>
          </w:tcPr>
          <w:p w14:paraId="32B6202E"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7.05</w:t>
            </w:r>
          </w:p>
        </w:tc>
        <w:tc>
          <w:tcPr>
            <w:tcW w:w="503" w:type="pct"/>
            <w:noWrap/>
            <w:hideMark/>
          </w:tcPr>
          <w:p w14:paraId="0FFD57E2"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1.9</w:t>
            </w:r>
          </w:p>
        </w:tc>
        <w:tc>
          <w:tcPr>
            <w:tcW w:w="573" w:type="pct"/>
            <w:noWrap/>
            <w:hideMark/>
          </w:tcPr>
          <w:p w14:paraId="0521446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8.25</w:t>
            </w:r>
          </w:p>
        </w:tc>
        <w:tc>
          <w:tcPr>
            <w:tcW w:w="574" w:type="pct"/>
            <w:noWrap/>
            <w:hideMark/>
          </w:tcPr>
          <w:p w14:paraId="684A124F" w14:textId="5734E958"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5.73</w:t>
            </w:r>
          </w:p>
        </w:tc>
        <w:tc>
          <w:tcPr>
            <w:tcW w:w="501" w:type="pct"/>
            <w:noWrap/>
            <w:hideMark/>
          </w:tcPr>
          <w:p w14:paraId="7CAD5A4E"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4.5</w:t>
            </w:r>
          </w:p>
        </w:tc>
        <w:tc>
          <w:tcPr>
            <w:tcW w:w="502" w:type="pct"/>
            <w:noWrap/>
            <w:hideMark/>
          </w:tcPr>
          <w:p w14:paraId="216E5AF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7.15</w:t>
            </w:r>
          </w:p>
        </w:tc>
        <w:tc>
          <w:tcPr>
            <w:tcW w:w="501" w:type="pct"/>
            <w:noWrap/>
            <w:hideMark/>
          </w:tcPr>
          <w:p w14:paraId="21A4C705"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5.12</w:t>
            </w:r>
          </w:p>
        </w:tc>
        <w:tc>
          <w:tcPr>
            <w:tcW w:w="628" w:type="pct"/>
            <w:noWrap/>
            <w:hideMark/>
          </w:tcPr>
          <w:p w14:paraId="4973C602"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5.59</w:t>
            </w:r>
          </w:p>
        </w:tc>
      </w:tr>
      <w:tr w:rsidR="003B162F" w:rsidRPr="008048F6" w14:paraId="644880A6" w14:textId="77777777" w:rsidTr="003B162F">
        <w:trPr>
          <w:trHeight w:val="300"/>
        </w:trPr>
        <w:tc>
          <w:tcPr>
            <w:tcW w:w="726" w:type="pct"/>
            <w:noWrap/>
            <w:hideMark/>
          </w:tcPr>
          <w:p w14:paraId="447BEF80" w14:textId="66731B12" w:rsidR="00741C73" w:rsidRPr="008048F6" w:rsidRDefault="008E625F" w:rsidP="008048F6">
            <w:pPr>
              <w:pStyle w:val="NormalWeb"/>
              <w:jc w:val="both"/>
              <w:rPr>
                <w:rFonts w:asciiTheme="majorBidi" w:hAnsiTheme="majorBidi" w:cstheme="majorBidi"/>
              </w:rPr>
            </w:pPr>
            <w:r>
              <w:rPr>
                <w:rFonts w:asciiTheme="majorBidi" w:hAnsiTheme="majorBidi" w:cstheme="majorBidi"/>
              </w:rPr>
              <w:t>LATDR</w:t>
            </w:r>
            <w:r w:rsidR="00741C73" w:rsidRPr="008048F6">
              <w:rPr>
                <w:rFonts w:asciiTheme="majorBidi" w:hAnsiTheme="majorBidi" w:cstheme="majorBidi"/>
              </w:rPr>
              <w:t xml:space="preserve"> (%)</w:t>
            </w:r>
          </w:p>
        </w:tc>
        <w:tc>
          <w:tcPr>
            <w:tcW w:w="492" w:type="pct"/>
            <w:noWrap/>
            <w:hideMark/>
          </w:tcPr>
          <w:p w14:paraId="619FCFF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8.07</w:t>
            </w:r>
          </w:p>
        </w:tc>
        <w:tc>
          <w:tcPr>
            <w:tcW w:w="503" w:type="pct"/>
            <w:noWrap/>
            <w:hideMark/>
          </w:tcPr>
          <w:p w14:paraId="4AF97DEF"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13.46</w:t>
            </w:r>
          </w:p>
        </w:tc>
        <w:tc>
          <w:tcPr>
            <w:tcW w:w="573" w:type="pct"/>
            <w:noWrap/>
            <w:hideMark/>
          </w:tcPr>
          <w:p w14:paraId="60611FCD"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9.56</w:t>
            </w:r>
          </w:p>
        </w:tc>
        <w:tc>
          <w:tcPr>
            <w:tcW w:w="574" w:type="pct"/>
            <w:noWrap/>
            <w:hideMark/>
          </w:tcPr>
          <w:p w14:paraId="090DDD7C" w14:textId="714C95EA"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10.36</w:t>
            </w:r>
          </w:p>
        </w:tc>
        <w:tc>
          <w:tcPr>
            <w:tcW w:w="501" w:type="pct"/>
            <w:noWrap/>
            <w:hideMark/>
          </w:tcPr>
          <w:p w14:paraId="73F681A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5.35</w:t>
            </w:r>
          </w:p>
        </w:tc>
        <w:tc>
          <w:tcPr>
            <w:tcW w:w="502" w:type="pct"/>
            <w:noWrap/>
            <w:hideMark/>
          </w:tcPr>
          <w:p w14:paraId="52D82EC5"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8.27</w:t>
            </w:r>
          </w:p>
        </w:tc>
        <w:tc>
          <w:tcPr>
            <w:tcW w:w="501" w:type="pct"/>
            <w:noWrap/>
            <w:hideMark/>
          </w:tcPr>
          <w:p w14:paraId="4A870C6A"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6.21</w:t>
            </w:r>
          </w:p>
        </w:tc>
        <w:tc>
          <w:tcPr>
            <w:tcW w:w="628" w:type="pct"/>
            <w:noWrap/>
            <w:hideMark/>
          </w:tcPr>
          <w:p w14:paraId="39F417F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6.61</w:t>
            </w:r>
          </w:p>
        </w:tc>
      </w:tr>
      <w:tr w:rsidR="003B162F" w:rsidRPr="008048F6" w14:paraId="441DBAE1" w14:textId="77777777" w:rsidTr="003B162F">
        <w:trPr>
          <w:trHeight w:val="300"/>
        </w:trPr>
        <w:tc>
          <w:tcPr>
            <w:tcW w:w="726" w:type="pct"/>
            <w:noWrap/>
            <w:hideMark/>
          </w:tcPr>
          <w:p w14:paraId="4C7C4E4D" w14:textId="3225E10F" w:rsidR="00741C73" w:rsidRPr="008048F6" w:rsidRDefault="008E625F" w:rsidP="008048F6">
            <w:pPr>
              <w:pStyle w:val="NormalWeb"/>
              <w:jc w:val="both"/>
              <w:rPr>
                <w:rFonts w:asciiTheme="majorBidi" w:hAnsiTheme="majorBidi" w:cstheme="majorBidi"/>
              </w:rPr>
            </w:pPr>
            <w:r>
              <w:rPr>
                <w:rFonts w:asciiTheme="majorBidi" w:hAnsiTheme="majorBidi" w:cstheme="majorBidi"/>
              </w:rPr>
              <w:t>GSTAR</w:t>
            </w:r>
            <w:r w:rsidR="00741C73" w:rsidRPr="008048F6">
              <w:rPr>
                <w:rFonts w:asciiTheme="majorBidi" w:hAnsiTheme="majorBidi" w:cstheme="majorBidi"/>
              </w:rPr>
              <w:t xml:space="preserve"> (%)</w:t>
            </w:r>
          </w:p>
        </w:tc>
        <w:tc>
          <w:tcPr>
            <w:tcW w:w="492" w:type="pct"/>
            <w:noWrap/>
            <w:hideMark/>
          </w:tcPr>
          <w:p w14:paraId="57D4AC5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23.7</w:t>
            </w:r>
          </w:p>
        </w:tc>
        <w:tc>
          <w:tcPr>
            <w:tcW w:w="503" w:type="pct"/>
            <w:noWrap/>
            <w:hideMark/>
          </w:tcPr>
          <w:p w14:paraId="14E3C984"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23.82</w:t>
            </w:r>
          </w:p>
        </w:tc>
        <w:tc>
          <w:tcPr>
            <w:tcW w:w="573" w:type="pct"/>
            <w:noWrap/>
            <w:hideMark/>
          </w:tcPr>
          <w:p w14:paraId="01B68CDF"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25.64</w:t>
            </w:r>
          </w:p>
        </w:tc>
        <w:tc>
          <w:tcPr>
            <w:tcW w:w="574" w:type="pct"/>
            <w:noWrap/>
            <w:hideMark/>
          </w:tcPr>
          <w:p w14:paraId="5346F82A" w14:textId="31476783"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24.3</w:t>
            </w:r>
            <w:r w:rsidR="00330240" w:rsidRPr="008048F6">
              <w:rPr>
                <w:rFonts w:asciiTheme="majorBidi" w:hAnsiTheme="majorBidi" w:cstheme="majorBidi"/>
              </w:rPr>
              <w:t>9</w:t>
            </w:r>
          </w:p>
        </w:tc>
        <w:tc>
          <w:tcPr>
            <w:tcW w:w="501" w:type="pct"/>
            <w:noWrap/>
            <w:hideMark/>
          </w:tcPr>
          <w:p w14:paraId="64AB4317"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22.52</w:t>
            </w:r>
          </w:p>
        </w:tc>
        <w:tc>
          <w:tcPr>
            <w:tcW w:w="502" w:type="pct"/>
            <w:noWrap/>
            <w:hideMark/>
          </w:tcPr>
          <w:p w14:paraId="1939C66A"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19.2</w:t>
            </w:r>
          </w:p>
        </w:tc>
        <w:tc>
          <w:tcPr>
            <w:tcW w:w="501" w:type="pct"/>
            <w:noWrap/>
            <w:hideMark/>
          </w:tcPr>
          <w:p w14:paraId="587D8A0D"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24.77</w:t>
            </w:r>
          </w:p>
        </w:tc>
        <w:tc>
          <w:tcPr>
            <w:tcW w:w="628" w:type="pct"/>
            <w:noWrap/>
            <w:hideMark/>
          </w:tcPr>
          <w:p w14:paraId="632601BE" w14:textId="58043E94"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22.16</w:t>
            </w:r>
          </w:p>
        </w:tc>
      </w:tr>
      <w:tr w:rsidR="003B162F" w:rsidRPr="008048F6" w14:paraId="63734F62" w14:textId="77777777" w:rsidTr="003B162F">
        <w:trPr>
          <w:trHeight w:val="300"/>
        </w:trPr>
        <w:tc>
          <w:tcPr>
            <w:tcW w:w="726" w:type="pct"/>
            <w:noWrap/>
            <w:hideMark/>
          </w:tcPr>
          <w:p w14:paraId="43970FF2" w14:textId="106AA0AD" w:rsidR="00741C73" w:rsidRPr="008048F6" w:rsidRDefault="008E625F" w:rsidP="008048F6">
            <w:pPr>
              <w:pStyle w:val="NormalWeb"/>
              <w:jc w:val="both"/>
              <w:rPr>
                <w:rFonts w:asciiTheme="majorBidi" w:hAnsiTheme="majorBidi" w:cstheme="majorBidi"/>
              </w:rPr>
            </w:pPr>
            <w:r>
              <w:rPr>
                <w:rFonts w:asciiTheme="majorBidi" w:hAnsiTheme="majorBidi" w:cstheme="majorBidi"/>
              </w:rPr>
              <w:t>LADD</w:t>
            </w:r>
            <w:r w:rsidR="00741C73" w:rsidRPr="008048F6">
              <w:rPr>
                <w:rFonts w:asciiTheme="majorBidi" w:hAnsiTheme="majorBidi" w:cstheme="majorBidi"/>
              </w:rPr>
              <w:t xml:space="preserve"> (%)</w:t>
            </w:r>
          </w:p>
        </w:tc>
        <w:tc>
          <w:tcPr>
            <w:tcW w:w="492" w:type="pct"/>
            <w:noWrap/>
            <w:hideMark/>
          </w:tcPr>
          <w:p w14:paraId="154B9853"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139.81</w:t>
            </w:r>
          </w:p>
        </w:tc>
        <w:tc>
          <w:tcPr>
            <w:tcW w:w="503" w:type="pct"/>
            <w:noWrap/>
            <w:hideMark/>
          </w:tcPr>
          <w:p w14:paraId="101F60BA"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217.64</w:t>
            </w:r>
          </w:p>
        </w:tc>
        <w:tc>
          <w:tcPr>
            <w:tcW w:w="573" w:type="pct"/>
            <w:noWrap/>
            <w:hideMark/>
          </w:tcPr>
          <w:p w14:paraId="1ECE785E"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159.11</w:t>
            </w:r>
          </w:p>
        </w:tc>
        <w:tc>
          <w:tcPr>
            <w:tcW w:w="574" w:type="pct"/>
            <w:noWrap/>
            <w:hideMark/>
          </w:tcPr>
          <w:p w14:paraId="71EC7BD9" w14:textId="21434E92"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172.1</w:t>
            </w:r>
            <w:r w:rsidR="00330240" w:rsidRPr="008048F6">
              <w:rPr>
                <w:rFonts w:asciiTheme="majorBidi" w:hAnsiTheme="majorBidi" w:cstheme="majorBidi"/>
              </w:rPr>
              <w:t>9</w:t>
            </w:r>
          </w:p>
        </w:tc>
        <w:tc>
          <w:tcPr>
            <w:tcW w:w="501" w:type="pct"/>
            <w:noWrap/>
            <w:hideMark/>
          </w:tcPr>
          <w:p w14:paraId="18581B89"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102.77</w:t>
            </w:r>
          </w:p>
        </w:tc>
        <w:tc>
          <w:tcPr>
            <w:tcW w:w="502" w:type="pct"/>
            <w:noWrap/>
            <w:hideMark/>
          </w:tcPr>
          <w:p w14:paraId="0725193C"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151.03</w:t>
            </w:r>
          </w:p>
        </w:tc>
        <w:tc>
          <w:tcPr>
            <w:tcW w:w="501" w:type="pct"/>
            <w:noWrap/>
            <w:hideMark/>
          </w:tcPr>
          <w:p w14:paraId="3545CAB2" w14:textId="77777777"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100.18</w:t>
            </w:r>
          </w:p>
        </w:tc>
        <w:tc>
          <w:tcPr>
            <w:tcW w:w="628" w:type="pct"/>
            <w:noWrap/>
            <w:hideMark/>
          </w:tcPr>
          <w:p w14:paraId="517DD578" w14:textId="6ED26EA1" w:rsidR="00741C73" w:rsidRPr="008048F6" w:rsidRDefault="00741C73" w:rsidP="008048F6">
            <w:pPr>
              <w:pStyle w:val="NormalWeb"/>
              <w:jc w:val="both"/>
              <w:rPr>
                <w:rFonts w:asciiTheme="majorBidi" w:hAnsiTheme="majorBidi" w:cstheme="majorBidi"/>
              </w:rPr>
            </w:pPr>
            <w:r w:rsidRPr="008048F6">
              <w:rPr>
                <w:rFonts w:asciiTheme="majorBidi" w:hAnsiTheme="majorBidi" w:cstheme="majorBidi"/>
              </w:rPr>
              <w:t>117.9</w:t>
            </w:r>
            <w:r w:rsidR="00330240" w:rsidRPr="008048F6">
              <w:rPr>
                <w:rFonts w:asciiTheme="majorBidi" w:hAnsiTheme="majorBidi" w:cstheme="majorBidi"/>
              </w:rPr>
              <w:t>9</w:t>
            </w:r>
          </w:p>
        </w:tc>
      </w:tr>
    </w:tbl>
    <w:p w14:paraId="0054EC81" w14:textId="494E7E95" w:rsidR="00082A82" w:rsidRDefault="00082A82" w:rsidP="00082A82">
      <w:pPr>
        <w:spacing w:after="240" w:line="360" w:lineRule="auto"/>
        <w:jc w:val="both"/>
        <w:rPr>
          <w:rFonts w:asciiTheme="majorBidi" w:hAnsiTheme="majorBidi" w:cstheme="majorBidi"/>
          <w:color w:val="000000"/>
        </w:rPr>
      </w:pPr>
      <w:r w:rsidRPr="00D92A5F">
        <w:rPr>
          <w:rFonts w:asciiTheme="majorBidi" w:hAnsiTheme="majorBidi" w:cstheme="majorBidi"/>
          <w:i/>
          <w:iCs/>
        </w:rPr>
        <w:t>Source: Authors’ Calculation</w:t>
      </w:r>
    </w:p>
    <w:p w14:paraId="394A0A9F" w14:textId="45435F7C" w:rsidR="0040320C" w:rsidRPr="008048F6" w:rsidRDefault="0040320C" w:rsidP="00082A82">
      <w:pPr>
        <w:spacing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Table 5 provides a summary of the bank's liquidity from the </w:t>
      </w:r>
      <w:r w:rsidR="008327ED">
        <w:rPr>
          <w:rFonts w:asciiTheme="majorBidi" w:hAnsiTheme="majorBidi" w:cstheme="majorBidi"/>
          <w:color w:val="000000"/>
        </w:rPr>
        <w:t xml:space="preserve">before </w:t>
      </w:r>
      <w:r w:rsidRPr="008048F6">
        <w:rPr>
          <w:rFonts w:asciiTheme="majorBidi" w:hAnsiTheme="majorBidi" w:cstheme="majorBidi"/>
          <w:color w:val="000000"/>
        </w:rPr>
        <w:t xml:space="preserve">merger period (2017-2020) to the </w:t>
      </w:r>
      <w:r w:rsidR="008327ED">
        <w:rPr>
          <w:rFonts w:asciiTheme="majorBidi" w:hAnsiTheme="majorBidi" w:cstheme="majorBidi"/>
          <w:color w:val="000000"/>
        </w:rPr>
        <w:t xml:space="preserve">after </w:t>
      </w:r>
      <w:r w:rsidRPr="008048F6">
        <w:rPr>
          <w:rFonts w:asciiTheme="majorBidi" w:hAnsiTheme="majorBidi" w:cstheme="majorBidi"/>
          <w:color w:val="000000"/>
        </w:rPr>
        <w:t xml:space="preserve">merger period (2021-2023). It utilizes four key indicators: </w:t>
      </w:r>
      <w:r w:rsidR="00EB37AA">
        <w:rPr>
          <w:rFonts w:asciiTheme="majorBidi" w:hAnsiTheme="majorBidi" w:cstheme="majorBidi"/>
          <w:color w:val="000000"/>
        </w:rPr>
        <w:t>LATAR, LATDR, GSTAR and LADD</w:t>
      </w:r>
      <w:r w:rsidRPr="008048F6">
        <w:rPr>
          <w:rFonts w:asciiTheme="majorBidi" w:hAnsiTheme="majorBidi" w:cstheme="majorBidi"/>
          <w:color w:val="000000"/>
        </w:rPr>
        <w:t xml:space="preserve">. Following the merger, the </w:t>
      </w:r>
      <w:r w:rsidR="00FB6CF6">
        <w:rPr>
          <w:rFonts w:asciiTheme="majorBidi" w:hAnsiTheme="majorBidi" w:cstheme="majorBidi"/>
          <w:color w:val="000000"/>
        </w:rPr>
        <w:t>LATAR</w:t>
      </w:r>
      <w:r w:rsidRPr="008048F6">
        <w:rPr>
          <w:rFonts w:asciiTheme="majorBidi" w:hAnsiTheme="majorBidi" w:cstheme="majorBidi"/>
          <w:color w:val="000000"/>
        </w:rPr>
        <w:t xml:space="preserve"> for Indian bank rose from 4.5% in 2019-20 to 7.05% in 2022-23. The </w:t>
      </w:r>
      <w:r w:rsidR="00FB6CF6">
        <w:rPr>
          <w:rFonts w:asciiTheme="majorBidi" w:hAnsiTheme="majorBidi" w:cstheme="majorBidi"/>
          <w:color w:val="000000"/>
        </w:rPr>
        <w:t>LATDR</w:t>
      </w:r>
      <w:r w:rsidRPr="008048F6">
        <w:rPr>
          <w:rFonts w:asciiTheme="majorBidi" w:hAnsiTheme="majorBidi" w:cstheme="majorBidi"/>
          <w:color w:val="000000"/>
        </w:rPr>
        <w:t xml:space="preserve"> also increased, from 5.35% to 8.07%. Additionally, the proportion of </w:t>
      </w:r>
      <w:r w:rsidR="00FB6CF6">
        <w:rPr>
          <w:rFonts w:asciiTheme="majorBidi" w:hAnsiTheme="majorBidi" w:cstheme="majorBidi"/>
          <w:color w:val="000000"/>
        </w:rPr>
        <w:t>GSTAR</w:t>
      </w:r>
      <w:r w:rsidRPr="008048F6">
        <w:rPr>
          <w:rFonts w:asciiTheme="majorBidi" w:hAnsiTheme="majorBidi" w:cstheme="majorBidi"/>
          <w:color w:val="000000"/>
        </w:rPr>
        <w:t xml:space="preserve"> showed a slight rise from 22.52% to 23.7%. Notably, the </w:t>
      </w:r>
      <w:r w:rsidR="00FB6CF6">
        <w:rPr>
          <w:rFonts w:asciiTheme="majorBidi" w:hAnsiTheme="majorBidi" w:cstheme="majorBidi"/>
          <w:color w:val="000000"/>
        </w:rPr>
        <w:t>LADD</w:t>
      </w:r>
      <w:r w:rsidRPr="008048F6">
        <w:rPr>
          <w:rFonts w:asciiTheme="majorBidi" w:hAnsiTheme="majorBidi" w:cstheme="majorBidi"/>
          <w:color w:val="000000"/>
        </w:rPr>
        <w:t xml:space="preserve"> ratio experienced a significant increase, climbing from 102.77% in 2019-20 to 139.81% in 2022-23.</w:t>
      </w:r>
    </w:p>
    <w:p w14:paraId="4FEEBCFD" w14:textId="6CB44A8D" w:rsidR="00DE70B6" w:rsidRPr="008048F6" w:rsidRDefault="008E625F" w:rsidP="008048F6">
      <w:pPr>
        <w:jc w:val="both"/>
        <w:rPr>
          <w:rFonts w:asciiTheme="majorBidi" w:hAnsiTheme="majorBidi" w:cstheme="majorBidi"/>
          <w:b/>
          <w:lang w:val="en-US"/>
        </w:rPr>
      </w:pPr>
      <w:r w:rsidRPr="00792594">
        <w:rPr>
          <w:rFonts w:asciiTheme="majorBidi" w:hAnsiTheme="majorBidi" w:cstheme="majorBidi"/>
          <w:b/>
        </w:rPr>
        <w:t>Table 6:</w:t>
      </w:r>
      <w:r>
        <w:rPr>
          <w:rFonts w:asciiTheme="majorBidi" w:hAnsiTheme="majorBidi" w:cstheme="majorBidi"/>
        </w:rPr>
        <w:t xml:space="preserve"> </w:t>
      </w:r>
      <w:r w:rsidR="00DE70B6" w:rsidRPr="008048F6">
        <w:rPr>
          <w:rFonts w:asciiTheme="majorBidi" w:hAnsiTheme="majorBidi" w:cstheme="majorBidi"/>
          <w:b/>
          <w:lang w:val="en-US"/>
        </w:rPr>
        <w:t xml:space="preserve">Summary of Results of Paired </w:t>
      </w:r>
      <w:r w:rsidR="00691374" w:rsidRPr="008048F6">
        <w:rPr>
          <w:rFonts w:asciiTheme="majorBidi" w:hAnsiTheme="majorBidi" w:cstheme="majorBidi"/>
          <w:b/>
          <w:lang w:val="en-US"/>
        </w:rPr>
        <w:t>t</w:t>
      </w:r>
      <w:r w:rsidR="00DE70B6" w:rsidRPr="008048F6">
        <w:rPr>
          <w:rFonts w:asciiTheme="majorBidi" w:hAnsiTheme="majorBidi" w:cstheme="majorBidi"/>
          <w:b/>
          <w:lang w:val="en-US"/>
        </w:rPr>
        <w:t>-</w:t>
      </w:r>
      <w:r w:rsidR="00691374" w:rsidRPr="008048F6">
        <w:rPr>
          <w:rFonts w:asciiTheme="majorBidi" w:hAnsiTheme="majorBidi" w:cstheme="majorBidi"/>
          <w:b/>
          <w:lang w:val="en-US"/>
        </w:rPr>
        <w:t>t</w:t>
      </w:r>
      <w:r w:rsidR="00DE70B6" w:rsidRPr="008048F6">
        <w:rPr>
          <w:rFonts w:asciiTheme="majorBidi" w:hAnsiTheme="majorBidi" w:cstheme="majorBidi"/>
          <w:b/>
          <w:lang w:val="en-US"/>
        </w:rPr>
        <w:t>est</w:t>
      </w:r>
    </w:p>
    <w:p w14:paraId="386B5799" w14:textId="77777777" w:rsidR="00DE70B6" w:rsidRPr="008048F6" w:rsidRDefault="00DE70B6" w:rsidP="008048F6">
      <w:pPr>
        <w:jc w:val="both"/>
        <w:rPr>
          <w:rFonts w:asciiTheme="majorBidi" w:hAnsiTheme="majorBidi" w:cstheme="majorBidi"/>
          <w:b/>
          <w:lang w:val="en-US"/>
        </w:rPr>
      </w:pPr>
    </w:p>
    <w:tbl>
      <w:tblPr>
        <w:tblStyle w:val="TableGrid"/>
        <w:tblW w:w="5504" w:type="pct"/>
        <w:tblLayout w:type="fixed"/>
        <w:tblLook w:val="04A0" w:firstRow="1" w:lastRow="0" w:firstColumn="1" w:lastColumn="0" w:noHBand="0" w:noVBand="1"/>
      </w:tblPr>
      <w:tblGrid>
        <w:gridCol w:w="1465"/>
        <w:gridCol w:w="2216"/>
        <w:gridCol w:w="1135"/>
        <w:gridCol w:w="851"/>
        <w:gridCol w:w="849"/>
        <w:gridCol w:w="994"/>
        <w:gridCol w:w="424"/>
        <w:gridCol w:w="10"/>
        <w:gridCol w:w="752"/>
        <w:gridCol w:w="6"/>
        <w:gridCol w:w="1216"/>
      </w:tblGrid>
      <w:tr w:rsidR="005716DC" w:rsidRPr="008048F6" w14:paraId="2DBC80C8" w14:textId="77777777" w:rsidTr="005C50B8">
        <w:trPr>
          <w:trHeight w:val="300"/>
        </w:trPr>
        <w:tc>
          <w:tcPr>
            <w:tcW w:w="1855" w:type="pct"/>
            <w:gridSpan w:val="2"/>
            <w:vMerge w:val="restart"/>
            <w:hideMark/>
          </w:tcPr>
          <w:p w14:paraId="18ED3EE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Particulars</w:t>
            </w:r>
          </w:p>
        </w:tc>
        <w:tc>
          <w:tcPr>
            <w:tcW w:w="1429" w:type="pct"/>
            <w:gridSpan w:val="3"/>
            <w:noWrap/>
            <w:hideMark/>
          </w:tcPr>
          <w:p w14:paraId="609329A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Paired Differences</w:t>
            </w:r>
          </w:p>
        </w:tc>
        <w:tc>
          <w:tcPr>
            <w:tcW w:w="501" w:type="pct"/>
            <w:vMerge w:val="restart"/>
            <w:noWrap/>
            <w:hideMark/>
          </w:tcPr>
          <w:p w14:paraId="08B2415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t</w:t>
            </w:r>
          </w:p>
        </w:tc>
        <w:tc>
          <w:tcPr>
            <w:tcW w:w="214" w:type="pct"/>
            <w:vMerge w:val="restart"/>
            <w:hideMark/>
          </w:tcPr>
          <w:p w14:paraId="39826820" w14:textId="30E36844" w:rsidR="00381D05" w:rsidRPr="008048F6" w:rsidRDefault="00381D05" w:rsidP="008048F6">
            <w:pPr>
              <w:jc w:val="both"/>
              <w:rPr>
                <w:rFonts w:asciiTheme="majorBidi" w:hAnsiTheme="majorBidi" w:cstheme="majorBidi"/>
              </w:rPr>
            </w:pPr>
            <w:r w:rsidRPr="008048F6">
              <w:rPr>
                <w:rFonts w:asciiTheme="majorBidi" w:hAnsiTheme="majorBidi" w:cstheme="majorBidi"/>
              </w:rPr>
              <w:t>df</w:t>
            </w:r>
          </w:p>
        </w:tc>
        <w:tc>
          <w:tcPr>
            <w:tcW w:w="384" w:type="pct"/>
            <w:gridSpan w:val="2"/>
            <w:vMerge w:val="restart"/>
            <w:hideMark/>
          </w:tcPr>
          <w:p w14:paraId="5AE1573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Sig. (2-tailed</w:t>
            </w:r>
          </w:p>
        </w:tc>
        <w:tc>
          <w:tcPr>
            <w:tcW w:w="617" w:type="pct"/>
            <w:gridSpan w:val="2"/>
            <w:vMerge w:val="restart"/>
            <w:noWrap/>
            <w:hideMark/>
          </w:tcPr>
          <w:p w14:paraId="11DB865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Results</w:t>
            </w:r>
          </w:p>
        </w:tc>
      </w:tr>
      <w:tr w:rsidR="002257A7" w:rsidRPr="008048F6" w14:paraId="100B5332" w14:textId="77777777" w:rsidTr="005C50B8">
        <w:trPr>
          <w:trHeight w:val="640"/>
        </w:trPr>
        <w:tc>
          <w:tcPr>
            <w:tcW w:w="1855" w:type="pct"/>
            <w:gridSpan w:val="2"/>
            <w:vMerge/>
            <w:hideMark/>
          </w:tcPr>
          <w:p w14:paraId="33A54AB4" w14:textId="77777777" w:rsidR="00381D05" w:rsidRPr="008048F6" w:rsidRDefault="00381D05" w:rsidP="008048F6">
            <w:pPr>
              <w:jc w:val="both"/>
              <w:rPr>
                <w:rFonts w:asciiTheme="majorBidi" w:hAnsiTheme="majorBidi" w:cstheme="majorBidi"/>
              </w:rPr>
            </w:pPr>
          </w:p>
        </w:tc>
        <w:tc>
          <w:tcPr>
            <w:tcW w:w="572" w:type="pct"/>
            <w:noWrap/>
            <w:hideMark/>
          </w:tcPr>
          <w:p w14:paraId="672FB14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Mean</w:t>
            </w:r>
          </w:p>
        </w:tc>
        <w:tc>
          <w:tcPr>
            <w:tcW w:w="429" w:type="pct"/>
            <w:hideMark/>
          </w:tcPr>
          <w:p w14:paraId="2BB010F6" w14:textId="33543CC1" w:rsidR="00381D05" w:rsidRPr="008048F6" w:rsidRDefault="00381D05" w:rsidP="008048F6">
            <w:pPr>
              <w:jc w:val="both"/>
              <w:rPr>
                <w:rFonts w:asciiTheme="majorBidi" w:hAnsiTheme="majorBidi" w:cstheme="majorBidi"/>
              </w:rPr>
            </w:pPr>
            <w:r w:rsidRPr="008048F6">
              <w:rPr>
                <w:rFonts w:asciiTheme="majorBidi" w:hAnsiTheme="majorBidi" w:cstheme="majorBidi"/>
              </w:rPr>
              <w:t>Std. Dev</w:t>
            </w:r>
            <w:r w:rsidR="00F80D15">
              <w:rPr>
                <w:rFonts w:asciiTheme="majorBidi" w:hAnsiTheme="majorBidi" w:cstheme="majorBidi"/>
              </w:rPr>
              <w:t>.</w:t>
            </w:r>
          </w:p>
        </w:tc>
        <w:tc>
          <w:tcPr>
            <w:tcW w:w="428" w:type="pct"/>
            <w:hideMark/>
          </w:tcPr>
          <w:p w14:paraId="1C877AF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Std. Error Mean</w:t>
            </w:r>
          </w:p>
        </w:tc>
        <w:tc>
          <w:tcPr>
            <w:tcW w:w="501" w:type="pct"/>
            <w:vMerge/>
            <w:hideMark/>
          </w:tcPr>
          <w:p w14:paraId="14864302" w14:textId="77777777" w:rsidR="00381D05" w:rsidRPr="008048F6" w:rsidRDefault="00381D05" w:rsidP="008048F6">
            <w:pPr>
              <w:jc w:val="both"/>
              <w:rPr>
                <w:rFonts w:asciiTheme="majorBidi" w:hAnsiTheme="majorBidi" w:cstheme="majorBidi"/>
              </w:rPr>
            </w:pPr>
          </w:p>
        </w:tc>
        <w:tc>
          <w:tcPr>
            <w:tcW w:w="214" w:type="pct"/>
            <w:vMerge/>
            <w:hideMark/>
          </w:tcPr>
          <w:p w14:paraId="7DC56A4E" w14:textId="77777777" w:rsidR="00381D05" w:rsidRPr="008048F6" w:rsidRDefault="00381D05" w:rsidP="008048F6">
            <w:pPr>
              <w:jc w:val="both"/>
              <w:rPr>
                <w:rFonts w:asciiTheme="majorBidi" w:hAnsiTheme="majorBidi" w:cstheme="majorBidi"/>
              </w:rPr>
            </w:pPr>
          </w:p>
        </w:tc>
        <w:tc>
          <w:tcPr>
            <w:tcW w:w="384" w:type="pct"/>
            <w:gridSpan w:val="2"/>
            <w:vMerge/>
            <w:hideMark/>
          </w:tcPr>
          <w:p w14:paraId="198C3696" w14:textId="77777777" w:rsidR="00381D05" w:rsidRPr="008048F6" w:rsidRDefault="00381D05" w:rsidP="008048F6">
            <w:pPr>
              <w:jc w:val="both"/>
              <w:rPr>
                <w:rFonts w:asciiTheme="majorBidi" w:hAnsiTheme="majorBidi" w:cstheme="majorBidi"/>
              </w:rPr>
            </w:pPr>
          </w:p>
        </w:tc>
        <w:tc>
          <w:tcPr>
            <w:tcW w:w="617" w:type="pct"/>
            <w:gridSpan w:val="2"/>
            <w:vMerge/>
            <w:hideMark/>
          </w:tcPr>
          <w:p w14:paraId="3316E2E6" w14:textId="77777777" w:rsidR="00381D05" w:rsidRPr="008048F6" w:rsidRDefault="00381D05" w:rsidP="008048F6">
            <w:pPr>
              <w:jc w:val="both"/>
              <w:rPr>
                <w:rFonts w:asciiTheme="majorBidi" w:hAnsiTheme="majorBidi" w:cstheme="majorBidi"/>
              </w:rPr>
            </w:pPr>
          </w:p>
        </w:tc>
      </w:tr>
      <w:tr w:rsidR="002257A7" w:rsidRPr="008048F6" w14:paraId="4B29B57E" w14:textId="77777777" w:rsidTr="005C50B8">
        <w:trPr>
          <w:trHeight w:val="300"/>
        </w:trPr>
        <w:tc>
          <w:tcPr>
            <w:tcW w:w="739" w:type="pct"/>
            <w:vMerge w:val="restart"/>
            <w:hideMark/>
          </w:tcPr>
          <w:p w14:paraId="1D835D2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Capital Adequacy</w:t>
            </w:r>
          </w:p>
        </w:tc>
        <w:tc>
          <w:tcPr>
            <w:tcW w:w="1117" w:type="pct"/>
            <w:noWrap/>
            <w:hideMark/>
          </w:tcPr>
          <w:p w14:paraId="5398D57D" w14:textId="421F8F31" w:rsidR="00381D05" w:rsidRPr="008048F6" w:rsidRDefault="00381D05" w:rsidP="008048F6">
            <w:pPr>
              <w:jc w:val="both"/>
              <w:rPr>
                <w:rFonts w:asciiTheme="majorBidi" w:hAnsiTheme="majorBidi" w:cstheme="majorBidi"/>
              </w:rPr>
            </w:pPr>
            <w:r w:rsidRPr="008048F6">
              <w:rPr>
                <w:rFonts w:asciiTheme="majorBidi" w:hAnsiTheme="majorBidi" w:cstheme="majorBidi"/>
              </w:rPr>
              <w:t>C</w:t>
            </w:r>
            <w:r w:rsidR="005C7122">
              <w:rPr>
                <w:rFonts w:asciiTheme="majorBidi" w:hAnsiTheme="majorBidi" w:cstheme="majorBidi"/>
              </w:rPr>
              <w:t xml:space="preserve">AR </w:t>
            </w:r>
          </w:p>
        </w:tc>
        <w:tc>
          <w:tcPr>
            <w:tcW w:w="572" w:type="pct"/>
            <w:noWrap/>
            <w:hideMark/>
          </w:tcPr>
          <w:p w14:paraId="29430B1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2.95</w:t>
            </w:r>
          </w:p>
        </w:tc>
        <w:tc>
          <w:tcPr>
            <w:tcW w:w="429" w:type="pct"/>
            <w:noWrap/>
            <w:hideMark/>
          </w:tcPr>
          <w:p w14:paraId="0C0CE2F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0.509</w:t>
            </w:r>
          </w:p>
        </w:tc>
        <w:tc>
          <w:tcPr>
            <w:tcW w:w="428" w:type="pct"/>
            <w:noWrap/>
            <w:hideMark/>
          </w:tcPr>
          <w:p w14:paraId="656C22B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0.294</w:t>
            </w:r>
          </w:p>
        </w:tc>
        <w:tc>
          <w:tcPr>
            <w:tcW w:w="501" w:type="pct"/>
            <w:noWrap/>
            <w:hideMark/>
          </w:tcPr>
          <w:p w14:paraId="007D233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-10.045</w:t>
            </w:r>
          </w:p>
        </w:tc>
        <w:tc>
          <w:tcPr>
            <w:tcW w:w="219" w:type="pct"/>
            <w:gridSpan w:val="2"/>
            <w:noWrap/>
            <w:hideMark/>
          </w:tcPr>
          <w:p w14:paraId="5BBCF98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7BBD963E" w14:textId="6E1B2E60" w:rsidR="00381D05" w:rsidRPr="008048F6" w:rsidRDefault="00381D05" w:rsidP="008048F6">
            <w:pPr>
              <w:jc w:val="both"/>
              <w:rPr>
                <w:rFonts w:asciiTheme="majorBidi" w:hAnsiTheme="majorBidi" w:cstheme="majorBidi"/>
              </w:rPr>
            </w:pPr>
            <w:r w:rsidRPr="008048F6">
              <w:rPr>
                <w:rFonts w:asciiTheme="majorBidi" w:hAnsiTheme="majorBidi" w:cstheme="majorBidi"/>
              </w:rPr>
              <w:t>0.009</w:t>
            </w:r>
          </w:p>
        </w:tc>
        <w:tc>
          <w:tcPr>
            <w:tcW w:w="614" w:type="pct"/>
            <w:noWrap/>
            <w:hideMark/>
          </w:tcPr>
          <w:p w14:paraId="3339CAE6" w14:textId="1B462475"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469F5A4E" w14:textId="77777777" w:rsidTr="005C50B8">
        <w:trPr>
          <w:trHeight w:val="300"/>
        </w:trPr>
        <w:tc>
          <w:tcPr>
            <w:tcW w:w="739" w:type="pct"/>
            <w:vMerge/>
            <w:hideMark/>
          </w:tcPr>
          <w:p w14:paraId="1A2477BF" w14:textId="77777777" w:rsidR="00381D05" w:rsidRPr="008048F6" w:rsidRDefault="00381D05" w:rsidP="008048F6">
            <w:pPr>
              <w:jc w:val="both"/>
              <w:rPr>
                <w:rFonts w:asciiTheme="majorBidi" w:hAnsiTheme="majorBidi" w:cstheme="majorBidi"/>
              </w:rPr>
            </w:pPr>
          </w:p>
        </w:tc>
        <w:tc>
          <w:tcPr>
            <w:tcW w:w="1117" w:type="pct"/>
            <w:noWrap/>
            <w:hideMark/>
          </w:tcPr>
          <w:p w14:paraId="04128D1E" w14:textId="59E1928F" w:rsidR="00381D05" w:rsidRPr="008048F6" w:rsidRDefault="00381D05" w:rsidP="008048F6">
            <w:pPr>
              <w:jc w:val="both"/>
              <w:rPr>
                <w:rFonts w:asciiTheme="majorBidi" w:hAnsiTheme="majorBidi" w:cstheme="majorBidi"/>
              </w:rPr>
            </w:pPr>
            <w:r w:rsidRPr="008048F6">
              <w:rPr>
                <w:rFonts w:asciiTheme="majorBidi" w:hAnsiTheme="majorBidi" w:cstheme="majorBidi"/>
              </w:rPr>
              <w:t>D</w:t>
            </w:r>
            <w:r w:rsidR="005C7122">
              <w:rPr>
                <w:rFonts w:asciiTheme="majorBidi" w:hAnsiTheme="majorBidi" w:cstheme="majorBidi"/>
              </w:rPr>
              <w:t>ER</w:t>
            </w:r>
          </w:p>
        </w:tc>
        <w:tc>
          <w:tcPr>
            <w:tcW w:w="572" w:type="pct"/>
            <w:noWrap/>
            <w:hideMark/>
          </w:tcPr>
          <w:p w14:paraId="56BC6A4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-0.444</w:t>
            </w:r>
          </w:p>
        </w:tc>
        <w:tc>
          <w:tcPr>
            <w:tcW w:w="429" w:type="pct"/>
            <w:noWrap/>
            <w:hideMark/>
          </w:tcPr>
          <w:p w14:paraId="1544F57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0.146</w:t>
            </w:r>
          </w:p>
        </w:tc>
        <w:tc>
          <w:tcPr>
            <w:tcW w:w="428" w:type="pct"/>
            <w:noWrap/>
            <w:hideMark/>
          </w:tcPr>
          <w:p w14:paraId="118A86E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0.084</w:t>
            </w:r>
          </w:p>
        </w:tc>
        <w:tc>
          <w:tcPr>
            <w:tcW w:w="501" w:type="pct"/>
            <w:noWrap/>
            <w:hideMark/>
          </w:tcPr>
          <w:p w14:paraId="0A65A17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5.27</w:t>
            </w:r>
          </w:p>
        </w:tc>
        <w:tc>
          <w:tcPr>
            <w:tcW w:w="219" w:type="pct"/>
            <w:gridSpan w:val="2"/>
            <w:noWrap/>
            <w:hideMark/>
          </w:tcPr>
          <w:p w14:paraId="77EEF98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25E7F149" w14:textId="7ED8B96C" w:rsidR="00381D05" w:rsidRPr="008048F6" w:rsidRDefault="00381D05" w:rsidP="008048F6">
            <w:pPr>
              <w:jc w:val="both"/>
              <w:rPr>
                <w:rFonts w:asciiTheme="majorBidi" w:hAnsiTheme="majorBidi" w:cstheme="majorBidi"/>
              </w:rPr>
            </w:pPr>
            <w:r w:rsidRPr="008048F6">
              <w:rPr>
                <w:rFonts w:asciiTheme="majorBidi" w:hAnsiTheme="majorBidi" w:cstheme="majorBidi"/>
              </w:rPr>
              <w:t>0.034</w:t>
            </w:r>
          </w:p>
        </w:tc>
        <w:tc>
          <w:tcPr>
            <w:tcW w:w="614" w:type="pct"/>
            <w:noWrap/>
            <w:hideMark/>
          </w:tcPr>
          <w:p w14:paraId="4E204261" w14:textId="37970CBC"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056F6E56" w14:textId="77777777" w:rsidTr="005C50B8">
        <w:trPr>
          <w:trHeight w:val="300"/>
        </w:trPr>
        <w:tc>
          <w:tcPr>
            <w:tcW w:w="739" w:type="pct"/>
            <w:vMerge/>
            <w:hideMark/>
          </w:tcPr>
          <w:p w14:paraId="6A583EB8" w14:textId="77777777" w:rsidR="00381D05" w:rsidRPr="008048F6" w:rsidRDefault="00381D05" w:rsidP="008048F6">
            <w:pPr>
              <w:jc w:val="both"/>
              <w:rPr>
                <w:rFonts w:asciiTheme="majorBidi" w:hAnsiTheme="majorBidi" w:cstheme="majorBidi"/>
              </w:rPr>
            </w:pPr>
          </w:p>
        </w:tc>
        <w:tc>
          <w:tcPr>
            <w:tcW w:w="1117" w:type="pct"/>
            <w:hideMark/>
          </w:tcPr>
          <w:p w14:paraId="566B179F" w14:textId="07309FAE" w:rsidR="00381D05" w:rsidRPr="008048F6" w:rsidRDefault="005C7122" w:rsidP="008048F6">
            <w:pPr>
              <w:jc w:val="both"/>
              <w:rPr>
                <w:rFonts w:asciiTheme="majorBidi" w:hAnsiTheme="majorBidi" w:cstheme="majorBidi"/>
              </w:rPr>
            </w:pPr>
            <w:proofErr w:type="spellStart"/>
            <w:r>
              <w:rPr>
                <w:rFonts w:asciiTheme="majorBidi" w:hAnsiTheme="majorBidi" w:cstheme="majorBidi"/>
              </w:rPr>
              <w:t>TAd</w:t>
            </w:r>
            <w:proofErr w:type="spellEnd"/>
            <w:r>
              <w:rPr>
                <w:rFonts w:asciiTheme="majorBidi" w:hAnsiTheme="majorBidi" w:cstheme="majorBidi"/>
              </w:rPr>
              <w:t xml:space="preserve"> to TA Ratio</w:t>
            </w:r>
          </w:p>
        </w:tc>
        <w:tc>
          <w:tcPr>
            <w:tcW w:w="572" w:type="pct"/>
            <w:noWrap/>
            <w:hideMark/>
          </w:tcPr>
          <w:p w14:paraId="6576157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-3.757</w:t>
            </w:r>
          </w:p>
        </w:tc>
        <w:tc>
          <w:tcPr>
            <w:tcW w:w="429" w:type="pct"/>
            <w:noWrap/>
            <w:hideMark/>
          </w:tcPr>
          <w:p w14:paraId="7E23375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3.035</w:t>
            </w:r>
          </w:p>
        </w:tc>
        <w:tc>
          <w:tcPr>
            <w:tcW w:w="428" w:type="pct"/>
            <w:noWrap/>
            <w:hideMark/>
          </w:tcPr>
          <w:p w14:paraId="281024FC"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1.752</w:t>
            </w:r>
          </w:p>
        </w:tc>
        <w:tc>
          <w:tcPr>
            <w:tcW w:w="501" w:type="pct"/>
            <w:noWrap/>
            <w:hideMark/>
          </w:tcPr>
          <w:p w14:paraId="0E67999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2.143</w:t>
            </w:r>
          </w:p>
        </w:tc>
        <w:tc>
          <w:tcPr>
            <w:tcW w:w="219" w:type="pct"/>
            <w:gridSpan w:val="2"/>
            <w:noWrap/>
            <w:hideMark/>
          </w:tcPr>
          <w:p w14:paraId="377ADDC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7F9A615F" w14:textId="38BE773D" w:rsidR="00381D05" w:rsidRPr="008048F6" w:rsidRDefault="00381D05" w:rsidP="008048F6">
            <w:pPr>
              <w:jc w:val="both"/>
              <w:rPr>
                <w:rFonts w:asciiTheme="majorBidi" w:hAnsiTheme="majorBidi" w:cstheme="majorBidi"/>
              </w:rPr>
            </w:pPr>
            <w:r w:rsidRPr="008048F6">
              <w:rPr>
                <w:rFonts w:asciiTheme="majorBidi" w:hAnsiTheme="majorBidi" w:cstheme="majorBidi"/>
              </w:rPr>
              <w:t>0.165</w:t>
            </w:r>
          </w:p>
        </w:tc>
        <w:tc>
          <w:tcPr>
            <w:tcW w:w="614" w:type="pct"/>
            <w:noWrap/>
            <w:hideMark/>
          </w:tcPr>
          <w:p w14:paraId="60966A0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0D1B49AE" w14:textId="77777777" w:rsidTr="005C50B8">
        <w:trPr>
          <w:trHeight w:val="500"/>
        </w:trPr>
        <w:tc>
          <w:tcPr>
            <w:tcW w:w="739" w:type="pct"/>
            <w:vMerge/>
            <w:hideMark/>
          </w:tcPr>
          <w:p w14:paraId="1EE88527" w14:textId="77777777" w:rsidR="00381D05" w:rsidRPr="008048F6" w:rsidRDefault="00381D05" w:rsidP="008048F6">
            <w:pPr>
              <w:jc w:val="both"/>
              <w:rPr>
                <w:rFonts w:asciiTheme="majorBidi" w:hAnsiTheme="majorBidi" w:cstheme="majorBidi"/>
              </w:rPr>
            </w:pPr>
          </w:p>
        </w:tc>
        <w:tc>
          <w:tcPr>
            <w:tcW w:w="1117" w:type="pct"/>
            <w:hideMark/>
          </w:tcPr>
          <w:p w14:paraId="5948ED94" w14:textId="1B473E26" w:rsidR="00381D05" w:rsidRPr="008048F6" w:rsidRDefault="005C7122" w:rsidP="008048F6">
            <w:pPr>
              <w:jc w:val="both"/>
              <w:rPr>
                <w:rFonts w:asciiTheme="majorBidi" w:hAnsiTheme="majorBidi" w:cstheme="majorBidi"/>
              </w:rPr>
            </w:pPr>
            <w:r>
              <w:rPr>
                <w:rFonts w:asciiTheme="majorBidi" w:hAnsiTheme="majorBidi" w:cstheme="majorBidi"/>
              </w:rPr>
              <w:t>GSTIR</w:t>
            </w:r>
          </w:p>
        </w:tc>
        <w:tc>
          <w:tcPr>
            <w:tcW w:w="572" w:type="pct"/>
            <w:noWrap/>
            <w:hideMark/>
          </w:tcPr>
          <w:p w14:paraId="5DCF1A6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5.527</w:t>
            </w:r>
          </w:p>
        </w:tc>
        <w:tc>
          <w:tcPr>
            <w:tcW w:w="429" w:type="pct"/>
            <w:noWrap/>
            <w:hideMark/>
          </w:tcPr>
          <w:p w14:paraId="6D3416B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3.1</w:t>
            </w:r>
          </w:p>
        </w:tc>
        <w:tc>
          <w:tcPr>
            <w:tcW w:w="428" w:type="pct"/>
            <w:noWrap/>
            <w:hideMark/>
          </w:tcPr>
          <w:p w14:paraId="025840A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1.79</w:t>
            </w:r>
          </w:p>
        </w:tc>
        <w:tc>
          <w:tcPr>
            <w:tcW w:w="501" w:type="pct"/>
            <w:noWrap/>
            <w:hideMark/>
          </w:tcPr>
          <w:p w14:paraId="0EB4F5F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-3.089</w:t>
            </w:r>
          </w:p>
        </w:tc>
        <w:tc>
          <w:tcPr>
            <w:tcW w:w="219" w:type="pct"/>
            <w:gridSpan w:val="2"/>
            <w:noWrap/>
            <w:hideMark/>
          </w:tcPr>
          <w:p w14:paraId="4F4C365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39CE320D" w14:textId="6092AB77" w:rsidR="00381D05" w:rsidRPr="008048F6" w:rsidRDefault="00381D05" w:rsidP="008048F6">
            <w:pPr>
              <w:jc w:val="both"/>
              <w:rPr>
                <w:rFonts w:asciiTheme="majorBidi" w:hAnsiTheme="majorBidi" w:cstheme="majorBidi"/>
              </w:rPr>
            </w:pPr>
            <w:r w:rsidRPr="008048F6">
              <w:rPr>
                <w:rFonts w:asciiTheme="majorBidi" w:hAnsiTheme="majorBidi" w:cstheme="majorBidi"/>
              </w:rPr>
              <w:t>0.09</w:t>
            </w:r>
            <w:r w:rsidR="00CE57E7" w:rsidRPr="008048F6">
              <w:rPr>
                <w:rFonts w:asciiTheme="majorBidi" w:hAnsiTheme="majorBidi" w:cstheme="majorBidi"/>
              </w:rPr>
              <w:t>1</w:t>
            </w:r>
          </w:p>
        </w:tc>
        <w:tc>
          <w:tcPr>
            <w:tcW w:w="614" w:type="pct"/>
            <w:noWrap/>
            <w:hideMark/>
          </w:tcPr>
          <w:p w14:paraId="3662F34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5EB72C34" w14:textId="77777777" w:rsidTr="005C50B8">
        <w:trPr>
          <w:trHeight w:val="300"/>
        </w:trPr>
        <w:tc>
          <w:tcPr>
            <w:tcW w:w="739" w:type="pct"/>
            <w:vMerge w:val="restart"/>
            <w:hideMark/>
          </w:tcPr>
          <w:p w14:paraId="6AE640B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Asset Quality</w:t>
            </w:r>
          </w:p>
        </w:tc>
        <w:tc>
          <w:tcPr>
            <w:tcW w:w="1117" w:type="pct"/>
            <w:noWrap/>
            <w:hideMark/>
          </w:tcPr>
          <w:p w14:paraId="1E4EC37E" w14:textId="0B1CB2B5" w:rsidR="00381D05" w:rsidRPr="008048F6" w:rsidRDefault="005C7122" w:rsidP="008048F6">
            <w:pPr>
              <w:jc w:val="both"/>
              <w:rPr>
                <w:rFonts w:asciiTheme="majorBidi" w:hAnsiTheme="majorBidi" w:cstheme="majorBidi"/>
              </w:rPr>
            </w:pPr>
            <w:r>
              <w:rPr>
                <w:rFonts w:asciiTheme="majorBidi" w:hAnsiTheme="majorBidi" w:cstheme="majorBidi"/>
              </w:rPr>
              <w:t xml:space="preserve">NNPA TO </w:t>
            </w:r>
            <w:proofErr w:type="spellStart"/>
            <w:r>
              <w:rPr>
                <w:rFonts w:asciiTheme="majorBidi" w:hAnsiTheme="majorBidi" w:cstheme="majorBidi"/>
              </w:rPr>
              <w:t>NAd</w:t>
            </w:r>
            <w:proofErr w:type="spellEnd"/>
          </w:p>
        </w:tc>
        <w:tc>
          <w:tcPr>
            <w:tcW w:w="572" w:type="pct"/>
            <w:noWrap/>
            <w:hideMark/>
          </w:tcPr>
          <w:p w14:paraId="4EAE860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-1.38</w:t>
            </w:r>
          </w:p>
        </w:tc>
        <w:tc>
          <w:tcPr>
            <w:tcW w:w="429" w:type="pct"/>
            <w:noWrap/>
            <w:hideMark/>
          </w:tcPr>
          <w:p w14:paraId="1858787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w:t>
            </w:r>
          </w:p>
        </w:tc>
        <w:tc>
          <w:tcPr>
            <w:tcW w:w="428" w:type="pct"/>
            <w:noWrap/>
            <w:hideMark/>
          </w:tcPr>
          <w:p w14:paraId="1511158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0.519</w:t>
            </w:r>
          </w:p>
        </w:tc>
        <w:tc>
          <w:tcPr>
            <w:tcW w:w="501" w:type="pct"/>
            <w:noWrap/>
            <w:hideMark/>
          </w:tcPr>
          <w:p w14:paraId="4B731E9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2.665</w:t>
            </w:r>
          </w:p>
        </w:tc>
        <w:tc>
          <w:tcPr>
            <w:tcW w:w="219" w:type="pct"/>
            <w:gridSpan w:val="2"/>
            <w:noWrap/>
            <w:hideMark/>
          </w:tcPr>
          <w:p w14:paraId="1A69D5E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693F1411" w14:textId="21D0F026" w:rsidR="00381D05" w:rsidRPr="008048F6" w:rsidRDefault="00381D05" w:rsidP="008048F6">
            <w:pPr>
              <w:jc w:val="both"/>
              <w:rPr>
                <w:rFonts w:asciiTheme="majorBidi" w:hAnsiTheme="majorBidi" w:cstheme="majorBidi"/>
              </w:rPr>
            </w:pPr>
            <w:r w:rsidRPr="008048F6">
              <w:rPr>
                <w:rFonts w:asciiTheme="majorBidi" w:hAnsiTheme="majorBidi" w:cstheme="majorBidi"/>
              </w:rPr>
              <w:t>0.116</w:t>
            </w:r>
          </w:p>
        </w:tc>
        <w:tc>
          <w:tcPr>
            <w:tcW w:w="614" w:type="pct"/>
            <w:noWrap/>
            <w:hideMark/>
          </w:tcPr>
          <w:p w14:paraId="33F1CFA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2C50E172" w14:textId="77777777" w:rsidTr="005C50B8">
        <w:trPr>
          <w:trHeight w:val="300"/>
        </w:trPr>
        <w:tc>
          <w:tcPr>
            <w:tcW w:w="739" w:type="pct"/>
            <w:vMerge/>
            <w:hideMark/>
          </w:tcPr>
          <w:p w14:paraId="3427A321" w14:textId="77777777" w:rsidR="00381D05" w:rsidRPr="008048F6" w:rsidRDefault="00381D05" w:rsidP="008048F6">
            <w:pPr>
              <w:jc w:val="both"/>
              <w:rPr>
                <w:rFonts w:asciiTheme="majorBidi" w:hAnsiTheme="majorBidi" w:cstheme="majorBidi"/>
              </w:rPr>
            </w:pPr>
          </w:p>
        </w:tc>
        <w:tc>
          <w:tcPr>
            <w:tcW w:w="1117" w:type="pct"/>
            <w:hideMark/>
          </w:tcPr>
          <w:p w14:paraId="6FA9F377" w14:textId="687C686F" w:rsidR="00381D05" w:rsidRPr="008048F6" w:rsidRDefault="005C7122" w:rsidP="008048F6">
            <w:pPr>
              <w:jc w:val="both"/>
              <w:rPr>
                <w:rFonts w:asciiTheme="majorBidi" w:hAnsiTheme="majorBidi" w:cstheme="majorBidi"/>
              </w:rPr>
            </w:pPr>
            <w:r>
              <w:rPr>
                <w:rFonts w:asciiTheme="majorBidi" w:hAnsiTheme="majorBidi" w:cstheme="majorBidi"/>
              </w:rPr>
              <w:t>TI to TA Ratio</w:t>
            </w:r>
          </w:p>
        </w:tc>
        <w:tc>
          <w:tcPr>
            <w:tcW w:w="572" w:type="pct"/>
            <w:noWrap/>
            <w:hideMark/>
          </w:tcPr>
          <w:p w14:paraId="65EE0B3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0.93</w:t>
            </w:r>
          </w:p>
        </w:tc>
        <w:tc>
          <w:tcPr>
            <w:tcW w:w="429" w:type="pct"/>
            <w:noWrap/>
            <w:hideMark/>
          </w:tcPr>
          <w:p w14:paraId="78307DD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1.612</w:t>
            </w:r>
          </w:p>
        </w:tc>
        <w:tc>
          <w:tcPr>
            <w:tcW w:w="428" w:type="pct"/>
            <w:noWrap/>
            <w:hideMark/>
          </w:tcPr>
          <w:p w14:paraId="7757900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0.931</w:t>
            </w:r>
          </w:p>
        </w:tc>
        <w:tc>
          <w:tcPr>
            <w:tcW w:w="501" w:type="pct"/>
            <w:noWrap/>
            <w:hideMark/>
          </w:tcPr>
          <w:p w14:paraId="753DDD0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-0.999</w:t>
            </w:r>
          </w:p>
        </w:tc>
        <w:tc>
          <w:tcPr>
            <w:tcW w:w="219" w:type="pct"/>
            <w:gridSpan w:val="2"/>
            <w:noWrap/>
            <w:hideMark/>
          </w:tcPr>
          <w:p w14:paraId="6154FFB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14E3669A" w14:textId="688064BB" w:rsidR="00381D05" w:rsidRPr="008048F6" w:rsidRDefault="00381D05" w:rsidP="008048F6">
            <w:pPr>
              <w:jc w:val="both"/>
              <w:rPr>
                <w:rFonts w:asciiTheme="majorBidi" w:hAnsiTheme="majorBidi" w:cstheme="majorBidi"/>
              </w:rPr>
            </w:pPr>
            <w:r w:rsidRPr="008048F6">
              <w:rPr>
                <w:rFonts w:asciiTheme="majorBidi" w:hAnsiTheme="majorBidi" w:cstheme="majorBidi"/>
              </w:rPr>
              <w:t>0.423</w:t>
            </w:r>
          </w:p>
        </w:tc>
        <w:tc>
          <w:tcPr>
            <w:tcW w:w="614" w:type="pct"/>
            <w:noWrap/>
            <w:hideMark/>
          </w:tcPr>
          <w:p w14:paraId="72E3E83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5260A0F6" w14:textId="77777777" w:rsidTr="005C50B8">
        <w:trPr>
          <w:trHeight w:val="300"/>
        </w:trPr>
        <w:tc>
          <w:tcPr>
            <w:tcW w:w="739" w:type="pct"/>
            <w:vMerge w:val="restart"/>
            <w:hideMark/>
          </w:tcPr>
          <w:p w14:paraId="35E5AD4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Management Efficiency</w:t>
            </w:r>
          </w:p>
        </w:tc>
        <w:tc>
          <w:tcPr>
            <w:tcW w:w="1117" w:type="pct"/>
            <w:noWrap/>
            <w:hideMark/>
          </w:tcPr>
          <w:p w14:paraId="47364979" w14:textId="7BE6BD84" w:rsidR="00381D05" w:rsidRPr="008048F6" w:rsidRDefault="005C7122" w:rsidP="008048F6">
            <w:pPr>
              <w:jc w:val="both"/>
              <w:rPr>
                <w:rFonts w:asciiTheme="majorBidi" w:hAnsiTheme="majorBidi" w:cstheme="majorBidi"/>
              </w:rPr>
            </w:pPr>
            <w:proofErr w:type="spellStart"/>
            <w:r>
              <w:rPr>
                <w:rFonts w:asciiTheme="majorBidi" w:hAnsiTheme="majorBidi" w:cstheme="majorBidi"/>
              </w:rPr>
              <w:t>TAd</w:t>
            </w:r>
            <w:proofErr w:type="spellEnd"/>
            <w:r>
              <w:rPr>
                <w:rFonts w:asciiTheme="majorBidi" w:hAnsiTheme="majorBidi" w:cstheme="majorBidi"/>
              </w:rPr>
              <w:t xml:space="preserve"> to </w:t>
            </w:r>
            <w:r w:rsidR="00340B30">
              <w:rPr>
                <w:rFonts w:asciiTheme="majorBidi" w:hAnsiTheme="majorBidi" w:cstheme="majorBidi"/>
              </w:rPr>
              <w:t>TD Ratio</w:t>
            </w:r>
          </w:p>
        </w:tc>
        <w:tc>
          <w:tcPr>
            <w:tcW w:w="572" w:type="pct"/>
            <w:noWrap/>
            <w:hideMark/>
          </w:tcPr>
          <w:p w14:paraId="08AD936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-6.93</w:t>
            </w:r>
          </w:p>
        </w:tc>
        <w:tc>
          <w:tcPr>
            <w:tcW w:w="429" w:type="pct"/>
            <w:noWrap/>
            <w:hideMark/>
          </w:tcPr>
          <w:p w14:paraId="05FBC3B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2.9</w:t>
            </w:r>
          </w:p>
        </w:tc>
        <w:tc>
          <w:tcPr>
            <w:tcW w:w="428" w:type="pct"/>
            <w:noWrap/>
            <w:hideMark/>
          </w:tcPr>
          <w:p w14:paraId="268FDDE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1.673</w:t>
            </w:r>
          </w:p>
        </w:tc>
        <w:tc>
          <w:tcPr>
            <w:tcW w:w="501" w:type="pct"/>
            <w:noWrap/>
            <w:hideMark/>
          </w:tcPr>
          <w:p w14:paraId="7841D1D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4.145</w:t>
            </w:r>
          </w:p>
        </w:tc>
        <w:tc>
          <w:tcPr>
            <w:tcW w:w="219" w:type="pct"/>
            <w:gridSpan w:val="2"/>
            <w:noWrap/>
            <w:hideMark/>
          </w:tcPr>
          <w:p w14:paraId="101D2CC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4A4AD2BC" w14:textId="221636B3" w:rsidR="00381D05" w:rsidRPr="008048F6" w:rsidRDefault="00381D05" w:rsidP="008048F6">
            <w:pPr>
              <w:jc w:val="both"/>
              <w:rPr>
                <w:rFonts w:asciiTheme="majorBidi" w:hAnsiTheme="majorBidi" w:cstheme="majorBidi"/>
              </w:rPr>
            </w:pPr>
            <w:r w:rsidRPr="008048F6">
              <w:rPr>
                <w:rFonts w:asciiTheme="majorBidi" w:hAnsiTheme="majorBidi" w:cstheme="majorBidi"/>
              </w:rPr>
              <w:t>0.053</w:t>
            </w:r>
          </w:p>
        </w:tc>
        <w:tc>
          <w:tcPr>
            <w:tcW w:w="614" w:type="pct"/>
            <w:noWrap/>
            <w:hideMark/>
          </w:tcPr>
          <w:p w14:paraId="3383625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4C0CC181" w14:textId="77777777" w:rsidTr="005C50B8">
        <w:trPr>
          <w:trHeight w:val="300"/>
        </w:trPr>
        <w:tc>
          <w:tcPr>
            <w:tcW w:w="739" w:type="pct"/>
            <w:vMerge/>
            <w:hideMark/>
          </w:tcPr>
          <w:p w14:paraId="600BD2C9" w14:textId="77777777" w:rsidR="00381D05" w:rsidRPr="008048F6" w:rsidRDefault="00381D05" w:rsidP="008048F6">
            <w:pPr>
              <w:jc w:val="both"/>
              <w:rPr>
                <w:rFonts w:asciiTheme="majorBidi" w:hAnsiTheme="majorBidi" w:cstheme="majorBidi"/>
              </w:rPr>
            </w:pPr>
          </w:p>
        </w:tc>
        <w:tc>
          <w:tcPr>
            <w:tcW w:w="1117" w:type="pct"/>
            <w:noWrap/>
            <w:hideMark/>
          </w:tcPr>
          <w:p w14:paraId="40A2458E" w14:textId="349A408C" w:rsidR="00381D05" w:rsidRPr="008048F6" w:rsidRDefault="00340B30" w:rsidP="008048F6">
            <w:pPr>
              <w:jc w:val="both"/>
              <w:rPr>
                <w:rFonts w:asciiTheme="majorBidi" w:hAnsiTheme="majorBidi" w:cstheme="majorBidi"/>
              </w:rPr>
            </w:pPr>
            <w:r>
              <w:rPr>
                <w:rFonts w:asciiTheme="majorBidi" w:hAnsiTheme="majorBidi" w:cstheme="majorBidi"/>
              </w:rPr>
              <w:t>EPE</w:t>
            </w:r>
          </w:p>
        </w:tc>
        <w:tc>
          <w:tcPr>
            <w:tcW w:w="572" w:type="pct"/>
            <w:noWrap/>
            <w:hideMark/>
          </w:tcPr>
          <w:p w14:paraId="2C533EF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0.6</w:t>
            </w:r>
          </w:p>
        </w:tc>
        <w:tc>
          <w:tcPr>
            <w:tcW w:w="429" w:type="pct"/>
            <w:noWrap/>
            <w:hideMark/>
          </w:tcPr>
          <w:p w14:paraId="10A25BA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0.436</w:t>
            </w:r>
          </w:p>
        </w:tc>
        <w:tc>
          <w:tcPr>
            <w:tcW w:w="428" w:type="pct"/>
            <w:noWrap/>
            <w:hideMark/>
          </w:tcPr>
          <w:p w14:paraId="3FA3B13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0.252</w:t>
            </w:r>
          </w:p>
        </w:tc>
        <w:tc>
          <w:tcPr>
            <w:tcW w:w="501" w:type="pct"/>
            <w:noWrap/>
            <w:hideMark/>
          </w:tcPr>
          <w:p w14:paraId="05D1B19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-2.384</w:t>
            </w:r>
          </w:p>
        </w:tc>
        <w:tc>
          <w:tcPr>
            <w:tcW w:w="219" w:type="pct"/>
            <w:gridSpan w:val="2"/>
            <w:noWrap/>
            <w:hideMark/>
          </w:tcPr>
          <w:p w14:paraId="5896D34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2D35554B" w14:textId="47D0CAFB" w:rsidR="00381D05" w:rsidRPr="008048F6" w:rsidRDefault="00381D05" w:rsidP="008048F6">
            <w:pPr>
              <w:jc w:val="both"/>
              <w:rPr>
                <w:rFonts w:asciiTheme="majorBidi" w:hAnsiTheme="majorBidi" w:cstheme="majorBidi"/>
              </w:rPr>
            </w:pPr>
            <w:r w:rsidRPr="008048F6">
              <w:rPr>
                <w:rFonts w:asciiTheme="majorBidi" w:hAnsiTheme="majorBidi" w:cstheme="majorBidi"/>
              </w:rPr>
              <w:t>0.1</w:t>
            </w:r>
            <w:r w:rsidR="00CE57E7" w:rsidRPr="008048F6">
              <w:rPr>
                <w:rFonts w:asciiTheme="majorBidi" w:hAnsiTheme="majorBidi" w:cstheme="majorBidi"/>
              </w:rPr>
              <w:t>40</w:t>
            </w:r>
          </w:p>
        </w:tc>
        <w:tc>
          <w:tcPr>
            <w:tcW w:w="614" w:type="pct"/>
            <w:noWrap/>
            <w:hideMark/>
          </w:tcPr>
          <w:p w14:paraId="7215DEA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0F7DF99B" w14:textId="77777777" w:rsidTr="005C50B8">
        <w:trPr>
          <w:trHeight w:val="300"/>
        </w:trPr>
        <w:tc>
          <w:tcPr>
            <w:tcW w:w="739" w:type="pct"/>
            <w:vMerge/>
            <w:hideMark/>
          </w:tcPr>
          <w:p w14:paraId="20685B4A" w14:textId="77777777" w:rsidR="00381D05" w:rsidRPr="008048F6" w:rsidRDefault="00381D05" w:rsidP="008048F6">
            <w:pPr>
              <w:jc w:val="both"/>
              <w:rPr>
                <w:rFonts w:asciiTheme="majorBidi" w:hAnsiTheme="majorBidi" w:cstheme="majorBidi"/>
              </w:rPr>
            </w:pPr>
          </w:p>
        </w:tc>
        <w:tc>
          <w:tcPr>
            <w:tcW w:w="1117" w:type="pct"/>
            <w:noWrap/>
            <w:hideMark/>
          </w:tcPr>
          <w:p w14:paraId="5E82EF29" w14:textId="18A61DD8" w:rsidR="00381D05" w:rsidRPr="008048F6" w:rsidRDefault="00340B30" w:rsidP="008048F6">
            <w:pPr>
              <w:jc w:val="both"/>
              <w:rPr>
                <w:rFonts w:asciiTheme="majorBidi" w:hAnsiTheme="majorBidi" w:cstheme="majorBidi"/>
              </w:rPr>
            </w:pPr>
            <w:r>
              <w:rPr>
                <w:rFonts w:asciiTheme="majorBidi" w:hAnsiTheme="majorBidi" w:cstheme="majorBidi"/>
              </w:rPr>
              <w:t>BPE</w:t>
            </w:r>
          </w:p>
        </w:tc>
        <w:tc>
          <w:tcPr>
            <w:tcW w:w="572" w:type="pct"/>
            <w:noWrap/>
            <w:hideMark/>
          </w:tcPr>
          <w:p w14:paraId="601DEA7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-39.63</w:t>
            </w:r>
          </w:p>
        </w:tc>
        <w:tc>
          <w:tcPr>
            <w:tcW w:w="429" w:type="pct"/>
            <w:noWrap/>
            <w:hideMark/>
          </w:tcPr>
          <w:p w14:paraId="76B8804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12.548</w:t>
            </w:r>
          </w:p>
        </w:tc>
        <w:tc>
          <w:tcPr>
            <w:tcW w:w="428" w:type="pct"/>
            <w:noWrap/>
            <w:hideMark/>
          </w:tcPr>
          <w:p w14:paraId="1F1E856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7.245</w:t>
            </w:r>
          </w:p>
        </w:tc>
        <w:tc>
          <w:tcPr>
            <w:tcW w:w="501" w:type="pct"/>
            <w:noWrap/>
            <w:hideMark/>
          </w:tcPr>
          <w:p w14:paraId="70F0974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-4.628</w:t>
            </w:r>
          </w:p>
        </w:tc>
        <w:tc>
          <w:tcPr>
            <w:tcW w:w="219" w:type="pct"/>
            <w:gridSpan w:val="2"/>
            <w:noWrap/>
            <w:hideMark/>
          </w:tcPr>
          <w:p w14:paraId="58E7ACD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4ADDD938" w14:textId="344A06F8" w:rsidR="00381D05" w:rsidRPr="008048F6" w:rsidRDefault="00381D05" w:rsidP="008048F6">
            <w:pPr>
              <w:jc w:val="both"/>
              <w:rPr>
                <w:rFonts w:asciiTheme="majorBidi" w:hAnsiTheme="majorBidi" w:cstheme="majorBidi"/>
              </w:rPr>
            </w:pPr>
            <w:r w:rsidRPr="008048F6">
              <w:rPr>
                <w:rFonts w:asciiTheme="majorBidi" w:hAnsiTheme="majorBidi" w:cstheme="majorBidi"/>
              </w:rPr>
              <w:t>0.04</w:t>
            </w:r>
            <w:r w:rsidR="00CE57E7" w:rsidRPr="008048F6">
              <w:rPr>
                <w:rFonts w:asciiTheme="majorBidi" w:hAnsiTheme="majorBidi" w:cstheme="majorBidi"/>
              </w:rPr>
              <w:t>4</w:t>
            </w:r>
          </w:p>
        </w:tc>
        <w:tc>
          <w:tcPr>
            <w:tcW w:w="614" w:type="pct"/>
            <w:noWrap/>
            <w:hideMark/>
          </w:tcPr>
          <w:p w14:paraId="3BE30685" w14:textId="08F160B1"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4C482E36" w14:textId="77777777" w:rsidTr="005C50B8">
        <w:trPr>
          <w:trHeight w:val="300"/>
        </w:trPr>
        <w:tc>
          <w:tcPr>
            <w:tcW w:w="739" w:type="pct"/>
            <w:vMerge w:val="restart"/>
            <w:hideMark/>
          </w:tcPr>
          <w:p w14:paraId="6EDD684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Earning Efficiency</w:t>
            </w:r>
          </w:p>
        </w:tc>
        <w:tc>
          <w:tcPr>
            <w:tcW w:w="1117" w:type="pct"/>
            <w:noWrap/>
            <w:hideMark/>
          </w:tcPr>
          <w:p w14:paraId="3EF56140" w14:textId="427B39E7" w:rsidR="00381D05" w:rsidRPr="008048F6" w:rsidRDefault="00340B30" w:rsidP="008048F6">
            <w:pPr>
              <w:jc w:val="both"/>
              <w:rPr>
                <w:rFonts w:asciiTheme="majorBidi" w:hAnsiTheme="majorBidi" w:cstheme="majorBidi"/>
              </w:rPr>
            </w:pPr>
            <w:r>
              <w:rPr>
                <w:rFonts w:asciiTheme="majorBidi" w:hAnsiTheme="majorBidi" w:cstheme="majorBidi"/>
              </w:rPr>
              <w:t>ROA</w:t>
            </w:r>
          </w:p>
        </w:tc>
        <w:tc>
          <w:tcPr>
            <w:tcW w:w="572" w:type="pct"/>
            <w:noWrap/>
            <w:hideMark/>
          </w:tcPr>
          <w:p w14:paraId="66A0B3C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0.33</w:t>
            </w:r>
          </w:p>
        </w:tc>
        <w:tc>
          <w:tcPr>
            <w:tcW w:w="429" w:type="pct"/>
            <w:noWrap/>
            <w:hideMark/>
          </w:tcPr>
          <w:p w14:paraId="3E1DF03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0.312</w:t>
            </w:r>
          </w:p>
        </w:tc>
        <w:tc>
          <w:tcPr>
            <w:tcW w:w="428" w:type="pct"/>
            <w:noWrap/>
            <w:hideMark/>
          </w:tcPr>
          <w:p w14:paraId="1D94A7A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0.18</w:t>
            </w:r>
          </w:p>
        </w:tc>
        <w:tc>
          <w:tcPr>
            <w:tcW w:w="501" w:type="pct"/>
            <w:noWrap/>
            <w:hideMark/>
          </w:tcPr>
          <w:p w14:paraId="6AEF697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-1.833</w:t>
            </w:r>
          </w:p>
        </w:tc>
        <w:tc>
          <w:tcPr>
            <w:tcW w:w="219" w:type="pct"/>
            <w:gridSpan w:val="2"/>
            <w:noWrap/>
            <w:hideMark/>
          </w:tcPr>
          <w:p w14:paraId="7DADA08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08F3E144" w14:textId="191212E0" w:rsidR="00381D05" w:rsidRPr="008048F6" w:rsidRDefault="00381D05" w:rsidP="008048F6">
            <w:pPr>
              <w:jc w:val="both"/>
              <w:rPr>
                <w:rFonts w:asciiTheme="majorBidi" w:hAnsiTheme="majorBidi" w:cstheme="majorBidi"/>
              </w:rPr>
            </w:pPr>
            <w:r w:rsidRPr="008048F6">
              <w:rPr>
                <w:rFonts w:asciiTheme="majorBidi" w:hAnsiTheme="majorBidi" w:cstheme="majorBidi"/>
              </w:rPr>
              <w:t>0.208</w:t>
            </w:r>
          </w:p>
        </w:tc>
        <w:tc>
          <w:tcPr>
            <w:tcW w:w="614" w:type="pct"/>
            <w:noWrap/>
            <w:hideMark/>
          </w:tcPr>
          <w:p w14:paraId="0F15A42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455FC795" w14:textId="77777777" w:rsidTr="005C50B8">
        <w:trPr>
          <w:trHeight w:val="300"/>
        </w:trPr>
        <w:tc>
          <w:tcPr>
            <w:tcW w:w="739" w:type="pct"/>
            <w:vMerge/>
            <w:hideMark/>
          </w:tcPr>
          <w:p w14:paraId="08219B9F" w14:textId="77777777" w:rsidR="00381D05" w:rsidRPr="008048F6" w:rsidRDefault="00381D05" w:rsidP="008048F6">
            <w:pPr>
              <w:jc w:val="both"/>
              <w:rPr>
                <w:rFonts w:asciiTheme="majorBidi" w:hAnsiTheme="majorBidi" w:cstheme="majorBidi"/>
              </w:rPr>
            </w:pPr>
          </w:p>
        </w:tc>
        <w:tc>
          <w:tcPr>
            <w:tcW w:w="1117" w:type="pct"/>
            <w:noWrap/>
            <w:hideMark/>
          </w:tcPr>
          <w:p w14:paraId="0C5BD99D" w14:textId="0DDB1F84" w:rsidR="00381D05" w:rsidRPr="008048F6" w:rsidRDefault="00340B30" w:rsidP="008048F6">
            <w:pPr>
              <w:jc w:val="both"/>
              <w:rPr>
                <w:rFonts w:asciiTheme="majorBidi" w:hAnsiTheme="majorBidi" w:cstheme="majorBidi"/>
              </w:rPr>
            </w:pPr>
            <w:r>
              <w:rPr>
                <w:rFonts w:asciiTheme="majorBidi" w:hAnsiTheme="majorBidi" w:cstheme="majorBidi"/>
              </w:rPr>
              <w:t>ROE</w:t>
            </w:r>
          </w:p>
        </w:tc>
        <w:tc>
          <w:tcPr>
            <w:tcW w:w="572" w:type="pct"/>
            <w:noWrap/>
            <w:hideMark/>
          </w:tcPr>
          <w:p w14:paraId="3AB80E0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2.66</w:t>
            </w:r>
          </w:p>
        </w:tc>
        <w:tc>
          <w:tcPr>
            <w:tcW w:w="429" w:type="pct"/>
            <w:noWrap/>
            <w:hideMark/>
          </w:tcPr>
          <w:p w14:paraId="41FE68D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0.542</w:t>
            </w:r>
          </w:p>
        </w:tc>
        <w:tc>
          <w:tcPr>
            <w:tcW w:w="428" w:type="pct"/>
            <w:noWrap/>
            <w:hideMark/>
          </w:tcPr>
          <w:p w14:paraId="58092BE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0.313</w:t>
            </w:r>
          </w:p>
        </w:tc>
        <w:tc>
          <w:tcPr>
            <w:tcW w:w="501" w:type="pct"/>
            <w:noWrap/>
            <w:hideMark/>
          </w:tcPr>
          <w:p w14:paraId="72E69D1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-8.493</w:t>
            </w:r>
          </w:p>
        </w:tc>
        <w:tc>
          <w:tcPr>
            <w:tcW w:w="219" w:type="pct"/>
            <w:gridSpan w:val="2"/>
            <w:noWrap/>
            <w:hideMark/>
          </w:tcPr>
          <w:p w14:paraId="1425DA4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0B334B3B" w14:textId="72E94253" w:rsidR="00381D05" w:rsidRPr="008048F6" w:rsidRDefault="00381D05" w:rsidP="008048F6">
            <w:pPr>
              <w:jc w:val="both"/>
              <w:rPr>
                <w:rFonts w:asciiTheme="majorBidi" w:hAnsiTheme="majorBidi" w:cstheme="majorBidi"/>
              </w:rPr>
            </w:pPr>
            <w:r w:rsidRPr="008048F6">
              <w:rPr>
                <w:rFonts w:asciiTheme="majorBidi" w:hAnsiTheme="majorBidi" w:cstheme="majorBidi"/>
              </w:rPr>
              <w:t>0.013</w:t>
            </w:r>
          </w:p>
        </w:tc>
        <w:tc>
          <w:tcPr>
            <w:tcW w:w="614" w:type="pct"/>
            <w:noWrap/>
            <w:hideMark/>
          </w:tcPr>
          <w:p w14:paraId="49D9D8D2" w14:textId="15D73973"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23939309" w14:textId="77777777" w:rsidTr="005C50B8">
        <w:trPr>
          <w:trHeight w:val="300"/>
        </w:trPr>
        <w:tc>
          <w:tcPr>
            <w:tcW w:w="739" w:type="pct"/>
            <w:vMerge/>
            <w:hideMark/>
          </w:tcPr>
          <w:p w14:paraId="06786A10" w14:textId="77777777" w:rsidR="00381D05" w:rsidRPr="008048F6" w:rsidRDefault="00381D05" w:rsidP="008048F6">
            <w:pPr>
              <w:jc w:val="both"/>
              <w:rPr>
                <w:rFonts w:asciiTheme="majorBidi" w:hAnsiTheme="majorBidi" w:cstheme="majorBidi"/>
              </w:rPr>
            </w:pPr>
          </w:p>
        </w:tc>
        <w:tc>
          <w:tcPr>
            <w:tcW w:w="1117" w:type="pct"/>
            <w:noWrap/>
            <w:hideMark/>
          </w:tcPr>
          <w:p w14:paraId="54898D80" w14:textId="03BE2BE2" w:rsidR="00381D05" w:rsidRPr="008048F6" w:rsidRDefault="00340B30" w:rsidP="008048F6">
            <w:pPr>
              <w:jc w:val="both"/>
              <w:rPr>
                <w:rFonts w:asciiTheme="majorBidi" w:hAnsiTheme="majorBidi" w:cstheme="majorBidi"/>
              </w:rPr>
            </w:pPr>
            <w:r>
              <w:rPr>
                <w:rFonts w:asciiTheme="majorBidi" w:hAnsiTheme="majorBidi" w:cstheme="majorBidi"/>
              </w:rPr>
              <w:t>NIM</w:t>
            </w:r>
          </w:p>
        </w:tc>
        <w:tc>
          <w:tcPr>
            <w:tcW w:w="572" w:type="pct"/>
            <w:noWrap/>
            <w:hideMark/>
          </w:tcPr>
          <w:p w14:paraId="3C064F5A"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0.127</w:t>
            </w:r>
          </w:p>
        </w:tc>
        <w:tc>
          <w:tcPr>
            <w:tcW w:w="429" w:type="pct"/>
            <w:noWrap/>
            <w:hideMark/>
          </w:tcPr>
          <w:p w14:paraId="591F001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0.325</w:t>
            </w:r>
          </w:p>
        </w:tc>
        <w:tc>
          <w:tcPr>
            <w:tcW w:w="428" w:type="pct"/>
            <w:noWrap/>
            <w:hideMark/>
          </w:tcPr>
          <w:p w14:paraId="15536EB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0.187</w:t>
            </w:r>
          </w:p>
        </w:tc>
        <w:tc>
          <w:tcPr>
            <w:tcW w:w="501" w:type="pct"/>
            <w:noWrap/>
            <w:hideMark/>
          </w:tcPr>
          <w:p w14:paraId="3CCC103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-0.675</w:t>
            </w:r>
          </w:p>
        </w:tc>
        <w:tc>
          <w:tcPr>
            <w:tcW w:w="219" w:type="pct"/>
            <w:gridSpan w:val="2"/>
            <w:noWrap/>
            <w:hideMark/>
          </w:tcPr>
          <w:p w14:paraId="7B96F9B9"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69F7360D" w14:textId="0709D869" w:rsidR="00381D05" w:rsidRPr="008048F6" w:rsidRDefault="00381D05" w:rsidP="008048F6">
            <w:pPr>
              <w:jc w:val="both"/>
              <w:rPr>
                <w:rFonts w:asciiTheme="majorBidi" w:hAnsiTheme="majorBidi" w:cstheme="majorBidi"/>
              </w:rPr>
            </w:pPr>
            <w:r w:rsidRPr="008048F6">
              <w:rPr>
                <w:rFonts w:asciiTheme="majorBidi" w:hAnsiTheme="majorBidi" w:cstheme="majorBidi"/>
              </w:rPr>
              <w:t>0.568</w:t>
            </w:r>
          </w:p>
        </w:tc>
        <w:tc>
          <w:tcPr>
            <w:tcW w:w="614" w:type="pct"/>
            <w:noWrap/>
            <w:hideMark/>
          </w:tcPr>
          <w:p w14:paraId="4BE176B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77D78912" w14:textId="77777777" w:rsidTr="005C50B8">
        <w:trPr>
          <w:trHeight w:val="300"/>
        </w:trPr>
        <w:tc>
          <w:tcPr>
            <w:tcW w:w="739" w:type="pct"/>
            <w:vMerge/>
            <w:hideMark/>
          </w:tcPr>
          <w:p w14:paraId="6F7C8A39" w14:textId="77777777" w:rsidR="00381D05" w:rsidRPr="008048F6" w:rsidRDefault="00381D05" w:rsidP="008048F6">
            <w:pPr>
              <w:jc w:val="both"/>
              <w:rPr>
                <w:rFonts w:asciiTheme="majorBidi" w:hAnsiTheme="majorBidi" w:cstheme="majorBidi"/>
              </w:rPr>
            </w:pPr>
          </w:p>
        </w:tc>
        <w:tc>
          <w:tcPr>
            <w:tcW w:w="1117" w:type="pct"/>
            <w:noWrap/>
            <w:hideMark/>
          </w:tcPr>
          <w:p w14:paraId="17CF9143" w14:textId="54F98CD5" w:rsidR="00381D05" w:rsidRPr="008048F6" w:rsidRDefault="00340B30" w:rsidP="008048F6">
            <w:pPr>
              <w:jc w:val="both"/>
              <w:rPr>
                <w:rFonts w:asciiTheme="majorBidi" w:hAnsiTheme="majorBidi" w:cstheme="majorBidi"/>
              </w:rPr>
            </w:pPr>
            <w:r>
              <w:rPr>
                <w:rFonts w:asciiTheme="majorBidi" w:hAnsiTheme="majorBidi" w:cstheme="majorBidi"/>
              </w:rPr>
              <w:t>OPWFR</w:t>
            </w:r>
          </w:p>
        </w:tc>
        <w:tc>
          <w:tcPr>
            <w:tcW w:w="572" w:type="pct"/>
            <w:noWrap/>
            <w:hideMark/>
          </w:tcPr>
          <w:p w14:paraId="1104883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-0.03</w:t>
            </w:r>
          </w:p>
        </w:tc>
        <w:tc>
          <w:tcPr>
            <w:tcW w:w="429" w:type="pct"/>
            <w:noWrap/>
            <w:hideMark/>
          </w:tcPr>
          <w:p w14:paraId="75E972E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0.229</w:t>
            </w:r>
          </w:p>
        </w:tc>
        <w:tc>
          <w:tcPr>
            <w:tcW w:w="428" w:type="pct"/>
            <w:noWrap/>
            <w:hideMark/>
          </w:tcPr>
          <w:p w14:paraId="17E9DD1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0.132</w:t>
            </w:r>
          </w:p>
        </w:tc>
        <w:tc>
          <w:tcPr>
            <w:tcW w:w="501" w:type="pct"/>
            <w:noWrap/>
            <w:hideMark/>
          </w:tcPr>
          <w:p w14:paraId="01D4693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0.227</w:t>
            </w:r>
          </w:p>
        </w:tc>
        <w:tc>
          <w:tcPr>
            <w:tcW w:w="219" w:type="pct"/>
            <w:gridSpan w:val="2"/>
            <w:noWrap/>
            <w:hideMark/>
          </w:tcPr>
          <w:p w14:paraId="4CD642D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52CF31B6" w14:textId="6B7B60DD" w:rsidR="00381D05" w:rsidRPr="008048F6" w:rsidRDefault="00381D05" w:rsidP="008048F6">
            <w:pPr>
              <w:jc w:val="both"/>
              <w:rPr>
                <w:rFonts w:asciiTheme="majorBidi" w:hAnsiTheme="majorBidi" w:cstheme="majorBidi"/>
              </w:rPr>
            </w:pPr>
            <w:r w:rsidRPr="008048F6">
              <w:rPr>
                <w:rFonts w:asciiTheme="majorBidi" w:hAnsiTheme="majorBidi" w:cstheme="majorBidi"/>
              </w:rPr>
              <w:t>0.841</w:t>
            </w:r>
          </w:p>
        </w:tc>
        <w:tc>
          <w:tcPr>
            <w:tcW w:w="614" w:type="pct"/>
            <w:noWrap/>
            <w:hideMark/>
          </w:tcPr>
          <w:p w14:paraId="71B2EA6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2A6A6AA5" w14:textId="77777777" w:rsidTr="005C50B8">
        <w:trPr>
          <w:trHeight w:val="300"/>
        </w:trPr>
        <w:tc>
          <w:tcPr>
            <w:tcW w:w="739" w:type="pct"/>
            <w:vMerge w:val="restart"/>
            <w:noWrap/>
            <w:hideMark/>
          </w:tcPr>
          <w:p w14:paraId="22B269F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Liquidity</w:t>
            </w:r>
          </w:p>
        </w:tc>
        <w:tc>
          <w:tcPr>
            <w:tcW w:w="1117" w:type="pct"/>
            <w:noWrap/>
            <w:hideMark/>
          </w:tcPr>
          <w:p w14:paraId="31979D91" w14:textId="1C13AD78" w:rsidR="00381D05" w:rsidRPr="008048F6" w:rsidRDefault="00340B30" w:rsidP="008048F6">
            <w:pPr>
              <w:jc w:val="both"/>
              <w:rPr>
                <w:rFonts w:asciiTheme="majorBidi" w:hAnsiTheme="majorBidi" w:cstheme="majorBidi"/>
              </w:rPr>
            </w:pPr>
            <w:r>
              <w:rPr>
                <w:rFonts w:asciiTheme="majorBidi" w:hAnsiTheme="majorBidi" w:cstheme="majorBidi"/>
              </w:rPr>
              <w:t>LATAR</w:t>
            </w:r>
          </w:p>
        </w:tc>
        <w:tc>
          <w:tcPr>
            <w:tcW w:w="572" w:type="pct"/>
            <w:noWrap/>
            <w:hideMark/>
          </w:tcPr>
          <w:p w14:paraId="20849B0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0.14</w:t>
            </w:r>
          </w:p>
        </w:tc>
        <w:tc>
          <w:tcPr>
            <w:tcW w:w="429" w:type="pct"/>
            <w:noWrap/>
            <w:hideMark/>
          </w:tcPr>
          <w:p w14:paraId="1A3CC6E5"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4.68</w:t>
            </w:r>
          </w:p>
        </w:tc>
        <w:tc>
          <w:tcPr>
            <w:tcW w:w="428" w:type="pct"/>
            <w:noWrap/>
            <w:hideMark/>
          </w:tcPr>
          <w:p w14:paraId="28A70720"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2.702</w:t>
            </w:r>
          </w:p>
        </w:tc>
        <w:tc>
          <w:tcPr>
            <w:tcW w:w="501" w:type="pct"/>
            <w:noWrap/>
            <w:hideMark/>
          </w:tcPr>
          <w:p w14:paraId="2AC9187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-0.053</w:t>
            </w:r>
          </w:p>
        </w:tc>
        <w:tc>
          <w:tcPr>
            <w:tcW w:w="219" w:type="pct"/>
            <w:gridSpan w:val="2"/>
            <w:noWrap/>
            <w:hideMark/>
          </w:tcPr>
          <w:p w14:paraId="7FBD404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1A58184C" w14:textId="4B148CF4" w:rsidR="00381D05" w:rsidRPr="008048F6" w:rsidRDefault="00381D05" w:rsidP="008048F6">
            <w:pPr>
              <w:jc w:val="both"/>
              <w:rPr>
                <w:rFonts w:asciiTheme="majorBidi" w:hAnsiTheme="majorBidi" w:cstheme="majorBidi"/>
              </w:rPr>
            </w:pPr>
            <w:r w:rsidRPr="008048F6">
              <w:rPr>
                <w:rFonts w:asciiTheme="majorBidi" w:hAnsiTheme="majorBidi" w:cstheme="majorBidi"/>
              </w:rPr>
              <w:t>0.962</w:t>
            </w:r>
          </w:p>
        </w:tc>
        <w:tc>
          <w:tcPr>
            <w:tcW w:w="614" w:type="pct"/>
            <w:noWrap/>
            <w:hideMark/>
          </w:tcPr>
          <w:p w14:paraId="40A8E51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6BD053C2" w14:textId="77777777" w:rsidTr="005C50B8">
        <w:trPr>
          <w:trHeight w:val="300"/>
        </w:trPr>
        <w:tc>
          <w:tcPr>
            <w:tcW w:w="739" w:type="pct"/>
            <w:vMerge/>
            <w:hideMark/>
          </w:tcPr>
          <w:p w14:paraId="4F89FF00" w14:textId="77777777" w:rsidR="00381D05" w:rsidRPr="008048F6" w:rsidRDefault="00381D05" w:rsidP="008048F6">
            <w:pPr>
              <w:jc w:val="both"/>
              <w:rPr>
                <w:rFonts w:asciiTheme="majorBidi" w:hAnsiTheme="majorBidi" w:cstheme="majorBidi"/>
              </w:rPr>
            </w:pPr>
          </w:p>
        </w:tc>
        <w:tc>
          <w:tcPr>
            <w:tcW w:w="1117" w:type="pct"/>
            <w:noWrap/>
            <w:hideMark/>
          </w:tcPr>
          <w:p w14:paraId="7C0892A4" w14:textId="63BEA23C" w:rsidR="00381D05" w:rsidRPr="008048F6" w:rsidRDefault="00340B30" w:rsidP="008048F6">
            <w:pPr>
              <w:jc w:val="both"/>
              <w:rPr>
                <w:rFonts w:asciiTheme="majorBidi" w:hAnsiTheme="majorBidi" w:cstheme="majorBidi"/>
              </w:rPr>
            </w:pPr>
            <w:r>
              <w:rPr>
                <w:rFonts w:asciiTheme="majorBidi" w:hAnsiTheme="majorBidi" w:cstheme="majorBidi"/>
              </w:rPr>
              <w:t>LATDR</w:t>
            </w:r>
          </w:p>
        </w:tc>
        <w:tc>
          <w:tcPr>
            <w:tcW w:w="572" w:type="pct"/>
            <w:noWrap/>
            <w:hideMark/>
          </w:tcPr>
          <w:p w14:paraId="6FEE9024"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3.75</w:t>
            </w:r>
          </w:p>
        </w:tc>
        <w:tc>
          <w:tcPr>
            <w:tcW w:w="429" w:type="pct"/>
            <w:noWrap/>
            <w:hideMark/>
          </w:tcPr>
          <w:p w14:paraId="2E1CAAF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1.283</w:t>
            </w:r>
          </w:p>
        </w:tc>
        <w:tc>
          <w:tcPr>
            <w:tcW w:w="428" w:type="pct"/>
            <w:noWrap/>
            <w:hideMark/>
          </w:tcPr>
          <w:p w14:paraId="1CD6AEC1"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0.741</w:t>
            </w:r>
          </w:p>
        </w:tc>
        <w:tc>
          <w:tcPr>
            <w:tcW w:w="501" w:type="pct"/>
            <w:noWrap/>
            <w:hideMark/>
          </w:tcPr>
          <w:p w14:paraId="72FAD55D"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-5.065</w:t>
            </w:r>
          </w:p>
        </w:tc>
        <w:tc>
          <w:tcPr>
            <w:tcW w:w="219" w:type="pct"/>
            <w:gridSpan w:val="2"/>
            <w:noWrap/>
            <w:hideMark/>
          </w:tcPr>
          <w:p w14:paraId="1BD833E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504C7DD6" w14:textId="7957F340" w:rsidR="00381D05" w:rsidRPr="008048F6" w:rsidRDefault="00381D05" w:rsidP="008048F6">
            <w:pPr>
              <w:jc w:val="both"/>
              <w:rPr>
                <w:rFonts w:asciiTheme="majorBidi" w:hAnsiTheme="majorBidi" w:cstheme="majorBidi"/>
              </w:rPr>
            </w:pPr>
            <w:r w:rsidRPr="008048F6">
              <w:rPr>
                <w:rFonts w:asciiTheme="majorBidi" w:hAnsiTheme="majorBidi" w:cstheme="majorBidi"/>
              </w:rPr>
              <w:t>0.036</w:t>
            </w:r>
          </w:p>
        </w:tc>
        <w:tc>
          <w:tcPr>
            <w:tcW w:w="614" w:type="pct"/>
            <w:noWrap/>
            <w:hideMark/>
          </w:tcPr>
          <w:p w14:paraId="21844ED0" w14:textId="097CA476"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r w:rsidR="002257A7" w:rsidRPr="008048F6" w14:paraId="238E1675" w14:textId="77777777" w:rsidTr="005C50B8">
        <w:trPr>
          <w:trHeight w:val="500"/>
        </w:trPr>
        <w:tc>
          <w:tcPr>
            <w:tcW w:w="739" w:type="pct"/>
            <w:vMerge/>
            <w:hideMark/>
          </w:tcPr>
          <w:p w14:paraId="322A1D48" w14:textId="77777777" w:rsidR="00381D05" w:rsidRPr="008048F6" w:rsidRDefault="00381D05" w:rsidP="008048F6">
            <w:pPr>
              <w:jc w:val="both"/>
              <w:rPr>
                <w:rFonts w:asciiTheme="majorBidi" w:hAnsiTheme="majorBidi" w:cstheme="majorBidi"/>
              </w:rPr>
            </w:pPr>
          </w:p>
        </w:tc>
        <w:tc>
          <w:tcPr>
            <w:tcW w:w="1117" w:type="pct"/>
            <w:hideMark/>
          </w:tcPr>
          <w:p w14:paraId="14B22AE6" w14:textId="7625879A" w:rsidR="00381D05" w:rsidRPr="008048F6" w:rsidRDefault="00340B30" w:rsidP="008048F6">
            <w:pPr>
              <w:jc w:val="both"/>
              <w:rPr>
                <w:rFonts w:asciiTheme="majorBidi" w:hAnsiTheme="majorBidi" w:cstheme="majorBidi"/>
              </w:rPr>
            </w:pPr>
            <w:r>
              <w:rPr>
                <w:rFonts w:asciiTheme="majorBidi" w:hAnsiTheme="majorBidi" w:cstheme="majorBidi"/>
              </w:rPr>
              <w:t>GSTAR</w:t>
            </w:r>
          </w:p>
        </w:tc>
        <w:tc>
          <w:tcPr>
            <w:tcW w:w="572" w:type="pct"/>
            <w:noWrap/>
            <w:hideMark/>
          </w:tcPr>
          <w:p w14:paraId="122487EF"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2.23</w:t>
            </w:r>
          </w:p>
        </w:tc>
        <w:tc>
          <w:tcPr>
            <w:tcW w:w="429" w:type="pct"/>
            <w:noWrap/>
            <w:hideMark/>
          </w:tcPr>
          <w:p w14:paraId="1E7F8F2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2.081</w:t>
            </w:r>
          </w:p>
        </w:tc>
        <w:tc>
          <w:tcPr>
            <w:tcW w:w="428" w:type="pct"/>
            <w:noWrap/>
            <w:hideMark/>
          </w:tcPr>
          <w:p w14:paraId="1EA38EE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1.202</w:t>
            </w:r>
          </w:p>
        </w:tc>
        <w:tc>
          <w:tcPr>
            <w:tcW w:w="501" w:type="pct"/>
            <w:noWrap/>
            <w:hideMark/>
          </w:tcPr>
          <w:p w14:paraId="03AE158E"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-1.85</w:t>
            </w:r>
          </w:p>
        </w:tc>
        <w:tc>
          <w:tcPr>
            <w:tcW w:w="219" w:type="pct"/>
            <w:gridSpan w:val="2"/>
            <w:noWrap/>
            <w:hideMark/>
          </w:tcPr>
          <w:p w14:paraId="487D8FB3"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13FE98D3" w14:textId="35182834" w:rsidR="00381D05" w:rsidRPr="008048F6" w:rsidRDefault="00381D05" w:rsidP="008048F6">
            <w:pPr>
              <w:jc w:val="both"/>
              <w:rPr>
                <w:rFonts w:asciiTheme="majorBidi" w:hAnsiTheme="majorBidi" w:cstheme="majorBidi"/>
              </w:rPr>
            </w:pPr>
            <w:r w:rsidRPr="008048F6">
              <w:rPr>
                <w:rFonts w:asciiTheme="majorBidi" w:hAnsiTheme="majorBidi" w:cstheme="majorBidi"/>
              </w:rPr>
              <w:t>0.205</w:t>
            </w:r>
          </w:p>
        </w:tc>
        <w:tc>
          <w:tcPr>
            <w:tcW w:w="614" w:type="pct"/>
            <w:noWrap/>
            <w:hideMark/>
          </w:tcPr>
          <w:p w14:paraId="2939A57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Rejected</w:t>
            </w:r>
          </w:p>
        </w:tc>
      </w:tr>
      <w:tr w:rsidR="002257A7" w:rsidRPr="008048F6" w14:paraId="3D90AE34" w14:textId="77777777" w:rsidTr="005C50B8">
        <w:trPr>
          <w:trHeight w:val="300"/>
        </w:trPr>
        <w:tc>
          <w:tcPr>
            <w:tcW w:w="739" w:type="pct"/>
            <w:vMerge/>
            <w:hideMark/>
          </w:tcPr>
          <w:p w14:paraId="1D0057E1" w14:textId="77777777" w:rsidR="00381D05" w:rsidRPr="008048F6" w:rsidRDefault="00381D05" w:rsidP="008048F6">
            <w:pPr>
              <w:jc w:val="both"/>
              <w:rPr>
                <w:rFonts w:asciiTheme="majorBidi" w:hAnsiTheme="majorBidi" w:cstheme="majorBidi"/>
              </w:rPr>
            </w:pPr>
          </w:p>
        </w:tc>
        <w:tc>
          <w:tcPr>
            <w:tcW w:w="1117" w:type="pct"/>
            <w:noWrap/>
            <w:hideMark/>
          </w:tcPr>
          <w:p w14:paraId="31381041" w14:textId="1358F6F0" w:rsidR="00381D05" w:rsidRPr="008048F6" w:rsidRDefault="00340B30" w:rsidP="008048F6">
            <w:pPr>
              <w:jc w:val="both"/>
              <w:rPr>
                <w:rFonts w:asciiTheme="majorBidi" w:hAnsiTheme="majorBidi" w:cstheme="majorBidi"/>
              </w:rPr>
            </w:pPr>
            <w:r>
              <w:rPr>
                <w:rFonts w:asciiTheme="majorBidi" w:hAnsiTheme="majorBidi" w:cstheme="majorBidi"/>
              </w:rPr>
              <w:t>LADD</w:t>
            </w:r>
          </w:p>
        </w:tc>
        <w:tc>
          <w:tcPr>
            <w:tcW w:w="572" w:type="pct"/>
            <w:noWrap/>
            <w:hideMark/>
          </w:tcPr>
          <w:p w14:paraId="4ED46C52"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54.2</w:t>
            </w:r>
          </w:p>
        </w:tc>
        <w:tc>
          <w:tcPr>
            <w:tcW w:w="429" w:type="pct"/>
            <w:noWrap/>
            <w:hideMark/>
          </w:tcPr>
          <w:p w14:paraId="464C7668"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15.343</w:t>
            </w:r>
          </w:p>
        </w:tc>
        <w:tc>
          <w:tcPr>
            <w:tcW w:w="428" w:type="pct"/>
            <w:noWrap/>
            <w:hideMark/>
          </w:tcPr>
          <w:p w14:paraId="7E674DD7"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8.858</w:t>
            </w:r>
          </w:p>
        </w:tc>
        <w:tc>
          <w:tcPr>
            <w:tcW w:w="501" w:type="pct"/>
            <w:noWrap/>
            <w:hideMark/>
          </w:tcPr>
          <w:p w14:paraId="5C223E0B"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-6.118</w:t>
            </w:r>
          </w:p>
        </w:tc>
        <w:tc>
          <w:tcPr>
            <w:tcW w:w="219" w:type="pct"/>
            <w:gridSpan w:val="2"/>
            <w:noWrap/>
            <w:hideMark/>
          </w:tcPr>
          <w:p w14:paraId="28B31F76" w14:textId="77777777" w:rsidR="00381D05" w:rsidRPr="008048F6" w:rsidRDefault="00381D05" w:rsidP="008048F6">
            <w:pPr>
              <w:jc w:val="both"/>
              <w:rPr>
                <w:rFonts w:asciiTheme="majorBidi" w:hAnsiTheme="majorBidi" w:cstheme="majorBidi"/>
              </w:rPr>
            </w:pPr>
            <w:r w:rsidRPr="008048F6">
              <w:rPr>
                <w:rFonts w:asciiTheme="majorBidi" w:hAnsiTheme="majorBidi" w:cstheme="majorBidi"/>
              </w:rPr>
              <w:t>2</w:t>
            </w:r>
          </w:p>
        </w:tc>
        <w:tc>
          <w:tcPr>
            <w:tcW w:w="382" w:type="pct"/>
            <w:gridSpan w:val="2"/>
            <w:noWrap/>
            <w:hideMark/>
          </w:tcPr>
          <w:p w14:paraId="7ACAC82E" w14:textId="3995EBA2" w:rsidR="00381D05" w:rsidRPr="008048F6" w:rsidRDefault="00381D05" w:rsidP="008048F6">
            <w:pPr>
              <w:jc w:val="both"/>
              <w:rPr>
                <w:rFonts w:asciiTheme="majorBidi" w:hAnsiTheme="majorBidi" w:cstheme="majorBidi"/>
              </w:rPr>
            </w:pPr>
            <w:r w:rsidRPr="008048F6">
              <w:rPr>
                <w:rFonts w:asciiTheme="majorBidi" w:hAnsiTheme="majorBidi" w:cstheme="majorBidi"/>
              </w:rPr>
              <w:t>0.025</w:t>
            </w:r>
          </w:p>
        </w:tc>
        <w:tc>
          <w:tcPr>
            <w:tcW w:w="614" w:type="pct"/>
            <w:noWrap/>
            <w:hideMark/>
          </w:tcPr>
          <w:p w14:paraId="506E9681" w14:textId="755DCB2F" w:rsidR="00381D05" w:rsidRPr="008048F6" w:rsidRDefault="00AD1FA1" w:rsidP="008048F6">
            <w:pPr>
              <w:jc w:val="both"/>
              <w:rPr>
                <w:rFonts w:asciiTheme="majorBidi" w:hAnsiTheme="majorBidi" w:cstheme="majorBidi"/>
              </w:rPr>
            </w:pPr>
            <w:r>
              <w:rPr>
                <w:rFonts w:asciiTheme="majorBidi" w:hAnsiTheme="majorBidi" w:cstheme="majorBidi"/>
              </w:rPr>
              <w:t>Accepted</w:t>
            </w:r>
          </w:p>
        </w:tc>
      </w:tr>
    </w:tbl>
    <w:p w14:paraId="5B6D309D" w14:textId="6F7E8297" w:rsidR="00DE70B6" w:rsidRPr="008048F6" w:rsidRDefault="00DE70B6" w:rsidP="008048F6">
      <w:pPr>
        <w:jc w:val="both"/>
        <w:rPr>
          <w:rFonts w:asciiTheme="majorBidi" w:hAnsiTheme="majorBidi" w:cstheme="majorBidi"/>
          <w:lang w:val="en-US"/>
        </w:rPr>
      </w:pPr>
    </w:p>
    <w:p w14:paraId="4FAFE1DA" w14:textId="77777777" w:rsidR="00695872" w:rsidRPr="00695872" w:rsidRDefault="00695872" w:rsidP="00695872">
      <w:pPr>
        <w:spacing w:line="360" w:lineRule="auto"/>
        <w:jc w:val="both"/>
      </w:pPr>
      <w:r w:rsidRPr="00695872">
        <w:rPr>
          <w:color w:val="000000"/>
        </w:rPr>
        <w:t>Table 6 displays the results of the paired sample t-test for each financial parameter within the CAMEL framework, comparing the periods before and after the merger. The analysis is carried out using a paired t-test at a 0.05 significance level, with a two-tailed approach.</w:t>
      </w:r>
    </w:p>
    <w:p w14:paraId="03D5389A" w14:textId="77777777" w:rsidR="00695872" w:rsidRPr="00695872" w:rsidRDefault="00695872" w:rsidP="00695872">
      <w:pPr>
        <w:spacing w:line="360" w:lineRule="auto"/>
        <w:jc w:val="both"/>
        <w:rPr>
          <w:color w:val="000000"/>
        </w:rPr>
      </w:pPr>
    </w:p>
    <w:p w14:paraId="7F22EEC6" w14:textId="213EDC93" w:rsidR="00B26E61" w:rsidRPr="00695872" w:rsidRDefault="000F02BA" w:rsidP="008F0D6F">
      <w:pPr>
        <w:spacing w:line="360" w:lineRule="auto"/>
        <w:jc w:val="both"/>
      </w:pPr>
      <w:r w:rsidRPr="008048F6">
        <w:rPr>
          <w:rFonts w:asciiTheme="majorBidi" w:hAnsiTheme="majorBidi" w:cstheme="majorBidi"/>
          <w:color w:val="000000"/>
        </w:rPr>
        <w:t xml:space="preserve">Regarding </w:t>
      </w:r>
      <w:r w:rsidRPr="008048F6">
        <w:rPr>
          <w:rFonts w:asciiTheme="majorBidi" w:hAnsiTheme="majorBidi" w:cstheme="majorBidi"/>
          <w:b/>
          <w:color w:val="000000"/>
        </w:rPr>
        <w:t>Capital Adequacy</w:t>
      </w:r>
      <w:r w:rsidRPr="008048F6">
        <w:rPr>
          <w:rFonts w:asciiTheme="majorBidi" w:hAnsiTheme="majorBidi" w:cstheme="majorBidi"/>
          <w:color w:val="000000"/>
        </w:rPr>
        <w:t xml:space="preserve">, significant differences are observed in the </w:t>
      </w:r>
      <w:proofErr w:type="spellStart"/>
      <w:r w:rsidR="00200B93">
        <w:rPr>
          <w:rFonts w:asciiTheme="majorBidi" w:hAnsiTheme="majorBidi" w:cstheme="majorBidi"/>
          <w:color w:val="000000"/>
        </w:rPr>
        <w:t>TAd</w:t>
      </w:r>
      <w:proofErr w:type="spellEnd"/>
      <w:r w:rsidR="00200B93">
        <w:rPr>
          <w:rFonts w:asciiTheme="majorBidi" w:hAnsiTheme="majorBidi" w:cstheme="majorBidi"/>
          <w:color w:val="000000"/>
        </w:rPr>
        <w:t xml:space="preserve"> to TA Ratio and GSTIR</w:t>
      </w:r>
      <w:r w:rsidRPr="008048F6">
        <w:rPr>
          <w:rFonts w:asciiTheme="majorBidi" w:hAnsiTheme="majorBidi" w:cstheme="majorBidi"/>
          <w:color w:val="000000"/>
        </w:rPr>
        <w:t>. The null hypothesis (H</w:t>
      </w:r>
      <w:r w:rsidR="00A465CC" w:rsidRPr="008048F6">
        <w:rPr>
          <w:rFonts w:asciiTheme="majorBidi" w:hAnsiTheme="majorBidi" w:cstheme="majorBidi"/>
          <w:color w:val="000000"/>
          <w:vertAlign w:val="subscript"/>
        </w:rPr>
        <w:t>0</w:t>
      </w:r>
      <w:r w:rsidRPr="008048F6">
        <w:rPr>
          <w:rFonts w:asciiTheme="majorBidi" w:hAnsiTheme="majorBidi" w:cstheme="majorBidi"/>
          <w:color w:val="000000"/>
        </w:rPr>
        <w:t>) is rejected in these two cases, while it is not rejected for the C</w:t>
      </w:r>
      <w:r w:rsidR="00522229">
        <w:rPr>
          <w:rFonts w:asciiTheme="majorBidi" w:hAnsiTheme="majorBidi" w:cstheme="majorBidi"/>
          <w:color w:val="000000"/>
        </w:rPr>
        <w:t>AR</w:t>
      </w:r>
      <w:r w:rsidRPr="008048F6">
        <w:rPr>
          <w:rFonts w:asciiTheme="majorBidi" w:hAnsiTheme="majorBidi" w:cstheme="majorBidi"/>
          <w:color w:val="000000"/>
        </w:rPr>
        <w:t xml:space="preserve"> and D</w:t>
      </w:r>
      <w:r w:rsidR="00522229">
        <w:rPr>
          <w:rFonts w:asciiTheme="majorBidi" w:hAnsiTheme="majorBidi" w:cstheme="majorBidi"/>
          <w:color w:val="000000"/>
        </w:rPr>
        <w:t>ER</w:t>
      </w:r>
      <w:r w:rsidRPr="008048F6">
        <w:rPr>
          <w:rFonts w:asciiTheme="majorBidi" w:hAnsiTheme="majorBidi" w:cstheme="majorBidi"/>
          <w:color w:val="000000"/>
        </w:rPr>
        <w:t>. Therefore, we cannot draw any definitive conclusions about whether there are significant differences pre-merger and post-merger for this parameter. The findings are neutral, indicating that the merger may or may not have an impact.</w:t>
      </w:r>
    </w:p>
    <w:p w14:paraId="621768CE" w14:textId="386C9A0B" w:rsidR="00C818BC" w:rsidRPr="008048F6" w:rsidRDefault="00D3245A" w:rsidP="008F0D6F">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Regarding </w:t>
      </w:r>
      <w:r w:rsidRPr="008048F6">
        <w:rPr>
          <w:rFonts w:asciiTheme="majorBidi" w:hAnsiTheme="majorBidi" w:cstheme="majorBidi"/>
          <w:b/>
          <w:color w:val="000000"/>
        </w:rPr>
        <w:t>Asset Quality</w:t>
      </w:r>
      <w:r w:rsidRPr="008048F6">
        <w:rPr>
          <w:rFonts w:asciiTheme="majorBidi" w:hAnsiTheme="majorBidi" w:cstheme="majorBidi"/>
          <w:color w:val="000000"/>
        </w:rPr>
        <w:t>, significant differences are observed in the ratios of N</w:t>
      </w:r>
      <w:r w:rsidR="00522229">
        <w:rPr>
          <w:rFonts w:asciiTheme="majorBidi" w:hAnsiTheme="majorBidi" w:cstheme="majorBidi"/>
          <w:color w:val="000000"/>
        </w:rPr>
        <w:t xml:space="preserve">NPA To </w:t>
      </w:r>
      <w:proofErr w:type="spellStart"/>
      <w:r w:rsidR="00522229">
        <w:rPr>
          <w:rFonts w:asciiTheme="majorBidi" w:hAnsiTheme="majorBidi" w:cstheme="majorBidi"/>
          <w:color w:val="000000"/>
        </w:rPr>
        <w:t>NAd</w:t>
      </w:r>
      <w:proofErr w:type="spellEnd"/>
      <w:r w:rsidRPr="008048F6">
        <w:rPr>
          <w:rFonts w:asciiTheme="majorBidi" w:hAnsiTheme="majorBidi" w:cstheme="majorBidi"/>
          <w:color w:val="000000"/>
        </w:rPr>
        <w:t xml:space="preserve"> and T</w:t>
      </w:r>
      <w:r w:rsidR="00522229">
        <w:rPr>
          <w:rFonts w:asciiTheme="majorBidi" w:hAnsiTheme="majorBidi" w:cstheme="majorBidi"/>
          <w:color w:val="000000"/>
        </w:rPr>
        <w:t>I to TA</w:t>
      </w:r>
      <w:r w:rsidRPr="008048F6">
        <w:rPr>
          <w:rFonts w:asciiTheme="majorBidi" w:hAnsiTheme="majorBidi" w:cstheme="majorBidi"/>
          <w:color w:val="000000"/>
        </w:rPr>
        <w:t>. The null hypothesis is rejected in both instances. Consequently, we can infer that mergers have a considerable impact on Indian banks in this area.</w:t>
      </w:r>
    </w:p>
    <w:p w14:paraId="06B6247F" w14:textId="057B7BB9" w:rsidR="001E468D" w:rsidRPr="008048F6" w:rsidRDefault="00A72D04"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When evaluating </w:t>
      </w:r>
      <w:r w:rsidRPr="008048F6">
        <w:rPr>
          <w:rFonts w:asciiTheme="majorBidi" w:hAnsiTheme="majorBidi" w:cstheme="majorBidi"/>
          <w:b/>
          <w:color w:val="000000"/>
        </w:rPr>
        <w:t>Management Efficiency</w:t>
      </w:r>
      <w:r w:rsidRPr="008048F6">
        <w:rPr>
          <w:rFonts w:asciiTheme="majorBidi" w:hAnsiTheme="majorBidi" w:cstheme="majorBidi"/>
          <w:color w:val="000000"/>
        </w:rPr>
        <w:t xml:space="preserve">, differences were observed in the </w:t>
      </w:r>
      <w:proofErr w:type="spellStart"/>
      <w:r w:rsidRPr="008048F6">
        <w:rPr>
          <w:rFonts w:asciiTheme="majorBidi" w:hAnsiTheme="majorBidi" w:cstheme="majorBidi"/>
          <w:color w:val="000000"/>
        </w:rPr>
        <w:t>T</w:t>
      </w:r>
      <w:r w:rsidR="00522229">
        <w:rPr>
          <w:rFonts w:asciiTheme="majorBidi" w:hAnsiTheme="majorBidi" w:cstheme="majorBidi"/>
          <w:color w:val="000000"/>
        </w:rPr>
        <w:t>Ad</w:t>
      </w:r>
      <w:proofErr w:type="spellEnd"/>
      <w:r w:rsidR="00522229">
        <w:rPr>
          <w:rFonts w:asciiTheme="majorBidi" w:hAnsiTheme="majorBidi" w:cstheme="majorBidi"/>
          <w:color w:val="000000"/>
        </w:rPr>
        <w:t xml:space="preserve"> to TD ratio</w:t>
      </w:r>
      <w:r w:rsidRPr="008048F6">
        <w:rPr>
          <w:rFonts w:asciiTheme="majorBidi" w:hAnsiTheme="majorBidi" w:cstheme="majorBidi"/>
          <w:color w:val="000000"/>
        </w:rPr>
        <w:t xml:space="preserve"> and E</w:t>
      </w:r>
      <w:r w:rsidR="00522229">
        <w:rPr>
          <w:rFonts w:asciiTheme="majorBidi" w:hAnsiTheme="majorBidi" w:cstheme="majorBidi"/>
          <w:color w:val="000000"/>
        </w:rPr>
        <w:t>PE</w:t>
      </w:r>
      <w:r w:rsidRPr="008048F6">
        <w:rPr>
          <w:rFonts w:asciiTheme="majorBidi" w:hAnsiTheme="majorBidi" w:cstheme="majorBidi"/>
          <w:color w:val="000000"/>
        </w:rPr>
        <w:t>. In both instances, the null hypothesis was rejected, indicating that the merger had a significant effect. However, in the case of Business per Employee, the null hypothesis was not rejected, suggesting that the merger did not have an impact on Indian Bank.</w:t>
      </w:r>
    </w:p>
    <w:p w14:paraId="263E0C27" w14:textId="5BC2EE96" w:rsidR="00A465CC" w:rsidRPr="008048F6" w:rsidRDefault="009E3C9A" w:rsidP="00897367">
      <w:pPr>
        <w:spacing w:line="360" w:lineRule="auto"/>
        <w:jc w:val="both"/>
        <w:rPr>
          <w:rFonts w:asciiTheme="majorBidi" w:hAnsiTheme="majorBidi" w:cstheme="majorBidi"/>
          <w:color w:val="000000"/>
        </w:rPr>
      </w:pPr>
      <w:r w:rsidRPr="008048F6">
        <w:rPr>
          <w:rFonts w:asciiTheme="majorBidi" w:hAnsiTheme="majorBidi" w:cstheme="majorBidi"/>
          <w:color w:val="000000"/>
        </w:rPr>
        <w:lastRenderedPageBreak/>
        <w:t xml:space="preserve">When assessing the </w:t>
      </w:r>
      <w:r w:rsidRPr="008048F6">
        <w:rPr>
          <w:rFonts w:asciiTheme="majorBidi" w:hAnsiTheme="majorBidi" w:cstheme="majorBidi"/>
          <w:b/>
          <w:color w:val="000000"/>
        </w:rPr>
        <w:t>Earning Efficiency</w:t>
      </w:r>
      <w:r w:rsidRPr="008048F6">
        <w:rPr>
          <w:rFonts w:asciiTheme="majorBidi" w:hAnsiTheme="majorBidi" w:cstheme="majorBidi"/>
          <w:color w:val="000000"/>
        </w:rPr>
        <w:t xml:space="preserve"> parameter, the results were mixed. Three metrics—R</w:t>
      </w:r>
      <w:r w:rsidR="00200B93">
        <w:rPr>
          <w:rFonts w:asciiTheme="majorBidi" w:hAnsiTheme="majorBidi" w:cstheme="majorBidi"/>
          <w:color w:val="000000"/>
        </w:rPr>
        <w:t>OA</w:t>
      </w:r>
      <w:r w:rsidRPr="008048F6">
        <w:rPr>
          <w:rFonts w:asciiTheme="majorBidi" w:hAnsiTheme="majorBidi" w:cstheme="majorBidi"/>
          <w:color w:val="000000"/>
        </w:rPr>
        <w:t>, N</w:t>
      </w:r>
      <w:r w:rsidR="00200B93">
        <w:rPr>
          <w:rFonts w:asciiTheme="majorBidi" w:hAnsiTheme="majorBidi" w:cstheme="majorBidi"/>
          <w:color w:val="000000"/>
        </w:rPr>
        <w:t>IM</w:t>
      </w:r>
      <w:r w:rsidRPr="008048F6">
        <w:rPr>
          <w:rFonts w:asciiTheme="majorBidi" w:hAnsiTheme="majorBidi" w:cstheme="majorBidi"/>
          <w:color w:val="000000"/>
        </w:rPr>
        <w:t>, and O</w:t>
      </w:r>
      <w:r w:rsidR="00200B93">
        <w:rPr>
          <w:rFonts w:asciiTheme="majorBidi" w:hAnsiTheme="majorBidi" w:cstheme="majorBidi"/>
          <w:color w:val="000000"/>
        </w:rPr>
        <w:t>PWFR</w:t>
      </w:r>
      <w:r w:rsidRPr="008048F6">
        <w:rPr>
          <w:rFonts w:asciiTheme="majorBidi" w:hAnsiTheme="majorBidi" w:cstheme="majorBidi"/>
          <w:color w:val="000000"/>
        </w:rPr>
        <w:t>—rejected the null hypothesis, while R</w:t>
      </w:r>
      <w:r w:rsidR="00200B93">
        <w:rPr>
          <w:rFonts w:asciiTheme="majorBidi" w:hAnsiTheme="majorBidi" w:cstheme="majorBidi"/>
          <w:color w:val="000000"/>
        </w:rPr>
        <w:t>OE</w:t>
      </w:r>
      <w:r w:rsidRPr="008048F6">
        <w:rPr>
          <w:rFonts w:asciiTheme="majorBidi" w:hAnsiTheme="majorBidi" w:cstheme="majorBidi"/>
          <w:color w:val="000000"/>
        </w:rPr>
        <w:t xml:space="preserve"> did not. These varied outcomes do not provide clear support for any particular hypothesis.</w:t>
      </w:r>
    </w:p>
    <w:p w14:paraId="62AFFDFD" w14:textId="14AFB957" w:rsidR="009E3C9A" w:rsidRPr="008048F6" w:rsidRDefault="009E3C9A" w:rsidP="00897367">
      <w:pPr>
        <w:spacing w:line="360" w:lineRule="auto"/>
        <w:jc w:val="both"/>
        <w:rPr>
          <w:rFonts w:asciiTheme="majorBidi" w:hAnsiTheme="majorBidi" w:cstheme="majorBidi"/>
        </w:rPr>
      </w:pPr>
    </w:p>
    <w:p w14:paraId="1BF72C6E" w14:textId="537AE65D" w:rsidR="004E120E" w:rsidRPr="008048F6" w:rsidRDefault="004E120E" w:rsidP="00897367">
      <w:pPr>
        <w:spacing w:line="360" w:lineRule="auto"/>
        <w:jc w:val="both"/>
        <w:rPr>
          <w:rFonts w:asciiTheme="majorBidi" w:hAnsiTheme="majorBidi" w:cstheme="majorBidi"/>
        </w:rPr>
      </w:pPr>
      <w:r w:rsidRPr="008048F6">
        <w:rPr>
          <w:rFonts w:asciiTheme="majorBidi" w:hAnsiTheme="majorBidi" w:cstheme="majorBidi"/>
          <w:color w:val="000000"/>
        </w:rPr>
        <w:t xml:space="preserve">In the evaluation of the </w:t>
      </w:r>
      <w:r w:rsidRPr="008048F6">
        <w:rPr>
          <w:rFonts w:asciiTheme="majorBidi" w:hAnsiTheme="majorBidi" w:cstheme="majorBidi"/>
          <w:b/>
          <w:color w:val="000000"/>
        </w:rPr>
        <w:t xml:space="preserve">Liquidity </w:t>
      </w:r>
      <w:r w:rsidRPr="008048F6">
        <w:rPr>
          <w:rFonts w:asciiTheme="majorBidi" w:hAnsiTheme="majorBidi" w:cstheme="majorBidi"/>
          <w:color w:val="000000"/>
        </w:rPr>
        <w:t>parameter, two metrics rejected the null hypothesis, while two did not. The L</w:t>
      </w:r>
      <w:r w:rsidR="00760DF0">
        <w:rPr>
          <w:rFonts w:asciiTheme="majorBidi" w:hAnsiTheme="majorBidi" w:cstheme="majorBidi"/>
          <w:color w:val="000000"/>
        </w:rPr>
        <w:t>ATAR</w:t>
      </w:r>
      <w:r w:rsidRPr="008048F6">
        <w:rPr>
          <w:rFonts w:asciiTheme="majorBidi" w:hAnsiTheme="majorBidi" w:cstheme="majorBidi"/>
          <w:color w:val="000000"/>
        </w:rPr>
        <w:t xml:space="preserve"> and </w:t>
      </w:r>
      <w:r w:rsidR="00760DF0">
        <w:rPr>
          <w:rFonts w:asciiTheme="majorBidi" w:hAnsiTheme="majorBidi" w:cstheme="majorBidi"/>
          <w:color w:val="000000"/>
        </w:rPr>
        <w:t>GSTAR</w:t>
      </w:r>
      <w:r w:rsidRPr="008048F6">
        <w:rPr>
          <w:rFonts w:asciiTheme="majorBidi" w:hAnsiTheme="majorBidi" w:cstheme="majorBidi"/>
          <w:color w:val="000000"/>
        </w:rPr>
        <w:t xml:space="preserve"> rejected the null hypothesis, whereas the L</w:t>
      </w:r>
      <w:r w:rsidR="00522229">
        <w:rPr>
          <w:rFonts w:asciiTheme="majorBidi" w:hAnsiTheme="majorBidi" w:cstheme="majorBidi"/>
          <w:color w:val="000000"/>
        </w:rPr>
        <w:t>ATDR</w:t>
      </w:r>
      <w:r w:rsidRPr="008048F6">
        <w:rPr>
          <w:rFonts w:asciiTheme="majorBidi" w:hAnsiTheme="majorBidi" w:cstheme="majorBidi"/>
          <w:color w:val="000000"/>
        </w:rPr>
        <w:t xml:space="preserve"> and L</w:t>
      </w:r>
      <w:r w:rsidR="00522229">
        <w:rPr>
          <w:rFonts w:asciiTheme="majorBidi" w:hAnsiTheme="majorBidi" w:cstheme="majorBidi"/>
          <w:color w:val="000000"/>
        </w:rPr>
        <w:t>ADD</w:t>
      </w:r>
      <w:r w:rsidRPr="008048F6">
        <w:rPr>
          <w:rFonts w:asciiTheme="majorBidi" w:hAnsiTheme="majorBidi" w:cstheme="majorBidi"/>
          <w:color w:val="000000"/>
        </w:rPr>
        <w:t xml:space="preserve"> did not.</w:t>
      </w:r>
    </w:p>
    <w:p w14:paraId="3465FDB2" w14:textId="1DBF9208" w:rsidR="009E3C9A" w:rsidRPr="008048F6" w:rsidRDefault="004E120E"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These parameters yield mixed or neutral outcomes, creating uncertainty about whether to support the null or alternate hypothesis. They do not clearly demonstrate whether the merger impacts the financial performance of Indian banks. No specific hypothesis can be definitively supported. The conclusion on whether the merger is beneficial depends on which parameters are affected by the merger and the reasons for the merger decision. Only by assessing whether those parameters are met can a determination be made about the merger's success.</w:t>
      </w:r>
    </w:p>
    <w:p w14:paraId="48551BA7" w14:textId="44D34416" w:rsidR="00110F53" w:rsidRPr="005D629B" w:rsidRDefault="00110F53" w:rsidP="008048F6">
      <w:pPr>
        <w:spacing w:before="100" w:beforeAutospacing="1" w:after="100" w:afterAutospacing="1"/>
        <w:jc w:val="both"/>
        <w:rPr>
          <w:rFonts w:asciiTheme="majorBidi" w:hAnsiTheme="majorBidi" w:cstheme="majorBidi"/>
          <w:b/>
          <w:color w:val="000000"/>
          <w:sz w:val="28"/>
          <w:szCs w:val="28"/>
        </w:rPr>
      </w:pPr>
      <w:r w:rsidRPr="005D629B">
        <w:rPr>
          <w:rFonts w:asciiTheme="majorBidi" w:hAnsiTheme="majorBidi" w:cstheme="majorBidi"/>
          <w:b/>
          <w:color w:val="000000"/>
          <w:sz w:val="28"/>
          <w:szCs w:val="28"/>
        </w:rPr>
        <w:t>CONCLUSION</w:t>
      </w:r>
    </w:p>
    <w:p w14:paraId="13D9C873" w14:textId="77777777" w:rsidR="004D03C8" w:rsidRPr="008048F6" w:rsidRDefault="004D03C8"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This research paper has examined the merger between Indian Bank and Allahabad Bank, focusing on its impact through the CAMEL framework. The analysis reveals a significant positive effect on asset quality, management efficiency, and earnings, indicating that the merger has successfully enhanced these critical areas. Improved asset quality suggests better risk management and a healthier loan portfolio, while increased management efficiency points to effective operational integration and streamlined processes that have bolstered overall productivity. Furthermore, the rise in earnings demonstrates the merger’s contribution to profitability, providing a solid foundation for future growth.</w:t>
      </w:r>
    </w:p>
    <w:p w14:paraId="24EBAFC2" w14:textId="77777777" w:rsidR="004D03C8" w:rsidRPr="008048F6" w:rsidRDefault="004D03C8"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Conversely, the findings regarding capital adequacy and liquidity parameters indicate a more neutral outcome. This suggests that while the merger has improved certain performance metrics, challenges remain in enhancing the financial resilience and liquidity position of the combined entity. The neutral results in these areas underscore the importance of ongoing monitoring and strategic adjustments to strengthen capital buffers and ensure robust liquidity management.</w:t>
      </w:r>
    </w:p>
    <w:p w14:paraId="7C4F6E77" w14:textId="24C23C7F" w:rsidR="009A45AF" w:rsidRDefault="004D03C8" w:rsidP="00897367">
      <w:pPr>
        <w:spacing w:before="100" w:beforeAutospacing="1" w:after="100" w:afterAutospacing="1" w:line="360" w:lineRule="auto"/>
        <w:jc w:val="both"/>
        <w:rPr>
          <w:rFonts w:asciiTheme="majorBidi" w:hAnsiTheme="majorBidi" w:cstheme="majorBidi"/>
          <w:color w:val="000000"/>
        </w:rPr>
      </w:pPr>
      <w:r w:rsidRPr="008048F6">
        <w:rPr>
          <w:rFonts w:asciiTheme="majorBidi" w:hAnsiTheme="majorBidi" w:cstheme="majorBidi"/>
          <w:color w:val="000000"/>
        </w:rPr>
        <w:t xml:space="preserve">In conclusion, while the merger presents notable advantages in several key performance indicators, the mixed outcomes in capital adequacy and liquidity highlight the need for </w:t>
      </w:r>
      <w:r w:rsidRPr="008048F6">
        <w:rPr>
          <w:rFonts w:asciiTheme="majorBidi" w:hAnsiTheme="majorBidi" w:cstheme="majorBidi"/>
          <w:color w:val="000000"/>
        </w:rPr>
        <w:lastRenderedPageBreak/>
        <w:t>continuous assessment and proactive strategies. Overall, this study contributes valuable insights into the implications of bank mergers in the Indian banking sector, emphasizing the necessity for effective integration and management to maximize the benefits of such consolidations.</w:t>
      </w:r>
    </w:p>
    <w:p w14:paraId="58CA41E4" w14:textId="77777777" w:rsidR="008E3DC3" w:rsidRPr="007D0626" w:rsidRDefault="008E3DC3" w:rsidP="008E3DC3">
      <w:pPr>
        <w:spacing w:before="100" w:beforeAutospacing="1" w:after="100" w:afterAutospacing="1" w:line="360" w:lineRule="auto"/>
        <w:jc w:val="both"/>
        <w:rPr>
          <w:color w:val="000000"/>
          <w:sz w:val="22"/>
          <w:szCs w:val="22"/>
        </w:rPr>
      </w:pPr>
      <w:r w:rsidRPr="00DA01C0">
        <w:rPr>
          <w:rStyle w:val="Strong"/>
          <w:color w:val="000000"/>
          <w:u w:val="single"/>
        </w:rPr>
        <w:t>Suggestions for Future Research:</w:t>
      </w:r>
      <w:r w:rsidRPr="005D629B">
        <w:rPr>
          <w:color w:val="000000"/>
        </w:rPr>
        <w:t xml:space="preserve"> Future studies could explore the lon</w:t>
      </w:r>
      <w:bookmarkStart w:id="0" w:name="_GoBack"/>
      <w:bookmarkEnd w:id="0"/>
      <w:r w:rsidRPr="005D629B">
        <w:rPr>
          <w:color w:val="000000"/>
        </w:rPr>
        <w:t>g-term effects of bank mergers on financial stability, with a focus on the sustainability of the observed improvements in Asset Quality, Management Efficiency, and Earnings. Additionally, comparative research between multiple public sector bank mergers could provide broader insights into successful integration strategies. Further investigation into the influence of regulatory policies on merger outcomes and an analysis of stakeholder perceptions post-merger would also contribute to a deeper understanding of the merger's overall impact on the banking sector</w:t>
      </w:r>
      <w:r w:rsidRPr="007D0626">
        <w:rPr>
          <w:color w:val="000000"/>
          <w:sz w:val="22"/>
          <w:szCs w:val="22"/>
        </w:rPr>
        <w:t>.</w:t>
      </w:r>
    </w:p>
    <w:p w14:paraId="4A97ABBA" w14:textId="77777777" w:rsidR="008E3DC3" w:rsidRDefault="008E3DC3" w:rsidP="00897367">
      <w:pPr>
        <w:spacing w:before="100" w:beforeAutospacing="1" w:after="100" w:afterAutospacing="1" w:line="360" w:lineRule="auto"/>
        <w:jc w:val="both"/>
        <w:rPr>
          <w:rFonts w:asciiTheme="majorBidi" w:hAnsiTheme="majorBidi" w:cstheme="majorBidi"/>
          <w:color w:val="000000"/>
        </w:rPr>
      </w:pPr>
    </w:p>
    <w:p w14:paraId="547FE117" w14:textId="48EB1BED" w:rsidR="00DC30CA" w:rsidRDefault="00DC30CA" w:rsidP="00897367">
      <w:pPr>
        <w:spacing w:before="100" w:beforeAutospacing="1" w:after="100" w:afterAutospacing="1" w:line="360" w:lineRule="auto"/>
        <w:jc w:val="both"/>
        <w:rPr>
          <w:rFonts w:asciiTheme="majorBidi" w:hAnsiTheme="majorBidi" w:cstheme="majorBidi"/>
          <w:color w:val="000000"/>
        </w:rPr>
      </w:pPr>
    </w:p>
    <w:p w14:paraId="233A17CD" w14:textId="77777777" w:rsidR="00DC30CA" w:rsidRPr="009C5487" w:rsidRDefault="00DC30CA" w:rsidP="00DC30CA">
      <w:pPr>
        <w:rPr>
          <w:rFonts w:ascii="Calibri" w:eastAsia="Calibri" w:hAnsi="Calibri"/>
          <w:kern w:val="2"/>
          <w:highlight w:val="yellow"/>
          <w:lang w:val="en-US"/>
        </w:rPr>
      </w:pPr>
      <w:bookmarkStart w:id="1" w:name="_Hlk193540946"/>
      <w:bookmarkStart w:id="2" w:name="_Hlk180402183"/>
      <w:bookmarkStart w:id="3" w:name="_Hlk183680988"/>
      <w:r w:rsidRPr="009C5487">
        <w:rPr>
          <w:rFonts w:ascii="Calibri" w:eastAsia="Calibri" w:hAnsi="Calibri"/>
          <w:kern w:val="2"/>
          <w:highlight w:val="yellow"/>
          <w:lang w:val="en-US"/>
        </w:rPr>
        <w:t>Disclaimer (Artificial intelligence)</w:t>
      </w:r>
    </w:p>
    <w:p w14:paraId="06AFCC59"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213F20A4"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w:t>
      </w:r>
      <w:proofErr w:type="spellStart"/>
      <w:r w:rsidRPr="009C5487">
        <w:rPr>
          <w:rFonts w:ascii="Calibri" w:eastAsia="Calibri" w:hAnsi="Calibri"/>
          <w:kern w:val="2"/>
          <w:highlight w:val="yellow"/>
          <w:lang w:val="en-US"/>
        </w:rPr>
        <w:t>ChatGPT</w:t>
      </w:r>
      <w:proofErr w:type="spellEnd"/>
      <w:r w:rsidRPr="009C5487">
        <w:rPr>
          <w:rFonts w:ascii="Calibri" w:eastAsia="Calibri" w:hAnsi="Calibri"/>
          <w:kern w:val="2"/>
          <w:highlight w:val="yellow"/>
          <w:lang w:val="en-US"/>
        </w:rPr>
        <w:t xml:space="preserve">, COPILOT, etc.) and text-to-image generators have been used during the writing or editing of this manuscript. </w:t>
      </w:r>
    </w:p>
    <w:p w14:paraId="0DD3F0CC"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16C984F3"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FE12A7"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6D1E693B"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1.</w:t>
      </w:r>
    </w:p>
    <w:p w14:paraId="42B7F119" w14:textId="77777777" w:rsidR="00DC30CA" w:rsidRPr="009C5487" w:rsidRDefault="00DC30CA" w:rsidP="00DC30CA">
      <w:pPr>
        <w:rPr>
          <w:rFonts w:ascii="Calibri" w:eastAsia="Calibri" w:hAnsi="Calibri"/>
          <w:kern w:val="2"/>
          <w:highlight w:val="yellow"/>
          <w:lang w:val="en-US"/>
        </w:rPr>
      </w:pPr>
      <w:r w:rsidRPr="009C5487">
        <w:rPr>
          <w:rFonts w:ascii="Calibri" w:eastAsia="Calibri" w:hAnsi="Calibri"/>
          <w:kern w:val="2"/>
          <w:highlight w:val="yellow"/>
          <w:lang w:val="en-US"/>
        </w:rPr>
        <w:t>2.</w:t>
      </w:r>
    </w:p>
    <w:p w14:paraId="25A91EE1" w14:textId="77777777" w:rsidR="00DC30CA" w:rsidRPr="009C5487" w:rsidRDefault="00DC30CA" w:rsidP="00DC30CA">
      <w:pPr>
        <w:rPr>
          <w:rFonts w:ascii="Calibri" w:eastAsia="Calibri" w:hAnsi="Calibri"/>
          <w:kern w:val="2"/>
          <w:lang w:val="en-US"/>
        </w:rPr>
      </w:pPr>
      <w:r w:rsidRPr="009C5487">
        <w:rPr>
          <w:rFonts w:ascii="Calibri" w:eastAsia="Calibri" w:hAnsi="Calibri"/>
          <w:kern w:val="2"/>
          <w:highlight w:val="yellow"/>
          <w:lang w:val="en-US"/>
        </w:rPr>
        <w:t>3.</w:t>
      </w:r>
      <w:bookmarkEnd w:id="1"/>
    </w:p>
    <w:bookmarkEnd w:id="2"/>
    <w:bookmarkEnd w:id="3"/>
    <w:p w14:paraId="2D2541E7" w14:textId="42BD515F" w:rsidR="00B10422" w:rsidRPr="005D629B" w:rsidRDefault="001B7B7A" w:rsidP="008048F6">
      <w:pPr>
        <w:spacing w:before="100" w:beforeAutospacing="1" w:after="100" w:afterAutospacing="1"/>
        <w:jc w:val="both"/>
        <w:rPr>
          <w:rFonts w:asciiTheme="majorBidi" w:hAnsiTheme="majorBidi" w:cstheme="majorBidi"/>
          <w:b/>
          <w:color w:val="000000"/>
          <w:sz w:val="28"/>
          <w:szCs w:val="28"/>
        </w:rPr>
      </w:pPr>
      <w:r w:rsidRPr="005D629B">
        <w:rPr>
          <w:rFonts w:asciiTheme="majorBidi" w:hAnsiTheme="majorBidi" w:cstheme="majorBidi"/>
          <w:b/>
          <w:color w:val="000000"/>
          <w:sz w:val="28"/>
          <w:szCs w:val="28"/>
        </w:rPr>
        <w:t>REFERENCES</w:t>
      </w:r>
    </w:p>
    <w:sdt>
      <w:sdtPr>
        <w:rPr>
          <w:rFonts w:ascii="Times New Roman" w:eastAsiaTheme="minorHAnsi" w:hAnsi="Times New Roman" w:cs="Times New Roman"/>
          <w:b w:val="0"/>
          <w:bCs w:val="0"/>
          <w:color w:val="auto"/>
          <w:sz w:val="24"/>
          <w:szCs w:val="24"/>
          <w:lang w:val="en-IN" w:bidi="ar-SA"/>
        </w:rPr>
        <w:id w:val="1537922640"/>
        <w:docPartObj>
          <w:docPartGallery w:val="Bibliographies"/>
          <w:docPartUnique/>
        </w:docPartObj>
      </w:sdtPr>
      <w:sdtEndPr/>
      <w:sdtContent>
        <w:p w14:paraId="025A5EF3" w14:textId="01746DF3" w:rsidR="00485EC3" w:rsidRPr="00401319" w:rsidRDefault="00485EC3">
          <w:pPr>
            <w:pStyle w:val="Heading1"/>
            <w:rPr>
              <w:rFonts w:ascii="Times New Roman" w:hAnsi="Times New Roman" w:cs="Times New Roman"/>
              <w:sz w:val="24"/>
              <w:szCs w:val="24"/>
            </w:rPr>
          </w:pPr>
        </w:p>
        <w:p w14:paraId="6D4EF508" w14:textId="77777777" w:rsidR="001B7B7A" w:rsidRPr="00401319" w:rsidRDefault="001B7B7A" w:rsidP="001B7B7A">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Bandyopadhyay, P. &amp;. (2014). Mergers and Acquisitions in the Banking Sector: An Analysis of the Impact on Performance. </w:t>
          </w:r>
          <w:r w:rsidRPr="00401319">
            <w:rPr>
              <w:rFonts w:ascii="Times New Roman" w:hAnsi="Times New Roman" w:cs="Times New Roman"/>
              <w:i/>
              <w:iCs/>
              <w:noProof/>
              <w:lang w:val="en-US"/>
            </w:rPr>
            <w:t>Journal of Business Research, 67(9)</w:t>
          </w:r>
          <w:r w:rsidRPr="00401319">
            <w:rPr>
              <w:rFonts w:ascii="Times New Roman" w:hAnsi="Times New Roman" w:cs="Times New Roman"/>
              <w:noProof/>
              <w:lang w:val="en-US"/>
            </w:rPr>
            <w:t>, 1903-1912.</w:t>
          </w:r>
        </w:p>
        <w:p w14:paraId="73DEA597"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Bhatia, S. &amp;. (2021). Impact of Mergers on Bank Management Quality. </w:t>
          </w:r>
          <w:r w:rsidRPr="00401319">
            <w:rPr>
              <w:rFonts w:ascii="Times New Roman" w:hAnsi="Times New Roman" w:cs="Times New Roman"/>
              <w:i/>
              <w:iCs/>
              <w:noProof/>
              <w:lang w:val="en-US"/>
            </w:rPr>
            <w:t>Journal of Financial Management, 18(2)</w:t>
          </w:r>
          <w:r w:rsidRPr="00401319">
            <w:rPr>
              <w:rFonts w:ascii="Times New Roman" w:hAnsi="Times New Roman" w:cs="Times New Roman"/>
              <w:noProof/>
              <w:lang w:val="en-US"/>
            </w:rPr>
            <w:t>, 145-162.</w:t>
          </w:r>
        </w:p>
        <w:p w14:paraId="31232DB0"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lastRenderedPageBreak/>
            <w:t xml:space="preserve">Choudhury, S. (2018). Financial Performance and Mergers in the Indian Banking Industry: A CAMEL Analysis. </w:t>
          </w:r>
          <w:r w:rsidRPr="00401319">
            <w:rPr>
              <w:rFonts w:ascii="Times New Roman" w:hAnsi="Times New Roman" w:cs="Times New Roman"/>
              <w:i/>
              <w:iCs/>
              <w:noProof/>
              <w:lang w:val="en-US"/>
            </w:rPr>
            <w:t>Journal of Banking &amp; Finance, 29(2)</w:t>
          </w:r>
          <w:r w:rsidRPr="00401319">
            <w:rPr>
              <w:rFonts w:ascii="Times New Roman" w:hAnsi="Times New Roman" w:cs="Times New Roman"/>
              <w:noProof/>
              <w:lang w:val="en-US"/>
            </w:rPr>
            <w:t>, 99-112.</w:t>
          </w:r>
        </w:p>
        <w:p w14:paraId="23FA39D1" w14:textId="633B5C13" w:rsidR="001B7B7A" w:rsidRPr="00401319" w:rsidRDefault="001B7B7A" w:rsidP="00401319">
          <w:pPr>
            <w:pStyle w:val="Bibliography"/>
            <w:rPr>
              <w:rFonts w:ascii="Times New Roman" w:hAnsi="Times New Roman" w:cs="Times New Roman"/>
              <w:noProof/>
              <w:lang w:val="en-US"/>
            </w:rPr>
          </w:pPr>
          <w:r w:rsidRPr="001A4B04">
            <w:rPr>
              <w:rFonts w:ascii="Times New Roman" w:hAnsi="Times New Roman" w:cs="Times New Roman"/>
              <w:noProof/>
              <w:highlight w:val="yellow"/>
              <w:lang w:val="en-US"/>
            </w:rPr>
            <w:t xml:space="preserve">Dadresha, M. V. (2023). Financial Performance Analysis of Merger Bank in India - An Eagle Model Approach. </w:t>
          </w:r>
          <w:r w:rsidRPr="001A4B04">
            <w:rPr>
              <w:rFonts w:ascii="Times New Roman" w:hAnsi="Times New Roman" w:cs="Times New Roman"/>
              <w:i/>
              <w:iCs/>
              <w:noProof/>
              <w:highlight w:val="yellow"/>
              <w:lang w:val="en-US"/>
            </w:rPr>
            <w:t>EPRA International Journal of Multidisciplinary Research (IJMR) 9(10)</w:t>
          </w:r>
          <w:r w:rsidRPr="001A4B04">
            <w:rPr>
              <w:rFonts w:ascii="Times New Roman" w:hAnsi="Times New Roman" w:cs="Times New Roman"/>
              <w:noProof/>
              <w:highlight w:val="yellow"/>
              <w:lang w:val="en-US"/>
            </w:rPr>
            <w:t>.</w:t>
          </w:r>
        </w:p>
        <w:p w14:paraId="26F25820"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DeYoung, R. (2007). The Effects of Mergers and Acquisitions on the Efficiency of Banks. </w:t>
          </w:r>
          <w:r w:rsidRPr="00401319">
            <w:rPr>
              <w:rFonts w:ascii="Times New Roman" w:hAnsi="Times New Roman" w:cs="Times New Roman"/>
              <w:i/>
              <w:iCs/>
              <w:noProof/>
              <w:lang w:val="en-US"/>
            </w:rPr>
            <w:t>Journal of Banking &amp; Finance, 31(7)</w:t>
          </w:r>
          <w:r w:rsidRPr="00401319">
            <w:rPr>
              <w:rFonts w:ascii="Times New Roman" w:hAnsi="Times New Roman" w:cs="Times New Roman"/>
              <w:noProof/>
              <w:lang w:val="en-US"/>
            </w:rPr>
            <w:t>, 2073-2089.</w:t>
          </w:r>
        </w:p>
        <w:p w14:paraId="2C56320B" w14:textId="77777777" w:rsidR="001B7B7A" w:rsidRPr="00401319" w:rsidRDefault="001B7B7A" w:rsidP="00401319">
          <w:pPr>
            <w:pStyle w:val="Bibliography"/>
            <w:rPr>
              <w:rFonts w:ascii="Times New Roman" w:hAnsi="Times New Roman" w:cs="Times New Roman"/>
              <w:noProof/>
              <w:lang w:val="en-US"/>
            </w:rPr>
          </w:pPr>
          <w:r w:rsidRPr="001A4B04">
            <w:rPr>
              <w:rFonts w:ascii="Times New Roman" w:hAnsi="Times New Roman" w:cs="Times New Roman"/>
              <w:noProof/>
              <w:highlight w:val="yellow"/>
              <w:lang w:val="en-US"/>
            </w:rPr>
            <w:t xml:space="preserve">Gandhi, V. C. (2018). Mergers and acquisitions in India: A strategic impact analysis for corporate restructuring. </w:t>
          </w:r>
          <w:r w:rsidRPr="001A4B04">
            <w:rPr>
              <w:rFonts w:ascii="Times New Roman" w:hAnsi="Times New Roman" w:cs="Times New Roman"/>
              <w:i/>
              <w:iCs/>
              <w:noProof/>
              <w:highlight w:val="yellow"/>
              <w:lang w:val="en-US"/>
            </w:rPr>
            <w:t>Asian Journal of Research in Banking and Finance, 8(1)</w:t>
          </w:r>
          <w:r w:rsidRPr="001A4B04">
            <w:rPr>
              <w:rFonts w:ascii="Times New Roman" w:hAnsi="Times New Roman" w:cs="Times New Roman"/>
              <w:noProof/>
              <w:highlight w:val="yellow"/>
              <w:lang w:val="en-US"/>
            </w:rPr>
            <w:t>, 1-</w:t>
          </w:r>
          <w:r w:rsidRPr="00401319">
            <w:rPr>
              <w:rFonts w:ascii="Times New Roman" w:hAnsi="Times New Roman" w:cs="Times New Roman"/>
              <w:noProof/>
              <w:lang w:val="en-US"/>
            </w:rPr>
            <w:t>10.</w:t>
          </w:r>
        </w:p>
        <w:p w14:paraId="52367E36"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Gupta, R. &amp;. (2020). Corporate Governance and Bank Mergers: Post-Merger Performance. </w:t>
          </w:r>
          <w:r w:rsidRPr="00401319">
            <w:rPr>
              <w:rFonts w:ascii="Times New Roman" w:hAnsi="Times New Roman" w:cs="Times New Roman"/>
              <w:i/>
              <w:iCs/>
              <w:noProof/>
              <w:lang w:val="en-US"/>
            </w:rPr>
            <w:t>Corporate Governance Review, 34(2)</w:t>
          </w:r>
          <w:r w:rsidRPr="00401319">
            <w:rPr>
              <w:rFonts w:ascii="Times New Roman" w:hAnsi="Times New Roman" w:cs="Times New Roman"/>
              <w:noProof/>
              <w:lang w:val="en-US"/>
            </w:rPr>
            <w:t>, 204-218.</w:t>
          </w:r>
        </w:p>
        <w:p w14:paraId="5B317F6E"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Kaur, N. (2016). Strategic Benefits of Mergers in Public Sector Banks: An Empirical Study. </w:t>
          </w:r>
          <w:r w:rsidRPr="00401319">
            <w:rPr>
              <w:rFonts w:ascii="Times New Roman" w:hAnsi="Times New Roman" w:cs="Times New Roman"/>
              <w:i/>
              <w:iCs/>
              <w:noProof/>
              <w:lang w:val="en-US"/>
            </w:rPr>
            <w:t>Journal of Public Sector Economics, 12(3)</w:t>
          </w:r>
          <w:r w:rsidRPr="00401319">
            <w:rPr>
              <w:rFonts w:ascii="Times New Roman" w:hAnsi="Times New Roman" w:cs="Times New Roman"/>
              <w:noProof/>
              <w:lang w:val="en-US"/>
            </w:rPr>
            <w:t>, 234-245.</w:t>
          </w:r>
        </w:p>
        <w:p w14:paraId="386C9B7A" w14:textId="77777777" w:rsidR="001B7B7A" w:rsidRPr="00401319" w:rsidRDefault="001B7B7A" w:rsidP="00401319">
          <w:pPr>
            <w:pStyle w:val="Bibliography"/>
            <w:rPr>
              <w:rFonts w:ascii="Times New Roman" w:hAnsi="Times New Roman" w:cs="Times New Roman"/>
              <w:noProof/>
              <w:lang w:val="en-US"/>
            </w:rPr>
          </w:pPr>
          <w:r w:rsidRPr="001A4B04">
            <w:rPr>
              <w:rFonts w:ascii="Times New Roman" w:hAnsi="Times New Roman" w:cs="Times New Roman"/>
              <w:noProof/>
              <w:highlight w:val="yellow"/>
              <w:lang w:val="en-US"/>
            </w:rPr>
            <w:t xml:space="preserve">Maheshwari, A. &amp;. (2024). A study and analysis on recent mergers in India. </w:t>
          </w:r>
          <w:r w:rsidRPr="001A4B04">
            <w:rPr>
              <w:rFonts w:ascii="Times New Roman" w:hAnsi="Times New Roman" w:cs="Times New Roman"/>
              <w:i/>
              <w:iCs/>
              <w:noProof/>
              <w:highlight w:val="yellow"/>
              <w:lang w:val="en-US"/>
            </w:rPr>
            <w:t>International Journal of Multidisciplinary Research in Science, Engineering and Technology, 7</w:t>
          </w:r>
          <w:r w:rsidRPr="001A4B04">
            <w:rPr>
              <w:rFonts w:ascii="Times New Roman" w:hAnsi="Times New Roman" w:cs="Times New Roman"/>
              <w:noProof/>
              <w:highlight w:val="yellow"/>
              <w:lang w:val="en-US"/>
            </w:rPr>
            <w:t>, 10107-10112.</w:t>
          </w:r>
        </w:p>
        <w:p w14:paraId="04EAE210" w14:textId="17C9C678" w:rsidR="00485EC3" w:rsidRPr="00401319" w:rsidRDefault="00485EC3" w:rsidP="00401319">
          <w:pPr>
            <w:pStyle w:val="Bibliography"/>
            <w:rPr>
              <w:rFonts w:ascii="Times New Roman" w:hAnsi="Times New Roman" w:cs="Times New Roman"/>
              <w:noProof/>
              <w:lang w:val="en-US"/>
            </w:rPr>
          </w:pPr>
          <w:r w:rsidRPr="001A4B04">
            <w:rPr>
              <w:rFonts w:ascii="Times New Roman" w:hAnsi="Times New Roman" w:cs="Times New Roman"/>
              <w:noProof/>
              <w:highlight w:val="yellow"/>
              <w:lang w:val="en-US"/>
            </w:rPr>
            <w:t xml:space="preserve">Mohan, K. (2006). Mergers and acquisitions for consolidation in Indian banking industry: The success mantra. </w:t>
          </w:r>
          <w:r w:rsidRPr="001A4B04">
            <w:rPr>
              <w:rFonts w:ascii="Times New Roman" w:hAnsi="Times New Roman" w:cs="Times New Roman"/>
              <w:i/>
              <w:iCs/>
              <w:noProof/>
              <w:highlight w:val="yellow"/>
              <w:lang w:val="en-US"/>
            </w:rPr>
            <w:t>Management Trends, 2(1)</w:t>
          </w:r>
          <w:r w:rsidRPr="001A4B04">
            <w:rPr>
              <w:rFonts w:ascii="Times New Roman" w:hAnsi="Times New Roman" w:cs="Times New Roman"/>
              <w:noProof/>
              <w:highlight w:val="yellow"/>
              <w:lang w:val="en-US"/>
            </w:rPr>
            <w:t>, 55-65.</w:t>
          </w:r>
        </w:p>
        <w:p w14:paraId="4C38F139" w14:textId="77777777" w:rsidR="001B7B7A" w:rsidRPr="00401319" w:rsidRDefault="001B7B7A" w:rsidP="00401319">
          <w:pPr>
            <w:pStyle w:val="Bibliography"/>
            <w:rPr>
              <w:rFonts w:ascii="Times New Roman" w:hAnsi="Times New Roman" w:cs="Times New Roman"/>
              <w:noProof/>
              <w:lang w:val="en-US"/>
            </w:rPr>
          </w:pPr>
          <w:r w:rsidRPr="001A4B04">
            <w:rPr>
              <w:rFonts w:ascii="Times New Roman" w:hAnsi="Times New Roman" w:cs="Times New Roman"/>
              <w:noProof/>
              <w:highlight w:val="yellow"/>
              <w:lang w:val="en-US"/>
            </w:rPr>
            <w:t>Mukherjee, P. (. (n.d.). Mergers &amp; acquisitions in India – Strategic and financial impacts on the companies.</w:t>
          </w:r>
        </w:p>
        <w:p w14:paraId="517F45B2" w14:textId="77777777" w:rsidR="001B7B7A" w:rsidRPr="00401319" w:rsidRDefault="001B7B7A" w:rsidP="00401319">
          <w:pPr>
            <w:pStyle w:val="Bibliography"/>
            <w:rPr>
              <w:rFonts w:ascii="Times New Roman" w:hAnsi="Times New Roman" w:cs="Times New Roman"/>
              <w:noProof/>
              <w:lang w:val="en-US"/>
            </w:rPr>
          </w:pPr>
          <w:r w:rsidRPr="001A4B04">
            <w:rPr>
              <w:rFonts w:ascii="Times New Roman" w:hAnsi="Times New Roman" w:cs="Times New Roman"/>
              <w:noProof/>
              <w:highlight w:val="yellow"/>
              <w:lang w:val="en-US"/>
            </w:rPr>
            <w:t xml:space="preserve">Poddar, N. (2019). A Study on Mergers and Acquisition in India and Its Impact on Operating Efficiency of Indian Acquiring Company. </w:t>
          </w:r>
          <w:r w:rsidRPr="001A4B04">
            <w:rPr>
              <w:rFonts w:ascii="Times New Roman" w:hAnsi="Times New Roman" w:cs="Times New Roman"/>
              <w:i/>
              <w:iCs/>
              <w:noProof/>
              <w:highlight w:val="yellow"/>
              <w:lang w:val="en-US"/>
            </w:rPr>
            <w:t>Theoretical Economics Letters, 9(4), Article 4</w:t>
          </w:r>
          <w:r w:rsidRPr="001A4B04">
            <w:rPr>
              <w:rFonts w:ascii="Times New Roman" w:hAnsi="Times New Roman" w:cs="Times New Roman"/>
              <w:noProof/>
              <w:highlight w:val="yellow"/>
              <w:lang w:val="en-US"/>
            </w:rPr>
            <w:t>.</w:t>
          </w:r>
        </w:p>
        <w:p w14:paraId="47D8B805"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lastRenderedPageBreak/>
            <w:t xml:space="preserve">Raghavan, S. (2015). Efficiency Gains from Mergers in the Indian Banking Sector. </w:t>
          </w:r>
          <w:r w:rsidRPr="00401319">
            <w:rPr>
              <w:rFonts w:ascii="Times New Roman" w:hAnsi="Times New Roman" w:cs="Times New Roman"/>
              <w:i/>
              <w:iCs/>
              <w:noProof/>
              <w:lang w:val="en-US"/>
            </w:rPr>
            <w:t>Indian Journal of Economics, 22(1)</w:t>
          </w:r>
          <w:r w:rsidRPr="00401319">
            <w:rPr>
              <w:rFonts w:ascii="Times New Roman" w:hAnsi="Times New Roman" w:cs="Times New Roman"/>
              <w:noProof/>
              <w:lang w:val="en-US"/>
            </w:rPr>
            <w:t>, 65-80.</w:t>
          </w:r>
        </w:p>
        <w:p w14:paraId="27B58A36" w14:textId="4D87F6F8"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Reddy, K. (2017). Impact of Bank Mergers on Financial Performance in India. </w:t>
          </w:r>
          <w:r w:rsidRPr="00401319">
            <w:rPr>
              <w:rFonts w:ascii="Times New Roman" w:hAnsi="Times New Roman" w:cs="Times New Roman"/>
              <w:i/>
              <w:iCs/>
              <w:noProof/>
              <w:lang w:val="en-US"/>
            </w:rPr>
            <w:t>Journal of Financial Services, 15(2)</w:t>
          </w:r>
          <w:r w:rsidRPr="00401319">
            <w:rPr>
              <w:rFonts w:ascii="Times New Roman" w:hAnsi="Times New Roman" w:cs="Times New Roman"/>
              <w:noProof/>
              <w:lang w:val="en-US"/>
            </w:rPr>
            <w:t>, 123-140.</w:t>
          </w:r>
        </w:p>
        <w:p w14:paraId="331FD866"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Singh, A. (2022). Risk Exposure and Financial Stability Post-Merger. </w:t>
          </w:r>
          <w:r w:rsidRPr="00401319">
            <w:rPr>
              <w:rFonts w:ascii="Times New Roman" w:hAnsi="Times New Roman" w:cs="Times New Roman"/>
              <w:i/>
              <w:iCs/>
              <w:noProof/>
              <w:lang w:val="en-US"/>
            </w:rPr>
            <w:t>International Journal of Risk Management, 26(4)</w:t>
          </w:r>
          <w:r w:rsidRPr="00401319">
            <w:rPr>
              <w:rFonts w:ascii="Times New Roman" w:hAnsi="Times New Roman" w:cs="Times New Roman"/>
              <w:noProof/>
              <w:lang w:val="en-US"/>
            </w:rPr>
            <w:t>, 188-202.</w:t>
          </w:r>
        </w:p>
        <w:p w14:paraId="6F1D1E2C"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Singh, R. &amp;. (2018). Financial Performance Post-Merger: A CAMEL Framework Approach. </w:t>
          </w:r>
          <w:r w:rsidRPr="00401319">
            <w:rPr>
              <w:rFonts w:ascii="Times New Roman" w:hAnsi="Times New Roman" w:cs="Times New Roman"/>
              <w:i/>
              <w:iCs/>
              <w:noProof/>
              <w:lang w:val="en-US"/>
            </w:rPr>
            <w:t>International Journal of Banking and Finance, 24(1)</w:t>
          </w:r>
          <w:r w:rsidRPr="00401319">
            <w:rPr>
              <w:rFonts w:ascii="Times New Roman" w:hAnsi="Times New Roman" w:cs="Times New Roman"/>
              <w:noProof/>
              <w:lang w:val="en-US"/>
            </w:rPr>
            <w:t>, 92-110.</w:t>
          </w:r>
        </w:p>
        <w:p w14:paraId="772C9B8C" w14:textId="77777777" w:rsidR="001B7B7A" w:rsidRPr="00401319" w:rsidRDefault="001B7B7A" w:rsidP="00401319">
          <w:pPr>
            <w:pStyle w:val="Bibliography"/>
            <w:rPr>
              <w:rFonts w:ascii="Times New Roman" w:hAnsi="Times New Roman" w:cs="Times New Roman"/>
              <w:color w:val="0563C1" w:themeColor="hyperlink"/>
              <w:u w:val="single"/>
              <w:lang w:val="en-US"/>
            </w:rPr>
          </w:pPr>
          <w:r w:rsidRPr="001A4B04">
            <w:rPr>
              <w:rFonts w:ascii="Times New Roman" w:hAnsi="Times New Roman" w:cs="Times New Roman"/>
              <w:color w:val="222222"/>
              <w:highlight w:val="yellow"/>
              <w:shd w:val="clear" w:color="auto" w:fill="FFFFFF"/>
            </w:rPr>
            <w:t>Singh, S., &amp; Das, S. (2018). Impact of post-merger and acquisition activities on the financial performance of banks: A study of Indian private sector and public sector banks. </w:t>
          </w:r>
          <w:proofErr w:type="spellStart"/>
          <w:r w:rsidRPr="001A4B04">
            <w:rPr>
              <w:rFonts w:ascii="Times New Roman" w:hAnsi="Times New Roman" w:cs="Times New Roman"/>
              <w:i/>
              <w:iCs/>
              <w:color w:val="222222"/>
              <w:highlight w:val="yellow"/>
              <w:shd w:val="clear" w:color="auto" w:fill="FFFFFF"/>
            </w:rPr>
            <w:t>Revista</w:t>
          </w:r>
          <w:proofErr w:type="spellEnd"/>
          <w:r w:rsidRPr="001A4B04">
            <w:rPr>
              <w:rFonts w:ascii="Times New Roman" w:hAnsi="Times New Roman" w:cs="Times New Roman"/>
              <w:i/>
              <w:iCs/>
              <w:color w:val="222222"/>
              <w:highlight w:val="yellow"/>
              <w:shd w:val="clear" w:color="auto" w:fill="FFFFFF"/>
            </w:rPr>
            <w:t xml:space="preserve"> </w:t>
          </w:r>
          <w:proofErr w:type="spellStart"/>
          <w:r w:rsidRPr="001A4B04">
            <w:rPr>
              <w:rFonts w:ascii="Times New Roman" w:hAnsi="Times New Roman" w:cs="Times New Roman"/>
              <w:i/>
              <w:iCs/>
              <w:color w:val="222222"/>
              <w:highlight w:val="yellow"/>
              <w:shd w:val="clear" w:color="auto" w:fill="FFFFFF"/>
            </w:rPr>
            <w:t>Espacios</w:t>
          </w:r>
          <w:proofErr w:type="spellEnd"/>
          <w:r w:rsidRPr="001A4B04">
            <w:rPr>
              <w:rFonts w:ascii="Times New Roman" w:hAnsi="Times New Roman" w:cs="Times New Roman"/>
              <w:i/>
              <w:iCs/>
              <w:color w:val="222222"/>
              <w:highlight w:val="yellow"/>
              <w:shd w:val="clear" w:color="auto" w:fill="FFFFFF"/>
            </w:rPr>
            <w:t xml:space="preserve"> Magazine</w:t>
          </w:r>
          <w:r w:rsidRPr="001A4B04">
            <w:rPr>
              <w:rFonts w:ascii="Times New Roman" w:hAnsi="Times New Roman" w:cs="Times New Roman"/>
              <w:color w:val="222222"/>
              <w:highlight w:val="yellow"/>
              <w:shd w:val="clear" w:color="auto" w:fill="FFFFFF"/>
            </w:rPr>
            <w:t>, </w:t>
          </w:r>
          <w:r w:rsidRPr="001A4B04">
            <w:rPr>
              <w:rFonts w:ascii="Times New Roman" w:hAnsi="Times New Roman" w:cs="Times New Roman"/>
              <w:i/>
              <w:iCs/>
              <w:color w:val="222222"/>
              <w:highlight w:val="yellow"/>
              <w:shd w:val="clear" w:color="auto" w:fill="FFFFFF"/>
            </w:rPr>
            <w:t>39</w:t>
          </w:r>
          <w:r w:rsidRPr="001A4B04">
            <w:rPr>
              <w:rFonts w:ascii="Times New Roman" w:hAnsi="Times New Roman" w:cs="Times New Roman"/>
              <w:color w:val="222222"/>
              <w:highlight w:val="yellow"/>
              <w:shd w:val="clear" w:color="auto" w:fill="FFFFFF"/>
            </w:rPr>
            <w:t>(26), 25.</w:t>
          </w:r>
        </w:p>
        <w:p w14:paraId="23CE1FA3"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Sundararajan, V. (2020). The Role of Synergies in Bank Mergers. </w:t>
          </w:r>
          <w:r w:rsidRPr="00401319">
            <w:rPr>
              <w:rFonts w:ascii="Times New Roman" w:hAnsi="Times New Roman" w:cs="Times New Roman"/>
              <w:i/>
              <w:iCs/>
              <w:noProof/>
              <w:lang w:val="en-US"/>
            </w:rPr>
            <w:t>Journal of Banking Research, 31(3)</w:t>
          </w:r>
          <w:r w:rsidRPr="00401319">
            <w:rPr>
              <w:rFonts w:ascii="Times New Roman" w:hAnsi="Times New Roman" w:cs="Times New Roman"/>
              <w:noProof/>
              <w:lang w:val="en-US"/>
            </w:rPr>
            <w:t>, 201-220.</w:t>
          </w:r>
        </w:p>
        <w:p w14:paraId="6902C218" w14:textId="77777777" w:rsidR="001B7B7A" w:rsidRPr="00401319" w:rsidRDefault="001B7B7A" w:rsidP="00401319">
          <w:pPr>
            <w:pStyle w:val="Bibliography"/>
            <w:rPr>
              <w:rFonts w:ascii="Times New Roman" w:hAnsi="Times New Roman" w:cs="Times New Roman"/>
              <w:noProof/>
              <w:lang w:val="en-US"/>
            </w:rPr>
          </w:pPr>
          <w:r w:rsidRPr="00401319">
            <w:rPr>
              <w:rFonts w:ascii="Times New Roman" w:hAnsi="Times New Roman" w:cs="Times New Roman"/>
              <w:noProof/>
              <w:lang w:val="en-US"/>
            </w:rPr>
            <w:t xml:space="preserve">Verma, A. &amp;. (2019). Bank Mergers and Asset Quality in India: A Post-Merger Evaluation. </w:t>
          </w:r>
          <w:r w:rsidRPr="00401319">
            <w:rPr>
              <w:rFonts w:ascii="Times New Roman" w:hAnsi="Times New Roman" w:cs="Times New Roman"/>
              <w:i/>
              <w:iCs/>
              <w:noProof/>
              <w:lang w:val="en-US"/>
            </w:rPr>
            <w:t>Indian Economic Journal, 67(4)</w:t>
          </w:r>
          <w:r w:rsidRPr="00401319">
            <w:rPr>
              <w:rFonts w:ascii="Times New Roman" w:hAnsi="Times New Roman" w:cs="Times New Roman"/>
              <w:noProof/>
              <w:lang w:val="en-US"/>
            </w:rPr>
            <w:t>, 410-426.</w:t>
          </w:r>
        </w:p>
        <w:p w14:paraId="445F78B2" w14:textId="26791F96" w:rsidR="001B7B7A" w:rsidRDefault="001B7B7A" w:rsidP="00401319">
          <w:pPr>
            <w:pStyle w:val="Bibliography"/>
            <w:rPr>
              <w:rStyle w:val="Hyperlink"/>
              <w:rFonts w:ascii="Times New Roman" w:hAnsi="Times New Roman" w:cs="Times New Roman"/>
              <w:lang w:val="en-US"/>
            </w:rPr>
          </w:pPr>
          <w:r w:rsidRPr="001A4B04">
            <w:rPr>
              <w:rFonts w:ascii="Times New Roman" w:hAnsi="Times New Roman" w:cs="Times New Roman"/>
              <w:i/>
              <w:iCs/>
              <w:color w:val="000000"/>
              <w:highlight w:val="yellow"/>
              <w:lang w:val="en-US"/>
            </w:rPr>
            <w:t>17ArticleJayBhaveshParekh.pdf</w:t>
          </w:r>
          <w:r w:rsidRPr="001A4B04">
            <w:rPr>
              <w:rFonts w:ascii="Times New Roman" w:hAnsi="Times New Roman" w:cs="Times New Roman"/>
              <w:color w:val="000000"/>
              <w:highlight w:val="yellow"/>
              <w:lang w:val="en-US"/>
            </w:rPr>
            <w:t xml:space="preserve">. (n.d.). Retrieved 23 September 2024, from </w:t>
          </w:r>
          <w:r w:rsidRPr="001A4B04">
            <w:rPr>
              <w:rFonts w:ascii="Times New Roman" w:hAnsi="Times New Roman" w:cs="Times New Roman"/>
              <w:highlight w:val="yellow"/>
            </w:rPr>
            <w:t xml:space="preserve">  </w:t>
          </w:r>
          <w:proofErr w:type="gramStart"/>
          <w:r w:rsidRPr="001A4B04">
            <w:rPr>
              <w:rStyle w:val="Hyperlink"/>
              <w:rFonts w:ascii="Times New Roman" w:hAnsi="Times New Roman" w:cs="Times New Roman"/>
              <w:highlight w:val="yellow"/>
              <w:lang w:val="en-US"/>
            </w:rPr>
            <w:t>https://www.icsi.edu/media/webmodules/CSJ/May/17ArticleJayBhaveshParekh</w:t>
          </w:r>
          <w:r w:rsidRPr="00401319">
            <w:rPr>
              <w:rStyle w:val="Hyperlink"/>
              <w:rFonts w:ascii="Times New Roman" w:hAnsi="Times New Roman" w:cs="Times New Roman"/>
              <w:lang w:val="en-US"/>
            </w:rPr>
            <w:t>.pdf .</w:t>
          </w:r>
          <w:proofErr w:type="gramEnd"/>
        </w:p>
        <w:p w14:paraId="0FBD965C" w14:textId="6413D1F3" w:rsidR="008E3DC3" w:rsidRDefault="008E3DC3" w:rsidP="008E3DC3">
          <w:pPr>
            <w:rPr>
              <w:lang w:val="en-US"/>
            </w:rPr>
          </w:pPr>
          <w:proofErr w:type="spellStart"/>
          <w:r w:rsidRPr="008E3DC3">
            <w:rPr>
              <w:lang w:val="en-US"/>
            </w:rPr>
            <w:t>Maani</w:t>
          </w:r>
          <w:proofErr w:type="spellEnd"/>
          <w:r w:rsidRPr="008E3DC3">
            <w:rPr>
              <w:lang w:val="en-US"/>
            </w:rPr>
            <w:t>, J., &amp; Rajkumar, A. D. (2024). Investigation of the pre-post-merger effects on the financial performance of select banks in India. International Research Journal of Multidisciplinary Scope, 5(03), 197-214.</w:t>
          </w:r>
        </w:p>
        <w:p w14:paraId="676A3F5A" w14:textId="720D44FF" w:rsidR="008E3DC3" w:rsidRDefault="008E3DC3" w:rsidP="008E3DC3">
          <w:pPr>
            <w:rPr>
              <w:lang w:val="en-US"/>
            </w:rPr>
          </w:pPr>
        </w:p>
        <w:p w14:paraId="021CDAA9" w14:textId="430AB82D" w:rsidR="008E3DC3" w:rsidRPr="008E3DC3" w:rsidRDefault="008E3DC3" w:rsidP="008E3DC3">
          <w:pPr>
            <w:rPr>
              <w:lang w:val="en-US"/>
            </w:rPr>
          </w:pPr>
          <w:r w:rsidRPr="008E3DC3">
            <w:rPr>
              <w:lang w:val="en-US"/>
            </w:rPr>
            <w:t>Ali, A. (2024, October). Effects of Mergers and Acquisitions (M&amp;A) on the Profitability of Indian Banking Sector. In 2nd International Conference on Emerging Technologies and Sustainable Business Practices-2024 (ICETSBP 2024) (pp. 363-376). Atlantis Press.</w:t>
          </w:r>
        </w:p>
        <w:p w14:paraId="5FF93344" w14:textId="55AE38E7" w:rsidR="00485EC3" w:rsidRPr="00485EC3" w:rsidRDefault="008E3DC3" w:rsidP="00BC6CBA">
          <w:pPr>
            <w:pStyle w:val="Bibliography"/>
            <w:spacing w:line="360" w:lineRule="auto"/>
            <w:ind w:left="0" w:firstLine="0"/>
            <w:jc w:val="both"/>
            <w:rPr>
              <w:rFonts w:ascii="Times New Roman" w:hAnsi="Times New Roman" w:cs="Times New Roman"/>
              <w:color w:val="000000"/>
              <w:lang w:val="en-US"/>
            </w:rPr>
          </w:pPr>
        </w:p>
      </w:sdtContent>
    </w:sdt>
    <w:p w14:paraId="47A43A38" w14:textId="77777777" w:rsidR="00485EC3" w:rsidRPr="008048F6" w:rsidRDefault="00485EC3" w:rsidP="008048F6">
      <w:pPr>
        <w:spacing w:before="100" w:beforeAutospacing="1" w:after="100" w:afterAutospacing="1"/>
        <w:jc w:val="both"/>
        <w:rPr>
          <w:rFonts w:asciiTheme="majorBidi" w:hAnsiTheme="majorBidi" w:cstheme="majorBidi"/>
          <w:b/>
          <w:color w:val="000000"/>
        </w:rPr>
      </w:pPr>
    </w:p>
    <w:p w14:paraId="63BD923D" w14:textId="0FFF57D3" w:rsidR="007E124D" w:rsidRPr="006C738E" w:rsidRDefault="007E124D" w:rsidP="00EB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sectPr w:rsidR="007E124D" w:rsidRPr="006C738E" w:rsidSect="00B60C2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7F8BA" w14:textId="77777777" w:rsidR="00D93733" w:rsidRDefault="00D93733" w:rsidP="00DE70B6">
      <w:r>
        <w:separator/>
      </w:r>
    </w:p>
  </w:endnote>
  <w:endnote w:type="continuationSeparator" w:id="0">
    <w:p w14:paraId="13DD9195" w14:textId="77777777" w:rsidR="00D93733" w:rsidRDefault="00D93733" w:rsidP="00D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C679" w14:textId="77777777" w:rsidR="001B7B7A" w:rsidRDefault="001B7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3239" w14:textId="77777777" w:rsidR="001B7B7A" w:rsidRDefault="001B7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0290" w14:textId="77777777" w:rsidR="001B7B7A" w:rsidRDefault="001B7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95144" w14:textId="77777777" w:rsidR="00D93733" w:rsidRDefault="00D93733" w:rsidP="00DE70B6">
      <w:r>
        <w:separator/>
      </w:r>
    </w:p>
  </w:footnote>
  <w:footnote w:type="continuationSeparator" w:id="0">
    <w:p w14:paraId="3AD45757" w14:textId="77777777" w:rsidR="00D93733" w:rsidRDefault="00D93733" w:rsidP="00DE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5BB9" w14:textId="2D93B75F" w:rsidR="001B7B7A" w:rsidRDefault="008E3DC3">
    <w:pPr>
      <w:pStyle w:val="Header"/>
    </w:pPr>
    <w:r>
      <w:rPr>
        <w:noProof/>
      </w:rPr>
      <w:pict w14:anchorId="1FA95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001" o:spid="_x0000_s2051"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9531" w14:textId="6B86C725" w:rsidR="001B7B7A" w:rsidRDefault="008E3DC3">
    <w:pPr>
      <w:pStyle w:val="Header"/>
    </w:pPr>
    <w:r>
      <w:rPr>
        <w:noProof/>
      </w:rPr>
      <w:pict w14:anchorId="6112D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002" o:spid="_x0000_s2050"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4DC9" w14:textId="546A6C2F" w:rsidR="001B7B7A" w:rsidRDefault="008E3DC3">
    <w:pPr>
      <w:pStyle w:val="Header"/>
    </w:pPr>
    <w:r>
      <w:rPr>
        <w:noProof/>
      </w:rPr>
      <w:pict w14:anchorId="335D0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6000" o:spid="_x0000_s2049"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F59C9"/>
    <w:multiLevelType w:val="hybridMultilevel"/>
    <w:tmpl w:val="6B16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40743"/>
    <w:multiLevelType w:val="hybridMultilevel"/>
    <w:tmpl w:val="6FC4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E0DD3"/>
    <w:multiLevelType w:val="hybridMultilevel"/>
    <w:tmpl w:val="CBC00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D14B1"/>
    <w:multiLevelType w:val="hybridMultilevel"/>
    <w:tmpl w:val="E2C2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45A8C"/>
    <w:multiLevelType w:val="multilevel"/>
    <w:tmpl w:val="D3C2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D13A9"/>
    <w:multiLevelType w:val="hybridMultilevel"/>
    <w:tmpl w:val="7402C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97520"/>
    <w:multiLevelType w:val="hybridMultilevel"/>
    <w:tmpl w:val="42CE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F3E98"/>
    <w:multiLevelType w:val="hybridMultilevel"/>
    <w:tmpl w:val="597203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2"/>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NTAzNjEyMzA2NjJT0lEKTi0uzszPAykwrgUAw0I5tSwAAAA="/>
  </w:docVars>
  <w:rsids>
    <w:rsidRoot w:val="001A0014"/>
    <w:rsid w:val="00006BEA"/>
    <w:rsid w:val="00014D4A"/>
    <w:rsid w:val="000310AC"/>
    <w:rsid w:val="0003453E"/>
    <w:rsid w:val="00034EE5"/>
    <w:rsid w:val="00045820"/>
    <w:rsid w:val="0005013D"/>
    <w:rsid w:val="00055C2D"/>
    <w:rsid w:val="000606F1"/>
    <w:rsid w:val="0006166B"/>
    <w:rsid w:val="00082A82"/>
    <w:rsid w:val="000B5C4E"/>
    <w:rsid w:val="000B622A"/>
    <w:rsid w:val="000B7140"/>
    <w:rsid w:val="000F02BA"/>
    <w:rsid w:val="000F46F9"/>
    <w:rsid w:val="000F7FAD"/>
    <w:rsid w:val="001000CB"/>
    <w:rsid w:val="00110A6E"/>
    <w:rsid w:val="00110F53"/>
    <w:rsid w:val="00123619"/>
    <w:rsid w:val="00124C44"/>
    <w:rsid w:val="00125619"/>
    <w:rsid w:val="00131F9E"/>
    <w:rsid w:val="00143CEA"/>
    <w:rsid w:val="001607E4"/>
    <w:rsid w:val="00166036"/>
    <w:rsid w:val="0018310D"/>
    <w:rsid w:val="0019120E"/>
    <w:rsid w:val="001939D1"/>
    <w:rsid w:val="001A0014"/>
    <w:rsid w:val="001A4B04"/>
    <w:rsid w:val="001B7B7A"/>
    <w:rsid w:val="001C5323"/>
    <w:rsid w:val="001D0752"/>
    <w:rsid w:val="001D3A4F"/>
    <w:rsid w:val="001E1414"/>
    <w:rsid w:val="001E468D"/>
    <w:rsid w:val="001F359B"/>
    <w:rsid w:val="001F38A5"/>
    <w:rsid w:val="00200B93"/>
    <w:rsid w:val="00216AB4"/>
    <w:rsid w:val="002257A7"/>
    <w:rsid w:val="0023666A"/>
    <w:rsid w:val="00240AEB"/>
    <w:rsid w:val="0025516F"/>
    <w:rsid w:val="0027160C"/>
    <w:rsid w:val="00273603"/>
    <w:rsid w:val="002749B3"/>
    <w:rsid w:val="00284368"/>
    <w:rsid w:val="00284D7B"/>
    <w:rsid w:val="00286D96"/>
    <w:rsid w:val="002A056F"/>
    <w:rsid w:val="002A4D47"/>
    <w:rsid w:val="002C6311"/>
    <w:rsid w:val="002D19A2"/>
    <w:rsid w:val="002D2008"/>
    <w:rsid w:val="00317ADB"/>
    <w:rsid w:val="00330240"/>
    <w:rsid w:val="00334546"/>
    <w:rsid w:val="00340B30"/>
    <w:rsid w:val="0034496B"/>
    <w:rsid w:val="00352336"/>
    <w:rsid w:val="00354EF3"/>
    <w:rsid w:val="00367BCF"/>
    <w:rsid w:val="00380F8B"/>
    <w:rsid w:val="00381D05"/>
    <w:rsid w:val="0038750F"/>
    <w:rsid w:val="0039372B"/>
    <w:rsid w:val="00394F82"/>
    <w:rsid w:val="003A1D1F"/>
    <w:rsid w:val="003B1131"/>
    <w:rsid w:val="003B162F"/>
    <w:rsid w:val="003B33F9"/>
    <w:rsid w:val="003B4608"/>
    <w:rsid w:val="003C0691"/>
    <w:rsid w:val="003C1117"/>
    <w:rsid w:val="003C74AC"/>
    <w:rsid w:val="00401319"/>
    <w:rsid w:val="0040320C"/>
    <w:rsid w:val="00412265"/>
    <w:rsid w:val="004165E8"/>
    <w:rsid w:val="00417C7D"/>
    <w:rsid w:val="00417CD3"/>
    <w:rsid w:val="0042337F"/>
    <w:rsid w:val="00425A55"/>
    <w:rsid w:val="00426B3A"/>
    <w:rsid w:val="00446D83"/>
    <w:rsid w:val="00457140"/>
    <w:rsid w:val="00475246"/>
    <w:rsid w:val="004832DA"/>
    <w:rsid w:val="00484908"/>
    <w:rsid w:val="00485EC3"/>
    <w:rsid w:val="004969C1"/>
    <w:rsid w:val="004A03E5"/>
    <w:rsid w:val="004A4310"/>
    <w:rsid w:val="004B71E1"/>
    <w:rsid w:val="004D03C8"/>
    <w:rsid w:val="004E120E"/>
    <w:rsid w:val="004E2549"/>
    <w:rsid w:val="004F1E00"/>
    <w:rsid w:val="00504429"/>
    <w:rsid w:val="00507AF7"/>
    <w:rsid w:val="00521EFF"/>
    <w:rsid w:val="00522229"/>
    <w:rsid w:val="005255B4"/>
    <w:rsid w:val="0052720F"/>
    <w:rsid w:val="00551D5F"/>
    <w:rsid w:val="005716DC"/>
    <w:rsid w:val="0058630E"/>
    <w:rsid w:val="005A0973"/>
    <w:rsid w:val="005A3E69"/>
    <w:rsid w:val="005B2FC9"/>
    <w:rsid w:val="005C41AE"/>
    <w:rsid w:val="005C50B8"/>
    <w:rsid w:val="005C7122"/>
    <w:rsid w:val="005D16E5"/>
    <w:rsid w:val="005D23DF"/>
    <w:rsid w:val="005D5ECF"/>
    <w:rsid w:val="005D629B"/>
    <w:rsid w:val="005D6E0E"/>
    <w:rsid w:val="005E4C6E"/>
    <w:rsid w:val="005F216F"/>
    <w:rsid w:val="005F705A"/>
    <w:rsid w:val="00614695"/>
    <w:rsid w:val="006457DD"/>
    <w:rsid w:val="006620F8"/>
    <w:rsid w:val="00672781"/>
    <w:rsid w:val="0068536F"/>
    <w:rsid w:val="00691374"/>
    <w:rsid w:val="00695872"/>
    <w:rsid w:val="006A2FE0"/>
    <w:rsid w:val="006A6CDE"/>
    <w:rsid w:val="006C738E"/>
    <w:rsid w:val="006E4DDF"/>
    <w:rsid w:val="00712840"/>
    <w:rsid w:val="00720449"/>
    <w:rsid w:val="00726CE6"/>
    <w:rsid w:val="00730896"/>
    <w:rsid w:val="007333EC"/>
    <w:rsid w:val="00741C73"/>
    <w:rsid w:val="00742847"/>
    <w:rsid w:val="00743369"/>
    <w:rsid w:val="00760DF0"/>
    <w:rsid w:val="00770EAA"/>
    <w:rsid w:val="00771978"/>
    <w:rsid w:val="00776B5A"/>
    <w:rsid w:val="00784959"/>
    <w:rsid w:val="00785D03"/>
    <w:rsid w:val="0079240A"/>
    <w:rsid w:val="00792594"/>
    <w:rsid w:val="007A2724"/>
    <w:rsid w:val="007A4F92"/>
    <w:rsid w:val="007B5398"/>
    <w:rsid w:val="007D0626"/>
    <w:rsid w:val="007D1FE4"/>
    <w:rsid w:val="007E124D"/>
    <w:rsid w:val="007F7367"/>
    <w:rsid w:val="00801E4E"/>
    <w:rsid w:val="008048F6"/>
    <w:rsid w:val="00805887"/>
    <w:rsid w:val="00816F76"/>
    <w:rsid w:val="00820191"/>
    <w:rsid w:val="00824E5B"/>
    <w:rsid w:val="00825927"/>
    <w:rsid w:val="008327ED"/>
    <w:rsid w:val="00841659"/>
    <w:rsid w:val="008633E1"/>
    <w:rsid w:val="008634AC"/>
    <w:rsid w:val="00863A5C"/>
    <w:rsid w:val="00865BA4"/>
    <w:rsid w:val="00866A0E"/>
    <w:rsid w:val="0087718D"/>
    <w:rsid w:val="00897367"/>
    <w:rsid w:val="008A1195"/>
    <w:rsid w:val="008B13F1"/>
    <w:rsid w:val="008C0CB8"/>
    <w:rsid w:val="008C367E"/>
    <w:rsid w:val="008C3D17"/>
    <w:rsid w:val="008C6CDE"/>
    <w:rsid w:val="008E1CC0"/>
    <w:rsid w:val="008E3DC3"/>
    <w:rsid w:val="008E625F"/>
    <w:rsid w:val="008F0D6F"/>
    <w:rsid w:val="0090588E"/>
    <w:rsid w:val="009110F0"/>
    <w:rsid w:val="009221FC"/>
    <w:rsid w:val="00923EE2"/>
    <w:rsid w:val="0094104C"/>
    <w:rsid w:val="009639B9"/>
    <w:rsid w:val="00965E8D"/>
    <w:rsid w:val="00976C59"/>
    <w:rsid w:val="0099313C"/>
    <w:rsid w:val="009970E8"/>
    <w:rsid w:val="009A45AF"/>
    <w:rsid w:val="009B4572"/>
    <w:rsid w:val="009B62C9"/>
    <w:rsid w:val="009B6EBC"/>
    <w:rsid w:val="009C043C"/>
    <w:rsid w:val="009D1076"/>
    <w:rsid w:val="009E341D"/>
    <w:rsid w:val="009E3C9A"/>
    <w:rsid w:val="009F7800"/>
    <w:rsid w:val="00A017F7"/>
    <w:rsid w:val="00A01D1C"/>
    <w:rsid w:val="00A03708"/>
    <w:rsid w:val="00A34F87"/>
    <w:rsid w:val="00A465CC"/>
    <w:rsid w:val="00A46926"/>
    <w:rsid w:val="00A51E3D"/>
    <w:rsid w:val="00A625DE"/>
    <w:rsid w:val="00A67856"/>
    <w:rsid w:val="00A72D04"/>
    <w:rsid w:val="00A80498"/>
    <w:rsid w:val="00A85A24"/>
    <w:rsid w:val="00A94F0E"/>
    <w:rsid w:val="00AC2BF9"/>
    <w:rsid w:val="00AC3460"/>
    <w:rsid w:val="00AC5DB3"/>
    <w:rsid w:val="00AD1FA1"/>
    <w:rsid w:val="00AE664D"/>
    <w:rsid w:val="00AF4076"/>
    <w:rsid w:val="00AF4A98"/>
    <w:rsid w:val="00B0347A"/>
    <w:rsid w:val="00B10422"/>
    <w:rsid w:val="00B10EB4"/>
    <w:rsid w:val="00B128BD"/>
    <w:rsid w:val="00B22C3E"/>
    <w:rsid w:val="00B2454A"/>
    <w:rsid w:val="00B26E61"/>
    <w:rsid w:val="00B27225"/>
    <w:rsid w:val="00B30F57"/>
    <w:rsid w:val="00B406AB"/>
    <w:rsid w:val="00B45FB0"/>
    <w:rsid w:val="00B50EC8"/>
    <w:rsid w:val="00B60C2B"/>
    <w:rsid w:val="00B72248"/>
    <w:rsid w:val="00B72542"/>
    <w:rsid w:val="00B752FD"/>
    <w:rsid w:val="00B904E5"/>
    <w:rsid w:val="00B91A62"/>
    <w:rsid w:val="00BA1C0F"/>
    <w:rsid w:val="00BA76EF"/>
    <w:rsid w:val="00BC28F6"/>
    <w:rsid w:val="00BC3873"/>
    <w:rsid w:val="00BC6CBA"/>
    <w:rsid w:val="00BD7396"/>
    <w:rsid w:val="00BE2C96"/>
    <w:rsid w:val="00BF35A6"/>
    <w:rsid w:val="00BF3C16"/>
    <w:rsid w:val="00BF583E"/>
    <w:rsid w:val="00C135A3"/>
    <w:rsid w:val="00C66DFD"/>
    <w:rsid w:val="00C818BC"/>
    <w:rsid w:val="00C86BDB"/>
    <w:rsid w:val="00C914C7"/>
    <w:rsid w:val="00C91B45"/>
    <w:rsid w:val="00CB1918"/>
    <w:rsid w:val="00CE57E7"/>
    <w:rsid w:val="00CF288B"/>
    <w:rsid w:val="00D21665"/>
    <w:rsid w:val="00D2529F"/>
    <w:rsid w:val="00D2623C"/>
    <w:rsid w:val="00D3245A"/>
    <w:rsid w:val="00D341EF"/>
    <w:rsid w:val="00D647C9"/>
    <w:rsid w:val="00D64AD7"/>
    <w:rsid w:val="00D65081"/>
    <w:rsid w:val="00D80461"/>
    <w:rsid w:val="00D80F46"/>
    <w:rsid w:val="00D92A5F"/>
    <w:rsid w:val="00D931AA"/>
    <w:rsid w:val="00D93733"/>
    <w:rsid w:val="00DA01C0"/>
    <w:rsid w:val="00DA1ED3"/>
    <w:rsid w:val="00DB0659"/>
    <w:rsid w:val="00DB0723"/>
    <w:rsid w:val="00DB7917"/>
    <w:rsid w:val="00DC2CED"/>
    <w:rsid w:val="00DC30CA"/>
    <w:rsid w:val="00DC4927"/>
    <w:rsid w:val="00DD7FE3"/>
    <w:rsid w:val="00DE05E4"/>
    <w:rsid w:val="00DE69DE"/>
    <w:rsid w:val="00DE70B6"/>
    <w:rsid w:val="00E0229D"/>
    <w:rsid w:val="00E11439"/>
    <w:rsid w:val="00E1628E"/>
    <w:rsid w:val="00E20F7C"/>
    <w:rsid w:val="00E40ECF"/>
    <w:rsid w:val="00E434F8"/>
    <w:rsid w:val="00E462CC"/>
    <w:rsid w:val="00E52139"/>
    <w:rsid w:val="00E554B3"/>
    <w:rsid w:val="00E70EA4"/>
    <w:rsid w:val="00E75A13"/>
    <w:rsid w:val="00E92810"/>
    <w:rsid w:val="00EA4355"/>
    <w:rsid w:val="00EA7507"/>
    <w:rsid w:val="00EB37AA"/>
    <w:rsid w:val="00EB3F4F"/>
    <w:rsid w:val="00EB6654"/>
    <w:rsid w:val="00EC5A8F"/>
    <w:rsid w:val="00EE06F7"/>
    <w:rsid w:val="00EE1CAE"/>
    <w:rsid w:val="00EF0988"/>
    <w:rsid w:val="00EF3F81"/>
    <w:rsid w:val="00EF58A9"/>
    <w:rsid w:val="00F02584"/>
    <w:rsid w:val="00F10B99"/>
    <w:rsid w:val="00F15E62"/>
    <w:rsid w:val="00F245F4"/>
    <w:rsid w:val="00F43EA4"/>
    <w:rsid w:val="00F5245A"/>
    <w:rsid w:val="00F62383"/>
    <w:rsid w:val="00F7336F"/>
    <w:rsid w:val="00F75F7F"/>
    <w:rsid w:val="00F80D15"/>
    <w:rsid w:val="00FA5F65"/>
    <w:rsid w:val="00FB6CF6"/>
    <w:rsid w:val="00FC0974"/>
    <w:rsid w:val="00FC285C"/>
    <w:rsid w:val="00FD05B0"/>
    <w:rsid w:val="00FE5152"/>
    <w:rsid w:val="00FF736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7336A"/>
  <w15:chartTrackingRefBased/>
  <w15:docId w15:val="{99E95A4B-0EEF-4450-9DDF-45F84FF1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37F"/>
    <w:rPr>
      <w:rFonts w:ascii="Times New Roman" w:eastAsia="Times New Roman" w:hAnsi="Times New Roman" w:cs="Times New Roman"/>
    </w:rPr>
  </w:style>
  <w:style w:type="paragraph" w:styleId="Heading1">
    <w:name w:val="heading 1"/>
    <w:basedOn w:val="Normal"/>
    <w:next w:val="Normal"/>
    <w:link w:val="Heading1Char"/>
    <w:uiPriority w:val="9"/>
    <w:qFormat/>
    <w:rsid w:val="00AF407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C44"/>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4165E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65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65E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65E8"/>
    <w:rPr>
      <w:rFonts w:ascii="Arial" w:eastAsia="Times New Roman" w:hAnsi="Arial" w:cs="Arial"/>
      <w:vanish/>
      <w:sz w:val="16"/>
      <w:szCs w:val="16"/>
    </w:rPr>
  </w:style>
  <w:style w:type="table" w:styleId="TableGrid">
    <w:name w:val="Table Grid"/>
    <w:basedOn w:val="TableNormal"/>
    <w:uiPriority w:val="39"/>
    <w:rsid w:val="0004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40320C"/>
  </w:style>
  <w:style w:type="paragraph" w:styleId="Header">
    <w:name w:val="header"/>
    <w:basedOn w:val="Normal"/>
    <w:link w:val="HeaderChar"/>
    <w:uiPriority w:val="99"/>
    <w:unhideWhenUsed/>
    <w:rsid w:val="00DE70B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E70B6"/>
  </w:style>
  <w:style w:type="paragraph" w:styleId="Footer">
    <w:name w:val="footer"/>
    <w:basedOn w:val="Normal"/>
    <w:link w:val="FooterChar"/>
    <w:uiPriority w:val="99"/>
    <w:unhideWhenUsed/>
    <w:rsid w:val="00DE70B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E70B6"/>
  </w:style>
  <w:style w:type="paragraph" w:styleId="Bibliography">
    <w:name w:val="Bibliography"/>
    <w:basedOn w:val="Normal"/>
    <w:next w:val="Normal"/>
    <w:uiPriority w:val="37"/>
    <w:unhideWhenUsed/>
    <w:rsid w:val="00743369"/>
    <w:pPr>
      <w:spacing w:line="480" w:lineRule="auto"/>
      <w:ind w:left="720" w:hanging="720"/>
    </w:pPr>
    <w:rPr>
      <w:rFonts w:asciiTheme="minorHAnsi" w:eastAsiaTheme="minorHAnsi" w:hAnsiTheme="minorHAnsi" w:cstheme="minorBidi"/>
    </w:rPr>
  </w:style>
  <w:style w:type="paragraph" w:styleId="HTMLPreformatted">
    <w:name w:val="HTML Preformatted"/>
    <w:basedOn w:val="Normal"/>
    <w:link w:val="HTMLPreformattedChar"/>
    <w:uiPriority w:val="99"/>
    <w:unhideWhenUsed/>
    <w:rsid w:val="007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E124D"/>
    <w:rPr>
      <w:rFonts w:ascii="Courier New" w:eastAsia="Times New Roman" w:hAnsi="Courier New" w:cs="Courier New"/>
      <w:sz w:val="20"/>
      <w:szCs w:val="20"/>
    </w:rPr>
  </w:style>
  <w:style w:type="paragraph" w:styleId="ListParagraph">
    <w:name w:val="List Paragraph"/>
    <w:basedOn w:val="Normal"/>
    <w:uiPriority w:val="34"/>
    <w:qFormat/>
    <w:rsid w:val="00EA4355"/>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1D3A4F"/>
  </w:style>
  <w:style w:type="character" w:styleId="Strong">
    <w:name w:val="Strong"/>
    <w:basedOn w:val="DefaultParagraphFont"/>
    <w:uiPriority w:val="22"/>
    <w:qFormat/>
    <w:rsid w:val="001D3A4F"/>
    <w:rPr>
      <w:b/>
      <w:bCs/>
    </w:rPr>
  </w:style>
  <w:style w:type="character" w:customStyle="1" w:styleId="Heading1Char">
    <w:name w:val="Heading 1 Char"/>
    <w:basedOn w:val="DefaultParagraphFont"/>
    <w:link w:val="Heading1"/>
    <w:uiPriority w:val="9"/>
    <w:rsid w:val="00AF4076"/>
    <w:rPr>
      <w:rFonts w:asciiTheme="majorHAnsi" w:eastAsiaTheme="majorEastAsia" w:hAnsiTheme="majorHAnsi" w:cstheme="majorBidi"/>
      <w:b/>
      <w:bCs/>
      <w:color w:val="2F5496" w:themeColor="accent1" w:themeShade="BF"/>
      <w:sz w:val="28"/>
      <w:szCs w:val="28"/>
      <w:lang w:val="en-US" w:bidi="en-US"/>
    </w:rPr>
  </w:style>
  <w:style w:type="character" w:styleId="Hyperlink">
    <w:name w:val="Hyperlink"/>
    <w:basedOn w:val="DefaultParagraphFont"/>
    <w:uiPriority w:val="99"/>
    <w:unhideWhenUsed/>
    <w:rsid w:val="006C738E"/>
    <w:rPr>
      <w:color w:val="0563C1" w:themeColor="hyperlink"/>
      <w:u w:val="single"/>
    </w:rPr>
  </w:style>
  <w:style w:type="character" w:customStyle="1" w:styleId="UnresolvedMention1">
    <w:name w:val="Unresolved Mention1"/>
    <w:basedOn w:val="DefaultParagraphFont"/>
    <w:uiPriority w:val="99"/>
    <w:semiHidden/>
    <w:unhideWhenUsed/>
    <w:rsid w:val="006C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943">
      <w:bodyDiv w:val="1"/>
      <w:marLeft w:val="0"/>
      <w:marRight w:val="0"/>
      <w:marTop w:val="0"/>
      <w:marBottom w:val="0"/>
      <w:divBdr>
        <w:top w:val="none" w:sz="0" w:space="0" w:color="auto"/>
        <w:left w:val="none" w:sz="0" w:space="0" w:color="auto"/>
        <w:bottom w:val="none" w:sz="0" w:space="0" w:color="auto"/>
        <w:right w:val="none" w:sz="0" w:space="0" w:color="auto"/>
      </w:divBdr>
      <w:divsChild>
        <w:div w:id="121388163">
          <w:marLeft w:val="0"/>
          <w:marRight w:val="0"/>
          <w:marTop w:val="0"/>
          <w:marBottom w:val="0"/>
          <w:divBdr>
            <w:top w:val="none" w:sz="0" w:space="0" w:color="auto"/>
            <w:left w:val="none" w:sz="0" w:space="0" w:color="auto"/>
            <w:bottom w:val="none" w:sz="0" w:space="0" w:color="auto"/>
            <w:right w:val="none" w:sz="0" w:space="0" w:color="auto"/>
          </w:divBdr>
          <w:divsChild>
            <w:div w:id="707225280">
              <w:marLeft w:val="0"/>
              <w:marRight w:val="0"/>
              <w:marTop w:val="0"/>
              <w:marBottom w:val="0"/>
              <w:divBdr>
                <w:top w:val="none" w:sz="0" w:space="0" w:color="auto"/>
                <w:left w:val="none" w:sz="0" w:space="0" w:color="auto"/>
                <w:bottom w:val="none" w:sz="0" w:space="0" w:color="auto"/>
                <w:right w:val="none" w:sz="0" w:space="0" w:color="auto"/>
              </w:divBdr>
              <w:divsChild>
                <w:div w:id="1414160275">
                  <w:marLeft w:val="0"/>
                  <w:marRight w:val="0"/>
                  <w:marTop w:val="0"/>
                  <w:marBottom w:val="0"/>
                  <w:divBdr>
                    <w:top w:val="none" w:sz="0" w:space="0" w:color="auto"/>
                    <w:left w:val="none" w:sz="0" w:space="0" w:color="auto"/>
                    <w:bottom w:val="none" w:sz="0" w:space="0" w:color="auto"/>
                    <w:right w:val="none" w:sz="0" w:space="0" w:color="auto"/>
                  </w:divBdr>
                  <w:divsChild>
                    <w:div w:id="5058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6684">
          <w:marLeft w:val="0"/>
          <w:marRight w:val="0"/>
          <w:marTop w:val="0"/>
          <w:marBottom w:val="0"/>
          <w:divBdr>
            <w:top w:val="none" w:sz="0" w:space="0" w:color="auto"/>
            <w:left w:val="none" w:sz="0" w:space="0" w:color="auto"/>
            <w:bottom w:val="none" w:sz="0" w:space="0" w:color="auto"/>
            <w:right w:val="none" w:sz="0" w:space="0" w:color="auto"/>
          </w:divBdr>
          <w:divsChild>
            <w:div w:id="422380032">
              <w:marLeft w:val="0"/>
              <w:marRight w:val="0"/>
              <w:marTop w:val="0"/>
              <w:marBottom w:val="0"/>
              <w:divBdr>
                <w:top w:val="none" w:sz="0" w:space="0" w:color="auto"/>
                <w:left w:val="none" w:sz="0" w:space="0" w:color="auto"/>
                <w:bottom w:val="none" w:sz="0" w:space="0" w:color="auto"/>
                <w:right w:val="none" w:sz="0" w:space="0" w:color="auto"/>
              </w:divBdr>
              <w:divsChild>
                <w:div w:id="2035614651">
                  <w:marLeft w:val="0"/>
                  <w:marRight w:val="0"/>
                  <w:marTop w:val="0"/>
                  <w:marBottom w:val="0"/>
                  <w:divBdr>
                    <w:top w:val="none" w:sz="0" w:space="0" w:color="auto"/>
                    <w:left w:val="none" w:sz="0" w:space="0" w:color="auto"/>
                    <w:bottom w:val="none" w:sz="0" w:space="0" w:color="auto"/>
                    <w:right w:val="none" w:sz="0" w:space="0" w:color="auto"/>
                  </w:divBdr>
                  <w:divsChild>
                    <w:div w:id="1416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283">
      <w:bodyDiv w:val="1"/>
      <w:marLeft w:val="0"/>
      <w:marRight w:val="0"/>
      <w:marTop w:val="0"/>
      <w:marBottom w:val="0"/>
      <w:divBdr>
        <w:top w:val="none" w:sz="0" w:space="0" w:color="auto"/>
        <w:left w:val="none" w:sz="0" w:space="0" w:color="auto"/>
        <w:bottom w:val="none" w:sz="0" w:space="0" w:color="auto"/>
        <w:right w:val="none" w:sz="0" w:space="0" w:color="auto"/>
      </w:divBdr>
    </w:div>
    <w:div w:id="69349855">
      <w:bodyDiv w:val="1"/>
      <w:marLeft w:val="0"/>
      <w:marRight w:val="0"/>
      <w:marTop w:val="0"/>
      <w:marBottom w:val="0"/>
      <w:divBdr>
        <w:top w:val="none" w:sz="0" w:space="0" w:color="auto"/>
        <w:left w:val="none" w:sz="0" w:space="0" w:color="auto"/>
        <w:bottom w:val="none" w:sz="0" w:space="0" w:color="auto"/>
        <w:right w:val="none" w:sz="0" w:space="0" w:color="auto"/>
      </w:divBdr>
    </w:div>
    <w:div w:id="75786640">
      <w:bodyDiv w:val="1"/>
      <w:marLeft w:val="0"/>
      <w:marRight w:val="0"/>
      <w:marTop w:val="0"/>
      <w:marBottom w:val="0"/>
      <w:divBdr>
        <w:top w:val="none" w:sz="0" w:space="0" w:color="auto"/>
        <w:left w:val="none" w:sz="0" w:space="0" w:color="auto"/>
        <w:bottom w:val="none" w:sz="0" w:space="0" w:color="auto"/>
        <w:right w:val="none" w:sz="0" w:space="0" w:color="auto"/>
      </w:divBdr>
    </w:div>
    <w:div w:id="95490616">
      <w:bodyDiv w:val="1"/>
      <w:marLeft w:val="0"/>
      <w:marRight w:val="0"/>
      <w:marTop w:val="0"/>
      <w:marBottom w:val="0"/>
      <w:divBdr>
        <w:top w:val="none" w:sz="0" w:space="0" w:color="auto"/>
        <w:left w:val="none" w:sz="0" w:space="0" w:color="auto"/>
        <w:bottom w:val="none" w:sz="0" w:space="0" w:color="auto"/>
        <w:right w:val="none" w:sz="0" w:space="0" w:color="auto"/>
      </w:divBdr>
    </w:div>
    <w:div w:id="104080661">
      <w:bodyDiv w:val="1"/>
      <w:marLeft w:val="0"/>
      <w:marRight w:val="0"/>
      <w:marTop w:val="0"/>
      <w:marBottom w:val="0"/>
      <w:divBdr>
        <w:top w:val="none" w:sz="0" w:space="0" w:color="auto"/>
        <w:left w:val="none" w:sz="0" w:space="0" w:color="auto"/>
        <w:bottom w:val="none" w:sz="0" w:space="0" w:color="auto"/>
        <w:right w:val="none" w:sz="0" w:space="0" w:color="auto"/>
      </w:divBdr>
    </w:div>
    <w:div w:id="125661515">
      <w:bodyDiv w:val="1"/>
      <w:marLeft w:val="0"/>
      <w:marRight w:val="0"/>
      <w:marTop w:val="0"/>
      <w:marBottom w:val="0"/>
      <w:divBdr>
        <w:top w:val="none" w:sz="0" w:space="0" w:color="auto"/>
        <w:left w:val="none" w:sz="0" w:space="0" w:color="auto"/>
        <w:bottom w:val="none" w:sz="0" w:space="0" w:color="auto"/>
        <w:right w:val="none" w:sz="0" w:space="0" w:color="auto"/>
      </w:divBdr>
      <w:divsChild>
        <w:div w:id="805049408">
          <w:marLeft w:val="0"/>
          <w:marRight w:val="0"/>
          <w:marTop w:val="0"/>
          <w:marBottom w:val="0"/>
          <w:divBdr>
            <w:top w:val="none" w:sz="0" w:space="0" w:color="auto"/>
            <w:left w:val="none" w:sz="0" w:space="0" w:color="auto"/>
            <w:bottom w:val="none" w:sz="0" w:space="0" w:color="auto"/>
            <w:right w:val="none" w:sz="0" w:space="0" w:color="auto"/>
          </w:divBdr>
          <w:divsChild>
            <w:div w:id="936907645">
              <w:marLeft w:val="0"/>
              <w:marRight w:val="0"/>
              <w:marTop w:val="0"/>
              <w:marBottom w:val="0"/>
              <w:divBdr>
                <w:top w:val="none" w:sz="0" w:space="0" w:color="auto"/>
                <w:left w:val="none" w:sz="0" w:space="0" w:color="auto"/>
                <w:bottom w:val="none" w:sz="0" w:space="0" w:color="auto"/>
                <w:right w:val="none" w:sz="0" w:space="0" w:color="auto"/>
              </w:divBdr>
              <w:divsChild>
                <w:div w:id="116990036">
                  <w:marLeft w:val="0"/>
                  <w:marRight w:val="0"/>
                  <w:marTop w:val="0"/>
                  <w:marBottom w:val="0"/>
                  <w:divBdr>
                    <w:top w:val="none" w:sz="0" w:space="0" w:color="auto"/>
                    <w:left w:val="none" w:sz="0" w:space="0" w:color="auto"/>
                    <w:bottom w:val="none" w:sz="0" w:space="0" w:color="auto"/>
                    <w:right w:val="none" w:sz="0" w:space="0" w:color="auto"/>
                  </w:divBdr>
                  <w:divsChild>
                    <w:div w:id="20071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74250">
          <w:marLeft w:val="0"/>
          <w:marRight w:val="0"/>
          <w:marTop w:val="0"/>
          <w:marBottom w:val="0"/>
          <w:divBdr>
            <w:top w:val="none" w:sz="0" w:space="0" w:color="auto"/>
            <w:left w:val="none" w:sz="0" w:space="0" w:color="auto"/>
            <w:bottom w:val="none" w:sz="0" w:space="0" w:color="auto"/>
            <w:right w:val="none" w:sz="0" w:space="0" w:color="auto"/>
          </w:divBdr>
          <w:divsChild>
            <w:div w:id="1276330801">
              <w:marLeft w:val="0"/>
              <w:marRight w:val="0"/>
              <w:marTop w:val="0"/>
              <w:marBottom w:val="0"/>
              <w:divBdr>
                <w:top w:val="none" w:sz="0" w:space="0" w:color="auto"/>
                <w:left w:val="none" w:sz="0" w:space="0" w:color="auto"/>
                <w:bottom w:val="none" w:sz="0" w:space="0" w:color="auto"/>
                <w:right w:val="none" w:sz="0" w:space="0" w:color="auto"/>
              </w:divBdr>
              <w:divsChild>
                <w:div w:id="481822229">
                  <w:marLeft w:val="0"/>
                  <w:marRight w:val="0"/>
                  <w:marTop w:val="0"/>
                  <w:marBottom w:val="0"/>
                  <w:divBdr>
                    <w:top w:val="none" w:sz="0" w:space="0" w:color="auto"/>
                    <w:left w:val="none" w:sz="0" w:space="0" w:color="auto"/>
                    <w:bottom w:val="none" w:sz="0" w:space="0" w:color="auto"/>
                    <w:right w:val="none" w:sz="0" w:space="0" w:color="auto"/>
                  </w:divBdr>
                  <w:divsChild>
                    <w:div w:id="14941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845">
      <w:bodyDiv w:val="1"/>
      <w:marLeft w:val="0"/>
      <w:marRight w:val="0"/>
      <w:marTop w:val="0"/>
      <w:marBottom w:val="0"/>
      <w:divBdr>
        <w:top w:val="none" w:sz="0" w:space="0" w:color="auto"/>
        <w:left w:val="none" w:sz="0" w:space="0" w:color="auto"/>
        <w:bottom w:val="none" w:sz="0" w:space="0" w:color="auto"/>
        <w:right w:val="none" w:sz="0" w:space="0" w:color="auto"/>
      </w:divBdr>
    </w:div>
    <w:div w:id="173345827">
      <w:bodyDiv w:val="1"/>
      <w:marLeft w:val="0"/>
      <w:marRight w:val="0"/>
      <w:marTop w:val="0"/>
      <w:marBottom w:val="0"/>
      <w:divBdr>
        <w:top w:val="none" w:sz="0" w:space="0" w:color="auto"/>
        <w:left w:val="none" w:sz="0" w:space="0" w:color="auto"/>
        <w:bottom w:val="none" w:sz="0" w:space="0" w:color="auto"/>
        <w:right w:val="none" w:sz="0" w:space="0" w:color="auto"/>
      </w:divBdr>
    </w:div>
    <w:div w:id="176701707">
      <w:bodyDiv w:val="1"/>
      <w:marLeft w:val="0"/>
      <w:marRight w:val="0"/>
      <w:marTop w:val="0"/>
      <w:marBottom w:val="0"/>
      <w:divBdr>
        <w:top w:val="none" w:sz="0" w:space="0" w:color="auto"/>
        <w:left w:val="none" w:sz="0" w:space="0" w:color="auto"/>
        <w:bottom w:val="none" w:sz="0" w:space="0" w:color="auto"/>
        <w:right w:val="none" w:sz="0" w:space="0" w:color="auto"/>
      </w:divBdr>
    </w:div>
    <w:div w:id="214777351">
      <w:bodyDiv w:val="1"/>
      <w:marLeft w:val="0"/>
      <w:marRight w:val="0"/>
      <w:marTop w:val="0"/>
      <w:marBottom w:val="0"/>
      <w:divBdr>
        <w:top w:val="none" w:sz="0" w:space="0" w:color="auto"/>
        <w:left w:val="none" w:sz="0" w:space="0" w:color="auto"/>
        <w:bottom w:val="none" w:sz="0" w:space="0" w:color="auto"/>
        <w:right w:val="none" w:sz="0" w:space="0" w:color="auto"/>
      </w:divBdr>
    </w:div>
    <w:div w:id="224144042">
      <w:bodyDiv w:val="1"/>
      <w:marLeft w:val="0"/>
      <w:marRight w:val="0"/>
      <w:marTop w:val="0"/>
      <w:marBottom w:val="0"/>
      <w:divBdr>
        <w:top w:val="none" w:sz="0" w:space="0" w:color="auto"/>
        <w:left w:val="none" w:sz="0" w:space="0" w:color="auto"/>
        <w:bottom w:val="none" w:sz="0" w:space="0" w:color="auto"/>
        <w:right w:val="none" w:sz="0" w:space="0" w:color="auto"/>
      </w:divBdr>
    </w:div>
    <w:div w:id="267199518">
      <w:bodyDiv w:val="1"/>
      <w:marLeft w:val="0"/>
      <w:marRight w:val="0"/>
      <w:marTop w:val="0"/>
      <w:marBottom w:val="0"/>
      <w:divBdr>
        <w:top w:val="none" w:sz="0" w:space="0" w:color="auto"/>
        <w:left w:val="none" w:sz="0" w:space="0" w:color="auto"/>
        <w:bottom w:val="none" w:sz="0" w:space="0" w:color="auto"/>
        <w:right w:val="none" w:sz="0" w:space="0" w:color="auto"/>
      </w:divBdr>
    </w:div>
    <w:div w:id="272639618">
      <w:bodyDiv w:val="1"/>
      <w:marLeft w:val="0"/>
      <w:marRight w:val="0"/>
      <w:marTop w:val="0"/>
      <w:marBottom w:val="0"/>
      <w:divBdr>
        <w:top w:val="none" w:sz="0" w:space="0" w:color="auto"/>
        <w:left w:val="none" w:sz="0" w:space="0" w:color="auto"/>
        <w:bottom w:val="none" w:sz="0" w:space="0" w:color="auto"/>
        <w:right w:val="none" w:sz="0" w:space="0" w:color="auto"/>
      </w:divBdr>
    </w:div>
    <w:div w:id="272789240">
      <w:bodyDiv w:val="1"/>
      <w:marLeft w:val="0"/>
      <w:marRight w:val="0"/>
      <w:marTop w:val="0"/>
      <w:marBottom w:val="0"/>
      <w:divBdr>
        <w:top w:val="none" w:sz="0" w:space="0" w:color="auto"/>
        <w:left w:val="none" w:sz="0" w:space="0" w:color="auto"/>
        <w:bottom w:val="none" w:sz="0" w:space="0" w:color="auto"/>
        <w:right w:val="none" w:sz="0" w:space="0" w:color="auto"/>
      </w:divBdr>
    </w:div>
    <w:div w:id="294484893">
      <w:bodyDiv w:val="1"/>
      <w:marLeft w:val="0"/>
      <w:marRight w:val="0"/>
      <w:marTop w:val="0"/>
      <w:marBottom w:val="0"/>
      <w:divBdr>
        <w:top w:val="none" w:sz="0" w:space="0" w:color="auto"/>
        <w:left w:val="none" w:sz="0" w:space="0" w:color="auto"/>
        <w:bottom w:val="none" w:sz="0" w:space="0" w:color="auto"/>
        <w:right w:val="none" w:sz="0" w:space="0" w:color="auto"/>
      </w:divBdr>
    </w:div>
    <w:div w:id="309675525">
      <w:bodyDiv w:val="1"/>
      <w:marLeft w:val="0"/>
      <w:marRight w:val="0"/>
      <w:marTop w:val="0"/>
      <w:marBottom w:val="0"/>
      <w:divBdr>
        <w:top w:val="none" w:sz="0" w:space="0" w:color="auto"/>
        <w:left w:val="none" w:sz="0" w:space="0" w:color="auto"/>
        <w:bottom w:val="none" w:sz="0" w:space="0" w:color="auto"/>
        <w:right w:val="none" w:sz="0" w:space="0" w:color="auto"/>
      </w:divBdr>
    </w:div>
    <w:div w:id="311250886">
      <w:bodyDiv w:val="1"/>
      <w:marLeft w:val="0"/>
      <w:marRight w:val="0"/>
      <w:marTop w:val="0"/>
      <w:marBottom w:val="0"/>
      <w:divBdr>
        <w:top w:val="none" w:sz="0" w:space="0" w:color="auto"/>
        <w:left w:val="none" w:sz="0" w:space="0" w:color="auto"/>
        <w:bottom w:val="none" w:sz="0" w:space="0" w:color="auto"/>
        <w:right w:val="none" w:sz="0" w:space="0" w:color="auto"/>
      </w:divBdr>
    </w:div>
    <w:div w:id="346711766">
      <w:bodyDiv w:val="1"/>
      <w:marLeft w:val="0"/>
      <w:marRight w:val="0"/>
      <w:marTop w:val="0"/>
      <w:marBottom w:val="0"/>
      <w:divBdr>
        <w:top w:val="none" w:sz="0" w:space="0" w:color="auto"/>
        <w:left w:val="none" w:sz="0" w:space="0" w:color="auto"/>
        <w:bottom w:val="none" w:sz="0" w:space="0" w:color="auto"/>
        <w:right w:val="none" w:sz="0" w:space="0" w:color="auto"/>
      </w:divBdr>
    </w:div>
    <w:div w:id="346834715">
      <w:bodyDiv w:val="1"/>
      <w:marLeft w:val="0"/>
      <w:marRight w:val="0"/>
      <w:marTop w:val="0"/>
      <w:marBottom w:val="0"/>
      <w:divBdr>
        <w:top w:val="none" w:sz="0" w:space="0" w:color="auto"/>
        <w:left w:val="none" w:sz="0" w:space="0" w:color="auto"/>
        <w:bottom w:val="none" w:sz="0" w:space="0" w:color="auto"/>
        <w:right w:val="none" w:sz="0" w:space="0" w:color="auto"/>
      </w:divBdr>
    </w:div>
    <w:div w:id="357853561">
      <w:bodyDiv w:val="1"/>
      <w:marLeft w:val="0"/>
      <w:marRight w:val="0"/>
      <w:marTop w:val="0"/>
      <w:marBottom w:val="0"/>
      <w:divBdr>
        <w:top w:val="none" w:sz="0" w:space="0" w:color="auto"/>
        <w:left w:val="none" w:sz="0" w:space="0" w:color="auto"/>
        <w:bottom w:val="none" w:sz="0" w:space="0" w:color="auto"/>
        <w:right w:val="none" w:sz="0" w:space="0" w:color="auto"/>
      </w:divBdr>
    </w:div>
    <w:div w:id="372459249">
      <w:bodyDiv w:val="1"/>
      <w:marLeft w:val="0"/>
      <w:marRight w:val="0"/>
      <w:marTop w:val="0"/>
      <w:marBottom w:val="0"/>
      <w:divBdr>
        <w:top w:val="none" w:sz="0" w:space="0" w:color="auto"/>
        <w:left w:val="none" w:sz="0" w:space="0" w:color="auto"/>
        <w:bottom w:val="none" w:sz="0" w:space="0" w:color="auto"/>
        <w:right w:val="none" w:sz="0" w:space="0" w:color="auto"/>
      </w:divBdr>
    </w:div>
    <w:div w:id="372968479">
      <w:bodyDiv w:val="1"/>
      <w:marLeft w:val="0"/>
      <w:marRight w:val="0"/>
      <w:marTop w:val="0"/>
      <w:marBottom w:val="0"/>
      <w:divBdr>
        <w:top w:val="none" w:sz="0" w:space="0" w:color="auto"/>
        <w:left w:val="none" w:sz="0" w:space="0" w:color="auto"/>
        <w:bottom w:val="none" w:sz="0" w:space="0" w:color="auto"/>
        <w:right w:val="none" w:sz="0" w:space="0" w:color="auto"/>
      </w:divBdr>
    </w:div>
    <w:div w:id="384065468">
      <w:bodyDiv w:val="1"/>
      <w:marLeft w:val="0"/>
      <w:marRight w:val="0"/>
      <w:marTop w:val="0"/>
      <w:marBottom w:val="0"/>
      <w:divBdr>
        <w:top w:val="none" w:sz="0" w:space="0" w:color="auto"/>
        <w:left w:val="none" w:sz="0" w:space="0" w:color="auto"/>
        <w:bottom w:val="none" w:sz="0" w:space="0" w:color="auto"/>
        <w:right w:val="none" w:sz="0" w:space="0" w:color="auto"/>
      </w:divBdr>
    </w:div>
    <w:div w:id="395518851">
      <w:bodyDiv w:val="1"/>
      <w:marLeft w:val="0"/>
      <w:marRight w:val="0"/>
      <w:marTop w:val="0"/>
      <w:marBottom w:val="0"/>
      <w:divBdr>
        <w:top w:val="none" w:sz="0" w:space="0" w:color="auto"/>
        <w:left w:val="none" w:sz="0" w:space="0" w:color="auto"/>
        <w:bottom w:val="none" w:sz="0" w:space="0" w:color="auto"/>
        <w:right w:val="none" w:sz="0" w:space="0" w:color="auto"/>
      </w:divBdr>
    </w:div>
    <w:div w:id="396637143">
      <w:bodyDiv w:val="1"/>
      <w:marLeft w:val="0"/>
      <w:marRight w:val="0"/>
      <w:marTop w:val="0"/>
      <w:marBottom w:val="0"/>
      <w:divBdr>
        <w:top w:val="none" w:sz="0" w:space="0" w:color="auto"/>
        <w:left w:val="none" w:sz="0" w:space="0" w:color="auto"/>
        <w:bottom w:val="none" w:sz="0" w:space="0" w:color="auto"/>
        <w:right w:val="none" w:sz="0" w:space="0" w:color="auto"/>
      </w:divBdr>
    </w:div>
    <w:div w:id="400565055">
      <w:bodyDiv w:val="1"/>
      <w:marLeft w:val="0"/>
      <w:marRight w:val="0"/>
      <w:marTop w:val="0"/>
      <w:marBottom w:val="0"/>
      <w:divBdr>
        <w:top w:val="none" w:sz="0" w:space="0" w:color="auto"/>
        <w:left w:val="none" w:sz="0" w:space="0" w:color="auto"/>
        <w:bottom w:val="none" w:sz="0" w:space="0" w:color="auto"/>
        <w:right w:val="none" w:sz="0" w:space="0" w:color="auto"/>
      </w:divBdr>
    </w:div>
    <w:div w:id="411662327">
      <w:bodyDiv w:val="1"/>
      <w:marLeft w:val="0"/>
      <w:marRight w:val="0"/>
      <w:marTop w:val="0"/>
      <w:marBottom w:val="0"/>
      <w:divBdr>
        <w:top w:val="none" w:sz="0" w:space="0" w:color="auto"/>
        <w:left w:val="none" w:sz="0" w:space="0" w:color="auto"/>
        <w:bottom w:val="none" w:sz="0" w:space="0" w:color="auto"/>
        <w:right w:val="none" w:sz="0" w:space="0" w:color="auto"/>
      </w:divBdr>
    </w:div>
    <w:div w:id="431512884">
      <w:bodyDiv w:val="1"/>
      <w:marLeft w:val="0"/>
      <w:marRight w:val="0"/>
      <w:marTop w:val="0"/>
      <w:marBottom w:val="0"/>
      <w:divBdr>
        <w:top w:val="none" w:sz="0" w:space="0" w:color="auto"/>
        <w:left w:val="none" w:sz="0" w:space="0" w:color="auto"/>
        <w:bottom w:val="none" w:sz="0" w:space="0" w:color="auto"/>
        <w:right w:val="none" w:sz="0" w:space="0" w:color="auto"/>
      </w:divBdr>
      <w:divsChild>
        <w:div w:id="1186864426">
          <w:marLeft w:val="0"/>
          <w:marRight w:val="0"/>
          <w:marTop w:val="0"/>
          <w:marBottom w:val="0"/>
          <w:divBdr>
            <w:top w:val="none" w:sz="0" w:space="0" w:color="auto"/>
            <w:left w:val="none" w:sz="0" w:space="0" w:color="auto"/>
            <w:bottom w:val="none" w:sz="0" w:space="0" w:color="auto"/>
            <w:right w:val="none" w:sz="0" w:space="0" w:color="auto"/>
          </w:divBdr>
          <w:divsChild>
            <w:div w:id="2078475199">
              <w:marLeft w:val="0"/>
              <w:marRight w:val="0"/>
              <w:marTop w:val="0"/>
              <w:marBottom w:val="0"/>
              <w:divBdr>
                <w:top w:val="none" w:sz="0" w:space="0" w:color="auto"/>
                <w:left w:val="none" w:sz="0" w:space="0" w:color="auto"/>
                <w:bottom w:val="none" w:sz="0" w:space="0" w:color="auto"/>
                <w:right w:val="none" w:sz="0" w:space="0" w:color="auto"/>
              </w:divBdr>
              <w:divsChild>
                <w:div w:id="838541234">
                  <w:marLeft w:val="0"/>
                  <w:marRight w:val="0"/>
                  <w:marTop w:val="0"/>
                  <w:marBottom w:val="0"/>
                  <w:divBdr>
                    <w:top w:val="none" w:sz="0" w:space="0" w:color="auto"/>
                    <w:left w:val="none" w:sz="0" w:space="0" w:color="auto"/>
                    <w:bottom w:val="none" w:sz="0" w:space="0" w:color="auto"/>
                    <w:right w:val="none" w:sz="0" w:space="0" w:color="auto"/>
                  </w:divBdr>
                  <w:divsChild>
                    <w:div w:id="1580478468">
                      <w:marLeft w:val="0"/>
                      <w:marRight w:val="0"/>
                      <w:marTop w:val="0"/>
                      <w:marBottom w:val="0"/>
                      <w:divBdr>
                        <w:top w:val="none" w:sz="0" w:space="0" w:color="auto"/>
                        <w:left w:val="none" w:sz="0" w:space="0" w:color="auto"/>
                        <w:bottom w:val="none" w:sz="0" w:space="0" w:color="auto"/>
                        <w:right w:val="none" w:sz="0" w:space="0" w:color="auto"/>
                      </w:divBdr>
                      <w:divsChild>
                        <w:div w:id="1209950354">
                          <w:marLeft w:val="0"/>
                          <w:marRight w:val="0"/>
                          <w:marTop w:val="0"/>
                          <w:marBottom w:val="0"/>
                          <w:divBdr>
                            <w:top w:val="none" w:sz="0" w:space="0" w:color="auto"/>
                            <w:left w:val="none" w:sz="0" w:space="0" w:color="auto"/>
                            <w:bottom w:val="none" w:sz="0" w:space="0" w:color="auto"/>
                            <w:right w:val="none" w:sz="0" w:space="0" w:color="auto"/>
                          </w:divBdr>
                          <w:divsChild>
                            <w:div w:id="1529686014">
                              <w:marLeft w:val="0"/>
                              <w:marRight w:val="0"/>
                              <w:marTop w:val="0"/>
                              <w:marBottom w:val="0"/>
                              <w:divBdr>
                                <w:top w:val="none" w:sz="0" w:space="0" w:color="auto"/>
                                <w:left w:val="none" w:sz="0" w:space="0" w:color="auto"/>
                                <w:bottom w:val="none" w:sz="0" w:space="0" w:color="auto"/>
                                <w:right w:val="none" w:sz="0" w:space="0" w:color="auto"/>
                              </w:divBdr>
                              <w:divsChild>
                                <w:div w:id="1202668144">
                                  <w:marLeft w:val="0"/>
                                  <w:marRight w:val="0"/>
                                  <w:marTop w:val="0"/>
                                  <w:marBottom w:val="0"/>
                                  <w:divBdr>
                                    <w:top w:val="none" w:sz="0" w:space="0" w:color="auto"/>
                                    <w:left w:val="none" w:sz="0" w:space="0" w:color="auto"/>
                                    <w:bottom w:val="none" w:sz="0" w:space="0" w:color="auto"/>
                                    <w:right w:val="none" w:sz="0" w:space="0" w:color="auto"/>
                                  </w:divBdr>
                                  <w:divsChild>
                                    <w:div w:id="767459045">
                                      <w:marLeft w:val="0"/>
                                      <w:marRight w:val="0"/>
                                      <w:marTop w:val="0"/>
                                      <w:marBottom w:val="0"/>
                                      <w:divBdr>
                                        <w:top w:val="none" w:sz="0" w:space="0" w:color="auto"/>
                                        <w:left w:val="none" w:sz="0" w:space="0" w:color="auto"/>
                                        <w:bottom w:val="none" w:sz="0" w:space="0" w:color="auto"/>
                                        <w:right w:val="none" w:sz="0" w:space="0" w:color="auto"/>
                                      </w:divBdr>
                                      <w:divsChild>
                                        <w:div w:id="361978787">
                                          <w:marLeft w:val="0"/>
                                          <w:marRight w:val="0"/>
                                          <w:marTop w:val="0"/>
                                          <w:marBottom w:val="0"/>
                                          <w:divBdr>
                                            <w:top w:val="none" w:sz="0" w:space="0" w:color="auto"/>
                                            <w:left w:val="none" w:sz="0" w:space="0" w:color="auto"/>
                                            <w:bottom w:val="none" w:sz="0" w:space="0" w:color="auto"/>
                                            <w:right w:val="none" w:sz="0" w:space="0" w:color="auto"/>
                                          </w:divBdr>
                                          <w:divsChild>
                                            <w:div w:id="134377434">
                                              <w:marLeft w:val="0"/>
                                              <w:marRight w:val="0"/>
                                              <w:marTop w:val="0"/>
                                              <w:marBottom w:val="0"/>
                                              <w:divBdr>
                                                <w:top w:val="none" w:sz="0" w:space="0" w:color="auto"/>
                                                <w:left w:val="none" w:sz="0" w:space="0" w:color="auto"/>
                                                <w:bottom w:val="none" w:sz="0" w:space="0" w:color="auto"/>
                                                <w:right w:val="none" w:sz="0" w:space="0" w:color="auto"/>
                                              </w:divBdr>
                                              <w:divsChild>
                                                <w:div w:id="1123771382">
                                                  <w:marLeft w:val="0"/>
                                                  <w:marRight w:val="0"/>
                                                  <w:marTop w:val="0"/>
                                                  <w:marBottom w:val="0"/>
                                                  <w:divBdr>
                                                    <w:top w:val="none" w:sz="0" w:space="0" w:color="auto"/>
                                                    <w:left w:val="none" w:sz="0" w:space="0" w:color="auto"/>
                                                    <w:bottom w:val="none" w:sz="0" w:space="0" w:color="auto"/>
                                                    <w:right w:val="none" w:sz="0" w:space="0" w:color="auto"/>
                                                  </w:divBdr>
                                                  <w:divsChild>
                                                    <w:div w:id="225799454">
                                                      <w:marLeft w:val="0"/>
                                                      <w:marRight w:val="0"/>
                                                      <w:marTop w:val="0"/>
                                                      <w:marBottom w:val="0"/>
                                                      <w:divBdr>
                                                        <w:top w:val="none" w:sz="0" w:space="0" w:color="auto"/>
                                                        <w:left w:val="none" w:sz="0" w:space="0" w:color="auto"/>
                                                        <w:bottom w:val="none" w:sz="0" w:space="0" w:color="auto"/>
                                                        <w:right w:val="none" w:sz="0" w:space="0" w:color="auto"/>
                                                      </w:divBdr>
                                                      <w:divsChild>
                                                        <w:div w:id="7202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207545">
          <w:marLeft w:val="0"/>
          <w:marRight w:val="0"/>
          <w:marTop w:val="0"/>
          <w:marBottom w:val="0"/>
          <w:divBdr>
            <w:top w:val="none" w:sz="0" w:space="0" w:color="auto"/>
            <w:left w:val="none" w:sz="0" w:space="0" w:color="auto"/>
            <w:bottom w:val="none" w:sz="0" w:space="0" w:color="auto"/>
            <w:right w:val="none" w:sz="0" w:space="0" w:color="auto"/>
          </w:divBdr>
          <w:divsChild>
            <w:div w:id="1943563381">
              <w:marLeft w:val="0"/>
              <w:marRight w:val="0"/>
              <w:marTop w:val="0"/>
              <w:marBottom w:val="0"/>
              <w:divBdr>
                <w:top w:val="none" w:sz="0" w:space="0" w:color="auto"/>
                <w:left w:val="none" w:sz="0" w:space="0" w:color="auto"/>
                <w:bottom w:val="none" w:sz="0" w:space="0" w:color="auto"/>
                <w:right w:val="none" w:sz="0" w:space="0" w:color="auto"/>
              </w:divBdr>
              <w:divsChild>
                <w:div w:id="1411002831">
                  <w:marLeft w:val="0"/>
                  <w:marRight w:val="0"/>
                  <w:marTop w:val="0"/>
                  <w:marBottom w:val="0"/>
                  <w:divBdr>
                    <w:top w:val="none" w:sz="0" w:space="0" w:color="auto"/>
                    <w:left w:val="none" w:sz="0" w:space="0" w:color="auto"/>
                    <w:bottom w:val="none" w:sz="0" w:space="0" w:color="auto"/>
                    <w:right w:val="none" w:sz="0" w:space="0" w:color="auto"/>
                  </w:divBdr>
                  <w:divsChild>
                    <w:div w:id="14937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58678">
      <w:bodyDiv w:val="1"/>
      <w:marLeft w:val="0"/>
      <w:marRight w:val="0"/>
      <w:marTop w:val="0"/>
      <w:marBottom w:val="0"/>
      <w:divBdr>
        <w:top w:val="none" w:sz="0" w:space="0" w:color="auto"/>
        <w:left w:val="none" w:sz="0" w:space="0" w:color="auto"/>
        <w:bottom w:val="none" w:sz="0" w:space="0" w:color="auto"/>
        <w:right w:val="none" w:sz="0" w:space="0" w:color="auto"/>
      </w:divBdr>
    </w:div>
    <w:div w:id="440301111">
      <w:bodyDiv w:val="1"/>
      <w:marLeft w:val="0"/>
      <w:marRight w:val="0"/>
      <w:marTop w:val="0"/>
      <w:marBottom w:val="0"/>
      <w:divBdr>
        <w:top w:val="none" w:sz="0" w:space="0" w:color="auto"/>
        <w:left w:val="none" w:sz="0" w:space="0" w:color="auto"/>
        <w:bottom w:val="none" w:sz="0" w:space="0" w:color="auto"/>
        <w:right w:val="none" w:sz="0" w:space="0" w:color="auto"/>
      </w:divBdr>
    </w:div>
    <w:div w:id="454520027">
      <w:bodyDiv w:val="1"/>
      <w:marLeft w:val="0"/>
      <w:marRight w:val="0"/>
      <w:marTop w:val="0"/>
      <w:marBottom w:val="0"/>
      <w:divBdr>
        <w:top w:val="none" w:sz="0" w:space="0" w:color="auto"/>
        <w:left w:val="none" w:sz="0" w:space="0" w:color="auto"/>
        <w:bottom w:val="none" w:sz="0" w:space="0" w:color="auto"/>
        <w:right w:val="none" w:sz="0" w:space="0" w:color="auto"/>
      </w:divBdr>
    </w:div>
    <w:div w:id="454756334">
      <w:bodyDiv w:val="1"/>
      <w:marLeft w:val="0"/>
      <w:marRight w:val="0"/>
      <w:marTop w:val="0"/>
      <w:marBottom w:val="0"/>
      <w:divBdr>
        <w:top w:val="none" w:sz="0" w:space="0" w:color="auto"/>
        <w:left w:val="none" w:sz="0" w:space="0" w:color="auto"/>
        <w:bottom w:val="none" w:sz="0" w:space="0" w:color="auto"/>
        <w:right w:val="none" w:sz="0" w:space="0" w:color="auto"/>
      </w:divBdr>
    </w:div>
    <w:div w:id="487358175">
      <w:bodyDiv w:val="1"/>
      <w:marLeft w:val="0"/>
      <w:marRight w:val="0"/>
      <w:marTop w:val="0"/>
      <w:marBottom w:val="0"/>
      <w:divBdr>
        <w:top w:val="none" w:sz="0" w:space="0" w:color="auto"/>
        <w:left w:val="none" w:sz="0" w:space="0" w:color="auto"/>
        <w:bottom w:val="none" w:sz="0" w:space="0" w:color="auto"/>
        <w:right w:val="none" w:sz="0" w:space="0" w:color="auto"/>
      </w:divBdr>
    </w:div>
    <w:div w:id="543758104">
      <w:bodyDiv w:val="1"/>
      <w:marLeft w:val="0"/>
      <w:marRight w:val="0"/>
      <w:marTop w:val="0"/>
      <w:marBottom w:val="0"/>
      <w:divBdr>
        <w:top w:val="none" w:sz="0" w:space="0" w:color="auto"/>
        <w:left w:val="none" w:sz="0" w:space="0" w:color="auto"/>
        <w:bottom w:val="none" w:sz="0" w:space="0" w:color="auto"/>
        <w:right w:val="none" w:sz="0" w:space="0" w:color="auto"/>
      </w:divBdr>
    </w:div>
    <w:div w:id="545068693">
      <w:bodyDiv w:val="1"/>
      <w:marLeft w:val="0"/>
      <w:marRight w:val="0"/>
      <w:marTop w:val="0"/>
      <w:marBottom w:val="0"/>
      <w:divBdr>
        <w:top w:val="none" w:sz="0" w:space="0" w:color="auto"/>
        <w:left w:val="none" w:sz="0" w:space="0" w:color="auto"/>
        <w:bottom w:val="none" w:sz="0" w:space="0" w:color="auto"/>
        <w:right w:val="none" w:sz="0" w:space="0" w:color="auto"/>
      </w:divBdr>
    </w:div>
    <w:div w:id="553202443">
      <w:bodyDiv w:val="1"/>
      <w:marLeft w:val="0"/>
      <w:marRight w:val="0"/>
      <w:marTop w:val="0"/>
      <w:marBottom w:val="0"/>
      <w:divBdr>
        <w:top w:val="none" w:sz="0" w:space="0" w:color="auto"/>
        <w:left w:val="none" w:sz="0" w:space="0" w:color="auto"/>
        <w:bottom w:val="none" w:sz="0" w:space="0" w:color="auto"/>
        <w:right w:val="none" w:sz="0" w:space="0" w:color="auto"/>
      </w:divBdr>
    </w:div>
    <w:div w:id="567110139">
      <w:bodyDiv w:val="1"/>
      <w:marLeft w:val="0"/>
      <w:marRight w:val="0"/>
      <w:marTop w:val="0"/>
      <w:marBottom w:val="0"/>
      <w:divBdr>
        <w:top w:val="none" w:sz="0" w:space="0" w:color="auto"/>
        <w:left w:val="none" w:sz="0" w:space="0" w:color="auto"/>
        <w:bottom w:val="none" w:sz="0" w:space="0" w:color="auto"/>
        <w:right w:val="none" w:sz="0" w:space="0" w:color="auto"/>
      </w:divBdr>
    </w:div>
    <w:div w:id="601911580">
      <w:bodyDiv w:val="1"/>
      <w:marLeft w:val="0"/>
      <w:marRight w:val="0"/>
      <w:marTop w:val="0"/>
      <w:marBottom w:val="0"/>
      <w:divBdr>
        <w:top w:val="none" w:sz="0" w:space="0" w:color="auto"/>
        <w:left w:val="none" w:sz="0" w:space="0" w:color="auto"/>
        <w:bottom w:val="none" w:sz="0" w:space="0" w:color="auto"/>
        <w:right w:val="none" w:sz="0" w:space="0" w:color="auto"/>
      </w:divBdr>
    </w:div>
    <w:div w:id="608045088">
      <w:bodyDiv w:val="1"/>
      <w:marLeft w:val="0"/>
      <w:marRight w:val="0"/>
      <w:marTop w:val="0"/>
      <w:marBottom w:val="0"/>
      <w:divBdr>
        <w:top w:val="none" w:sz="0" w:space="0" w:color="auto"/>
        <w:left w:val="none" w:sz="0" w:space="0" w:color="auto"/>
        <w:bottom w:val="none" w:sz="0" w:space="0" w:color="auto"/>
        <w:right w:val="none" w:sz="0" w:space="0" w:color="auto"/>
      </w:divBdr>
    </w:div>
    <w:div w:id="611668993">
      <w:bodyDiv w:val="1"/>
      <w:marLeft w:val="0"/>
      <w:marRight w:val="0"/>
      <w:marTop w:val="0"/>
      <w:marBottom w:val="0"/>
      <w:divBdr>
        <w:top w:val="none" w:sz="0" w:space="0" w:color="auto"/>
        <w:left w:val="none" w:sz="0" w:space="0" w:color="auto"/>
        <w:bottom w:val="none" w:sz="0" w:space="0" w:color="auto"/>
        <w:right w:val="none" w:sz="0" w:space="0" w:color="auto"/>
      </w:divBdr>
    </w:div>
    <w:div w:id="619192563">
      <w:bodyDiv w:val="1"/>
      <w:marLeft w:val="0"/>
      <w:marRight w:val="0"/>
      <w:marTop w:val="0"/>
      <w:marBottom w:val="0"/>
      <w:divBdr>
        <w:top w:val="none" w:sz="0" w:space="0" w:color="auto"/>
        <w:left w:val="none" w:sz="0" w:space="0" w:color="auto"/>
        <w:bottom w:val="none" w:sz="0" w:space="0" w:color="auto"/>
        <w:right w:val="none" w:sz="0" w:space="0" w:color="auto"/>
      </w:divBdr>
    </w:div>
    <w:div w:id="626394949">
      <w:bodyDiv w:val="1"/>
      <w:marLeft w:val="0"/>
      <w:marRight w:val="0"/>
      <w:marTop w:val="0"/>
      <w:marBottom w:val="0"/>
      <w:divBdr>
        <w:top w:val="none" w:sz="0" w:space="0" w:color="auto"/>
        <w:left w:val="none" w:sz="0" w:space="0" w:color="auto"/>
        <w:bottom w:val="none" w:sz="0" w:space="0" w:color="auto"/>
        <w:right w:val="none" w:sz="0" w:space="0" w:color="auto"/>
      </w:divBdr>
    </w:div>
    <w:div w:id="627052669">
      <w:bodyDiv w:val="1"/>
      <w:marLeft w:val="0"/>
      <w:marRight w:val="0"/>
      <w:marTop w:val="0"/>
      <w:marBottom w:val="0"/>
      <w:divBdr>
        <w:top w:val="none" w:sz="0" w:space="0" w:color="auto"/>
        <w:left w:val="none" w:sz="0" w:space="0" w:color="auto"/>
        <w:bottom w:val="none" w:sz="0" w:space="0" w:color="auto"/>
        <w:right w:val="none" w:sz="0" w:space="0" w:color="auto"/>
      </w:divBdr>
    </w:div>
    <w:div w:id="640228313">
      <w:bodyDiv w:val="1"/>
      <w:marLeft w:val="0"/>
      <w:marRight w:val="0"/>
      <w:marTop w:val="0"/>
      <w:marBottom w:val="0"/>
      <w:divBdr>
        <w:top w:val="none" w:sz="0" w:space="0" w:color="auto"/>
        <w:left w:val="none" w:sz="0" w:space="0" w:color="auto"/>
        <w:bottom w:val="none" w:sz="0" w:space="0" w:color="auto"/>
        <w:right w:val="none" w:sz="0" w:space="0" w:color="auto"/>
      </w:divBdr>
    </w:div>
    <w:div w:id="645401707">
      <w:bodyDiv w:val="1"/>
      <w:marLeft w:val="0"/>
      <w:marRight w:val="0"/>
      <w:marTop w:val="0"/>
      <w:marBottom w:val="0"/>
      <w:divBdr>
        <w:top w:val="none" w:sz="0" w:space="0" w:color="auto"/>
        <w:left w:val="none" w:sz="0" w:space="0" w:color="auto"/>
        <w:bottom w:val="none" w:sz="0" w:space="0" w:color="auto"/>
        <w:right w:val="none" w:sz="0" w:space="0" w:color="auto"/>
      </w:divBdr>
    </w:div>
    <w:div w:id="654379591">
      <w:bodyDiv w:val="1"/>
      <w:marLeft w:val="0"/>
      <w:marRight w:val="0"/>
      <w:marTop w:val="0"/>
      <w:marBottom w:val="0"/>
      <w:divBdr>
        <w:top w:val="none" w:sz="0" w:space="0" w:color="auto"/>
        <w:left w:val="none" w:sz="0" w:space="0" w:color="auto"/>
        <w:bottom w:val="none" w:sz="0" w:space="0" w:color="auto"/>
        <w:right w:val="none" w:sz="0" w:space="0" w:color="auto"/>
      </w:divBdr>
    </w:div>
    <w:div w:id="710374458">
      <w:bodyDiv w:val="1"/>
      <w:marLeft w:val="0"/>
      <w:marRight w:val="0"/>
      <w:marTop w:val="0"/>
      <w:marBottom w:val="0"/>
      <w:divBdr>
        <w:top w:val="none" w:sz="0" w:space="0" w:color="auto"/>
        <w:left w:val="none" w:sz="0" w:space="0" w:color="auto"/>
        <w:bottom w:val="none" w:sz="0" w:space="0" w:color="auto"/>
        <w:right w:val="none" w:sz="0" w:space="0" w:color="auto"/>
      </w:divBdr>
    </w:div>
    <w:div w:id="713771363">
      <w:bodyDiv w:val="1"/>
      <w:marLeft w:val="0"/>
      <w:marRight w:val="0"/>
      <w:marTop w:val="0"/>
      <w:marBottom w:val="0"/>
      <w:divBdr>
        <w:top w:val="none" w:sz="0" w:space="0" w:color="auto"/>
        <w:left w:val="none" w:sz="0" w:space="0" w:color="auto"/>
        <w:bottom w:val="none" w:sz="0" w:space="0" w:color="auto"/>
        <w:right w:val="none" w:sz="0" w:space="0" w:color="auto"/>
      </w:divBdr>
    </w:div>
    <w:div w:id="766078025">
      <w:bodyDiv w:val="1"/>
      <w:marLeft w:val="0"/>
      <w:marRight w:val="0"/>
      <w:marTop w:val="0"/>
      <w:marBottom w:val="0"/>
      <w:divBdr>
        <w:top w:val="none" w:sz="0" w:space="0" w:color="auto"/>
        <w:left w:val="none" w:sz="0" w:space="0" w:color="auto"/>
        <w:bottom w:val="none" w:sz="0" w:space="0" w:color="auto"/>
        <w:right w:val="none" w:sz="0" w:space="0" w:color="auto"/>
      </w:divBdr>
    </w:div>
    <w:div w:id="796214478">
      <w:bodyDiv w:val="1"/>
      <w:marLeft w:val="0"/>
      <w:marRight w:val="0"/>
      <w:marTop w:val="0"/>
      <w:marBottom w:val="0"/>
      <w:divBdr>
        <w:top w:val="none" w:sz="0" w:space="0" w:color="auto"/>
        <w:left w:val="none" w:sz="0" w:space="0" w:color="auto"/>
        <w:bottom w:val="none" w:sz="0" w:space="0" w:color="auto"/>
        <w:right w:val="none" w:sz="0" w:space="0" w:color="auto"/>
      </w:divBdr>
    </w:div>
    <w:div w:id="810682212">
      <w:bodyDiv w:val="1"/>
      <w:marLeft w:val="0"/>
      <w:marRight w:val="0"/>
      <w:marTop w:val="0"/>
      <w:marBottom w:val="0"/>
      <w:divBdr>
        <w:top w:val="none" w:sz="0" w:space="0" w:color="auto"/>
        <w:left w:val="none" w:sz="0" w:space="0" w:color="auto"/>
        <w:bottom w:val="none" w:sz="0" w:space="0" w:color="auto"/>
        <w:right w:val="none" w:sz="0" w:space="0" w:color="auto"/>
      </w:divBdr>
    </w:div>
    <w:div w:id="827480724">
      <w:bodyDiv w:val="1"/>
      <w:marLeft w:val="0"/>
      <w:marRight w:val="0"/>
      <w:marTop w:val="0"/>
      <w:marBottom w:val="0"/>
      <w:divBdr>
        <w:top w:val="none" w:sz="0" w:space="0" w:color="auto"/>
        <w:left w:val="none" w:sz="0" w:space="0" w:color="auto"/>
        <w:bottom w:val="none" w:sz="0" w:space="0" w:color="auto"/>
        <w:right w:val="none" w:sz="0" w:space="0" w:color="auto"/>
      </w:divBdr>
      <w:divsChild>
        <w:div w:id="1163400945">
          <w:marLeft w:val="0"/>
          <w:marRight w:val="0"/>
          <w:marTop w:val="0"/>
          <w:marBottom w:val="0"/>
          <w:divBdr>
            <w:top w:val="none" w:sz="0" w:space="0" w:color="auto"/>
            <w:left w:val="none" w:sz="0" w:space="0" w:color="auto"/>
            <w:bottom w:val="none" w:sz="0" w:space="0" w:color="auto"/>
            <w:right w:val="none" w:sz="0" w:space="0" w:color="auto"/>
          </w:divBdr>
          <w:divsChild>
            <w:div w:id="1271664693">
              <w:marLeft w:val="0"/>
              <w:marRight w:val="0"/>
              <w:marTop w:val="0"/>
              <w:marBottom w:val="0"/>
              <w:divBdr>
                <w:top w:val="none" w:sz="0" w:space="0" w:color="auto"/>
                <w:left w:val="none" w:sz="0" w:space="0" w:color="auto"/>
                <w:bottom w:val="none" w:sz="0" w:space="0" w:color="auto"/>
                <w:right w:val="none" w:sz="0" w:space="0" w:color="auto"/>
              </w:divBdr>
              <w:divsChild>
                <w:div w:id="2004889135">
                  <w:marLeft w:val="0"/>
                  <w:marRight w:val="0"/>
                  <w:marTop w:val="0"/>
                  <w:marBottom w:val="0"/>
                  <w:divBdr>
                    <w:top w:val="none" w:sz="0" w:space="0" w:color="auto"/>
                    <w:left w:val="none" w:sz="0" w:space="0" w:color="auto"/>
                    <w:bottom w:val="none" w:sz="0" w:space="0" w:color="auto"/>
                    <w:right w:val="none" w:sz="0" w:space="0" w:color="auto"/>
                  </w:divBdr>
                  <w:divsChild>
                    <w:div w:id="5554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2144">
          <w:marLeft w:val="0"/>
          <w:marRight w:val="0"/>
          <w:marTop w:val="0"/>
          <w:marBottom w:val="0"/>
          <w:divBdr>
            <w:top w:val="none" w:sz="0" w:space="0" w:color="auto"/>
            <w:left w:val="none" w:sz="0" w:space="0" w:color="auto"/>
            <w:bottom w:val="none" w:sz="0" w:space="0" w:color="auto"/>
            <w:right w:val="none" w:sz="0" w:space="0" w:color="auto"/>
          </w:divBdr>
          <w:divsChild>
            <w:div w:id="1339504119">
              <w:marLeft w:val="0"/>
              <w:marRight w:val="0"/>
              <w:marTop w:val="0"/>
              <w:marBottom w:val="0"/>
              <w:divBdr>
                <w:top w:val="none" w:sz="0" w:space="0" w:color="auto"/>
                <w:left w:val="none" w:sz="0" w:space="0" w:color="auto"/>
                <w:bottom w:val="none" w:sz="0" w:space="0" w:color="auto"/>
                <w:right w:val="none" w:sz="0" w:space="0" w:color="auto"/>
              </w:divBdr>
              <w:divsChild>
                <w:div w:id="842429153">
                  <w:marLeft w:val="0"/>
                  <w:marRight w:val="0"/>
                  <w:marTop w:val="0"/>
                  <w:marBottom w:val="0"/>
                  <w:divBdr>
                    <w:top w:val="none" w:sz="0" w:space="0" w:color="auto"/>
                    <w:left w:val="none" w:sz="0" w:space="0" w:color="auto"/>
                    <w:bottom w:val="none" w:sz="0" w:space="0" w:color="auto"/>
                    <w:right w:val="none" w:sz="0" w:space="0" w:color="auto"/>
                  </w:divBdr>
                  <w:divsChild>
                    <w:div w:id="1559628088">
                      <w:marLeft w:val="0"/>
                      <w:marRight w:val="0"/>
                      <w:marTop w:val="0"/>
                      <w:marBottom w:val="0"/>
                      <w:divBdr>
                        <w:top w:val="none" w:sz="0" w:space="0" w:color="auto"/>
                        <w:left w:val="none" w:sz="0" w:space="0" w:color="auto"/>
                        <w:bottom w:val="none" w:sz="0" w:space="0" w:color="auto"/>
                        <w:right w:val="none" w:sz="0" w:space="0" w:color="auto"/>
                      </w:divBdr>
                      <w:divsChild>
                        <w:div w:id="939991522">
                          <w:marLeft w:val="0"/>
                          <w:marRight w:val="0"/>
                          <w:marTop w:val="0"/>
                          <w:marBottom w:val="0"/>
                          <w:divBdr>
                            <w:top w:val="none" w:sz="0" w:space="0" w:color="auto"/>
                            <w:left w:val="none" w:sz="0" w:space="0" w:color="auto"/>
                            <w:bottom w:val="none" w:sz="0" w:space="0" w:color="auto"/>
                            <w:right w:val="none" w:sz="0" w:space="0" w:color="auto"/>
                          </w:divBdr>
                          <w:divsChild>
                            <w:div w:id="1644196436">
                              <w:marLeft w:val="0"/>
                              <w:marRight w:val="0"/>
                              <w:marTop w:val="0"/>
                              <w:marBottom w:val="0"/>
                              <w:divBdr>
                                <w:top w:val="none" w:sz="0" w:space="0" w:color="auto"/>
                                <w:left w:val="none" w:sz="0" w:space="0" w:color="auto"/>
                                <w:bottom w:val="none" w:sz="0" w:space="0" w:color="auto"/>
                                <w:right w:val="none" w:sz="0" w:space="0" w:color="auto"/>
                              </w:divBdr>
                              <w:divsChild>
                                <w:div w:id="1084692447">
                                  <w:marLeft w:val="0"/>
                                  <w:marRight w:val="0"/>
                                  <w:marTop w:val="0"/>
                                  <w:marBottom w:val="0"/>
                                  <w:divBdr>
                                    <w:top w:val="none" w:sz="0" w:space="0" w:color="auto"/>
                                    <w:left w:val="none" w:sz="0" w:space="0" w:color="auto"/>
                                    <w:bottom w:val="none" w:sz="0" w:space="0" w:color="auto"/>
                                    <w:right w:val="none" w:sz="0" w:space="0" w:color="auto"/>
                                  </w:divBdr>
                                  <w:divsChild>
                                    <w:div w:id="192575962">
                                      <w:marLeft w:val="0"/>
                                      <w:marRight w:val="0"/>
                                      <w:marTop w:val="0"/>
                                      <w:marBottom w:val="0"/>
                                      <w:divBdr>
                                        <w:top w:val="none" w:sz="0" w:space="0" w:color="auto"/>
                                        <w:left w:val="none" w:sz="0" w:space="0" w:color="auto"/>
                                        <w:bottom w:val="none" w:sz="0" w:space="0" w:color="auto"/>
                                        <w:right w:val="none" w:sz="0" w:space="0" w:color="auto"/>
                                      </w:divBdr>
                                      <w:divsChild>
                                        <w:div w:id="339505360">
                                          <w:marLeft w:val="0"/>
                                          <w:marRight w:val="0"/>
                                          <w:marTop w:val="0"/>
                                          <w:marBottom w:val="0"/>
                                          <w:divBdr>
                                            <w:top w:val="none" w:sz="0" w:space="0" w:color="auto"/>
                                            <w:left w:val="none" w:sz="0" w:space="0" w:color="auto"/>
                                            <w:bottom w:val="none" w:sz="0" w:space="0" w:color="auto"/>
                                            <w:right w:val="none" w:sz="0" w:space="0" w:color="auto"/>
                                          </w:divBdr>
                                          <w:divsChild>
                                            <w:div w:id="145980028">
                                              <w:marLeft w:val="0"/>
                                              <w:marRight w:val="0"/>
                                              <w:marTop w:val="0"/>
                                              <w:marBottom w:val="0"/>
                                              <w:divBdr>
                                                <w:top w:val="none" w:sz="0" w:space="0" w:color="auto"/>
                                                <w:left w:val="none" w:sz="0" w:space="0" w:color="auto"/>
                                                <w:bottom w:val="none" w:sz="0" w:space="0" w:color="auto"/>
                                                <w:right w:val="none" w:sz="0" w:space="0" w:color="auto"/>
                                              </w:divBdr>
                                              <w:divsChild>
                                                <w:div w:id="700787685">
                                                  <w:marLeft w:val="0"/>
                                                  <w:marRight w:val="0"/>
                                                  <w:marTop w:val="0"/>
                                                  <w:marBottom w:val="0"/>
                                                  <w:divBdr>
                                                    <w:top w:val="none" w:sz="0" w:space="0" w:color="auto"/>
                                                    <w:left w:val="none" w:sz="0" w:space="0" w:color="auto"/>
                                                    <w:bottom w:val="none" w:sz="0" w:space="0" w:color="auto"/>
                                                    <w:right w:val="none" w:sz="0" w:space="0" w:color="auto"/>
                                                  </w:divBdr>
                                                  <w:divsChild>
                                                    <w:div w:id="685639915">
                                                      <w:marLeft w:val="0"/>
                                                      <w:marRight w:val="0"/>
                                                      <w:marTop w:val="0"/>
                                                      <w:marBottom w:val="0"/>
                                                      <w:divBdr>
                                                        <w:top w:val="none" w:sz="0" w:space="0" w:color="auto"/>
                                                        <w:left w:val="none" w:sz="0" w:space="0" w:color="auto"/>
                                                        <w:bottom w:val="none" w:sz="0" w:space="0" w:color="auto"/>
                                                        <w:right w:val="none" w:sz="0" w:space="0" w:color="auto"/>
                                                      </w:divBdr>
                                                      <w:divsChild>
                                                        <w:div w:id="16857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72452">
      <w:bodyDiv w:val="1"/>
      <w:marLeft w:val="0"/>
      <w:marRight w:val="0"/>
      <w:marTop w:val="0"/>
      <w:marBottom w:val="0"/>
      <w:divBdr>
        <w:top w:val="none" w:sz="0" w:space="0" w:color="auto"/>
        <w:left w:val="none" w:sz="0" w:space="0" w:color="auto"/>
        <w:bottom w:val="none" w:sz="0" w:space="0" w:color="auto"/>
        <w:right w:val="none" w:sz="0" w:space="0" w:color="auto"/>
      </w:divBdr>
    </w:div>
    <w:div w:id="852570822">
      <w:bodyDiv w:val="1"/>
      <w:marLeft w:val="0"/>
      <w:marRight w:val="0"/>
      <w:marTop w:val="0"/>
      <w:marBottom w:val="0"/>
      <w:divBdr>
        <w:top w:val="none" w:sz="0" w:space="0" w:color="auto"/>
        <w:left w:val="none" w:sz="0" w:space="0" w:color="auto"/>
        <w:bottom w:val="none" w:sz="0" w:space="0" w:color="auto"/>
        <w:right w:val="none" w:sz="0" w:space="0" w:color="auto"/>
      </w:divBdr>
    </w:div>
    <w:div w:id="862012086">
      <w:bodyDiv w:val="1"/>
      <w:marLeft w:val="0"/>
      <w:marRight w:val="0"/>
      <w:marTop w:val="0"/>
      <w:marBottom w:val="0"/>
      <w:divBdr>
        <w:top w:val="none" w:sz="0" w:space="0" w:color="auto"/>
        <w:left w:val="none" w:sz="0" w:space="0" w:color="auto"/>
        <w:bottom w:val="none" w:sz="0" w:space="0" w:color="auto"/>
        <w:right w:val="none" w:sz="0" w:space="0" w:color="auto"/>
      </w:divBdr>
      <w:divsChild>
        <w:div w:id="1525292799">
          <w:marLeft w:val="0"/>
          <w:marRight w:val="0"/>
          <w:marTop w:val="0"/>
          <w:marBottom w:val="0"/>
          <w:divBdr>
            <w:top w:val="none" w:sz="0" w:space="0" w:color="auto"/>
            <w:left w:val="none" w:sz="0" w:space="0" w:color="auto"/>
            <w:bottom w:val="none" w:sz="0" w:space="0" w:color="auto"/>
            <w:right w:val="none" w:sz="0" w:space="0" w:color="auto"/>
          </w:divBdr>
          <w:divsChild>
            <w:div w:id="375350762">
              <w:marLeft w:val="0"/>
              <w:marRight w:val="0"/>
              <w:marTop w:val="0"/>
              <w:marBottom w:val="0"/>
              <w:divBdr>
                <w:top w:val="none" w:sz="0" w:space="0" w:color="auto"/>
                <w:left w:val="none" w:sz="0" w:space="0" w:color="auto"/>
                <w:bottom w:val="none" w:sz="0" w:space="0" w:color="auto"/>
                <w:right w:val="none" w:sz="0" w:space="0" w:color="auto"/>
              </w:divBdr>
              <w:divsChild>
                <w:div w:id="11105289">
                  <w:marLeft w:val="0"/>
                  <w:marRight w:val="0"/>
                  <w:marTop w:val="0"/>
                  <w:marBottom w:val="0"/>
                  <w:divBdr>
                    <w:top w:val="none" w:sz="0" w:space="0" w:color="auto"/>
                    <w:left w:val="none" w:sz="0" w:space="0" w:color="auto"/>
                    <w:bottom w:val="none" w:sz="0" w:space="0" w:color="auto"/>
                    <w:right w:val="none" w:sz="0" w:space="0" w:color="auto"/>
                  </w:divBdr>
                  <w:divsChild>
                    <w:div w:id="1994789969">
                      <w:marLeft w:val="0"/>
                      <w:marRight w:val="0"/>
                      <w:marTop w:val="0"/>
                      <w:marBottom w:val="0"/>
                      <w:divBdr>
                        <w:top w:val="none" w:sz="0" w:space="0" w:color="auto"/>
                        <w:left w:val="none" w:sz="0" w:space="0" w:color="auto"/>
                        <w:bottom w:val="none" w:sz="0" w:space="0" w:color="auto"/>
                        <w:right w:val="none" w:sz="0" w:space="0" w:color="auto"/>
                      </w:divBdr>
                      <w:divsChild>
                        <w:div w:id="523054837">
                          <w:marLeft w:val="0"/>
                          <w:marRight w:val="0"/>
                          <w:marTop w:val="0"/>
                          <w:marBottom w:val="0"/>
                          <w:divBdr>
                            <w:top w:val="none" w:sz="0" w:space="0" w:color="auto"/>
                            <w:left w:val="none" w:sz="0" w:space="0" w:color="auto"/>
                            <w:bottom w:val="none" w:sz="0" w:space="0" w:color="auto"/>
                            <w:right w:val="none" w:sz="0" w:space="0" w:color="auto"/>
                          </w:divBdr>
                          <w:divsChild>
                            <w:div w:id="1458257805">
                              <w:marLeft w:val="0"/>
                              <w:marRight w:val="0"/>
                              <w:marTop w:val="0"/>
                              <w:marBottom w:val="0"/>
                              <w:divBdr>
                                <w:top w:val="none" w:sz="0" w:space="0" w:color="auto"/>
                                <w:left w:val="none" w:sz="0" w:space="0" w:color="auto"/>
                                <w:bottom w:val="none" w:sz="0" w:space="0" w:color="auto"/>
                                <w:right w:val="none" w:sz="0" w:space="0" w:color="auto"/>
                              </w:divBdr>
                              <w:divsChild>
                                <w:div w:id="1388800163">
                                  <w:marLeft w:val="0"/>
                                  <w:marRight w:val="0"/>
                                  <w:marTop w:val="0"/>
                                  <w:marBottom w:val="0"/>
                                  <w:divBdr>
                                    <w:top w:val="none" w:sz="0" w:space="0" w:color="auto"/>
                                    <w:left w:val="none" w:sz="0" w:space="0" w:color="auto"/>
                                    <w:bottom w:val="none" w:sz="0" w:space="0" w:color="auto"/>
                                    <w:right w:val="none" w:sz="0" w:space="0" w:color="auto"/>
                                  </w:divBdr>
                                  <w:divsChild>
                                    <w:div w:id="1765611650">
                                      <w:marLeft w:val="0"/>
                                      <w:marRight w:val="0"/>
                                      <w:marTop w:val="0"/>
                                      <w:marBottom w:val="0"/>
                                      <w:divBdr>
                                        <w:top w:val="none" w:sz="0" w:space="0" w:color="auto"/>
                                        <w:left w:val="none" w:sz="0" w:space="0" w:color="auto"/>
                                        <w:bottom w:val="none" w:sz="0" w:space="0" w:color="auto"/>
                                        <w:right w:val="none" w:sz="0" w:space="0" w:color="auto"/>
                                      </w:divBdr>
                                      <w:divsChild>
                                        <w:div w:id="793720882">
                                          <w:marLeft w:val="0"/>
                                          <w:marRight w:val="0"/>
                                          <w:marTop w:val="0"/>
                                          <w:marBottom w:val="0"/>
                                          <w:divBdr>
                                            <w:top w:val="none" w:sz="0" w:space="0" w:color="auto"/>
                                            <w:left w:val="none" w:sz="0" w:space="0" w:color="auto"/>
                                            <w:bottom w:val="none" w:sz="0" w:space="0" w:color="auto"/>
                                            <w:right w:val="none" w:sz="0" w:space="0" w:color="auto"/>
                                          </w:divBdr>
                                          <w:divsChild>
                                            <w:div w:id="1519735748">
                                              <w:marLeft w:val="0"/>
                                              <w:marRight w:val="0"/>
                                              <w:marTop w:val="0"/>
                                              <w:marBottom w:val="0"/>
                                              <w:divBdr>
                                                <w:top w:val="none" w:sz="0" w:space="0" w:color="auto"/>
                                                <w:left w:val="none" w:sz="0" w:space="0" w:color="auto"/>
                                                <w:bottom w:val="none" w:sz="0" w:space="0" w:color="auto"/>
                                                <w:right w:val="none" w:sz="0" w:space="0" w:color="auto"/>
                                              </w:divBdr>
                                              <w:divsChild>
                                                <w:div w:id="356660760">
                                                  <w:marLeft w:val="0"/>
                                                  <w:marRight w:val="0"/>
                                                  <w:marTop w:val="0"/>
                                                  <w:marBottom w:val="0"/>
                                                  <w:divBdr>
                                                    <w:top w:val="none" w:sz="0" w:space="0" w:color="auto"/>
                                                    <w:left w:val="none" w:sz="0" w:space="0" w:color="auto"/>
                                                    <w:bottom w:val="none" w:sz="0" w:space="0" w:color="auto"/>
                                                    <w:right w:val="none" w:sz="0" w:space="0" w:color="auto"/>
                                                  </w:divBdr>
                                                  <w:divsChild>
                                                    <w:div w:id="57825677">
                                                      <w:marLeft w:val="0"/>
                                                      <w:marRight w:val="0"/>
                                                      <w:marTop w:val="0"/>
                                                      <w:marBottom w:val="0"/>
                                                      <w:divBdr>
                                                        <w:top w:val="none" w:sz="0" w:space="0" w:color="auto"/>
                                                        <w:left w:val="none" w:sz="0" w:space="0" w:color="auto"/>
                                                        <w:bottom w:val="none" w:sz="0" w:space="0" w:color="auto"/>
                                                        <w:right w:val="none" w:sz="0" w:space="0" w:color="auto"/>
                                                      </w:divBdr>
                                                      <w:divsChild>
                                                        <w:div w:id="17928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3620649">
      <w:bodyDiv w:val="1"/>
      <w:marLeft w:val="0"/>
      <w:marRight w:val="0"/>
      <w:marTop w:val="0"/>
      <w:marBottom w:val="0"/>
      <w:divBdr>
        <w:top w:val="none" w:sz="0" w:space="0" w:color="auto"/>
        <w:left w:val="none" w:sz="0" w:space="0" w:color="auto"/>
        <w:bottom w:val="none" w:sz="0" w:space="0" w:color="auto"/>
        <w:right w:val="none" w:sz="0" w:space="0" w:color="auto"/>
      </w:divBdr>
    </w:div>
    <w:div w:id="921913649">
      <w:bodyDiv w:val="1"/>
      <w:marLeft w:val="0"/>
      <w:marRight w:val="0"/>
      <w:marTop w:val="0"/>
      <w:marBottom w:val="0"/>
      <w:divBdr>
        <w:top w:val="none" w:sz="0" w:space="0" w:color="auto"/>
        <w:left w:val="none" w:sz="0" w:space="0" w:color="auto"/>
        <w:bottom w:val="none" w:sz="0" w:space="0" w:color="auto"/>
        <w:right w:val="none" w:sz="0" w:space="0" w:color="auto"/>
      </w:divBdr>
    </w:div>
    <w:div w:id="924152363">
      <w:bodyDiv w:val="1"/>
      <w:marLeft w:val="0"/>
      <w:marRight w:val="0"/>
      <w:marTop w:val="0"/>
      <w:marBottom w:val="0"/>
      <w:divBdr>
        <w:top w:val="none" w:sz="0" w:space="0" w:color="auto"/>
        <w:left w:val="none" w:sz="0" w:space="0" w:color="auto"/>
        <w:bottom w:val="none" w:sz="0" w:space="0" w:color="auto"/>
        <w:right w:val="none" w:sz="0" w:space="0" w:color="auto"/>
      </w:divBdr>
    </w:div>
    <w:div w:id="964968534">
      <w:bodyDiv w:val="1"/>
      <w:marLeft w:val="0"/>
      <w:marRight w:val="0"/>
      <w:marTop w:val="0"/>
      <w:marBottom w:val="0"/>
      <w:divBdr>
        <w:top w:val="none" w:sz="0" w:space="0" w:color="auto"/>
        <w:left w:val="none" w:sz="0" w:space="0" w:color="auto"/>
        <w:bottom w:val="none" w:sz="0" w:space="0" w:color="auto"/>
        <w:right w:val="none" w:sz="0" w:space="0" w:color="auto"/>
      </w:divBdr>
    </w:div>
    <w:div w:id="976492359">
      <w:bodyDiv w:val="1"/>
      <w:marLeft w:val="0"/>
      <w:marRight w:val="0"/>
      <w:marTop w:val="0"/>
      <w:marBottom w:val="0"/>
      <w:divBdr>
        <w:top w:val="none" w:sz="0" w:space="0" w:color="auto"/>
        <w:left w:val="none" w:sz="0" w:space="0" w:color="auto"/>
        <w:bottom w:val="none" w:sz="0" w:space="0" w:color="auto"/>
        <w:right w:val="none" w:sz="0" w:space="0" w:color="auto"/>
      </w:divBdr>
    </w:div>
    <w:div w:id="992754899">
      <w:bodyDiv w:val="1"/>
      <w:marLeft w:val="0"/>
      <w:marRight w:val="0"/>
      <w:marTop w:val="0"/>
      <w:marBottom w:val="0"/>
      <w:divBdr>
        <w:top w:val="none" w:sz="0" w:space="0" w:color="auto"/>
        <w:left w:val="none" w:sz="0" w:space="0" w:color="auto"/>
        <w:bottom w:val="none" w:sz="0" w:space="0" w:color="auto"/>
        <w:right w:val="none" w:sz="0" w:space="0" w:color="auto"/>
      </w:divBdr>
    </w:div>
    <w:div w:id="994450822">
      <w:bodyDiv w:val="1"/>
      <w:marLeft w:val="0"/>
      <w:marRight w:val="0"/>
      <w:marTop w:val="0"/>
      <w:marBottom w:val="0"/>
      <w:divBdr>
        <w:top w:val="none" w:sz="0" w:space="0" w:color="auto"/>
        <w:left w:val="none" w:sz="0" w:space="0" w:color="auto"/>
        <w:bottom w:val="none" w:sz="0" w:space="0" w:color="auto"/>
        <w:right w:val="none" w:sz="0" w:space="0" w:color="auto"/>
      </w:divBdr>
    </w:div>
    <w:div w:id="1003094872">
      <w:bodyDiv w:val="1"/>
      <w:marLeft w:val="0"/>
      <w:marRight w:val="0"/>
      <w:marTop w:val="0"/>
      <w:marBottom w:val="0"/>
      <w:divBdr>
        <w:top w:val="none" w:sz="0" w:space="0" w:color="auto"/>
        <w:left w:val="none" w:sz="0" w:space="0" w:color="auto"/>
        <w:bottom w:val="none" w:sz="0" w:space="0" w:color="auto"/>
        <w:right w:val="none" w:sz="0" w:space="0" w:color="auto"/>
      </w:divBdr>
    </w:div>
    <w:div w:id="1015377575">
      <w:bodyDiv w:val="1"/>
      <w:marLeft w:val="0"/>
      <w:marRight w:val="0"/>
      <w:marTop w:val="0"/>
      <w:marBottom w:val="0"/>
      <w:divBdr>
        <w:top w:val="none" w:sz="0" w:space="0" w:color="auto"/>
        <w:left w:val="none" w:sz="0" w:space="0" w:color="auto"/>
        <w:bottom w:val="none" w:sz="0" w:space="0" w:color="auto"/>
        <w:right w:val="none" w:sz="0" w:space="0" w:color="auto"/>
      </w:divBdr>
    </w:div>
    <w:div w:id="1033649654">
      <w:bodyDiv w:val="1"/>
      <w:marLeft w:val="0"/>
      <w:marRight w:val="0"/>
      <w:marTop w:val="0"/>
      <w:marBottom w:val="0"/>
      <w:divBdr>
        <w:top w:val="none" w:sz="0" w:space="0" w:color="auto"/>
        <w:left w:val="none" w:sz="0" w:space="0" w:color="auto"/>
        <w:bottom w:val="none" w:sz="0" w:space="0" w:color="auto"/>
        <w:right w:val="none" w:sz="0" w:space="0" w:color="auto"/>
      </w:divBdr>
    </w:div>
    <w:div w:id="1098526622">
      <w:bodyDiv w:val="1"/>
      <w:marLeft w:val="0"/>
      <w:marRight w:val="0"/>
      <w:marTop w:val="0"/>
      <w:marBottom w:val="0"/>
      <w:divBdr>
        <w:top w:val="none" w:sz="0" w:space="0" w:color="auto"/>
        <w:left w:val="none" w:sz="0" w:space="0" w:color="auto"/>
        <w:bottom w:val="none" w:sz="0" w:space="0" w:color="auto"/>
        <w:right w:val="none" w:sz="0" w:space="0" w:color="auto"/>
      </w:divBdr>
    </w:div>
    <w:div w:id="1100485647">
      <w:bodyDiv w:val="1"/>
      <w:marLeft w:val="0"/>
      <w:marRight w:val="0"/>
      <w:marTop w:val="0"/>
      <w:marBottom w:val="0"/>
      <w:divBdr>
        <w:top w:val="none" w:sz="0" w:space="0" w:color="auto"/>
        <w:left w:val="none" w:sz="0" w:space="0" w:color="auto"/>
        <w:bottom w:val="none" w:sz="0" w:space="0" w:color="auto"/>
        <w:right w:val="none" w:sz="0" w:space="0" w:color="auto"/>
      </w:divBdr>
    </w:div>
    <w:div w:id="1164400145">
      <w:bodyDiv w:val="1"/>
      <w:marLeft w:val="0"/>
      <w:marRight w:val="0"/>
      <w:marTop w:val="0"/>
      <w:marBottom w:val="0"/>
      <w:divBdr>
        <w:top w:val="none" w:sz="0" w:space="0" w:color="auto"/>
        <w:left w:val="none" w:sz="0" w:space="0" w:color="auto"/>
        <w:bottom w:val="none" w:sz="0" w:space="0" w:color="auto"/>
        <w:right w:val="none" w:sz="0" w:space="0" w:color="auto"/>
      </w:divBdr>
    </w:div>
    <w:div w:id="1170101334">
      <w:bodyDiv w:val="1"/>
      <w:marLeft w:val="0"/>
      <w:marRight w:val="0"/>
      <w:marTop w:val="0"/>
      <w:marBottom w:val="0"/>
      <w:divBdr>
        <w:top w:val="none" w:sz="0" w:space="0" w:color="auto"/>
        <w:left w:val="none" w:sz="0" w:space="0" w:color="auto"/>
        <w:bottom w:val="none" w:sz="0" w:space="0" w:color="auto"/>
        <w:right w:val="none" w:sz="0" w:space="0" w:color="auto"/>
      </w:divBdr>
    </w:div>
    <w:div w:id="1217624736">
      <w:bodyDiv w:val="1"/>
      <w:marLeft w:val="0"/>
      <w:marRight w:val="0"/>
      <w:marTop w:val="0"/>
      <w:marBottom w:val="0"/>
      <w:divBdr>
        <w:top w:val="none" w:sz="0" w:space="0" w:color="auto"/>
        <w:left w:val="none" w:sz="0" w:space="0" w:color="auto"/>
        <w:bottom w:val="none" w:sz="0" w:space="0" w:color="auto"/>
        <w:right w:val="none" w:sz="0" w:space="0" w:color="auto"/>
      </w:divBdr>
    </w:div>
    <w:div w:id="1239485567">
      <w:bodyDiv w:val="1"/>
      <w:marLeft w:val="0"/>
      <w:marRight w:val="0"/>
      <w:marTop w:val="0"/>
      <w:marBottom w:val="0"/>
      <w:divBdr>
        <w:top w:val="none" w:sz="0" w:space="0" w:color="auto"/>
        <w:left w:val="none" w:sz="0" w:space="0" w:color="auto"/>
        <w:bottom w:val="none" w:sz="0" w:space="0" w:color="auto"/>
        <w:right w:val="none" w:sz="0" w:space="0" w:color="auto"/>
      </w:divBdr>
    </w:div>
    <w:div w:id="1267687851">
      <w:bodyDiv w:val="1"/>
      <w:marLeft w:val="0"/>
      <w:marRight w:val="0"/>
      <w:marTop w:val="0"/>
      <w:marBottom w:val="0"/>
      <w:divBdr>
        <w:top w:val="none" w:sz="0" w:space="0" w:color="auto"/>
        <w:left w:val="none" w:sz="0" w:space="0" w:color="auto"/>
        <w:bottom w:val="none" w:sz="0" w:space="0" w:color="auto"/>
        <w:right w:val="none" w:sz="0" w:space="0" w:color="auto"/>
      </w:divBdr>
    </w:div>
    <w:div w:id="1268077189">
      <w:bodyDiv w:val="1"/>
      <w:marLeft w:val="0"/>
      <w:marRight w:val="0"/>
      <w:marTop w:val="0"/>
      <w:marBottom w:val="0"/>
      <w:divBdr>
        <w:top w:val="none" w:sz="0" w:space="0" w:color="auto"/>
        <w:left w:val="none" w:sz="0" w:space="0" w:color="auto"/>
        <w:bottom w:val="none" w:sz="0" w:space="0" w:color="auto"/>
        <w:right w:val="none" w:sz="0" w:space="0" w:color="auto"/>
      </w:divBdr>
    </w:div>
    <w:div w:id="1276525384">
      <w:bodyDiv w:val="1"/>
      <w:marLeft w:val="0"/>
      <w:marRight w:val="0"/>
      <w:marTop w:val="0"/>
      <w:marBottom w:val="0"/>
      <w:divBdr>
        <w:top w:val="none" w:sz="0" w:space="0" w:color="auto"/>
        <w:left w:val="none" w:sz="0" w:space="0" w:color="auto"/>
        <w:bottom w:val="none" w:sz="0" w:space="0" w:color="auto"/>
        <w:right w:val="none" w:sz="0" w:space="0" w:color="auto"/>
      </w:divBdr>
    </w:div>
    <w:div w:id="1302074529">
      <w:bodyDiv w:val="1"/>
      <w:marLeft w:val="0"/>
      <w:marRight w:val="0"/>
      <w:marTop w:val="0"/>
      <w:marBottom w:val="0"/>
      <w:divBdr>
        <w:top w:val="none" w:sz="0" w:space="0" w:color="auto"/>
        <w:left w:val="none" w:sz="0" w:space="0" w:color="auto"/>
        <w:bottom w:val="none" w:sz="0" w:space="0" w:color="auto"/>
        <w:right w:val="none" w:sz="0" w:space="0" w:color="auto"/>
      </w:divBdr>
    </w:div>
    <w:div w:id="1323005843">
      <w:bodyDiv w:val="1"/>
      <w:marLeft w:val="0"/>
      <w:marRight w:val="0"/>
      <w:marTop w:val="0"/>
      <w:marBottom w:val="0"/>
      <w:divBdr>
        <w:top w:val="none" w:sz="0" w:space="0" w:color="auto"/>
        <w:left w:val="none" w:sz="0" w:space="0" w:color="auto"/>
        <w:bottom w:val="none" w:sz="0" w:space="0" w:color="auto"/>
        <w:right w:val="none" w:sz="0" w:space="0" w:color="auto"/>
      </w:divBdr>
    </w:div>
    <w:div w:id="1351639438">
      <w:bodyDiv w:val="1"/>
      <w:marLeft w:val="0"/>
      <w:marRight w:val="0"/>
      <w:marTop w:val="0"/>
      <w:marBottom w:val="0"/>
      <w:divBdr>
        <w:top w:val="none" w:sz="0" w:space="0" w:color="auto"/>
        <w:left w:val="none" w:sz="0" w:space="0" w:color="auto"/>
        <w:bottom w:val="none" w:sz="0" w:space="0" w:color="auto"/>
        <w:right w:val="none" w:sz="0" w:space="0" w:color="auto"/>
      </w:divBdr>
    </w:div>
    <w:div w:id="1368680250">
      <w:bodyDiv w:val="1"/>
      <w:marLeft w:val="0"/>
      <w:marRight w:val="0"/>
      <w:marTop w:val="0"/>
      <w:marBottom w:val="0"/>
      <w:divBdr>
        <w:top w:val="none" w:sz="0" w:space="0" w:color="auto"/>
        <w:left w:val="none" w:sz="0" w:space="0" w:color="auto"/>
        <w:bottom w:val="none" w:sz="0" w:space="0" w:color="auto"/>
        <w:right w:val="none" w:sz="0" w:space="0" w:color="auto"/>
      </w:divBdr>
    </w:div>
    <w:div w:id="1391228794">
      <w:bodyDiv w:val="1"/>
      <w:marLeft w:val="0"/>
      <w:marRight w:val="0"/>
      <w:marTop w:val="0"/>
      <w:marBottom w:val="0"/>
      <w:divBdr>
        <w:top w:val="none" w:sz="0" w:space="0" w:color="auto"/>
        <w:left w:val="none" w:sz="0" w:space="0" w:color="auto"/>
        <w:bottom w:val="none" w:sz="0" w:space="0" w:color="auto"/>
        <w:right w:val="none" w:sz="0" w:space="0" w:color="auto"/>
      </w:divBdr>
    </w:div>
    <w:div w:id="1394354717">
      <w:bodyDiv w:val="1"/>
      <w:marLeft w:val="0"/>
      <w:marRight w:val="0"/>
      <w:marTop w:val="0"/>
      <w:marBottom w:val="0"/>
      <w:divBdr>
        <w:top w:val="none" w:sz="0" w:space="0" w:color="auto"/>
        <w:left w:val="none" w:sz="0" w:space="0" w:color="auto"/>
        <w:bottom w:val="none" w:sz="0" w:space="0" w:color="auto"/>
        <w:right w:val="none" w:sz="0" w:space="0" w:color="auto"/>
      </w:divBdr>
    </w:div>
    <w:div w:id="1436560365">
      <w:bodyDiv w:val="1"/>
      <w:marLeft w:val="0"/>
      <w:marRight w:val="0"/>
      <w:marTop w:val="0"/>
      <w:marBottom w:val="0"/>
      <w:divBdr>
        <w:top w:val="none" w:sz="0" w:space="0" w:color="auto"/>
        <w:left w:val="none" w:sz="0" w:space="0" w:color="auto"/>
        <w:bottom w:val="none" w:sz="0" w:space="0" w:color="auto"/>
        <w:right w:val="none" w:sz="0" w:space="0" w:color="auto"/>
      </w:divBdr>
    </w:div>
    <w:div w:id="1444962485">
      <w:bodyDiv w:val="1"/>
      <w:marLeft w:val="0"/>
      <w:marRight w:val="0"/>
      <w:marTop w:val="0"/>
      <w:marBottom w:val="0"/>
      <w:divBdr>
        <w:top w:val="none" w:sz="0" w:space="0" w:color="auto"/>
        <w:left w:val="none" w:sz="0" w:space="0" w:color="auto"/>
        <w:bottom w:val="none" w:sz="0" w:space="0" w:color="auto"/>
        <w:right w:val="none" w:sz="0" w:space="0" w:color="auto"/>
      </w:divBdr>
    </w:div>
    <w:div w:id="1457748730">
      <w:bodyDiv w:val="1"/>
      <w:marLeft w:val="0"/>
      <w:marRight w:val="0"/>
      <w:marTop w:val="0"/>
      <w:marBottom w:val="0"/>
      <w:divBdr>
        <w:top w:val="none" w:sz="0" w:space="0" w:color="auto"/>
        <w:left w:val="none" w:sz="0" w:space="0" w:color="auto"/>
        <w:bottom w:val="none" w:sz="0" w:space="0" w:color="auto"/>
        <w:right w:val="none" w:sz="0" w:space="0" w:color="auto"/>
      </w:divBdr>
    </w:div>
    <w:div w:id="1463813989">
      <w:bodyDiv w:val="1"/>
      <w:marLeft w:val="0"/>
      <w:marRight w:val="0"/>
      <w:marTop w:val="0"/>
      <w:marBottom w:val="0"/>
      <w:divBdr>
        <w:top w:val="none" w:sz="0" w:space="0" w:color="auto"/>
        <w:left w:val="none" w:sz="0" w:space="0" w:color="auto"/>
        <w:bottom w:val="none" w:sz="0" w:space="0" w:color="auto"/>
        <w:right w:val="none" w:sz="0" w:space="0" w:color="auto"/>
      </w:divBdr>
    </w:div>
    <w:div w:id="1475103669">
      <w:bodyDiv w:val="1"/>
      <w:marLeft w:val="0"/>
      <w:marRight w:val="0"/>
      <w:marTop w:val="0"/>
      <w:marBottom w:val="0"/>
      <w:divBdr>
        <w:top w:val="none" w:sz="0" w:space="0" w:color="auto"/>
        <w:left w:val="none" w:sz="0" w:space="0" w:color="auto"/>
        <w:bottom w:val="none" w:sz="0" w:space="0" w:color="auto"/>
        <w:right w:val="none" w:sz="0" w:space="0" w:color="auto"/>
      </w:divBdr>
    </w:div>
    <w:div w:id="1496191073">
      <w:bodyDiv w:val="1"/>
      <w:marLeft w:val="0"/>
      <w:marRight w:val="0"/>
      <w:marTop w:val="0"/>
      <w:marBottom w:val="0"/>
      <w:divBdr>
        <w:top w:val="none" w:sz="0" w:space="0" w:color="auto"/>
        <w:left w:val="none" w:sz="0" w:space="0" w:color="auto"/>
        <w:bottom w:val="none" w:sz="0" w:space="0" w:color="auto"/>
        <w:right w:val="none" w:sz="0" w:space="0" w:color="auto"/>
      </w:divBdr>
    </w:div>
    <w:div w:id="1512603342">
      <w:bodyDiv w:val="1"/>
      <w:marLeft w:val="0"/>
      <w:marRight w:val="0"/>
      <w:marTop w:val="0"/>
      <w:marBottom w:val="0"/>
      <w:divBdr>
        <w:top w:val="none" w:sz="0" w:space="0" w:color="auto"/>
        <w:left w:val="none" w:sz="0" w:space="0" w:color="auto"/>
        <w:bottom w:val="none" w:sz="0" w:space="0" w:color="auto"/>
        <w:right w:val="none" w:sz="0" w:space="0" w:color="auto"/>
      </w:divBdr>
    </w:div>
    <w:div w:id="1513185396">
      <w:bodyDiv w:val="1"/>
      <w:marLeft w:val="0"/>
      <w:marRight w:val="0"/>
      <w:marTop w:val="0"/>
      <w:marBottom w:val="0"/>
      <w:divBdr>
        <w:top w:val="none" w:sz="0" w:space="0" w:color="auto"/>
        <w:left w:val="none" w:sz="0" w:space="0" w:color="auto"/>
        <w:bottom w:val="none" w:sz="0" w:space="0" w:color="auto"/>
        <w:right w:val="none" w:sz="0" w:space="0" w:color="auto"/>
      </w:divBdr>
    </w:div>
    <w:div w:id="1517646743">
      <w:bodyDiv w:val="1"/>
      <w:marLeft w:val="0"/>
      <w:marRight w:val="0"/>
      <w:marTop w:val="0"/>
      <w:marBottom w:val="0"/>
      <w:divBdr>
        <w:top w:val="none" w:sz="0" w:space="0" w:color="auto"/>
        <w:left w:val="none" w:sz="0" w:space="0" w:color="auto"/>
        <w:bottom w:val="none" w:sz="0" w:space="0" w:color="auto"/>
        <w:right w:val="none" w:sz="0" w:space="0" w:color="auto"/>
      </w:divBdr>
    </w:div>
    <w:div w:id="1542595105">
      <w:bodyDiv w:val="1"/>
      <w:marLeft w:val="0"/>
      <w:marRight w:val="0"/>
      <w:marTop w:val="0"/>
      <w:marBottom w:val="0"/>
      <w:divBdr>
        <w:top w:val="none" w:sz="0" w:space="0" w:color="auto"/>
        <w:left w:val="none" w:sz="0" w:space="0" w:color="auto"/>
        <w:bottom w:val="none" w:sz="0" w:space="0" w:color="auto"/>
        <w:right w:val="none" w:sz="0" w:space="0" w:color="auto"/>
      </w:divBdr>
    </w:div>
    <w:div w:id="1561357718">
      <w:bodyDiv w:val="1"/>
      <w:marLeft w:val="0"/>
      <w:marRight w:val="0"/>
      <w:marTop w:val="0"/>
      <w:marBottom w:val="0"/>
      <w:divBdr>
        <w:top w:val="none" w:sz="0" w:space="0" w:color="auto"/>
        <w:left w:val="none" w:sz="0" w:space="0" w:color="auto"/>
        <w:bottom w:val="none" w:sz="0" w:space="0" w:color="auto"/>
        <w:right w:val="none" w:sz="0" w:space="0" w:color="auto"/>
      </w:divBdr>
    </w:div>
    <w:div w:id="1636837382">
      <w:bodyDiv w:val="1"/>
      <w:marLeft w:val="0"/>
      <w:marRight w:val="0"/>
      <w:marTop w:val="0"/>
      <w:marBottom w:val="0"/>
      <w:divBdr>
        <w:top w:val="none" w:sz="0" w:space="0" w:color="auto"/>
        <w:left w:val="none" w:sz="0" w:space="0" w:color="auto"/>
        <w:bottom w:val="none" w:sz="0" w:space="0" w:color="auto"/>
        <w:right w:val="none" w:sz="0" w:space="0" w:color="auto"/>
      </w:divBdr>
    </w:div>
    <w:div w:id="1644043561">
      <w:bodyDiv w:val="1"/>
      <w:marLeft w:val="0"/>
      <w:marRight w:val="0"/>
      <w:marTop w:val="0"/>
      <w:marBottom w:val="0"/>
      <w:divBdr>
        <w:top w:val="none" w:sz="0" w:space="0" w:color="auto"/>
        <w:left w:val="none" w:sz="0" w:space="0" w:color="auto"/>
        <w:bottom w:val="none" w:sz="0" w:space="0" w:color="auto"/>
        <w:right w:val="none" w:sz="0" w:space="0" w:color="auto"/>
      </w:divBdr>
    </w:div>
    <w:div w:id="1645816648">
      <w:bodyDiv w:val="1"/>
      <w:marLeft w:val="0"/>
      <w:marRight w:val="0"/>
      <w:marTop w:val="0"/>
      <w:marBottom w:val="0"/>
      <w:divBdr>
        <w:top w:val="none" w:sz="0" w:space="0" w:color="auto"/>
        <w:left w:val="none" w:sz="0" w:space="0" w:color="auto"/>
        <w:bottom w:val="none" w:sz="0" w:space="0" w:color="auto"/>
        <w:right w:val="none" w:sz="0" w:space="0" w:color="auto"/>
      </w:divBdr>
    </w:div>
    <w:div w:id="1646159191">
      <w:bodyDiv w:val="1"/>
      <w:marLeft w:val="0"/>
      <w:marRight w:val="0"/>
      <w:marTop w:val="0"/>
      <w:marBottom w:val="0"/>
      <w:divBdr>
        <w:top w:val="none" w:sz="0" w:space="0" w:color="auto"/>
        <w:left w:val="none" w:sz="0" w:space="0" w:color="auto"/>
        <w:bottom w:val="none" w:sz="0" w:space="0" w:color="auto"/>
        <w:right w:val="none" w:sz="0" w:space="0" w:color="auto"/>
      </w:divBdr>
      <w:divsChild>
        <w:div w:id="902066076">
          <w:marLeft w:val="0"/>
          <w:marRight w:val="0"/>
          <w:marTop w:val="0"/>
          <w:marBottom w:val="0"/>
          <w:divBdr>
            <w:top w:val="none" w:sz="0" w:space="0" w:color="auto"/>
            <w:left w:val="none" w:sz="0" w:space="0" w:color="auto"/>
            <w:bottom w:val="none" w:sz="0" w:space="0" w:color="auto"/>
            <w:right w:val="none" w:sz="0" w:space="0" w:color="auto"/>
          </w:divBdr>
          <w:divsChild>
            <w:div w:id="14163668">
              <w:marLeft w:val="0"/>
              <w:marRight w:val="0"/>
              <w:marTop w:val="0"/>
              <w:marBottom w:val="0"/>
              <w:divBdr>
                <w:top w:val="none" w:sz="0" w:space="0" w:color="auto"/>
                <w:left w:val="none" w:sz="0" w:space="0" w:color="auto"/>
                <w:bottom w:val="none" w:sz="0" w:space="0" w:color="auto"/>
                <w:right w:val="none" w:sz="0" w:space="0" w:color="auto"/>
              </w:divBdr>
              <w:divsChild>
                <w:div w:id="1181973783">
                  <w:marLeft w:val="0"/>
                  <w:marRight w:val="0"/>
                  <w:marTop w:val="0"/>
                  <w:marBottom w:val="0"/>
                  <w:divBdr>
                    <w:top w:val="none" w:sz="0" w:space="0" w:color="auto"/>
                    <w:left w:val="none" w:sz="0" w:space="0" w:color="auto"/>
                    <w:bottom w:val="none" w:sz="0" w:space="0" w:color="auto"/>
                    <w:right w:val="none" w:sz="0" w:space="0" w:color="auto"/>
                  </w:divBdr>
                  <w:divsChild>
                    <w:div w:id="457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2007">
          <w:marLeft w:val="0"/>
          <w:marRight w:val="0"/>
          <w:marTop w:val="0"/>
          <w:marBottom w:val="0"/>
          <w:divBdr>
            <w:top w:val="none" w:sz="0" w:space="0" w:color="auto"/>
            <w:left w:val="none" w:sz="0" w:space="0" w:color="auto"/>
            <w:bottom w:val="none" w:sz="0" w:space="0" w:color="auto"/>
            <w:right w:val="none" w:sz="0" w:space="0" w:color="auto"/>
          </w:divBdr>
          <w:divsChild>
            <w:div w:id="130103615">
              <w:marLeft w:val="0"/>
              <w:marRight w:val="0"/>
              <w:marTop w:val="0"/>
              <w:marBottom w:val="0"/>
              <w:divBdr>
                <w:top w:val="none" w:sz="0" w:space="0" w:color="auto"/>
                <w:left w:val="none" w:sz="0" w:space="0" w:color="auto"/>
                <w:bottom w:val="none" w:sz="0" w:space="0" w:color="auto"/>
                <w:right w:val="none" w:sz="0" w:space="0" w:color="auto"/>
              </w:divBdr>
              <w:divsChild>
                <w:div w:id="229928955">
                  <w:marLeft w:val="0"/>
                  <w:marRight w:val="0"/>
                  <w:marTop w:val="0"/>
                  <w:marBottom w:val="0"/>
                  <w:divBdr>
                    <w:top w:val="none" w:sz="0" w:space="0" w:color="auto"/>
                    <w:left w:val="none" w:sz="0" w:space="0" w:color="auto"/>
                    <w:bottom w:val="none" w:sz="0" w:space="0" w:color="auto"/>
                    <w:right w:val="none" w:sz="0" w:space="0" w:color="auto"/>
                  </w:divBdr>
                  <w:divsChild>
                    <w:div w:id="19936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87242">
      <w:bodyDiv w:val="1"/>
      <w:marLeft w:val="0"/>
      <w:marRight w:val="0"/>
      <w:marTop w:val="0"/>
      <w:marBottom w:val="0"/>
      <w:divBdr>
        <w:top w:val="none" w:sz="0" w:space="0" w:color="auto"/>
        <w:left w:val="none" w:sz="0" w:space="0" w:color="auto"/>
        <w:bottom w:val="none" w:sz="0" w:space="0" w:color="auto"/>
        <w:right w:val="none" w:sz="0" w:space="0" w:color="auto"/>
      </w:divBdr>
      <w:divsChild>
        <w:div w:id="536894953">
          <w:marLeft w:val="0"/>
          <w:marRight w:val="0"/>
          <w:marTop w:val="0"/>
          <w:marBottom w:val="0"/>
          <w:divBdr>
            <w:top w:val="none" w:sz="0" w:space="0" w:color="auto"/>
            <w:left w:val="none" w:sz="0" w:space="0" w:color="auto"/>
            <w:bottom w:val="none" w:sz="0" w:space="0" w:color="auto"/>
            <w:right w:val="none" w:sz="0" w:space="0" w:color="auto"/>
          </w:divBdr>
          <w:divsChild>
            <w:div w:id="1214002177">
              <w:marLeft w:val="0"/>
              <w:marRight w:val="0"/>
              <w:marTop w:val="0"/>
              <w:marBottom w:val="0"/>
              <w:divBdr>
                <w:top w:val="none" w:sz="0" w:space="0" w:color="auto"/>
                <w:left w:val="none" w:sz="0" w:space="0" w:color="auto"/>
                <w:bottom w:val="none" w:sz="0" w:space="0" w:color="auto"/>
                <w:right w:val="none" w:sz="0" w:space="0" w:color="auto"/>
              </w:divBdr>
              <w:divsChild>
                <w:div w:id="2103069556">
                  <w:marLeft w:val="0"/>
                  <w:marRight w:val="0"/>
                  <w:marTop w:val="0"/>
                  <w:marBottom w:val="0"/>
                  <w:divBdr>
                    <w:top w:val="none" w:sz="0" w:space="0" w:color="auto"/>
                    <w:left w:val="none" w:sz="0" w:space="0" w:color="auto"/>
                    <w:bottom w:val="none" w:sz="0" w:space="0" w:color="auto"/>
                    <w:right w:val="none" w:sz="0" w:space="0" w:color="auto"/>
                  </w:divBdr>
                  <w:divsChild>
                    <w:div w:id="4750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1914">
          <w:marLeft w:val="0"/>
          <w:marRight w:val="0"/>
          <w:marTop w:val="0"/>
          <w:marBottom w:val="0"/>
          <w:divBdr>
            <w:top w:val="none" w:sz="0" w:space="0" w:color="auto"/>
            <w:left w:val="none" w:sz="0" w:space="0" w:color="auto"/>
            <w:bottom w:val="none" w:sz="0" w:space="0" w:color="auto"/>
            <w:right w:val="none" w:sz="0" w:space="0" w:color="auto"/>
          </w:divBdr>
          <w:divsChild>
            <w:div w:id="615062501">
              <w:marLeft w:val="0"/>
              <w:marRight w:val="0"/>
              <w:marTop w:val="0"/>
              <w:marBottom w:val="0"/>
              <w:divBdr>
                <w:top w:val="none" w:sz="0" w:space="0" w:color="auto"/>
                <w:left w:val="none" w:sz="0" w:space="0" w:color="auto"/>
                <w:bottom w:val="none" w:sz="0" w:space="0" w:color="auto"/>
                <w:right w:val="none" w:sz="0" w:space="0" w:color="auto"/>
              </w:divBdr>
              <w:divsChild>
                <w:div w:id="2034502487">
                  <w:marLeft w:val="0"/>
                  <w:marRight w:val="0"/>
                  <w:marTop w:val="0"/>
                  <w:marBottom w:val="0"/>
                  <w:divBdr>
                    <w:top w:val="none" w:sz="0" w:space="0" w:color="auto"/>
                    <w:left w:val="none" w:sz="0" w:space="0" w:color="auto"/>
                    <w:bottom w:val="none" w:sz="0" w:space="0" w:color="auto"/>
                    <w:right w:val="none" w:sz="0" w:space="0" w:color="auto"/>
                  </w:divBdr>
                  <w:divsChild>
                    <w:div w:id="11985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0899">
      <w:bodyDiv w:val="1"/>
      <w:marLeft w:val="0"/>
      <w:marRight w:val="0"/>
      <w:marTop w:val="0"/>
      <w:marBottom w:val="0"/>
      <w:divBdr>
        <w:top w:val="none" w:sz="0" w:space="0" w:color="auto"/>
        <w:left w:val="none" w:sz="0" w:space="0" w:color="auto"/>
        <w:bottom w:val="none" w:sz="0" w:space="0" w:color="auto"/>
        <w:right w:val="none" w:sz="0" w:space="0" w:color="auto"/>
      </w:divBdr>
    </w:div>
    <w:div w:id="1700736830">
      <w:bodyDiv w:val="1"/>
      <w:marLeft w:val="0"/>
      <w:marRight w:val="0"/>
      <w:marTop w:val="0"/>
      <w:marBottom w:val="0"/>
      <w:divBdr>
        <w:top w:val="none" w:sz="0" w:space="0" w:color="auto"/>
        <w:left w:val="none" w:sz="0" w:space="0" w:color="auto"/>
        <w:bottom w:val="none" w:sz="0" w:space="0" w:color="auto"/>
        <w:right w:val="none" w:sz="0" w:space="0" w:color="auto"/>
      </w:divBdr>
    </w:div>
    <w:div w:id="1741320518">
      <w:bodyDiv w:val="1"/>
      <w:marLeft w:val="0"/>
      <w:marRight w:val="0"/>
      <w:marTop w:val="0"/>
      <w:marBottom w:val="0"/>
      <w:divBdr>
        <w:top w:val="none" w:sz="0" w:space="0" w:color="auto"/>
        <w:left w:val="none" w:sz="0" w:space="0" w:color="auto"/>
        <w:bottom w:val="none" w:sz="0" w:space="0" w:color="auto"/>
        <w:right w:val="none" w:sz="0" w:space="0" w:color="auto"/>
      </w:divBdr>
    </w:div>
    <w:div w:id="1759403510">
      <w:bodyDiv w:val="1"/>
      <w:marLeft w:val="0"/>
      <w:marRight w:val="0"/>
      <w:marTop w:val="0"/>
      <w:marBottom w:val="0"/>
      <w:divBdr>
        <w:top w:val="none" w:sz="0" w:space="0" w:color="auto"/>
        <w:left w:val="none" w:sz="0" w:space="0" w:color="auto"/>
        <w:bottom w:val="none" w:sz="0" w:space="0" w:color="auto"/>
        <w:right w:val="none" w:sz="0" w:space="0" w:color="auto"/>
      </w:divBdr>
    </w:div>
    <w:div w:id="1765227555">
      <w:bodyDiv w:val="1"/>
      <w:marLeft w:val="0"/>
      <w:marRight w:val="0"/>
      <w:marTop w:val="0"/>
      <w:marBottom w:val="0"/>
      <w:divBdr>
        <w:top w:val="none" w:sz="0" w:space="0" w:color="auto"/>
        <w:left w:val="none" w:sz="0" w:space="0" w:color="auto"/>
        <w:bottom w:val="none" w:sz="0" w:space="0" w:color="auto"/>
        <w:right w:val="none" w:sz="0" w:space="0" w:color="auto"/>
      </w:divBdr>
    </w:div>
    <w:div w:id="1773042972">
      <w:bodyDiv w:val="1"/>
      <w:marLeft w:val="0"/>
      <w:marRight w:val="0"/>
      <w:marTop w:val="0"/>
      <w:marBottom w:val="0"/>
      <w:divBdr>
        <w:top w:val="none" w:sz="0" w:space="0" w:color="auto"/>
        <w:left w:val="none" w:sz="0" w:space="0" w:color="auto"/>
        <w:bottom w:val="none" w:sz="0" w:space="0" w:color="auto"/>
        <w:right w:val="none" w:sz="0" w:space="0" w:color="auto"/>
      </w:divBdr>
    </w:div>
    <w:div w:id="1813136987">
      <w:bodyDiv w:val="1"/>
      <w:marLeft w:val="0"/>
      <w:marRight w:val="0"/>
      <w:marTop w:val="0"/>
      <w:marBottom w:val="0"/>
      <w:divBdr>
        <w:top w:val="none" w:sz="0" w:space="0" w:color="auto"/>
        <w:left w:val="none" w:sz="0" w:space="0" w:color="auto"/>
        <w:bottom w:val="none" w:sz="0" w:space="0" w:color="auto"/>
        <w:right w:val="none" w:sz="0" w:space="0" w:color="auto"/>
      </w:divBdr>
    </w:div>
    <w:div w:id="1817334094">
      <w:bodyDiv w:val="1"/>
      <w:marLeft w:val="0"/>
      <w:marRight w:val="0"/>
      <w:marTop w:val="0"/>
      <w:marBottom w:val="0"/>
      <w:divBdr>
        <w:top w:val="none" w:sz="0" w:space="0" w:color="auto"/>
        <w:left w:val="none" w:sz="0" w:space="0" w:color="auto"/>
        <w:bottom w:val="none" w:sz="0" w:space="0" w:color="auto"/>
        <w:right w:val="none" w:sz="0" w:space="0" w:color="auto"/>
      </w:divBdr>
    </w:div>
    <w:div w:id="1818302054">
      <w:bodyDiv w:val="1"/>
      <w:marLeft w:val="0"/>
      <w:marRight w:val="0"/>
      <w:marTop w:val="0"/>
      <w:marBottom w:val="0"/>
      <w:divBdr>
        <w:top w:val="none" w:sz="0" w:space="0" w:color="auto"/>
        <w:left w:val="none" w:sz="0" w:space="0" w:color="auto"/>
        <w:bottom w:val="none" w:sz="0" w:space="0" w:color="auto"/>
        <w:right w:val="none" w:sz="0" w:space="0" w:color="auto"/>
      </w:divBdr>
    </w:div>
    <w:div w:id="1836147666">
      <w:bodyDiv w:val="1"/>
      <w:marLeft w:val="0"/>
      <w:marRight w:val="0"/>
      <w:marTop w:val="0"/>
      <w:marBottom w:val="0"/>
      <w:divBdr>
        <w:top w:val="none" w:sz="0" w:space="0" w:color="auto"/>
        <w:left w:val="none" w:sz="0" w:space="0" w:color="auto"/>
        <w:bottom w:val="none" w:sz="0" w:space="0" w:color="auto"/>
        <w:right w:val="none" w:sz="0" w:space="0" w:color="auto"/>
      </w:divBdr>
    </w:div>
    <w:div w:id="1860698563">
      <w:bodyDiv w:val="1"/>
      <w:marLeft w:val="0"/>
      <w:marRight w:val="0"/>
      <w:marTop w:val="0"/>
      <w:marBottom w:val="0"/>
      <w:divBdr>
        <w:top w:val="none" w:sz="0" w:space="0" w:color="auto"/>
        <w:left w:val="none" w:sz="0" w:space="0" w:color="auto"/>
        <w:bottom w:val="none" w:sz="0" w:space="0" w:color="auto"/>
        <w:right w:val="none" w:sz="0" w:space="0" w:color="auto"/>
      </w:divBdr>
      <w:divsChild>
        <w:div w:id="115872993">
          <w:marLeft w:val="0"/>
          <w:marRight w:val="0"/>
          <w:marTop w:val="0"/>
          <w:marBottom w:val="0"/>
          <w:divBdr>
            <w:top w:val="none" w:sz="0" w:space="0" w:color="auto"/>
            <w:left w:val="none" w:sz="0" w:space="0" w:color="auto"/>
            <w:bottom w:val="none" w:sz="0" w:space="0" w:color="auto"/>
            <w:right w:val="none" w:sz="0" w:space="0" w:color="auto"/>
          </w:divBdr>
          <w:divsChild>
            <w:div w:id="1499422617">
              <w:marLeft w:val="0"/>
              <w:marRight w:val="0"/>
              <w:marTop w:val="0"/>
              <w:marBottom w:val="0"/>
              <w:divBdr>
                <w:top w:val="none" w:sz="0" w:space="0" w:color="auto"/>
                <w:left w:val="none" w:sz="0" w:space="0" w:color="auto"/>
                <w:bottom w:val="none" w:sz="0" w:space="0" w:color="auto"/>
                <w:right w:val="none" w:sz="0" w:space="0" w:color="auto"/>
              </w:divBdr>
              <w:divsChild>
                <w:div w:id="1361279350">
                  <w:marLeft w:val="0"/>
                  <w:marRight w:val="0"/>
                  <w:marTop w:val="0"/>
                  <w:marBottom w:val="0"/>
                  <w:divBdr>
                    <w:top w:val="none" w:sz="0" w:space="0" w:color="auto"/>
                    <w:left w:val="none" w:sz="0" w:space="0" w:color="auto"/>
                    <w:bottom w:val="none" w:sz="0" w:space="0" w:color="auto"/>
                    <w:right w:val="none" w:sz="0" w:space="0" w:color="auto"/>
                  </w:divBdr>
                  <w:divsChild>
                    <w:div w:id="497308393">
                      <w:marLeft w:val="0"/>
                      <w:marRight w:val="0"/>
                      <w:marTop w:val="0"/>
                      <w:marBottom w:val="0"/>
                      <w:divBdr>
                        <w:top w:val="none" w:sz="0" w:space="0" w:color="auto"/>
                        <w:left w:val="none" w:sz="0" w:space="0" w:color="auto"/>
                        <w:bottom w:val="none" w:sz="0" w:space="0" w:color="auto"/>
                        <w:right w:val="none" w:sz="0" w:space="0" w:color="auto"/>
                      </w:divBdr>
                      <w:divsChild>
                        <w:div w:id="1318263744">
                          <w:marLeft w:val="0"/>
                          <w:marRight w:val="0"/>
                          <w:marTop w:val="0"/>
                          <w:marBottom w:val="0"/>
                          <w:divBdr>
                            <w:top w:val="none" w:sz="0" w:space="0" w:color="auto"/>
                            <w:left w:val="none" w:sz="0" w:space="0" w:color="auto"/>
                            <w:bottom w:val="none" w:sz="0" w:space="0" w:color="auto"/>
                            <w:right w:val="none" w:sz="0" w:space="0" w:color="auto"/>
                          </w:divBdr>
                          <w:divsChild>
                            <w:div w:id="1247035272">
                              <w:marLeft w:val="0"/>
                              <w:marRight w:val="0"/>
                              <w:marTop w:val="0"/>
                              <w:marBottom w:val="0"/>
                              <w:divBdr>
                                <w:top w:val="none" w:sz="0" w:space="0" w:color="auto"/>
                                <w:left w:val="none" w:sz="0" w:space="0" w:color="auto"/>
                                <w:bottom w:val="none" w:sz="0" w:space="0" w:color="auto"/>
                                <w:right w:val="none" w:sz="0" w:space="0" w:color="auto"/>
                              </w:divBdr>
                              <w:divsChild>
                                <w:div w:id="1227181904">
                                  <w:marLeft w:val="0"/>
                                  <w:marRight w:val="0"/>
                                  <w:marTop w:val="0"/>
                                  <w:marBottom w:val="0"/>
                                  <w:divBdr>
                                    <w:top w:val="none" w:sz="0" w:space="0" w:color="auto"/>
                                    <w:left w:val="none" w:sz="0" w:space="0" w:color="auto"/>
                                    <w:bottom w:val="none" w:sz="0" w:space="0" w:color="auto"/>
                                    <w:right w:val="none" w:sz="0" w:space="0" w:color="auto"/>
                                  </w:divBdr>
                                  <w:divsChild>
                                    <w:div w:id="215967987">
                                      <w:marLeft w:val="0"/>
                                      <w:marRight w:val="0"/>
                                      <w:marTop w:val="0"/>
                                      <w:marBottom w:val="0"/>
                                      <w:divBdr>
                                        <w:top w:val="none" w:sz="0" w:space="0" w:color="auto"/>
                                        <w:left w:val="none" w:sz="0" w:space="0" w:color="auto"/>
                                        <w:bottom w:val="none" w:sz="0" w:space="0" w:color="auto"/>
                                        <w:right w:val="none" w:sz="0" w:space="0" w:color="auto"/>
                                      </w:divBdr>
                                      <w:divsChild>
                                        <w:div w:id="612900890">
                                          <w:marLeft w:val="0"/>
                                          <w:marRight w:val="0"/>
                                          <w:marTop w:val="0"/>
                                          <w:marBottom w:val="0"/>
                                          <w:divBdr>
                                            <w:top w:val="none" w:sz="0" w:space="0" w:color="auto"/>
                                            <w:left w:val="none" w:sz="0" w:space="0" w:color="auto"/>
                                            <w:bottom w:val="none" w:sz="0" w:space="0" w:color="auto"/>
                                            <w:right w:val="none" w:sz="0" w:space="0" w:color="auto"/>
                                          </w:divBdr>
                                          <w:divsChild>
                                            <w:div w:id="288096430">
                                              <w:marLeft w:val="0"/>
                                              <w:marRight w:val="0"/>
                                              <w:marTop w:val="0"/>
                                              <w:marBottom w:val="0"/>
                                              <w:divBdr>
                                                <w:top w:val="none" w:sz="0" w:space="0" w:color="auto"/>
                                                <w:left w:val="none" w:sz="0" w:space="0" w:color="auto"/>
                                                <w:bottom w:val="none" w:sz="0" w:space="0" w:color="auto"/>
                                                <w:right w:val="none" w:sz="0" w:space="0" w:color="auto"/>
                                              </w:divBdr>
                                              <w:divsChild>
                                                <w:div w:id="2087874345">
                                                  <w:marLeft w:val="0"/>
                                                  <w:marRight w:val="0"/>
                                                  <w:marTop w:val="0"/>
                                                  <w:marBottom w:val="0"/>
                                                  <w:divBdr>
                                                    <w:top w:val="none" w:sz="0" w:space="0" w:color="auto"/>
                                                    <w:left w:val="none" w:sz="0" w:space="0" w:color="auto"/>
                                                    <w:bottom w:val="none" w:sz="0" w:space="0" w:color="auto"/>
                                                    <w:right w:val="none" w:sz="0" w:space="0" w:color="auto"/>
                                                  </w:divBdr>
                                                  <w:divsChild>
                                                    <w:div w:id="1750541988">
                                                      <w:marLeft w:val="0"/>
                                                      <w:marRight w:val="0"/>
                                                      <w:marTop w:val="0"/>
                                                      <w:marBottom w:val="0"/>
                                                      <w:divBdr>
                                                        <w:top w:val="none" w:sz="0" w:space="0" w:color="auto"/>
                                                        <w:left w:val="none" w:sz="0" w:space="0" w:color="auto"/>
                                                        <w:bottom w:val="none" w:sz="0" w:space="0" w:color="auto"/>
                                                        <w:right w:val="none" w:sz="0" w:space="0" w:color="auto"/>
                                                      </w:divBdr>
                                                      <w:divsChild>
                                                        <w:div w:id="18548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473496">
          <w:marLeft w:val="0"/>
          <w:marRight w:val="0"/>
          <w:marTop w:val="0"/>
          <w:marBottom w:val="0"/>
          <w:divBdr>
            <w:top w:val="none" w:sz="0" w:space="0" w:color="auto"/>
            <w:left w:val="none" w:sz="0" w:space="0" w:color="auto"/>
            <w:bottom w:val="none" w:sz="0" w:space="0" w:color="auto"/>
            <w:right w:val="none" w:sz="0" w:space="0" w:color="auto"/>
          </w:divBdr>
          <w:divsChild>
            <w:div w:id="71437434">
              <w:marLeft w:val="0"/>
              <w:marRight w:val="0"/>
              <w:marTop w:val="0"/>
              <w:marBottom w:val="0"/>
              <w:divBdr>
                <w:top w:val="none" w:sz="0" w:space="0" w:color="auto"/>
                <w:left w:val="none" w:sz="0" w:space="0" w:color="auto"/>
                <w:bottom w:val="none" w:sz="0" w:space="0" w:color="auto"/>
                <w:right w:val="none" w:sz="0" w:space="0" w:color="auto"/>
              </w:divBdr>
              <w:divsChild>
                <w:div w:id="1862545828">
                  <w:marLeft w:val="0"/>
                  <w:marRight w:val="0"/>
                  <w:marTop w:val="0"/>
                  <w:marBottom w:val="0"/>
                  <w:divBdr>
                    <w:top w:val="none" w:sz="0" w:space="0" w:color="auto"/>
                    <w:left w:val="none" w:sz="0" w:space="0" w:color="auto"/>
                    <w:bottom w:val="none" w:sz="0" w:space="0" w:color="auto"/>
                    <w:right w:val="none" w:sz="0" w:space="0" w:color="auto"/>
                  </w:divBdr>
                  <w:divsChild>
                    <w:div w:id="2875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4413">
      <w:bodyDiv w:val="1"/>
      <w:marLeft w:val="0"/>
      <w:marRight w:val="0"/>
      <w:marTop w:val="0"/>
      <w:marBottom w:val="0"/>
      <w:divBdr>
        <w:top w:val="none" w:sz="0" w:space="0" w:color="auto"/>
        <w:left w:val="none" w:sz="0" w:space="0" w:color="auto"/>
        <w:bottom w:val="none" w:sz="0" w:space="0" w:color="auto"/>
        <w:right w:val="none" w:sz="0" w:space="0" w:color="auto"/>
      </w:divBdr>
      <w:divsChild>
        <w:div w:id="1013918741">
          <w:marLeft w:val="0"/>
          <w:marRight w:val="0"/>
          <w:marTop w:val="0"/>
          <w:marBottom w:val="0"/>
          <w:divBdr>
            <w:top w:val="none" w:sz="0" w:space="0" w:color="auto"/>
            <w:left w:val="none" w:sz="0" w:space="0" w:color="auto"/>
            <w:bottom w:val="none" w:sz="0" w:space="0" w:color="auto"/>
            <w:right w:val="none" w:sz="0" w:space="0" w:color="auto"/>
          </w:divBdr>
          <w:divsChild>
            <w:div w:id="1086809317">
              <w:marLeft w:val="0"/>
              <w:marRight w:val="0"/>
              <w:marTop w:val="0"/>
              <w:marBottom w:val="0"/>
              <w:divBdr>
                <w:top w:val="none" w:sz="0" w:space="0" w:color="auto"/>
                <w:left w:val="none" w:sz="0" w:space="0" w:color="auto"/>
                <w:bottom w:val="none" w:sz="0" w:space="0" w:color="auto"/>
                <w:right w:val="none" w:sz="0" w:space="0" w:color="auto"/>
              </w:divBdr>
              <w:divsChild>
                <w:div w:id="1762556384">
                  <w:marLeft w:val="0"/>
                  <w:marRight w:val="0"/>
                  <w:marTop w:val="0"/>
                  <w:marBottom w:val="0"/>
                  <w:divBdr>
                    <w:top w:val="none" w:sz="0" w:space="0" w:color="auto"/>
                    <w:left w:val="none" w:sz="0" w:space="0" w:color="auto"/>
                    <w:bottom w:val="none" w:sz="0" w:space="0" w:color="auto"/>
                    <w:right w:val="none" w:sz="0" w:space="0" w:color="auto"/>
                  </w:divBdr>
                  <w:divsChild>
                    <w:div w:id="88813878">
                      <w:marLeft w:val="0"/>
                      <w:marRight w:val="0"/>
                      <w:marTop w:val="0"/>
                      <w:marBottom w:val="0"/>
                      <w:divBdr>
                        <w:top w:val="none" w:sz="0" w:space="0" w:color="auto"/>
                        <w:left w:val="none" w:sz="0" w:space="0" w:color="auto"/>
                        <w:bottom w:val="none" w:sz="0" w:space="0" w:color="auto"/>
                        <w:right w:val="none" w:sz="0" w:space="0" w:color="auto"/>
                      </w:divBdr>
                      <w:divsChild>
                        <w:div w:id="449512048">
                          <w:marLeft w:val="0"/>
                          <w:marRight w:val="0"/>
                          <w:marTop w:val="0"/>
                          <w:marBottom w:val="0"/>
                          <w:divBdr>
                            <w:top w:val="none" w:sz="0" w:space="0" w:color="auto"/>
                            <w:left w:val="none" w:sz="0" w:space="0" w:color="auto"/>
                            <w:bottom w:val="none" w:sz="0" w:space="0" w:color="auto"/>
                            <w:right w:val="none" w:sz="0" w:space="0" w:color="auto"/>
                          </w:divBdr>
                          <w:divsChild>
                            <w:div w:id="249704168">
                              <w:marLeft w:val="0"/>
                              <w:marRight w:val="0"/>
                              <w:marTop w:val="0"/>
                              <w:marBottom w:val="0"/>
                              <w:divBdr>
                                <w:top w:val="none" w:sz="0" w:space="0" w:color="auto"/>
                                <w:left w:val="none" w:sz="0" w:space="0" w:color="auto"/>
                                <w:bottom w:val="none" w:sz="0" w:space="0" w:color="auto"/>
                                <w:right w:val="none" w:sz="0" w:space="0" w:color="auto"/>
                              </w:divBdr>
                              <w:divsChild>
                                <w:div w:id="1254389255">
                                  <w:marLeft w:val="0"/>
                                  <w:marRight w:val="0"/>
                                  <w:marTop w:val="0"/>
                                  <w:marBottom w:val="0"/>
                                  <w:divBdr>
                                    <w:top w:val="none" w:sz="0" w:space="0" w:color="auto"/>
                                    <w:left w:val="none" w:sz="0" w:space="0" w:color="auto"/>
                                    <w:bottom w:val="none" w:sz="0" w:space="0" w:color="auto"/>
                                    <w:right w:val="none" w:sz="0" w:space="0" w:color="auto"/>
                                  </w:divBdr>
                                  <w:divsChild>
                                    <w:div w:id="604776229">
                                      <w:marLeft w:val="0"/>
                                      <w:marRight w:val="0"/>
                                      <w:marTop w:val="0"/>
                                      <w:marBottom w:val="0"/>
                                      <w:divBdr>
                                        <w:top w:val="none" w:sz="0" w:space="0" w:color="auto"/>
                                        <w:left w:val="none" w:sz="0" w:space="0" w:color="auto"/>
                                        <w:bottom w:val="none" w:sz="0" w:space="0" w:color="auto"/>
                                        <w:right w:val="none" w:sz="0" w:space="0" w:color="auto"/>
                                      </w:divBdr>
                                      <w:divsChild>
                                        <w:div w:id="858394189">
                                          <w:marLeft w:val="0"/>
                                          <w:marRight w:val="0"/>
                                          <w:marTop w:val="0"/>
                                          <w:marBottom w:val="0"/>
                                          <w:divBdr>
                                            <w:top w:val="none" w:sz="0" w:space="0" w:color="auto"/>
                                            <w:left w:val="none" w:sz="0" w:space="0" w:color="auto"/>
                                            <w:bottom w:val="none" w:sz="0" w:space="0" w:color="auto"/>
                                            <w:right w:val="none" w:sz="0" w:space="0" w:color="auto"/>
                                          </w:divBdr>
                                          <w:divsChild>
                                            <w:div w:id="1650331387">
                                              <w:marLeft w:val="0"/>
                                              <w:marRight w:val="0"/>
                                              <w:marTop w:val="0"/>
                                              <w:marBottom w:val="0"/>
                                              <w:divBdr>
                                                <w:top w:val="none" w:sz="0" w:space="0" w:color="auto"/>
                                                <w:left w:val="none" w:sz="0" w:space="0" w:color="auto"/>
                                                <w:bottom w:val="none" w:sz="0" w:space="0" w:color="auto"/>
                                                <w:right w:val="none" w:sz="0" w:space="0" w:color="auto"/>
                                              </w:divBdr>
                                              <w:divsChild>
                                                <w:div w:id="949356600">
                                                  <w:marLeft w:val="0"/>
                                                  <w:marRight w:val="0"/>
                                                  <w:marTop w:val="0"/>
                                                  <w:marBottom w:val="0"/>
                                                  <w:divBdr>
                                                    <w:top w:val="none" w:sz="0" w:space="0" w:color="auto"/>
                                                    <w:left w:val="none" w:sz="0" w:space="0" w:color="auto"/>
                                                    <w:bottom w:val="none" w:sz="0" w:space="0" w:color="auto"/>
                                                    <w:right w:val="none" w:sz="0" w:space="0" w:color="auto"/>
                                                  </w:divBdr>
                                                  <w:divsChild>
                                                    <w:div w:id="1477261481">
                                                      <w:marLeft w:val="0"/>
                                                      <w:marRight w:val="0"/>
                                                      <w:marTop w:val="0"/>
                                                      <w:marBottom w:val="0"/>
                                                      <w:divBdr>
                                                        <w:top w:val="none" w:sz="0" w:space="0" w:color="auto"/>
                                                        <w:left w:val="none" w:sz="0" w:space="0" w:color="auto"/>
                                                        <w:bottom w:val="none" w:sz="0" w:space="0" w:color="auto"/>
                                                        <w:right w:val="none" w:sz="0" w:space="0" w:color="auto"/>
                                                      </w:divBdr>
                                                      <w:divsChild>
                                                        <w:div w:id="15650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830837">
          <w:marLeft w:val="0"/>
          <w:marRight w:val="0"/>
          <w:marTop w:val="0"/>
          <w:marBottom w:val="0"/>
          <w:divBdr>
            <w:top w:val="none" w:sz="0" w:space="0" w:color="auto"/>
            <w:left w:val="none" w:sz="0" w:space="0" w:color="auto"/>
            <w:bottom w:val="none" w:sz="0" w:space="0" w:color="auto"/>
            <w:right w:val="none" w:sz="0" w:space="0" w:color="auto"/>
          </w:divBdr>
          <w:divsChild>
            <w:div w:id="2086222053">
              <w:marLeft w:val="0"/>
              <w:marRight w:val="0"/>
              <w:marTop w:val="0"/>
              <w:marBottom w:val="0"/>
              <w:divBdr>
                <w:top w:val="none" w:sz="0" w:space="0" w:color="auto"/>
                <w:left w:val="none" w:sz="0" w:space="0" w:color="auto"/>
                <w:bottom w:val="none" w:sz="0" w:space="0" w:color="auto"/>
                <w:right w:val="none" w:sz="0" w:space="0" w:color="auto"/>
              </w:divBdr>
              <w:divsChild>
                <w:div w:id="1239437801">
                  <w:marLeft w:val="0"/>
                  <w:marRight w:val="0"/>
                  <w:marTop w:val="0"/>
                  <w:marBottom w:val="0"/>
                  <w:divBdr>
                    <w:top w:val="none" w:sz="0" w:space="0" w:color="auto"/>
                    <w:left w:val="none" w:sz="0" w:space="0" w:color="auto"/>
                    <w:bottom w:val="none" w:sz="0" w:space="0" w:color="auto"/>
                    <w:right w:val="none" w:sz="0" w:space="0" w:color="auto"/>
                  </w:divBdr>
                  <w:divsChild>
                    <w:div w:id="10320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362259">
      <w:bodyDiv w:val="1"/>
      <w:marLeft w:val="0"/>
      <w:marRight w:val="0"/>
      <w:marTop w:val="0"/>
      <w:marBottom w:val="0"/>
      <w:divBdr>
        <w:top w:val="none" w:sz="0" w:space="0" w:color="auto"/>
        <w:left w:val="none" w:sz="0" w:space="0" w:color="auto"/>
        <w:bottom w:val="none" w:sz="0" w:space="0" w:color="auto"/>
        <w:right w:val="none" w:sz="0" w:space="0" w:color="auto"/>
      </w:divBdr>
      <w:divsChild>
        <w:div w:id="164906392">
          <w:marLeft w:val="0"/>
          <w:marRight w:val="0"/>
          <w:marTop w:val="0"/>
          <w:marBottom w:val="0"/>
          <w:divBdr>
            <w:top w:val="none" w:sz="0" w:space="0" w:color="auto"/>
            <w:left w:val="none" w:sz="0" w:space="0" w:color="auto"/>
            <w:bottom w:val="none" w:sz="0" w:space="0" w:color="auto"/>
            <w:right w:val="none" w:sz="0" w:space="0" w:color="auto"/>
          </w:divBdr>
          <w:divsChild>
            <w:div w:id="1258826752">
              <w:marLeft w:val="0"/>
              <w:marRight w:val="0"/>
              <w:marTop w:val="0"/>
              <w:marBottom w:val="0"/>
              <w:divBdr>
                <w:top w:val="none" w:sz="0" w:space="0" w:color="auto"/>
                <w:left w:val="none" w:sz="0" w:space="0" w:color="auto"/>
                <w:bottom w:val="none" w:sz="0" w:space="0" w:color="auto"/>
                <w:right w:val="none" w:sz="0" w:space="0" w:color="auto"/>
              </w:divBdr>
              <w:divsChild>
                <w:div w:id="1838299706">
                  <w:marLeft w:val="0"/>
                  <w:marRight w:val="0"/>
                  <w:marTop w:val="0"/>
                  <w:marBottom w:val="0"/>
                  <w:divBdr>
                    <w:top w:val="none" w:sz="0" w:space="0" w:color="auto"/>
                    <w:left w:val="none" w:sz="0" w:space="0" w:color="auto"/>
                    <w:bottom w:val="none" w:sz="0" w:space="0" w:color="auto"/>
                    <w:right w:val="none" w:sz="0" w:space="0" w:color="auto"/>
                  </w:divBdr>
                  <w:divsChild>
                    <w:div w:id="1632397699">
                      <w:marLeft w:val="0"/>
                      <w:marRight w:val="0"/>
                      <w:marTop w:val="0"/>
                      <w:marBottom w:val="0"/>
                      <w:divBdr>
                        <w:top w:val="none" w:sz="0" w:space="0" w:color="auto"/>
                        <w:left w:val="none" w:sz="0" w:space="0" w:color="auto"/>
                        <w:bottom w:val="none" w:sz="0" w:space="0" w:color="auto"/>
                        <w:right w:val="none" w:sz="0" w:space="0" w:color="auto"/>
                      </w:divBdr>
                      <w:divsChild>
                        <w:div w:id="1854221968">
                          <w:marLeft w:val="0"/>
                          <w:marRight w:val="0"/>
                          <w:marTop w:val="0"/>
                          <w:marBottom w:val="0"/>
                          <w:divBdr>
                            <w:top w:val="none" w:sz="0" w:space="0" w:color="auto"/>
                            <w:left w:val="none" w:sz="0" w:space="0" w:color="auto"/>
                            <w:bottom w:val="none" w:sz="0" w:space="0" w:color="auto"/>
                            <w:right w:val="none" w:sz="0" w:space="0" w:color="auto"/>
                          </w:divBdr>
                          <w:divsChild>
                            <w:div w:id="1007748586">
                              <w:marLeft w:val="0"/>
                              <w:marRight w:val="0"/>
                              <w:marTop w:val="0"/>
                              <w:marBottom w:val="0"/>
                              <w:divBdr>
                                <w:top w:val="none" w:sz="0" w:space="0" w:color="auto"/>
                                <w:left w:val="none" w:sz="0" w:space="0" w:color="auto"/>
                                <w:bottom w:val="none" w:sz="0" w:space="0" w:color="auto"/>
                                <w:right w:val="none" w:sz="0" w:space="0" w:color="auto"/>
                              </w:divBdr>
                              <w:divsChild>
                                <w:div w:id="1181623994">
                                  <w:marLeft w:val="0"/>
                                  <w:marRight w:val="0"/>
                                  <w:marTop w:val="0"/>
                                  <w:marBottom w:val="0"/>
                                  <w:divBdr>
                                    <w:top w:val="none" w:sz="0" w:space="0" w:color="auto"/>
                                    <w:left w:val="none" w:sz="0" w:space="0" w:color="auto"/>
                                    <w:bottom w:val="none" w:sz="0" w:space="0" w:color="auto"/>
                                    <w:right w:val="none" w:sz="0" w:space="0" w:color="auto"/>
                                  </w:divBdr>
                                  <w:divsChild>
                                    <w:div w:id="1685135854">
                                      <w:marLeft w:val="0"/>
                                      <w:marRight w:val="0"/>
                                      <w:marTop w:val="0"/>
                                      <w:marBottom w:val="0"/>
                                      <w:divBdr>
                                        <w:top w:val="none" w:sz="0" w:space="0" w:color="auto"/>
                                        <w:left w:val="none" w:sz="0" w:space="0" w:color="auto"/>
                                        <w:bottom w:val="none" w:sz="0" w:space="0" w:color="auto"/>
                                        <w:right w:val="none" w:sz="0" w:space="0" w:color="auto"/>
                                      </w:divBdr>
                                      <w:divsChild>
                                        <w:div w:id="1967659406">
                                          <w:marLeft w:val="0"/>
                                          <w:marRight w:val="0"/>
                                          <w:marTop w:val="0"/>
                                          <w:marBottom w:val="0"/>
                                          <w:divBdr>
                                            <w:top w:val="none" w:sz="0" w:space="0" w:color="auto"/>
                                            <w:left w:val="none" w:sz="0" w:space="0" w:color="auto"/>
                                            <w:bottom w:val="none" w:sz="0" w:space="0" w:color="auto"/>
                                            <w:right w:val="none" w:sz="0" w:space="0" w:color="auto"/>
                                          </w:divBdr>
                                          <w:divsChild>
                                            <w:div w:id="1691682980">
                                              <w:marLeft w:val="0"/>
                                              <w:marRight w:val="0"/>
                                              <w:marTop w:val="0"/>
                                              <w:marBottom w:val="0"/>
                                              <w:divBdr>
                                                <w:top w:val="none" w:sz="0" w:space="0" w:color="auto"/>
                                                <w:left w:val="none" w:sz="0" w:space="0" w:color="auto"/>
                                                <w:bottom w:val="none" w:sz="0" w:space="0" w:color="auto"/>
                                                <w:right w:val="none" w:sz="0" w:space="0" w:color="auto"/>
                                              </w:divBdr>
                                              <w:divsChild>
                                                <w:div w:id="1760759581">
                                                  <w:marLeft w:val="0"/>
                                                  <w:marRight w:val="0"/>
                                                  <w:marTop w:val="0"/>
                                                  <w:marBottom w:val="0"/>
                                                  <w:divBdr>
                                                    <w:top w:val="none" w:sz="0" w:space="0" w:color="auto"/>
                                                    <w:left w:val="none" w:sz="0" w:space="0" w:color="auto"/>
                                                    <w:bottom w:val="none" w:sz="0" w:space="0" w:color="auto"/>
                                                    <w:right w:val="none" w:sz="0" w:space="0" w:color="auto"/>
                                                  </w:divBdr>
                                                  <w:divsChild>
                                                    <w:div w:id="1739551411">
                                                      <w:marLeft w:val="0"/>
                                                      <w:marRight w:val="0"/>
                                                      <w:marTop w:val="0"/>
                                                      <w:marBottom w:val="0"/>
                                                      <w:divBdr>
                                                        <w:top w:val="none" w:sz="0" w:space="0" w:color="auto"/>
                                                        <w:left w:val="none" w:sz="0" w:space="0" w:color="auto"/>
                                                        <w:bottom w:val="none" w:sz="0" w:space="0" w:color="auto"/>
                                                        <w:right w:val="none" w:sz="0" w:space="0" w:color="auto"/>
                                                      </w:divBdr>
                                                      <w:divsChild>
                                                        <w:div w:id="8040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243057">
      <w:bodyDiv w:val="1"/>
      <w:marLeft w:val="0"/>
      <w:marRight w:val="0"/>
      <w:marTop w:val="0"/>
      <w:marBottom w:val="0"/>
      <w:divBdr>
        <w:top w:val="none" w:sz="0" w:space="0" w:color="auto"/>
        <w:left w:val="none" w:sz="0" w:space="0" w:color="auto"/>
        <w:bottom w:val="none" w:sz="0" w:space="0" w:color="auto"/>
        <w:right w:val="none" w:sz="0" w:space="0" w:color="auto"/>
      </w:divBdr>
    </w:div>
    <w:div w:id="1923827714">
      <w:bodyDiv w:val="1"/>
      <w:marLeft w:val="0"/>
      <w:marRight w:val="0"/>
      <w:marTop w:val="0"/>
      <w:marBottom w:val="0"/>
      <w:divBdr>
        <w:top w:val="none" w:sz="0" w:space="0" w:color="auto"/>
        <w:left w:val="none" w:sz="0" w:space="0" w:color="auto"/>
        <w:bottom w:val="none" w:sz="0" w:space="0" w:color="auto"/>
        <w:right w:val="none" w:sz="0" w:space="0" w:color="auto"/>
      </w:divBdr>
    </w:div>
    <w:div w:id="1947420035">
      <w:bodyDiv w:val="1"/>
      <w:marLeft w:val="0"/>
      <w:marRight w:val="0"/>
      <w:marTop w:val="0"/>
      <w:marBottom w:val="0"/>
      <w:divBdr>
        <w:top w:val="none" w:sz="0" w:space="0" w:color="auto"/>
        <w:left w:val="none" w:sz="0" w:space="0" w:color="auto"/>
        <w:bottom w:val="none" w:sz="0" w:space="0" w:color="auto"/>
        <w:right w:val="none" w:sz="0" w:space="0" w:color="auto"/>
      </w:divBdr>
    </w:div>
    <w:div w:id="1982072278">
      <w:bodyDiv w:val="1"/>
      <w:marLeft w:val="0"/>
      <w:marRight w:val="0"/>
      <w:marTop w:val="0"/>
      <w:marBottom w:val="0"/>
      <w:divBdr>
        <w:top w:val="none" w:sz="0" w:space="0" w:color="auto"/>
        <w:left w:val="none" w:sz="0" w:space="0" w:color="auto"/>
        <w:bottom w:val="none" w:sz="0" w:space="0" w:color="auto"/>
        <w:right w:val="none" w:sz="0" w:space="0" w:color="auto"/>
      </w:divBdr>
    </w:div>
    <w:div w:id="1982809356">
      <w:bodyDiv w:val="1"/>
      <w:marLeft w:val="0"/>
      <w:marRight w:val="0"/>
      <w:marTop w:val="0"/>
      <w:marBottom w:val="0"/>
      <w:divBdr>
        <w:top w:val="none" w:sz="0" w:space="0" w:color="auto"/>
        <w:left w:val="none" w:sz="0" w:space="0" w:color="auto"/>
        <w:bottom w:val="none" w:sz="0" w:space="0" w:color="auto"/>
        <w:right w:val="none" w:sz="0" w:space="0" w:color="auto"/>
      </w:divBdr>
    </w:div>
    <w:div w:id="1996058355">
      <w:bodyDiv w:val="1"/>
      <w:marLeft w:val="0"/>
      <w:marRight w:val="0"/>
      <w:marTop w:val="0"/>
      <w:marBottom w:val="0"/>
      <w:divBdr>
        <w:top w:val="none" w:sz="0" w:space="0" w:color="auto"/>
        <w:left w:val="none" w:sz="0" w:space="0" w:color="auto"/>
        <w:bottom w:val="none" w:sz="0" w:space="0" w:color="auto"/>
        <w:right w:val="none" w:sz="0" w:space="0" w:color="auto"/>
      </w:divBdr>
      <w:divsChild>
        <w:div w:id="1760832788">
          <w:marLeft w:val="0"/>
          <w:marRight w:val="0"/>
          <w:marTop w:val="0"/>
          <w:marBottom w:val="0"/>
          <w:divBdr>
            <w:top w:val="none" w:sz="0" w:space="0" w:color="auto"/>
            <w:left w:val="none" w:sz="0" w:space="0" w:color="auto"/>
            <w:bottom w:val="none" w:sz="0" w:space="0" w:color="auto"/>
            <w:right w:val="none" w:sz="0" w:space="0" w:color="auto"/>
          </w:divBdr>
          <w:divsChild>
            <w:div w:id="993414385">
              <w:marLeft w:val="0"/>
              <w:marRight w:val="0"/>
              <w:marTop w:val="0"/>
              <w:marBottom w:val="0"/>
              <w:divBdr>
                <w:top w:val="none" w:sz="0" w:space="0" w:color="auto"/>
                <w:left w:val="none" w:sz="0" w:space="0" w:color="auto"/>
                <w:bottom w:val="none" w:sz="0" w:space="0" w:color="auto"/>
                <w:right w:val="none" w:sz="0" w:space="0" w:color="auto"/>
              </w:divBdr>
              <w:divsChild>
                <w:div w:id="18702081">
                  <w:marLeft w:val="0"/>
                  <w:marRight w:val="0"/>
                  <w:marTop w:val="0"/>
                  <w:marBottom w:val="0"/>
                  <w:divBdr>
                    <w:top w:val="none" w:sz="0" w:space="0" w:color="auto"/>
                    <w:left w:val="none" w:sz="0" w:space="0" w:color="auto"/>
                    <w:bottom w:val="none" w:sz="0" w:space="0" w:color="auto"/>
                    <w:right w:val="none" w:sz="0" w:space="0" w:color="auto"/>
                  </w:divBdr>
                  <w:divsChild>
                    <w:div w:id="9373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6373">
          <w:marLeft w:val="0"/>
          <w:marRight w:val="0"/>
          <w:marTop w:val="0"/>
          <w:marBottom w:val="0"/>
          <w:divBdr>
            <w:top w:val="none" w:sz="0" w:space="0" w:color="auto"/>
            <w:left w:val="none" w:sz="0" w:space="0" w:color="auto"/>
            <w:bottom w:val="none" w:sz="0" w:space="0" w:color="auto"/>
            <w:right w:val="none" w:sz="0" w:space="0" w:color="auto"/>
          </w:divBdr>
          <w:divsChild>
            <w:div w:id="1587880571">
              <w:marLeft w:val="0"/>
              <w:marRight w:val="0"/>
              <w:marTop w:val="0"/>
              <w:marBottom w:val="0"/>
              <w:divBdr>
                <w:top w:val="none" w:sz="0" w:space="0" w:color="auto"/>
                <w:left w:val="none" w:sz="0" w:space="0" w:color="auto"/>
                <w:bottom w:val="none" w:sz="0" w:space="0" w:color="auto"/>
                <w:right w:val="none" w:sz="0" w:space="0" w:color="auto"/>
              </w:divBdr>
              <w:divsChild>
                <w:div w:id="804350205">
                  <w:marLeft w:val="0"/>
                  <w:marRight w:val="0"/>
                  <w:marTop w:val="0"/>
                  <w:marBottom w:val="0"/>
                  <w:divBdr>
                    <w:top w:val="none" w:sz="0" w:space="0" w:color="auto"/>
                    <w:left w:val="none" w:sz="0" w:space="0" w:color="auto"/>
                    <w:bottom w:val="none" w:sz="0" w:space="0" w:color="auto"/>
                    <w:right w:val="none" w:sz="0" w:space="0" w:color="auto"/>
                  </w:divBdr>
                  <w:divsChild>
                    <w:div w:id="9978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3272">
      <w:bodyDiv w:val="1"/>
      <w:marLeft w:val="0"/>
      <w:marRight w:val="0"/>
      <w:marTop w:val="0"/>
      <w:marBottom w:val="0"/>
      <w:divBdr>
        <w:top w:val="none" w:sz="0" w:space="0" w:color="auto"/>
        <w:left w:val="none" w:sz="0" w:space="0" w:color="auto"/>
        <w:bottom w:val="none" w:sz="0" w:space="0" w:color="auto"/>
        <w:right w:val="none" w:sz="0" w:space="0" w:color="auto"/>
      </w:divBdr>
    </w:div>
    <w:div w:id="2024626245">
      <w:bodyDiv w:val="1"/>
      <w:marLeft w:val="0"/>
      <w:marRight w:val="0"/>
      <w:marTop w:val="0"/>
      <w:marBottom w:val="0"/>
      <w:divBdr>
        <w:top w:val="none" w:sz="0" w:space="0" w:color="auto"/>
        <w:left w:val="none" w:sz="0" w:space="0" w:color="auto"/>
        <w:bottom w:val="none" w:sz="0" w:space="0" w:color="auto"/>
        <w:right w:val="none" w:sz="0" w:space="0" w:color="auto"/>
      </w:divBdr>
    </w:div>
    <w:div w:id="2044818384">
      <w:bodyDiv w:val="1"/>
      <w:marLeft w:val="0"/>
      <w:marRight w:val="0"/>
      <w:marTop w:val="0"/>
      <w:marBottom w:val="0"/>
      <w:divBdr>
        <w:top w:val="none" w:sz="0" w:space="0" w:color="auto"/>
        <w:left w:val="none" w:sz="0" w:space="0" w:color="auto"/>
        <w:bottom w:val="none" w:sz="0" w:space="0" w:color="auto"/>
        <w:right w:val="none" w:sz="0" w:space="0" w:color="auto"/>
      </w:divBdr>
      <w:divsChild>
        <w:div w:id="1085028526">
          <w:marLeft w:val="0"/>
          <w:marRight w:val="0"/>
          <w:marTop w:val="0"/>
          <w:marBottom w:val="0"/>
          <w:divBdr>
            <w:top w:val="none" w:sz="0" w:space="0" w:color="auto"/>
            <w:left w:val="none" w:sz="0" w:space="0" w:color="auto"/>
            <w:bottom w:val="none" w:sz="0" w:space="0" w:color="auto"/>
            <w:right w:val="none" w:sz="0" w:space="0" w:color="auto"/>
          </w:divBdr>
          <w:divsChild>
            <w:div w:id="1586454496">
              <w:marLeft w:val="0"/>
              <w:marRight w:val="0"/>
              <w:marTop w:val="0"/>
              <w:marBottom w:val="0"/>
              <w:divBdr>
                <w:top w:val="none" w:sz="0" w:space="0" w:color="auto"/>
                <w:left w:val="none" w:sz="0" w:space="0" w:color="auto"/>
                <w:bottom w:val="none" w:sz="0" w:space="0" w:color="auto"/>
                <w:right w:val="none" w:sz="0" w:space="0" w:color="auto"/>
              </w:divBdr>
              <w:divsChild>
                <w:div w:id="491258149">
                  <w:marLeft w:val="0"/>
                  <w:marRight w:val="0"/>
                  <w:marTop w:val="0"/>
                  <w:marBottom w:val="0"/>
                  <w:divBdr>
                    <w:top w:val="none" w:sz="0" w:space="0" w:color="auto"/>
                    <w:left w:val="none" w:sz="0" w:space="0" w:color="auto"/>
                    <w:bottom w:val="none" w:sz="0" w:space="0" w:color="auto"/>
                    <w:right w:val="none" w:sz="0" w:space="0" w:color="auto"/>
                  </w:divBdr>
                  <w:divsChild>
                    <w:div w:id="7833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1760">
      <w:bodyDiv w:val="1"/>
      <w:marLeft w:val="0"/>
      <w:marRight w:val="0"/>
      <w:marTop w:val="0"/>
      <w:marBottom w:val="0"/>
      <w:divBdr>
        <w:top w:val="none" w:sz="0" w:space="0" w:color="auto"/>
        <w:left w:val="none" w:sz="0" w:space="0" w:color="auto"/>
        <w:bottom w:val="none" w:sz="0" w:space="0" w:color="auto"/>
        <w:right w:val="none" w:sz="0" w:space="0" w:color="auto"/>
      </w:divBdr>
    </w:div>
    <w:div w:id="2103060950">
      <w:bodyDiv w:val="1"/>
      <w:marLeft w:val="0"/>
      <w:marRight w:val="0"/>
      <w:marTop w:val="0"/>
      <w:marBottom w:val="0"/>
      <w:divBdr>
        <w:top w:val="none" w:sz="0" w:space="0" w:color="auto"/>
        <w:left w:val="none" w:sz="0" w:space="0" w:color="auto"/>
        <w:bottom w:val="none" w:sz="0" w:space="0" w:color="auto"/>
        <w:right w:val="none" w:sz="0" w:space="0" w:color="auto"/>
      </w:divBdr>
      <w:divsChild>
        <w:div w:id="763694307">
          <w:marLeft w:val="0"/>
          <w:marRight w:val="0"/>
          <w:marTop w:val="0"/>
          <w:marBottom w:val="0"/>
          <w:divBdr>
            <w:top w:val="none" w:sz="0" w:space="0" w:color="auto"/>
            <w:left w:val="none" w:sz="0" w:space="0" w:color="auto"/>
            <w:bottom w:val="none" w:sz="0" w:space="0" w:color="auto"/>
            <w:right w:val="none" w:sz="0" w:space="0" w:color="auto"/>
          </w:divBdr>
          <w:divsChild>
            <w:div w:id="192157348">
              <w:marLeft w:val="0"/>
              <w:marRight w:val="0"/>
              <w:marTop w:val="0"/>
              <w:marBottom w:val="0"/>
              <w:divBdr>
                <w:top w:val="none" w:sz="0" w:space="0" w:color="auto"/>
                <w:left w:val="none" w:sz="0" w:space="0" w:color="auto"/>
                <w:bottom w:val="none" w:sz="0" w:space="0" w:color="auto"/>
                <w:right w:val="none" w:sz="0" w:space="0" w:color="auto"/>
              </w:divBdr>
              <w:divsChild>
                <w:div w:id="315958758">
                  <w:marLeft w:val="0"/>
                  <w:marRight w:val="0"/>
                  <w:marTop w:val="0"/>
                  <w:marBottom w:val="0"/>
                  <w:divBdr>
                    <w:top w:val="none" w:sz="0" w:space="0" w:color="auto"/>
                    <w:left w:val="none" w:sz="0" w:space="0" w:color="auto"/>
                    <w:bottom w:val="none" w:sz="0" w:space="0" w:color="auto"/>
                    <w:right w:val="none" w:sz="0" w:space="0" w:color="auto"/>
                  </w:divBdr>
                  <w:divsChild>
                    <w:div w:id="234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509">
          <w:marLeft w:val="0"/>
          <w:marRight w:val="0"/>
          <w:marTop w:val="0"/>
          <w:marBottom w:val="0"/>
          <w:divBdr>
            <w:top w:val="none" w:sz="0" w:space="0" w:color="auto"/>
            <w:left w:val="none" w:sz="0" w:space="0" w:color="auto"/>
            <w:bottom w:val="none" w:sz="0" w:space="0" w:color="auto"/>
            <w:right w:val="none" w:sz="0" w:space="0" w:color="auto"/>
          </w:divBdr>
          <w:divsChild>
            <w:div w:id="1903296997">
              <w:marLeft w:val="0"/>
              <w:marRight w:val="0"/>
              <w:marTop w:val="0"/>
              <w:marBottom w:val="0"/>
              <w:divBdr>
                <w:top w:val="none" w:sz="0" w:space="0" w:color="auto"/>
                <w:left w:val="none" w:sz="0" w:space="0" w:color="auto"/>
                <w:bottom w:val="none" w:sz="0" w:space="0" w:color="auto"/>
                <w:right w:val="none" w:sz="0" w:space="0" w:color="auto"/>
              </w:divBdr>
              <w:divsChild>
                <w:div w:id="434206491">
                  <w:marLeft w:val="0"/>
                  <w:marRight w:val="0"/>
                  <w:marTop w:val="0"/>
                  <w:marBottom w:val="0"/>
                  <w:divBdr>
                    <w:top w:val="none" w:sz="0" w:space="0" w:color="auto"/>
                    <w:left w:val="none" w:sz="0" w:space="0" w:color="auto"/>
                    <w:bottom w:val="none" w:sz="0" w:space="0" w:color="auto"/>
                    <w:right w:val="none" w:sz="0" w:space="0" w:color="auto"/>
                  </w:divBdr>
                  <w:divsChild>
                    <w:div w:id="8440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Moh06</b:Tag>
    <b:SourceType>JournalArticle</b:SourceType>
    <b:Guid>{07C4388F-A6E8-A248-B53E-CD1CFE5FFD0B}</b:Guid>
    <b:Author>
      <b:Author>
        <b:NameList>
          <b:Person>
            <b:Last>Mohan</b:Last>
            <b:First>K.</b:First>
          </b:Person>
        </b:NameList>
      </b:Author>
    </b:Author>
    <b:Title>Mergers and acquisitions for consolidation in Indian banking industry: The success mantra</b:Title>
    <b:JournalName>Management Trends, 2(1)</b:JournalName>
    <b:Year>2006</b:Year>
    <b:Pages>55-65</b:Pages>
    <b:RefOrder>3</b:RefOrder>
  </b:Source>
  <b:Source>
    <b:Tag>Dad23</b:Tag>
    <b:SourceType>JournalArticle</b:SourceType>
    <b:Guid>{FF036456-3097-3F42-83B8-A5B3D01CB227}</b:Guid>
    <b:Author>
      <b:Author>
        <b:NameList>
          <b:Person>
            <b:Last>Dadresha</b:Last>
            <b:First>M.</b:First>
            <b:Middle>V.</b:Middle>
          </b:Person>
        </b:NameList>
      </b:Author>
    </b:Author>
    <b:Title>Financial Performance Analysis of Merger Bank in India - An Eagle Model Approach</b:Title>
    <b:JournalName>EPRA International Journal of Multidisciplinary Research (IJMR) 9(10)</b:JournalName>
    <b:Year>2023</b:Year>
    <b:RefOrder>4</b:RefOrder>
  </b:Source>
  <b:Source>
    <b:Tag>DeY07</b:Tag>
    <b:SourceType>JournalArticle</b:SourceType>
    <b:Guid>{352A073B-D727-BE48-B0E6-50AEA200CA6C}</b:Guid>
    <b:Author>
      <b:Author>
        <b:NameList>
          <b:Person>
            <b:Last>DeYoung</b:Last>
            <b:First>R.</b:First>
          </b:Person>
        </b:NameList>
      </b:Author>
    </b:Author>
    <b:Title>The Effects of Mergers and Acquisitions on the Efficiency of Banks</b:Title>
    <b:Year>2007</b:Year>
    <b:JournalName>Journal of Banking &amp; Finance, 31(7)</b:JournalName>
    <b:Pages>2073-2089</b:Pages>
    <b:RefOrder>2</b:RefOrder>
  </b:Source>
  <b:Source>
    <b:Tag>Ban14</b:Tag>
    <b:SourceType>JournalArticle</b:SourceType>
    <b:Guid>{2353EA20-4FBD-9343-AACA-140DC3BB60C1}</b:Guid>
    <b:Author>
      <b:Author>
        <b:NameList>
          <b:Person>
            <b:Last>Bandyopadhyay</b:Last>
            <b:First>P.,</b:First>
            <b:Middle>&amp; Kaur, R.</b:Middle>
          </b:Person>
        </b:NameList>
      </b:Author>
    </b:Author>
    <b:Title>Mergers and Acquisitions in the Banking Sector: An Analysis of the Impact on Performance.</b:Title>
    <b:JournalName>Journal of Business Research, 67(9)</b:JournalName>
    <b:Year>2014</b:Year>
    <b:Pages>1903-1912</b:Pages>
    <b:RefOrder>1</b:RefOrder>
  </b:Source>
  <b:Source>
    <b:Tag>Pod19</b:Tag>
    <b:SourceType>JournalArticle</b:SourceType>
    <b:Guid>{ED166C03-3748-6240-B0AE-CFB7DE2A790D}</b:Guid>
    <b:Author>
      <b:Author>
        <b:NameList>
          <b:Person>
            <b:Last>Poddar</b:Last>
            <b:First>N.</b:First>
          </b:Person>
        </b:NameList>
      </b:Author>
    </b:Author>
    <b:Title>A Study on Mergers and Acquisition in India and Its Impact on Operating Efficiency of Indian Acquiring Company</b:Title>
    <b:JournalName>Theoretical Economics Letters, 9(4), Article 4</b:JournalName>
    <b:Year>2019</b:Year>
    <b:RefOrder>5</b:RefOrder>
  </b:Source>
  <b:Source>
    <b:Tag>Gan18</b:Tag>
    <b:SourceType>JournalArticle</b:SourceType>
    <b:Guid>{E195B85F-78E1-1745-827E-79B205741C96}</b:Guid>
    <b:Author>
      <b:Author>
        <b:NameList>
          <b:Person>
            <b:Last>Gandhi</b:Last>
            <b:First>V.,</b:First>
            <b:Middle>Chhajer, P., &amp; Mehta, V.</b:Middle>
          </b:Person>
        </b:NameList>
      </b:Author>
    </b:Author>
    <b:Title>Mergers and acquisitions in India: A strategic impact analysis for corporate restructuring</b:Title>
    <b:JournalName>Asian Journal of Research in Banking and Finance, 8(1)</b:JournalName>
    <b:Year>2018</b:Year>
    <b:Pages>1-10</b:Pages>
    <b:RefOrder>6</b:RefOrder>
  </b:Source>
  <b:Source>
    <b:Tag>Muk</b:Tag>
    <b:SourceType>JournalArticle</b:SourceType>
    <b:Guid>{43EC80C1-B71F-4948-AA4E-CEFB31A2228A}</b:Guid>
    <b:Author>
      <b:Author>
        <b:NameList>
          <b:Person>
            <b:Last>Mukherjee</b:Last>
            <b:First>P.</b:First>
            <b:Middle>(n.d.)</b:Middle>
          </b:Person>
        </b:NameList>
      </b:Author>
    </b:Author>
    <b:Title> Mergers &amp; acquisitions in India – Strategic and financial impacts on the companies</b:Title>
    <b:RefOrder>8</b:RefOrder>
  </b:Source>
  <b:Source>
    <b:Tag>Mah24</b:Tag>
    <b:SourceType>JournalArticle</b:SourceType>
    <b:Guid>{7F381C7F-6BC8-304D-BA1A-F2995C9F522B}</b:Guid>
    <b:Author>
      <b:Author>
        <b:NameList>
          <b:Person>
            <b:Last>Maheshwari</b:Last>
            <b:First>A.,</b:First>
            <b:Middle>&amp; Goyal, A.</b:Middle>
          </b:Person>
        </b:NameList>
      </b:Author>
    </b:Author>
    <b:Title> A study and analysis on recent mergers in India</b:Title>
    <b:JournalName>International Journal of Multidisciplinary Research in Science, Engineering and Technology, 7</b:JournalName>
    <b:Year>2024</b:Year>
    <b:Pages>10107-10112</b:Pages>
    <b:RefOrder>7</b:RefOrder>
  </b:Source>
  <b:Source>
    <b:Tag>Red17</b:Tag>
    <b:SourceType>JournalArticle</b:SourceType>
    <b:Guid>{1B223D2B-4BF5-D74B-9DF9-F769DCAE1E0F}</b:Guid>
    <b:Author>
      <b:Author>
        <b:NameList>
          <b:Person>
            <b:Last>Reddy</b:Last>
            <b:First>K.</b:First>
          </b:Person>
        </b:NameList>
      </b:Author>
    </b:Author>
    <b:Title>Impact of Bank Mergers on Financial Performance in India</b:Title>
    <b:JournalName>Journal of Financial Services, 15(2)</b:JournalName>
    <b:Year>2017</b:Year>
    <b:Pages>123-140</b:Pages>
    <b:RefOrder>9</b:RefOrder>
  </b:Source>
  <b:Source>
    <b:Tag>Sin18</b:Tag>
    <b:SourceType>JournalArticle</b:SourceType>
    <b:Guid>{3D079915-477E-774F-99C5-B0C9718412CD}</b:Guid>
    <b:Author>
      <b:Author>
        <b:NameList>
          <b:Person>
            <b:Last>Singh</b:Last>
            <b:First>R.,</b:First>
            <b:Middle>&amp; Sharma, P.</b:Middle>
          </b:Person>
        </b:NameList>
      </b:Author>
    </b:Author>
    <b:Title>Financial Performance Post-Merger: A CAMEL Framework Approach</b:Title>
    <b:JournalName>International Journal of Banking and Finance, 24(1)</b:JournalName>
    <b:Year>2018</b:Year>
    <b:Pages>92-110</b:Pages>
    <b:RefOrder>10</b:RefOrder>
  </b:Source>
  <b:Source>
    <b:Tag>Sun20</b:Tag>
    <b:SourceType>JournalArticle</b:SourceType>
    <b:Guid>{71DF1EB0-A441-FA42-8469-4D95EC8B5D66}</b:Guid>
    <b:Author>
      <b:Author>
        <b:NameList>
          <b:Person>
            <b:Last>Sundararajan</b:Last>
            <b:First>V.</b:First>
          </b:Person>
        </b:NameList>
      </b:Author>
    </b:Author>
    <b:Title>The Role of Synergies in Bank Mergers</b:Title>
    <b:JournalName>Journal of Banking Research, 31(3)</b:JournalName>
    <b:Year>2020</b:Year>
    <b:Pages>201-220</b:Pages>
    <b:RefOrder>11</b:RefOrder>
  </b:Source>
  <b:Source>
    <b:Tag>Ver19</b:Tag>
    <b:SourceType>JournalArticle</b:SourceType>
    <b:Guid>{4B6E54A4-F14F-0E47-BCA3-BE1845799879}</b:Guid>
    <b:Author>
      <b:Author>
        <b:NameList>
          <b:Person>
            <b:Last>Verma</b:Last>
            <b:First>A.,</b:First>
            <b:Middle>&amp; Joshi, M.</b:Middle>
          </b:Person>
        </b:NameList>
      </b:Author>
    </b:Author>
    <b:Title>Bank Mergers and Asset Quality in India: A Post-Merger Evaluation</b:Title>
    <b:JournalName>Indian Economic Journal, 67(4)</b:JournalName>
    <b:Year>2019</b:Year>
    <b:Pages>410-426</b:Pages>
    <b:RefOrder>12</b:RefOrder>
  </b:Source>
  <b:Source>
    <b:Tag>Kau16</b:Tag>
    <b:SourceType>JournalArticle</b:SourceType>
    <b:Guid>{76DE50FD-CA0F-024E-9E4F-B1F78F2FDBC5}</b:Guid>
    <b:Author>
      <b:Author>
        <b:NameList>
          <b:Person>
            <b:Last>Kaur</b:Last>
            <b:First>N.</b:First>
          </b:Person>
        </b:NameList>
      </b:Author>
    </b:Author>
    <b:Title>Strategic Benefits of Mergers in Public Sector Banks: An Empirical Study</b:Title>
    <b:JournalName>Journal of Public Sector Economics, 12(3)</b:JournalName>
    <b:Year>2016</b:Year>
    <b:Pages>234-245</b:Pages>
    <b:RefOrder>13</b:RefOrder>
  </b:Source>
  <b:Source>
    <b:Tag>Bha21</b:Tag>
    <b:SourceType>JournalArticle</b:SourceType>
    <b:Guid>{98F6A455-9A01-FE42-B836-0B6C887259A0}</b:Guid>
    <b:Author>
      <b:Author>
        <b:NameList>
          <b:Person>
            <b:Last>Bhatia</b:Last>
            <b:First>S.,</b:First>
            <b:Middle>&amp; Sethi, R.</b:Middle>
          </b:Person>
        </b:NameList>
      </b:Author>
    </b:Author>
    <b:Title>Impact of Mergers on Bank Management Quality</b:Title>
    <b:JournalName>Journal of Financial Management, 18(2)</b:JournalName>
    <b:Year>2021</b:Year>
    <b:Pages>145-162</b:Pages>
    <b:RefOrder>14</b:RefOrder>
  </b:Source>
  <b:Source>
    <b:Tag>Sin22</b:Tag>
    <b:SourceType>JournalArticle</b:SourceType>
    <b:Guid>{D0C6AE0D-4678-734B-90A3-E964B4065FDC}</b:Guid>
    <b:Author>
      <b:Author>
        <b:NameList>
          <b:Person>
            <b:Last>Singh</b:Last>
            <b:First>A.</b:First>
          </b:Person>
        </b:NameList>
      </b:Author>
    </b:Author>
    <b:Title>Risk Exposure and Financial Stability Post-Merger</b:Title>
    <b:JournalName>International Journal of Risk Management, 26(4)</b:JournalName>
    <b:Year>2022</b:Year>
    <b:Pages>188-202</b:Pages>
    <b:RefOrder>15</b:RefOrder>
  </b:Source>
  <b:Source>
    <b:Tag>Rag15</b:Tag>
    <b:SourceType>JournalArticle</b:SourceType>
    <b:Guid>{D60CF56B-1DD8-5442-84A9-EA3B546BDD77}</b:Guid>
    <b:Author>
      <b:Author>
        <b:NameList>
          <b:Person>
            <b:Last>Raghavan</b:Last>
            <b:First>S.</b:First>
          </b:Person>
        </b:NameList>
      </b:Author>
    </b:Author>
    <b:Title>Efficiency Gains from Mergers in the Indian Banking Sector</b:Title>
    <b:JournalName>Indian Journal of Economics, 22(1)</b:JournalName>
    <b:Year>2015</b:Year>
    <b:Pages>65-80</b:Pages>
    <b:RefOrder>16</b:RefOrder>
  </b:Source>
  <b:Source>
    <b:Tag>Gup20</b:Tag>
    <b:SourceType>JournalArticle</b:SourceType>
    <b:Guid>{F1925E31-275C-044E-915A-882CE6C6B1DA}</b:Guid>
    <b:Author>
      <b:Author>
        <b:NameList>
          <b:Person>
            <b:Last>Gupta</b:Last>
            <b:First>R.,</b:First>
            <b:Middle>&amp; Kumar, P.</b:Middle>
          </b:Person>
        </b:NameList>
      </b:Author>
    </b:Author>
    <b:Title>Corporate Governance and Bank Mergers: Post-Merger Performance</b:Title>
    <b:JournalName>Corporate Governance Review, 34(2)</b:JournalName>
    <b:Year>2020</b:Year>
    <b:Pages>204-218</b:Pages>
    <b:RefOrder>17</b:RefOrder>
  </b:Source>
  <b:Source>
    <b:Tag>Cho18</b:Tag>
    <b:SourceType>JournalArticle</b:SourceType>
    <b:Guid>{3C9EFE4D-A406-B74F-A902-6B770FB183D1}</b:Guid>
    <b:Author>
      <b:Author>
        <b:NameList>
          <b:Person>
            <b:Last>Choudhury</b:Last>
            <b:First>S.</b:First>
          </b:Person>
        </b:NameList>
      </b:Author>
    </b:Author>
    <b:Title> Financial Performance and Mergers in the Indian Banking Industry: A CAMEL Analysis</b:Title>
    <b:JournalName>Journal of Banking &amp; Finance, 29(2)</b:JournalName>
    <b:Year>2018</b:Year>
    <b:Pages>99-112</b:Pages>
    <b:RefOrder>18</b:RefOrder>
  </b:Source>
</b:Sources>
</file>

<file path=customXml/itemProps1.xml><?xml version="1.0" encoding="utf-8"?>
<ds:datastoreItem xmlns:ds="http://schemas.openxmlformats.org/officeDocument/2006/customXml" ds:itemID="{AC28DC48-CC95-4912-B04E-E429B826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5</cp:revision>
  <dcterms:created xsi:type="dcterms:W3CDTF">2025-04-27T10:16:00Z</dcterms:created>
  <dcterms:modified xsi:type="dcterms:W3CDTF">2025-05-02T10:25:00Z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id="EOeh95N2"/&gt;&lt;style id="http://www.zotero.org/styles/apa" locale="en-GB" hasBibliography="1" bibliographyStyleHasBeenSet="1"/&gt;&lt;prefs&gt;&lt;pref name="fieldType" value="Field"/&gt;&lt;/prefs&gt;&lt;/data&gt;</vt:lpwstr>
  </property>
</Properties>
</file>