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A86" w:rsidRDefault="00E92A86" w:rsidP="00E92A86">
      <w:pPr>
        <w:jc w:val="center"/>
        <w:rPr>
          <w:rFonts w:ascii="Times New Roman" w:hAnsi="Times New Roman"/>
          <w:b/>
          <w:bCs/>
          <w:sz w:val="24"/>
          <w:szCs w:val="24"/>
        </w:rPr>
      </w:pPr>
      <w:r w:rsidRPr="003C63CB">
        <w:rPr>
          <w:rFonts w:ascii="Times New Roman" w:hAnsi="Times New Roman"/>
          <w:b/>
          <w:bCs/>
          <w:sz w:val="24"/>
          <w:szCs w:val="24"/>
        </w:rPr>
        <w:t>Modeling the Impact of Economic Intelligence in Enhancing Non-Oil Revenue Generation in Iraq: A Strategic Approach to Economic Diversification</w:t>
      </w:r>
    </w:p>
    <w:p w:rsidR="00D73B9D" w:rsidRDefault="00D73B9D" w:rsidP="00E92A86">
      <w:pPr>
        <w:jc w:val="center"/>
        <w:rPr>
          <w:rFonts w:ascii="Times New Roman" w:hAnsi="Times New Roman"/>
          <w:b/>
          <w:bCs/>
          <w:sz w:val="24"/>
          <w:szCs w:val="24"/>
        </w:rPr>
      </w:pPr>
    </w:p>
    <w:p w:rsidR="00E92A86" w:rsidRPr="00A0784B" w:rsidRDefault="00E92A86" w:rsidP="00E92A86">
      <w:pPr>
        <w:jc w:val="center"/>
        <w:rPr>
          <w:rFonts w:asciiTheme="majorBidi" w:hAnsiTheme="majorBidi" w:cstheme="majorBidi"/>
          <w:b/>
          <w:bCs/>
          <w:sz w:val="28"/>
          <w:szCs w:val="28"/>
          <w:lang w:val="nb-NO"/>
        </w:rPr>
      </w:pPr>
    </w:p>
    <w:p w:rsidR="00E92A86" w:rsidRPr="00435B9B" w:rsidRDefault="00E92A86" w:rsidP="00E92A86">
      <w:pPr>
        <w:pStyle w:val="Copyright"/>
        <w:spacing w:after="0" w:line="240" w:lineRule="auto"/>
        <w:jc w:val="both"/>
        <w:rPr>
          <w:rFonts w:ascii="Arial" w:hAnsi="Arial" w:cs="Arial"/>
        </w:rPr>
        <w:sectPr w:rsidR="00E92A86" w:rsidRPr="00435B9B" w:rsidSect="00BF3B00">
          <w:headerReference w:type="even" r:id="rId7"/>
          <w:headerReference w:type="default" r:id="rId8"/>
          <w:headerReference w:type="first" r:id="rId9"/>
          <w:footerReference w:type="first" r:id="rId10"/>
          <w:pgSz w:w="12240" w:h="15840" w:code="1"/>
          <w:pgMar w:top="1440" w:right="2016" w:bottom="2016" w:left="2016" w:header="720" w:footer="1296" w:gutter="0"/>
          <w:cols w:space="720"/>
          <w:docGrid w:linePitch="272"/>
        </w:sectPr>
      </w:pPr>
    </w:p>
    <w:p w:rsidR="00E92A86" w:rsidRPr="00435B9B" w:rsidRDefault="00E92A86" w:rsidP="00E92A86">
      <w:pPr>
        <w:pStyle w:val="AbstHead"/>
        <w:spacing w:after="0"/>
        <w:jc w:val="both"/>
        <w:rPr>
          <w:rFonts w:ascii="Arial" w:hAnsi="Arial" w:cs="Arial"/>
        </w:rPr>
      </w:pPr>
      <w:r w:rsidRPr="00435B9B">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92A86" w:rsidRPr="00435B9B" w:rsidTr="00DA432C">
        <w:tc>
          <w:tcPr>
            <w:tcW w:w="9576" w:type="dxa"/>
            <w:shd w:val="clear" w:color="auto" w:fill="F2F2F2"/>
          </w:tcPr>
          <w:p w:rsidR="00E92A86" w:rsidRPr="009E7C29" w:rsidRDefault="00E92A86" w:rsidP="00DA432C">
            <w:pPr>
              <w:pStyle w:val="Body"/>
              <w:spacing w:after="0"/>
              <w:rPr>
                <w:rFonts w:asciiTheme="minorBidi" w:hAnsiTheme="minorBidi" w:cstheme="minorBidi"/>
                <w:bCs/>
                <w:i/>
                <w:iCs/>
                <w:lang w:bidi="ar-IQ"/>
              </w:rPr>
            </w:pPr>
            <w:r w:rsidRPr="009E7C29">
              <w:rPr>
                <w:rFonts w:asciiTheme="minorBidi" w:hAnsiTheme="minorBidi" w:cstheme="minorBidi"/>
                <w:bCs/>
                <w:i/>
                <w:iCs/>
              </w:rPr>
              <w:t>This study aims to shed light on economic intelligence as an important concept that has asserted itself due to the rapid changes in the competitive environment for institutions and countries.</w:t>
            </w:r>
            <w:r>
              <w:rPr>
                <w:rFonts w:asciiTheme="minorBidi" w:hAnsiTheme="minorBidi" w:cstheme="minorBidi"/>
                <w:bCs/>
                <w:i/>
                <w:iCs/>
              </w:rPr>
              <w:t xml:space="preserve"> </w:t>
            </w:r>
            <w:r w:rsidRPr="009E7C29">
              <w:rPr>
                <w:rFonts w:ascii="Arial" w:eastAsia="Calibri" w:hAnsi="Arial" w:cs="Arial"/>
                <w:bCs/>
                <w:i/>
                <w:iCs/>
                <w:szCs w:val="22"/>
              </w:rPr>
              <w:t xml:space="preserve">Methodology: </w:t>
            </w:r>
            <w:r w:rsidRPr="009E7C29">
              <w:rPr>
                <w:rFonts w:asciiTheme="minorBidi" w:hAnsiTheme="minorBidi" w:cstheme="minorBidi"/>
                <w:bCs/>
                <w:i/>
                <w:iCs/>
              </w:rPr>
              <w:t>The study employs an economic measurement methodology, specifically the Nonlinear Autoregressive Distributed Lag (NARDL) model</w:t>
            </w:r>
            <w:r>
              <w:rPr>
                <w:rFonts w:asciiTheme="minorBidi" w:hAnsiTheme="minorBidi" w:cstheme="minorBidi"/>
                <w:bCs/>
                <w:i/>
                <w:iCs/>
              </w:rPr>
              <w:t xml:space="preserve">. </w:t>
            </w:r>
            <w:r w:rsidRPr="009E7C29">
              <w:rPr>
                <w:rFonts w:asciiTheme="minorBidi" w:hAnsiTheme="minorBidi" w:cstheme="minorBidi"/>
                <w:bCs/>
                <w:i/>
                <w:iCs/>
              </w:rPr>
              <w:t>The research arrives at significant conclusions, including that the rentier nature of the Iraqi economy has made it primarily dependent on oil revenues for achieving financial returns for the country. This has deepened imbalances in the general budget, leading to an accumulated deficit that has resulted in a large public debt, directly affecting the reality of the Iraqi economy. The application of economic intelligence systems to the Iraqi economy will stimulate and enhance non-oil revenues, positively impacting the increase in sovereign revenues in the general budget</w:t>
            </w:r>
            <w:r>
              <w:rPr>
                <w:rFonts w:asciiTheme="minorBidi" w:hAnsiTheme="minorBidi" w:cstheme="minorBidi"/>
                <w:bCs/>
                <w:i/>
                <w:iCs/>
              </w:rPr>
              <w:t xml:space="preserve">. </w:t>
            </w:r>
            <w:r w:rsidRPr="009E7C29">
              <w:rPr>
                <w:rFonts w:asciiTheme="minorBidi" w:hAnsiTheme="minorBidi" w:cstheme="minorBidi"/>
                <w:bCs/>
                <w:i/>
                <w:iCs/>
                <w:lang w:bidi="ar-IQ"/>
              </w:rPr>
              <w:t>Economic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 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non-oil revenues in the country.</w:t>
            </w:r>
          </w:p>
        </w:tc>
      </w:tr>
    </w:tbl>
    <w:p w:rsidR="00E92A86" w:rsidRPr="00435B9B" w:rsidRDefault="00E92A86" w:rsidP="00E92A86">
      <w:pPr>
        <w:pStyle w:val="Body"/>
        <w:spacing w:after="0"/>
        <w:rPr>
          <w:rFonts w:ascii="Arial" w:hAnsi="Arial" w:cs="Arial"/>
          <w:i/>
        </w:rPr>
      </w:pPr>
    </w:p>
    <w:p w:rsidR="00E92A86" w:rsidRPr="00386328" w:rsidRDefault="00E92A86" w:rsidP="00E92A86">
      <w:pPr>
        <w:pStyle w:val="Body"/>
        <w:spacing w:after="0"/>
        <w:ind w:left="1080" w:hanging="1080"/>
        <w:rPr>
          <w:rFonts w:ascii="Arial" w:hAnsi="Arial" w:cs="Arial"/>
          <w:iCs/>
        </w:rPr>
      </w:pPr>
      <w:r w:rsidRPr="00BF63EF">
        <w:rPr>
          <w:rFonts w:ascii="Arial" w:hAnsi="Arial" w:cs="Arial"/>
          <w:b/>
          <w:bCs/>
          <w:iCs/>
        </w:rPr>
        <w:t>Keywords</w:t>
      </w:r>
      <w:r w:rsidRPr="00435B9B">
        <w:rPr>
          <w:rFonts w:ascii="Arial" w:hAnsi="Arial" w:cs="Arial"/>
          <w:i/>
        </w:rPr>
        <w:t>:</w:t>
      </w:r>
      <w:r w:rsidRPr="00386328">
        <w:rPr>
          <w:rFonts w:ascii="Times New Roman" w:hAnsi="Symbol"/>
          <w:sz w:val="24"/>
          <w:szCs w:val="24"/>
          <w:lang w:eastAsia="zh-CN"/>
        </w:rPr>
        <w:t xml:space="preserve"> </w:t>
      </w:r>
      <w:r w:rsidRPr="00604E0D">
        <w:rPr>
          <w:rFonts w:ascii="Arial" w:hAnsi="Arial" w:cs="Arial"/>
          <w:iCs/>
        </w:rPr>
        <w:t>Economic Intelligence, Non</w:t>
      </w:r>
      <w:r w:rsidRPr="00386328">
        <w:rPr>
          <w:rFonts w:ascii="Arial" w:hAnsi="Arial" w:cs="Arial"/>
          <w:iCs/>
        </w:rPr>
        <w:t xml:space="preserve">-Oil </w:t>
      </w:r>
      <w:r w:rsidRPr="00604E0D">
        <w:rPr>
          <w:rFonts w:ascii="Arial" w:hAnsi="Arial" w:cs="Arial"/>
          <w:iCs/>
        </w:rPr>
        <w:t>Revenue, Economic</w:t>
      </w:r>
      <w:r w:rsidRPr="00386328">
        <w:rPr>
          <w:rFonts w:ascii="Arial" w:hAnsi="Arial" w:cs="Arial"/>
          <w:iCs/>
        </w:rPr>
        <w:t xml:space="preserve"> </w:t>
      </w:r>
      <w:r w:rsidRPr="00604E0D">
        <w:rPr>
          <w:rFonts w:ascii="Arial" w:hAnsi="Arial" w:cs="Arial"/>
          <w:iCs/>
        </w:rPr>
        <w:t>Diversification, Strategic</w:t>
      </w:r>
      <w:r w:rsidRPr="00386328">
        <w:rPr>
          <w:rFonts w:ascii="Arial" w:hAnsi="Arial" w:cs="Arial"/>
          <w:iCs/>
        </w:rPr>
        <w:t xml:space="preserve"> Economic Planning</w:t>
      </w:r>
      <w:r w:rsidRPr="00604E0D">
        <w:rPr>
          <w:rFonts w:ascii="Arial" w:hAnsi="Arial" w:cs="Arial"/>
          <w:iCs/>
        </w:rPr>
        <w:t xml:space="preserve">, </w:t>
      </w:r>
      <w:r w:rsidRPr="00386328">
        <w:rPr>
          <w:rFonts w:ascii="Arial" w:hAnsi="Arial" w:cs="Arial"/>
          <w:iCs/>
        </w:rPr>
        <w:t>Iraq’s Economy</w:t>
      </w:r>
    </w:p>
    <w:p w:rsidR="00E92A86" w:rsidRPr="00435B9B" w:rsidRDefault="00E92A86" w:rsidP="00E92A86">
      <w:pPr>
        <w:pStyle w:val="Body"/>
        <w:spacing w:after="0"/>
        <w:rPr>
          <w:rFonts w:ascii="Arial" w:hAnsi="Arial" w:cs="Arial"/>
          <w:i/>
        </w:rPr>
      </w:pPr>
    </w:p>
    <w:p w:rsidR="00E92A86" w:rsidRPr="00435B9B" w:rsidRDefault="00E92A86" w:rsidP="00E92A86">
      <w:pPr>
        <w:pStyle w:val="AbstHead"/>
        <w:spacing w:after="0"/>
        <w:jc w:val="both"/>
        <w:rPr>
          <w:rFonts w:ascii="Arial" w:hAnsi="Arial" w:cs="Arial"/>
          <w:sz w:val="20"/>
        </w:rPr>
      </w:pPr>
      <w:r w:rsidRPr="00435B9B">
        <w:rPr>
          <w:rFonts w:ascii="Arial" w:hAnsi="Arial" w:cs="Arial"/>
          <w:sz w:val="20"/>
        </w:rPr>
        <w:t xml:space="preserve">INTRODUCTION </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economic intelligence system represents a modern field of knowledge that has been and continues to be the focus of attention for many researchers and economists, especially recently, with the emergence of the Fourth Industrial Revolution and developments in information technology and the extensive cognitive progress of artificial intelligence. This affects various global economies. In light of the economic and other crises that periodically plague the world, the response involves increased public spending, which requires diversifying public revenue sources to avoid deficits and public debt. This has led to the adoption of several approaches, most notably economic intelligence, which is considered one of the most effective modern administrative and economic methods. It involves the optimal utilization of knowledge and information technologies, and the promotion of innovation and creativity in economic and non-economic activities and sectors</w:t>
      </w:r>
      <w:r>
        <w:rPr>
          <w:rFonts w:asciiTheme="minorBidi" w:hAnsiTheme="minorBidi" w:cstheme="minorBidi"/>
        </w:rPr>
        <w:t xml:space="preserve"> </w:t>
      </w:r>
      <w:proofErr w:type="gramStart"/>
      <w:r>
        <w:rPr>
          <w:rFonts w:asciiTheme="minorBidi" w:hAnsiTheme="minorBidi" w:cstheme="minorBidi"/>
        </w:rPr>
        <w:t>(</w:t>
      </w:r>
      <w:r w:rsidRPr="00EE6D97">
        <w:rPr>
          <w:rFonts w:asciiTheme="minorBidi" w:hAnsiTheme="minorBidi" w:cstheme="minorBidi"/>
        </w:rPr>
        <w:t xml:space="preserve"> HZ</w:t>
      </w:r>
      <w:proofErr w:type="gramEnd"/>
      <w:r w:rsidRPr="00EE6D97">
        <w:rPr>
          <w:rFonts w:asciiTheme="minorBidi" w:hAnsiTheme="minorBidi" w:cstheme="minorBidi"/>
        </w:rPr>
        <w:t xml:space="preserve"> </w:t>
      </w:r>
      <w:proofErr w:type="spellStart"/>
      <w:r w:rsidRPr="00EE6D97">
        <w:rPr>
          <w:rFonts w:asciiTheme="minorBidi" w:hAnsiTheme="minorBidi" w:cstheme="minorBidi"/>
        </w:rPr>
        <w:t>Miklif</w:t>
      </w:r>
      <w:proofErr w:type="spellEnd"/>
      <w:r>
        <w:rPr>
          <w:rFonts w:asciiTheme="minorBidi" w:hAnsiTheme="minorBidi" w:cstheme="minorBidi"/>
        </w:rPr>
        <w:t xml:space="preserve"> &amp;others, 2021).</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Rentier states rely heavily on oil revenues to finance general budget expenditures, exporting a single strategic commodity: crude oil. Foreign trade plays a fundamental role in the development process, as the growth of exports will lead to an increase in gross domestic product (GDP), increased employment rates, and consequently increased imports. This is reflected in the assets of investment goods and related means of developing, improving, and enhancing the efficiency of economic activity. Foreign trade also enables the transfer of essential technologies and information that benefit the construction of robust economies and promote sustainable development. Therefore, the link between economic intelligence and foreign trade, primarily represented by the volume of exports – and in the context of this study, the focus is on technology exports – leads to the achievement of the ultimate goals of diversifying non-oil revenue sources for rentier states</w:t>
      </w:r>
      <w:r>
        <w:rPr>
          <w:rFonts w:asciiTheme="minorBidi" w:hAnsiTheme="minorBidi" w:cstheme="minorBidi"/>
        </w:rPr>
        <w:t xml:space="preserve"> (CBI,2022).</w:t>
      </w:r>
    </w:p>
    <w:p w:rsidR="00E92A86" w:rsidRPr="00435B9B" w:rsidRDefault="00E92A86" w:rsidP="00E92A86">
      <w:pPr>
        <w:pStyle w:val="NoSpacing"/>
        <w:jc w:val="both"/>
        <w:rPr>
          <w:rFonts w:asciiTheme="majorBidi" w:hAnsiTheme="majorBidi" w:cstheme="majorBidi"/>
        </w:rPr>
      </w:pPr>
      <w:r w:rsidRPr="00435B9B">
        <w:rPr>
          <w:rFonts w:asciiTheme="minorBidi" w:hAnsiTheme="minorBidi" w:cstheme="minorBidi"/>
        </w:rPr>
        <w:t xml:space="preserve">Iraq strives with all its capabilities to achieve diversification of revenue sources, especially non-oil revenues, in order to face shocks and crises. The imbalance and distortion of the general budget, the emergence of accumulated deficits and large debt (internal and external), and the weak infrastructure of government factories and plants (with most of them ceasing operations), as well as the lack of a strong and competitive private sector, have led to the weakness of the productive capacity of the country. Consequently, the contribution of non-oil revenues to the general budget is weak, especially since sectors and economic activities outside the energy sector do not possess sufficient information and technologies for many production operations of essential goods and services, which it meets its needs through import operations. The study derives its importance from the prominence that the concept of economic intelligence has gained as </w:t>
      </w:r>
      <w:r w:rsidRPr="00435B9B">
        <w:rPr>
          <w:rFonts w:asciiTheme="minorBidi" w:hAnsiTheme="minorBidi" w:cstheme="minorBidi"/>
        </w:rPr>
        <w:lastRenderedPageBreak/>
        <w:t>one of the most effective systems for achieving economic growth and developing non-oil revenue sources, due to its ability to collect, analyze, and transform information into practical knowledge that countries use to meet the needs of domestic and foreign markets by diversifying the goods and services produced (consumer and investment) and flooding the market with them</w:t>
      </w:r>
      <w:r w:rsidRPr="00435B9B">
        <w:rPr>
          <w:rFonts w:asciiTheme="majorBidi" w:hAnsiTheme="majorBidi" w:cstheme="majorBidi"/>
          <w:rtl/>
        </w:rPr>
        <w:t>.</w:t>
      </w:r>
    </w:p>
    <w:p w:rsidR="00E92A86" w:rsidRDefault="00E92A86" w:rsidP="00E92A86">
      <w:pPr>
        <w:pStyle w:val="NoSpacing"/>
        <w:jc w:val="both"/>
        <w:rPr>
          <w:rFonts w:asciiTheme="minorBidi" w:hAnsiTheme="minorBidi" w:cstheme="minorBidi"/>
          <w:b/>
          <w:bCs/>
        </w:rPr>
      </w:pPr>
      <w:r>
        <w:rPr>
          <w:rFonts w:asciiTheme="minorBidi" w:hAnsiTheme="minorBidi" w:cstheme="minorBidi"/>
          <w:b/>
          <w:bCs/>
        </w:rPr>
        <w:t xml:space="preserve">2. Literature Review </w:t>
      </w:r>
    </w:p>
    <w:p w:rsidR="00E92A86" w:rsidRPr="00435B9B" w:rsidRDefault="00E92A86" w:rsidP="00E92A86">
      <w:pPr>
        <w:pStyle w:val="NoSpacing"/>
        <w:jc w:val="both"/>
        <w:rPr>
          <w:rFonts w:asciiTheme="minorBidi" w:hAnsiTheme="minorBidi" w:cstheme="minorBidi"/>
          <w:b/>
          <w:bCs/>
        </w:rPr>
      </w:pPr>
      <w:r>
        <w:rPr>
          <w:rFonts w:asciiTheme="minorBidi" w:hAnsiTheme="minorBidi" w:cstheme="minorBidi"/>
          <w:b/>
          <w:bCs/>
        </w:rPr>
        <w:t xml:space="preserve">2.1 </w:t>
      </w:r>
      <w:r w:rsidRPr="00435B9B">
        <w:rPr>
          <w:rFonts w:asciiTheme="minorBidi" w:hAnsiTheme="minorBidi" w:cstheme="minorBidi"/>
          <w:b/>
          <w:bCs/>
        </w:rPr>
        <w:t>Conceptual Framework of Economic Intelligence</w:t>
      </w:r>
    </w:p>
    <w:p w:rsidR="00E92A86" w:rsidRPr="00EE6D97" w:rsidRDefault="00E92A86" w:rsidP="00E92A86">
      <w:pPr>
        <w:pStyle w:val="NoSpacing"/>
        <w:jc w:val="both"/>
        <w:rPr>
          <w:rFonts w:asciiTheme="minorBidi" w:hAnsiTheme="minorBidi" w:cstheme="minorBidi"/>
          <w:lang w:bidi="ar-IQ"/>
        </w:rPr>
      </w:pPr>
      <w:r w:rsidRPr="00435B9B">
        <w:rPr>
          <w:rFonts w:asciiTheme="minorBidi" w:hAnsiTheme="minorBidi" w:cstheme="minorBidi"/>
        </w:rPr>
        <w:t>Economic intelligence is a modern concept that has emerged in economic thought, gaining widespread use in modern economic literature. Due to the increasing attention to the role of information and knowledge in the knowledge economy, especially in the mid-twentieth century, countries such as England, Japan, China, and France have paid attention to it. Interest in this concept increased after the end of the Cold War and the emergence of a multi-polar and well-defined economic system with global competitive markets. This directly affected the reality of developing countries, which sought to pay attention to this concept as it contributes to catching up with the technological and knowledge progress of the global economy, paving the way for finding a place for them among the ranks of developed countries</w:t>
      </w:r>
      <w:r w:rsidRPr="00435B9B">
        <w:rPr>
          <w:rFonts w:asciiTheme="minorBidi" w:hAnsiTheme="minorBidi" w:cstheme="minorBidi"/>
          <w:rtl/>
        </w:rPr>
        <w:t>.</w:t>
      </w:r>
      <w:r>
        <w:rPr>
          <w:rFonts w:asciiTheme="minorBidi" w:hAnsiTheme="minorBidi" w:cstheme="minorBidi"/>
        </w:rPr>
        <w:t xml:space="preserve"> </w:t>
      </w:r>
      <w:r w:rsidRPr="00435B9B">
        <w:rPr>
          <w:rFonts w:asciiTheme="minorBidi" w:hAnsiTheme="minorBidi" w:cstheme="minorBidi"/>
        </w:rPr>
        <w:t>Economic intelligence has witnessed tangible development over the past two decades, moving from how to obtain information illegally (espionage) to legal methods, i.e., through continuous inquiry and research, until it settled on being a quantitative easing model aimed at collecting and exploiting information in order to develop a competitive economic strategy for all countries, after taking into account the dynamic changes in the environment and economic activities</w:t>
      </w:r>
      <w:r>
        <w:rPr>
          <w:rFonts w:asciiTheme="minorBidi" w:hAnsiTheme="minorBidi" w:cstheme="minorBidi" w:hint="cs"/>
          <w:rtl/>
        </w:rPr>
        <w:t xml:space="preserve"> </w:t>
      </w:r>
      <w:r>
        <w:rPr>
          <w:rFonts w:asciiTheme="minorBidi" w:hAnsiTheme="minorBidi" w:cstheme="minorBidi"/>
        </w:rPr>
        <w:t>(</w:t>
      </w:r>
      <w:r w:rsidRPr="00EE6D97">
        <w:rPr>
          <w:rFonts w:asciiTheme="minorBidi" w:hAnsiTheme="minorBidi" w:cstheme="minorBidi"/>
        </w:rPr>
        <w:t xml:space="preserve">HZ </w:t>
      </w:r>
      <w:proofErr w:type="spellStart"/>
      <w:r w:rsidRPr="00EE6D97">
        <w:rPr>
          <w:rFonts w:asciiTheme="minorBidi" w:hAnsiTheme="minorBidi" w:cstheme="minorBidi"/>
        </w:rPr>
        <w:t>Miklif</w:t>
      </w:r>
      <w:proofErr w:type="spellEnd"/>
      <w:r>
        <w:rPr>
          <w:rFonts w:asciiTheme="minorBidi" w:hAnsiTheme="minorBidi" w:cstheme="minorBidi"/>
        </w:rPr>
        <w:t xml:space="preserve"> &amp;others, 2021).</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1-1- Economic Intelligence</w:t>
      </w:r>
      <w:r w:rsidRPr="00FD62C0">
        <w:rPr>
          <w:rFonts w:asciiTheme="minorBidi" w:hAnsiTheme="minorBidi" w:cstheme="minorBidi"/>
          <w:b/>
          <w:color w:val="FF0000"/>
        </w:rPr>
        <w:t xml:space="preserve"> </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 xml:space="preserve">The first practical definition of economic intelligence appeared in 1994 by (Henry </w:t>
      </w:r>
      <w:proofErr w:type="spellStart"/>
      <w:r w:rsidRPr="00435B9B">
        <w:rPr>
          <w:rFonts w:asciiTheme="minorBidi" w:hAnsiTheme="minorBidi" w:cstheme="minorBidi"/>
        </w:rPr>
        <w:t>Martre</w:t>
      </w:r>
      <w:proofErr w:type="spellEnd"/>
      <w:r w:rsidRPr="00435B9B">
        <w:rPr>
          <w:rFonts w:asciiTheme="minorBidi" w:hAnsiTheme="minorBidi" w:cstheme="minorBidi"/>
        </w:rPr>
        <w:t>), who defined it as a set of coordinated activities related to the research, processing, distribution, and dissemination of information useful to economic actors and researchers in legal ways, with all the necessary guarantees to preserve the intangible heritage of the organization, under the best conditions surrounding it, such as time, cost, and quality (</w:t>
      </w:r>
      <w:proofErr w:type="spellStart"/>
      <w:r w:rsidRPr="00435B9B">
        <w:rPr>
          <w:rFonts w:asciiTheme="minorBidi" w:hAnsiTheme="minorBidi" w:cstheme="minorBidi"/>
        </w:rPr>
        <w:t>Martre</w:t>
      </w:r>
      <w:proofErr w:type="spellEnd"/>
      <w:r w:rsidRPr="00435B9B">
        <w:rPr>
          <w:rFonts w:asciiTheme="minorBidi" w:hAnsiTheme="minorBidi" w:cstheme="minorBidi"/>
        </w:rPr>
        <w:t>, 1994). It is also defined as the activity that includes controlling and protecting strategic information for all economic researchers and the private sector in order to achieve competitiveness in the industrial sector, economic security, and the security of local or international organizations, which promotes the policy of influence in the country (Alice, 2005). It is also defined as a set of processes that start from the process of collecting, analyzing, processing, and disseminating useful information in making strategic decisions in order to achieve project development goals and increase their efficiency, while emphasizing the need to ensure the protection of information as a strategic resource of the project</w:t>
      </w:r>
      <w:r w:rsidRPr="00435B9B">
        <w:rPr>
          <w:rFonts w:asciiTheme="minorBidi" w:hAnsiTheme="minorBidi" w:cstheme="minorBidi"/>
          <w:rtl/>
        </w:rPr>
        <w:t>.</w:t>
      </w:r>
      <w:r w:rsidRPr="00435B9B">
        <w:rPr>
          <w:rFonts w:asciiTheme="minorBidi" w:hAnsiTheme="minorBidi" w:cstheme="minorBidi"/>
        </w:rPr>
        <w:t xml:space="preserve"> Based on the above, the researcher defines economic intelligence as a set of human and technical means that are put in place to achieve the development of an economic institution or even the economy of a country</w:t>
      </w:r>
      <w:r w:rsidRPr="00435B9B">
        <w:rPr>
          <w:rFonts w:asciiTheme="minorBidi" w:hAnsiTheme="minorBidi" w:cstheme="minorBidi"/>
          <w:rtl/>
        </w:rPr>
        <w:t>.</w:t>
      </w:r>
    </w:p>
    <w:p w:rsidR="00E92A86" w:rsidRPr="00435B9B" w:rsidRDefault="00E92A86" w:rsidP="00E92A86">
      <w:pPr>
        <w:pStyle w:val="NoSpacing"/>
        <w:jc w:val="both"/>
        <w:rPr>
          <w:rFonts w:asciiTheme="minorBidi" w:hAnsiTheme="minorBidi" w:cstheme="minorBidi"/>
          <w:lang w:bidi="ar-IQ"/>
        </w:rPr>
      </w:pPr>
      <w:r w:rsidRPr="00435B9B">
        <w:rPr>
          <w:rFonts w:asciiTheme="minorBidi" w:hAnsiTheme="minorBidi" w:cstheme="minorBidi"/>
        </w:rPr>
        <w:t>Economic intelligence encompasses important aspects of national industrial strategy aimed at achieving multiple goals. It also focuses on studying the tactical or strategic interaction of various levels and activities involved, starting from the base (local level), passing through intermediate levels (government departments and private companies), up to national (external level) or international levels. In this context, a set of main characteristics of economic intelligence are united, including: -</w:t>
      </w:r>
    </w:p>
    <w:p w:rsidR="00E92A86" w:rsidRPr="00435B9B" w:rsidRDefault="00E92A86" w:rsidP="00E92A86">
      <w:pPr>
        <w:pStyle w:val="NoSpacing"/>
        <w:numPr>
          <w:ilvl w:val="0"/>
          <w:numId w:val="1"/>
        </w:numPr>
        <w:jc w:val="both"/>
        <w:rPr>
          <w:rFonts w:asciiTheme="minorBidi" w:hAnsiTheme="minorBidi" w:cstheme="minorBidi"/>
        </w:rPr>
      </w:pPr>
      <w:r w:rsidRPr="00435B9B">
        <w:rPr>
          <w:rFonts w:asciiTheme="minorBidi" w:hAnsiTheme="minorBidi" w:cstheme="minorBidi"/>
        </w:rPr>
        <w:t>Strategic and tactical use of information that is the basis of competitive advantage in the decision-making process</w:t>
      </w:r>
      <w:r w:rsidRPr="00435B9B">
        <w:rPr>
          <w:rFonts w:asciiTheme="minorBidi" w:hAnsiTheme="minorBidi" w:cstheme="minorBidi"/>
          <w:rtl/>
        </w:rPr>
        <w:t>.</w:t>
      </w:r>
    </w:p>
    <w:p w:rsidR="00E92A86" w:rsidRPr="00435B9B" w:rsidRDefault="00E92A86" w:rsidP="00E92A86">
      <w:pPr>
        <w:pStyle w:val="NoSpacing"/>
        <w:numPr>
          <w:ilvl w:val="0"/>
          <w:numId w:val="1"/>
        </w:numPr>
        <w:jc w:val="both"/>
        <w:rPr>
          <w:rFonts w:asciiTheme="minorBidi" w:hAnsiTheme="minorBidi" w:cstheme="minorBidi"/>
        </w:rPr>
      </w:pPr>
      <w:r w:rsidRPr="00435B9B">
        <w:rPr>
          <w:rFonts w:asciiTheme="minorBidi" w:hAnsiTheme="minorBidi" w:cstheme="minorBidi"/>
        </w:rPr>
        <w:t>The existence of strong management to coordinate the efforts of economic partners, and to form lobby groups and influence in the local and external environment</w:t>
      </w:r>
      <w:r w:rsidRPr="00435B9B">
        <w:rPr>
          <w:rFonts w:asciiTheme="minorBidi" w:hAnsiTheme="minorBidi" w:cstheme="minorBidi"/>
          <w:rtl/>
        </w:rPr>
        <w:t>.</w:t>
      </w:r>
    </w:p>
    <w:p w:rsidR="00E92A86" w:rsidRPr="00435B9B" w:rsidRDefault="00E92A86" w:rsidP="00E92A86">
      <w:pPr>
        <w:pStyle w:val="NoSpacing"/>
        <w:numPr>
          <w:ilvl w:val="0"/>
          <w:numId w:val="1"/>
        </w:numPr>
        <w:jc w:val="both"/>
        <w:rPr>
          <w:rFonts w:asciiTheme="minorBidi" w:hAnsiTheme="minorBidi" w:cstheme="minorBidi"/>
        </w:rPr>
      </w:pPr>
      <w:r w:rsidRPr="00435B9B">
        <w:rPr>
          <w:rFonts w:asciiTheme="minorBidi" w:hAnsiTheme="minorBidi" w:cstheme="minorBidi"/>
        </w:rPr>
        <w:t>c-Provides strong relationships between institutions, central and local administrations, and universities, through its possession and exchange of information and the integration of scientific, technical, economic, legal, and geopolitical knowledge</w:t>
      </w:r>
      <w:r w:rsidRPr="00435B9B">
        <w:rPr>
          <w:rFonts w:asciiTheme="minorBidi" w:hAnsiTheme="minorBidi" w:cstheme="minorBidi"/>
          <w:rtl/>
        </w:rPr>
        <w:t>.</w:t>
      </w:r>
    </w:p>
    <w:p w:rsidR="00E92A86" w:rsidRPr="00435B9B" w:rsidRDefault="00E92A86" w:rsidP="00E92A86">
      <w:pPr>
        <w:pStyle w:val="NoSpacing"/>
        <w:numPr>
          <w:ilvl w:val="0"/>
          <w:numId w:val="1"/>
        </w:numPr>
        <w:jc w:val="both"/>
        <w:rPr>
          <w:rFonts w:asciiTheme="minorBidi" w:hAnsiTheme="minorBidi" w:cstheme="minorBidi"/>
        </w:rPr>
      </w:pPr>
      <w:r w:rsidRPr="00435B9B">
        <w:rPr>
          <w:rFonts w:asciiTheme="minorBidi" w:hAnsiTheme="minorBidi" w:cstheme="minorBidi"/>
        </w:rPr>
        <w:t>Secrecy in disseminating information and obtaining it in a legitimate and legal manner</w:t>
      </w:r>
      <w:r w:rsidRPr="00435B9B">
        <w:rPr>
          <w:rFonts w:asciiTheme="minorBidi" w:hAnsiTheme="minorBidi" w:cstheme="minorBidi"/>
          <w:rtl/>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There are also other characteristics such as protecting the project from external threats, exploiting opportunities by competitors in order to obtain useful information, and adapting to the new rules of the market and the local and external changes facing the project or industrial establishments</w:t>
      </w:r>
      <w:r w:rsidRPr="00435B9B">
        <w:rPr>
          <w:rFonts w:asciiTheme="minorBidi" w:hAnsiTheme="minorBidi" w:cstheme="minorBidi"/>
          <w:rtl/>
        </w:rPr>
        <w:t>.</w:t>
      </w:r>
    </w:p>
    <w:p w:rsidR="00E92A86" w:rsidRPr="00435B9B" w:rsidRDefault="00E92A86" w:rsidP="00E92A86">
      <w:pPr>
        <w:pStyle w:val="NoSpacing"/>
        <w:jc w:val="both"/>
        <w:rPr>
          <w:rFonts w:asciiTheme="minorBidi" w:hAnsiTheme="minorBidi" w:cstheme="minorBidi"/>
          <w:b/>
        </w:rPr>
      </w:pPr>
      <w:r>
        <w:rPr>
          <w:rFonts w:asciiTheme="minorBidi" w:hAnsiTheme="minorBidi" w:cstheme="minorBidi"/>
          <w:b/>
        </w:rPr>
        <w:t>2.</w:t>
      </w:r>
      <w:r w:rsidRPr="00435B9B">
        <w:rPr>
          <w:rFonts w:asciiTheme="minorBidi" w:hAnsiTheme="minorBidi" w:cstheme="minorBidi"/>
          <w:b/>
        </w:rPr>
        <w:t>2 Dimensions of Economic Intelligence</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Economic intelligence can be limited to being a public policy determined by the state or one of its bodies and departments with the participation of the private sector in its content and scope of application. The economic intelligence process is based on the following dimensions: (Bernard &amp; Possin, 2001)</w:t>
      </w:r>
    </w:p>
    <w:p w:rsidR="00E92A86" w:rsidRPr="00435B9B" w:rsidRDefault="00E92A86" w:rsidP="00E92A86">
      <w:pPr>
        <w:pStyle w:val="NoSpacing"/>
        <w:numPr>
          <w:ilvl w:val="0"/>
          <w:numId w:val="2"/>
        </w:numPr>
        <w:jc w:val="both"/>
        <w:rPr>
          <w:rFonts w:asciiTheme="minorBidi" w:hAnsiTheme="minorBidi" w:cstheme="minorBidi"/>
        </w:rPr>
      </w:pPr>
      <w:r w:rsidRPr="00435B9B">
        <w:rPr>
          <w:rFonts w:asciiTheme="minorBidi" w:hAnsiTheme="minorBidi" w:cstheme="minorBidi"/>
        </w:rPr>
        <w:t>Competitiveness Policy (Strategic Vigilance): It depends on research and development operations and allows institutions or other companies (factories and plants) to track opportunities and obtain local and foreign markets. This keeping pace is done through mutual recognition through strategic bets and the collection of experiences and public and private information</w:t>
      </w:r>
      <w:r w:rsidRPr="00435B9B">
        <w:rPr>
          <w:rFonts w:asciiTheme="minorBidi" w:hAnsiTheme="minorBidi" w:cstheme="minorBidi"/>
          <w:rtl/>
        </w:rPr>
        <w:t>.</w:t>
      </w:r>
    </w:p>
    <w:p w:rsidR="00E92A86" w:rsidRPr="00435B9B" w:rsidRDefault="00E92A86" w:rsidP="00E92A86">
      <w:pPr>
        <w:pStyle w:val="NoSpacing"/>
        <w:numPr>
          <w:ilvl w:val="0"/>
          <w:numId w:val="2"/>
        </w:numPr>
        <w:jc w:val="both"/>
        <w:rPr>
          <w:rFonts w:asciiTheme="minorBidi" w:hAnsiTheme="minorBidi" w:cstheme="minorBidi"/>
        </w:rPr>
      </w:pPr>
      <w:r w:rsidRPr="00435B9B">
        <w:rPr>
          <w:rFonts w:asciiTheme="minorBidi" w:hAnsiTheme="minorBidi" w:cstheme="minorBidi"/>
        </w:rPr>
        <w:t xml:space="preserve">Economic Security Policy: The economic security policy is based on providing a suitable investment environment for development and expanding job opportunities. It also facilitates means of progress and well-being and reduces the rate of economic (commercial) exposure, maximizing and enhancing the competitive-economic capacity of society, and resisting the negative repercussions of external economic crises and shocks. Thus, the state has </w:t>
      </w:r>
      <w:r w:rsidRPr="00435B9B">
        <w:rPr>
          <w:rFonts w:asciiTheme="minorBidi" w:hAnsiTheme="minorBidi" w:cstheme="minorBidi"/>
        </w:rPr>
        <w:lastRenderedPageBreak/>
        <w:t>become a basic and influential partner in social responsibility and security, as the private sector has an important and fundamental role in economic security, through following up on its common interests in the factories or companies concerned, so that it focuses on the need-to-know what information must be disclosed, and which must remain confidential about the activities of institutions or factories</w:t>
      </w:r>
      <w:r w:rsidRPr="00435B9B">
        <w:rPr>
          <w:rFonts w:asciiTheme="minorBidi" w:hAnsiTheme="minorBidi" w:cstheme="minorBidi"/>
          <w:rtl/>
        </w:rPr>
        <w:t>.</w:t>
      </w:r>
    </w:p>
    <w:p w:rsidR="00E92A86" w:rsidRPr="00435B9B" w:rsidRDefault="00E92A86" w:rsidP="00E92A86">
      <w:pPr>
        <w:pStyle w:val="NoSpacing"/>
        <w:numPr>
          <w:ilvl w:val="0"/>
          <w:numId w:val="2"/>
        </w:numPr>
        <w:jc w:val="both"/>
        <w:rPr>
          <w:rFonts w:asciiTheme="minorBidi" w:hAnsiTheme="minorBidi" w:cstheme="minorBidi"/>
        </w:rPr>
      </w:pPr>
      <w:r w:rsidRPr="00435B9B">
        <w:rPr>
          <w:rFonts w:asciiTheme="minorBidi" w:hAnsiTheme="minorBidi" w:cstheme="minorBidi"/>
        </w:rPr>
        <w:t>Influence Policy: The influence policy, especially at the level of bodies known for preparing systems and standards that manage economic life, through lobbying, which means influencing the political and economic decision and documenting the positivity or negativity (danger) of a law, has become a subject of study in major schools and universities, as the European Commission has made it necessary in the democratic process, contributing to the effectiveness of laws ratified after taking into account the opinion of specialists (academics and others) without harming the opinions of others, specifically the political judgment</w:t>
      </w:r>
      <w:r w:rsidRPr="00435B9B">
        <w:rPr>
          <w:rFonts w:asciiTheme="minorBidi" w:hAnsiTheme="minorBidi" w:cstheme="minorBidi"/>
          <w:rtl/>
        </w:rPr>
        <w:t>.</w:t>
      </w:r>
    </w:p>
    <w:p w:rsidR="00E92A86" w:rsidRPr="00435B9B" w:rsidRDefault="00E92A86" w:rsidP="00E92A86">
      <w:pPr>
        <w:pStyle w:val="NoSpacing"/>
        <w:rPr>
          <w:rFonts w:asciiTheme="minorBidi" w:hAnsiTheme="minorBidi" w:cstheme="minorBidi"/>
          <w:b/>
          <w:bCs/>
        </w:rPr>
      </w:pPr>
      <w:r>
        <w:rPr>
          <w:rFonts w:asciiTheme="minorBidi" w:hAnsiTheme="minorBidi" w:cstheme="minorBidi"/>
          <w:b/>
          <w:bCs/>
        </w:rPr>
        <w:t>2.</w:t>
      </w:r>
      <w:r w:rsidRPr="00435B9B">
        <w:rPr>
          <w:rFonts w:asciiTheme="minorBidi" w:hAnsiTheme="minorBidi" w:cstheme="minorBidi"/>
          <w:b/>
          <w:bCs/>
        </w:rPr>
        <w:t>3 Stages and Objectives of Economic Intelligence</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Economic intelligence operations go through four main stages, starting with the stage of determining the need for information, then acquiring and processing information, up to the fourth stage, which is distributing and using information, and Figure (1) shows these four stages:</w:t>
      </w:r>
    </w:p>
    <w:p w:rsidR="00E92A86" w:rsidRPr="00435B9B" w:rsidRDefault="00E92A86" w:rsidP="00E92A86">
      <w:pPr>
        <w:pStyle w:val="NoSpacing"/>
        <w:jc w:val="center"/>
        <w:rPr>
          <w:rFonts w:asciiTheme="minorBidi" w:hAnsiTheme="minorBidi" w:cstheme="minorBidi"/>
        </w:rPr>
      </w:pPr>
      <w:r w:rsidRPr="00435B9B">
        <w:rPr>
          <w:rFonts w:asciiTheme="minorBidi" w:hAnsiTheme="minorBidi" w:cstheme="minorBidi"/>
        </w:rPr>
        <w:t>Figure (1) Stages of Economic Intelligence</w:t>
      </w:r>
    </w:p>
    <w:p w:rsidR="00E92A86" w:rsidRPr="00435B9B" w:rsidRDefault="00E92A86" w:rsidP="00E92A86">
      <w:pPr>
        <w:pStyle w:val="NoSpacing"/>
        <w:jc w:val="center"/>
        <w:rPr>
          <w:rFonts w:asciiTheme="minorBidi" w:hAnsiTheme="minorBidi" w:cstheme="minorBidi"/>
          <w:bCs/>
          <w:rtl/>
          <w:lang w:bidi="ar-IQ"/>
        </w:rPr>
      </w:pPr>
      <w:r w:rsidRPr="00435B9B">
        <w:rPr>
          <w:rFonts w:asciiTheme="minorBidi" w:hAnsiTheme="minorBidi" w:cstheme="minorBidi"/>
          <w:noProof/>
        </w:rPr>
        <mc:AlternateContent>
          <mc:Choice Requires="wpc">
            <w:drawing>
              <wp:inline distT="0" distB="0" distL="0" distR="0" wp14:anchorId="0636C26C" wp14:editId="7DCD6E2A">
                <wp:extent cx="4038600" cy="1885950"/>
                <wp:effectExtent l="14605" t="19050" r="13970" b="19050"/>
                <wp:docPr id="20" name="لوحة قماشية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8" name="مستطيل 3"/>
                        <wps:cNvSpPr>
                          <a:spLocks noChangeArrowheads="1"/>
                        </wps:cNvSpPr>
                        <wps:spPr bwMode="auto">
                          <a:xfrm>
                            <a:off x="2485756" y="0"/>
                            <a:ext cx="1505219"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rsidR="00E92A86" w:rsidRPr="00FF3B4A" w:rsidRDefault="00E92A86" w:rsidP="00E92A86">
                              <w:pPr>
                                <w:jc w:val="center"/>
                                <w:rPr>
                                  <w:b/>
                                  <w:bCs/>
                                  <w:lang w:bidi="ar-IQ"/>
                                </w:rPr>
                              </w:pPr>
                              <w:r w:rsidRPr="00031ED0">
                                <w:rPr>
                                  <w:b/>
                                  <w:bCs/>
                                  <w:lang w:bidi="ar-IQ"/>
                                </w:rPr>
                                <w:t>Stage One: Determining the need for information</w:t>
                              </w:r>
                              <w:r w:rsidRPr="00031ED0">
                                <w:rPr>
                                  <w:rFonts w:cs="Arial"/>
                                  <w:b/>
                                  <w:bCs/>
                                  <w:rtl/>
                                  <w:lang w:bidi="ar-IQ"/>
                                </w:rPr>
                                <w:t>.</w:t>
                              </w:r>
                            </w:p>
                          </w:txbxContent>
                        </wps:txbx>
                        <wps:bodyPr rot="0" vert="horz" wrap="square" lIns="91440" tIns="45720" rIns="91440" bIns="45720" anchor="ctr" anchorCtr="0" upright="1">
                          <a:noAutofit/>
                        </wps:bodyPr>
                      </wps:wsp>
                      <wps:wsp>
                        <wps:cNvPr id="13" name="مستطيل 4"/>
                        <wps:cNvSpPr>
                          <a:spLocks noChangeArrowheads="1"/>
                        </wps:cNvSpPr>
                        <wps:spPr bwMode="auto">
                          <a:xfrm>
                            <a:off x="2419081" y="1283775"/>
                            <a:ext cx="1571894" cy="602176"/>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rsidR="00E92A86" w:rsidRPr="00FF3B4A" w:rsidRDefault="00E92A86" w:rsidP="00E92A86">
                              <w:pPr>
                                <w:jc w:val="center"/>
                                <w:rPr>
                                  <w:b/>
                                  <w:bCs/>
                                  <w:lang w:bidi="ar-IQ"/>
                                </w:rPr>
                              </w:pPr>
                              <w:r w:rsidRPr="00031ED0">
                                <w:rPr>
                                  <w:b/>
                                  <w:bCs/>
                                  <w:lang w:bidi="ar-IQ"/>
                                </w:rPr>
                                <w:t>Stage Two: Collecting data and information</w:t>
                              </w:r>
                              <w:r w:rsidRPr="00031ED0">
                                <w:rPr>
                                  <w:rFonts w:cs="Arial"/>
                                  <w:b/>
                                  <w:bCs/>
                                  <w:rtl/>
                                  <w:lang w:bidi="ar-IQ"/>
                                </w:rPr>
                                <w:t>.</w:t>
                              </w:r>
                            </w:p>
                          </w:txbxContent>
                        </wps:txbx>
                        <wps:bodyPr rot="0" vert="horz" wrap="square" lIns="91440" tIns="45720" rIns="91440" bIns="45720" anchor="ctr" anchorCtr="0" upright="1">
                          <a:noAutofit/>
                        </wps:bodyPr>
                      </wps:wsp>
                      <wps:wsp>
                        <wps:cNvPr id="14" name="سهم للأسفل 5"/>
                        <wps:cNvSpPr>
                          <a:spLocks noChangeArrowheads="1"/>
                        </wps:cNvSpPr>
                        <wps:spPr bwMode="auto">
                          <a:xfrm>
                            <a:off x="2981326" y="733423"/>
                            <a:ext cx="484632" cy="550351"/>
                          </a:xfrm>
                          <a:prstGeom prst="down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5" name="مستطيل 7"/>
                        <wps:cNvSpPr>
                          <a:spLocks noChangeArrowheads="1"/>
                        </wps:cNvSpPr>
                        <wps:spPr bwMode="auto">
                          <a:xfrm>
                            <a:off x="1" y="1361118"/>
                            <a:ext cx="1640698" cy="524833"/>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rsidR="00E92A86" w:rsidRPr="00FF3B4A" w:rsidRDefault="00E92A86" w:rsidP="00E92A86">
                              <w:pPr>
                                <w:jc w:val="center"/>
                                <w:rPr>
                                  <w:b/>
                                  <w:bCs/>
                                  <w:lang w:bidi="ar-IQ"/>
                                </w:rPr>
                              </w:pPr>
                              <w:r w:rsidRPr="00031ED0">
                                <w:rPr>
                                  <w:b/>
                                  <w:bCs/>
                                  <w:lang w:bidi="ar-IQ"/>
                                </w:rPr>
                                <w:t>Stage Three: Processing information</w:t>
                              </w:r>
                              <w:r w:rsidRPr="00031ED0">
                                <w:rPr>
                                  <w:rFonts w:cs="Arial"/>
                                  <w:b/>
                                  <w:bCs/>
                                  <w:rtl/>
                                  <w:lang w:bidi="ar-IQ"/>
                                </w:rPr>
                                <w:t>.</w:t>
                              </w:r>
                            </w:p>
                          </w:txbxContent>
                        </wps:txbx>
                        <wps:bodyPr rot="0" vert="horz" wrap="square" lIns="91440" tIns="45720" rIns="91440" bIns="45720" anchor="ctr" anchorCtr="0" upright="1">
                          <a:noAutofit/>
                        </wps:bodyPr>
                      </wps:wsp>
                      <wps:wsp>
                        <wps:cNvPr id="16" name="مستطيل 9"/>
                        <wps:cNvSpPr>
                          <a:spLocks noChangeArrowheads="1"/>
                        </wps:cNvSpPr>
                        <wps:spPr bwMode="auto">
                          <a:xfrm>
                            <a:off x="0" y="0"/>
                            <a:ext cx="1581150"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rsidR="00E92A86" w:rsidRPr="00FF3B4A" w:rsidRDefault="00E92A86" w:rsidP="00E92A86">
                              <w:pPr>
                                <w:jc w:val="center"/>
                                <w:rPr>
                                  <w:b/>
                                  <w:bCs/>
                                  <w:lang w:bidi="ar-IQ"/>
                                </w:rPr>
                              </w:pPr>
                              <w:r w:rsidRPr="00031ED0">
                                <w:rPr>
                                  <w:b/>
                                  <w:bCs/>
                                  <w:lang w:bidi="ar-IQ"/>
                                </w:rPr>
                                <w:t>Stage Four: Distributing information for its use</w:t>
                              </w:r>
                              <w:r w:rsidRPr="00031ED0">
                                <w:rPr>
                                  <w:rFonts w:cs="Arial"/>
                                  <w:b/>
                                  <w:bCs/>
                                  <w:rtl/>
                                  <w:lang w:bidi="ar-IQ"/>
                                </w:rPr>
                                <w:t>.</w:t>
                              </w:r>
                            </w:p>
                          </w:txbxContent>
                        </wps:txbx>
                        <wps:bodyPr rot="0" vert="horz" wrap="square" lIns="91440" tIns="45720" rIns="91440" bIns="45720" anchor="ctr" anchorCtr="0" upright="1">
                          <a:noAutofit/>
                        </wps:bodyPr>
                      </wps:wsp>
                      <wps:wsp>
                        <wps:cNvPr id="17" name="سهم لأعلى 10"/>
                        <wps:cNvSpPr>
                          <a:spLocks noChangeArrowheads="1"/>
                        </wps:cNvSpPr>
                        <wps:spPr bwMode="auto">
                          <a:xfrm>
                            <a:off x="523876" y="712274"/>
                            <a:ext cx="484632" cy="571500"/>
                          </a:xfrm>
                          <a:prstGeom prst="up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8" name="سهم إلى اليمين 11"/>
                        <wps:cNvSpPr>
                          <a:spLocks noChangeArrowheads="1"/>
                        </wps:cNvSpPr>
                        <wps:spPr bwMode="auto">
                          <a:xfrm>
                            <a:off x="1640699" y="140773"/>
                            <a:ext cx="845057" cy="485776"/>
                          </a:xfrm>
                          <a:prstGeom prst="rightArrow">
                            <a:avLst>
                              <a:gd name="adj1" fmla="val 50000"/>
                              <a:gd name="adj2" fmla="val 49997"/>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9" name="سهم إلى اليسار 12"/>
                        <wps:cNvSpPr>
                          <a:spLocks noChangeArrowheads="1"/>
                        </wps:cNvSpPr>
                        <wps:spPr bwMode="auto">
                          <a:xfrm>
                            <a:off x="1640699" y="1401319"/>
                            <a:ext cx="778382" cy="484632"/>
                          </a:xfrm>
                          <a:prstGeom prst="left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c:wpc>
                  </a:graphicData>
                </a:graphic>
              </wp:inline>
            </w:drawing>
          </mc:Choice>
          <mc:Fallback>
            <w:pict>
              <v:group w14:anchorId="0636C26C" id="لوحة قماشية 1" o:spid="_x0000_s1026" editas="canvas" style="width:318pt;height:148.5pt;mso-position-horizontal-relative:char;mso-position-vertical-relative:line" coordsize="40386,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386;height:18859;visibility:visible;mso-wrap-style:square" stroked="t" strokecolor="black [3213]">
                  <v:fill o:detectmouseclick="t"/>
                  <v:path o:connecttype="none"/>
                </v:shape>
                <v:rect id="مستطيل 3" o:spid="_x0000_s1028" style="position:absolute;left:24857;width:15052;height: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" fillcolor="white [3201]" strokecolor="#f79646 [3209]" strokeweight="2pt">
                  <v:textbox>
                    <w:txbxContent>
                      <w:p w:rsidR="00E92A86" w:rsidRPr="00FF3B4A" w:rsidRDefault="00E92A86" w:rsidP="00E92A86">
                        <w:pPr>
                          <w:jc w:val="center"/>
                          <w:rPr>
                            <w:b/>
                            <w:bCs/>
                            <w:lang w:bidi="ar-IQ"/>
                          </w:rPr>
                        </w:pPr>
                        <w:r w:rsidRPr="00031ED0">
                          <w:rPr>
                            <w:b/>
                            <w:bCs/>
                            <w:lang w:bidi="ar-IQ"/>
                          </w:rPr>
                          <w:t>Stage One: Determining the need for information</w:t>
                        </w:r>
                        <w:r w:rsidRPr="00031ED0">
                          <w:rPr>
                            <w:rFonts w:cs="Arial"/>
                            <w:b/>
                            <w:bCs/>
                            <w:rtl/>
                            <w:lang w:bidi="ar-IQ"/>
                          </w:rPr>
                          <w:t>.</w:t>
                        </w:r>
                      </w:p>
                    </w:txbxContent>
                  </v:textbox>
                </v:rect>
                <v:rect id="مستطيل 4" o:spid="_x0000_s1029" style="position:absolute;left:24190;top:12837;width:15719;height:6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" fillcolor="white [3201]" strokecolor="#f79646 [3209]" strokeweight="2pt">
                  <v:textbox>
                    <w:txbxContent>
                      <w:p w:rsidR="00E92A86" w:rsidRPr="00FF3B4A" w:rsidRDefault="00E92A86" w:rsidP="00E92A86">
                        <w:pPr>
                          <w:jc w:val="center"/>
                          <w:rPr>
                            <w:b/>
                            <w:bCs/>
                            <w:lang w:bidi="ar-IQ"/>
                          </w:rPr>
                        </w:pPr>
                        <w:r w:rsidRPr="00031ED0">
                          <w:rPr>
                            <w:b/>
                            <w:bCs/>
                            <w:lang w:bidi="ar-IQ"/>
                          </w:rPr>
                          <w:t>Stage Two: Collecting data and information</w:t>
                        </w:r>
                        <w:r w:rsidRPr="00031ED0">
                          <w:rPr>
                            <w:rFonts w:cs="Arial"/>
                            <w:b/>
                            <w:bCs/>
                            <w:rtl/>
                            <w:lang w:bidi="ar-IQ"/>
                          </w:rPr>
                          <w: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5" o:spid="_x0000_s1030" type="#_x0000_t67" style="position:absolute;left:29813;top:7334;width:4846;height:5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" adj="12090" fillcolor="#4f81bd [3204]" strokecolor="#243f60 [1604]" strokeweight="2pt"/>
                <v:rect id="مستطيل 7" o:spid="_x0000_s1031" style="position:absolute;top:13611;width:16406;height:5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" fillcolor="white [3201]" strokecolor="#f79646 [3209]" strokeweight="2pt">
                  <v:textbox>
                    <w:txbxContent>
                      <w:p w:rsidR="00E92A86" w:rsidRPr="00FF3B4A" w:rsidRDefault="00E92A86" w:rsidP="00E92A86">
                        <w:pPr>
                          <w:jc w:val="center"/>
                          <w:rPr>
                            <w:b/>
                            <w:bCs/>
                            <w:lang w:bidi="ar-IQ"/>
                          </w:rPr>
                        </w:pPr>
                        <w:r w:rsidRPr="00031ED0">
                          <w:rPr>
                            <w:b/>
                            <w:bCs/>
                            <w:lang w:bidi="ar-IQ"/>
                          </w:rPr>
                          <w:t>Stage Three: Processing information</w:t>
                        </w:r>
                        <w:r w:rsidRPr="00031ED0">
                          <w:rPr>
                            <w:rFonts w:cs="Arial"/>
                            <w:b/>
                            <w:bCs/>
                            <w:rtl/>
                            <w:lang w:bidi="ar-IQ"/>
                          </w:rPr>
                          <w:t>.</w:t>
                        </w:r>
                      </w:p>
                    </w:txbxContent>
                  </v:textbox>
                </v:rect>
                <v:rect id="مستطيل 9" o:spid="_x0000_s1032" style="position:absolute;width:15811;height: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" fillcolor="white [3201]" strokecolor="#f79646 [3209]" strokeweight="2pt">
                  <v:textbox>
                    <w:txbxContent>
                      <w:p w:rsidR="00E92A86" w:rsidRPr="00FF3B4A" w:rsidRDefault="00E92A86" w:rsidP="00E92A86">
                        <w:pPr>
                          <w:jc w:val="center"/>
                          <w:rPr>
                            <w:b/>
                            <w:bCs/>
                            <w:lang w:bidi="ar-IQ"/>
                          </w:rPr>
                        </w:pPr>
                        <w:r w:rsidRPr="00031ED0">
                          <w:rPr>
                            <w:b/>
                            <w:bCs/>
                            <w:lang w:bidi="ar-IQ"/>
                          </w:rPr>
                          <w:t>Stage Four: Distributing information for its use</w:t>
                        </w:r>
                        <w:r w:rsidRPr="00031ED0">
                          <w:rPr>
                            <w:rFonts w:cs="Arial"/>
                            <w:b/>
                            <w:bCs/>
                            <w:rtl/>
                            <w:lang w:bidi="ar-IQ"/>
                          </w:rPr>
                          <w:t>.</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سهم لأعلى 10" o:spid="_x0000_s1033" type="#_x0000_t68" style="position:absolute;left:5238;top:7122;width:484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" adj="9158"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1" o:spid="_x0000_s1034" type="#_x0000_t13" style="position:absolute;left:16406;top:1407;width:84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" adj="15392" fillcolor="#4f81bd [3204]" strokecolor="#243f60 [1604]"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12" o:spid="_x0000_s1035" type="#_x0000_t66" style="position:absolute;left:16406;top:14013;width:7784;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" adj="6724" fillcolor="#4f81bd [3204]" strokecolor="#243f60 [1604]" strokeweight="2pt"/>
                <w10:anchorlock/>
              </v:group>
            </w:pict>
          </mc:Fallback>
        </mc:AlternateConten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Source</w:t>
      </w:r>
      <w:r w:rsidRPr="002719FB">
        <w:rPr>
          <w:rFonts w:asciiTheme="minorBidi" w:hAnsiTheme="minorBidi" w:cstheme="minorBidi"/>
          <w:color w:val="FF0000"/>
        </w:rPr>
        <w:t xml:space="preserve"> </w:t>
      </w:r>
      <w:r w:rsidRPr="002E4EB2">
        <w:rPr>
          <w:rFonts w:asciiTheme="minorBidi" w:hAnsiTheme="minorBidi" w:cstheme="minorBidi"/>
        </w:rPr>
        <w:t>the researcher based on the above.</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Economic intelligence also includes important aspects in terms of industrial programs at the local and foreign levels, and the most prominent goals that economic intelligence seeks to achieve are the following: (Abdul Salam, 2019)</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Economic intelligence is distinguished by its pursuit of developing the individual and collective behavior of researchers and economic experts within the framework of a collective and multidisciplinary vision</w:t>
      </w:r>
      <w:r w:rsidRPr="00435B9B">
        <w:rPr>
          <w:rFonts w:asciiTheme="minorBidi" w:hAnsiTheme="minorBidi" w:cstheme="minorBidi"/>
          <w:rtl/>
          <w:lang w:bidi="ar-IQ"/>
        </w:rPr>
        <w:t>.</w:t>
      </w:r>
      <w:r>
        <w:rPr>
          <w:rFonts w:asciiTheme="minorBidi" w:hAnsiTheme="minorBidi" w:cstheme="minorBidi"/>
          <w:lang w:bidi="ar-IQ"/>
        </w:rPr>
        <w:t xml:space="preserve"> </w:t>
      </w:r>
      <w:r w:rsidRPr="00435B9B">
        <w:rPr>
          <w:rFonts w:asciiTheme="minorBidi" w:hAnsiTheme="minorBidi" w:cstheme="minorBidi"/>
        </w:rPr>
        <w:t>It seeks to cooperate between the public and private sectors and develop a new perspective on their relationships based on mutual trust, which is necessary for the development of national industry</w:t>
      </w:r>
      <w:r w:rsidRPr="00435B9B">
        <w:rPr>
          <w:rFonts w:asciiTheme="minorBidi" w:hAnsiTheme="minorBidi" w:cstheme="minorBidi"/>
          <w:rtl/>
          <w:lang w:bidi="ar-IQ"/>
        </w:rPr>
        <w:t>.</w:t>
      </w:r>
      <w:r>
        <w:rPr>
          <w:rFonts w:asciiTheme="minorBidi" w:hAnsiTheme="minorBidi" w:cstheme="minorBidi"/>
          <w:lang w:bidi="ar-IQ"/>
        </w:rPr>
        <w:t xml:space="preserve"> </w:t>
      </w:r>
      <w:r w:rsidRPr="00435B9B">
        <w:rPr>
          <w:rFonts w:asciiTheme="minorBidi" w:hAnsiTheme="minorBidi" w:cstheme="minorBidi"/>
        </w:rPr>
        <w:t>Strengthening the development process and ensuring the security of national property rights (technological and industrial) by developing a monitoring program capable of facing the challenges of opening the national market to competition and reducing informal practices of competitors</w:t>
      </w:r>
      <w:r w:rsidRPr="00435B9B">
        <w:rPr>
          <w:rFonts w:asciiTheme="minorBidi" w:hAnsiTheme="minorBidi" w:cstheme="minorBidi"/>
          <w:rtl/>
          <w:lang w:bidi="ar-IQ"/>
        </w:rPr>
        <w:t>.</w:t>
      </w:r>
      <w:r>
        <w:rPr>
          <w:rFonts w:asciiTheme="minorBidi" w:hAnsiTheme="minorBidi" w:cstheme="minorBidi"/>
          <w:lang w:bidi="ar-IQ"/>
        </w:rPr>
        <w:t xml:space="preserve"> </w:t>
      </w:r>
      <w:r w:rsidRPr="00435B9B">
        <w:rPr>
          <w:rFonts w:asciiTheme="minorBidi" w:hAnsiTheme="minorBidi" w:cstheme="minorBidi"/>
        </w:rPr>
        <w:t>Developing the forward-looking function through coordination between public bodies, institutions, universities (research centers), and economic researchers in order to control development and identify the strategic actions that must be taken in the medium and long term in the field of national industry</w:t>
      </w:r>
      <w:r w:rsidRPr="00435B9B">
        <w:rPr>
          <w:rFonts w:asciiTheme="minorBidi" w:hAnsiTheme="minorBidi" w:cstheme="minorBidi"/>
          <w:rtl/>
          <w:lang w:bidi="ar-IQ"/>
        </w:rPr>
        <w:t>.</w:t>
      </w:r>
    </w:p>
    <w:p w:rsidR="00E92A86" w:rsidRPr="00435B9B" w:rsidRDefault="00E92A86" w:rsidP="00E92A86">
      <w:pPr>
        <w:jc w:val="both"/>
        <w:rPr>
          <w:rFonts w:ascii="Arial" w:hAnsi="Arial" w:cs="Arial"/>
          <w:b/>
          <w:bCs/>
          <w:caps/>
        </w:rPr>
      </w:pPr>
      <w:r w:rsidRPr="00435B9B">
        <w:rPr>
          <w:rFonts w:ascii="Arial" w:hAnsi="Arial" w:cs="Arial"/>
          <w:b/>
          <w:bCs/>
          <w:caps/>
        </w:rPr>
        <w:t>2</w:t>
      </w:r>
      <w:r>
        <w:rPr>
          <w:rFonts w:ascii="Arial" w:hAnsi="Arial" w:cs="Arial"/>
          <w:b/>
          <w:bCs/>
          <w:caps/>
        </w:rPr>
        <w:t>.4</w:t>
      </w:r>
      <w:r w:rsidRPr="00435B9B">
        <w:rPr>
          <w:rFonts w:ascii="Arial" w:hAnsi="Arial" w:cs="Arial"/>
          <w:b/>
          <w:bCs/>
          <w:caps/>
        </w:rPr>
        <w:t xml:space="preserve"> Analysis of the Reality of Sovereign Revenues in Iraq</w:t>
      </w: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Oil revenues dominate total public revenues in Iraq due to the weakness of the tax system and the widespread corruption in most government departments and institutions, especially in customs outlets, as well as the rentier nature of the Iraqi economy.</w:t>
      </w:r>
      <w:r>
        <w:rPr>
          <w:rFonts w:asciiTheme="minorBidi" w:hAnsiTheme="minorBidi" w:cstheme="minorBidi"/>
        </w:rPr>
        <w:t xml:space="preserve"> </w:t>
      </w:r>
      <w:r w:rsidRPr="00435B9B">
        <w:rPr>
          <w:rFonts w:asciiTheme="minorBidi" w:hAnsiTheme="minorBidi" w:cstheme="minorBidi"/>
        </w:rPr>
        <w:t>Section Five of Law No. (95) of 2004 included the management of oil revenues, and according to this section, all revenues from extracted oil and its derivatives are considered revenues to finance the general budget. After the weakness that befell the non-oil sectors, the Iraqi economy turned from a relatively diversified economy to a unilateral economy that depends on oil rent by more than (93%) to finance the general budget revenues (Dadoosh, 2024). The structure of public revenues can be clarified through Table</w:t>
      </w:r>
      <w:r>
        <w:rPr>
          <w:rFonts w:asciiTheme="minorBidi" w:hAnsiTheme="minorBidi" w:cstheme="minorBidi"/>
        </w:rPr>
        <w:t xml:space="preserve"> 1</w:t>
      </w:r>
      <w:r w:rsidRPr="00435B9B">
        <w:rPr>
          <w:rFonts w:asciiTheme="minorBidi" w:hAnsiTheme="minorBidi" w:cstheme="minorBidi"/>
        </w:rPr>
        <w:t>):</w:t>
      </w:r>
    </w:p>
    <w:p w:rsidR="00E92A86" w:rsidRPr="00435B9B" w:rsidRDefault="00E92A86" w:rsidP="00E92A86">
      <w:pPr>
        <w:pStyle w:val="NoSpacing"/>
        <w:jc w:val="both"/>
        <w:rPr>
          <w:rFonts w:asciiTheme="minorBidi" w:hAnsiTheme="minorBidi" w:cstheme="minorBidi"/>
        </w:rPr>
      </w:pPr>
    </w:p>
    <w:p w:rsidR="00E92A86" w:rsidRPr="00837497" w:rsidRDefault="00E92A86" w:rsidP="00E92A86">
      <w:pPr>
        <w:pStyle w:val="NoSpacing"/>
        <w:jc w:val="center"/>
        <w:rPr>
          <w:rFonts w:asciiTheme="minorBidi" w:hAnsiTheme="minorBidi" w:cstheme="minorBidi"/>
          <w:b/>
        </w:rPr>
      </w:pPr>
      <w:r w:rsidRPr="00837497">
        <w:rPr>
          <w:rFonts w:asciiTheme="minorBidi" w:hAnsiTheme="minorBidi" w:cstheme="minorBidi"/>
          <w:b/>
        </w:rPr>
        <w:t>Table 1: Structure of Public Revenues in Iraq (2004-2024) (Trillion Dinars)</w:t>
      </w:r>
    </w:p>
    <w:tbl>
      <w:tblPr>
        <w:tblStyle w:val="TableGrid"/>
        <w:tblW w:w="9631" w:type="dxa"/>
        <w:jc w:val="center"/>
        <w:tblLook w:val="04A0" w:firstRow="1" w:lastRow="0" w:firstColumn="1" w:lastColumn="0" w:noHBand="0" w:noVBand="1"/>
      </w:tblPr>
      <w:tblGrid>
        <w:gridCol w:w="961"/>
        <w:gridCol w:w="1017"/>
        <w:gridCol w:w="1195"/>
        <w:gridCol w:w="1295"/>
        <w:gridCol w:w="1017"/>
        <w:gridCol w:w="1195"/>
        <w:gridCol w:w="1295"/>
        <w:gridCol w:w="1017"/>
        <w:gridCol w:w="1195"/>
      </w:tblGrid>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Year</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Oil Revenue</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Compound Growth Rate of Oil Revenue</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Percentage Contribution of Oil Revenue to the Total</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Non-Oil Revenue</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Compound Growth Rate of Non-Oil Revenue</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Percentage Contribution of Non-Oil Revenue to the Total</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Total Public Revenue</w:t>
            </w:r>
          </w:p>
        </w:tc>
        <w:tc>
          <w:tcPr>
            <w:tcW w:w="1584"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Compound Growth Rate of Total Revenue</w:t>
            </w: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2004</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32,601</w:t>
            </w:r>
          </w:p>
        </w:tc>
        <w:tc>
          <w:tcPr>
            <w:tcW w:w="0" w:type="auto"/>
            <w:vMerge w:val="restart"/>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0.16</w:t>
            </w: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98.5</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0,488</w:t>
            </w:r>
          </w:p>
        </w:tc>
        <w:tc>
          <w:tcPr>
            <w:tcW w:w="0" w:type="auto"/>
            <w:vMerge w:val="restart"/>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0.80</w:t>
            </w: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1.5</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33,089</w:t>
            </w:r>
          </w:p>
        </w:tc>
        <w:tc>
          <w:tcPr>
            <w:tcW w:w="1584" w:type="dxa"/>
            <w:vMerge w:val="restart"/>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0.19</w:t>
            </w: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2005</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39,411</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97.1</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1,165</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2.9</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40,576</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2006</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46,904</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95.4</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2,241</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4.5</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49,145</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2007</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49,663</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90.8</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5,016</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9.2</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54,679</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lastRenderedPageBreak/>
              <w:t>2008</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71,078</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88.4</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9,273</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11.6</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80,351</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2009</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48,449</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87.7</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6,782</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12.3</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55,231</w:t>
            </w:r>
          </w:p>
        </w:tc>
        <w:tc>
          <w:tcPr>
            <w:tcW w:w="1584" w:type="dxa"/>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2010</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61,134</w:t>
            </w:r>
          </w:p>
        </w:tc>
        <w:tc>
          <w:tcPr>
            <w:tcW w:w="0" w:type="auto"/>
            <w:vMerge w:val="restart"/>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0.14</w:t>
            </w: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88.0</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8,428</w:t>
            </w:r>
          </w:p>
        </w:tc>
        <w:tc>
          <w:tcPr>
            <w:tcW w:w="0" w:type="auto"/>
            <w:vMerge w:val="restart"/>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0.03</w:t>
            </w: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12.0</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69,562</w:t>
            </w:r>
          </w:p>
        </w:tc>
        <w:tc>
          <w:tcPr>
            <w:tcW w:w="1584" w:type="dxa"/>
            <w:vMerge w:val="restart"/>
            <w:shd w:val="clear" w:color="auto" w:fill="auto"/>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0.13</w:t>
            </w: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2011</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97,129</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97.0</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2,925</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3.0</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100,054</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2012</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109,655</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91.7</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9,900</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8.3</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119,555</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2013</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104,072</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91.3</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9,820</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8.7</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113,892</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2014</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97,055</w:t>
            </w:r>
          </w:p>
        </w:tc>
        <w:tc>
          <w:tcPr>
            <w:tcW w:w="0" w:type="auto"/>
            <w:vMerge w:val="restart"/>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(0.09)</w:t>
            </w: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92.0</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8,396</w:t>
            </w:r>
          </w:p>
        </w:tc>
        <w:tc>
          <w:tcPr>
            <w:tcW w:w="0" w:type="auto"/>
            <w:vMerge w:val="restart"/>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0.09</w:t>
            </w: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8.0</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105,451</w:t>
            </w:r>
          </w:p>
        </w:tc>
        <w:tc>
          <w:tcPr>
            <w:tcW w:w="1584" w:type="dxa"/>
            <w:vMerge w:val="restart"/>
            <w:shd w:val="clear" w:color="auto" w:fill="auto"/>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(0.07)</w:t>
            </w: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2015</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51,339</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77.1</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15,230</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22.9</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66,569</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2016</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44,776</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82.3</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9,565</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17.7</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54,341</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2017</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65,112</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84.2</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12,195</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15.8</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77,307</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2018</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96,199</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90.1</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10,488</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9.9</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106,687</w:t>
            </w:r>
          </w:p>
        </w:tc>
        <w:tc>
          <w:tcPr>
            <w:tcW w:w="1584" w:type="dxa"/>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2019</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102,015</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94.8</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5,551</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5.2</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107,566</w:t>
            </w:r>
          </w:p>
        </w:tc>
        <w:tc>
          <w:tcPr>
            <w:tcW w:w="1584" w:type="dxa"/>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2020</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60,214</w:t>
            </w:r>
          </w:p>
        </w:tc>
        <w:tc>
          <w:tcPr>
            <w:tcW w:w="0" w:type="auto"/>
            <w:vMerge w:val="restart"/>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0.35</w:t>
            </w: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95.2</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2,985</w:t>
            </w:r>
          </w:p>
        </w:tc>
        <w:tc>
          <w:tcPr>
            <w:tcW w:w="0" w:type="auto"/>
            <w:vMerge w:val="restart"/>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0.60</w:t>
            </w: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4.8</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63,199</w:t>
            </w:r>
          </w:p>
        </w:tc>
        <w:tc>
          <w:tcPr>
            <w:tcW w:w="1584" w:type="dxa"/>
            <w:vMerge w:val="restart"/>
            <w:shd w:val="clear" w:color="auto" w:fill="auto"/>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0.36</w:t>
            </w:r>
          </w:p>
        </w:tc>
      </w:tr>
      <w:tr w:rsidR="00E92A86" w:rsidRPr="00435B9B" w:rsidTr="00DA432C">
        <w:trPr>
          <w:trHeight w:val="70"/>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2021</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96,655</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88.6</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12,426</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11.4</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109,081</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2022</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149,386</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92.3</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12,311</w:t>
            </w:r>
          </w:p>
        </w:tc>
        <w:tc>
          <w:tcPr>
            <w:tcW w:w="0" w:type="auto"/>
            <w:vMerge/>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7.7</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161,697</w:t>
            </w:r>
          </w:p>
        </w:tc>
        <w:tc>
          <w:tcPr>
            <w:tcW w:w="1584" w:type="dxa"/>
            <w:vMerge/>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2023</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125,882</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92.7</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9,799</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7.3</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135,681</w:t>
            </w:r>
          </w:p>
        </w:tc>
        <w:tc>
          <w:tcPr>
            <w:tcW w:w="1584" w:type="dxa"/>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2024</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134,000</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89.3</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16,000</w:t>
            </w: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10.7</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150,000</w:t>
            </w:r>
          </w:p>
        </w:tc>
        <w:tc>
          <w:tcPr>
            <w:tcW w:w="1584" w:type="dxa"/>
            <w:shd w:val="clear" w:color="auto" w:fill="auto"/>
            <w:vAlign w:val="center"/>
          </w:tcPr>
          <w:p w:rsidR="00E92A86" w:rsidRPr="00435B9B" w:rsidRDefault="00E92A86" w:rsidP="00DA432C">
            <w:pPr>
              <w:pStyle w:val="NoSpacing"/>
              <w:jc w:val="center"/>
              <w:rPr>
                <w:rFonts w:asciiTheme="minorBidi" w:hAnsiTheme="minorBidi" w:cstheme="minorBidi"/>
                <w:bCs/>
              </w:rPr>
            </w:pPr>
          </w:p>
        </w:tc>
      </w:tr>
      <w:tr w:rsidR="00E92A86" w:rsidRPr="00435B9B" w:rsidTr="00DA432C">
        <w:trPr>
          <w:jc w:val="center"/>
        </w:trPr>
        <w:tc>
          <w:tcPr>
            <w:tcW w:w="63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Average</w:t>
            </w:r>
          </w:p>
        </w:tc>
        <w:tc>
          <w:tcPr>
            <w:tcW w:w="88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90.7</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Pr>
            </w:pPr>
          </w:p>
        </w:tc>
        <w:tc>
          <w:tcPr>
            <w:tcW w:w="0" w:type="auto"/>
            <w:vAlign w:val="center"/>
          </w:tcPr>
          <w:p w:rsidR="00E92A86" w:rsidRPr="00435B9B" w:rsidRDefault="00E92A86" w:rsidP="00DA432C">
            <w:pPr>
              <w:pStyle w:val="NoSpacing"/>
              <w:jc w:val="center"/>
              <w:rPr>
                <w:rFonts w:asciiTheme="minorBidi" w:hAnsiTheme="minorBidi" w:cstheme="minorBidi"/>
                <w:bCs/>
              </w:rPr>
            </w:pPr>
          </w:p>
        </w:tc>
        <w:tc>
          <w:tcPr>
            <w:tcW w:w="0" w:type="auto"/>
            <w:shd w:val="clear" w:color="auto" w:fill="auto"/>
            <w:vAlign w:val="center"/>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tl/>
                <w:lang w:bidi="ar-IQ"/>
              </w:rPr>
              <w:t>9.3%</w:t>
            </w:r>
          </w:p>
        </w:tc>
        <w:tc>
          <w:tcPr>
            <w:tcW w:w="0" w:type="auto"/>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bCs/>
                <w:rtl/>
                <w:lang w:bidi="ar-IQ"/>
              </w:rPr>
            </w:pPr>
          </w:p>
        </w:tc>
        <w:tc>
          <w:tcPr>
            <w:tcW w:w="1584" w:type="dxa"/>
            <w:shd w:val="clear" w:color="auto" w:fill="auto"/>
            <w:vAlign w:val="center"/>
          </w:tcPr>
          <w:p w:rsidR="00E92A86" w:rsidRPr="00435B9B" w:rsidRDefault="00E92A86" w:rsidP="00DA432C">
            <w:pPr>
              <w:pStyle w:val="NoSpacing"/>
              <w:jc w:val="center"/>
              <w:rPr>
                <w:rFonts w:asciiTheme="minorBidi" w:hAnsiTheme="minorBidi" w:cstheme="minorBidi"/>
                <w:bCs/>
              </w:rPr>
            </w:pPr>
          </w:p>
        </w:tc>
      </w:tr>
    </w:tbl>
    <w:p w:rsidR="00E92A86" w:rsidRPr="00435B9B" w:rsidRDefault="00E92A86" w:rsidP="00E92A86">
      <w:pPr>
        <w:pStyle w:val="NoSpacing"/>
        <w:jc w:val="both"/>
        <w:rPr>
          <w:rFonts w:asciiTheme="minorBidi" w:hAnsiTheme="minorBidi" w:cstheme="minorBidi"/>
        </w:rPr>
      </w:pPr>
      <w:r w:rsidRPr="00950806">
        <w:rPr>
          <w:rFonts w:asciiTheme="minorBidi" w:hAnsiTheme="minorBidi" w:cstheme="minorBidi"/>
          <w:b/>
          <w:bCs/>
        </w:rPr>
        <w:t>Source</w:t>
      </w:r>
      <w:r>
        <w:rPr>
          <w:rFonts w:asciiTheme="minorBidi" w:hAnsiTheme="minorBidi" w:cstheme="minorBidi"/>
        </w:rPr>
        <w:t xml:space="preserve">: </w:t>
      </w:r>
      <w:r w:rsidRPr="00435B9B">
        <w:rPr>
          <w:rFonts w:asciiTheme="minorBidi" w:hAnsiTheme="minorBidi" w:cstheme="minorBidi"/>
        </w:rPr>
        <w:t>Ministry of Finance, Economic Department, Technical Information Division, various years (2004-2022).</w:t>
      </w:r>
    </w:p>
    <w:p w:rsidR="00E92A86" w:rsidRDefault="00E92A86" w:rsidP="00E92A86">
      <w:pPr>
        <w:pStyle w:val="NoSpacing"/>
        <w:rPr>
          <w:rFonts w:asciiTheme="minorBidi" w:hAnsiTheme="minorBidi" w:cstheme="minorBidi"/>
        </w:rPr>
      </w:pPr>
    </w:p>
    <w:p w:rsidR="00E92A86" w:rsidRPr="00435B9B" w:rsidRDefault="00E92A86" w:rsidP="00E92A86">
      <w:pPr>
        <w:pStyle w:val="NoSpacing"/>
        <w:jc w:val="center"/>
        <w:rPr>
          <w:rFonts w:asciiTheme="minorBidi" w:hAnsiTheme="minorBidi" w:cstheme="minorBidi"/>
        </w:rPr>
      </w:pPr>
      <w:r w:rsidRPr="00435B9B">
        <w:rPr>
          <w:rFonts w:asciiTheme="minorBidi" w:hAnsiTheme="minorBidi" w:cstheme="minorBidi"/>
          <w:noProof/>
          <w:rtl/>
        </w:rPr>
        <w:drawing>
          <wp:inline distT="0" distB="0" distL="0" distR="0" wp14:anchorId="33126AF2" wp14:editId="649D9A5B">
            <wp:extent cx="4276725" cy="2644442"/>
            <wp:effectExtent l="19050" t="19050" r="9525" b="22860"/>
            <wp:docPr id="6" name="صورة 6" descr="C:\Users\ELOM\Downloads\chart (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OM\Downloads\chart (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1072" cy="2647130"/>
                    </a:xfrm>
                    <a:prstGeom prst="rect">
                      <a:avLst/>
                    </a:prstGeom>
                    <a:noFill/>
                    <a:ln>
                      <a:solidFill>
                        <a:schemeClr val="tx1"/>
                      </a:solidFill>
                    </a:ln>
                  </pic:spPr>
                </pic:pic>
              </a:graphicData>
            </a:graphic>
          </wp:inline>
        </w:drawing>
      </w:r>
    </w:p>
    <w:p w:rsidR="00E92A86" w:rsidRPr="00FE4FF7" w:rsidRDefault="00E92A86" w:rsidP="00E92A86">
      <w:pPr>
        <w:pStyle w:val="NoSpacing"/>
        <w:jc w:val="center"/>
        <w:rPr>
          <w:rFonts w:asciiTheme="minorBidi" w:hAnsiTheme="minorBidi" w:cstheme="minorBidi"/>
          <w:b/>
          <w:bCs/>
        </w:rPr>
      </w:pPr>
      <w:r w:rsidRPr="00FE4FF7">
        <w:rPr>
          <w:rFonts w:asciiTheme="minorBidi" w:hAnsiTheme="minorBidi" w:cstheme="minorBidi"/>
          <w:b/>
          <w:bCs/>
        </w:rPr>
        <w:t xml:space="preserve">Figure </w:t>
      </w:r>
      <w:r w:rsidR="005F38FB">
        <w:rPr>
          <w:rFonts w:asciiTheme="minorBidi" w:hAnsiTheme="minorBidi" w:cstheme="minorBidi"/>
          <w:b/>
          <w:bCs/>
        </w:rPr>
        <w:t>2</w:t>
      </w:r>
      <w:r w:rsidRPr="00FE4FF7">
        <w:rPr>
          <w:rFonts w:asciiTheme="minorBidi" w:hAnsiTheme="minorBidi" w:cstheme="minorBidi"/>
          <w:b/>
          <w:bCs/>
        </w:rPr>
        <w:t>: Percentage Contribution of Oil and Non-Oil Revenues to Public Revenues (2004-2022)</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Source: Ministry of Finance, Economic Department, Technical Information Division, various years (2004-2022).</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It is noted from Table 1 that the total public revenues for the period (2004-2008) amounted to (33.089) trillion dinars in 2004 and increased to about (80.351) trillion dinars in 2008, i.e., by a percentage of (0.19%), due to the increase in the compound growth rate of oil revenues to about (0.16%), as a result of the increase in the price of a barrel of Iraqi oil to (87.9) dollars/barrel in 2008 after it was about (31.3) dollars/barrel in 2004, as well as the increase in the proportion of non-oil revenues, especially customs taxes and fees from total public revenues</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In 2009, total public revenues decreased to about (55.231) trillion dinars, affected by oil revenues – the largest percentage in public revenues – which decreased to about (48.449) trillion dinars after it was about (71.078) trillion dinars in 2008 due to the global financial crisis, which caused a deficit in the general budget, and this is evidence of the correlation and dependence of local financial indicators on international crises</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As for the period (2010-2013), the improvement in global economic conditions after the financial crisis and the gradual rise in oil prices in international markets, which reached more than (105) dollars/barrel, led to an increase in Iraqi oil revenues to (104.072) trillion dinars in 2013 after it was (61.134) in 2010, i.e., a compound growth rate of (0.14%), but non-oil revenues remained relatively stable, due to the decrease in the contribution of non-oil sectors and activities to generating revenues, especially the volume of taxes that witnessed large exemptions during the mentioned period, which reflects the rentier nature of the Iraqi economy and the dependence of public revenues on oil sector revenues</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 xml:space="preserve">The period (2014-2017) witnessed instability in global oil prices due to the recession that hit the economies of the world at the beginning of 2014, which was reflected in the decline in global economic growth, as the price of a barrel of global oil decreased from (96.2) to (49.3) dollars/barrel between 2014 and 2017, and the rate of decline in oil revenues reached </w:t>
      </w:r>
      <w:r w:rsidRPr="00435B9B">
        <w:rPr>
          <w:rFonts w:asciiTheme="minorBidi" w:hAnsiTheme="minorBidi" w:cstheme="minorBidi"/>
        </w:rPr>
        <w:lastRenderedPageBreak/>
        <w:t>about (50%) for the period (2014-2017), which was reflected negatively on public revenues, which decreased from (105,451) trillion dinars in 2014 to about (77,307) trillion dinars in 2017, for several reasons, including the war with terrorist organizations (ISIS) and its occupation of a third of Iraq's area, especially some lands that contain crude oil wells, despite the fact that non-oil revenues achieved an increase in their percentage, reaching about (20.3%) of total revenues, but they did not reach the level that would make them a substitute for oil revenues, which indicates that the state's economy is still unilateral, in addition to the fact that the private sector did not take its role in financing the government's general budget due to the challenges and exceptional circumstances that the country is going through, and that oil revenues, despite the decline in their prices globally, still constitute the largest percentage of total public revenues</w:t>
      </w:r>
      <w:r w:rsidRPr="00435B9B">
        <w:rPr>
          <w:rFonts w:asciiTheme="minorBidi" w:hAnsiTheme="minorBidi" w:cstheme="minorBidi"/>
          <w:rtl/>
          <w:lang w:bidi="ar-IQ"/>
        </w:rPr>
        <w:t>.</w:t>
      </w:r>
      <w:r>
        <w:rPr>
          <w:rFonts w:asciiTheme="minorBidi" w:hAnsiTheme="minorBidi" w:cstheme="minorBidi"/>
        </w:rPr>
        <w:t xml:space="preserve"> </w:t>
      </w:r>
      <w:r w:rsidRPr="00435B9B">
        <w:rPr>
          <w:rFonts w:asciiTheme="minorBidi" w:hAnsiTheme="minorBidi" w:cstheme="minorBidi"/>
        </w:rPr>
        <w:t>As for the years 2018 and 2019, the volume of public revenues recorded an increase, which amounted to about (106,687 and 107,566) trillion dinars, respectively, as a result of the improvement in global oil prices and the increase in the export capacity of Iraqi crude oil to more than 4000 m/b, including the share of the Kurdistan Region, which amounted to about 250 thousand barrels at the time, which achieved a relative recovery in economic activity in the country after years of war with ISIS gangs that imposed austerity on Iraq at that time</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period (2020-2022) witnessed an increase in public revenues with a compound growth rate of (0.36%) as a result of the opening of international trade, the improvement of economic conditions in the world, and the rise in oil prices, which led to an increase in the compound growth of oil and non-oil revenues by about (0.35%) and (0.60%). In general, it is noted the weakness of non-oil revenues (tax and non-tax) in contributing to total revenues during the period (2004-2024), except in 2015, it achieved a contribution rate of about (22.9%) due to the military and economic events that Iraq was exposed to, except that, the rate in the average of the period reached about (9.3%), which is a weak rate that reflects the large imbalance in public revenues and the excessive dependence on oil revenues in Iraq.</w:t>
      </w:r>
    </w:p>
    <w:p w:rsidR="00E92A86" w:rsidRDefault="00E92A86" w:rsidP="00E92A86">
      <w:pPr>
        <w:pStyle w:val="NoSpacing"/>
        <w:jc w:val="both"/>
        <w:rPr>
          <w:rFonts w:asciiTheme="minorBidi" w:hAnsiTheme="minorBidi" w:cstheme="minorBidi"/>
          <w:b/>
        </w:rPr>
      </w:pPr>
      <w:r w:rsidRPr="00435B9B">
        <w:rPr>
          <w:rFonts w:asciiTheme="minorBidi" w:hAnsiTheme="minorBidi" w:cstheme="minorBidi"/>
          <w:b/>
        </w:rPr>
        <w:t>2</w:t>
      </w:r>
      <w:r>
        <w:rPr>
          <w:rFonts w:asciiTheme="minorBidi" w:hAnsiTheme="minorBidi" w:cstheme="minorBidi"/>
          <w:b/>
        </w:rPr>
        <w:t>.5</w:t>
      </w:r>
      <w:r w:rsidRPr="00435B9B">
        <w:rPr>
          <w:rFonts w:asciiTheme="minorBidi" w:hAnsiTheme="minorBidi" w:cstheme="minorBidi"/>
          <w:b/>
        </w:rPr>
        <w:t xml:space="preserve"> Analysis of the Reality of Tax in Iraq</w:t>
      </w:r>
    </w:p>
    <w:p w:rsidR="00E92A86" w:rsidRPr="00435B9B" w:rsidRDefault="00E92A86" w:rsidP="00E92A86">
      <w:pPr>
        <w:pStyle w:val="NoSpacing"/>
        <w:jc w:val="both"/>
        <w:rPr>
          <w:rFonts w:asciiTheme="minorBidi" w:hAnsiTheme="minorBidi" w:cstheme="minorBidi"/>
          <w:b/>
        </w:rPr>
      </w:pPr>
      <w:r>
        <w:rPr>
          <w:rFonts w:asciiTheme="minorBidi" w:hAnsiTheme="minorBidi" w:cstheme="minorBidi"/>
          <w:b/>
        </w:rPr>
        <w:t xml:space="preserve">2.5.1 </w:t>
      </w:r>
      <w:r w:rsidRPr="00435B9B">
        <w:rPr>
          <w:rFonts w:asciiTheme="minorBidi" w:hAnsiTheme="minorBidi" w:cstheme="minorBidi"/>
          <w:b/>
        </w:rPr>
        <w:t xml:space="preserve">Analysis of the </w:t>
      </w:r>
      <w:r>
        <w:rPr>
          <w:rFonts w:asciiTheme="minorBidi" w:hAnsiTheme="minorBidi" w:cstheme="minorBidi"/>
          <w:b/>
        </w:rPr>
        <w:t>Reality of Tax Revenues in Iraq</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There is no doubt that the volume of tax revenues in general is weak, and this is related to two main directions: (First) a decrease in the size of the tax base in addition to the presence of corruption and bureaucracy, which the government has stated on more than one occasion in the authorities concerned with collecting taxes, and (Second) tax exemptions</w:t>
      </w:r>
      <w:r w:rsidRPr="00435B9B">
        <w:rPr>
          <w:rFonts w:asciiTheme="minorBidi" w:hAnsiTheme="minorBidi" w:cstheme="minorBidi"/>
          <w:rtl/>
          <w:lang w:bidi="ar-IQ"/>
        </w:rPr>
        <w:t>.</w:t>
      </w:r>
      <w:r w:rsidRPr="00435B9B">
        <w:rPr>
          <w:rFonts w:asciiTheme="minorBidi" w:hAnsiTheme="minorBidi" w:cstheme="minorBidi"/>
        </w:rPr>
        <w:t xml:space="preserve"> Based on the above, there should be gradual plans to remove tax exemptions on profitable state institutions, reform the salary tax, and review customs duties in the near term. Material increases in revenues can also be achieved by making salary taxes more progressive, and subjecting public sector allowances to tax, which can be as large as salaries, as personal income tax is withheld directly from the source (Ministry of Finance to the State Treasury).</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Then work on reviewing the structure of the customs tariff, in addition to unifying customs regulations with the Kurdistan Regional Government, and imposing new fees (for example, on cigarettes) and sales taxes on luxury goods should also contribute to non-oil revenues. Targeted technical cooperation in tax policy can help enrich and develop the design of these revenue mobilization measures, and then further improvements in revenue and customs management can bring additional revenues</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Also, the authorities should build on the notable progress made in the ASYCUDA system experience by expanding its use at other border control points and adjusting customs operations in accordance with the new system. In the medium term, imposing a general sales tax or value-added tax can enhance other revenues in the general budget</w:t>
      </w:r>
      <w:r w:rsidRPr="00435B9B">
        <w:rPr>
          <w:rFonts w:asciiTheme="minorBidi" w:hAnsiTheme="minorBidi" w:cstheme="minorBidi"/>
          <w:rtl/>
          <w:lang w:bidi="ar-IQ"/>
        </w:rPr>
        <w:t>.</w:t>
      </w:r>
    </w:p>
    <w:p w:rsidR="00E92A86" w:rsidRPr="00435B9B" w:rsidRDefault="00E92A86" w:rsidP="00E92A86">
      <w:pPr>
        <w:pStyle w:val="NoSpacing"/>
        <w:jc w:val="both"/>
        <w:rPr>
          <w:rFonts w:asciiTheme="minorBidi" w:hAnsiTheme="minorBidi" w:cstheme="minorBidi"/>
          <w:b/>
        </w:rPr>
      </w:pPr>
      <w:r>
        <w:rPr>
          <w:rFonts w:asciiTheme="minorBidi" w:hAnsiTheme="minorBidi" w:cstheme="minorBidi"/>
          <w:b/>
        </w:rPr>
        <w:t>2.5.2</w:t>
      </w:r>
      <w:r w:rsidRPr="00435B9B">
        <w:rPr>
          <w:rFonts w:asciiTheme="minorBidi" w:hAnsiTheme="minorBidi" w:cstheme="minorBidi"/>
          <w:b/>
        </w:rPr>
        <w:t xml:space="preserve"> Analysis of the Reality of Non-Tax Revenues in Iraq</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Fin tech payments benefit from large digital platforms to fill gaps in the traditional payment system, including (mobile payments, online payments, and other digital currencies). These have the ability and efficiency to achieve the best collection of public revenues, especially tax and non-tax revenues. Fin tech helps financial management achieve optimal collection for the State Treasury</w:t>
      </w:r>
      <w:r w:rsidRPr="00435B9B">
        <w:rPr>
          <w:rFonts w:asciiTheme="minorBidi" w:hAnsiTheme="minorBidi" w:cstheme="minorBidi"/>
          <w:rtl/>
          <w:lang w:bidi="ar-IQ"/>
        </w:rPr>
        <w:t>.</w:t>
      </w:r>
      <w:r w:rsidRPr="00435B9B">
        <w:rPr>
          <w:rFonts w:asciiTheme="minorBidi" w:hAnsiTheme="minorBidi" w:cstheme="minorBidi"/>
        </w:rPr>
        <w:t xml:space="preserve"> Likewise, the use of fintech in financial policy realizes various benefits – including promoting financial transparency, improving public budget planning and implementation, and modernizing cash management – if the institutional and technological capabilities of the government (public sector) are enhanced and the waste in public money is reduced. Table (2) shows the most important areas in which fintech can improve the management of financial policy, as well as the benefits achieved when introducing fintech in collecting non-tax revenues in particular</w:t>
      </w:r>
      <w:r w:rsidRPr="00435B9B">
        <w:rPr>
          <w:rFonts w:asciiTheme="minorBidi" w:hAnsiTheme="minorBidi" w:cstheme="minorBidi"/>
          <w:rtl/>
          <w:lang w:bidi="ar-IQ"/>
        </w:rPr>
        <w:t>:</w:t>
      </w:r>
    </w:p>
    <w:p w:rsidR="00E92A86" w:rsidRPr="00311341" w:rsidRDefault="00E92A86" w:rsidP="00E92A86">
      <w:pPr>
        <w:pStyle w:val="NoSpacing"/>
        <w:jc w:val="center"/>
        <w:rPr>
          <w:rFonts w:asciiTheme="minorBidi" w:hAnsiTheme="minorBidi" w:cstheme="minorBidi"/>
          <w:b/>
        </w:rPr>
      </w:pPr>
      <w:r w:rsidRPr="00311341">
        <w:rPr>
          <w:rFonts w:asciiTheme="minorBidi" w:hAnsiTheme="minorBidi" w:cstheme="minorBidi"/>
          <w:b/>
        </w:rPr>
        <w:t>Table 2: Payment Applications Using Fintech in Financial Policy Management</w:t>
      </w:r>
    </w:p>
    <w:tbl>
      <w:tblPr>
        <w:tblW w:w="9103" w:type="dxa"/>
        <w:jc w:val="center"/>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1951"/>
        <w:gridCol w:w="1433"/>
        <w:gridCol w:w="1187"/>
        <w:gridCol w:w="1800"/>
        <w:gridCol w:w="2732"/>
      </w:tblGrid>
      <w:tr w:rsidR="00E92A86" w:rsidRPr="00435B9B" w:rsidTr="00DA432C">
        <w:trPr>
          <w:tblHeader/>
          <w:tblCellSpacing w:w="15" w:type="dxa"/>
          <w:jc w:val="center"/>
        </w:trPr>
        <w:tc>
          <w:tcPr>
            <w:tcW w:w="3320" w:type="dxa"/>
            <w:gridSpan w:val="2"/>
            <w:vMerge w:val="restart"/>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Vertical &amp; Horizontal Titles</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Types of Payments in the Field of Financial Technology</w:t>
            </w:r>
          </w:p>
        </w:tc>
      </w:tr>
      <w:tr w:rsidR="00E92A86" w:rsidRPr="00435B9B" w:rsidTr="00DA432C">
        <w:trPr>
          <w:trHeight w:val="1534"/>
          <w:tblHeader/>
          <w:tblCellSpacing w:w="15" w:type="dxa"/>
          <w:jc w:val="center"/>
        </w:trPr>
        <w:tc>
          <w:tcPr>
            <w:tcW w:w="3320" w:type="dxa"/>
            <w:gridSpan w:val="2"/>
            <w:vMerge/>
            <w:shd w:val="clear" w:color="auto" w:fill="D9D9D9" w:themeFill="background1" w:themeFillShade="D9"/>
            <w:vAlign w:val="center"/>
            <w:hideMark/>
          </w:tcPr>
          <w:p w:rsidR="00E92A86" w:rsidRPr="00435B9B" w:rsidRDefault="00E92A86" w:rsidP="00DA432C">
            <w:pPr>
              <w:pStyle w:val="NoSpacing"/>
              <w:jc w:val="center"/>
              <w:rPr>
                <w:rFonts w:asciiTheme="minorBidi" w:hAnsiTheme="minorBidi" w:cstheme="minorBidi"/>
              </w:rPr>
            </w:pPr>
          </w:p>
        </w:tc>
        <w:tc>
          <w:tcPr>
            <w:tcW w:w="11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Mobile Payments</w:t>
            </w:r>
          </w:p>
        </w:tc>
        <w:tc>
          <w:tcPr>
            <w:tcW w:w="176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Internet-Based Fin tech Payments</w:t>
            </w:r>
          </w:p>
        </w:tc>
        <w:tc>
          <w:tcPr>
            <w:tcW w:w="27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Digital Currencies (Mainly Central Bank Digital Currencies</w:t>
            </w:r>
            <w:r w:rsidRPr="00435B9B">
              <w:rPr>
                <w:rFonts w:asciiTheme="minorBidi" w:hAnsiTheme="minorBidi" w:cstheme="minorBidi"/>
                <w:rtl/>
              </w:rPr>
              <w:t>)</w:t>
            </w:r>
          </w:p>
        </w:tc>
      </w:tr>
      <w:tr w:rsidR="00E92A86" w:rsidRPr="00435B9B" w:rsidTr="00DA432C">
        <w:trPr>
          <w:tblCellSpacing w:w="15" w:type="dxa"/>
          <w:jc w:val="center"/>
        </w:trPr>
        <w:tc>
          <w:tcPr>
            <w:tcW w:w="1912"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 xml:space="preserve">Areas Where Fin </w:t>
            </w:r>
            <w:r w:rsidRPr="00435B9B">
              <w:rPr>
                <w:rFonts w:asciiTheme="minorBidi" w:hAnsiTheme="minorBidi" w:cstheme="minorBidi"/>
              </w:rPr>
              <w:lastRenderedPageBreak/>
              <w:t>tech Can Improve Public Financial Management</w:t>
            </w:r>
            <w:r w:rsidRPr="00435B9B">
              <w:rPr>
                <w:rFonts w:asciiTheme="minorBidi" w:hAnsiTheme="minorBidi" w:cstheme="minorBidi"/>
                <w:rtl/>
                <w:lang w:bidi="ar-IQ"/>
              </w:rPr>
              <w:t>:</w:t>
            </w: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lastRenderedPageBreak/>
              <w:t xml:space="preserve">State </w:t>
            </w:r>
            <w:r w:rsidRPr="00435B9B">
              <w:rPr>
                <w:rFonts w:asciiTheme="minorBidi" w:hAnsiTheme="minorBidi" w:cstheme="minorBidi"/>
              </w:rPr>
              <w:lastRenderedPageBreak/>
              <w:t>Treasury Payments: Covered by Mobile Payments</w:t>
            </w:r>
          </w:p>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w:t>
            </w:r>
          </w:p>
          <w:p w:rsidR="00E92A86" w:rsidRPr="00435B9B" w:rsidRDefault="00E92A86" w:rsidP="00DA432C">
            <w:pPr>
              <w:pStyle w:val="NoSpacing"/>
              <w:jc w:val="center"/>
              <w:rPr>
                <w:rFonts w:asciiTheme="minorBidi" w:hAnsiTheme="minorBidi" w:cstheme="minorBidi"/>
              </w:rPr>
            </w:pP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lastRenderedPageBreak/>
              <w:t xml:space="preserve">Cash </w:t>
            </w:r>
            <w:r w:rsidRPr="00435B9B">
              <w:rPr>
                <w:rFonts w:asciiTheme="minorBidi" w:hAnsiTheme="minorBidi" w:cstheme="minorBidi"/>
              </w:rPr>
              <w:lastRenderedPageBreak/>
              <w:t>Transfer Programs (G2P</w:t>
            </w:r>
            <w:r w:rsidRPr="00435B9B">
              <w:rPr>
                <w:rFonts w:asciiTheme="minorBidi" w:hAnsiTheme="minorBidi" w:cstheme="minorBidi"/>
                <w:rtl/>
                <w:lang w:bidi="ar-IQ"/>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lastRenderedPageBreak/>
              <w:t xml:space="preserve">Salaries &amp; </w:t>
            </w:r>
            <w:r w:rsidRPr="00435B9B">
              <w:rPr>
                <w:rFonts w:asciiTheme="minorBidi" w:hAnsiTheme="minorBidi" w:cstheme="minorBidi"/>
              </w:rPr>
              <w:lastRenderedPageBreak/>
              <w:t>Pensions (G2P) &amp; Payments to Vendors, e.g., Food Importers/Traders (G2B</w:t>
            </w:r>
            <w:r w:rsidRPr="00435B9B">
              <w:rPr>
                <w:rFonts w:asciiTheme="minorBidi" w:hAnsiTheme="minorBidi" w:cstheme="minorBidi"/>
                <w:rtl/>
                <w:lang w:bidi="ar-IQ"/>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lastRenderedPageBreak/>
              <w:t xml:space="preserve">E-Vouchers for Health </w:t>
            </w:r>
            <w:r w:rsidRPr="00435B9B">
              <w:rPr>
                <w:rFonts w:asciiTheme="minorBidi" w:hAnsiTheme="minorBidi" w:cstheme="minorBidi"/>
              </w:rPr>
              <w:lastRenderedPageBreak/>
              <w:t>Services &amp; Cash Transfers (G2P</w:t>
            </w:r>
            <w:r w:rsidRPr="00435B9B">
              <w:rPr>
                <w:rFonts w:asciiTheme="minorBidi" w:hAnsiTheme="minorBidi" w:cstheme="minorBidi"/>
                <w:rtl/>
              </w:rPr>
              <w:t>)</w:t>
            </w:r>
          </w:p>
        </w:tc>
      </w:tr>
      <w:tr w:rsidR="00E92A86" w:rsidRPr="00435B9B" w:rsidTr="00DA432C">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92A86" w:rsidRPr="00435B9B" w:rsidRDefault="00E92A86" w:rsidP="00DA432C">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Collection of Non-Tax Revenues</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Fees, Fines, &amp; Royalties (P2G</w:t>
            </w:r>
            <w:r w:rsidRPr="00435B9B">
              <w:rPr>
                <w:rFonts w:asciiTheme="minorBidi" w:hAnsiTheme="minorBidi" w:cstheme="minorBidi"/>
                <w:rtl/>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Highway Tolls, Passport Fees, Fees for Agricultural Services, etc. (P2G &amp; B2G</w:t>
            </w:r>
            <w:r w:rsidRPr="00435B9B">
              <w:rPr>
                <w:rFonts w:asciiTheme="minorBidi" w:hAnsiTheme="minorBidi" w:cstheme="minorBidi"/>
                <w:rtl/>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All Categories of Non-Tax Revenues (P2G &amp; B2G</w:t>
            </w:r>
            <w:r w:rsidRPr="00435B9B">
              <w:rPr>
                <w:rFonts w:asciiTheme="minorBidi" w:hAnsiTheme="minorBidi" w:cstheme="minorBidi"/>
                <w:rtl/>
                <w:lang w:bidi="ar-IQ"/>
              </w:rPr>
              <w:t>)</w:t>
            </w:r>
          </w:p>
        </w:tc>
      </w:tr>
      <w:tr w:rsidR="00E92A86" w:rsidRPr="00435B9B" w:rsidTr="00DA432C">
        <w:trPr>
          <w:tblCellSpacing w:w="15" w:type="dxa"/>
          <w:jc w:val="center"/>
        </w:trPr>
        <w:tc>
          <w:tcPr>
            <w:tcW w:w="1912"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Benefits of Fintech in Public Financial Management</w:t>
            </w: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Greater Financial Transparency</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Generation of Real &amp; Reliable Data that Can Be Published in the Public Domain Through Financial Transparency Portals, Enhancing Accountability &amp; Traceability of Payment Data</w:t>
            </w:r>
          </w:p>
        </w:tc>
      </w:tr>
      <w:tr w:rsidR="00E92A86" w:rsidRPr="00435B9B" w:rsidTr="00DA432C">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92A86" w:rsidRPr="00435B9B" w:rsidRDefault="00E92A86" w:rsidP="00DA432C">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Better Budget Planning &amp; Execution</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Better Information for Resource Allocation at the Project Planning Stage, Improved Execution of the General Budget, Especially for Social Welfare Programs Through the Use of Fintech Applications to Deliver Payments</w:t>
            </w:r>
          </w:p>
        </w:tc>
      </w:tr>
      <w:tr w:rsidR="00E92A86" w:rsidRPr="00435B9B" w:rsidTr="00DA432C">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92A86" w:rsidRPr="00435B9B" w:rsidRDefault="00E92A86" w:rsidP="00DA432C">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Improved Cash Management</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Stronger Single Treasury Account Operations &amp; Improved Daily Cash Management Based on More Accurate &amp; Timely Data</w:t>
            </w:r>
          </w:p>
        </w:tc>
      </w:tr>
    </w:tbl>
    <w:p w:rsidR="00E92A86" w:rsidRPr="002E4EB2" w:rsidRDefault="00E92A86" w:rsidP="00E92A86">
      <w:pPr>
        <w:pStyle w:val="NoSpacing"/>
        <w:jc w:val="both"/>
        <w:rPr>
          <w:rFonts w:asciiTheme="minorBidi" w:hAnsiTheme="minorBidi" w:cstheme="minorBidi"/>
          <w:bCs/>
          <w:lang w:bidi="ar-IQ"/>
        </w:rPr>
      </w:pPr>
      <w:r>
        <w:rPr>
          <w:rFonts w:asciiTheme="minorBidi" w:hAnsiTheme="minorBidi" w:cstheme="minorBidi"/>
          <w:bCs/>
          <w:lang w:bidi="ar-IQ"/>
        </w:rPr>
        <w:t xml:space="preserve">Source: </w:t>
      </w:r>
      <w:r>
        <w:rPr>
          <w:rFonts w:asciiTheme="minorBidi" w:hAnsiTheme="minorBidi" w:cstheme="minorBidi"/>
        </w:rPr>
        <w:t>(</w:t>
      </w:r>
      <w:r w:rsidRPr="00435B9B">
        <w:rPr>
          <w:rFonts w:asciiTheme="minorBidi" w:hAnsiTheme="minorBidi" w:cstheme="minorBidi"/>
        </w:rPr>
        <w:t>CBDC) central bank digital currency</w:t>
      </w:r>
      <w:r w:rsidRPr="00435B9B">
        <w:rPr>
          <w:rFonts w:asciiTheme="minorBidi" w:hAnsiTheme="minorBidi" w:cstheme="minorBidi"/>
          <w:rtl/>
          <w:lang w:bidi="ar-IQ"/>
        </w:rPr>
        <w:t>)</w:t>
      </w:r>
      <w:r w:rsidRPr="00435B9B">
        <w:rPr>
          <w:rFonts w:asciiTheme="minorBidi" w:hAnsiTheme="minorBidi" w:cstheme="minorBidi"/>
          <w:rtl/>
        </w:rPr>
        <w:t xml:space="preserve"> = </w:t>
      </w:r>
      <w:r w:rsidRPr="00435B9B">
        <w:rPr>
          <w:rFonts w:asciiTheme="minorBidi" w:hAnsiTheme="minorBidi" w:cstheme="minorBidi"/>
        </w:rPr>
        <w:t>public financial management</w:t>
      </w:r>
      <w:r w:rsidRPr="00435B9B">
        <w:rPr>
          <w:rFonts w:asciiTheme="minorBidi" w:hAnsiTheme="minorBidi" w:cstheme="minorBidi" w:hint="cs"/>
          <w:rtl/>
          <w:lang w:bidi="ar-IQ"/>
        </w:rPr>
        <w:t xml:space="preserve"> </w:t>
      </w:r>
      <w:r w:rsidRPr="00435B9B">
        <w:rPr>
          <w:rFonts w:asciiTheme="minorBidi" w:hAnsiTheme="minorBidi" w:cstheme="minorBidi"/>
          <w:rtl/>
          <w:lang w:bidi="ar-IQ"/>
        </w:rPr>
        <w:t>(</w:t>
      </w:r>
      <w:r w:rsidRPr="00435B9B">
        <w:rPr>
          <w:rFonts w:asciiTheme="minorBidi" w:hAnsiTheme="minorBidi" w:cstheme="minorBidi"/>
        </w:rPr>
        <w:t>PFM</w:t>
      </w:r>
      <w:r w:rsidRPr="00435B9B">
        <w:rPr>
          <w:rFonts w:asciiTheme="minorBidi" w:hAnsiTheme="minorBidi" w:cstheme="minorBidi" w:hint="cs"/>
          <w:rtl/>
        </w:rPr>
        <w:t>) =</w:t>
      </w:r>
      <w:r w:rsidRPr="00435B9B">
        <w:rPr>
          <w:rFonts w:asciiTheme="minorBidi" w:hAnsiTheme="minorBidi" w:cstheme="minorBidi"/>
          <w:rtl/>
        </w:rPr>
        <w:t xml:space="preserve"> </w:t>
      </w:r>
      <w:r w:rsidRPr="00435B9B">
        <w:rPr>
          <w:rFonts w:asciiTheme="minorBidi" w:hAnsiTheme="minorBidi" w:cstheme="minorBidi"/>
        </w:rPr>
        <w:t>government-to-business</w:t>
      </w:r>
      <w:r w:rsidRPr="00435B9B">
        <w:rPr>
          <w:rFonts w:asciiTheme="minorBidi" w:hAnsiTheme="minorBidi" w:cstheme="minorBidi"/>
          <w:rtl/>
        </w:rPr>
        <w:t> (</w:t>
      </w:r>
      <w:r w:rsidRPr="00435B9B">
        <w:rPr>
          <w:rFonts w:asciiTheme="minorBidi" w:hAnsiTheme="minorBidi" w:cstheme="minorBidi"/>
        </w:rPr>
        <w:t>G2</w:t>
      </w:r>
      <w:r w:rsidRPr="00435B9B">
        <w:rPr>
          <w:rFonts w:asciiTheme="minorBidi" w:hAnsiTheme="minorBidi" w:cstheme="minorBidi"/>
          <w:rtl/>
        </w:rPr>
        <w:t xml:space="preserve">) = </w:t>
      </w:r>
      <w:r w:rsidRPr="00435B9B">
        <w:rPr>
          <w:rFonts w:asciiTheme="minorBidi" w:hAnsiTheme="minorBidi" w:cstheme="minorBidi"/>
        </w:rPr>
        <w:t>government-to-persons</w:t>
      </w:r>
      <w:r w:rsidRPr="00435B9B">
        <w:rPr>
          <w:rFonts w:asciiTheme="minorBidi" w:hAnsiTheme="minorBidi" w:cstheme="minorBidi"/>
          <w:rtl/>
        </w:rPr>
        <w:t> </w:t>
      </w:r>
      <w:r w:rsidRPr="00435B9B">
        <w:rPr>
          <w:rFonts w:asciiTheme="minorBidi" w:hAnsiTheme="minorBidi" w:cstheme="minorBidi"/>
        </w:rPr>
        <w:t>(G2P)</w:t>
      </w:r>
      <w:r w:rsidRPr="00435B9B">
        <w:rPr>
          <w:rFonts w:asciiTheme="minorBidi" w:hAnsiTheme="minorBidi" w:cstheme="minorBidi"/>
          <w:rtl/>
        </w:rPr>
        <w:t xml:space="preserve"> = </w:t>
      </w:r>
      <w:r w:rsidRPr="00435B9B">
        <w:rPr>
          <w:rFonts w:asciiTheme="minorBidi" w:hAnsiTheme="minorBidi" w:cstheme="minorBidi"/>
        </w:rPr>
        <w:t>business-to-government</w:t>
      </w:r>
      <w:r w:rsidRPr="00435B9B">
        <w:rPr>
          <w:rFonts w:asciiTheme="minorBidi" w:hAnsiTheme="minorBidi" w:cstheme="minorBidi"/>
          <w:rtl/>
        </w:rPr>
        <w:t> (</w:t>
      </w:r>
      <w:r w:rsidRPr="00435B9B">
        <w:rPr>
          <w:rFonts w:asciiTheme="minorBidi" w:hAnsiTheme="minorBidi" w:cstheme="minorBidi"/>
        </w:rPr>
        <w:t>(B2G</w:t>
      </w:r>
      <w:r w:rsidRPr="00435B9B">
        <w:rPr>
          <w:rFonts w:asciiTheme="minorBidi" w:hAnsiTheme="minorBidi" w:cstheme="minorBidi"/>
          <w:rtl/>
        </w:rPr>
        <w:t xml:space="preserve"> </w:t>
      </w:r>
      <w:r w:rsidRPr="00435B9B">
        <w:rPr>
          <w:rFonts w:asciiTheme="minorBidi" w:hAnsiTheme="minorBidi" w:cstheme="minorBidi" w:hint="cs"/>
          <w:rtl/>
        </w:rPr>
        <w:t xml:space="preserve">= </w:t>
      </w:r>
      <w:r w:rsidRPr="00435B9B">
        <w:rPr>
          <w:rFonts w:asciiTheme="minorBidi" w:hAnsiTheme="minorBidi" w:cstheme="minorBidi"/>
        </w:rPr>
        <w:t>Regarding</w:t>
      </w:r>
      <w:r w:rsidRPr="00435B9B">
        <w:rPr>
          <w:rFonts w:asciiTheme="minorBidi" w:hAnsiTheme="minorBidi" w:cstheme="minorBidi"/>
          <w:bCs/>
        </w:rPr>
        <w:t xml:space="preserve"> non-tax revenues in Iraq's fiscal policy, there are two main categories:</w:t>
      </w:r>
    </w:p>
    <w:p w:rsidR="00E92A86" w:rsidRPr="00435B9B" w:rsidRDefault="00E92A86" w:rsidP="00E92A86">
      <w:pPr>
        <w:pStyle w:val="NoSpacing"/>
        <w:numPr>
          <w:ilvl w:val="0"/>
          <w:numId w:val="3"/>
        </w:numPr>
        <w:jc w:val="both"/>
        <w:rPr>
          <w:rFonts w:asciiTheme="minorBidi" w:hAnsiTheme="minorBidi" w:cstheme="minorBidi"/>
        </w:rPr>
      </w:pPr>
      <w:r w:rsidRPr="00435B9B">
        <w:rPr>
          <w:rFonts w:asciiTheme="minorBidi" w:hAnsiTheme="minorBidi" w:cstheme="minorBidi"/>
        </w:rPr>
        <w:t>Non-tax revenues resulting from royalties and similar charges, such as those derived from extractive industries and dividend payments from state-owned enterprises.</w:t>
      </w:r>
    </w:p>
    <w:p w:rsidR="00E92A86" w:rsidRPr="00435B9B" w:rsidRDefault="00E92A86" w:rsidP="00E92A86">
      <w:pPr>
        <w:pStyle w:val="NoSpacing"/>
        <w:numPr>
          <w:ilvl w:val="0"/>
          <w:numId w:val="3"/>
        </w:numPr>
        <w:jc w:val="both"/>
        <w:rPr>
          <w:rFonts w:asciiTheme="minorBidi" w:hAnsiTheme="minorBidi" w:cstheme="minorBidi"/>
        </w:rPr>
      </w:pPr>
      <w:r w:rsidRPr="00435B9B">
        <w:rPr>
          <w:rFonts w:asciiTheme="minorBidi" w:hAnsiTheme="minorBidi" w:cstheme="minorBidi"/>
        </w:rPr>
        <w:t>Non-tax revenues from fees for goods and services provided by government entities, such as passport issuance, port fees, agricultural service fees, fines, and penalties, as well as certain health and education services.</w:t>
      </w:r>
    </w:p>
    <w:p w:rsidR="00E92A86" w:rsidRPr="00E92A86" w:rsidRDefault="00E92A86" w:rsidP="00E92A86">
      <w:pPr>
        <w:pStyle w:val="NoSpacing"/>
        <w:jc w:val="both"/>
        <w:rPr>
          <w:rFonts w:asciiTheme="minorBidi" w:hAnsiTheme="minorBidi" w:cstheme="minorBidi"/>
        </w:rPr>
      </w:pPr>
      <w:r w:rsidRPr="00435B9B">
        <w:rPr>
          <w:rFonts w:asciiTheme="minorBidi" w:hAnsiTheme="minorBidi" w:cstheme="minorBidi"/>
        </w:rPr>
        <w:t>Governments and public sector companies have benefited from the advantages of fintech payments, as they provide additional avenues for making payments using electronic payment platforms, and in some cases, mobile money (internet). Fintech payments allow users to make payments anytime, anywhere, using multiple payment platforms, which could include central bank digital currencies in the future, if the necessary infrastructure is available. Table 3 illustrates the process of governing and collecting non-tax revenues through various payment systems, consistent with developments in technologically advanced financial services. This leads to increased revenues and their full collection into the state treasury, thereby increasing the contribution of these revenues to the total revenues that finance g</w:t>
      </w:r>
      <w:r>
        <w:rPr>
          <w:rFonts w:asciiTheme="minorBidi" w:hAnsiTheme="minorBidi" w:cstheme="minorBidi"/>
        </w:rPr>
        <w:t>overnment expenditures in Iraq.</w:t>
      </w:r>
    </w:p>
    <w:p w:rsidR="00E92A86" w:rsidRPr="00242A7E" w:rsidRDefault="00E92A86" w:rsidP="00E92A86">
      <w:pPr>
        <w:pStyle w:val="NoSpacing"/>
        <w:jc w:val="center"/>
        <w:rPr>
          <w:rFonts w:asciiTheme="minorBidi" w:hAnsiTheme="minorBidi" w:cstheme="minorBidi"/>
          <w:b/>
        </w:rPr>
      </w:pPr>
      <w:r w:rsidRPr="00242A7E">
        <w:rPr>
          <w:rFonts w:asciiTheme="minorBidi" w:hAnsiTheme="minorBidi" w:cstheme="minorBidi"/>
          <w:b/>
        </w:rPr>
        <w:t xml:space="preserve">Table 3: Use of Fintech Payments </w:t>
      </w:r>
      <w:proofErr w:type="gramStart"/>
      <w:r w:rsidRPr="00242A7E">
        <w:rPr>
          <w:rFonts w:asciiTheme="minorBidi" w:hAnsiTheme="minorBidi" w:cstheme="minorBidi"/>
          <w:b/>
        </w:rPr>
        <w:t>in</w:t>
      </w:r>
      <w:r>
        <w:rPr>
          <w:rFonts w:asciiTheme="minorBidi" w:hAnsiTheme="minorBidi" w:cstheme="minorBidi"/>
          <w:b/>
        </w:rPr>
        <w:t xml:space="preserve"> </w:t>
      </w:r>
      <w:r w:rsidRPr="00242A7E">
        <w:rPr>
          <w:rFonts w:asciiTheme="minorBidi" w:hAnsiTheme="minorBidi" w:cstheme="minorBidi"/>
          <w:b/>
        </w:rPr>
        <w:t xml:space="preserve"> Governance</w:t>
      </w:r>
      <w:proofErr w:type="gramEnd"/>
      <w:r w:rsidRPr="00242A7E">
        <w:rPr>
          <w:rFonts w:asciiTheme="minorBidi" w:hAnsiTheme="minorBidi" w:cstheme="minorBidi"/>
          <w:b/>
        </w:rPr>
        <w:t xml:space="preserve"> and Non-Tax Revenues</w:t>
      </w:r>
      <w:r w:rsidRPr="00F40C79">
        <w:rPr>
          <w:rFonts w:asciiTheme="minorBidi" w:hAnsiTheme="minorBidi" w:cstheme="minorBidi"/>
          <w:b/>
        </w:rPr>
        <w:t xml:space="preserve"> </w:t>
      </w:r>
      <w:r w:rsidRPr="00242A7E">
        <w:rPr>
          <w:rFonts w:asciiTheme="minorBidi" w:hAnsiTheme="minorBidi" w:cstheme="minorBidi"/>
          <w:b/>
        </w:rPr>
        <w:t>Collection</w:t>
      </w:r>
    </w:p>
    <w:tbl>
      <w:tblPr>
        <w:tblW w:w="10395" w:type="dxa"/>
        <w:jc w:val="center"/>
        <w:tblCellSpacing w:w="15" w:type="dxa"/>
        <w:tblBorders>
          <w:top w:val="single" w:sz="6" w:space="0" w:color="EEEEEE"/>
          <w:left w:val="single" w:sz="6" w:space="0" w:color="EEEEEE"/>
          <w:bottom w:val="single" w:sz="6" w:space="0" w:color="EEEEEE"/>
          <w:right w:val="single" w:sz="6" w:space="0" w:color="EEEEEE"/>
        </w:tblBorders>
        <w:tblLayout w:type="fixed"/>
        <w:tblCellMar>
          <w:top w:w="15" w:type="dxa"/>
          <w:left w:w="15" w:type="dxa"/>
          <w:bottom w:w="15" w:type="dxa"/>
          <w:right w:w="15" w:type="dxa"/>
        </w:tblCellMar>
        <w:tblLook w:val="04A0" w:firstRow="1" w:lastRow="0" w:firstColumn="1" w:lastColumn="0" w:noHBand="0" w:noVBand="1"/>
      </w:tblPr>
      <w:tblGrid>
        <w:gridCol w:w="1748"/>
        <w:gridCol w:w="1984"/>
        <w:gridCol w:w="2416"/>
        <w:gridCol w:w="2268"/>
        <w:gridCol w:w="1979"/>
      </w:tblGrid>
      <w:tr w:rsidR="00E92A86" w:rsidRPr="00435B9B" w:rsidTr="00DA432C">
        <w:trPr>
          <w:tblHeade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Types of Fintech</w:t>
            </w:r>
          </w:p>
        </w:tc>
        <w:tc>
          <w:tcPr>
            <w:tcW w:w="195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Key Features</w:t>
            </w:r>
          </w:p>
        </w:tc>
        <w:tc>
          <w:tcPr>
            <w:tcW w:w="23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Enabling Conditions</w:t>
            </w:r>
          </w:p>
        </w:tc>
        <w:tc>
          <w:tcPr>
            <w:tcW w:w="22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Key Benefits</w:t>
            </w:r>
          </w:p>
        </w:tc>
        <w:tc>
          <w:tcPr>
            <w:tcW w:w="19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Main Risks and Challenges</w:t>
            </w:r>
          </w:p>
        </w:tc>
      </w:tr>
      <w:tr w:rsidR="00E92A86" w:rsidRPr="00435B9B" w:rsidTr="00DA432C">
        <w:trPr>
          <w:trHeight w:val="2684"/>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lastRenderedPageBreak/>
              <w:t>Mobile Money</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1-Bank accounts are not required. 2- Large cash disbursement network. 3- Low IT infrastructure requirements</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1- High penetration of mobile networks. 2- Large number of mobile phone users. 3- Integration between mobile network operators, banks, and government service providers</w:t>
            </w:r>
            <w:r w:rsidRPr="00435B9B">
              <w:rPr>
                <w:rFonts w:asciiTheme="minorBidi" w:hAnsiTheme="minorBidi" w:cstheme="minorBidi"/>
                <w:bCs/>
                <w:rtl/>
                <w:lang w:bidi="ar-IQ"/>
              </w:rPr>
              <w:t>.</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tl/>
                <w:lang w:bidi="ar-IQ"/>
              </w:rPr>
              <w:t xml:space="preserve">1. </w:t>
            </w:r>
            <w:r w:rsidRPr="00435B9B">
              <w:rPr>
                <w:rFonts w:asciiTheme="minorBidi" w:hAnsiTheme="minorBidi" w:cstheme="minorBidi"/>
                <w:bCs/>
              </w:rPr>
              <w:t>Easier to pay.</w:t>
            </w:r>
          </w:p>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2. Lower operating costs</w:t>
            </w:r>
            <w:r w:rsidRPr="00435B9B">
              <w:rPr>
                <w:rFonts w:asciiTheme="minorBidi" w:hAnsiTheme="minorBidi" w:cstheme="minorBidi"/>
                <w:bCs/>
                <w:rtl/>
                <w:lang w:bidi="ar-IQ"/>
              </w:rPr>
              <w:t>.</w:t>
            </w:r>
          </w:p>
        </w:tc>
        <w:tc>
          <w:tcPr>
            <w:tcW w:w="1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 Settlement of transactions between the accounting system and banks. 2- Lack of internal controls may lead to accounting errors and financial fraud</w:t>
            </w:r>
            <w:r w:rsidRPr="00435B9B">
              <w:rPr>
                <w:rFonts w:asciiTheme="minorBidi" w:hAnsiTheme="minorBidi" w:cstheme="minorBidi"/>
                <w:bCs/>
                <w:rtl/>
                <w:lang w:bidi="ar-IQ"/>
              </w:rPr>
              <w:t>.</w:t>
            </w:r>
          </w:p>
        </w:tc>
      </w:tr>
      <w:tr w:rsidR="00E92A86" w:rsidRPr="00435B9B" w:rsidTr="00DA432C">
        <w:trP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Electronic Payments</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1-Easy authentication of high-value payments. 2- Anytime, anywhere</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1-</w:t>
            </w:r>
            <w:r w:rsidRPr="00435B9B">
              <w:rPr>
                <w:rFonts w:asciiTheme="minorBidi" w:hAnsiTheme="minorBidi" w:cstheme="minorBidi"/>
                <w:bCs/>
                <w:rtl/>
              </w:rPr>
              <w:t xml:space="preserve"> </w:t>
            </w:r>
            <w:r w:rsidRPr="00435B9B">
              <w:rPr>
                <w:rFonts w:asciiTheme="minorBidi" w:hAnsiTheme="minorBidi" w:cstheme="minorBidi"/>
                <w:bCs/>
              </w:rPr>
              <w:t>Access to the internet and banking services. 2- Integration of the Financial Management Information System and banking systems</w:t>
            </w:r>
            <w:r w:rsidRPr="00435B9B">
              <w:rPr>
                <w:rFonts w:asciiTheme="minorBidi" w:hAnsiTheme="minorBidi" w:cstheme="minorBidi"/>
                <w:bCs/>
                <w:rtl/>
              </w:rPr>
              <w:t>.</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 xml:space="preserve">Collect large amounts of revenue related to government services online (such as port fees, state-owned enterprise profits, </w:t>
            </w:r>
            <w:proofErr w:type="spellStart"/>
            <w:r w:rsidRPr="00435B9B">
              <w:rPr>
                <w:rFonts w:asciiTheme="minorBidi" w:hAnsiTheme="minorBidi" w:cstheme="minorBidi"/>
                <w:bCs/>
              </w:rPr>
              <w:t>etc</w:t>
            </w:r>
            <w:proofErr w:type="spellEnd"/>
            <w:r w:rsidRPr="00435B9B">
              <w:rPr>
                <w:rFonts w:asciiTheme="minorBidi" w:hAnsiTheme="minorBidi" w:cstheme="minorBidi"/>
                <w:bCs/>
                <w:rtl/>
              </w:rPr>
              <w:t>.</w:t>
            </w:r>
            <w:r w:rsidRPr="00435B9B">
              <w:rPr>
                <w:rFonts w:asciiTheme="minorBidi" w:hAnsiTheme="minorBidi" w:cstheme="minorBidi"/>
                <w:bCs/>
              </w:rPr>
              <w:t>)</w:t>
            </w:r>
            <w:r w:rsidRPr="00435B9B">
              <w:rPr>
                <w:rFonts w:asciiTheme="minorBidi" w:hAnsiTheme="minorBidi" w:cstheme="minorBidi"/>
                <w:bCs/>
                <w:rtl/>
              </w:rPr>
              <w:t>.</w:t>
            </w:r>
          </w:p>
        </w:tc>
        <w:tc>
          <w:tcPr>
            <w:tcW w:w="1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Possible inaccessibility to personal accounts in case of data hacking</w:t>
            </w:r>
            <w:r w:rsidRPr="00435B9B">
              <w:rPr>
                <w:rFonts w:asciiTheme="minorBidi" w:hAnsiTheme="minorBidi" w:cstheme="minorBidi"/>
                <w:bCs/>
                <w:rtl/>
              </w:rPr>
              <w:t>.</w:t>
            </w:r>
          </w:p>
        </w:tc>
      </w:tr>
      <w:tr w:rsidR="00E92A86" w:rsidRPr="00435B9B" w:rsidTr="00DA432C">
        <w:trP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Central Bank Digital Currencies CBDC</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Pr>
              <w:t>An evolving area, may help governments collect non-tax revenue, but this depends on the infrastructure adopted</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Integrating the central bank digital currency into the existing government payment and settlement system's infrastructure (underlying and overlaying).</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A86" w:rsidRPr="00435B9B" w:rsidRDefault="00E92A86" w:rsidP="00DA432C">
            <w:pPr>
              <w:pStyle w:val="NoSpacing"/>
              <w:jc w:val="center"/>
              <w:rPr>
                <w:rFonts w:asciiTheme="minorBidi" w:hAnsiTheme="minorBidi" w:cstheme="minorBidi"/>
                <w:bCs/>
                <w:rtl/>
                <w:lang w:bidi="ar-IQ"/>
              </w:rPr>
            </w:pPr>
            <w:r w:rsidRPr="00435B9B">
              <w:rPr>
                <w:rFonts w:asciiTheme="minorBidi" w:hAnsiTheme="minorBidi" w:cstheme="minorBidi"/>
                <w:bCs/>
              </w:rPr>
              <w:t>Electronic proof of payments against service delivery</w:t>
            </w:r>
            <w:r w:rsidRPr="00435B9B">
              <w:rPr>
                <w:rFonts w:asciiTheme="minorBidi" w:hAnsiTheme="minorBidi" w:cstheme="minorBidi"/>
                <w:bCs/>
                <w:rtl/>
              </w:rPr>
              <w:t>.</w:t>
            </w:r>
          </w:p>
        </w:tc>
        <w:tc>
          <w:tcPr>
            <w:tcW w:w="1934" w:type="dxa"/>
            <w:tcBorders>
              <w:top w:val="single" w:sz="6" w:space="0" w:color="000000"/>
              <w:left w:val="single" w:sz="4" w:space="0" w:color="auto"/>
              <w:bottom w:val="single" w:sz="4" w:space="0" w:color="auto"/>
              <w:right w:val="single" w:sz="4" w:space="0" w:color="auto"/>
            </w:tcBorders>
            <w:vAlign w:val="center"/>
            <w:hideMark/>
          </w:tcPr>
          <w:p w:rsidR="00E92A86" w:rsidRPr="00435B9B" w:rsidRDefault="00E92A86" w:rsidP="00DA432C">
            <w:pPr>
              <w:pStyle w:val="NoSpacing"/>
              <w:jc w:val="center"/>
              <w:rPr>
                <w:rFonts w:asciiTheme="minorBidi" w:hAnsiTheme="minorBidi" w:cstheme="minorBidi"/>
                <w:bCs/>
              </w:rPr>
            </w:pPr>
            <w:r w:rsidRPr="00435B9B">
              <w:rPr>
                <w:rFonts w:asciiTheme="minorBidi" w:hAnsiTheme="minorBidi" w:cstheme="minorBidi"/>
                <w:bCs/>
                <w:rtl/>
              </w:rPr>
              <w:t>(</w:t>
            </w:r>
            <w:r w:rsidRPr="00435B9B">
              <w:rPr>
                <w:rFonts w:asciiTheme="minorBidi" w:hAnsiTheme="minorBidi" w:cstheme="minorBidi"/>
                <w:bCs/>
              </w:rPr>
              <w:t>No risks/challenges provided in the original text</w:t>
            </w:r>
          </w:p>
        </w:tc>
      </w:tr>
    </w:tbl>
    <w:p w:rsidR="00E92A86" w:rsidRPr="00435B9B" w:rsidRDefault="00E92A86" w:rsidP="00E92A86">
      <w:pPr>
        <w:pStyle w:val="NoSpacing"/>
        <w:jc w:val="both"/>
        <w:rPr>
          <w:rFonts w:asciiTheme="minorBidi" w:hAnsiTheme="minorBidi" w:cstheme="minorBidi"/>
        </w:rPr>
      </w:pPr>
      <w:r w:rsidRPr="006B6134">
        <w:rPr>
          <w:rFonts w:asciiTheme="minorBidi" w:hAnsiTheme="minorBidi" w:cstheme="minorBidi"/>
          <w:b/>
          <w:bCs/>
        </w:rPr>
        <w:t>Source</w:t>
      </w:r>
      <w:r w:rsidRPr="00435B9B">
        <w:rPr>
          <w:rFonts w:asciiTheme="minorBidi" w:hAnsiTheme="minorBidi" w:cstheme="minorBidi"/>
        </w:rPr>
        <w:t>: IMF library, (2023): Fintech Payments in Public Financial Management: Benefits and Risks.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use of financial technology (fintech) in non-tax revenue collection requires a data exchange process covering the cost of the service/good provided by the government, or the amount of fines/penalties, and a payment gateway (government-owned, directly linked to the state treasury) to collect it from users or beneficiaries of government services. Therefore, the non-tax revenue collection system may require integration with numerous public service delivery systems managed by government agencies to capture the cost of services/goods. Once the non-tax revenue is collected, the service delivery systems are automatically updated to provide proof of payment. This functionality can also be included as a module in the Financial Management Information System (FMIS). If specific service delivery systems are absent, or if integration is not possible, payment interfaces used by payers must be configured to ensure proof of payment.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Furthermore, to leverage fintech payments in non-tax revenue collection, the state treasury must either develop its own payment gateways or integrate its gateways with those developed by service providers or private payment companies (or restructure them as will happen in government banks according to the decision of the government of Iraq). In either case, the systems must be updated to include services and their accounting classifications to update the accounting system in the FMIS. The system must also ensure proper (integration or back-end linking) with government bank accounts for timely fund collection. Therefore, using fintech payments requires the state treasury to update existing business processes and configure the FMIS. Close coordination with the agency responsible for providing goods and services is essential to ensure accurate collection, accounting, and settlement of funds related to non-tax revenue collection.</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3</w:t>
      </w:r>
      <w:r>
        <w:rPr>
          <w:rFonts w:asciiTheme="minorBidi" w:hAnsiTheme="minorBidi" w:cstheme="minorBidi"/>
          <w:b/>
        </w:rPr>
        <w:t xml:space="preserve">. </w:t>
      </w:r>
      <w:r w:rsidRPr="00435B9B">
        <w:rPr>
          <w:rFonts w:asciiTheme="minorBidi" w:hAnsiTheme="minorBidi" w:cstheme="minorBidi"/>
          <w:b/>
        </w:rPr>
        <w:t>Contribution of Economic Intelligence to Diversifying Revenue Sources in Iraq</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3</w:t>
      </w:r>
      <w:r>
        <w:rPr>
          <w:rFonts w:asciiTheme="minorBidi" w:hAnsiTheme="minorBidi" w:cstheme="minorBidi"/>
          <w:b/>
        </w:rPr>
        <w:t>.</w:t>
      </w:r>
      <w:r w:rsidRPr="00435B9B">
        <w:rPr>
          <w:rFonts w:asciiTheme="minorBidi" w:hAnsiTheme="minorBidi" w:cstheme="minorBidi"/>
          <w:b/>
        </w:rPr>
        <w:t>1 Role of Economic Intelligence in Achieving Economic Growth</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In the environment of the new economy, intensified competition, and the rapid pace of digital and technological developments and information and communication systems, economic intelligence has a significant role and importance in paving the way for economic growth. It is characterized by many features that make it one of the most effective systems for enabling and fulfilling the requirements of development and economic growth in the country.</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3</w:t>
      </w:r>
      <w:r>
        <w:rPr>
          <w:rFonts w:asciiTheme="minorBidi" w:hAnsiTheme="minorBidi" w:cstheme="minorBidi"/>
          <w:b/>
        </w:rPr>
        <w:t xml:space="preserve">.1.1 </w:t>
      </w:r>
      <w:r w:rsidRPr="00435B9B">
        <w:rPr>
          <w:rFonts w:asciiTheme="minorBidi" w:hAnsiTheme="minorBidi" w:cstheme="minorBidi"/>
          <w:b/>
        </w:rPr>
        <w:t>Development of Small and Medium Enterprises (SMEs)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 xml:space="preserve">Economic development and growth are currently essential for both developed and developing countries. Economic studies and experiences have proven that SMEs are the most important engines of sustainable development and one of its main pillars for achieving economic growth in the country, especially in the last two decades of the second millennium. They serve as a source of income development, providing jobs (labor-saving), achieving added value, and creating </w:t>
      </w:r>
      <w:r w:rsidRPr="00435B9B">
        <w:rPr>
          <w:rFonts w:asciiTheme="minorBidi" w:hAnsiTheme="minorBidi" w:cstheme="minorBidi"/>
        </w:rPr>
        <w:lastRenderedPageBreak/>
        <w:t>wealth. The concept of economic intelligence, in its theoretical analysis, is not limited to countries and large institutions alone, but also focuses on SMEs. In this context, experts and specialists indicate that the process of collecting information and using advanced technology is one of the basic components of economic intelligence procedures, which relies on converting data into strategic information and knowledge that helps decision-makers in small businesses make sound decisions. This is reflected positively in the way these projects work and increases profits in an increasingly competitive economic environment. The goals that economic intelligence seeks to achieve in serving SMEs in countries are: (</w:t>
      </w:r>
      <w:proofErr w:type="spellStart"/>
      <w:r w:rsidRPr="00435B9B">
        <w:rPr>
          <w:rFonts w:asciiTheme="minorBidi" w:hAnsiTheme="minorBidi" w:cstheme="minorBidi"/>
        </w:rPr>
        <w:t>Haydaroglu</w:t>
      </w:r>
      <w:proofErr w:type="spellEnd"/>
      <w:r w:rsidRPr="00435B9B">
        <w:rPr>
          <w:rFonts w:asciiTheme="minorBidi" w:hAnsiTheme="minorBidi" w:cstheme="minorBidi"/>
        </w:rPr>
        <w:t>, 2015)</w:t>
      </w:r>
    </w:p>
    <w:p w:rsidR="00E92A86" w:rsidRPr="00435B9B" w:rsidRDefault="00E92A86" w:rsidP="00E92A86">
      <w:pPr>
        <w:pStyle w:val="NoSpacing"/>
        <w:numPr>
          <w:ilvl w:val="0"/>
          <w:numId w:val="4"/>
        </w:numPr>
        <w:jc w:val="both"/>
        <w:rPr>
          <w:rFonts w:asciiTheme="minorBidi" w:hAnsiTheme="minorBidi" w:cstheme="minorBidi"/>
        </w:rPr>
      </w:pPr>
      <w:r w:rsidRPr="00435B9B">
        <w:rPr>
          <w:rFonts w:asciiTheme="minorBidi" w:hAnsiTheme="minorBidi" w:cstheme="minorBidi"/>
        </w:rPr>
        <w:t>The ability to control wealth and enhance the capacity of institutions by collecting information.</w:t>
      </w:r>
    </w:p>
    <w:p w:rsidR="00E92A86" w:rsidRPr="00435B9B" w:rsidRDefault="00E92A86" w:rsidP="00E92A86">
      <w:pPr>
        <w:pStyle w:val="NoSpacing"/>
        <w:numPr>
          <w:ilvl w:val="0"/>
          <w:numId w:val="4"/>
        </w:numPr>
        <w:jc w:val="both"/>
        <w:rPr>
          <w:rFonts w:asciiTheme="minorBidi" w:hAnsiTheme="minorBidi" w:cstheme="minorBidi"/>
        </w:rPr>
      </w:pPr>
      <w:r w:rsidRPr="00435B9B">
        <w:rPr>
          <w:rFonts w:asciiTheme="minorBidi" w:hAnsiTheme="minorBidi" w:cstheme="minorBidi"/>
        </w:rPr>
        <w:t>Discovering anticipated risks and opportunities that can be made available.</w:t>
      </w:r>
    </w:p>
    <w:p w:rsidR="00E92A86" w:rsidRPr="00435B9B" w:rsidRDefault="00E92A86" w:rsidP="00E92A86">
      <w:pPr>
        <w:pStyle w:val="NoSpacing"/>
        <w:numPr>
          <w:ilvl w:val="0"/>
          <w:numId w:val="4"/>
        </w:numPr>
        <w:jc w:val="both"/>
        <w:rPr>
          <w:rFonts w:asciiTheme="minorBidi" w:hAnsiTheme="minorBidi" w:cstheme="minorBidi"/>
        </w:rPr>
      </w:pPr>
      <w:r w:rsidRPr="00435B9B">
        <w:rPr>
          <w:rFonts w:asciiTheme="minorBidi" w:hAnsiTheme="minorBidi" w:cstheme="minorBidi"/>
        </w:rPr>
        <w:t>Coordinating with various activities and creating sectoral linkages.</w:t>
      </w:r>
    </w:p>
    <w:p w:rsidR="00E92A86" w:rsidRPr="00435B9B" w:rsidRDefault="00E92A86" w:rsidP="00E92A86">
      <w:pPr>
        <w:pStyle w:val="NoSpacing"/>
        <w:numPr>
          <w:ilvl w:val="0"/>
          <w:numId w:val="4"/>
        </w:numPr>
        <w:jc w:val="both"/>
        <w:rPr>
          <w:rFonts w:asciiTheme="minorBidi" w:hAnsiTheme="minorBidi" w:cstheme="minorBidi"/>
        </w:rPr>
      </w:pPr>
      <w:r w:rsidRPr="00435B9B">
        <w:rPr>
          <w:rFonts w:asciiTheme="minorBidi" w:hAnsiTheme="minorBidi" w:cstheme="minorBidi"/>
        </w:rPr>
        <w:t>Exerting influence in local and foreign markets.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first three goals can interact with each other to be applied practically. Consequently, they can be utilized in SMEs. The fourth goal, however, is limited to projects with rapid innovation. Despite the specificity of SMEs, especially in the field of information, their advantages make the application of economic intelligence in SMEs more flexible than in large projects. The size of the institution does not affect the process of economic intelligence, and it works in all institutions regardless of their size, taking into account the difference between institutions and the activity of economic intelligence within them. However, some research indicates that project size is an influential element in decisions, especially those related to scientific research, and that only large institutions and companies benefit from economic intelligence due to their ability to bear the costs of practical research.</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From the above, it means that applying economic intelligence systems to the reality of SMEs in Iraq will lead to their revitalization, which will positively affect the increase in the productivity of institutions or companies operating in this field, and then increase tax revenues in the general budget, in addition to increasing the production of goods and services by local labor, which reduces unemployment in the country.</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3</w:t>
      </w:r>
      <w:r>
        <w:rPr>
          <w:rFonts w:asciiTheme="minorBidi" w:hAnsiTheme="minorBidi" w:cstheme="minorBidi"/>
          <w:b/>
        </w:rPr>
        <w:t>.1.2</w:t>
      </w:r>
      <w:r w:rsidRPr="00435B9B">
        <w:rPr>
          <w:rFonts w:asciiTheme="minorBidi" w:hAnsiTheme="minorBidi" w:cstheme="minorBidi"/>
          <w:b/>
        </w:rPr>
        <w:t xml:space="preserve"> Investing in Human Capital</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Human capital plays an important role in serving economic and social development in all countries of the world without exception. Human capital is the most important resource of institutions in the wake of the international trend towards the knowledge economy and scientific innovations, which requires accumulation (quantitatively and qualitatively) in human capital as a result of the rare properties it possesses (</w:t>
      </w:r>
      <w:proofErr w:type="spellStart"/>
      <w:r w:rsidRPr="00435B9B">
        <w:rPr>
          <w:rFonts w:asciiTheme="minorBidi" w:hAnsiTheme="minorBidi" w:cstheme="minorBidi"/>
        </w:rPr>
        <w:t>Martre</w:t>
      </w:r>
      <w:proofErr w:type="spellEnd"/>
      <w:r w:rsidRPr="00435B9B">
        <w:rPr>
          <w:rFonts w:asciiTheme="minorBidi" w:hAnsiTheme="minorBidi" w:cstheme="minorBidi"/>
        </w:rPr>
        <w:t>, 1994, 14).</w:t>
      </w:r>
      <w:r>
        <w:rPr>
          <w:rFonts w:asciiTheme="minorBidi" w:hAnsiTheme="minorBidi" w:cstheme="minorBidi"/>
        </w:rPr>
        <w:t xml:space="preserve"> </w:t>
      </w:r>
      <w:r w:rsidRPr="00435B9B">
        <w:rPr>
          <w:rFonts w:asciiTheme="minorBidi" w:hAnsiTheme="minorBidi" w:cstheme="minorBidi"/>
        </w:rPr>
        <w:t>With the emergence of business intelligence or economic intelligence, institutions sought to prepare strategic plans in an effort to obtain high competitiveness by searching for new employees who possess skills, knowledge, and experiences that do not exist in the institution, as well as the possibility of developing the skills and knowledge of existing employees in the institution by identifying areas of deficiency and then qualifying them in those areas through training programs. Consequently, technological progress increases more rapidly the better educated the workforce is. Investing in human capital contributes to technological progress and economic development and growth processes through its practical as well as scientific importance (Revel, 2018, 20). From the above, investing in human capital in Iraq and integrating it within economic intelligence systems will provide a lot of information about foreign and local markets, which helps in activating economic sectors, especially the industrial and service sectors in various directions, thus reducing the trends of meeting commodity needs through imports, which serves the country.</w:t>
      </w:r>
    </w:p>
    <w:p w:rsidR="00E92A86" w:rsidRPr="00435B9B" w:rsidRDefault="00E92A86" w:rsidP="00E92A86">
      <w:pPr>
        <w:pStyle w:val="NoSpacing"/>
        <w:jc w:val="both"/>
        <w:rPr>
          <w:rFonts w:asciiTheme="minorBidi" w:hAnsiTheme="minorBidi" w:cstheme="minorBidi"/>
          <w:b/>
        </w:rPr>
      </w:pPr>
      <w:r w:rsidRPr="00435B9B">
        <w:rPr>
          <w:rFonts w:asciiTheme="minorBidi" w:hAnsiTheme="minorBidi" w:cstheme="minorBidi"/>
          <w:b/>
        </w:rPr>
        <w:t>3</w:t>
      </w:r>
      <w:r>
        <w:rPr>
          <w:rFonts w:asciiTheme="minorBidi" w:hAnsiTheme="minorBidi" w:cstheme="minorBidi"/>
          <w:b/>
        </w:rPr>
        <w:t>.1.3</w:t>
      </w:r>
      <w:r w:rsidRPr="00435B9B">
        <w:rPr>
          <w:rFonts w:asciiTheme="minorBidi" w:hAnsiTheme="minorBidi" w:cstheme="minorBidi"/>
          <w:b/>
        </w:rPr>
        <w:t xml:space="preserve"> Attracting Foreign Investment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issue of investment is perhaps one of the most attractive issues, especially in the current circumstances for Iraq, which seeks to diversify economic sectors and activities to reach the process of sustainable development and economic growth in the country. Foreign direct investment (FDI) is one of the most important capitals that has witnessed great development due to the important and vital role it plays in the transfer of technology and modern techniques and contributing to the accumulation of capital, raising the efficiency of human capital and improving skills and expertise, which leads to pushing the wheel of development.</w:t>
      </w:r>
      <w:r>
        <w:rPr>
          <w:rFonts w:asciiTheme="minorBidi" w:hAnsiTheme="minorBidi" w:cstheme="minorBidi"/>
        </w:rPr>
        <w:t xml:space="preserve"> </w:t>
      </w:r>
      <w:r w:rsidRPr="00435B9B">
        <w:rPr>
          <w:rFonts w:asciiTheme="minorBidi" w:hAnsiTheme="minorBidi" w:cstheme="minorBidi"/>
        </w:rPr>
        <w:t>Economic intelligence is of great importance in improving the suitability of the business climate and attracting foreign investments, which leads to facilitating access to the necessary information and capabilities by the concerned parties for companies (government and private) wishing to be present in local markets. This facilitates and speeds up the process of presence at the local level and then at the external level (export). Facilitating the decision to be present will reduce the time it takes to make it, allowing the flow of foreign direct investments that contribute to the national development process and increase the economic strength of Iraq. FDI also generates many benefits in many economic and social sectors in countries in the short and long term alike, thus paving the way for achieving sustainable development and economic growth. This can be illustrated in the following points: (</w:t>
      </w:r>
      <w:proofErr w:type="spellStart"/>
      <w:r w:rsidRPr="00435B9B">
        <w:rPr>
          <w:rFonts w:asciiTheme="minorBidi" w:hAnsiTheme="minorBidi" w:cstheme="minorBidi"/>
        </w:rPr>
        <w:t>Haydaroglu</w:t>
      </w:r>
      <w:proofErr w:type="spellEnd"/>
      <w:r w:rsidRPr="00435B9B">
        <w:rPr>
          <w:rFonts w:asciiTheme="minorBidi" w:hAnsiTheme="minorBidi" w:cstheme="minorBidi"/>
        </w:rPr>
        <w:t>, 2015, 99)</w:t>
      </w:r>
      <w:r>
        <w:rPr>
          <w:rFonts w:asciiTheme="minorBidi" w:hAnsiTheme="minorBidi" w:cstheme="minorBidi"/>
        </w:rPr>
        <w:t xml:space="preserve">. </w:t>
      </w:r>
    </w:p>
    <w:p w:rsidR="00E92A86" w:rsidRPr="00435B9B" w:rsidRDefault="00E92A86" w:rsidP="00E92A86">
      <w:pPr>
        <w:pStyle w:val="NoSpacing"/>
        <w:numPr>
          <w:ilvl w:val="0"/>
          <w:numId w:val="5"/>
        </w:numPr>
        <w:jc w:val="both"/>
        <w:rPr>
          <w:rFonts w:asciiTheme="minorBidi" w:hAnsiTheme="minorBidi" w:cstheme="minorBidi"/>
        </w:rPr>
      </w:pPr>
      <w:r w:rsidRPr="00435B9B">
        <w:rPr>
          <w:rFonts w:asciiTheme="minorBidi" w:hAnsiTheme="minorBidi" w:cstheme="minorBidi"/>
        </w:rPr>
        <w:t>Foreign investment leads to increased productivity and fewer environmental pollutants through the transfer of the latest and cleanest technology, which means increased tax collection for the Iraqi government.</w:t>
      </w:r>
    </w:p>
    <w:p w:rsidR="00E92A86" w:rsidRPr="00435B9B" w:rsidRDefault="00E92A86" w:rsidP="00E92A86">
      <w:pPr>
        <w:pStyle w:val="NoSpacing"/>
        <w:numPr>
          <w:ilvl w:val="0"/>
          <w:numId w:val="5"/>
        </w:numPr>
        <w:jc w:val="both"/>
        <w:rPr>
          <w:rFonts w:asciiTheme="minorBidi" w:hAnsiTheme="minorBidi" w:cstheme="minorBidi"/>
        </w:rPr>
      </w:pPr>
      <w:r w:rsidRPr="00435B9B">
        <w:rPr>
          <w:rFonts w:asciiTheme="minorBidi" w:hAnsiTheme="minorBidi" w:cstheme="minorBidi"/>
        </w:rPr>
        <w:t>Foreign investment generates positive effects if these investments are employed in industries that have links to local industries, which effectively contributes to improving the quality of local industries, and then increasing exports and improving the balance of payments, in addition to improving the general work environment and strengthening competition.</w:t>
      </w:r>
    </w:p>
    <w:p w:rsidR="00E92A86" w:rsidRPr="00435B9B" w:rsidRDefault="00E92A86" w:rsidP="00E92A86">
      <w:pPr>
        <w:pStyle w:val="NoSpacing"/>
        <w:numPr>
          <w:ilvl w:val="0"/>
          <w:numId w:val="5"/>
        </w:numPr>
        <w:jc w:val="both"/>
        <w:rPr>
          <w:rFonts w:asciiTheme="minorBidi" w:hAnsiTheme="minorBidi" w:cstheme="minorBidi"/>
        </w:rPr>
      </w:pPr>
      <w:r w:rsidRPr="00435B9B">
        <w:rPr>
          <w:rFonts w:asciiTheme="minorBidi" w:hAnsiTheme="minorBidi" w:cstheme="minorBidi"/>
        </w:rPr>
        <w:lastRenderedPageBreak/>
        <w:t>Foreign direct investment affects the training of labor, raising wages, and producing more advanced products that affect the social reality of the host country.</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3</w:t>
      </w:r>
      <w:r>
        <w:rPr>
          <w:rFonts w:asciiTheme="minorBidi" w:hAnsiTheme="minorBidi" w:cstheme="minorBidi"/>
          <w:b/>
          <w:bCs/>
        </w:rPr>
        <w:t xml:space="preserve">.1.4 </w:t>
      </w:r>
      <w:r w:rsidRPr="00435B9B">
        <w:rPr>
          <w:rFonts w:asciiTheme="minorBidi" w:hAnsiTheme="minorBidi" w:cstheme="minorBidi"/>
          <w:b/>
          <w:bCs/>
        </w:rPr>
        <w:t>Rationalizing Government Spending</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 xml:space="preserve">Government spending has increased significantly in the last decade, leading to a worsening of fiscal deficits and sovereign debt (domestic and external). Most government spending was directed towards consumer sectors. Introducing an economic intelligence strategy will contribute to reducing and rationalizing this spending, especially in the productive industrial and agricultural sectors, which are heavily relied upon to contribute to supporting the Iraqi economy with essential goods and services - especially those imported by the private sector - to achieve self-sufficiency and build a diversified economy based on local and regional competition. The Iraqi economy, if it does not target international and regional markets in particular, is doomed to failure. Moreover, achieving any added value in the non-oil sectors depends on the extent of responsiveness between the existing political system and the economic approach in place, and this is reflected in the prevailing business climate within the </w:t>
      </w:r>
      <w:proofErr w:type="gramStart"/>
      <w:r w:rsidRPr="00435B9B">
        <w:rPr>
          <w:rFonts w:asciiTheme="minorBidi" w:hAnsiTheme="minorBidi" w:cstheme="minorBidi"/>
        </w:rPr>
        <w:t>country</w:t>
      </w:r>
      <w:r>
        <w:rPr>
          <w:rFonts w:asciiTheme="minorBidi" w:hAnsiTheme="minorBidi" w:cstheme="minorBidi"/>
        </w:rPr>
        <w:t>(</w:t>
      </w:r>
      <w:proofErr w:type="gramEnd"/>
      <w:r>
        <w:rPr>
          <w:rFonts w:asciiTheme="minorBidi" w:hAnsiTheme="minorBidi" w:cstheme="minorBidi"/>
        </w:rPr>
        <w:t xml:space="preserve">CBI,2022). </w:t>
      </w:r>
      <w:r w:rsidRPr="00435B9B">
        <w:rPr>
          <w:rFonts w:asciiTheme="minorBidi" w:hAnsiTheme="minorBidi" w:cstheme="minorBidi"/>
        </w:rPr>
        <w:t>In light of the foregoing, it can be said that economic intelligence is necessary and important in Iraq due to its ability to create an investment climate, especially for foreign direct investments, as well as local investments, through its mechanisms that rely on information as a basis to help make appropriate decisions regarding local or foreign investment processes, which attracts investors to work in the country. Furthermore, the introduction of economic intelligence into government operations and activities in auction processes (auction) energy auctions and others will have an important impact on major foreign companies to enter into a competition among themselves to obtain investment contracts in Iraq in the service of the public interest, and then achieve the basic goal, which is to increase tax collection in a way that enhances public revenues in the country."</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3</w:t>
      </w:r>
      <w:r>
        <w:rPr>
          <w:rFonts w:asciiTheme="minorBidi" w:hAnsiTheme="minorBidi" w:cstheme="minorBidi"/>
          <w:b/>
          <w:bCs/>
        </w:rPr>
        <w:t>.</w:t>
      </w:r>
      <w:r w:rsidRPr="00435B9B">
        <w:rPr>
          <w:rFonts w:asciiTheme="minorBidi" w:hAnsiTheme="minorBidi" w:cstheme="minorBidi"/>
          <w:b/>
          <w:bCs/>
        </w:rPr>
        <w:t>2 Enhancing the Competitiveness of Non-Oil Revenues in Iraq: An Economic Intelligence Approach</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Competition is a fundamental pillar of the market economy and an active element in ensuring benefits for all its participants. It provides an incentive for continuous development and innovation by producers of goods and service providers; thus, improving the quality of goods and services and reducing their prices in a way that achieves consumer welfare and satisfies their needs. Real and fair competition also serves the interests of countries in general because it leads to the creation of effective markets that stimulate economic sectors and contribute to the formation of a productive surplus, which benefits the increase in non-oil revenues in Iraq. Ultimately, it creates a large tax base to finance public expenditures in the country. Likewise, economic intelligence seeks to help institutions seize the initiative, prepare for expectations, and study interaction and coordination within institutions operating in the public and private sectors. It is one of the means for the activity of specialists in the economic field and research and development fields through patents, innovation, follow-up, and anticipation of the surrounding environment through the use of technology that monitors opportunities related to technological developments that are interested in searching for institutions and strategic alliances in local or international markets, and monitors expected (competitive) threats not only within institutions but also at the state level.</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process of preserving scientific inventions and innovations requires protecting intellectual property rights. One of the stages of intellectual competition in the knowledge economy is the competition between individual institutions – the competitiveness of the private sector among themselves. This explains the excessive competition, which will reveal the competition and ways to overcome it in the economic structure in the direction of more diverse products and innovations that focus on developing themselves continuously so as not to fall behind the competition that guarantees their sustainability. Cognitive superiority is the basis for global competition, as knowledge has become the most important input in production processes. This superiority determines international and political relations and information technology through the circulation of information, the management of international networks, and the production of technology as an element of this process.</w:t>
      </w:r>
      <w:r>
        <w:rPr>
          <w:rFonts w:asciiTheme="minorBidi" w:hAnsiTheme="minorBidi" w:cstheme="minorBidi"/>
        </w:rPr>
        <w:t xml:space="preserve"> </w:t>
      </w:r>
      <w:r w:rsidRPr="00435B9B">
        <w:rPr>
          <w:rFonts w:asciiTheme="minorBidi" w:hAnsiTheme="minorBidi" w:cstheme="minorBidi"/>
        </w:rPr>
        <w:t>In Iraq, the introduction of economic intelligence into the competitive policy of public and private companies or institutions will practically create competitiveness in the markets - and competition is not limited to the product or service, but extends to the field of research and development. There are several basic categories of bodies that compete at the same level, which are companies, banks, funds, professional associations, and multilateral regional and international organizations, as well as non-governmental organizations, research institutes, high-level agencies, and public authorities regarding international regulations and their powers. Consequently, this leads to the diversification of revenue sources within the country by granting the public and private sectors the ability to optimally exploit the basic opportunities to achieve the desired goals. Table (4) below shows the size of the knowledge economy in Iraq during the period (2004-2024):</w:t>
      </w:r>
    </w:p>
    <w:p w:rsidR="00E92A86" w:rsidRPr="00552DEE" w:rsidRDefault="00E92A86" w:rsidP="00E92A86">
      <w:pPr>
        <w:pStyle w:val="NoSpacing"/>
        <w:jc w:val="center"/>
        <w:rPr>
          <w:rFonts w:asciiTheme="minorBidi" w:hAnsiTheme="minorBidi" w:cstheme="minorBidi"/>
          <w:b/>
          <w:bCs/>
        </w:rPr>
      </w:pPr>
      <w:r w:rsidRPr="00552DEE">
        <w:rPr>
          <w:rFonts w:asciiTheme="minorBidi" w:hAnsiTheme="minorBidi" w:cstheme="minorBidi"/>
          <w:b/>
          <w:bCs/>
        </w:rPr>
        <w:t>Table 4: Key Indicators of Knowledge Economy in Iraq 2004-2024</w:t>
      </w:r>
    </w:p>
    <w:tbl>
      <w:tblPr>
        <w:tblStyle w:val="TableGrid"/>
        <w:tblW w:w="7282" w:type="dxa"/>
        <w:jc w:val="center"/>
        <w:tblLook w:val="04A0" w:firstRow="1" w:lastRow="0" w:firstColumn="1" w:lastColumn="0" w:noHBand="0" w:noVBand="1"/>
      </w:tblPr>
      <w:tblGrid>
        <w:gridCol w:w="852"/>
        <w:gridCol w:w="2547"/>
        <w:gridCol w:w="1843"/>
        <w:gridCol w:w="2040"/>
      </w:tblGrid>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Years</w:t>
            </w:r>
          </w:p>
        </w:tc>
        <w:tc>
          <w:tcPr>
            <w:tcW w:w="2547"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ICT Contribution to GDP (%)</w:t>
            </w:r>
          </w:p>
        </w:tc>
        <w:tc>
          <w:tcPr>
            <w:tcW w:w="184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Education Spending as % of GDP</w:t>
            </w:r>
          </w:p>
        </w:tc>
        <w:tc>
          <w:tcPr>
            <w:tcW w:w="2040"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R&amp;D Spending as % of GDP</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2004</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5.1</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0.8</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0.001</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2005</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3.1</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0.9</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0.005</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rPr>
            </w:pPr>
            <w:r w:rsidRPr="00435B9B">
              <w:rPr>
                <w:rFonts w:asciiTheme="minorBidi" w:hAnsiTheme="minorBidi" w:cstheme="minorBidi"/>
              </w:rPr>
              <w:t>2006</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4.3</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0.9</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0.03</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rPr>
            </w:pPr>
            <w:r w:rsidRPr="00435B9B">
              <w:rPr>
                <w:rFonts w:asciiTheme="minorBidi" w:hAnsiTheme="minorBidi" w:cstheme="minorBidi"/>
              </w:rPr>
              <w:t>2007</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4.9</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1.1</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0.05</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rPr>
            </w:pPr>
            <w:r w:rsidRPr="00435B9B">
              <w:rPr>
                <w:rFonts w:asciiTheme="minorBidi" w:hAnsiTheme="minorBidi" w:cstheme="minorBidi"/>
              </w:rPr>
              <w:t>2008</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2.4</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1.4</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0.03</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rPr>
            </w:pPr>
            <w:r w:rsidRPr="00435B9B">
              <w:rPr>
                <w:rFonts w:asciiTheme="minorBidi" w:hAnsiTheme="minorBidi" w:cstheme="minorBidi"/>
              </w:rPr>
              <w:lastRenderedPageBreak/>
              <w:t>2009</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1.0</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1.0</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0.05</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rPr>
            </w:pPr>
            <w:r w:rsidRPr="00435B9B">
              <w:rPr>
                <w:rFonts w:asciiTheme="minorBidi" w:hAnsiTheme="minorBidi" w:cstheme="minorBidi"/>
              </w:rPr>
              <w:t>2010</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1.1</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2011</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3.9</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1.1</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0.03</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2012</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3.4</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1.2</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0.07</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2013</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1.5</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1.3</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0.06</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2014</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0.4</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1.2</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2015</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1.7</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1.4</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2016</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2.6</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1.4</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2017</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3.7</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1.0</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2018</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4.7</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0.9</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0.06</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2019</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6.0</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1.0</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0.05</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2020</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5.1</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1.1</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rPr>
              <w:t>2021</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5.3</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1.3</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rPr>
              <w:t>2022</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4.3</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1.4</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0.04</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rPr>
              <w:t>2023</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5.2</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1.6</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0.05</w:t>
            </w:r>
          </w:p>
        </w:tc>
      </w:tr>
      <w:tr w:rsidR="00E92A86" w:rsidRPr="00435B9B" w:rsidTr="00DA432C">
        <w:trPr>
          <w:jc w:val="center"/>
        </w:trPr>
        <w:tc>
          <w:tcPr>
            <w:tcW w:w="8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rPr>
              <w:t>2024</w:t>
            </w:r>
          </w:p>
        </w:tc>
        <w:tc>
          <w:tcPr>
            <w:tcW w:w="2547"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5.3</w:t>
            </w:r>
          </w:p>
        </w:tc>
        <w:tc>
          <w:tcPr>
            <w:tcW w:w="1843"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1.6</w:t>
            </w:r>
          </w:p>
        </w:tc>
        <w:tc>
          <w:tcPr>
            <w:tcW w:w="2040"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0.06</w:t>
            </w:r>
          </w:p>
        </w:tc>
      </w:tr>
    </w:tbl>
    <w:p w:rsidR="00E92A86" w:rsidRPr="00435B9B" w:rsidRDefault="00E92A86" w:rsidP="00E92A86">
      <w:pPr>
        <w:pStyle w:val="NoSpacing"/>
        <w:jc w:val="both"/>
        <w:rPr>
          <w:rFonts w:asciiTheme="minorBidi" w:hAnsiTheme="minorBidi" w:cstheme="minorBidi"/>
        </w:rPr>
      </w:pPr>
      <w:r w:rsidRPr="00552DEE">
        <w:rPr>
          <w:rFonts w:asciiTheme="minorBidi" w:hAnsiTheme="minorBidi" w:cstheme="minorBidi"/>
          <w:b/>
          <w:bCs/>
        </w:rPr>
        <w:t>Source</w:t>
      </w:r>
      <w:r w:rsidRPr="00435B9B">
        <w:rPr>
          <w:rFonts w:asciiTheme="minorBidi" w:hAnsiTheme="minorBidi" w:cstheme="minorBidi"/>
        </w:rPr>
        <w:t>: World Bank, Iraq database, Technology and Communications</w:t>
      </w:r>
      <w:r>
        <w:rPr>
          <w:rFonts w:asciiTheme="minorBidi" w:hAnsiTheme="minorBidi" w:cstheme="minorBidi"/>
        </w:rPr>
        <w:t xml:space="preserve"> </w:t>
      </w:r>
      <w:r w:rsidRPr="00435B9B">
        <w:rPr>
          <w:rFonts w:asciiTheme="minorBidi" w:hAnsiTheme="minorBidi" w:cstheme="minorBidi"/>
        </w:rPr>
        <w:t>2004-2024.</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Iraq has significant potential to develop a knowledge-based economy, but it requires a radical shift in priorities and a sustained commitment to investing in education, research and development, and innovation. Addressing governance challenges and diversifying the economy are also crucial steps. Without these changes, Iraq risks falling behind in the global knowledge economy.</w:t>
      </w:r>
      <w:r>
        <w:rPr>
          <w:rFonts w:asciiTheme="minorBidi" w:hAnsiTheme="minorBidi" w:cstheme="minorBidi"/>
        </w:rPr>
        <w:t xml:space="preserve"> </w:t>
      </w:r>
      <w:r w:rsidRPr="00435B9B">
        <w:rPr>
          <w:rFonts w:asciiTheme="minorBidi" w:hAnsiTheme="minorBidi" w:cstheme="minorBidi"/>
        </w:rPr>
        <w:t>It is evident from Table 4 that there is a mixed and somewhat concerning picture of Iraq's progress in developing a knowledge-based economy. Although there are some fluctuations and occasional improvements in individual indicators, the overall levels and trends indicate that Iraq is significantly behind in its transition to a knowledge-driven economic model. This implies slow and inconsistent progress constrained by several factors, and the following is a detailed analysis of the items in Table</w:t>
      </w:r>
      <w:r>
        <w:rPr>
          <w:rFonts w:asciiTheme="minorBidi" w:hAnsiTheme="minorBidi" w:cstheme="minorBidi"/>
        </w:rPr>
        <w:t xml:space="preserve"> 4: </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A- Contribution of Information and Communication Technology (ICT) to GDP</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contribution of the ICT sector to GDP fluctuates significantly from year to year, indicating a lack of sustainable growth and stability. Furthermore, there does not appear to be a steady upward trajectory. Even in peak years (e.g., 2019), the contribution remains relatively low compared to developed or even emerging economies, averaging around (6%) annually, which is much lower than the double-digit figures we see in countries with strong knowledge economies. This volatility is attributed to factors such as inconsistent government policies, underdeveloped infrastructure, lack of private sector investment, or security concerns affecting ICT projects.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B- Spending on Education as a Percentage of GDP</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It is noted that the percentage of spending on education as a percentage of GDP has decreased throughout the research period, ranging around (1%), which is significantly lower than the levels required to build a skilled workforce capable of driving a knowledge economy. The United Nations Educational, Scientific and Cultural Organization (UNESCO) recommends that countries allocate at least (4-6%) of GDP to education to achieve quality education and sustainable development. Iraq's investment is significantly lower than these percentages, and this lack of investment in education has long-term negative effects on the quality of human capital, the ability to innovate, and overall economic competitiveness.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C- Spending on Research and Development (R&amp;D) as a Percentage of GDP</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We find that the percentage of spending on R&amp;D is very low, consistently below (0.1%). This is an incredibly weak indicator of knowledge creation and innovation. Developed economies typically spend between (2-4%) of GDP on R&amp;D, and even emerging economies are increasingly investing more than (1%) to enhance their innovation capabilities. This lack of investment in R&amp;D severely limits Iraq's ability to develop new technologies, improve productivity, and compete in the global knowledge economy. It also perpetuates dependence on oil revenues and hinders economic diversification efforts.</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4</w:t>
      </w:r>
      <w:r>
        <w:rPr>
          <w:rFonts w:asciiTheme="minorBidi" w:hAnsiTheme="minorBidi" w:cstheme="minorBidi"/>
          <w:b/>
          <w:bCs/>
        </w:rPr>
        <w:t xml:space="preserve">. </w:t>
      </w:r>
      <w:r w:rsidRPr="00435B9B">
        <w:rPr>
          <w:rFonts w:asciiTheme="minorBidi" w:hAnsiTheme="minorBidi" w:cstheme="minorBidi"/>
          <w:b/>
          <w:bCs/>
        </w:rPr>
        <w:t>Measuring the Relationship Between</w:t>
      </w:r>
      <w:r>
        <w:rPr>
          <w:rFonts w:asciiTheme="minorBidi" w:hAnsiTheme="minorBidi" w:cstheme="minorBidi"/>
          <w:b/>
          <w:bCs/>
        </w:rPr>
        <w:t xml:space="preserve"> </w:t>
      </w:r>
      <w:r w:rsidRPr="00435B9B">
        <w:rPr>
          <w:rFonts w:asciiTheme="minorBidi" w:hAnsiTheme="minorBidi" w:cstheme="minorBidi"/>
          <w:b/>
          <w:bCs/>
        </w:rPr>
        <w:t>Economic Intelligence Indicators and Revenues in Iraq</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Non-linear Autoregressive Distributed Lag (NARDL) model is one of the modern and flexible models in dealing with variables, as it gives realistic results for the cumulative effect and shocks that occur as a result of economic and non-economic crises. In order to measure the relationship between economic variables under the long-term time series approach, basic steps must be taken in order to reach the targeted results. The first of these steps is to ensure that the time series is stationary using the unit root test to avoid falling into spurious regression. The second step is to measure the long-term relationship between the study variables, by using the cointegration test. For the purpose of applying the standard model of variables, the functional relationship between the economic intelligence indicators was used: the ratio of each of information and communication technology (ICT), spending on education (ED), and spending on research and development (RD) of the total local product as independent variables - as they are the influencing factors in the dependent variable non-oil revenues (NOIL), as it is a product of the effect of the independent variable on it, as in the following equation: -  NOIL = f (ICT , ED , RD) .</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lastRenderedPageBreak/>
        <w:t>4</w:t>
      </w:r>
      <w:r>
        <w:rPr>
          <w:rFonts w:asciiTheme="minorBidi" w:hAnsiTheme="minorBidi" w:cstheme="minorBidi"/>
          <w:b/>
          <w:bCs/>
        </w:rPr>
        <w:t>.</w:t>
      </w:r>
      <w:r w:rsidRPr="00435B9B">
        <w:rPr>
          <w:rFonts w:asciiTheme="minorBidi" w:hAnsiTheme="minorBidi" w:cstheme="minorBidi"/>
          <w:b/>
          <w:bCs/>
        </w:rPr>
        <w:t xml:space="preserve">1 Results </w:t>
      </w:r>
      <w:r>
        <w:rPr>
          <w:rFonts w:asciiTheme="minorBidi" w:hAnsiTheme="minorBidi" w:cstheme="minorBidi"/>
          <w:b/>
          <w:bCs/>
        </w:rPr>
        <w:t xml:space="preserve">of </w:t>
      </w:r>
      <w:r w:rsidRPr="00435B9B">
        <w:rPr>
          <w:rFonts w:asciiTheme="minorBidi" w:hAnsiTheme="minorBidi" w:cstheme="minorBidi"/>
          <w:b/>
          <w:bCs/>
        </w:rPr>
        <w:t>Econometric Measurement of the Model</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4</w:t>
      </w:r>
      <w:r>
        <w:rPr>
          <w:rFonts w:asciiTheme="minorBidi" w:hAnsiTheme="minorBidi" w:cstheme="minorBidi"/>
          <w:b/>
          <w:bCs/>
        </w:rPr>
        <w:t xml:space="preserve">.1.1 </w:t>
      </w:r>
      <w:r w:rsidRPr="00435B9B">
        <w:rPr>
          <w:rFonts w:asciiTheme="minorBidi" w:hAnsiTheme="minorBidi" w:cstheme="minorBidi"/>
          <w:b/>
          <w:bCs/>
        </w:rPr>
        <w:t>Stationary Unit Root Test</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stationary test of the time series of the study variables is carried out before starting any test in the economic measurement side in order to identify the stationary of the time series. In light of knowing the degree of stationary of the time series for each variable, the optimal model for testing the study variables is selected.</w:t>
      </w:r>
    </w:p>
    <w:p w:rsidR="00E92A86" w:rsidRPr="00435B9B" w:rsidRDefault="00E92A86" w:rsidP="00E92A86">
      <w:pPr>
        <w:pStyle w:val="NoSpacing"/>
        <w:jc w:val="center"/>
        <w:rPr>
          <w:rFonts w:asciiTheme="minorBidi" w:hAnsiTheme="minorBidi" w:cstheme="minorBidi"/>
        </w:rPr>
      </w:pPr>
      <w:r w:rsidRPr="00435B9B">
        <w:rPr>
          <w:rFonts w:asciiTheme="minorBidi" w:hAnsiTheme="minorBidi" w:cstheme="minorBidi"/>
        </w:rPr>
        <w:t>Table 5</w:t>
      </w:r>
      <w:r>
        <w:rPr>
          <w:rFonts w:asciiTheme="minorBidi" w:hAnsiTheme="minorBidi" w:cstheme="minorBidi"/>
        </w:rPr>
        <w:t>:</w:t>
      </w:r>
      <w:r w:rsidRPr="00435B9B">
        <w:rPr>
          <w:rFonts w:asciiTheme="minorBidi" w:hAnsiTheme="minorBidi" w:cstheme="minorBidi"/>
        </w:rPr>
        <w:t xml:space="preserve"> Augmented Dickey-Fuller (ADF) Unit Root Test"</w:t>
      </w:r>
    </w:p>
    <w:tbl>
      <w:tblPr>
        <w:tblStyle w:val="TableGrid"/>
        <w:tblpPr w:leftFromText="180" w:rightFromText="180" w:vertAnchor="text" w:horzAnchor="margin" w:tblpXSpec="center" w:tblpY="126"/>
        <w:tblW w:w="8647" w:type="dxa"/>
        <w:shd w:val="clear" w:color="auto" w:fill="FFFFFF" w:themeFill="background1"/>
        <w:tblLook w:val="04A0" w:firstRow="1" w:lastRow="0" w:firstColumn="1" w:lastColumn="0" w:noHBand="0" w:noVBand="1"/>
      </w:tblPr>
      <w:tblGrid>
        <w:gridCol w:w="1559"/>
        <w:gridCol w:w="1146"/>
        <w:gridCol w:w="1182"/>
        <w:gridCol w:w="1182"/>
        <w:gridCol w:w="1193"/>
        <w:gridCol w:w="1193"/>
        <w:gridCol w:w="1192"/>
      </w:tblGrid>
      <w:tr w:rsidR="00E92A86" w:rsidRPr="00435B9B" w:rsidTr="00DA432C">
        <w:trPr>
          <w:trHeight w:val="494"/>
        </w:trPr>
        <w:tc>
          <w:tcPr>
            <w:tcW w:w="1559" w:type="dxa"/>
            <w:vMerge w:val="restart"/>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Variable</w:t>
            </w:r>
          </w:p>
        </w:tc>
        <w:tc>
          <w:tcPr>
            <w:tcW w:w="3510" w:type="dxa"/>
            <w:gridSpan w:val="3"/>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Level</w:t>
            </w:r>
          </w:p>
        </w:tc>
        <w:tc>
          <w:tcPr>
            <w:tcW w:w="3578" w:type="dxa"/>
            <w:gridSpan w:val="3"/>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1</w:t>
            </w:r>
            <w:r w:rsidRPr="00435B9B">
              <w:rPr>
                <w:rFonts w:asciiTheme="minorBidi" w:hAnsiTheme="minorBidi" w:cstheme="minorBidi"/>
                <w:vertAlign w:val="superscript"/>
              </w:rPr>
              <w:t>st</w:t>
            </w:r>
            <w:r w:rsidRPr="00435B9B">
              <w:rPr>
                <w:rFonts w:asciiTheme="minorBidi" w:hAnsiTheme="minorBidi" w:cstheme="minorBidi"/>
              </w:rPr>
              <w:t xml:space="preserve"> Difference</w:t>
            </w:r>
          </w:p>
        </w:tc>
      </w:tr>
      <w:tr w:rsidR="00E92A86" w:rsidRPr="00435B9B" w:rsidTr="00DA432C">
        <w:tc>
          <w:tcPr>
            <w:tcW w:w="1559" w:type="dxa"/>
            <w:vMerge/>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p>
        </w:tc>
        <w:tc>
          <w:tcPr>
            <w:tcW w:w="1146"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Constant Only</w:t>
            </w:r>
          </w:p>
        </w:tc>
        <w:tc>
          <w:tcPr>
            <w:tcW w:w="118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Constant and Trend</w:t>
            </w:r>
          </w:p>
        </w:tc>
        <w:tc>
          <w:tcPr>
            <w:tcW w:w="118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None</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Constant Only</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Constant and Trend</w:t>
            </w:r>
          </w:p>
        </w:tc>
        <w:tc>
          <w:tcPr>
            <w:tcW w:w="119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None</w:t>
            </w:r>
          </w:p>
        </w:tc>
      </w:tr>
      <w:tr w:rsidR="00E92A86" w:rsidRPr="00435B9B" w:rsidTr="00DA432C">
        <w:tc>
          <w:tcPr>
            <w:tcW w:w="1559" w:type="dxa"/>
            <w:vMerge/>
            <w:shd w:val="clear" w:color="auto" w:fill="C6D9F1" w:themeFill="text2" w:themeFillTint="33"/>
            <w:vAlign w:val="center"/>
          </w:tcPr>
          <w:p w:rsidR="00E92A86" w:rsidRPr="00435B9B" w:rsidRDefault="00E92A86" w:rsidP="00DA432C">
            <w:pPr>
              <w:pStyle w:val="NoSpacing"/>
              <w:jc w:val="center"/>
              <w:rPr>
                <w:rFonts w:asciiTheme="minorBidi" w:hAnsiTheme="minorBidi" w:cstheme="minorBidi"/>
                <w:rtl/>
                <w:lang w:bidi="ar-IQ"/>
              </w:rPr>
            </w:pPr>
          </w:p>
        </w:tc>
        <w:tc>
          <w:tcPr>
            <w:tcW w:w="1146"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Prob.</w:t>
            </w:r>
          </w:p>
        </w:tc>
        <w:tc>
          <w:tcPr>
            <w:tcW w:w="118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Prob.</w:t>
            </w:r>
          </w:p>
        </w:tc>
        <w:tc>
          <w:tcPr>
            <w:tcW w:w="118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Prob.</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Prob.</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Prob.</w:t>
            </w:r>
          </w:p>
        </w:tc>
        <w:tc>
          <w:tcPr>
            <w:tcW w:w="119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Prob.</w:t>
            </w:r>
            <w:r w:rsidRPr="00435B9B">
              <w:rPr>
                <w:rFonts w:asciiTheme="minorBidi" w:hAnsiTheme="minorBidi" w:cstheme="minorBidi"/>
                <w:rtl/>
                <w:lang w:bidi="ar-IQ"/>
              </w:rPr>
              <w:t>*</w:t>
            </w:r>
          </w:p>
        </w:tc>
      </w:tr>
      <w:tr w:rsidR="00E92A86" w:rsidRPr="00435B9B" w:rsidTr="00DA432C">
        <w:tc>
          <w:tcPr>
            <w:tcW w:w="1559"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NOIL(I)</w:t>
            </w:r>
          </w:p>
        </w:tc>
        <w:tc>
          <w:tcPr>
            <w:tcW w:w="114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0.1126</w:t>
            </w:r>
          </w:p>
        </w:tc>
        <w:tc>
          <w:tcPr>
            <w:tcW w:w="1182"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0.0676</w:t>
            </w:r>
          </w:p>
        </w:tc>
        <w:tc>
          <w:tcPr>
            <w:tcW w:w="1182"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0.7262</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0.0001</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rPr>
            </w:pPr>
            <w:r w:rsidRPr="00435B9B">
              <w:rPr>
                <w:rFonts w:asciiTheme="minorBidi" w:hAnsiTheme="minorBidi" w:cstheme="minorBidi"/>
              </w:rPr>
              <w:t>0.0006</w:t>
            </w:r>
          </w:p>
        </w:tc>
        <w:tc>
          <w:tcPr>
            <w:tcW w:w="119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0.0000</w:t>
            </w:r>
          </w:p>
        </w:tc>
      </w:tr>
      <w:tr w:rsidR="00E92A86" w:rsidRPr="00435B9B" w:rsidTr="00DA432C">
        <w:tc>
          <w:tcPr>
            <w:tcW w:w="1559"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ICT-I(I)</w:t>
            </w:r>
          </w:p>
        </w:tc>
        <w:tc>
          <w:tcPr>
            <w:tcW w:w="114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0.6856</w:t>
            </w:r>
          </w:p>
        </w:tc>
        <w:tc>
          <w:tcPr>
            <w:tcW w:w="1182"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0.4140</w:t>
            </w:r>
          </w:p>
        </w:tc>
        <w:tc>
          <w:tcPr>
            <w:tcW w:w="1182"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0.8420</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0.0002</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rPr>
            </w:pPr>
            <w:r w:rsidRPr="00435B9B">
              <w:rPr>
                <w:rFonts w:asciiTheme="minorBidi" w:hAnsiTheme="minorBidi" w:cstheme="minorBidi"/>
              </w:rPr>
              <w:t>0.0095</w:t>
            </w:r>
          </w:p>
        </w:tc>
        <w:tc>
          <w:tcPr>
            <w:tcW w:w="119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rPr>
            </w:pPr>
            <w:r w:rsidRPr="00435B9B">
              <w:rPr>
                <w:rFonts w:asciiTheme="minorBidi" w:hAnsiTheme="minorBidi" w:cstheme="minorBidi"/>
              </w:rPr>
              <w:t>0.0075</w:t>
            </w:r>
          </w:p>
        </w:tc>
      </w:tr>
      <w:tr w:rsidR="00E92A86" w:rsidRPr="00435B9B" w:rsidTr="00DA432C">
        <w:tc>
          <w:tcPr>
            <w:tcW w:w="1559"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ED-I(I)</w:t>
            </w:r>
          </w:p>
        </w:tc>
        <w:tc>
          <w:tcPr>
            <w:tcW w:w="114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0.3628</w:t>
            </w:r>
          </w:p>
        </w:tc>
        <w:tc>
          <w:tcPr>
            <w:tcW w:w="1182"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0.4404</w:t>
            </w:r>
          </w:p>
        </w:tc>
        <w:tc>
          <w:tcPr>
            <w:tcW w:w="1182"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0.8484</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0.0026</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0.0141</w:t>
            </w:r>
          </w:p>
        </w:tc>
        <w:tc>
          <w:tcPr>
            <w:tcW w:w="119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0.0002</w:t>
            </w:r>
          </w:p>
        </w:tc>
      </w:tr>
      <w:tr w:rsidR="00E92A86" w:rsidRPr="00435B9B" w:rsidTr="00DA432C">
        <w:tc>
          <w:tcPr>
            <w:tcW w:w="1559"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RD-I(I)</w:t>
            </w:r>
          </w:p>
        </w:tc>
        <w:tc>
          <w:tcPr>
            <w:tcW w:w="114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0.0046</w:t>
            </w:r>
          </w:p>
        </w:tc>
        <w:tc>
          <w:tcPr>
            <w:tcW w:w="1182"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0.0508</w:t>
            </w:r>
          </w:p>
        </w:tc>
        <w:tc>
          <w:tcPr>
            <w:tcW w:w="1182"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0.5962</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0.0254</w:t>
            </w:r>
          </w:p>
        </w:tc>
        <w:tc>
          <w:tcPr>
            <w:tcW w:w="119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0.0063</w:t>
            </w:r>
          </w:p>
        </w:tc>
        <w:tc>
          <w:tcPr>
            <w:tcW w:w="119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0.0028</w:t>
            </w:r>
          </w:p>
        </w:tc>
      </w:tr>
      <w:tr w:rsidR="00E92A86" w:rsidRPr="00435B9B" w:rsidTr="00DA432C">
        <w:tc>
          <w:tcPr>
            <w:tcW w:w="8647" w:type="dxa"/>
            <w:gridSpan w:val="7"/>
            <w:shd w:val="clear" w:color="auto" w:fill="D9D9D9" w:themeFill="background1" w:themeFillShade="D9"/>
            <w:vAlign w:val="center"/>
          </w:tcPr>
          <w:p w:rsidR="00E92A86" w:rsidRPr="00702BDA" w:rsidRDefault="00E92A86" w:rsidP="00DA432C">
            <w:pPr>
              <w:pStyle w:val="NoSpacing"/>
              <w:jc w:val="both"/>
              <w:rPr>
                <w:rFonts w:asciiTheme="minorBidi" w:hAnsiTheme="minorBidi" w:cstheme="minorBidi"/>
                <w:b/>
                <w:bCs/>
              </w:rPr>
            </w:pPr>
            <w:r w:rsidRPr="00702BDA">
              <w:rPr>
                <w:rFonts w:asciiTheme="minorBidi" w:hAnsiTheme="minorBidi" w:cstheme="minorBidi"/>
                <w:b/>
                <w:bCs/>
              </w:rPr>
              <w:t xml:space="preserve">Source: E-views version 13 </w:t>
            </w:r>
          </w:p>
        </w:tc>
      </w:tr>
    </w:tbl>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Default="00E92A86" w:rsidP="00E92A86">
      <w:pPr>
        <w:jc w:val="both"/>
      </w:pPr>
    </w:p>
    <w:p w:rsidR="00E92A86" w:rsidRDefault="00E92A86" w:rsidP="00E92A86">
      <w:pPr>
        <w:jc w:val="both"/>
      </w:pPr>
    </w:p>
    <w:p w:rsidR="00E92A86" w:rsidRPr="00435B9B" w:rsidRDefault="00E92A86" w:rsidP="00E92A86">
      <w:pPr>
        <w:jc w:val="both"/>
      </w:pPr>
      <w:r w:rsidRPr="00435B9B">
        <w:t>* Means the test is significant at 5%</w:t>
      </w:r>
      <w:r>
        <w:t xml:space="preserve"> level</w:t>
      </w:r>
      <w:r w:rsidRPr="00435B9B">
        <w:t>.</w:t>
      </w:r>
    </w:p>
    <w:p w:rsidR="00E92A86" w:rsidRPr="00435B9B" w:rsidRDefault="00E92A86" w:rsidP="00E92A86">
      <w:pPr>
        <w:jc w:val="both"/>
        <w:rPr>
          <w:rFonts w:asciiTheme="minorBidi" w:hAnsiTheme="minorBidi" w:cstheme="minorBidi"/>
        </w:rPr>
      </w:pPr>
      <w:r w:rsidRPr="00435B9B">
        <w:rPr>
          <w:rFonts w:asciiTheme="minorBidi" w:hAnsiTheme="minorBidi" w:cstheme="minorBidi"/>
        </w:rPr>
        <w:t>It is noted from Table 5 related to the unit root test that the stationary of the time series of the study variables has been determined, as the time series of the independent variables were non-stationary at the level but became stationary after taking the first differences (1st Difference). Likewise, the dependent variable, non-oil revenues, stabilized after taking the first differences.</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4</w:t>
      </w:r>
      <w:r>
        <w:rPr>
          <w:rFonts w:asciiTheme="minorBidi" w:hAnsiTheme="minorBidi" w:cstheme="minorBidi"/>
          <w:b/>
          <w:bCs/>
        </w:rPr>
        <w:t xml:space="preserve">.1.2 </w:t>
      </w:r>
      <w:r w:rsidRPr="00435B9B">
        <w:rPr>
          <w:rFonts w:asciiTheme="minorBidi" w:hAnsiTheme="minorBidi" w:cstheme="minorBidi"/>
          <w:b/>
          <w:bCs/>
        </w:rPr>
        <w:t>Estimation of the NARDL Model</w:t>
      </w: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Through the stationary tests of the time series of the study variables, which became stationary after a mixture between the level and the first difference, the best model that fits with those results is the (NARDL) model, which can be applied when there is a mixture of stationary data at the level with stationary data at the first difference or when the stationary is similar, as follows: -</w:t>
      </w:r>
    </w:p>
    <w:p w:rsidR="00E92A86" w:rsidRPr="002209BA" w:rsidRDefault="00E92A86" w:rsidP="00E92A86">
      <w:pPr>
        <w:pStyle w:val="NoSpacing"/>
        <w:jc w:val="center"/>
        <w:rPr>
          <w:rFonts w:asciiTheme="minorBidi" w:hAnsiTheme="minorBidi" w:cstheme="minorBidi"/>
          <w:b/>
          <w:bCs/>
        </w:rPr>
      </w:pPr>
      <w:r w:rsidRPr="002209BA">
        <w:rPr>
          <w:rFonts w:asciiTheme="minorBidi" w:hAnsiTheme="minorBidi" w:cstheme="minorBidi"/>
          <w:b/>
          <w:bCs/>
        </w:rPr>
        <w:t>Table 6: Results of Estimating the Model</w:t>
      </w:r>
    </w:p>
    <w:tbl>
      <w:tblPr>
        <w:tblStyle w:val="TableGrid"/>
        <w:bidiVisual/>
        <w:tblW w:w="0" w:type="auto"/>
        <w:jc w:val="center"/>
        <w:tblLayout w:type="fixed"/>
        <w:tblLook w:val="04A0" w:firstRow="1" w:lastRow="0" w:firstColumn="1" w:lastColumn="0" w:noHBand="0" w:noVBand="1"/>
      </w:tblPr>
      <w:tblGrid>
        <w:gridCol w:w="1276"/>
        <w:gridCol w:w="1276"/>
        <w:gridCol w:w="2410"/>
        <w:gridCol w:w="1559"/>
        <w:gridCol w:w="2518"/>
      </w:tblGrid>
      <w:tr w:rsidR="00E92A86" w:rsidRPr="00435B9B" w:rsidTr="00DA432C">
        <w:trPr>
          <w:jc w:val="center"/>
        </w:trPr>
        <w:tc>
          <w:tcPr>
            <w:tcW w:w="9039" w:type="dxa"/>
            <w:gridSpan w:val="5"/>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Dependent Variable: D(NOIL)</w:t>
            </w:r>
          </w:p>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Method: ARDL</w:t>
            </w:r>
          </w:p>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Date: 02/07/25   Time: 19:38</w:t>
            </w:r>
          </w:p>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Sample: 2005 2024</w:t>
            </w:r>
          </w:p>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Included observations: 20</w:t>
            </w:r>
          </w:p>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Dependent lags: 1 (Automatic)</w:t>
            </w:r>
          </w:p>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Automatic-lag dual non-linear regressors (0 max. lags): ICT ED RD</w:t>
            </w:r>
          </w:p>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Deterministics: Unrestricted constant and no trend (Case 2)</w:t>
            </w:r>
          </w:p>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Model selection method: Akaike info criterion (AIC)</w:t>
            </w:r>
          </w:p>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Number of models evaluated: 1</w:t>
            </w:r>
          </w:p>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 xml:space="preserve">Selected model: </w:t>
            </w:r>
            <w:proofErr w:type="gramStart"/>
            <w:r w:rsidRPr="00435B9B">
              <w:rPr>
                <w:rFonts w:asciiTheme="minorBidi" w:hAnsiTheme="minorBidi" w:cstheme="minorBidi"/>
              </w:rPr>
              <w:t>ARDL(</w:t>
            </w:r>
            <w:proofErr w:type="gramEnd"/>
            <w:r w:rsidRPr="00435B9B">
              <w:rPr>
                <w:rFonts w:asciiTheme="minorBidi" w:hAnsiTheme="minorBidi" w:cstheme="minorBidi"/>
              </w:rPr>
              <w:t>1,0,0)</w:t>
            </w:r>
          </w:p>
        </w:tc>
      </w:tr>
      <w:tr w:rsidR="00E92A86" w:rsidRPr="00435B9B" w:rsidTr="00DA432C">
        <w:trPr>
          <w:jc w:val="center"/>
        </w:trPr>
        <w:tc>
          <w:tcPr>
            <w:tcW w:w="1276"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Prob.*</w:t>
            </w:r>
          </w:p>
        </w:tc>
        <w:tc>
          <w:tcPr>
            <w:tcW w:w="1276"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t-statistic</w:t>
            </w:r>
          </w:p>
        </w:tc>
        <w:tc>
          <w:tcPr>
            <w:tcW w:w="2410"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Std. Error</w:t>
            </w:r>
          </w:p>
        </w:tc>
        <w:tc>
          <w:tcPr>
            <w:tcW w:w="1559"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Coefficient</w:t>
            </w:r>
          </w:p>
        </w:tc>
        <w:tc>
          <w:tcPr>
            <w:tcW w:w="2518"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Variable</w:t>
            </w:r>
          </w:p>
        </w:tc>
      </w:tr>
      <w:tr w:rsidR="00E92A86" w:rsidRPr="00435B9B" w:rsidTr="00DA432C">
        <w:trPr>
          <w:jc w:val="center"/>
        </w:trPr>
        <w:tc>
          <w:tcPr>
            <w:tcW w:w="1276"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0.0035</w:t>
            </w:r>
          </w:p>
        </w:tc>
        <w:tc>
          <w:tcPr>
            <w:tcW w:w="1276"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-3.627543</w:t>
            </w:r>
          </w:p>
        </w:tc>
        <w:tc>
          <w:tcPr>
            <w:tcW w:w="2410"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0.366181</w:t>
            </w:r>
          </w:p>
        </w:tc>
        <w:tc>
          <w:tcPr>
            <w:tcW w:w="1559"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-1.328339</w:t>
            </w:r>
          </w:p>
        </w:tc>
        <w:tc>
          <w:tcPr>
            <w:tcW w:w="2518" w:type="dxa"/>
            <w:vAlign w:val="center"/>
          </w:tcPr>
          <w:p w:rsidR="00E92A86" w:rsidRPr="00435B9B" w:rsidRDefault="00E92A86" w:rsidP="00DA432C">
            <w:pPr>
              <w:pStyle w:val="NoSpacing"/>
              <w:jc w:val="center"/>
              <w:rPr>
                <w:rFonts w:asciiTheme="minorBidi" w:hAnsiTheme="minorBidi" w:cstheme="minorBidi"/>
                <w:rtl/>
                <w:lang w:bidi="ar-IQ"/>
              </w:rPr>
            </w:pPr>
            <w:proofErr w:type="gramStart"/>
            <w:r w:rsidRPr="00435B9B">
              <w:rPr>
                <w:rFonts w:asciiTheme="minorBidi" w:hAnsiTheme="minorBidi" w:cstheme="minorBidi"/>
              </w:rPr>
              <w:t>NOIL(</w:t>
            </w:r>
            <w:proofErr w:type="gramEnd"/>
            <w:r w:rsidRPr="00435B9B">
              <w:rPr>
                <w:rFonts w:asciiTheme="minorBidi" w:hAnsiTheme="minorBidi" w:cstheme="minorBidi"/>
              </w:rPr>
              <w:t>-1)</w:t>
            </w:r>
          </w:p>
        </w:tc>
      </w:tr>
      <w:tr w:rsidR="00E92A86" w:rsidRPr="00435B9B" w:rsidTr="00DA432C">
        <w:trPr>
          <w:jc w:val="center"/>
        </w:trPr>
        <w:tc>
          <w:tcPr>
            <w:tcW w:w="127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0.9265</w:t>
            </w:r>
          </w:p>
        </w:tc>
        <w:tc>
          <w:tcPr>
            <w:tcW w:w="1276"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0.094238</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2079.589</w:t>
            </w:r>
          </w:p>
        </w:tc>
        <w:tc>
          <w:tcPr>
            <w:tcW w:w="1559"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195.9764</w:t>
            </w:r>
          </w:p>
        </w:tc>
        <w:tc>
          <w:tcPr>
            <w:tcW w:w="2518"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@CUMDP(ICT)</w:t>
            </w:r>
          </w:p>
        </w:tc>
      </w:tr>
      <w:tr w:rsidR="00E92A86" w:rsidRPr="00435B9B" w:rsidTr="00DA432C">
        <w:trPr>
          <w:jc w:val="center"/>
        </w:trPr>
        <w:tc>
          <w:tcPr>
            <w:tcW w:w="127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0.3919</w:t>
            </w:r>
          </w:p>
        </w:tc>
        <w:tc>
          <w:tcPr>
            <w:tcW w:w="1276"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0.888104-</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4037.861</w:t>
            </w:r>
          </w:p>
        </w:tc>
        <w:tc>
          <w:tcPr>
            <w:tcW w:w="1559"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-3586.042</w:t>
            </w:r>
          </w:p>
        </w:tc>
        <w:tc>
          <w:tcPr>
            <w:tcW w:w="2518"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@CUMDN(ICT)</w:t>
            </w:r>
          </w:p>
        </w:tc>
      </w:tr>
      <w:tr w:rsidR="00E92A86" w:rsidRPr="00435B9B" w:rsidTr="00DA432C">
        <w:trPr>
          <w:jc w:val="center"/>
        </w:trPr>
        <w:tc>
          <w:tcPr>
            <w:tcW w:w="127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0.5530</w:t>
            </w:r>
          </w:p>
        </w:tc>
        <w:tc>
          <w:tcPr>
            <w:tcW w:w="1276"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0.610430</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9843.689</w:t>
            </w:r>
          </w:p>
        </w:tc>
        <w:tc>
          <w:tcPr>
            <w:tcW w:w="1559"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6008.884</w:t>
            </w:r>
          </w:p>
        </w:tc>
        <w:tc>
          <w:tcPr>
            <w:tcW w:w="2518"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@CUMDP(ED)</w:t>
            </w:r>
          </w:p>
        </w:tc>
      </w:tr>
      <w:tr w:rsidR="00E92A86" w:rsidRPr="00435B9B" w:rsidTr="00DA432C">
        <w:trPr>
          <w:jc w:val="center"/>
        </w:trPr>
        <w:tc>
          <w:tcPr>
            <w:tcW w:w="127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0.4549</w:t>
            </w:r>
          </w:p>
        </w:tc>
        <w:tc>
          <w:tcPr>
            <w:tcW w:w="1276"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0.772241</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9850.561</w:t>
            </w:r>
          </w:p>
        </w:tc>
        <w:tc>
          <w:tcPr>
            <w:tcW w:w="1559"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7607.011</w:t>
            </w:r>
          </w:p>
        </w:tc>
        <w:tc>
          <w:tcPr>
            <w:tcW w:w="2518"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@CUMDN(ED)</w:t>
            </w:r>
          </w:p>
        </w:tc>
      </w:tr>
      <w:tr w:rsidR="00E92A86" w:rsidRPr="00435B9B" w:rsidTr="00DA432C">
        <w:trPr>
          <w:jc w:val="center"/>
        </w:trPr>
        <w:tc>
          <w:tcPr>
            <w:tcW w:w="127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0.6694</w:t>
            </w:r>
          </w:p>
        </w:tc>
        <w:tc>
          <w:tcPr>
            <w:tcW w:w="1276"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0.437711</w:t>
            </w:r>
          </w:p>
        </w:tc>
        <w:tc>
          <w:tcPr>
            <w:tcW w:w="2410"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76684.80</w:t>
            </w:r>
          </w:p>
        </w:tc>
        <w:tc>
          <w:tcPr>
            <w:tcW w:w="1559"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33565.75</w:t>
            </w:r>
          </w:p>
        </w:tc>
        <w:tc>
          <w:tcPr>
            <w:tcW w:w="2518"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@CUMDP(RD)</w:t>
            </w:r>
          </w:p>
        </w:tc>
      </w:tr>
      <w:tr w:rsidR="00E92A86" w:rsidRPr="00435B9B" w:rsidTr="00DA432C">
        <w:trPr>
          <w:jc w:val="center"/>
        </w:trPr>
        <w:tc>
          <w:tcPr>
            <w:tcW w:w="127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0.3634</w:t>
            </w:r>
          </w:p>
        </w:tc>
        <w:tc>
          <w:tcPr>
            <w:tcW w:w="1276"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0.944815</w:t>
            </w:r>
          </w:p>
        </w:tc>
        <w:tc>
          <w:tcPr>
            <w:tcW w:w="2410"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317620.5</w:t>
            </w:r>
          </w:p>
        </w:tc>
        <w:tc>
          <w:tcPr>
            <w:tcW w:w="1559"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300092.7</w:t>
            </w:r>
          </w:p>
        </w:tc>
        <w:tc>
          <w:tcPr>
            <w:tcW w:w="2518"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@CUMDN(RD)</w:t>
            </w:r>
          </w:p>
        </w:tc>
      </w:tr>
      <w:tr w:rsidR="00E92A86" w:rsidRPr="00435B9B" w:rsidTr="00DA432C">
        <w:trPr>
          <w:jc w:val="center"/>
        </w:trPr>
        <w:tc>
          <w:tcPr>
            <w:tcW w:w="1276"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0.3936</w:t>
            </w:r>
          </w:p>
        </w:tc>
        <w:tc>
          <w:tcPr>
            <w:tcW w:w="1276"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-0.884963</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7010.930</w:t>
            </w:r>
          </w:p>
        </w:tc>
        <w:tc>
          <w:tcPr>
            <w:tcW w:w="1559"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-6204.415</w:t>
            </w:r>
          </w:p>
        </w:tc>
        <w:tc>
          <w:tcPr>
            <w:tcW w:w="2518" w:type="dxa"/>
            <w:vAlign w:val="center"/>
          </w:tcPr>
          <w:p w:rsidR="00E92A86" w:rsidRPr="00435B9B" w:rsidRDefault="00E92A86" w:rsidP="00DA432C">
            <w:pPr>
              <w:pStyle w:val="NoSpacing"/>
              <w:jc w:val="center"/>
              <w:rPr>
                <w:rFonts w:asciiTheme="minorBidi" w:hAnsiTheme="minorBidi" w:cstheme="minorBidi"/>
                <w:lang w:bidi="ar-IQ"/>
              </w:rPr>
            </w:pPr>
            <w:r w:rsidRPr="00435B9B">
              <w:rPr>
                <w:rFonts w:asciiTheme="minorBidi" w:hAnsiTheme="minorBidi" w:cstheme="minorBidi"/>
              </w:rPr>
              <w:t>C</w:t>
            </w:r>
          </w:p>
        </w:tc>
      </w:tr>
      <w:tr w:rsidR="00E92A86" w:rsidRPr="00435B9B" w:rsidTr="00DA432C">
        <w:trPr>
          <w:jc w:val="center"/>
        </w:trPr>
        <w:tc>
          <w:tcPr>
            <w:tcW w:w="9039" w:type="dxa"/>
            <w:gridSpan w:val="5"/>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p>
        </w:tc>
      </w:tr>
      <w:tr w:rsidR="00E92A86" w:rsidRPr="00435B9B" w:rsidTr="00DA432C">
        <w:trPr>
          <w:jc w:val="center"/>
        </w:trPr>
        <w:tc>
          <w:tcPr>
            <w:tcW w:w="1276" w:type="dxa"/>
            <w:vAlign w:val="center"/>
          </w:tcPr>
          <w:p w:rsidR="00E92A86" w:rsidRPr="00435B9B" w:rsidRDefault="00E92A86" w:rsidP="00DA432C">
            <w:pPr>
              <w:pStyle w:val="NoSpacing"/>
              <w:jc w:val="center"/>
              <w:rPr>
                <w:rFonts w:asciiTheme="minorBidi" w:hAnsiTheme="minorBidi" w:cstheme="minorBidi"/>
              </w:rPr>
            </w:pPr>
          </w:p>
        </w:tc>
        <w:tc>
          <w:tcPr>
            <w:tcW w:w="1276"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797.8500</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Mean dependent var</w:t>
            </w:r>
          </w:p>
        </w:tc>
        <w:tc>
          <w:tcPr>
            <w:tcW w:w="1559"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0.704274</w:t>
            </w:r>
          </w:p>
        </w:tc>
        <w:tc>
          <w:tcPr>
            <w:tcW w:w="2518"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R-squared</w:t>
            </w:r>
          </w:p>
        </w:tc>
      </w:tr>
      <w:tr w:rsidR="00E92A86" w:rsidRPr="00435B9B" w:rsidTr="00DA432C">
        <w:trPr>
          <w:jc w:val="center"/>
        </w:trPr>
        <w:tc>
          <w:tcPr>
            <w:tcW w:w="1276" w:type="dxa"/>
            <w:vAlign w:val="center"/>
          </w:tcPr>
          <w:p w:rsidR="00E92A86" w:rsidRPr="00435B9B" w:rsidRDefault="00E92A86" w:rsidP="00DA432C">
            <w:pPr>
              <w:pStyle w:val="NoSpacing"/>
              <w:jc w:val="center"/>
              <w:rPr>
                <w:rFonts w:asciiTheme="minorBidi" w:hAnsiTheme="minorBidi" w:cstheme="minorBidi"/>
              </w:rPr>
            </w:pPr>
          </w:p>
        </w:tc>
        <w:tc>
          <w:tcPr>
            <w:tcW w:w="1276"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4346.101</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S.D. dependent var</w:t>
            </w:r>
          </w:p>
        </w:tc>
        <w:tc>
          <w:tcPr>
            <w:tcW w:w="1559"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0.531767</w:t>
            </w:r>
          </w:p>
        </w:tc>
        <w:tc>
          <w:tcPr>
            <w:tcW w:w="2518"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Adjusted R-squared</w:t>
            </w:r>
          </w:p>
        </w:tc>
      </w:tr>
      <w:tr w:rsidR="00E92A86" w:rsidRPr="00435B9B" w:rsidTr="00DA432C">
        <w:trPr>
          <w:jc w:val="center"/>
        </w:trPr>
        <w:tc>
          <w:tcPr>
            <w:tcW w:w="1276" w:type="dxa"/>
            <w:vAlign w:val="center"/>
          </w:tcPr>
          <w:p w:rsidR="00E92A86" w:rsidRPr="00435B9B" w:rsidRDefault="00E92A86" w:rsidP="00DA432C">
            <w:pPr>
              <w:pStyle w:val="NoSpacing"/>
              <w:jc w:val="center"/>
              <w:rPr>
                <w:rFonts w:asciiTheme="minorBidi" w:hAnsiTheme="minorBidi" w:cstheme="minorBidi"/>
              </w:rPr>
            </w:pPr>
          </w:p>
        </w:tc>
        <w:tc>
          <w:tcPr>
            <w:tcW w:w="1276"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19.12233</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Akaike info criterion</w:t>
            </w:r>
          </w:p>
        </w:tc>
        <w:tc>
          <w:tcPr>
            <w:tcW w:w="1559"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2973.931</w:t>
            </w:r>
          </w:p>
        </w:tc>
        <w:tc>
          <w:tcPr>
            <w:tcW w:w="2518"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S.E. of regression</w:t>
            </w:r>
          </w:p>
        </w:tc>
      </w:tr>
      <w:tr w:rsidR="00E92A86" w:rsidRPr="00435B9B" w:rsidTr="00DA432C">
        <w:trPr>
          <w:jc w:val="center"/>
        </w:trPr>
        <w:tc>
          <w:tcPr>
            <w:tcW w:w="1276" w:type="dxa"/>
            <w:vAlign w:val="center"/>
          </w:tcPr>
          <w:p w:rsidR="00E92A86" w:rsidRPr="00435B9B" w:rsidRDefault="00E92A86" w:rsidP="00DA432C">
            <w:pPr>
              <w:pStyle w:val="NoSpacing"/>
              <w:jc w:val="center"/>
              <w:rPr>
                <w:rFonts w:asciiTheme="minorBidi" w:hAnsiTheme="minorBidi" w:cstheme="minorBidi"/>
              </w:rPr>
            </w:pPr>
          </w:p>
        </w:tc>
        <w:tc>
          <w:tcPr>
            <w:tcW w:w="1276"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19.52062</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Schwarz criterion</w:t>
            </w:r>
          </w:p>
        </w:tc>
        <w:tc>
          <w:tcPr>
            <w:tcW w:w="1559"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1.06E+08</w:t>
            </w:r>
          </w:p>
        </w:tc>
        <w:tc>
          <w:tcPr>
            <w:tcW w:w="2518"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SUM squared resid</w:t>
            </w:r>
          </w:p>
        </w:tc>
      </w:tr>
      <w:tr w:rsidR="00E92A86" w:rsidRPr="00435B9B" w:rsidTr="00DA432C">
        <w:trPr>
          <w:jc w:val="center"/>
        </w:trPr>
        <w:tc>
          <w:tcPr>
            <w:tcW w:w="1276" w:type="dxa"/>
            <w:vAlign w:val="center"/>
          </w:tcPr>
          <w:p w:rsidR="00E92A86" w:rsidRPr="00435B9B" w:rsidRDefault="00E92A86" w:rsidP="00DA432C">
            <w:pPr>
              <w:pStyle w:val="NoSpacing"/>
              <w:jc w:val="center"/>
              <w:rPr>
                <w:rFonts w:asciiTheme="minorBidi" w:hAnsiTheme="minorBidi" w:cstheme="minorBidi"/>
              </w:rPr>
            </w:pPr>
          </w:p>
        </w:tc>
        <w:tc>
          <w:tcPr>
            <w:tcW w:w="1276"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19.20008</w:t>
            </w:r>
          </w:p>
        </w:tc>
        <w:tc>
          <w:tcPr>
            <w:tcW w:w="2410"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Hannan-Quinn criter</w:t>
            </w:r>
          </w:p>
        </w:tc>
        <w:tc>
          <w:tcPr>
            <w:tcW w:w="1559"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-183.2233</w:t>
            </w:r>
          </w:p>
        </w:tc>
        <w:tc>
          <w:tcPr>
            <w:tcW w:w="2518"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Log likelihood</w:t>
            </w:r>
          </w:p>
        </w:tc>
      </w:tr>
      <w:tr w:rsidR="00E92A86" w:rsidRPr="00435B9B" w:rsidTr="00DA432C">
        <w:trPr>
          <w:jc w:val="center"/>
        </w:trPr>
        <w:tc>
          <w:tcPr>
            <w:tcW w:w="1276" w:type="dxa"/>
            <w:vAlign w:val="center"/>
          </w:tcPr>
          <w:p w:rsidR="00E92A86" w:rsidRPr="00435B9B" w:rsidRDefault="00E92A86" w:rsidP="00DA432C">
            <w:pPr>
              <w:pStyle w:val="NoSpacing"/>
              <w:jc w:val="center"/>
              <w:rPr>
                <w:rFonts w:asciiTheme="minorBidi" w:hAnsiTheme="minorBidi" w:cstheme="minorBidi"/>
              </w:rPr>
            </w:pPr>
          </w:p>
        </w:tc>
        <w:tc>
          <w:tcPr>
            <w:tcW w:w="1276"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2.122396</w:t>
            </w:r>
          </w:p>
        </w:tc>
        <w:tc>
          <w:tcPr>
            <w:tcW w:w="241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Durbin-Watson stat</w:t>
            </w:r>
          </w:p>
        </w:tc>
        <w:tc>
          <w:tcPr>
            <w:tcW w:w="1559"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4.082584</w:t>
            </w:r>
          </w:p>
        </w:tc>
        <w:tc>
          <w:tcPr>
            <w:tcW w:w="2518"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F-statistic</w:t>
            </w:r>
          </w:p>
        </w:tc>
      </w:tr>
      <w:tr w:rsidR="00E92A86" w:rsidRPr="00435B9B" w:rsidTr="00DA432C">
        <w:trPr>
          <w:jc w:val="center"/>
        </w:trPr>
        <w:tc>
          <w:tcPr>
            <w:tcW w:w="1276" w:type="dxa"/>
            <w:vAlign w:val="center"/>
          </w:tcPr>
          <w:p w:rsidR="00E92A86" w:rsidRPr="00435B9B" w:rsidRDefault="00E92A86" w:rsidP="00DA432C">
            <w:pPr>
              <w:pStyle w:val="NoSpacing"/>
              <w:jc w:val="center"/>
              <w:rPr>
                <w:rFonts w:asciiTheme="minorBidi" w:hAnsiTheme="minorBidi" w:cstheme="minorBidi"/>
              </w:rPr>
            </w:pPr>
          </w:p>
        </w:tc>
        <w:tc>
          <w:tcPr>
            <w:tcW w:w="1276" w:type="dxa"/>
            <w:vAlign w:val="center"/>
          </w:tcPr>
          <w:p w:rsidR="00E92A86" w:rsidRPr="00435B9B" w:rsidRDefault="00E92A86" w:rsidP="00DA432C">
            <w:pPr>
              <w:pStyle w:val="NoSpacing"/>
              <w:jc w:val="center"/>
              <w:rPr>
                <w:rFonts w:asciiTheme="minorBidi" w:hAnsiTheme="minorBidi" w:cstheme="minorBidi"/>
              </w:rPr>
            </w:pPr>
          </w:p>
        </w:tc>
        <w:tc>
          <w:tcPr>
            <w:tcW w:w="2410" w:type="dxa"/>
            <w:vAlign w:val="center"/>
          </w:tcPr>
          <w:p w:rsidR="00E92A86" w:rsidRPr="00435B9B" w:rsidRDefault="00E92A86" w:rsidP="00DA432C">
            <w:pPr>
              <w:pStyle w:val="NoSpacing"/>
              <w:jc w:val="center"/>
              <w:rPr>
                <w:rFonts w:asciiTheme="minorBidi" w:hAnsiTheme="minorBidi" w:cstheme="minorBidi"/>
              </w:rPr>
            </w:pPr>
          </w:p>
        </w:tc>
        <w:tc>
          <w:tcPr>
            <w:tcW w:w="1559"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tl/>
                <w:lang w:bidi="ar-IQ"/>
              </w:rPr>
              <w:t>0.016129</w:t>
            </w:r>
          </w:p>
        </w:tc>
        <w:tc>
          <w:tcPr>
            <w:tcW w:w="2518"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Prob(F-statistic)</w:t>
            </w:r>
          </w:p>
        </w:tc>
      </w:tr>
    </w:tbl>
    <w:p w:rsidR="00E92A86" w:rsidRPr="00435B9B" w:rsidRDefault="00E92A86" w:rsidP="00E92A86">
      <w:pPr>
        <w:pStyle w:val="NoSpacing"/>
        <w:jc w:val="both"/>
        <w:rPr>
          <w:rFonts w:asciiTheme="minorBidi" w:hAnsiTheme="minorBidi" w:cstheme="minorBidi"/>
        </w:rPr>
      </w:pPr>
      <w:r w:rsidRPr="006B48D4">
        <w:rPr>
          <w:rFonts w:asciiTheme="minorBidi" w:hAnsiTheme="minorBidi" w:cstheme="minorBidi"/>
          <w:b/>
          <w:bCs/>
        </w:rPr>
        <w:t>Source</w:t>
      </w:r>
      <w:r w:rsidRPr="00435B9B">
        <w:rPr>
          <w:rFonts w:asciiTheme="minorBidi" w:hAnsiTheme="minorBidi" w:cstheme="minorBidi"/>
        </w:rPr>
        <w:t>: E</w:t>
      </w:r>
      <w:r>
        <w:rPr>
          <w:rFonts w:asciiTheme="minorBidi" w:hAnsiTheme="minorBidi" w:cstheme="minorBidi"/>
        </w:rPr>
        <w:t>-</w:t>
      </w:r>
      <w:r w:rsidRPr="00435B9B">
        <w:rPr>
          <w:rFonts w:asciiTheme="minorBidi" w:hAnsiTheme="minorBidi" w:cstheme="minorBidi"/>
        </w:rPr>
        <w:t xml:space="preserve">Views </w:t>
      </w:r>
      <w:r>
        <w:rPr>
          <w:rFonts w:asciiTheme="minorBidi" w:hAnsiTheme="minorBidi" w:cstheme="minorBidi"/>
        </w:rPr>
        <w:t xml:space="preserve">version </w:t>
      </w:r>
      <w:r w:rsidRPr="00435B9B">
        <w:rPr>
          <w:rFonts w:asciiTheme="minorBidi" w:hAnsiTheme="minorBidi" w:cstheme="minorBidi"/>
        </w:rPr>
        <w:t>13</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lastRenderedPageBreak/>
        <w:t>Table 6 shows the testing of the Non-linear Autoregressive Distributed Lag (NARDL) model. The results showed the distinctiveness of the estimated model and are consistent with the relationship between non-oil revenues and economic intelligence indicators. The coefficient of determination (R-squared) reached (70.4%), meaning that the independent variables explain about (70.4%) of the changes occurring in the dependent variable. The remaining (29.6%) of the changes are due to other external factors (not included in the model, such as the heavy reliance on the oil sector, which created a structural imbalance in the general budget). Furthermore, the F-statistic reached (4.082584) with high significance for the model reaching (0.016129), which means that the model is acceptable overall.</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4</w:t>
      </w:r>
      <w:r>
        <w:rPr>
          <w:rFonts w:asciiTheme="minorBidi" w:hAnsiTheme="minorBidi" w:cstheme="minorBidi"/>
          <w:b/>
          <w:bCs/>
        </w:rPr>
        <w:t>.</w:t>
      </w:r>
      <w:r w:rsidRPr="00435B9B">
        <w:rPr>
          <w:rFonts w:asciiTheme="minorBidi" w:hAnsiTheme="minorBidi" w:cstheme="minorBidi"/>
          <w:b/>
          <w:bCs/>
        </w:rPr>
        <w:t>2 Cointegration Test According to</w:t>
      </w:r>
      <w:r>
        <w:rPr>
          <w:rFonts w:asciiTheme="minorBidi" w:hAnsiTheme="minorBidi" w:cstheme="minorBidi"/>
          <w:b/>
          <w:bCs/>
        </w:rPr>
        <w:t xml:space="preserve"> </w:t>
      </w:r>
      <w:r w:rsidRPr="00435B9B">
        <w:rPr>
          <w:rFonts w:asciiTheme="minorBidi" w:hAnsiTheme="minorBidi" w:cstheme="minorBidi"/>
          <w:b/>
          <w:bCs/>
        </w:rPr>
        <w:t>NARDL Model</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The results of this test showed that the calculated (F) value reached (3.752198), which is greater than the tabular value at the lower and upper bounds at a significance level of (5% and 10%), respectively. This means that we accept the alternative hypothesis and reject the null hypothesis, meaning that there is a long-term equilibrium between the dependent variable (NOIL) and the independent variables, as shown in Table 7</w:t>
      </w:r>
      <w:r>
        <w:rPr>
          <w:rFonts w:asciiTheme="minorBidi" w:hAnsiTheme="minorBidi" w:cstheme="minorBidi"/>
        </w:rPr>
        <w:t>.</w:t>
      </w:r>
    </w:p>
    <w:p w:rsidR="00E92A86" w:rsidRDefault="00E92A86" w:rsidP="00E92A86">
      <w:pPr>
        <w:pStyle w:val="NoSpacing"/>
        <w:jc w:val="center"/>
        <w:rPr>
          <w:rFonts w:asciiTheme="minorBidi" w:hAnsiTheme="minorBidi" w:cstheme="minorBidi"/>
        </w:rPr>
      </w:pPr>
    </w:p>
    <w:p w:rsidR="00E92A86" w:rsidRPr="000B4C99" w:rsidRDefault="00E92A86" w:rsidP="00E92A86">
      <w:pPr>
        <w:pStyle w:val="NoSpacing"/>
        <w:jc w:val="center"/>
        <w:rPr>
          <w:rFonts w:asciiTheme="minorBidi" w:hAnsiTheme="minorBidi" w:cstheme="minorBidi"/>
          <w:b/>
          <w:bCs/>
        </w:rPr>
      </w:pPr>
      <w:r w:rsidRPr="000B4C99">
        <w:rPr>
          <w:rFonts w:asciiTheme="minorBidi" w:hAnsiTheme="minorBidi" w:cstheme="minorBidi"/>
          <w:b/>
          <w:bCs/>
        </w:rPr>
        <w:t>Table 7: Bound Test</w:t>
      </w:r>
    </w:p>
    <w:tbl>
      <w:tblPr>
        <w:tblStyle w:val="TableGrid"/>
        <w:tblpPr w:leftFromText="180" w:rightFromText="180" w:vertAnchor="text" w:horzAnchor="margin" w:tblpXSpec="center" w:tblpY="213"/>
        <w:tblW w:w="0" w:type="auto"/>
        <w:tblLook w:val="04A0" w:firstRow="1" w:lastRow="0" w:firstColumn="1" w:lastColumn="0" w:noHBand="0" w:noVBand="1"/>
      </w:tblPr>
      <w:tblGrid>
        <w:gridCol w:w="2840"/>
        <w:gridCol w:w="2841"/>
        <w:gridCol w:w="2841"/>
      </w:tblGrid>
      <w:tr w:rsidR="00E92A86" w:rsidRPr="00435B9B" w:rsidTr="00DA432C">
        <w:tc>
          <w:tcPr>
            <w:tcW w:w="2840"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K</w:t>
            </w:r>
          </w:p>
        </w:tc>
        <w:tc>
          <w:tcPr>
            <w:tcW w:w="284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Value</w:t>
            </w:r>
          </w:p>
        </w:tc>
        <w:tc>
          <w:tcPr>
            <w:tcW w:w="284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Test Statistic</w:t>
            </w:r>
          </w:p>
        </w:tc>
      </w:tr>
      <w:tr w:rsidR="00E92A86" w:rsidRPr="00435B9B" w:rsidTr="00DA432C">
        <w:tc>
          <w:tcPr>
            <w:tcW w:w="2840"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20</w:t>
            </w:r>
          </w:p>
        </w:tc>
        <w:tc>
          <w:tcPr>
            <w:tcW w:w="2841"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tl/>
                <w:lang w:bidi="ar-IQ"/>
              </w:rPr>
              <w:t>3.752198</w:t>
            </w:r>
          </w:p>
        </w:tc>
        <w:tc>
          <w:tcPr>
            <w:tcW w:w="2841"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F-statistic</w:t>
            </w:r>
          </w:p>
        </w:tc>
      </w:tr>
      <w:tr w:rsidR="00E92A86" w:rsidRPr="00435B9B" w:rsidTr="00DA432C">
        <w:tc>
          <w:tcPr>
            <w:tcW w:w="2840"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I1 Bound</w:t>
            </w:r>
          </w:p>
        </w:tc>
        <w:tc>
          <w:tcPr>
            <w:tcW w:w="284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I0 Bound</w:t>
            </w:r>
          </w:p>
        </w:tc>
        <w:tc>
          <w:tcPr>
            <w:tcW w:w="284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Significance Level</w:t>
            </w:r>
          </w:p>
        </w:tc>
      </w:tr>
      <w:tr w:rsidR="00E92A86" w:rsidRPr="00435B9B" w:rsidTr="00DA432C">
        <w:tc>
          <w:tcPr>
            <w:tcW w:w="284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2.940</w:t>
            </w:r>
          </w:p>
        </w:tc>
        <w:tc>
          <w:tcPr>
            <w:tcW w:w="2841"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1.990</w:t>
            </w:r>
          </w:p>
        </w:tc>
        <w:tc>
          <w:tcPr>
            <w:tcW w:w="2841"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%10</w:t>
            </w:r>
          </w:p>
        </w:tc>
      </w:tr>
      <w:tr w:rsidR="00E92A86" w:rsidRPr="00435B9B" w:rsidTr="00DA432C">
        <w:tc>
          <w:tcPr>
            <w:tcW w:w="2840"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3.280</w:t>
            </w:r>
          </w:p>
        </w:tc>
        <w:tc>
          <w:tcPr>
            <w:tcW w:w="2841"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2.270</w:t>
            </w:r>
          </w:p>
        </w:tc>
        <w:tc>
          <w:tcPr>
            <w:tcW w:w="2841"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%5</w:t>
            </w:r>
          </w:p>
        </w:tc>
      </w:tr>
    </w:tbl>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p>
    <w:p w:rsidR="00E92A86" w:rsidRDefault="00E92A86" w:rsidP="00E92A86">
      <w:pPr>
        <w:pStyle w:val="NoSpacing"/>
        <w:jc w:val="both"/>
        <w:rPr>
          <w:rFonts w:asciiTheme="minorBidi" w:hAnsiTheme="minorBidi" w:cstheme="minorBidi"/>
        </w:rPr>
      </w:pPr>
      <w:r w:rsidRPr="00435B9B">
        <w:rPr>
          <w:rFonts w:asciiTheme="minorBidi" w:hAnsiTheme="minorBidi" w:cstheme="minorBidi"/>
        </w:rPr>
        <w:t xml:space="preserve"> </w:t>
      </w:r>
    </w:p>
    <w:p w:rsidR="00E92A86" w:rsidRDefault="00E92A86" w:rsidP="00E92A86">
      <w:pPr>
        <w:pStyle w:val="NoSpacing"/>
        <w:jc w:val="both"/>
        <w:rPr>
          <w:rFonts w:asciiTheme="minorBidi" w:hAnsiTheme="minorBidi" w:cstheme="minorBidi"/>
        </w:rPr>
      </w:pPr>
    </w:p>
    <w:p w:rsidR="00E92A86" w:rsidRDefault="00E92A86" w:rsidP="00E92A86">
      <w:pPr>
        <w:pStyle w:val="NoSpacing"/>
        <w:jc w:val="both"/>
        <w:rPr>
          <w:rFonts w:asciiTheme="minorBidi" w:hAnsiTheme="minorBidi" w:cstheme="minorBidi"/>
        </w:rPr>
      </w:pPr>
    </w:p>
    <w:p w:rsidR="00E92A86" w:rsidRDefault="00E92A86" w:rsidP="00E92A86">
      <w:pPr>
        <w:pStyle w:val="NoSpacing"/>
        <w:jc w:val="both"/>
        <w:rPr>
          <w:rFonts w:asciiTheme="minorBidi" w:hAnsiTheme="minorBidi" w:cstheme="minorBidi"/>
        </w:rPr>
      </w:pPr>
    </w:p>
    <w:p w:rsidR="00E92A86"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r w:rsidRPr="008F1B7C">
        <w:rPr>
          <w:rFonts w:asciiTheme="minorBidi" w:hAnsiTheme="minorBidi" w:cstheme="minorBidi"/>
          <w:b/>
          <w:bCs/>
        </w:rPr>
        <w:t>Source</w:t>
      </w:r>
      <w:r>
        <w:rPr>
          <w:rFonts w:asciiTheme="minorBidi" w:hAnsiTheme="minorBidi" w:cstheme="minorBidi"/>
        </w:rPr>
        <w:t xml:space="preserve">: </w:t>
      </w:r>
      <w:r w:rsidRPr="00435B9B">
        <w:rPr>
          <w:rFonts w:asciiTheme="minorBidi" w:hAnsiTheme="minorBidi" w:cstheme="minorBidi"/>
        </w:rPr>
        <w:t>E</w:t>
      </w:r>
      <w:r>
        <w:rPr>
          <w:rFonts w:asciiTheme="minorBidi" w:hAnsiTheme="minorBidi" w:cstheme="minorBidi"/>
        </w:rPr>
        <w:t>-</w:t>
      </w:r>
      <w:r w:rsidRPr="00435B9B">
        <w:rPr>
          <w:rFonts w:asciiTheme="minorBidi" w:hAnsiTheme="minorBidi" w:cstheme="minorBidi"/>
        </w:rPr>
        <w:t xml:space="preserve">Views </w:t>
      </w:r>
      <w:r>
        <w:rPr>
          <w:rFonts w:asciiTheme="minorBidi" w:hAnsiTheme="minorBidi" w:cstheme="minorBidi"/>
        </w:rPr>
        <w:t xml:space="preserve">version </w:t>
      </w:r>
      <w:r w:rsidRPr="00435B9B">
        <w:rPr>
          <w:rFonts w:asciiTheme="minorBidi" w:hAnsiTheme="minorBidi" w:cstheme="minorBidi"/>
        </w:rPr>
        <w:t>13</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From the above, there is a long-term equilibrium relationship between non-oil revenues (NOIL) and the independent variables in Iraq. This test is the necessary condition, and the sufficient condition (error correction coefficient) and its conditions that indicate the existence of a long-term relationship between the variables must be confirmed</w:t>
      </w:r>
      <w:r>
        <w:rPr>
          <w:rFonts w:asciiTheme="minorBidi" w:hAnsiTheme="minorBidi" w:cstheme="minorBidi"/>
        </w:rPr>
        <w:t xml:space="preserve">. </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Table 8</w:t>
      </w:r>
      <w:r>
        <w:rPr>
          <w:rFonts w:asciiTheme="minorBidi" w:hAnsiTheme="minorBidi" w:cstheme="minorBidi"/>
        </w:rPr>
        <w:t xml:space="preserve"> </w:t>
      </w:r>
      <w:r w:rsidRPr="00435B9B">
        <w:rPr>
          <w:rFonts w:asciiTheme="minorBidi" w:hAnsiTheme="minorBidi" w:cstheme="minorBidi"/>
        </w:rPr>
        <w:t>shows that the error correction coefficient takes a negative sign and its value is between zero and one (0-1), and it is also statistically significant at the level (0.000), which is less than (5%). Furthermore, the speed of correction reached (-1.328339), which means that the imbalances that occur in the short term are corrected in the long term within one year and (3) months. This is the period during which economic intelligence can enhance non-oil revenues in Iraq, as shown in the following table: -</w:t>
      </w:r>
    </w:p>
    <w:p w:rsidR="00E92A86" w:rsidRPr="003A0056" w:rsidRDefault="00E92A86" w:rsidP="00E92A86">
      <w:pPr>
        <w:pStyle w:val="NoSpacing"/>
        <w:jc w:val="center"/>
        <w:rPr>
          <w:rFonts w:asciiTheme="minorBidi" w:hAnsiTheme="minorBidi" w:cstheme="minorBidi"/>
          <w:b/>
          <w:bCs/>
        </w:rPr>
      </w:pPr>
      <w:r w:rsidRPr="003A0056">
        <w:rPr>
          <w:rFonts w:asciiTheme="minorBidi" w:hAnsiTheme="minorBidi" w:cstheme="minorBidi"/>
          <w:b/>
          <w:bCs/>
        </w:rPr>
        <w:t>Table 8: Results of Estimating the Model Parameters in the Short Term</w:t>
      </w:r>
    </w:p>
    <w:tbl>
      <w:tblPr>
        <w:tblStyle w:val="TableGrid"/>
        <w:tblpPr w:leftFromText="180" w:rightFromText="180" w:vertAnchor="text" w:horzAnchor="margin" w:tblpXSpec="center" w:tblpY="327"/>
        <w:bidiVisual/>
        <w:tblW w:w="8968" w:type="dxa"/>
        <w:tblLook w:val="04A0" w:firstRow="1" w:lastRow="0" w:firstColumn="1" w:lastColumn="0" w:noHBand="0" w:noVBand="1"/>
      </w:tblPr>
      <w:tblGrid>
        <w:gridCol w:w="1481"/>
        <w:gridCol w:w="1553"/>
        <w:gridCol w:w="1553"/>
        <w:gridCol w:w="1829"/>
        <w:gridCol w:w="2552"/>
      </w:tblGrid>
      <w:tr w:rsidR="00E92A86" w:rsidRPr="00435B9B" w:rsidTr="00DA432C">
        <w:trPr>
          <w:trHeight w:val="528"/>
        </w:trPr>
        <w:tc>
          <w:tcPr>
            <w:tcW w:w="148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Prob.</w:t>
            </w:r>
          </w:p>
        </w:tc>
        <w:tc>
          <w:tcPr>
            <w:tcW w:w="155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t-statistic</w:t>
            </w:r>
          </w:p>
        </w:tc>
        <w:tc>
          <w:tcPr>
            <w:tcW w:w="1553"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Standard Error</w:t>
            </w:r>
          </w:p>
        </w:tc>
        <w:tc>
          <w:tcPr>
            <w:tcW w:w="1829"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Coefficients</w:t>
            </w:r>
          </w:p>
        </w:tc>
        <w:tc>
          <w:tcPr>
            <w:tcW w:w="2552"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Variables</w:t>
            </w:r>
          </w:p>
        </w:tc>
      </w:tr>
      <w:tr w:rsidR="00E92A86" w:rsidRPr="00435B9B" w:rsidTr="00DA432C">
        <w:trPr>
          <w:trHeight w:val="264"/>
        </w:trPr>
        <w:tc>
          <w:tcPr>
            <w:tcW w:w="1481" w:type="dxa"/>
            <w:shd w:val="clear" w:color="auto" w:fill="D9D9D9" w:themeFill="background1" w:themeFillShade="D9"/>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0.0000</w:t>
            </w:r>
          </w:p>
        </w:tc>
        <w:tc>
          <w:tcPr>
            <w:tcW w:w="1553" w:type="dxa"/>
            <w:vAlign w:val="center"/>
          </w:tcPr>
          <w:p w:rsidR="00E92A86" w:rsidRPr="00435B9B" w:rsidRDefault="00E92A86" w:rsidP="00DA432C">
            <w:pPr>
              <w:pStyle w:val="NoSpacing"/>
              <w:jc w:val="center"/>
              <w:rPr>
                <w:rFonts w:asciiTheme="minorBidi" w:hAnsiTheme="minorBidi" w:cstheme="minorBidi"/>
                <w:rtl/>
                <w:lang w:bidi="ar-IQ"/>
              </w:rPr>
            </w:pPr>
            <w:r w:rsidRPr="00435B9B">
              <w:rPr>
                <w:rFonts w:asciiTheme="minorBidi" w:hAnsiTheme="minorBidi" w:cstheme="minorBidi"/>
              </w:rPr>
              <w:t>-6.894044</w:t>
            </w:r>
          </w:p>
        </w:tc>
        <w:tc>
          <w:tcPr>
            <w:tcW w:w="1553" w:type="dxa"/>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0.192679</w:t>
            </w:r>
          </w:p>
        </w:tc>
        <w:tc>
          <w:tcPr>
            <w:tcW w:w="1829" w:type="dxa"/>
            <w:vAlign w:val="center"/>
          </w:tcPr>
          <w:p w:rsidR="00E92A86" w:rsidRPr="00435B9B" w:rsidRDefault="00E92A86" w:rsidP="00DA432C">
            <w:pPr>
              <w:pStyle w:val="NoSpacing"/>
              <w:jc w:val="center"/>
              <w:rPr>
                <w:rFonts w:asciiTheme="minorBidi" w:hAnsiTheme="minorBidi" w:cstheme="minorBidi"/>
                <w:rtl/>
              </w:rPr>
            </w:pPr>
            <w:r w:rsidRPr="00435B9B">
              <w:rPr>
                <w:rFonts w:asciiTheme="minorBidi" w:hAnsiTheme="minorBidi" w:cstheme="minorBidi"/>
              </w:rPr>
              <w:t>-1.328339</w:t>
            </w:r>
          </w:p>
        </w:tc>
        <w:tc>
          <w:tcPr>
            <w:tcW w:w="2552" w:type="dxa"/>
            <w:shd w:val="clear" w:color="auto" w:fill="FFFFFF" w:themeFill="background1"/>
            <w:vAlign w:val="center"/>
          </w:tcPr>
          <w:p w:rsidR="00E92A86" w:rsidRPr="00435B9B" w:rsidRDefault="00E92A86" w:rsidP="00DA432C">
            <w:pPr>
              <w:pStyle w:val="NoSpacing"/>
              <w:jc w:val="center"/>
              <w:rPr>
                <w:rFonts w:asciiTheme="minorBidi" w:hAnsiTheme="minorBidi" w:cstheme="minorBidi"/>
              </w:rPr>
            </w:pPr>
            <w:r w:rsidRPr="00435B9B">
              <w:rPr>
                <w:rFonts w:asciiTheme="minorBidi" w:hAnsiTheme="minorBidi" w:cstheme="minorBidi"/>
              </w:rPr>
              <w:t>COINTEQ*</w:t>
            </w:r>
          </w:p>
        </w:tc>
      </w:tr>
    </w:tbl>
    <w:p w:rsidR="00E92A86" w:rsidRPr="00435B9B" w:rsidRDefault="00E92A86" w:rsidP="00E92A86">
      <w:pPr>
        <w:pStyle w:val="NoSpacing"/>
        <w:jc w:val="both"/>
        <w:rPr>
          <w:rFonts w:asciiTheme="minorBidi" w:hAnsiTheme="minorBidi" w:cstheme="minorBidi"/>
        </w:rPr>
      </w:pPr>
    </w:p>
    <w:p w:rsidR="00E92A86" w:rsidRPr="00435B9B" w:rsidRDefault="00E92A86" w:rsidP="00E92A86">
      <w:pPr>
        <w:pStyle w:val="NoSpacing"/>
        <w:jc w:val="both"/>
        <w:rPr>
          <w:rFonts w:asciiTheme="minorBidi" w:hAnsiTheme="minorBidi" w:cstheme="minorBidi"/>
        </w:rPr>
      </w:pPr>
      <w:r w:rsidRPr="002A4A4C">
        <w:rPr>
          <w:rFonts w:asciiTheme="minorBidi" w:hAnsiTheme="minorBidi" w:cstheme="minorBidi"/>
          <w:b/>
          <w:bCs/>
        </w:rPr>
        <w:t>Source</w:t>
      </w:r>
      <w:r w:rsidRPr="00435B9B">
        <w:rPr>
          <w:rFonts w:asciiTheme="minorBidi" w:hAnsiTheme="minorBidi" w:cstheme="minorBidi"/>
        </w:rPr>
        <w:t>: E</w:t>
      </w:r>
      <w:r>
        <w:rPr>
          <w:rFonts w:asciiTheme="minorBidi" w:hAnsiTheme="minorBidi" w:cstheme="minorBidi"/>
        </w:rPr>
        <w:t>-</w:t>
      </w:r>
      <w:r w:rsidRPr="00435B9B">
        <w:rPr>
          <w:rFonts w:asciiTheme="minorBidi" w:hAnsiTheme="minorBidi" w:cstheme="minorBidi"/>
        </w:rPr>
        <w:t xml:space="preserve">views </w:t>
      </w:r>
      <w:r>
        <w:rPr>
          <w:rFonts w:asciiTheme="minorBidi" w:hAnsiTheme="minorBidi" w:cstheme="minorBidi"/>
        </w:rPr>
        <w:t xml:space="preserve">version </w:t>
      </w:r>
      <w:r w:rsidRPr="00435B9B">
        <w:rPr>
          <w:rFonts w:asciiTheme="minorBidi" w:hAnsiTheme="minorBidi" w:cstheme="minorBidi"/>
        </w:rPr>
        <w:t>13</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Table 8, related to the short-term parameters (error correction coefficient), shows that the parameter is significant in the short term, which means that there is a relationship between economic intelligence indicators and non-oil revenues in Iraq. The automation and governance of tax and non-tax revenues will ensure that the full proceeds reach the state treasury, thereby addressing the size of the deficit in the general budget.</w:t>
      </w:r>
    </w:p>
    <w:p w:rsidR="00E92A86" w:rsidRPr="002A4A4C" w:rsidRDefault="00E92A86" w:rsidP="00E92A86">
      <w:pPr>
        <w:pStyle w:val="NoSpacing"/>
        <w:jc w:val="both"/>
        <w:rPr>
          <w:rFonts w:asciiTheme="minorBidi" w:hAnsiTheme="minorBidi" w:cstheme="minorBidi"/>
          <w:b/>
          <w:bCs/>
        </w:rPr>
      </w:pPr>
      <w:r w:rsidRPr="002A4A4C">
        <w:rPr>
          <w:rFonts w:asciiTheme="minorBidi" w:hAnsiTheme="minorBidi" w:cstheme="minorBidi"/>
          <w:b/>
          <w:bCs/>
        </w:rPr>
        <w:t>4.3 Asymmetric Dynamic Cumulative Multiplier</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Figure (3) shows the dynamic cumulative effect in the independent variables (economic intelligence indicators) resulting from a one-unit shock in the dependent variable (non-oil revenues), whether positive or negative.</w:t>
      </w:r>
    </w:p>
    <w:p w:rsidR="00E92A86" w:rsidRPr="004A411E" w:rsidRDefault="00E92A86" w:rsidP="00E92A86">
      <w:pPr>
        <w:pStyle w:val="NoSpacing"/>
        <w:jc w:val="center"/>
        <w:rPr>
          <w:rFonts w:asciiTheme="minorBidi" w:hAnsiTheme="minorBidi" w:cstheme="minorBidi"/>
          <w:b/>
          <w:bCs/>
        </w:rPr>
      </w:pPr>
      <w:r w:rsidRPr="004A411E">
        <w:rPr>
          <w:rFonts w:asciiTheme="minorBidi" w:hAnsiTheme="minorBidi" w:cstheme="minorBidi"/>
          <w:b/>
          <w:bCs/>
        </w:rPr>
        <w:t>Figure 3: Impact of the Dynamic Cumulative Multiplier on Non-Oil Revenues</w:t>
      </w:r>
    </w:p>
    <w:p w:rsidR="00E92A86" w:rsidRPr="00435B9B" w:rsidRDefault="00E92A86" w:rsidP="00E92A86">
      <w:pPr>
        <w:pStyle w:val="NoSpacing"/>
        <w:jc w:val="center"/>
        <w:rPr>
          <w:rFonts w:asciiTheme="minorBidi" w:hAnsiTheme="minorBidi" w:cstheme="minorBidi"/>
        </w:rPr>
      </w:pPr>
      <w:r w:rsidRPr="00435B9B">
        <w:rPr>
          <w:rFonts w:asciiTheme="minorBidi" w:hAnsiTheme="minorBidi" w:cstheme="minorBidi"/>
          <w:noProof/>
        </w:rPr>
        <w:lastRenderedPageBreak/>
        <w:drawing>
          <wp:inline distT="0" distB="0" distL="0" distR="0" wp14:anchorId="7BC55872" wp14:editId="5CDF00CD">
            <wp:extent cx="4371975" cy="2647950"/>
            <wp:effectExtent l="19050" t="19050" r="9525"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84101" cy="2655294"/>
                    </a:xfrm>
                    <a:prstGeom prst="rect">
                      <a:avLst/>
                    </a:prstGeom>
                    <a:ln>
                      <a:solidFill>
                        <a:schemeClr val="tx1"/>
                      </a:solidFill>
                    </a:ln>
                  </pic:spPr>
                </pic:pic>
              </a:graphicData>
            </a:graphic>
          </wp:inline>
        </w:drawing>
      </w:r>
    </w:p>
    <w:p w:rsidR="00E92A86" w:rsidRPr="00435B9B" w:rsidRDefault="00E92A86" w:rsidP="00E92A86">
      <w:pPr>
        <w:pStyle w:val="NoSpacing"/>
        <w:jc w:val="both"/>
        <w:rPr>
          <w:rFonts w:asciiTheme="minorBidi" w:hAnsiTheme="minorBidi" w:cstheme="minorBidi"/>
        </w:rPr>
      </w:pPr>
      <w:r w:rsidRPr="004A411E">
        <w:rPr>
          <w:rFonts w:asciiTheme="minorBidi" w:hAnsiTheme="minorBidi" w:cstheme="minorBidi"/>
          <w:b/>
          <w:bCs/>
        </w:rPr>
        <w:t>Source</w:t>
      </w:r>
      <w:r w:rsidRPr="00435B9B">
        <w:rPr>
          <w:rFonts w:asciiTheme="minorBidi" w:hAnsiTheme="minorBidi" w:cstheme="minorBidi"/>
        </w:rPr>
        <w:t>:</w:t>
      </w:r>
      <w:r>
        <w:rPr>
          <w:rFonts w:asciiTheme="minorBidi" w:hAnsiTheme="minorBidi" w:cstheme="minorBidi"/>
        </w:rPr>
        <w:t xml:space="preserve"> </w:t>
      </w:r>
      <w:r w:rsidRPr="00435B9B">
        <w:rPr>
          <w:rFonts w:asciiTheme="minorBidi" w:hAnsiTheme="minorBidi" w:cstheme="minorBidi"/>
        </w:rPr>
        <w:t>E</w:t>
      </w:r>
      <w:r>
        <w:rPr>
          <w:rFonts w:asciiTheme="minorBidi" w:hAnsiTheme="minorBidi" w:cstheme="minorBidi"/>
        </w:rPr>
        <w:t>-</w:t>
      </w:r>
      <w:r w:rsidRPr="00435B9B">
        <w:rPr>
          <w:rFonts w:asciiTheme="minorBidi" w:hAnsiTheme="minorBidi" w:cstheme="minorBidi"/>
        </w:rPr>
        <w:t xml:space="preserve">views </w:t>
      </w:r>
      <w:r>
        <w:rPr>
          <w:rFonts w:asciiTheme="minorBidi" w:hAnsiTheme="minorBidi" w:cstheme="minorBidi"/>
        </w:rPr>
        <w:t xml:space="preserve">version </w:t>
      </w:r>
      <w:r w:rsidRPr="00435B9B">
        <w:rPr>
          <w:rFonts w:asciiTheme="minorBidi" w:hAnsiTheme="minorBidi" w:cstheme="minorBidi"/>
        </w:rPr>
        <w:t>13</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Figure 3 illustrates the impact of the dynamic cumulative multiplier of the relationship between economic intelligence indicators and non-oil revenues. The blue curve shows the degree of responsiveness of the positive dependent variable (NOIL) to positive changes in the independent variable (ICT). A (1%) increase in reliance on economic intelligence systems (ICT) leads to a (4%) increase in non-oil revenues within one year and three months.</w:t>
      </w:r>
      <w:r>
        <w:rPr>
          <w:rFonts w:asciiTheme="minorBidi" w:hAnsiTheme="minorBidi" w:cstheme="minorBidi"/>
        </w:rPr>
        <w:t xml:space="preserve"> </w:t>
      </w:r>
      <w:r w:rsidRPr="00435B9B">
        <w:rPr>
          <w:rFonts w:asciiTheme="minorBidi" w:hAnsiTheme="minorBidi" w:cstheme="minorBidi"/>
        </w:rPr>
        <w:t>The yellow curve shows the degree of responsiveness of the dependent variable (NOIL) to a negative shock in the independent variable (ICT). Because the curve was negatively sloped (i.e., less than zero), non-oil revenues are negatively affected when there is a weakness in technology and communication equipment, which means this is in the public money.</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 xml:space="preserve">Meanwhile, the red (Asymmetry) curve, which shows the asymmetry in the dependent variable (NOIL) resulting from positive and negative changes or shocks in the independent variable (ICT), remains within the positive boundaries. Therefore, the positive and negative changes are asymmetrical in the model, and the positive effects are the greatest in terms of the impact of communication technology on non-oil revenues. In light of the above, the </w:t>
      </w:r>
      <w:r w:rsidRPr="004C23B7">
        <w:rPr>
          <w:rFonts w:asciiTheme="minorBidi" w:hAnsiTheme="minorBidi" w:cstheme="minorBidi"/>
        </w:rPr>
        <w:t xml:space="preserve">researcher </w:t>
      </w:r>
      <w:r w:rsidRPr="00435B9B">
        <w:rPr>
          <w:rFonts w:asciiTheme="minorBidi" w:hAnsiTheme="minorBidi" w:cstheme="minorBidi"/>
        </w:rPr>
        <w:t>that these weak percentages are due to the following reasons: -</w:t>
      </w:r>
    </w:p>
    <w:p w:rsidR="00E92A86" w:rsidRPr="00435B9B" w:rsidRDefault="00E92A86" w:rsidP="00E92A86">
      <w:pPr>
        <w:pStyle w:val="NoSpacing"/>
        <w:numPr>
          <w:ilvl w:val="0"/>
          <w:numId w:val="6"/>
        </w:numPr>
        <w:jc w:val="both"/>
        <w:rPr>
          <w:rFonts w:asciiTheme="minorBidi" w:hAnsiTheme="minorBidi" w:cstheme="minorBidi"/>
        </w:rPr>
      </w:pPr>
      <w:r w:rsidRPr="00435B9B">
        <w:rPr>
          <w:rFonts w:asciiTheme="minorBidi" w:hAnsiTheme="minorBidi" w:cstheme="minorBidi"/>
        </w:rPr>
        <w:t>Lack of a Strategic Vision: The data indicate a lack of a clear and consistent strategic vision for developing a knowledge economy in Iraq. The fluctuations in the contribution of ICT and the chronic low investment in education and research and development indicate a lack of long-term planning and commitment.</w:t>
      </w:r>
    </w:p>
    <w:p w:rsidR="00E92A86" w:rsidRPr="00435B9B" w:rsidRDefault="00E92A86" w:rsidP="00E92A86">
      <w:pPr>
        <w:pStyle w:val="NoSpacing"/>
        <w:numPr>
          <w:ilvl w:val="0"/>
          <w:numId w:val="6"/>
        </w:numPr>
        <w:jc w:val="both"/>
        <w:rPr>
          <w:rFonts w:asciiTheme="minorBidi" w:hAnsiTheme="minorBidi" w:cstheme="minorBidi"/>
        </w:rPr>
      </w:pPr>
      <w:r w:rsidRPr="00435B9B">
        <w:rPr>
          <w:rFonts w:asciiTheme="minorBidi" w:hAnsiTheme="minorBidi" w:cstheme="minorBidi"/>
        </w:rPr>
        <w:t>Oil Dependence as a Constraint: Heavy reliance on oil revenues may be hindering the development of a knowledge economy. The abundance of oil wealth may reduce the urgent need to diversify the economy and invest in human capital and innovation.</w:t>
      </w:r>
    </w:p>
    <w:p w:rsidR="00E92A86" w:rsidRPr="00435B9B" w:rsidRDefault="00E92A86" w:rsidP="00E92A86">
      <w:pPr>
        <w:pStyle w:val="NoSpacing"/>
        <w:numPr>
          <w:ilvl w:val="0"/>
          <w:numId w:val="6"/>
        </w:numPr>
        <w:jc w:val="both"/>
        <w:rPr>
          <w:rFonts w:asciiTheme="minorBidi" w:hAnsiTheme="minorBidi" w:cstheme="minorBidi"/>
        </w:rPr>
      </w:pPr>
      <w:r w:rsidRPr="00435B9B">
        <w:rPr>
          <w:rFonts w:asciiTheme="minorBidi" w:hAnsiTheme="minorBidi" w:cstheme="minorBidi"/>
        </w:rPr>
        <w:t>Governance and Institutional Inefficiencies: Poor governance, corruption, and institutional inefficiencies can be major obstacles to progress. These factors can discourage investment, impede policy implementation, and undermine the effectiveness of public spending.</w:t>
      </w:r>
    </w:p>
    <w:p w:rsidR="00E92A86" w:rsidRPr="00435B9B" w:rsidRDefault="00E92A86" w:rsidP="00E92A86">
      <w:pPr>
        <w:pStyle w:val="NoSpacing"/>
        <w:numPr>
          <w:ilvl w:val="0"/>
          <w:numId w:val="6"/>
        </w:numPr>
        <w:jc w:val="both"/>
        <w:rPr>
          <w:rFonts w:asciiTheme="minorBidi" w:hAnsiTheme="minorBidi" w:cstheme="minorBidi"/>
        </w:rPr>
      </w:pPr>
      <w:r w:rsidRPr="00435B9B">
        <w:rPr>
          <w:rFonts w:asciiTheme="minorBidi" w:hAnsiTheme="minorBidi" w:cstheme="minorBidi"/>
        </w:rPr>
        <w:t>Security Concerns: Undoubtedly, security concerns and political instability have had a negative impact on the development of the knowledge economy in Iraq. These factors can disrupt economic activity, discourage investment, and divert resources away from education and research and development.</w:t>
      </w:r>
    </w:p>
    <w:p w:rsidR="00E92A86" w:rsidRPr="00B67147" w:rsidRDefault="00E92A86" w:rsidP="00E92A86">
      <w:pPr>
        <w:pStyle w:val="NoSpacing"/>
        <w:jc w:val="both"/>
        <w:rPr>
          <w:rFonts w:asciiTheme="minorBidi" w:hAnsiTheme="minorBidi" w:cstheme="minorBidi"/>
          <w:b/>
          <w:bCs/>
        </w:rPr>
      </w:pPr>
      <w:r w:rsidRPr="00B67147">
        <w:rPr>
          <w:rFonts w:asciiTheme="minorBidi" w:hAnsiTheme="minorBidi" w:cstheme="minorBidi"/>
          <w:b/>
          <w:bCs/>
        </w:rPr>
        <w:t>5.1 Conclusions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It is evident from both the analytical and standard aspects of the study that the introduction of the economic intelligence system will enhance non-oil revenues in Iraq. This means that the hypothesis of the study has been proven. Economic intelligence is a concept whose use has expanded due to its connection with the knowledge economy as one of its effective means. Its introduction into government institutions or private companies operating in Iraq will lead to important results in terms of productivity, which stimulates the process of self-sufficiency for imported goods, and the surplus is converted to export. Thus, the hypothesis on which the study relied may be achieved in this way.</w:t>
      </w:r>
      <w:r>
        <w:rPr>
          <w:rFonts w:asciiTheme="minorBidi" w:hAnsiTheme="minorBidi" w:cstheme="minorBidi"/>
        </w:rPr>
        <w:t xml:space="preserve"> And e</w:t>
      </w:r>
      <w:r w:rsidRPr="00435B9B">
        <w:rPr>
          <w:rFonts w:asciiTheme="minorBidi" w:hAnsiTheme="minorBidi" w:cstheme="minorBidi"/>
        </w:rPr>
        <w:t>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w:t>
      </w:r>
      <w:r>
        <w:rPr>
          <w:rFonts w:asciiTheme="minorBidi" w:hAnsiTheme="minorBidi" w:cstheme="minorBidi"/>
        </w:rPr>
        <w:t xml:space="preserve"> </w:t>
      </w:r>
      <w:r w:rsidRPr="00435B9B">
        <w:rPr>
          <w:rFonts w:asciiTheme="minorBidi" w:hAnsiTheme="minorBidi" w:cstheme="minorBidi"/>
        </w:rPr>
        <w:t>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w:t>
      </w:r>
      <w:r>
        <w:rPr>
          <w:rFonts w:asciiTheme="minorBidi" w:hAnsiTheme="minorBidi" w:cstheme="minorBidi"/>
        </w:rPr>
        <w:t xml:space="preserve">on-oil revenues in the country. </w:t>
      </w:r>
      <w:r w:rsidRPr="00435B9B">
        <w:rPr>
          <w:rFonts w:asciiTheme="minorBidi" w:hAnsiTheme="minorBidi" w:cstheme="minorBidi"/>
        </w:rPr>
        <w:t>The application of economic intelligence systems to the reality of the economy in Iraq will lead to its revitalization, which will positively affect the increase in the productivity of institutions or companies operating in this field. This means an increase in tax collection that supports public revenues and reduces the deficit and public debt in Iraq.</w:t>
      </w:r>
    </w:p>
    <w:p w:rsidR="00E92A86" w:rsidRPr="00CC4CFD" w:rsidRDefault="00E92A86" w:rsidP="00E92A86">
      <w:pPr>
        <w:pStyle w:val="NoSpacing"/>
        <w:jc w:val="both"/>
        <w:rPr>
          <w:rFonts w:asciiTheme="minorBidi" w:hAnsiTheme="minorBidi" w:cstheme="minorBidi"/>
          <w:b/>
          <w:bCs/>
        </w:rPr>
      </w:pPr>
      <w:r w:rsidRPr="00CC4CFD">
        <w:rPr>
          <w:rFonts w:asciiTheme="minorBidi" w:hAnsiTheme="minorBidi" w:cstheme="minorBidi"/>
          <w:b/>
          <w:bCs/>
        </w:rPr>
        <w:lastRenderedPageBreak/>
        <w:t>5.2 Recommendations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1-Support encouraging investment in the technology, information, and communication sector to create the underlying environment for the mechanism of transformation towards the knowledge (digital) economy, due to its economic and social effects in the process of building the human capital that stimulates diversifying the economy in the country.</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2- The necessity of following up on loans given to small and medium enterprises and increasing their ceiling due to their importance on the reality of the Iraqi economy, and giving importance to projects that contribute to achieving the development goals in the country, especially those that rely on economic intelligence as an input in productive projects.</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3- A significant increase in the allocation of GDP to education, with the goal of reaching at least (4%) in the medium term, and then focusing on improving the quality of education at all levels, from primary to higher education. Also, a significant increase in investment in research and development, with a goal of reaching at least (1%) of GDP over the next decade. Then prioritizing research areas that align with Iraq's economic development goals and focusing on building strong research institutions. As well as implementing policies to encourage the development of the ICT sector, including investing in infrastructure, improving access to technology, and promoting digital culture.</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4- Strengthening governance and institutions to create a more transparent and accountable environment for investment and innovation. Addressing corruption and improving the rule of law. Also, continuing efforts to diversify the economy away from reliance on oil by promoting non-oil sectors, such as manufacturing, agriculture, and tourism.</w:t>
      </w:r>
    </w:p>
    <w:p w:rsidR="00E92A86" w:rsidRPr="00435B9B" w:rsidRDefault="00E92A86" w:rsidP="00E92A86">
      <w:pPr>
        <w:pStyle w:val="NoSpacing"/>
        <w:jc w:val="both"/>
        <w:rPr>
          <w:rFonts w:asciiTheme="minorBidi" w:hAnsiTheme="minorBidi" w:cstheme="minorBidi"/>
        </w:rPr>
      </w:pPr>
      <w:r w:rsidRPr="00435B9B">
        <w:rPr>
          <w:rFonts w:asciiTheme="minorBidi" w:hAnsiTheme="minorBidi" w:cstheme="minorBidi"/>
        </w:rPr>
        <w:t>5- Creating a supportive ecosystem for innovation by providing funding for startups, creating technology incubators, and fostering collaboration between universities, research institutions, and businesses. Also, investing in the development of human capital through education, training, and skills development programs. Focusing on building a workforce equipped with the skills needed to thrive in a knowledge economy.</w:t>
      </w:r>
    </w:p>
    <w:p w:rsidR="00E92A86" w:rsidRPr="00435B9B" w:rsidRDefault="00E92A86" w:rsidP="00E92A86">
      <w:pPr>
        <w:pStyle w:val="NoSpacing"/>
        <w:jc w:val="both"/>
        <w:rPr>
          <w:rFonts w:asciiTheme="minorBidi" w:hAnsiTheme="minorBidi" w:cstheme="minorBidi"/>
          <w:b/>
          <w:bCs/>
        </w:rPr>
      </w:pPr>
      <w:r w:rsidRPr="00435B9B">
        <w:rPr>
          <w:rFonts w:asciiTheme="minorBidi" w:hAnsiTheme="minorBidi" w:cstheme="minorBidi"/>
          <w:b/>
          <w:bCs/>
        </w:rPr>
        <w:t>References</w:t>
      </w:r>
    </w:p>
    <w:p w:rsidR="00E92A86" w:rsidRPr="00435B9B" w:rsidRDefault="00E92A86" w:rsidP="00E92A86">
      <w:pPr>
        <w:pStyle w:val="NoSpacing"/>
        <w:numPr>
          <w:ilvl w:val="0"/>
          <w:numId w:val="7"/>
        </w:numPr>
        <w:jc w:val="both"/>
        <w:rPr>
          <w:rFonts w:asciiTheme="minorBidi" w:hAnsiTheme="minorBidi" w:cstheme="minorBidi"/>
        </w:rPr>
      </w:pPr>
      <w:r w:rsidRPr="00435B9B">
        <w:rPr>
          <w:rFonts w:asciiTheme="minorBidi" w:hAnsiTheme="minorBidi" w:cstheme="minorBidi"/>
        </w:rPr>
        <w:t xml:space="preserve">AA </w:t>
      </w:r>
      <w:proofErr w:type="spellStart"/>
      <w:r w:rsidRPr="00435B9B">
        <w:rPr>
          <w:rFonts w:asciiTheme="minorBidi" w:hAnsiTheme="minorBidi" w:cstheme="minorBidi"/>
        </w:rPr>
        <w:t>Dadoosh</w:t>
      </w:r>
      <w:proofErr w:type="spellEnd"/>
      <w:r w:rsidRPr="00435B9B">
        <w:rPr>
          <w:rFonts w:asciiTheme="minorBidi" w:hAnsiTheme="minorBidi" w:cstheme="minorBidi"/>
        </w:rPr>
        <w:t xml:space="preserve">, FK </w:t>
      </w:r>
      <w:proofErr w:type="spellStart"/>
      <w:r w:rsidRPr="00435B9B">
        <w:rPr>
          <w:rFonts w:asciiTheme="minorBidi" w:hAnsiTheme="minorBidi" w:cstheme="minorBidi"/>
        </w:rPr>
        <w:t>Buraihi</w:t>
      </w:r>
      <w:proofErr w:type="spellEnd"/>
      <w:r w:rsidRPr="00435B9B">
        <w:rPr>
          <w:rFonts w:asciiTheme="minorBidi" w:hAnsiTheme="minorBidi" w:cstheme="minorBidi"/>
        </w:rPr>
        <w:t> (2024) The Analysis of The Relationship Between Monetary Financing and the General Budget in the United States from 2008-2022 (</w:t>
      </w:r>
      <w:hyperlink r:id="rId13" w:history="1">
        <w:r w:rsidRPr="00435B9B">
          <w:rPr>
            <w:rStyle w:val="Hyperlink"/>
            <w:rFonts w:asciiTheme="minorBidi" w:hAnsiTheme="minorBidi" w:cstheme="minorBidi"/>
          </w:rPr>
          <w:t>https://scholar.google.com/scholar?oi=bibs&amp;cluster=11364981677240855091&amp;btnI=1&amp;hl=ar</w:t>
        </w:r>
      </w:hyperlink>
    </w:p>
    <w:p w:rsidR="00E92A86" w:rsidRPr="00435B9B" w:rsidRDefault="00E92A86" w:rsidP="00E92A86">
      <w:pPr>
        <w:pStyle w:val="NoSpacing"/>
        <w:numPr>
          <w:ilvl w:val="0"/>
          <w:numId w:val="7"/>
        </w:numPr>
        <w:jc w:val="both"/>
        <w:rPr>
          <w:rFonts w:asciiTheme="minorBidi" w:hAnsiTheme="minorBidi" w:cstheme="minorBidi"/>
        </w:rPr>
      </w:pPr>
      <w:r w:rsidRPr="00435B9B">
        <w:rPr>
          <w:rFonts w:asciiTheme="minorBidi" w:hAnsiTheme="minorBidi" w:cstheme="minorBidi"/>
        </w:rPr>
        <w:t>Abdulsalam, Makhloufi and Aisha Qadri (2019): Economic Intelligence and its Impact on Promoting Non-Hydrocarbon Exports in Algeria, Al-Bashair Economic Journal, Volume 4, Number 3.</w:t>
      </w:r>
    </w:p>
    <w:p w:rsidR="00E92A86" w:rsidRPr="00435B9B" w:rsidRDefault="00E92A86" w:rsidP="00E92A86">
      <w:pPr>
        <w:pStyle w:val="NoSpacing"/>
        <w:numPr>
          <w:ilvl w:val="0"/>
          <w:numId w:val="7"/>
        </w:numPr>
        <w:jc w:val="both"/>
        <w:rPr>
          <w:rFonts w:asciiTheme="minorBidi" w:hAnsiTheme="minorBidi" w:cstheme="minorBidi"/>
        </w:rPr>
      </w:pPr>
      <w:proofErr w:type="spellStart"/>
      <w:proofErr w:type="gramStart"/>
      <w:r w:rsidRPr="00435B9B">
        <w:rPr>
          <w:rFonts w:asciiTheme="minorBidi" w:hAnsiTheme="minorBidi" w:cstheme="minorBidi"/>
        </w:rPr>
        <w:t>Alice,G</w:t>
      </w:r>
      <w:proofErr w:type="spellEnd"/>
      <w:r w:rsidRPr="00435B9B">
        <w:rPr>
          <w:rFonts w:asciiTheme="minorBidi" w:hAnsiTheme="minorBidi" w:cstheme="minorBidi"/>
        </w:rPr>
        <w:t>;  ;</w:t>
      </w:r>
      <w:proofErr w:type="gramEnd"/>
      <w:r w:rsidRPr="00435B9B">
        <w:rPr>
          <w:rFonts w:asciiTheme="minorBidi" w:hAnsiTheme="minorBidi" w:cstheme="minorBidi"/>
        </w:rPr>
        <w:t xml:space="preserve"> Intelligence economic in </w:t>
      </w:r>
      <w:proofErr w:type="gramStart"/>
      <w:r w:rsidRPr="00435B9B">
        <w:rPr>
          <w:rFonts w:asciiTheme="minorBidi" w:hAnsiTheme="minorBidi" w:cstheme="minorBidi"/>
        </w:rPr>
        <w:t>PME  ,</w:t>
      </w:r>
      <w:proofErr w:type="gramEnd"/>
      <w:r w:rsidRPr="00435B9B">
        <w:rPr>
          <w:rFonts w:asciiTheme="minorBidi" w:hAnsiTheme="minorBidi" w:cstheme="minorBidi"/>
        </w:rPr>
        <w:t xml:space="preserve"> vision </w:t>
      </w:r>
      <w:proofErr w:type="spellStart"/>
      <w:r w:rsidRPr="00435B9B">
        <w:rPr>
          <w:rFonts w:asciiTheme="minorBidi" w:hAnsiTheme="minorBidi" w:cstheme="minorBidi"/>
        </w:rPr>
        <w:t>eparses</w:t>
      </w:r>
      <w:proofErr w:type="spellEnd"/>
      <w:r w:rsidRPr="00435B9B">
        <w:rPr>
          <w:rFonts w:asciiTheme="minorBidi" w:hAnsiTheme="minorBidi" w:cstheme="minorBidi"/>
        </w:rPr>
        <w:t xml:space="preserve"> paradoxes </w:t>
      </w:r>
      <w:proofErr w:type="gramStart"/>
      <w:r w:rsidRPr="00435B9B">
        <w:rPr>
          <w:rFonts w:asciiTheme="minorBidi" w:hAnsiTheme="minorBidi" w:cstheme="minorBidi"/>
        </w:rPr>
        <w:t xml:space="preserve">at  </w:t>
      </w:r>
      <w:proofErr w:type="spellStart"/>
      <w:r w:rsidRPr="00435B9B">
        <w:rPr>
          <w:rFonts w:asciiTheme="minorBidi" w:hAnsiTheme="minorBidi" w:cstheme="minorBidi"/>
        </w:rPr>
        <w:t>manifwstition</w:t>
      </w:r>
      <w:proofErr w:type="spellEnd"/>
      <w:proofErr w:type="gramEnd"/>
      <w:r w:rsidRPr="00435B9B">
        <w:rPr>
          <w:rFonts w:asciiTheme="minorBidi" w:hAnsiTheme="minorBidi" w:cstheme="minorBidi"/>
        </w:rPr>
        <w:t xml:space="preserve"> ed, Paris,2005. </w:t>
      </w:r>
    </w:p>
    <w:p w:rsidR="00E92A86" w:rsidRPr="00435B9B" w:rsidRDefault="00E92A86" w:rsidP="00E92A86">
      <w:pPr>
        <w:pStyle w:val="NoSpacing"/>
        <w:numPr>
          <w:ilvl w:val="0"/>
          <w:numId w:val="7"/>
        </w:numPr>
        <w:jc w:val="both"/>
        <w:rPr>
          <w:rFonts w:asciiTheme="minorBidi" w:hAnsiTheme="minorBidi" w:cstheme="minorBidi"/>
        </w:rPr>
      </w:pPr>
      <w:r w:rsidRPr="00435B9B">
        <w:rPr>
          <w:rFonts w:asciiTheme="minorBidi" w:hAnsiTheme="minorBidi" w:cstheme="minorBidi"/>
        </w:rPr>
        <w:t xml:space="preserve">Al-Zubaidi, Muhammad </w:t>
      </w:r>
      <w:proofErr w:type="spellStart"/>
      <w:r w:rsidRPr="00435B9B">
        <w:rPr>
          <w:rFonts w:asciiTheme="minorBidi" w:hAnsiTheme="minorBidi" w:cstheme="minorBidi"/>
        </w:rPr>
        <w:t>Ni'ma</w:t>
      </w:r>
      <w:proofErr w:type="spellEnd"/>
      <w:r w:rsidRPr="00435B9B">
        <w:rPr>
          <w:rFonts w:asciiTheme="minorBidi" w:hAnsiTheme="minorBidi" w:cstheme="minorBidi"/>
        </w:rPr>
        <w:t xml:space="preserve"> Muhammad (2017): Economic Intelligence, a Proposed Iraqi Project and its Potential Contribution to the Development of the Iraqi Economy, PhD Dissertation, Al-</w:t>
      </w:r>
      <w:proofErr w:type="spellStart"/>
      <w:r w:rsidRPr="00435B9B">
        <w:rPr>
          <w:rFonts w:asciiTheme="minorBidi" w:hAnsiTheme="minorBidi" w:cstheme="minorBidi"/>
        </w:rPr>
        <w:t>Qadisiyah</w:t>
      </w:r>
      <w:proofErr w:type="spellEnd"/>
      <w:r w:rsidRPr="00435B9B">
        <w:rPr>
          <w:rFonts w:asciiTheme="minorBidi" w:hAnsiTheme="minorBidi" w:cstheme="minorBidi"/>
        </w:rPr>
        <w:t xml:space="preserve"> University, Iraq.</w:t>
      </w:r>
    </w:p>
    <w:p w:rsidR="00E92A86" w:rsidRPr="00435B9B" w:rsidRDefault="00E92A86" w:rsidP="00E92A86">
      <w:pPr>
        <w:pStyle w:val="NoSpacing"/>
        <w:numPr>
          <w:ilvl w:val="0"/>
          <w:numId w:val="7"/>
        </w:numPr>
        <w:jc w:val="both"/>
        <w:rPr>
          <w:rFonts w:asciiTheme="minorBidi" w:hAnsiTheme="minorBidi" w:cstheme="minorBidi"/>
        </w:rPr>
      </w:pPr>
      <w:proofErr w:type="gramStart"/>
      <w:r w:rsidRPr="00435B9B">
        <w:rPr>
          <w:rFonts w:asciiTheme="minorBidi" w:hAnsiTheme="minorBidi" w:cstheme="minorBidi"/>
        </w:rPr>
        <w:t>AMF,</w:t>
      </w:r>
      <w:r>
        <w:rPr>
          <w:rFonts w:asciiTheme="minorBidi" w:hAnsiTheme="minorBidi" w:cstheme="minorBidi"/>
        </w:rPr>
        <w:t>(</w:t>
      </w:r>
      <w:proofErr w:type="gramEnd"/>
      <w:r>
        <w:rPr>
          <w:rFonts w:asciiTheme="minorBidi" w:hAnsiTheme="minorBidi" w:cstheme="minorBidi"/>
        </w:rPr>
        <w:t>2009</w:t>
      </w:r>
      <w:proofErr w:type="gramStart"/>
      <w:r>
        <w:rPr>
          <w:rFonts w:asciiTheme="minorBidi" w:hAnsiTheme="minorBidi" w:cstheme="minorBidi"/>
        </w:rPr>
        <w:t>) ,</w:t>
      </w:r>
      <w:proofErr w:type="gramEnd"/>
      <w:r w:rsidRPr="00435B9B">
        <w:rPr>
          <w:rFonts w:asciiTheme="minorBidi" w:hAnsiTheme="minorBidi" w:cstheme="minorBidi"/>
        </w:rPr>
        <w:t xml:space="preserve"> Economic Report o</w:t>
      </w:r>
      <w:r>
        <w:rPr>
          <w:rFonts w:asciiTheme="minorBidi" w:hAnsiTheme="minorBidi" w:cstheme="minorBidi"/>
        </w:rPr>
        <w:t xml:space="preserve">f </w:t>
      </w:r>
      <w:proofErr w:type="gramStart"/>
      <w:r>
        <w:rPr>
          <w:rFonts w:asciiTheme="minorBidi" w:hAnsiTheme="minorBidi" w:cstheme="minorBidi"/>
        </w:rPr>
        <w:t>Arabia ,</w:t>
      </w:r>
      <w:proofErr w:type="gramEnd"/>
      <w:r>
        <w:rPr>
          <w:rFonts w:asciiTheme="minorBidi" w:hAnsiTheme="minorBidi" w:cstheme="minorBidi"/>
        </w:rPr>
        <w:t xml:space="preserve"> chapter </w:t>
      </w:r>
      <w:proofErr w:type="gramStart"/>
      <w:r>
        <w:rPr>
          <w:rFonts w:asciiTheme="minorBidi" w:hAnsiTheme="minorBidi" w:cstheme="minorBidi"/>
        </w:rPr>
        <w:t xml:space="preserve">5 </w:t>
      </w:r>
      <w:r w:rsidRPr="00435B9B">
        <w:rPr>
          <w:rFonts w:asciiTheme="minorBidi" w:hAnsiTheme="minorBidi" w:cstheme="minorBidi"/>
        </w:rPr>
        <w:t>.</w:t>
      </w:r>
      <w:proofErr w:type="gramEnd"/>
    </w:p>
    <w:p w:rsidR="00E92A86" w:rsidRPr="00435B9B" w:rsidRDefault="00E92A86" w:rsidP="00E92A86">
      <w:pPr>
        <w:pStyle w:val="NoSpacing"/>
        <w:numPr>
          <w:ilvl w:val="0"/>
          <w:numId w:val="7"/>
        </w:numPr>
        <w:jc w:val="both"/>
        <w:rPr>
          <w:rFonts w:asciiTheme="minorBidi" w:hAnsiTheme="minorBidi" w:cstheme="minorBidi"/>
        </w:rPr>
      </w:pPr>
      <w:proofErr w:type="spellStart"/>
      <w:r w:rsidRPr="00435B9B">
        <w:rPr>
          <w:rFonts w:asciiTheme="minorBidi" w:hAnsiTheme="minorBidi" w:cstheme="minorBidi"/>
        </w:rPr>
        <w:t>Bernard.B</w:t>
      </w:r>
      <w:proofErr w:type="spellEnd"/>
      <w:r w:rsidRPr="00435B9B">
        <w:rPr>
          <w:rFonts w:asciiTheme="minorBidi" w:hAnsiTheme="minorBidi" w:cstheme="minorBidi"/>
        </w:rPr>
        <w:t>, Jean-Claude Possin;</w:t>
      </w:r>
      <w:r>
        <w:rPr>
          <w:rFonts w:asciiTheme="minorBidi" w:hAnsiTheme="minorBidi" w:cstheme="minorBidi"/>
        </w:rPr>
        <w:t>(2021),</w:t>
      </w:r>
      <w:r w:rsidRPr="00435B9B">
        <w:rPr>
          <w:rFonts w:asciiTheme="minorBidi" w:hAnsiTheme="minorBidi" w:cstheme="minorBidi"/>
        </w:rPr>
        <w:t xml:space="preserve"> The </w:t>
      </w:r>
      <w:proofErr w:type="spellStart"/>
      <w:r w:rsidRPr="00435B9B">
        <w:rPr>
          <w:rFonts w:asciiTheme="minorBidi" w:hAnsiTheme="minorBidi" w:cstheme="minorBidi"/>
        </w:rPr>
        <w:t>renseignement</w:t>
      </w:r>
      <w:proofErr w:type="spellEnd"/>
      <w:r w:rsidRPr="00435B9B">
        <w:rPr>
          <w:rFonts w:asciiTheme="minorBidi" w:hAnsiTheme="minorBidi" w:cstheme="minorBidi"/>
        </w:rPr>
        <w:t xml:space="preserve"> in </w:t>
      </w:r>
      <w:proofErr w:type="gramStart"/>
      <w:r w:rsidRPr="00435B9B">
        <w:rPr>
          <w:rFonts w:asciiTheme="minorBidi" w:hAnsiTheme="minorBidi" w:cstheme="minorBidi"/>
        </w:rPr>
        <w:t>Intelligence  economic</w:t>
      </w:r>
      <w:proofErr w:type="gramEnd"/>
      <w:r w:rsidRPr="00435B9B">
        <w:rPr>
          <w:rFonts w:asciiTheme="minorBidi" w:hAnsiTheme="minorBidi" w:cstheme="minorBidi"/>
        </w:rPr>
        <w:t xml:space="preserve"> , Paris,2001.</w:t>
      </w:r>
    </w:p>
    <w:p w:rsidR="00E92A86" w:rsidRPr="00435B9B" w:rsidRDefault="00E92A86" w:rsidP="00E92A86">
      <w:pPr>
        <w:pStyle w:val="NoSpacing"/>
        <w:numPr>
          <w:ilvl w:val="0"/>
          <w:numId w:val="7"/>
        </w:numPr>
        <w:jc w:val="both"/>
        <w:rPr>
          <w:rFonts w:asciiTheme="minorBidi" w:hAnsiTheme="minorBidi" w:cstheme="minorBidi"/>
        </w:rPr>
      </w:pPr>
      <w:proofErr w:type="gramStart"/>
      <w:r>
        <w:rPr>
          <w:rFonts w:asciiTheme="minorBidi" w:hAnsiTheme="minorBidi" w:cstheme="minorBidi"/>
        </w:rPr>
        <w:t>CBI,(</w:t>
      </w:r>
      <w:proofErr w:type="gramEnd"/>
      <w:r>
        <w:rPr>
          <w:rFonts w:asciiTheme="minorBidi" w:hAnsiTheme="minorBidi" w:cstheme="minorBidi"/>
        </w:rPr>
        <w:t xml:space="preserve">2022), the statistic central bank of </w:t>
      </w:r>
      <w:proofErr w:type="gramStart"/>
      <w:r>
        <w:rPr>
          <w:rFonts w:asciiTheme="minorBidi" w:hAnsiTheme="minorBidi" w:cstheme="minorBidi"/>
        </w:rPr>
        <w:t>Iraq .</w:t>
      </w:r>
      <w:proofErr w:type="gramEnd"/>
    </w:p>
    <w:p w:rsidR="00E92A86" w:rsidRPr="00435B9B" w:rsidRDefault="00E92A86" w:rsidP="00E92A86">
      <w:pPr>
        <w:pStyle w:val="NoSpacing"/>
        <w:numPr>
          <w:ilvl w:val="0"/>
          <w:numId w:val="7"/>
        </w:numPr>
        <w:jc w:val="both"/>
        <w:rPr>
          <w:rFonts w:asciiTheme="minorBidi" w:hAnsiTheme="minorBidi" w:cstheme="minorBidi"/>
        </w:rPr>
      </w:pPr>
      <w:r w:rsidRPr="00435B9B">
        <w:rPr>
          <w:rFonts w:asciiTheme="minorBidi" w:hAnsiTheme="minorBidi" w:cstheme="minorBidi"/>
        </w:rPr>
        <w:t xml:space="preserve">Ceyhun </w:t>
      </w:r>
      <w:proofErr w:type="spellStart"/>
      <w:r w:rsidRPr="00435B9B">
        <w:rPr>
          <w:rFonts w:asciiTheme="minorBidi" w:hAnsiTheme="minorBidi" w:cstheme="minorBidi"/>
        </w:rPr>
        <w:t>Haydarogle</w:t>
      </w:r>
      <w:proofErr w:type="spellEnd"/>
      <w:r w:rsidRPr="00435B9B">
        <w:rPr>
          <w:rFonts w:asciiTheme="minorBidi" w:hAnsiTheme="minorBidi" w:cstheme="minorBidi"/>
        </w:rPr>
        <w:t>;</w:t>
      </w:r>
      <w:r>
        <w:rPr>
          <w:rFonts w:asciiTheme="minorBidi" w:hAnsiTheme="minorBidi" w:cstheme="minorBidi"/>
        </w:rPr>
        <w:t>(2015),</w:t>
      </w:r>
      <w:r w:rsidRPr="00435B9B">
        <w:rPr>
          <w:rFonts w:asciiTheme="minorBidi" w:hAnsiTheme="minorBidi" w:cstheme="minorBidi"/>
        </w:rPr>
        <w:t xml:space="preserve"> Final version of Capitalize: Economic Intelligence in knowledge economy, Journal</w:t>
      </w:r>
      <w:r>
        <w:rPr>
          <w:rFonts w:asciiTheme="minorBidi" w:hAnsiTheme="minorBidi" w:cstheme="minorBidi"/>
        </w:rPr>
        <w:t xml:space="preserve"> of Economic </w:t>
      </w:r>
      <w:proofErr w:type="gramStart"/>
      <w:r>
        <w:rPr>
          <w:rFonts w:asciiTheme="minorBidi" w:hAnsiTheme="minorBidi" w:cstheme="minorBidi"/>
        </w:rPr>
        <w:t>finance,Vol.2,N.</w:t>
      </w:r>
      <w:proofErr w:type="gramEnd"/>
      <w:r>
        <w:rPr>
          <w:rFonts w:asciiTheme="minorBidi" w:hAnsiTheme="minorBidi" w:cstheme="minorBidi"/>
        </w:rPr>
        <w:t>15</w:t>
      </w:r>
      <w:r w:rsidRPr="00435B9B">
        <w:rPr>
          <w:rFonts w:asciiTheme="minorBidi" w:hAnsiTheme="minorBidi" w:cstheme="minorBidi"/>
        </w:rPr>
        <w:t>.</w:t>
      </w:r>
    </w:p>
    <w:p w:rsidR="00E92A86" w:rsidRDefault="00E92A86" w:rsidP="00E92A86">
      <w:pPr>
        <w:pStyle w:val="NoSpacing"/>
        <w:numPr>
          <w:ilvl w:val="0"/>
          <w:numId w:val="7"/>
        </w:numPr>
        <w:rPr>
          <w:rFonts w:asciiTheme="minorBidi" w:hAnsiTheme="minorBidi" w:cstheme="minorBidi"/>
        </w:rPr>
      </w:pPr>
      <w:r w:rsidRPr="00EE6D97">
        <w:rPr>
          <w:rFonts w:asciiTheme="minorBidi" w:hAnsiTheme="minorBidi" w:cstheme="minorBidi"/>
        </w:rPr>
        <w:t xml:space="preserve">HZ </w:t>
      </w:r>
      <w:proofErr w:type="spellStart"/>
      <w:r w:rsidRPr="00EE6D97">
        <w:rPr>
          <w:rFonts w:asciiTheme="minorBidi" w:hAnsiTheme="minorBidi" w:cstheme="minorBidi"/>
        </w:rPr>
        <w:t>Miklif</w:t>
      </w:r>
      <w:proofErr w:type="spellEnd"/>
      <w:r w:rsidRPr="00EE6D97">
        <w:rPr>
          <w:rFonts w:asciiTheme="minorBidi" w:hAnsiTheme="minorBidi" w:cstheme="minorBidi"/>
        </w:rPr>
        <w:t xml:space="preserve">, AA </w:t>
      </w:r>
      <w:proofErr w:type="spellStart"/>
      <w:r w:rsidRPr="00EE6D97">
        <w:rPr>
          <w:rFonts w:asciiTheme="minorBidi" w:hAnsiTheme="minorBidi" w:cstheme="minorBidi"/>
        </w:rPr>
        <w:t>Dadoosh</w:t>
      </w:r>
      <w:proofErr w:type="spellEnd"/>
      <w:r w:rsidRPr="00EE6D97">
        <w:rPr>
          <w:rFonts w:asciiTheme="minorBidi" w:hAnsiTheme="minorBidi" w:cstheme="minorBidi"/>
        </w:rPr>
        <w:t xml:space="preserve">, ZH </w:t>
      </w:r>
      <w:proofErr w:type="spellStart"/>
      <w:r w:rsidRPr="00EE6D97">
        <w:rPr>
          <w:rFonts w:asciiTheme="minorBidi" w:hAnsiTheme="minorBidi" w:cstheme="minorBidi"/>
        </w:rPr>
        <w:t>Neamah</w:t>
      </w:r>
      <w:proofErr w:type="spellEnd"/>
      <w:r w:rsidRPr="00EE6D97">
        <w:rPr>
          <w:rFonts w:asciiTheme="minorBidi" w:hAnsiTheme="minorBidi" w:cstheme="minorBidi"/>
        </w:rPr>
        <w:t> - Journal of Global Scientific Research, 2021</w:t>
      </w:r>
      <w:r>
        <w:rPr>
          <w:rFonts w:asciiTheme="minorBidi" w:hAnsiTheme="minorBidi" w:cstheme="minorBidi"/>
        </w:rPr>
        <w:t xml:space="preserve">, </w:t>
      </w:r>
      <w:r w:rsidRPr="00EE6D97">
        <w:rPr>
          <w:rFonts w:asciiTheme="minorBidi" w:hAnsiTheme="minorBidi" w:cstheme="minorBidi"/>
        </w:rPr>
        <w:t>The role of artificial intelligence in stimulating economic growth (</w:t>
      </w:r>
      <w:hyperlink r:id="rId14" w:history="1">
        <w:r w:rsidRPr="00221E02">
          <w:rPr>
            <w:rStyle w:val="Hyperlink"/>
            <w:rFonts w:asciiTheme="minorBidi" w:hAnsiTheme="minorBidi" w:cstheme="minorBidi"/>
          </w:rPr>
          <w:t>https://scholar.google.com/scholar?oi=bibs&amp;cluster=15065098239857119396&amp;btnI=1&amp;hl=ar</w:t>
        </w:r>
      </w:hyperlink>
      <w:r w:rsidRPr="00EE6D97">
        <w:rPr>
          <w:rFonts w:asciiTheme="minorBidi" w:hAnsiTheme="minorBidi" w:cstheme="minorBidi"/>
        </w:rPr>
        <w:t>)</w:t>
      </w:r>
      <w:r>
        <w:rPr>
          <w:rFonts w:asciiTheme="minorBidi" w:hAnsiTheme="minorBidi" w:cstheme="minorBidi"/>
        </w:rPr>
        <w:t xml:space="preserve"> .</w:t>
      </w:r>
    </w:p>
    <w:p w:rsidR="00E92A86" w:rsidRPr="00435B9B" w:rsidRDefault="00E92A86" w:rsidP="00E92A86">
      <w:pPr>
        <w:pStyle w:val="NoSpacing"/>
        <w:numPr>
          <w:ilvl w:val="0"/>
          <w:numId w:val="7"/>
        </w:numPr>
        <w:jc w:val="both"/>
        <w:rPr>
          <w:rFonts w:asciiTheme="minorBidi" w:hAnsiTheme="minorBidi" w:cstheme="minorBidi"/>
        </w:rPr>
      </w:pPr>
      <w:r w:rsidRPr="00435B9B">
        <w:rPr>
          <w:rFonts w:asciiTheme="minorBidi" w:hAnsiTheme="minorBidi" w:cstheme="minorBidi"/>
        </w:rPr>
        <w:t xml:space="preserve">IMF </w:t>
      </w:r>
      <w:proofErr w:type="spellStart"/>
      <w:proofErr w:type="gramStart"/>
      <w:r w:rsidRPr="00435B9B">
        <w:rPr>
          <w:rFonts w:asciiTheme="minorBidi" w:hAnsiTheme="minorBidi" w:cstheme="minorBidi"/>
        </w:rPr>
        <w:t>elibrary</w:t>
      </w:r>
      <w:proofErr w:type="spellEnd"/>
      <w:r w:rsidRPr="00435B9B">
        <w:rPr>
          <w:rFonts w:asciiTheme="minorBidi" w:hAnsiTheme="minorBidi" w:cstheme="minorBidi"/>
        </w:rPr>
        <w:t xml:space="preserve"> ,</w:t>
      </w:r>
      <w:proofErr w:type="gramEnd"/>
      <w:r w:rsidRPr="00435B9B">
        <w:rPr>
          <w:rFonts w:asciiTheme="minorBidi" w:hAnsiTheme="minorBidi" w:cstheme="minorBidi"/>
        </w:rPr>
        <w:t xml:space="preserve"> (2023</w:t>
      </w:r>
      <w:proofErr w:type="gramStart"/>
      <w:r w:rsidRPr="00435B9B">
        <w:rPr>
          <w:rFonts w:asciiTheme="minorBidi" w:hAnsiTheme="minorBidi" w:cstheme="minorBidi"/>
        </w:rPr>
        <w:t>) :</w:t>
      </w:r>
      <w:proofErr w:type="gramEnd"/>
      <w:r w:rsidRPr="00435B9B">
        <w:rPr>
          <w:rFonts w:asciiTheme="minorBidi" w:hAnsiTheme="minorBidi" w:cstheme="minorBidi"/>
        </w:rPr>
        <w:t xml:space="preserve"> Fintech Payments in Public Financial Management: Benefits and Risks.</w:t>
      </w:r>
    </w:p>
    <w:p w:rsidR="00E92A86" w:rsidRPr="00435B9B" w:rsidRDefault="00E92A86" w:rsidP="00E92A86">
      <w:pPr>
        <w:pStyle w:val="NoSpacing"/>
        <w:numPr>
          <w:ilvl w:val="0"/>
          <w:numId w:val="7"/>
        </w:numPr>
        <w:jc w:val="both"/>
        <w:rPr>
          <w:rFonts w:asciiTheme="minorBidi" w:hAnsiTheme="minorBidi" w:cstheme="minorBidi"/>
        </w:rPr>
      </w:pPr>
      <w:r w:rsidRPr="00435B9B">
        <w:rPr>
          <w:rFonts w:asciiTheme="minorBidi" w:hAnsiTheme="minorBidi" w:cstheme="minorBidi"/>
        </w:rPr>
        <w:t>Iraqi Ministry of Planning, Central Statistical Organization, Directorate of National Accounts, Annual Export Reports for the Period (2005-2020).</w:t>
      </w:r>
    </w:p>
    <w:p w:rsidR="00E92A86" w:rsidRPr="00435B9B" w:rsidRDefault="00E92A86" w:rsidP="00E92A86">
      <w:pPr>
        <w:pStyle w:val="NoSpacing"/>
        <w:numPr>
          <w:ilvl w:val="0"/>
          <w:numId w:val="7"/>
        </w:numPr>
        <w:jc w:val="both"/>
        <w:rPr>
          <w:rFonts w:asciiTheme="minorBidi" w:hAnsiTheme="minorBidi" w:cstheme="minorBidi"/>
        </w:rPr>
      </w:pPr>
      <w:r w:rsidRPr="00435B9B">
        <w:rPr>
          <w:rFonts w:asciiTheme="minorBidi" w:hAnsiTheme="minorBidi" w:cstheme="minorBidi"/>
        </w:rPr>
        <w:t>Jaloul, Hassan Muhammad (2015): Economics, Dar Amjad for Publishing and Distribution, Amman, Jordan.</w:t>
      </w:r>
    </w:p>
    <w:p w:rsidR="00E92A86" w:rsidRPr="00435B9B" w:rsidRDefault="00E92A86" w:rsidP="00E92A86">
      <w:pPr>
        <w:pStyle w:val="NoSpacing"/>
        <w:numPr>
          <w:ilvl w:val="0"/>
          <w:numId w:val="7"/>
        </w:numPr>
        <w:jc w:val="both"/>
        <w:rPr>
          <w:rFonts w:asciiTheme="minorBidi" w:hAnsiTheme="minorBidi" w:cstheme="minorBidi"/>
        </w:rPr>
      </w:pPr>
      <w:proofErr w:type="spellStart"/>
      <w:r w:rsidRPr="00435B9B">
        <w:rPr>
          <w:rFonts w:asciiTheme="minorBidi" w:hAnsiTheme="minorBidi" w:cstheme="minorBidi"/>
        </w:rPr>
        <w:t>Martre</w:t>
      </w:r>
      <w:proofErr w:type="spellEnd"/>
      <w:r w:rsidRPr="00435B9B">
        <w:rPr>
          <w:rFonts w:asciiTheme="minorBidi" w:hAnsiTheme="minorBidi" w:cstheme="minorBidi"/>
        </w:rPr>
        <w:t xml:space="preserve"> Henri;</w:t>
      </w:r>
      <w:r>
        <w:rPr>
          <w:rFonts w:asciiTheme="minorBidi" w:hAnsiTheme="minorBidi" w:cstheme="minorBidi"/>
        </w:rPr>
        <w:t>(1994),</w:t>
      </w:r>
      <w:r w:rsidRPr="00435B9B">
        <w:rPr>
          <w:rFonts w:asciiTheme="minorBidi" w:hAnsiTheme="minorBidi" w:cstheme="minorBidi"/>
        </w:rPr>
        <w:t xml:space="preserve"> Intelligence economic at strategy in enterprises, Report the group Co</w:t>
      </w:r>
      <w:r>
        <w:rPr>
          <w:rFonts w:asciiTheme="minorBidi" w:hAnsiTheme="minorBidi" w:cstheme="minorBidi"/>
        </w:rPr>
        <w:t>mmissariat general plan, France</w:t>
      </w:r>
      <w:r w:rsidRPr="00435B9B">
        <w:rPr>
          <w:rFonts w:asciiTheme="minorBidi" w:hAnsiTheme="minorBidi" w:cstheme="minorBidi"/>
        </w:rPr>
        <w:t>.</w:t>
      </w:r>
    </w:p>
    <w:p w:rsidR="00E92A86" w:rsidRDefault="00E92A86" w:rsidP="00E92A86">
      <w:pPr>
        <w:pStyle w:val="NoSpacing"/>
        <w:numPr>
          <w:ilvl w:val="0"/>
          <w:numId w:val="7"/>
        </w:numPr>
        <w:jc w:val="both"/>
        <w:rPr>
          <w:rFonts w:asciiTheme="minorBidi" w:hAnsiTheme="minorBidi" w:cstheme="minorBidi"/>
        </w:rPr>
      </w:pPr>
      <w:r w:rsidRPr="00435B9B">
        <w:rPr>
          <w:rFonts w:asciiTheme="minorBidi" w:hAnsiTheme="minorBidi" w:cstheme="minorBidi"/>
        </w:rPr>
        <w:t>Revel Claude;</w:t>
      </w:r>
      <w:r>
        <w:rPr>
          <w:rFonts w:asciiTheme="minorBidi" w:hAnsiTheme="minorBidi" w:cstheme="minorBidi"/>
        </w:rPr>
        <w:t>(2018),</w:t>
      </w:r>
      <w:r w:rsidRPr="00435B9B">
        <w:rPr>
          <w:rFonts w:asciiTheme="minorBidi" w:hAnsiTheme="minorBidi" w:cstheme="minorBidi"/>
        </w:rPr>
        <w:t xml:space="preserve"> Economic Intelligence: in Operation Concept for a Globalizing </w:t>
      </w:r>
      <w:proofErr w:type="gramStart"/>
      <w:r w:rsidRPr="00435B9B">
        <w:rPr>
          <w:rFonts w:asciiTheme="minorBidi" w:hAnsiTheme="minorBidi" w:cstheme="minorBidi"/>
        </w:rPr>
        <w:t>World ,</w:t>
      </w:r>
      <w:proofErr w:type="gramEnd"/>
      <w:r w:rsidRPr="00435B9B">
        <w:rPr>
          <w:rFonts w:asciiTheme="minorBidi" w:hAnsiTheme="minorBidi" w:cstheme="minorBidi"/>
        </w:rPr>
        <w:t xml:space="preserve"> Real institute Elcan</w:t>
      </w:r>
      <w:r>
        <w:rPr>
          <w:rFonts w:asciiTheme="minorBidi" w:hAnsiTheme="minorBidi" w:cstheme="minorBidi"/>
        </w:rPr>
        <w:t>o</w:t>
      </w:r>
      <w:r w:rsidRPr="00435B9B">
        <w:rPr>
          <w:rFonts w:asciiTheme="minorBidi" w:hAnsiTheme="minorBidi" w:cstheme="minorBidi"/>
        </w:rPr>
        <w:t>.</w:t>
      </w:r>
    </w:p>
    <w:p w:rsidR="007E1CF9" w:rsidRDefault="007E1CF9">
      <w:pPr>
        <w:rPr>
          <w:lang w:bidi="ar-IQ"/>
        </w:rPr>
      </w:pPr>
    </w:p>
    <w:sectPr w:rsidR="007E1CF9" w:rsidSect="00BF3B00">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380" w:rsidRDefault="00712380" w:rsidP="00E92A86">
      <w:r>
        <w:separator/>
      </w:r>
    </w:p>
  </w:endnote>
  <w:endnote w:type="continuationSeparator" w:id="0">
    <w:p w:rsidR="00712380" w:rsidRDefault="00712380" w:rsidP="00E9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86" w:rsidRDefault="00E92A86">
    <w:pPr>
      <w:pStyle w:val="Footer"/>
      <w:rPr>
        <w:rFonts w:ascii="Arial" w:hAnsi="Arial" w:cs="Arial"/>
        <w:sz w:val="16"/>
      </w:rPr>
    </w:pPr>
  </w:p>
  <w:p w:rsidR="00E92A86" w:rsidRDefault="00E92A8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E92A86" w:rsidRDefault="00E92A86">
    <w:pPr>
      <w:pStyle w:val="Footer"/>
      <w:rPr>
        <w:rFonts w:ascii="Arial" w:hAnsi="Arial" w:cs="Arial"/>
        <w:sz w:val="16"/>
      </w:rPr>
    </w:pPr>
  </w:p>
  <w:p w:rsidR="00E92A86" w:rsidRPr="009E048A" w:rsidRDefault="00E92A86">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123381"/>
      <w:docPartObj>
        <w:docPartGallery w:val="Page Numbers (Bottom of Page)"/>
        <w:docPartUnique/>
      </w:docPartObj>
    </w:sdtPr>
    <w:sdtContent>
      <w:p w:rsidR="00E92A86" w:rsidRDefault="00E92A86">
        <w:pPr>
          <w:pStyle w:val="Footer"/>
          <w:jc w:val="center"/>
        </w:pPr>
        <w:r>
          <w:fldChar w:fldCharType="begin"/>
        </w:r>
        <w:r>
          <w:instrText>PAGE   \* MERGEFORMAT</w:instrText>
        </w:r>
        <w:r>
          <w:fldChar w:fldCharType="separate"/>
        </w:r>
        <w:r w:rsidRPr="00E92A86">
          <w:rPr>
            <w:noProof/>
            <w:lang w:val="ar-SA"/>
          </w:rPr>
          <w:t>6</w:t>
        </w:r>
        <w:r>
          <w:fldChar w:fldCharType="end"/>
        </w:r>
      </w:p>
    </w:sdtContent>
  </w:sdt>
  <w:p w:rsidR="00000000" w:rsidRPr="00C37E61" w:rsidRDefault="0000000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380" w:rsidRDefault="00712380" w:rsidP="00E92A86">
      <w:r>
        <w:separator/>
      </w:r>
    </w:p>
  </w:footnote>
  <w:footnote w:type="continuationSeparator" w:id="0">
    <w:p w:rsidR="00712380" w:rsidRDefault="00712380" w:rsidP="00E9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86" w:rsidRDefault="00E92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86" w:rsidRDefault="00E92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A86" w:rsidRPr="00296529" w:rsidRDefault="00E92A86" w:rsidP="00296529">
    <w:pPr>
      <w:ind w:left="2160"/>
      <w:jc w:val="center"/>
      <w:rPr>
        <w:rFonts w:ascii="Times New Roman" w:eastAsia="Calibri" w:hAnsi="Times New Roman"/>
        <w:i/>
        <w:sz w:val="18"/>
        <w:szCs w:val="22"/>
      </w:rPr>
    </w:pPr>
  </w:p>
  <w:p w:rsidR="00E92A86" w:rsidRPr="00296529" w:rsidRDefault="00E92A8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E92A86" w:rsidRPr="00296529" w:rsidRDefault="00E92A86" w:rsidP="00296529">
    <w:pPr>
      <w:jc w:val="center"/>
      <w:rPr>
        <w:rFonts w:ascii="Times New Roman" w:eastAsia="Calibri" w:hAnsi="Times New Roman"/>
        <w:i/>
        <w:sz w:val="18"/>
        <w:szCs w:val="22"/>
      </w:rPr>
    </w:pPr>
    <w:r>
      <w:rPr>
        <w:rFonts w:ascii="Times New Roman" w:eastAsia="Calibri" w:hAnsi="Times New Roman"/>
        <w:i/>
        <w:sz w:val="18"/>
        <w:szCs w:val="22"/>
      </w:rPr>
      <w:t>.</w:t>
    </w:r>
  </w:p>
  <w:p w:rsidR="00E92A86" w:rsidRPr="00296529" w:rsidRDefault="00E92A8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E92A86" w:rsidRDefault="00E92A8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E92A86" w:rsidRDefault="00E92A8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92A86" w:rsidRDefault="00E92A8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26C52"/>
    <w:multiLevelType w:val="hybridMultilevel"/>
    <w:tmpl w:val="B2AE6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45D7F"/>
    <w:multiLevelType w:val="hybridMultilevel"/>
    <w:tmpl w:val="1BA843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51445"/>
    <w:multiLevelType w:val="hybridMultilevel"/>
    <w:tmpl w:val="94EA4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AF7B21"/>
    <w:multiLevelType w:val="hybridMultilevel"/>
    <w:tmpl w:val="0C882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33556"/>
    <w:multiLevelType w:val="hybridMultilevel"/>
    <w:tmpl w:val="C8A2A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C5C15"/>
    <w:multiLevelType w:val="hybridMultilevel"/>
    <w:tmpl w:val="BD72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B066D"/>
    <w:multiLevelType w:val="hybridMultilevel"/>
    <w:tmpl w:val="83609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955117">
    <w:abstractNumId w:val="3"/>
  </w:num>
  <w:num w:numId="2" w16cid:durableId="632178889">
    <w:abstractNumId w:val="2"/>
  </w:num>
  <w:num w:numId="3" w16cid:durableId="1343127513">
    <w:abstractNumId w:val="4"/>
  </w:num>
  <w:num w:numId="4" w16cid:durableId="1928612321">
    <w:abstractNumId w:val="5"/>
  </w:num>
  <w:num w:numId="5" w16cid:durableId="2146464266">
    <w:abstractNumId w:val="0"/>
  </w:num>
  <w:num w:numId="6" w16cid:durableId="1798912577">
    <w:abstractNumId w:val="1"/>
  </w:num>
  <w:num w:numId="7" w16cid:durableId="781727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A86"/>
    <w:rsid w:val="00082F5E"/>
    <w:rsid w:val="00093CAE"/>
    <w:rsid w:val="0059097D"/>
    <w:rsid w:val="005F38FB"/>
    <w:rsid w:val="00712380"/>
    <w:rsid w:val="0075266E"/>
    <w:rsid w:val="007E1CF9"/>
    <w:rsid w:val="009D53A3"/>
    <w:rsid w:val="00C12FEA"/>
    <w:rsid w:val="00D73B9D"/>
    <w:rsid w:val="00E86C6A"/>
    <w:rsid w:val="00E92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ED46A"/>
  <w15:docId w15:val="{AAB07FB3-1200-4251-ABF5-1096C06D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A86"/>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92A86"/>
    <w:pPr>
      <w:spacing w:after="240"/>
      <w:jc w:val="both"/>
    </w:pPr>
  </w:style>
  <w:style w:type="paragraph" w:customStyle="1" w:styleId="AbstHead">
    <w:name w:val="Abst Head"/>
    <w:basedOn w:val="Normal"/>
    <w:rsid w:val="00E92A86"/>
    <w:pPr>
      <w:keepNext/>
      <w:spacing w:after="240"/>
    </w:pPr>
    <w:rPr>
      <w:b/>
      <w:caps/>
      <w:sz w:val="22"/>
    </w:rPr>
  </w:style>
  <w:style w:type="paragraph" w:customStyle="1" w:styleId="Copyright">
    <w:name w:val="Copyright"/>
    <w:basedOn w:val="Normal"/>
    <w:rsid w:val="00E92A86"/>
    <w:pPr>
      <w:spacing w:after="960" w:line="200" w:lineRule="exact"/>
    </w:pPr>
    <w:rPr>
      <w:sz w:val="16"/>
    </w:rPr>
  </w:style>
  <w:style w:type="paragraph" w:styleId="Footer">
    <w:name w:val="footer"/>
    <w:basedOn w:val="Normal"/>
    <w:link w:val="FooterChar"/>
    <w:uiPriority w:val="99"/>
    <w:rsid w:val="00E92A86"/>
    <w:pPr>
      <w:tabs>
        <w:tab w:val="center" w:pos="4320"/>
        <w:tab w:val="right" w:pos="8640"/>
      </w:tabs>
    </w:pPr>
  </w:style>
  <w:style w:type="character" w:customStyle="1" w:styleId="FooterChar">
    <w:name w:val="Footer Char"/>
    <w:basedOn w:val="DefaultParagraphFont"/>
    <w:link w:val="Footer"/>
    <w:uiPriority w:val="99"/>
    <w:rsid w:val="00E92A86"/>
    <w:rPr>
      <w:rFonts w:ascii="Helvetica" w:eastAsia="Times New Roman" w:hAnsi="Helvetica" w:cs="Times New Roman"/>
      <w:sz w:val="20"/>
      <w:szCs w:val="20"/>
    </w:rPr>
  </w:style>
  <w:style w:type="paragraph" w:styleId="Header">
    <w:name w:val="header"/>
    <w:basedOn w:val="Normal"/>
    <w:link w:val="HeaderChar"/>
    <w:rsid w:val="00E92A86"/>
    <w:pPr>
      <w:tabs>
        <w:tab w:val="center" w:pos="4320"/>
        <w:tab w:val="right" w:pos="8640"/>
      </w:tabs>
    </w:pPr>
  </w:style>
  <w:style w:type="character" w:customStyle="1" w:styleId="HeaderChar">
    <w:name w:val="Header Char"/>
    <w:basedOn w:val="DefaultParagraphFont"/>
    <w:link w:val="Header"/>
    <w:rsid w:val="00E92A86"/>
    <w:rPr>
      <w:rFonts w:ascii="Helvetica" w:eastAsia="Times New Roman" w:hAnsi="Helvetica" w:cs="Times New Roman"/>
      <w:sz w:val="20"/>
      <w:szCs w:val="20"/>
    </w:rPr>
  </w:style>
  <w:style w:type="character" w:styleId="Hyperlink">
    <w:name w:val="Hyperlink"/>
    <w:basedOn w:val="DefaultParagraphFont"/>
    <w:rsid w:val="00E92A86"/>
    <w:rPr>
      <w:color w:val="FF0080"/>
      <w:u w:val="single"/>
    </w:rPr>
  </w:style>
  <w:style w:type="table" w:styleId="TableGrid">
    <w:name w:val="Table Grid"/>
    <w:basedOn w:val="TableNormal"/>
    <w:uiPriority w:val="59"/>
    <w:rsid w:val="00E92A8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92A86"/>
    <w:pPr>
      <w:spacing w:after="0" w:line="240" w:lineRule="auto"/>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E92A86"/>
    <w:rPr>
      <w:rFonts w:ascii="Tahoma" w:hAnsi="Tahoma" w:cs="Tahoma"/>
      <w:sz w:val="16"/>
      <w:szCs w:val="16"/>
    </w:rPr>
  </w:style>
  <w:style w:type="character" w:customStyle="1" w:styleId="BalloonTextChar">
    <w:name w:val="Balloon Text Char"/>
    <w:basedOn w:val="DefaultParagraphFont"/>
    <w:link w:val="BalloonText"/>
    <w:uiPriority w:val="99"/>
    <w:semiHidden/>
    <w:rsid w:val="00E92A8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cholar.google.com/scholar?oi=bibs&amp;cluster=11364981677240855091&amp;btnI=1&amp;hl=ar" TargetMode="Externa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scholar.google.com/scholar?oi=bibs&amp;cluster=15065098239857119396&amp;btnI=1&amp;hl=ar"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9224</Words>
  <Characters>52580</Characters>
  <Application>Microsoft Office Word</Application>
  <DocSecurity>0</DocSecurity>
  <Lines>438</Lines>
  <Paragraphs>123</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61681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ELOM</dc:creator>
  <cp:lastModifiedBy>Editor-11</cp:lastModifiedBy>
  <cp:revision>4</cp:revision>
  <dcterms:created xsi:type="dcterms:W3CDTF">2025-04-23T17:52:00Z</dcterms:created>
  <dcterms:modified xsi:type="dcterms:W3CDTF">2025-04-24T06:16:00Z</dcterms:modified>
</cp:coreProperties>
</file>