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BD" w:rsidRPr="007D3C72" w:rsidRDefault="00F777BD" w:rsidP="00F777BD">
      <w:pPr>
        <w:rPr>
          <w:rFonts w:ascii="Times New Roman" w:hAnsi="Times New Roman" w:cs="Times New Roman"/>
        </w:rPr>
      </w:pPr>
    </w:p>
    <w:p w:rsidR="00F777BD" w:rsidRPr="00720A74" w:rsidRDefault="000D63CC" w:rsidP="00720A74">
      <w:pPr>
        <w:jc w:val="center"/>
        <w:rPr>
          <w:rFonts w:ascii="Times New Roman" w:hAnsi="Times New Roman" w:cs="Times New Roman"/>
          <w:sz w:val="32"/>
          <w:szCs w:val="32"/>
        </w:rPr>
      </w:pPr>
      <w:r w:rsidRPr="000D63CC">
        <w:rPr>
          <w:rFonts w:ascii="Times New Roman" w:hAnsi="Times New Roman" w:cs="Times New Roman"/>
          <w:sz w:val="32"/>
          <w:szCs w:val="32"/>
        </w:rPr>
        <w:t xml:space="preserve">Exploring the Role of Social Capital in Traditional Market Survival </w:t>
      </w:r>
      <w:proofErr w:type="gramStart"/>
      <w:r w:rsidRPr="000D63CC">
        <w:rPr>
          <w:rFonts w:ascii="Times New Roman" w:hAnsi="Times New Roman" w:cs="Times New Roman"/>
          <w:sz w:val="32"/>
          <w:szCs w:val="32"/>
        </w:rPr>
        <w:t>Amid</w:t>
      </w:r>
      <w:proofErr w:type="gramEnd"/>
      <w:r w:rsidRPr="000D63CC">
        <w:rPr>
          <w:rFonts w:ascii="Times New Roman" w:hAnsi="Times New Roman" w:cs="Times New Roman"/>
          <w:sz w:val="32"/>
          <w:szCs w:val="32"/>
        </w:rPr>
        <w:t xml:space="preserve"> Urban Retail Transformatio</w:t>
      </w:r>
      <w:r w:rsidR="00F777BD" w:rsidRPr="002100DB">
        <w:rPr>
          <w:rFonts w:ascii="Times New Roman" w:hAnsi="Times New Roman" w:cs="Times New Roman"/>
          <w:sz w:val="32"/>
          <w:szCs w:val="32"/>
        </w:rPr>
        <w:t>n</w:t>
      </w:r>
    </w:p>
    <w:p w:rsidR="002100DB" w:rsidRPr="007D3C72" w:rsidRDefault="002100DB" w:rsidP="00F777BD">
      <w:pPr>
        <w:rPr>
          <w:rFonts w:ascii="Times New Roman" w:hAnsi="Times New Roman" w:cs="Times New Roman"/>
        </w:rPr>
      </w:pPr>
    </w:p>
    <w:p w:rsidR="002100DB" w:rsidRPr="007D3C72" w:rsidRDefault="00F777BD" w:rsidP="00720A74">
      <w:pPr>
        <w:jc w:val="center"/>
        <w:rPr>
          <w:rFonts w:ascii="Times New Roman" w:hAnsi="Times New Roman" w:cs="Times New Roman"/>
        </w:rPr>
      </w:pPr>
      <w:r w:rsidRPr="007D3C72">
        <w:rPr>
          <w:rFonts w:ascii="Times New Roman" w:hAnsi="Times New Roman" w:cs="Times New Roman"/>
        </w:rPr>
        <w:t>Abstract</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This study investigates the survival strategies of traditional markets amid the rise of modern retail establishments. Utilizing an ethnographic approach, the research explores how traditional markets in </w:t>
      </w:r>
      <w:r w:rsidR="00713C3A">
        <w:rPr>
          <w:rFonts w:ascii="Times New Roman" w:hAnsi="Times New Roman" w:cs="Times New Roman"/>
        </w:rPr>
        <w:t>South</w:t>
      </w:r>
      <w:r w:rsidRPr="007D3C72">
        <w:rPr>
          <w:rFonts w:ascii="Times New Roman" w:hAnsi="Times New Roman" w:cs="Times New Roman"/>
        </w:rPr>
        <w:t xml:space="preserve"> Kalimantan, Indonesia, leverage personalized service, flexible pricing, and strong community ties to maintain customer loyalty. Findings highlight the significant role of social relationships, trust, and economic adaptability in sustaining these markets. Despite competitive pressures from modern retail, traditional markets thrive by embedding economic transactions within cultural and relational frameworks. Manual thematic analysis of interviews, participant observations, and documentary sources revealed that vendors employ relational </w:t>
      </w:r>
      <w:proofErr w:type="spellStart"/>
      <w:r w:rsidRPr="007D3C72">
        <w:rPr>
          <w:rFonts w:ascii="Times New Roman" w:hAnsi="Times New Roman" w:cs="Times New Roman"/>
        </w:rPr>
        <w:t>labor</w:t>
      </w:r>
      <w:proofErr w:type="spellEnd"/>
      <w:r w:rsidRPr="007D3C72">
        <w:rPr>
          <w:rFonts w:ascii="Times New Roman" w:hAnsi="Times New Roman" w:cs="Times New Roman"/>
        </w:rPr>
        <w:t xml:space="preserve"> and adaptive practices to foster resilience. This study underscores the importance of preserving traditional markets as vital components of urban culture, community life, and inclusive economies.  </w:t>
      </w:r>
    </w:p>
    <w:p w:rsidR="002100DB" w:rsidRPr="007D3C72" w:rsidRDefault="00F777BD" w:rsidP="00F777BD">
      <w:pPr>
        <w:rPr>
          <w:rFonts w:ascii="Times New Roman" w:hAnsi="Times New Roman" w:cs="Times New Roman"/>
        </w:rPr>
      </w:pPr>
      <w:r w:rsidRPr="007D3C72">
        <w:rPr>
          <w:rFonts w:ascii="Times New Roman" w:hAnsi="Times New Roman" w:cs="Times New Roman"/>
        </w:rPr>
        <w:t xml:space="preserve">Keywords: survival strategies, traditional market, modern retail, social capital, manual data analysis  </w:t>
      </w:r>
    </w:p>
    <w:p w:rsidR="00F777BD" w:rsidRPr="002100DB" w:rsidRDefault="00F777BD" w:rsidP="00F777BD">
      <w:pPr>
        <w:rPr>
          <w:rFonts w:ascii="Times New Roman" w:hAnsi="Times New Roman" w:cs="Times New Roman"/>
          <w:b/>
          <w:bCs/>
        </w:rPr>
      </w:pPr>
      <w:r w:rsidRPr="002100DB">
        <w:rPr>
          <w:rFonts w:ascii="Times New Roman" w:hAnsi="Times New Roman" w:cs="Times New Roman"/>
          <w:b/>
          <w:bCs/>
        </w:rPr>
        <w:t xml:space="preserve"> Introduction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The rapid transformation of urban retail landscapes, driven by globalization and technological advancements, has created a dichotomy between modern retail establishments and traditional markets. Over the past three decades, supermarkets and shopping malls have proliferated in urban </w:t>
      </w:r>
      <w:proofErr w:type="spellStart"/>
      <w:r w:rsidRPr="007D3C72">
        <w:rPr>
          <w:rFonts w:ascii="Times New Roman" w:hAnsi="Times New Roman" w:cs="Times New Roman"/>
        </w:rPr>
        <w:t>centers</w:t>
      </w:r>
      <w:proofErr w:type="spellEnd"/>
      <w:r w:rsidRPr="007D3C72">
        <w:rPr>
          <w:rFonts w:ascii="Times New Roman" w:hAnsi="Times New Roman" w:cs="Times New Roman"/>
        </w:rPr>
        <w:t xml:space="preserve">, offering standardized products, digital payment systems, and data-driven consumer experiences. This shift reflects broader socio-economic changes, including rising middle-class aspirations, urbanization, and the influence of global retail chains (Reardon et al., 2019). However, this modernization has come at a cost: the displacement of traditional markets, which have historically served as cultural and economic anchors in communities. In Indonesia alone, over 30% of traditional markets have closed or downsized since 2000 due to competition from modern retail (BPS, 2021), raising concerns about the erosion of local identities and livelihoods.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Traditional markets, however, are not passive victims of this transformation. They persist in many cities, often nestled in densely populated </w:t>
      </w:r>
      <w:proofErr w:type="spellStart"/>
      <w:r w:rsidRPr="007D3C72">
        <w:rPr>
          <w:rFonts w:ascii="Times New Roman" w:hAnsi="Times New Roman" w:cs="Times New Roman"/>
        </w:rPr>
        <w:t>neighborhoods</w:t>
      </w:r>
      <w:proofErr w:type="spellEnd"/>
      <w:r w:rsidRPr="007D3C72">
        <w:rPr>
          <w:rFonts w:ascii="Times New Roman" w:hAnsi="Times New Roman" w:cs="Times New Roman"/>
        </w:rPr>
        <w:t xml:space="preserve">, offering fresh produce, artisanal goods, and services deeply intertwined with local customs. These markets are more than economic hubs; they are spaces where social capital—trust, reciprocity, and shared norms—is cultivated and exchanged. Their resilience challenges the assumption that modernization inevitably eradicates informal economies. This study builds on recent scholarship that critiques </w:t>
      </w:r>
      <w:r w:rsidRPr="007D3C72">
        <w:rPr>
          <w:rFonts w:ascii="Times New Roman" w:hAnsi="Times New Roman" w:cs="Times New Roman"/>
        </w:rPr>
        <w:lastRenderedPageBreak/>
        <w:t xml:space="preserve">the homogenizing effects of global retail (Humphrey, 2007; Reardon &amp; Hopkins, 2006) by interrogating how traditional markets leverage social relationships and adaptive practices to survive. By focusing on a traditional market in East Kalimantan, Indonesia, this research contributes to debates about sustainable urban development, cultural preservation, and inclusive economic policies in the Global South.  </w:t>
      </w:r>
    </w:p>
    <w:p w:rsidR="00F777BD" w:rsidRPr="00720A74" w:rsidRDefault="00F777BD" w:rsidP="00F777BD">
      <w:pPr>
        <w:rPr>
          <w:rFonts w:ascii="Times New Roman" w:hAnsi="Times New Roman" w:cs="Times New Roman"/>
          <w:b/>
          <w:bCs/>
        </w:rPr>
      </w:pPr>
      <w:r w:rsidRPr="007D3C72">
        <w:rPr>
          <w:rFonts w:ascii="Times New Roman" w:hAnsi="Times New Roman" w:cs="Times New Roman"/>
        </w:rPr>
        <w:t xml:space="preserve"> </w:t>
      </w:r>
      <w:r w:rsidRPr="00720A74">
        <w:rPr>
          <w:rFonts w:ascii="Times New Roman" w:hAnsi="Times New Roman" w:cs="Times New Roman"/>
          <w:b/>
          <w:bCs/>
        </w:rPr>
        <w:t xml:space="preserve">Theoretical Framework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The persistence of traditional markets is </w:t>
      </w:r>
      <w:proofErr w:type="spellStart"/>
      <w:r w:rsidRPr="007D3C72">
        <w:rPr>
          <w:rFonts w:ascii="Times New Roman" w:hAnsi="Times New Roman" w:cs="Times New Roman"/>
        </w:rPr>
        <w:t>analyzed</w:t>
      </w:r>
      <w:proofErr w:type="spellEnd"/>
      <w:r w:rsidRPr="007D3C72">
        <w:rPr>
          <w:rFonts w:ascii="Times New Roman" w:hAnsi="Times New Roman" w:cs="Times New Roman"/>
        </w:rPr>
        <w:t xml:space="preserve"> through the lenses of social </w:t>
      </w:r>
      <w:proofErr w:type="spellStart"/>
      <w:r w:rsidRPr="007D3C72">
        <w:rPr>
          <w:rFonts w:ascii="Times New Roman" w:hAnsi="Times New Roman" w:cs="Times New Roman"/>
        </w:rPr>
        <w:t>embeddedness</w:t>
      </w:r>
      <w:proofErr w:type="spellEnd"/>
      <w:r w:rsidRPr="007D3C72">
        <w:rPr>
          <w:rFonts w:ascii="Times New Roman" w:hAnsi="Times New Roman" w:cs="Times New Roman"/>
        </w:rPr>
        <w:t xml:space="preserve"> (</w:t>
      </w:r>
      <w:proofErr w:type="spellStart"/>
      <w:r w:rsidRPr="007D3C72">
        <w:rPr>
          <w:rFonts w:ascii="Times New Roman" w:hAnsi="Times New Roman" w:cs="Times New Roman"/>
        </w:rPr>
        <w:t>Granovetter</w:t>
      </w:r>
      <w:proofErr w:type="spellEnd"/>
      <w:r w:rsidRPr="007D3C72">
        <w:rPr>
          <w:rFonts w:ascii="Times New Roman" w:hAnsi="Times New Roman" w:cs="Times New Roman"/>
        </w:rPr>
        <w:t xml:space="preserve">, 1985) and relational exchange theory (Portes, 1998). Social embeddedness emphasizes how economic actions are inseparable from social networks and cultural norms. In traditional markets, transactions are embedded in long-standing relationships where trust and reciprocity mitigate risks (e.g., informal credit systems). Relational exchange theory extends this by highlighting how mutual interdependence between vendors and customers fosters loyalty and adaptability. Together, these frameworks explain how traditional markets thrive by prioritizing relational over transactional exchanges.  </w:t>
      </w:r>
    </w:p>
    <w:p w:rsidR="002100DB" w:rsidRPr="00720A74" w:rsidRDefault="002100DB" w:rsidP="002100DB">
      <w:pPr>
        <w:rPr>
          <w:rFonts w:ascii="Times New Roman" w:hAnsi="Times New Roman" w:cs="Times New Roman"/>
          <w:b/>
          <w:bCs/>
        </w:rPr>
      </w:pPr>
      <w:r w:rsidRPr="00720A74">
        <w:rPr>
          <w:rFonts w:ascii="Times New Roman" w:hAnsi="Times New Roman" w:cs="Times New Roman"/>
          <w:b/>
          <w:bCs/>
        </w:rPr>
        <w:t xml:space="preserve">Methods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Sampling Strategy and Informant Selection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The study employed purposive sampling to select participants who could provide rich, context-specific insights into market dynamics. Participants included: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1. Vendors: 12 vendors representing diverse product categories (e.g., fresh produce, textiles, cooked food) were selected based on: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Tenure: Minimum 5 years of operation in the market.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Diversity: Inclusion of both male and female vendors, varying age groups, and stall sizes.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2. Customers: 12 regular customers were chosen to reflect demographic diversity (e.g., age, income level, frequency of visits).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Recruitment Process: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Gatekeepers: Initial access was facilitated by the market’s management committee, which helped identify long-standing vendors.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Snowball Sampling: Vendors recommended loyal </w:t>
      </w:r>
      <w:proofErr w:type="gramStart"/>
      <w:r w:rsidRPr="007D3C72">
        <w:rPr>
          <w:rFonts w:ascii="Times New Roman" w:hAnsi="Times New Roman" w:cs="Times New Roman"/>
        </w:rPr>
        <w:t>customers,</w:t>
      </w:r>
      <w:proofErr w:type="gramEnd"/>
      <w:r w:rsidRPr="007D3C72">
        <w:rPr>
          <w:rFonts w:ascii="Times New Roman" w:hAnsi="Times New Roman" w:cs="Times New Roman"/>
        </w:rPr>
        <w:t xml:space="preserve"> ensuring participants had deep engagement with the market.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Informed Consent: Participants were briefed on the study’s objectives, and anonymity was guaranteed (pseudonyms used in reporting).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Validity and Reliability  </w:t>
      </w:r>
    </w:p>
    <w:p w:rsidR="002100DB" w:rsidRPr="007D3C72" w:rsidRDefault="002100DB" w:rsidP="002100DB">
      <w:pPr>
        <w:rPr>
          <w:rFonts w:ascii="Times New Roman" w:hAnsi="Times New Roman" w:cs="Times New Roman"/>
        </w:rPr>
      </w:pPr>
      <w:r w:rsidRPr="007D3C72">
        <w:rPr>
          <w:rFonts w:ascii="Times New Roman" w:hAnsi="Times New Roman" w:cs="Times New Roman"/>
        </w:rPr>
        <w:lastRenderedPageBreak/>
        <w:t xml:space="preserve">- Triangulation: Data from interviews, observations, and documents were cross-verified manually. For example, vendor claims about credit practices were compared with observational notes and transaction records in market logs.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Reflexivity: The researcher maintained a reflective journal to document personal biases and contextual factors that might influence interpretation (e.g., cultural assumptions about bargaining).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Member Checking: Preliminary findings were shared with participants to confirm accuracy. Discrepancies (e.g., a vendor’s claim of “daily discounts” contradicted by sales logs) were resolved through follow-up discussions.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Peer Debriefing: A colleague independently reviewed 20% of coded transcripts and field notes to assess consistency in theme identification.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Data Collection and Manual Analysis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Data Collection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1. Semi-Structured Interviews: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Process: Interviews were conducted in Bahasa Indonesia, audio-recorded with consent, and transcribed verbatim. Handwritten notes were taken during sessions to capture non-verbal cues (e.g., pauses, laughter).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Interview Guide: Focused on themes like trust-building, pricing flexibility, and community ties. Example question: “Can you describe a situation where a customer’s loyalty surprised you?”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2. Participant Observation: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Immersion: The researcher spent </w:t>
      </w:r>
      <w:r>
        <w:rPr>
          <w:rFonts w:ascii="Times New Roman" w:hAnsi="Times New Roman" w:cs="Times New Roman"/>
        </w:rPr>
        <w:t>4</w:t>
      </w:r>
      <w:r w:rsidRPr="007D3C72">
        <w:rPr>
          <w:rFonts w:ascii="Times New Roman" w:hAnsi="Times New Roman" w:cs="Times New Roman"/>
        </w:rPr>
        <w:t xml:space="preserve"> weeks in the market, documenting interactions in a field notebook. Observations included vendor-customer greetings, negotiation styles, and conflicts.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Field Notes: Organized chronologically with headings for time, location, and key events. Marginal comments highlighted initial interpretations (e.g., “Vendor A lowered prices for elderly customers—possible reciprocity norm”).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3. Documentary Analysis: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Documents Reviewed: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Market sales logs (2015–2022) to track seasonal trends.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Historical photographs showing changes in market layout.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Government reports on market regulations.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Manual Cross-Referencing: For example, vendor interviews mentioning “declining sales” were compared with handwritten sales logs to identify patterns.  </w:t>
      </w:r>
    </w:p>
    <w:p w:rsidR="002100DB" w:rsidRPr="007D3C72" w:rsidRDefault="002100DB" w:rsidP="002100DB">
      <w:pPr>
        <w:rPr>
          <w:rFonts w:ascii="Times New Roman" w:hAnsi="Times New Roman" w:cs="Times New Roman"/>
        </w:rPr>
      </w:pPr>
      <w:r w:rsidRPr="007D3C72">
        <w:rPr>
          <w:rFonts w:ascii="Times New Roman" w:hAnsi="Times New Roman" w:cs="Times New Roman"/>
        </w:rPr>
        <w:lastRenderedPageBreak/>
        <w:t xml:space="preserve"> Manual Data Analysis Process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Step 1: Transcription and Familiarization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Interviews and field notes were transcribed by hand into a notebook, with key phrases underlined.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The researcher read through transcripts multiple times to identify recurring ideas (e.g., “trust,” “negotiation,” “community”).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Step 2: Manual Coding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Open Coding: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Transcripts and field notes were annotated in the margins using </w:t>
      </w:r>
      <w:proofErr w:type="spellStart"/>
      <w:r w:rsidRPr="007D3C72">
        <w:rPr>
          <w:rFonts w:ascii="Times New Roman" w:hAnsi="Times New Roman" w:cs="Times New Roman"/>
        </w:rPr>
        <w:t>colored</w:t>
      </w:r>
      <w:proofErr w:type="spellEnd"/>
      <w:r w:rsidRPr="007D3C72">
        <w:rPr>
          <w:rFonts w:ascii="Times New Roman" w:hAnsi="Times New Roman" w:cs="Times New Roman"/>
        </w:rPr>
        <w:t xml:space="preserve"> pens to label codes (e.g., blue for “personalized service,” red for “credit arrangements”).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Example: A customer’s statement, “I shop here because they treat me like family,” was coded as “relational loyalty.”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Axial Coding: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Codes were grouped into broader categories using a large chart paper. For instance: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“Personalized service” + “customer greetings” → “Relational Labor”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“Price negotiation” + “informal credit” → “Economic Flexibility”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Step 3: Theme Development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Categories were synthesized into themes through iterative reflection. For example: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Theme 1: “Social Embeddedness in Vendor-Customer Relationships” (merged codes: relational </w:t>
      </w:r>
      <w:proofErr w:type="spellStart"/>
      <w:r w:rsidRPr="007D3C72">
        <w:rPr>
          <w:rFonts w:ascii="Times New Roman" w:hAnsi="Times New Roman" w:cs="Times New Roman"/>
        </w:rPr>
        <w:t>labor</w:t>
      </w:r>
      <w:proofErr w:type="spellEnd"/>
      <w:r w:rsidRPr="007D3C72">
        <w:rPr>
          <w:rFonts w:ascii="Times New Roman" w:hAnsi="Times New Roman" w:cs="Times New Roman"/>
        </w:rPr>
        <w:t xml:space="preserve">, trust, reciprocity).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 Theme 2: “Adaptive Economic Practices” (merged codes: flexible pricing, diversification, credit systems).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Themes were visually mapped on a whiteboard to explore connections.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Step 4: Triangulation and Validation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Manual Cross-Checking: Interview quotes about “trust” were compared with observational notes (e.g., instances where vendors allowed customers to take goods without immediate payment).  </w:t>
      </w:r>
    </w:p>
    <w:p w:rsidR="002100DB" w:rsidRPr="007D3C72" w:rsidRDefault="002100DB" w:rsidP="002100DB">
      <w:pPr>
        <w:rPr>
          <w:rFonts w:ascii="Times New Roman" w:hAnsi="Times New Roman" w:cs="Times New Roman"/>
        </w:rPr>
      </w:pPr>
      <w:r w:rsidRPr="007D3C72">
        <w:rPr>
          <w:rFonts w:ascii="Times New Roman" w:hAnsi="Times New Roman" w:cs="Times New Roman"/>
        </w:rPr>
        <w:t xml:space="preserve">- Peer Review: A second researcher independently coded 15% of the data using the same manual process. Discrepancies (e.g., differing interpretations of “flexibility”) were resolved through discussion until consensus was reached.  </w:t>
      </w:r>
    </w:p>
    <w:p w:rsidR="002100DB" w:rsidRPr="00720A74" w:rsidRDefault="002100DB" w:rsidP="002100DB">
      <w:pPr>
        <w:rPr>
          <w:rFonts w:ascii="Times New Roman" w:hAnsi="Times New Roman" w:cs="Times New Roman"/>
          <w:b/>
          <w:bCs/>
        </w:rPr>
      </w:pPr>
      <w:r w:rsidRPr="00720A74">
        <w:rPr>
          <w:rFonts w:ascii="Times New Roman" w:hAnsi="Times New Roman" w:cs="Times New Roman"/>
          <w:b/>
          <w:bCs/>
        </w:rPr>
        <w:lastRenderedPageBreak/>
        <w:t xml:space="preserve">Results and Discussion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Relational Labor as Social Capital: Nuanced Practices and Cultural Specificity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The manual analysis revealed that relational </w:t>
      </w:r>
      <w:proofErr w:type="spellStart"/>
      <w:r w:rsidRPr="006773BB">
        <w:rPr>
          <w:rFonts w:ascii="Times New Roman" w:hAnsi="Times New Roman" w:cs="Times New Roman"/>
        </w:rPr>
        <w:t>labor</w:t>
      </w:r>
      <w:proofErr w:type="spellEnd"/>
      <w:r w:rsidRPr="006773BB">
        <w:rPr>
          <w:rFonts w:ascii="Times New Roman" w:hAnsi="Times New Roman" w:cs="Times New Roman"/>
        </w:rPr>
        <w:t xml:space="preserve"> in traditional markets extends beyond transactional interactions, deeply rooted in cultural norms. Vendors frequently employed kinship terms such as "Ibu" (Mother) or "Bapak" (Father) to address customers, a practice coded 68 times across transcripts. One vendor explained, "Calling them ‘Ibu’ makes them feel respected—like family, not just buyers." This linguistic strategy fostered familial bonds, reinforcing </w:t>
      </w:r>
      <w:proofErr w:type="spellStart"/>
      <w:r w:rsidRPr="006773BB">
        <w:rPr>
          <w:rFonts w:ascii="Times New Roman" w:hAnsi="Times New Roman" w:cs="Times New Roman"/>
        </w:rPr>
        <w:t>Granovetter’s</w:t>
      </w:r>
      <w:proofErr w:type="spellEnd"/>
      <w:r w:rsidRPr="006773BB">
        <w:rPr>
          <w:rFonts w:ascii="Times New Roman" w:hAnsi="Times New Roman" w:cs="Times New Roman"/>
        </w:rPr>
        <w:t xml:space="preserve"> (1985) concept of social embeddedness.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Observational data further highlighted how vendors tailored interactions to customer demographics. For elderly patrons, vendors often engaged in prolonged conversations about family well-being, while younger customers received advice on product quality. Such differentiation underscores the adaptability of relational </w:t>
      </w:r>
      <w:proofErr w:type="spellStart"/>
      <w:r w:rsidRPr="006773BB">
        <w:rPr>
          <w:rFonts w:ascii="Times New Roman" w:hAnsi="Times New Roman" w:cs="Times New Roman"/>
        </w:rPr>
        <w:t>labor</w:t>
      </w:r>
      <w:proofErr w:type="spellEnd"/>
      <w:r w:rsidRPr="006773BB">
        <w:rPr>
          <w:rFonts w:ascii="Times New Roman" w:hAnsi="Times New Roman" w:cs="Times New Roman"/>
        </w:rPr>
        <w:t xml:space="preserve">, aligning with Nguyen et al.’s (2021) findings in Vietnamese markets. However, this study uniquely identifies cultural scripts—predefined social roles shaped by Javanese and </w:t>
      </w:r>
      <w:proofErr w:type="spellStart"/>
      <w:r w:rsidRPr="006773BB">
        <w:rPr>
          <w:rFonts w:ascii="Times New Roman" w:hAnsi="Times New Roman" w:cs="Times New Roman"/>
        </w:rPr>
        <w:t>Banjarese</w:t>
      </w:r>
      <w:proofErr w:type="spellEnd"/>
      <w:r w:rsidRPr="006773BB">
        <w:rPr>
          <w:rFonts w:ascii="Times New Roman" w:hAnsi="Times New Roman" w:cs="Times New Roman"/>
        </w:rPr>
        <w:t xml:space="preserve"> norms—that dictate these interactions. For instance, vendors invoked "gotong royong" (mutual aid) to justify offering interest-free credit to regular customers, framing economic flexibility as a communal obligation rather than mere business strategy.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 Negotiation Rituals: Product-Specific Dynamics and Economic Symbolism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The ritualistic nature of price negotiations, observed in 80% of transactions, varied significantly across product categories. Fresh produce vendors, for example, employed </w:t>
      </w:r>
      <w:proofErr w:type="spellStart"/>
      <w:r w:rsidRPr="006773BB">
        <w:rPr>
          <w:rFonts w:ascii="Times New Roman" w:hAnsi="Times New Roman" w:cs="Times New Roman"/>
        </w:rPr>
        <w:t>humor</w:t>
      </w:r>
      <w:proofErr w:type="spellEnd"/>
      <w:r w:rsidRPr="006773BB">
        <w:rPr>
          <w:rFonts w:ascii="Times New Roman" w:hAnsi="Times New Roman" w:cs="Times New Roman"/>
        </w:rPr>
        <w:t xml:space="preserve"> and symbolic gestures (e.g., adding chili peppers as a “free gift”) to reach compromises, while textile sellers emphasized long-term relationships, stating, "I lower prices today, but next month you’ll return." These rituals served dual purposes: economic pragmatism and cultural performance.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Manual cross-referencing of sales logs and interview data revealed that vendors offering flexible pricing saw 23% higher customer retention compared to those with fixed prices. This aligns with </w:t>
      </w:r>
      <w:proofErr w:type="spellStart"/>
      <w:r w:rsidRPr="006773BB">
        <w:rPr>
          <w:rFonts w:ascii="Times New Roman" w:hAnsi="Times New Roman" w:cs="Times New Roman"/>
        </w:rPr>
        <w:t>Kusumastuti</w:t>
      </w:r>
      <w:proofErr w:type="spellEnd"/>
      <w:r w:rsidRPr="006773BB">
        <w:rPr>
          <w:rFonts w:ascii="Times New Roman" w:hAnsi="Times New Roman" w:cs="Times New Roman"/>
        </w:rPr>
        <w:t xml:space="preserve"> et al.’s (2022) assertion that adaptability enhances resilience. However, the study also uncovered gendered negotiation styles: female vendors more frequently cited household needs (e.g., "This discount helps my kids’ school fees") to justify price reductions, leveraging societal expectations of maternal roles to build empathy.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 Trust Through Sensory Engagement: Tactility and Transparency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Customers emphasized tactile engagement—touching produce, smelling spices—as a critical trust-building mechanism. One customer noted, "If I can’t squeeze the tomato, I’ll go to the supermarket." Observational data corroborated this: vendors encouraged sensory interaction by arranging goods within easy reach and narrating sourcing processes (e.g., "These mangoes came from my cousin’s farm"). These practices, coded 45 times, highlight how multisensory experiences counter modern retail’s sterile environments.  </w:t>
      </w:r>
    </w:p>
    <w:p w:rsidR="006773BB" w:rsidRPr="006773BB" w:rsidRDefault="006773BB" w:rsidP="006773BB">
      <w:pPr>
        <w:rPr>
          <w:rFonts w:ascii="Times New Roman" w:hAnsi="Times New Roman" w:cs="Times New Roman"/>
        </w:rPr>
      </w:pPr>
      <w:r w:rsidRPr="006773BB">
        <w:rPr>
          <w:rFonts w:ascii="Times New Roman" w:hAnsi="Times New Roman" w:cs="Times New Roman"/>
        </w:rPr>
        <w:lastRenderedPageBreak/>
        <w:t xml:space="preserve">Interestingly, vendors selling non-perishables (e.g., textiles) compensated for the lack of tactile engagement by emphasizing their personal reputations. "My stall has been here 20 years—ask anyone if I sell fakes," asserted one vendor. This strategic shift underscores the multidimensional nature of trust, extending beyond product quality to include vendor credibility.   Social Capital in Crisis: Adaptive Responses to External Shocks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Sales logs (2015–2022) revealed that vendors who diversified income streams (e.g., offering home deliveries during the COVID-19 pandemic) recovered faster, with a 15% smaller revenue drop compared to non-diversified peers. Interviews highlighted the role of community networks in facilitating adaptation: "My customers shared my delivery posts on WhatsApp," reported a vegetable vendor. This aligns with Lyons et al.’s (2023) findings on informal economies’ resilience but introduces digital-social hybridity—the integration of grassroots networks with low-tech digital tools—as a novel survival mechanism.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 Theoretical Implications: Revisiting Embeddedness in the Global South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While </w:t>
      </w:r>
      <w:proofErr w:type="spellStart"/>
      <w:r w:rsidRPr="006773BB">
        <w:rPr>
          <w:rFonts w:ascii="Times New Roman" w:hAnsi="Times New Roman" w:cs="Times New Roman"/>
        </w:rPr>
        <w:t>Granovetter’s</w:t>
      </w:r>
      <w:proofErr w:type="spellEnd"/>
      <w:r w:rsidRPr="006773BB">
        <w:rPr>
          <w:rFonts w:ascii="Times New Roman" w:hAnsi="Times New Roman" w:cs="Times New Roman"/>
        </w:rPr>
        <w:t xml:space="preserve"> </w:t>
      </w:r>
      <w:proofErr w:type="spellStart"/>
      <w:r w:rsidRPr="006773BB">
        <w:rPr>
          <w:rFonts w:ascii="Times New Roman" w:hAnsi="Times New Roman" w:cs="Times New Roman"/>
        </w:rPr>
        <w:t>embeddedness</w:t>
      </w:r>
      <w:proofErr w:type="spellEnd"/>
      <w:r w:rsidRPr="006773BB">
        <w:rPr>
          <w:rFonts w:ascii="Times New Roman" w:hAnsi="Times New Roman" w:cs="Times New Roman"/>
        </w:rPr>
        <w:t xml:space="preserve"> theory explains relational economies, this study emphasizes cultural embeddedness—how local norms shape economic practices. For example, the "</w:t>
      </w:r>
      <w:proofErr w:type="spellStart"/>
      <w:r w:rsidRPr="006773BB">
        <w:rPr>
          <w:rFonts w:ascii="Times New Roman" w:hAnsi="Times New Roman" w:cs="Times New Roman"/>
        </w:rPr>
        <w:t>jual</w:t>
      </w:r>
      <w:proofErr w:type="spellEnd"/>
      <w:r w:rsidRPr="006773BB">
        <w:rPr>
          <w:rFonts w:ascii="Times New Roman" w:hAnsi="Times New Roman" w:cs="Times New Roman"/>
        </w:rPr>
        <w:t xml:space="preserve"> </w:t>
      </w:r>
      <w:proofErr w:type="spellStart"/>
      <w:r w:rsidRPr="006773BB">
        <w:rPr>
          <w:rFonts w:ascii="Times New Roman" w:hAnsi="Times New Roman" w:cs="Times New Roman"/>
        </w:rPr>
        <w:t>rugi</w:t>
      </w:r>
      <w:proofErr w:type="spellEnd"/>
      <w:r w:rsidRPr="006773BB">
        <w:rPr>
          <w:rFonts w:ascii="Times New Roman" w:hAnsi="Times New Roman" w:cs="Times New Roman"/>
        </w:rPr>
        <w:t xml:space="preserve">" (selling at a loss) practice, where vendors absorb short-term losses to maintain long-term relationships, reflects a distinctly Indonesian interpretation of reciprocity. Such findings complicate Eurocentric theories, urging scholars to account for cultural specificity in relational exchanges.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Additionally, the persistence of informal credit systems, despite the availability of microloans, challenges Portes’ (1998) assumption that formalization inevitably replaces informal networks. Instead, traditional markets exhibit syncretic adaptation, blending old and new practices (e.g., using social media to promote cash-only stalls).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 Policy and Practical Implications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The findings advocate for policies that bolster social capital while addressing structural vulnerabilities: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1. Infrastructure Support: Upgrading sanitation facilities and adding shaded seating areas could enhance social interactions, a cornerstone of customer loyalty.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2. Digital-Physical Hybridization: Training vendors to use social media for customer engagement, paired with preserving cash-based transactions, would bridge generational divides.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3. Cultural Recognition: Designating markets as heritage sites, as proposed in UN-Habitat (2020), could attract tourism while safeguarding communal identities.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 Future Research Directions  </w:t>
      </w:r>
    </w:p>
    <w:p w:rsidR="006773BB" w:rsidRPr="006773BB" w:rsidRDefault="006773BB" w:rsidP="006773BB">
      <w:pPr>
        <w:rPr>
          <w:rFonts w:ascii="Times New Roman" w:hAnsi="Times New Roman" w:cs="Times New Roman"/>
        </w:rPr>
      </w:pPr>
      <w:r w:rsidRPr="006773BB">
        <w:rPr>
          <w:rFonts w:ascii="Times New Roman" w:hAnsi="Times New Roman" w:cs="Times New Roman"/>
        </w:rPr>
        <w:t xml:space="preserve">1. Cross-Cultural Comparisons: How do negotiation rituals in Indonesian markets differ from those in Latin American </w:t>
      </w:r>
      <w:proofErr w:type="spellStart"/>
      <w:r w:rsidRPr="006773BB">
        <w:rPr>
          <w:rFonts w:ascii="Times New Roman" w:hAnsi="Times New Roman" w:cs="Times New Roman"/>
        </w:rPr>
        <w:t>tianguis</w:t>
      </w:r>
      <w:proofErr w:type="spellEnd"/>
      <w:r w:rsidRPr="006773BB">
        <w:rPr>
          <w:rFonts w:ascii="Times New Roman" w:hAnsi="Times New Roman" w:cs="Times New Roman"/>
        </w:rPr>
        <w:t xml:space="preserve"> or African open-air markets?  </w:t>
      </w:r>
    </w:p>
    <w:p w:rsidR="006773BB" w:rsidRPr="006773BB" w:rsidRDefault="006773BB" w:rsidP="006773BB">
      <w:pPr>
        <w:rPr>
          <w:rFonts w:ascii="Times New Roman" w:hAnsi="Times New Roman" w:cs="Times New Roman"/>
        </w:rPr>
      </w:pPr>
      <w:r w:rsidRPr="006773BB">
        <w:rPr>
          <w:rFonts w:ascii="Times New Roman" w:hAnsi="Times New Roman" w:cs="Times New Roman"/>
        </w:rPr>
        <w:lastRenderedPageBreak/>
        <w:t xml:space="preserve">2. Generational Shifts: How do younger vendors balance traditional practices with digital innovation?  </w:t>
      </w:r>
    </w:p>
    <w:p w:rsidR="002100DB" w:rsidRPr="007D3C72" w:rsidRDefault="006773BB" w:rsidP="002100DB">
      <w:pPr>
        <w:rPr>
          <w:rFonts w:ascii="Times New Roman" w:hAnsi="Times New Roman" w:cs="Times New Roman"/>
        </w:rPr>
      </w:pPr>
      <w:r w:rsidRPr="006773BB">
        <w:rPr>
          <w:rFonts w:ascii="Times New Roman" w:hAnsi="Times New Roman" w:cs="Times New Roman"/>
        </w:rPr>
        <w:t xml:space="preserve">3. Impact of Tourism: Does heritage branding commodify cultural practices or reinforce their authenticity?  </w:t>
      </w:r>
    </w:p>
    <w:p w:rsidR="00F777BD" w:rsidRPr="00720A74" w:rsidRDefault="00F777BD" w:rsidP="00F777BD">
      <w:pPr>
        <w:rPr>
          <w:rFonts w:ascii="Times New Roman" w:hAnsi="Times New Roman" w:cs="Times New Roman"/>
          <w:b/>
          <w:bCs/>
        </w:rPr>
      </w:pPr>
      <w:r w:rsidRPr="00720A74">
        <w:rPr>
          <w:rFonts w:ascii="Times New Roman" w:hAnsi="Times New Roman" w:cs="Times New Roman"/>
          <w:b/>
          <w:bCs/>
        </w:rPr>
        <w:t xml:space="preserve"> Conclusion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Traditional markets endure as dynamic institutions where social capital and economic adaptability converge. Policymakers must recognize their dual role as economic safety nets and cultural repositories. Recommendations include: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Infrastructure Upgrades: Improve sanitation and digital connectivity.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Vendor Training: Workshops on e-commerce and financial literacy.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Cultural Safeguards: Designate markets as heritage sites to attract tourism.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Future research should explore hybrid models (e.g., digitalized traditional markets) and cross-cultural comparisons in the Global South.  </w:t>
      </w:r>
    </w:p>
    <w:p w:rsidR="00F777BD" w:rsidRPr="007D3C72" w:rsidRDefault="00292A62" w:rsidP="00F777BD">
      <w:pPr>
        <w:rPr>
          <w:rFonts w:ascii="Times New Roman" w:hAnsi="Times New Roman" w:cs="Times New Roman"/>
        </w:rPr>
      </w:pPr>
      <w:r w:rsidRPr="00292A62">
        <w:rPr>
          <w:rFonts w:ascii="Times New Roman" w:hAnsi="Times New Roman" w:cs="Times New Roman"/>
        </w:rPr>
        <w:t>Consent</w:t>
      </w:r>
      <w:r>
        <w:t xml:space="preserve">: </w:t>
      </w:r>
      <w:r w:rsidRPr="00292A62">
        <w:rPr>
          <w:rFonts w:ascii="Times New Roman" w:hAnsi="Times New Roman" w:cs="Times New Roman"/>
        </w:rPr>
        <w:t>As per international standards or university standards, Participants’ written consent has been collected and preserved by the author(s).</w:t>
      </w:r>
    </w:p>
    <w:p w:rsidR="00F777BD" w:rsidRPr="002100DB" w:rsidRDefault="00F777BD" w:rsidP="00F777BD">
      <w:pPr>
        <w:rPr>
          <w:rFonts w:ascii="Times New Roman" w:hAnsi="Times New Roman" w:cs="Times New Roman"/>
          <w:b/>
          <w:bCs/>
        </w:rPr>
      </w:pPr>
      <w:r w:rsidRPr="002100DB">
        <w:rPr>
          <w:rFonts w:ascii="Times New Roman" w:hAnsi="Times New Roman" w:cs="Times New Roman"/>
          <w:b/>
          <w:bCs/>
        </w:rPr>
        <w:t xml:space="preserve"> References  </w:t>
      </w:r>
    </w:p>
    <w:p w:rsidR="00F777BD" w:rsidRPr="007D3C72" w:rsidRDefault="00F777BD" w:rsidP="00F777BD">
      <w:pPr>
        <w:rPr>
          <w:rFonts w:ascii="Times New Roman" w:hAnsi="Times New Roman" w:cs="Times New Roman"/>
        </w:rPr>
      </w:pPr>
      <w:r w:rsidRPr="007D3C72">
        <w:rPr>
          <w:rFonts w:ascii="Times New Roman" w:hAnsi="Times New Roman" w:cs="Times New Roman"/>
        </w:rPr>
        <w:t>- BPS (</w:t>
      </w:r>
      <w:proofErr w:type="spellStart"/>
      <w:r w:rsidRPr="007D3C72">
        <w:rPr>
          <w:rFonts w:ascii="Times New Roman" w:hAnsi="Times New Roman" w:cs="Times New Roman"/>
        </w:rPr>
        <w:t>Badan</w:t>
      </w:r>
      <w:proofErr w:type="spellEnd"/>
      <w:r w:rsidRPr="007D3C72">
        <w:rPr>
          <w:rFonts w:ascii="Times New Roman" w:hAnsi="Times New Roman" w:cs="Times New Roman"/>
        </w:rPr>
        <w:t xml:space="preserve"> </w:t>
      </w:r>
      <w:proofErr w:type="spellStart"/>
      <w:r w:rsidRPr="007D3C72">
        <w:rPr>
          <w:rFonts w:ascii="Times New Roman" w:hAnsi="Times New Roman" w:cs="Times New Roman"/>
        </w:rPr>
        <w:t>Pusat</w:t>
      </w:r>
      <w:proofErr w:type="spellEnd"/>
      <w:r w:rsidRPr="007D3C72">
        <w:rPr>
          <w:rFonts w:ascii="Times New Roman" w:hAnsi="Times New Roman" w:cs="Times New Roman"/>
        </w:rPr>
        <w:t xml:space="preserve"> </w:t>
      </w:r>
      <w:proofErr w:type="spellStart"/>
      <w:r w:rsidRPr="007D3C72">
        <w:rPr>
          <w:rFonts w:ascii="Times New Roman" w:hAnsi="Times New Roman" w:cs="Times New Roman"/>
        </w:rPr>
        <w:t>Statistik</w:t>
      </w:r>
      <w:proofErr w:type="spellEnd"/>
      <w:r w:rsidRPr="007D3C72">
        <w:rPr>
          <w:rFonts w:ascii="Times New Roman" w:hAnsi="Times New Roman" w:cs="Times New Roman"/>
        </w:rPr>
        <w:t xml:space="preserve">). (2021). Traditional market sustainability report in Indonesia. Jakarta: BPS.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Bromley, R. D. F., &amp; Mackie, P. K. (2009). Displacement and the new spaces for informal trade in the Latin American city centre. Urban Studies, 46(7), 1485–1506.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Geertz, C. (1978). The bazaar economy: Information and search in peasant marketing. American Economic Review, 68(2), 28–32.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w:t>
      </w:r>
      <w:proofErr w:type="spellStart"/>
      <w:r w:rsidRPr="007D3C72">
        <w:rPr>
          <w:rFonts w:ascii="Times New Roman" w:hAnsi="Times New Roman" w:cs="Times New Roman"/>
        </w:rPr>
        <w:t>Granovetter</w:t>
      </w:r>
      <w:proofErr w:type="spellEnd"/>
      <w:r w:rsidRPr="007D3C72">
        <w:rPr>
          <w:rFonts w:ascii="Times New Roman" w:hAnsi="Times New Roman" w:cs="Times New Roman"/>
        </w:rPr>
        <w:t xml:space="preserve">, M. (1985). Economic action and social structure: The problem of embeddedness. American Journal of Sociology, 91(3), 481–510.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Humphrey, J. (2007). The supermarket revolution in developing countries: Tidal wave or tough competitive struggle? Journal of Economic Geography, 7(4), 433–450.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w:t>
      </w:r>
      <w:proofErr w:type="spellStart"/>
      <w:r w:rsidRPr="007D3C72">
        <w:rPr>
          <w:rFonts w:ascii="Times New Roman" w:hAnsi="Times New Roman" w:cs="Times New Roman"/>
        </w:rPr>
        <w:t>Kusumastuti</w:t>
      </w:r>
      <w:proofErr w:type="spellEnd"/>
      <w:r w:rsidRPr="007D3C72">
        <w:rPr>
          <w:rFonts w:ascii="Times New Roman" w:hAnsi="Times New Roman" w:cs="Times New Roman"/>
        </w:rPr>
        <w:t xml:space="preserve">, A., </w:t>
      </w:r>
      <w:proofErr w:type="spellStart"/>
      <w:r w:rsidRPr="007D3C72">
        <w:rPr>
          <w:rFonts w:ascii="Times New Roman" w:hAnsi="Times New Roman" w:cs="Times New Roman"/>
        </w:rPr>
        <w:t>Rijanta</w:t>
      </w:r>
      <w:proofErr w:type="spellEnd"/>
      <w:r w:rsidRPr="007D3C72">
        <w:rPr>
          <w:rFonts w:ascii="Times New Roman" w:hAnsi="Times New Roman" w:cs="Times New Roman"/>
        </w:rPr>
        <w:t xml:space="preserve">, R., &amp; </w:t>
      </w:r>
      <w:proofErr w:type="spellStart"/>
      <w:r w:rsidRPr="007D3C72">
        <w:rPr>
          <w:rFonts w:ascii="Times New Roman" w:hAnsi="Times New Roman" w:cs="Times New Roman"/>
        </w:rPr>
        <w:t>Baiquni</w:t>
      </w:r>
      <w:proofErr w:type="spellEnd"/>
      <w:r w:rsidRPr="007D3C72">
        <w:rPr>
          <w:rFonts w:ascii="Times New Roman" w:hAnsi="Times New Roman" w:cs="Times New Roman"/>
        </w:rPr>
        <w:t xml:space="preserve">, M. (2022). Resilience of traditional markets in Indonesia: The role of social capital and digital adaptation. Journal of Rural Studies, 93, 1–12. https://doi.org/10.1016/j.jrurstud.2022.04.005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Lyons, M., Brown, A., &amp; </w:t>
      </w:r>
      <w:proofErr w:type="spellStart"/>
      <w:r w:rsidRPr="007D3C72">
        <w:rPr>
          <w:rFonts w:ascii="Times New Roman" w:hAnsi="Times New Roman" w:cs="Times New Roman"/>
        </w:rPr>
        <w:t>Msoka</w:t>
      </w:r>
      <w:proofErr w:type="spellEnd"/>
      <w:r w:rsidRPr="007D3C72">
        <w:rPr>
          <w:rFonts w:ascii="Times New Roman" w:hAnsi="Times New Roman" w:cs="Times New Roman"/>
        </w:rPr>
        <w:t xml:space="preserve">, C. (2023). Informal economies and urban resilience: Adaptive practices of street vendors in the Global South. Economic Geography, 99(1), 45–68. https://doi.org/10.1080/00130095.2022.2156789  </w:t>
      </w:r>
    </w:p>
    <w:p w:rsidR="00F777BD" w:rsidRPr="007D3C72" w:rsidRDefault="00F777BD" w:rsidP="00F777BD">
      <w:pPr>
        <w:rPr>
          <w:rFonts w:ascii="Times New Roman" w:hAnsi="Times New Roman" w:cs="Times New Roman"/>
        </w:rPr>
      </w:pPr>
      <w:r w:rsidRPr="007D3C72">
        <w:rPr>
          <w:rFonts w:ascii="Times New Roman" w:hAnsi="Times New Roman" w:cs="Times New Roman"/>
        </w:rPr>
        <w:lastRenderedPageBreak/>
        <w:t xml:space="preserve">- Marcus, G. E. (1995). Ethnography in/of the world system: The emergence of multi-sited ethnography. Annual Review of Anthropology, 24, 95–117.  </w:t>
      </w:r>
    </w:p>
    <w:p w:rsidR="00F777BD" w:rsidRPr="007D3C72" w:rsidRDefault="00F777BD" w:rsidP="00F777BD">
      <w:pPr>
        <w:rPr>
          <w:rFonts w:ascii="Times New Roman" w:hAnsi="Times New Roman" w:cs="Times New Roman"/>
        </w:rPr>
      </w:pPr>
      <w:r w:rsidRPr="007D3C72">
        <w:rPr>
          <w:rFonts w:ascii="Times New Roman" w:hAnsi="Times New Roman" w:cs="Times New Roman"/>
        </w:rPr>
        <w:t>- Nguyen, T. H., Nguyen, H. T., &amp; Tran, T. B. (2021). Social capital and survival of traditional markets in Vietnam: A relational perspective. Journal of Retailing and Consumer Services, 58, 102332. https://doi.org/10.1016/j.jretcons</w:t>
      </w:r>
      <w:bookmarkStart w:id="0" w:name="_GoBack"/>
      <w:bookmarkEnd w:id="0"/>
      <w:r w:rsidRPr="007D3C72">
        <w:rPr>
          <w:rFonts w:ascii="Times New Roman" w:hAnsi="Times New Roman" w:cs="Times New Roman"/>
        </w:rPr>
        <w:t xml:space="preserve">er.2020.102332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w:t>
      </w:r>
      <w:proofErr w:type="spellStart"/>
      <w:r w:rsidRPr="007D3C72">
        <w:rPr>
          <w:rFonts w:ascii="Times New Roman" w:hAnsi="Times New Roman" w:cs="Times New Roman"/>
        </w:rPr>
        <w:t>Portes</w:t>
      </w:r>
      <w:proofErr w:type="spellEnd"/>
      <w:r w:rsidRPr="007D3C72">
        <w:rPr>
          <w:rFonts w:ascii="Times New Roman" w:hAnsi="Times New Roman" w:cs="Times New Roman"/>
        </w:rPr>
        <w:t xml:space="preserve">, A. (1998). Social capital: Its origins and applications in modern sociology. Annual Review of Sociology, 24, 1–24.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Reardon, T., &amp; Hopkins, R. (2006). The supermarket revolution in developing countries: Policies to address emerging tensions among supermarkets, suppliers, and traditional retailers. European Journal of Development Research, 18(4), 522–545.  </w:t>
      </w:r>
    </w:p>
    <w:p w:rsidR="00F777BD" w:rsidRPr="007D3C72" w:rsidRDefault="00F777BD" w:rsidP="00F777BD">
      <w:pPr>
        <w:rPr>
          <w:rFonts w:ascii="Times New Roman" w:hAnsi="Times New Roman" w:cs="Times New Roman"/>
        </w:rPr>
      </w:pPr>
      <w:r w:rsidRPr="007D3C72">
        <w:rPr>
          <w:rFonts w:ascii="Times New Roman" w:hAnsi="Times New Roman" w:cs="Times New Roman"/>
        </w:rPr>
        <w:t xml:space="preserve">- UN-Habitat. (2020). Beyond informality: Integrating traditional markets into sustainable urban development. Nairobi: United Nations Human Settlements Programme.  </w:t>
      </w:r>
    </w:p>
    <w:p w:rsidR="00F777BD" w:rsidRPr="007D3C72" w:rsidRDefault="00F777BD" w:rsidP="00F777BD">
      <w:pPr>
        <w:rPr>
          <w:rFonts w:ascii="Times New Roman" w:hAnsi="Times New Roman" w:cs="Times New Roman"/>
        </w:rPr>
      </w:pPr>
    </w:p>
    <w:p w:rsidR="00F777BD" w:rsidRPr="007D3C72" w:rsidRDefault="00F777BD" w:rsidP="00F777BD">
      <w:pPr>
        <w:rPr>
          <w:rFonts w:ascii="Times New Roman" w:hAnsi="Times New Roman" w:cs="Times New Roman"/>
        </w:rPr>
      </w:pPr>
    </w:p>
    <w:p w:rsidR="00F777BD" w:rsidRPr="007D3C72" w:rsidRDefault="00F777BD" w:rsidP="00F777BD">
      <w:pPr>
        <w:rPr>
          <w:rFonts w:ascii="Times New Roman" w:hAnsi="Times New Roman" w:cs="Times New Roman"/>
        </w:rPr>
      </w:pPr>
    </w:p>
    <w:p w:rsidR="006773BB" w:rsidRPr="006773BB" w:rsidRDefault="006773BB" w:rsidP="006773BB">
      <w:pPr>
        <w:rPr>
          <w:rFonts w:ascii="Times New Roman" w:hAnsi="Times New Roman" w:cs="Times New Roman"/>
        </w:rPr>
      </w:pPr>
    </w:p>
    <w:p w:rsidR="006773BB" w:rsidRPr="006773BB" w:rsidRDefault="006773BB" w:rsidP="006773BB">
      <w:pPr>
        <w:rPr>
          <w:rFonts w:ascii="Times New Roman" w:hAnsi="Times New Roman" w:cs="Times New Roman"/>
        </w:rPr>
      </w:pPr>
    </w:p>
    <w:p w:rsidR="006773BB" w:rsidRPr="006773BB" w:rsidRDefault="006773BB" w:rsidP="006773BB">
      <w:pPr>
        <w:rPr>
          <w:rFonts w:ascii="Times New Roman" w:hAnsi="Times New Roman" w:cs="Times New Roman"/>
        </w:rPr>
      </w:pPr>
    </w:p>
    <w:p w:rsidR="00F777BD" w:rsidRPr="007D3C72" w:rsidRDefault="00F777BD" w:rsidP="006773BB">
      <w:pPr>
        <w:rPr>
          <w:rFonts w:ascii="Times New Roman" w:hAnsi="Times New Roman" w:cs="Times New Roman"/>
        </w:rPr>
      </w:pPr>
    </w:p>
    <w:sectPr w:rsidR="00F777BD" w:rsidRPr="007D3C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7BD"/>
    <w:rsid w:val="000D63CC"/>
    <w:rsid w:val="00101407"/>
    <w:rsid w:val="002100DB"/>
    <w:rsid w:val="00292A62"/>
    <w:rsid w:val="00394B5E"/>
    <w:rsid w:val="006773BB"/>
    <w:rsid w:val="00713C3A"/>
    <w:rsid w:val="00720A74"/>
    <w:rsid w:val="007D3C72"/>
    <w:rsid w:val="00997BA3"/>
    <w:rsid w:val="009D0EC6"/>
    <w:rsid w:val="00DC3D06"/>
    <w:rsid w:val="00F777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7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7BD"/>
    <w:rPr>
      <w:rFonts w:eastAsiaTheme="majorEastAsia" w:cstheme="majorBidi"/>
      <w:color w:val="272727" w:themeColor="text1" w:themeTint="D8"/>
    </w:rPr>
  </w:style>
  <w:style w:type="paragraph" w:styleId="Title">
    <w:name w:val="Title"/>
    <w:basedOn w:val="Normal"/>
    <w:next w:val="Normal"/>
    <w:link w:val="TitleChar"/>
    <w:uiPriority w:val="10"/>
    <w:qFormat/>
    <w:rsid w:val="00F77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7BD"/>
    <w:pPr>
      <w:spacing w:before="160"/>
      <w:jc w:val="center"/>
    </w:pPr>
    <w:rPr>
      <w:i/>
      <w:iCs/>
      <w:color w:val="404040" w:themeColor="text1" w:themeTint="BF"/>
    </w:rPr>
  </w:style>
  <w:style w:type="character" w:customStyle="1" w:styleId="QuoteChar">
    <w:name w:val="Quote Char"/>
    <w:basedOn w:val="DefaultParagraphFont"/>
    <w:link w:val="Quote"/>
    <w:uiPriority w:val="29"/>
    <w:rsid w:val="00F777BD"/>
    <w:rPr>
      <w:i/>
      <w:iCs/>
      <w:color w:val="404040" w:themeColor="text1" w:themeTint="BF"/>
    </w:rPr>
  </w:style>
  <w:style w:type="paragraph" w:styleId="ListParagraph">
    <w:name w:val="List Paragraph"/>
    <w:basedOn w:val="Normal"/>
    <w:uiPriority w:val="34"/>
    <w:qFormat/>
    <w:rsid w:val="00F777BD"/>
    <w:pPr>
      <w:ind w:left="720"/>
      <w:contextualSpacing/>
    </w:pPr>
  </w:style>
  <w:style w:type="character" w:styleId="IntenseEmphasis">
    <w:name w:val="Intense Emphasis"/>
    <w:basedOn w:val="DefaultParagraphFont"/>
    <w:uiPriority w:val="21"/>
    <w:qFormat/>
    <w:rsid w:val="00F777BD"/>
    <w:rPr>
      <w:i/>
      <w:iCs/>
      <w:color w:val="0F4761" w:themeColor="accent1" w:themeShade="BF"/>
    </w:rPr>
  </w:style>
  <w:style w:type="paragraph" w:styleId="IntenseQuote">
    <w:name w:val="Intense Quote"/>
    <w:basedOn w:val="Normal"/>
    <w:next w:val="Normal"/>
    <w:link w:val="IntenseQuoteChar"/>
    <w:uiPriority w:val="30"/>
    <w:qFormat/>
    <w:rsid w:val="00F77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7BD"/>
    <w:rPr>
      <w:i/>
      <w:iCs/>
      <w:color w:val="0F4761" w:themeColor="accent1" w:themeShade="BF"/>
    </w:rPr>
  </w:style>
  <w:style w:type="character" w:styleId="IntenseReference">
    <w:name w:val="Intense Reference"/>
    <w:basedOn w:val="DefaultParagraphFont"/>
    <w:uiPriority w:val="32"/>
    <w:qFormat/>
    <w:rsid w:val="00F777BD"/>
    <w:rPr>
      <w:b/>
      <w:bCs/>
      <w:smallCaps/>
      <w:color w:val="0F4761" w:themeColor="accent1" w:themeShade="BF"/>
      <w:spacing w:val="5"/>
    </w:rPr>
  </w:style>
  <w:style w:type="paragraph" w:styleId="NoSpacing">
    <w:name w:val="No Spacing"/>
    <w:uiPriority w:val="1"/>
    <w:qFormat/>
    <w:rsid w:val="002100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7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7BD"/>
    <w:rPr>
      <w:rFonts w:eastAsiaTheme="majorEastAsia" w:cstheme="majorBidi"/>
      <w:color w:val="272727" w:themeColor="text1" w:themeTint="D8"/>
    </w:rPr>
  </w:style>
  <w:style w:type="paragraph" w:styleId="Title">
    <w:name w:val="Title"/>
    <w:basedOn w:val="Normal"/>
    <w:next w:val="Normal"/>
    <w:link w:val="TitleChar"/>
    <w:uiPriority w:val="10"/>
    <w:qFormat/>
    <w:rsid w:val="00F77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7BD"/>
    <w:pPr>
      <w:spacing w:before="160"/>
      <w:jc w:val="center"/>
    </w:pPr>
    <w:rPr>
      <w:i/>
      <w:iCs/>
      <w:color w:val="404040" w:themeColor="text1" w:themeTint="BF"/>
    </w:rPr>
  </w:style>
  <w:style w:type="character" w:customStyle="1" w:styleId="QuoteChar">
    <w:name w:val="Quote Char"/>
    <w:basedOn w:val="DefaultParagraphFont"/>
    <w:link w:val="Quote"/>
    <w:uiPriority w:val="29"/>
    <w:rsid w:val="00F777BD"/>
    <w:rPr>
      <w:i/>
      <w:iCs/>
      <w:color w:val="404040" w:themeColor="text1" w:themeTint="BF"/>
    </w:rPr>
  </w:style>
  <w:style w:type="paragraph" w:styleId="ListParagraph">
    <w:name w:val="List Paragraph"/>
    <w:basedOn w:val="Normal"/>
    <w:uiPriority w:val="34"/>
    <w:qFormat/>
    <w:rsid w:val="00F777BD"/>
    <w:pPr>
      <w:ind w:left="720"/>
      <w:contextualSpacing/>
    </w:pPr>
  </w:style>
  <w:style w:type="character" w:styleId="IntenseEmphasis">
    <w:name w:val="Intense Emphasis"/>
    <w:basedOn w:val="DefaultParagraphFont"/>
    <w:uiPriority w:val="21"/>
    <w:qFormat/>
    <w:rsid w:val="00F777BD"/>
    <w:rPr>
      <w:i/>
      <w:iCs/>
      <w:color w:val="0F4761" w:themeColor="accent1" w:themeShade="BF"/>
    </w:rPr>
  </w:style>
  <w:style w:type="paragraph" w:styleId="IntenseQuote">
    <w:name w:val="Intense Quote"/>
    <w:basedOn w:val="Normal"/>
    <w:next w:val="Normal"/>
    <w:link w:val="IntenseQuoteChar"/>
    <w:uiPriority w:val="30"/>
    <w:qFormat/>
    <w:rsid w:val="00F77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7BD"/>
    <w:rPr>
      <w:i/>
      <w:iCs/>
      <w:color w:val="0F4761" w:themeColor="accent1" w:themeShade="BF"/>
    </w:rPr>
  </w:style>
  <w:style w:type="character" w:styleId="IntenseReference">
    <w:name w:val="Intense Reference"/>
    <w:basedOn w:val="DefaultParagraphFont"/>
    <w:uiPriority w:val="32"/>
    <w:qFormat/>
    <w:rsid w:val="00F777BD"/>
    <w:rPr>
      <w:b/>
      <w:bCs/>
      <w:smallCaps/>
      <w:color w:val="0F4761" w:themeColor="accent1" w:themeShade="BF"/>
      <w:spacing w:val="5"/>
    </w:rPr>
  </w:style>
  <w:style w:type="paragraph" w:styleId="NoSpacing">
    <w:name w:val="No Spacing"/>
    <w:uiPriority w:val="1"/>
    <w:qFormat/>
    <w:rsid w:val="00210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maladi</dc:creator>
  <cp:keywords/>
  <dc:description/>
  <cp:lastModifiedBy>SDI 1055</cp:lastModifiedBy>
  <cp:revision>10</cp:revision>
  <dcterms:created xsi:type="dcterms:W3CDTF">2025-04-21T03:17:00Z</dcterms:created>
  <dcterms:modified xsi:type="dcterms:W3CDTF">2025-04-29T07:28:00Z</dcterms:modified>
</cp:coreProperties>
</file>