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5ECB" w14:textId="77777777" w:rsidR="00AE205E" w:rsidRDefault="00AE205E">
      <w:pPr>
        <w:rPr>
          <w:rFonts w:ascii="Arial" w:hAnsi="Arial" w:cs="Arial"/>
          <w:b/>
          <w:bCs/>
          <w:spacing w:val="-4"/>
          <w:w w:val="85"/>
          <w:sz w:val="36"/>
          <w:szCs w:val="36"/>
          <w:lang w:val="en-US"/>
        </w:rPr>
      </w:pPr>
    </w:p>
    <w:p w14:paraId="59AE5589" w14:textId="77777777" w:rsidR="005C5D1E" w:rsidRDefault="00835710">
      <w:pPr>
        <w:rPr>
          <w:rFonts w:ascii="Arial" w:hAnsi="Arial" w:cs="Arial"/>
          <w:b/>
          <w:bCs/>
          <w:w w:val="85"/>
          <w:sz w:val="36"/>
          <w:szCs w:val="36"/>
          <w:lang w:val="en-US"/>
        </w:rPr>
      </w:pPr>
      <w:r w:rsidRPr="00EE6E56">
        <w:rPr>
          <w:rFonts w:ascii="Arial" w:hAnsi="Arial" w:cs="Arial"/>
          <w:b/>
          <w:bCs/>
          <w:spacing w:val="-4"/>
          <w:w w:val="85"/>
          <w:sz w:val="36"/>
          <w:szCs w:val="36"/>
          <w:lang w:val="en-US"/>
        </w:rPr>
        <w:t>The</w:t>
      </w:r>
      <w:r w:rsidRPr="00EE6E56">
        <w:rPr>
          <w:rFonts w:ascii="Arial" w:hAnsi="Arial" w:cs="Arial"/>
          <w:b/>
          <w:bCs/>
          <w:spacing w:val="-10"/>
          <w:sz w:val="36"/>
          <w:szCs w:val="36"/>
          <w:lang w:val="en-US"/>
        </w:rPr>
        <w:t xml:space="preserve"> </w:t>
      </w:r>
      <w:r w:rsidRPr="00EE6E56">
        <w:rPr>
          <w:rFonts w:ascii="Arial" w:hAnsi="Arial" w:cs="Arial"/>
          <w:b/>
          <w:bCs/>
          <w:spacing w:val="-4"/>
          <w:w w:val="85"/>
          <w:sz w:val="36"/>
          <w:szCs w:val="36"/>
          <w:lang w:val="en-US"/>
        </w:rPr>
        <w:t>Charlson</w:t>
      </w:r>
      <w:r w:rsidRPr="00EE6E56">
        <w:rPr>
          <w:rFonts w:ascii="Arial" w:hAnsi="Arial" w:cs="Arial"/>
          <w:b/>
          <w:bCs/>
          <w:spacing w:val="-9"/>
          <w:w w:val="85"/>
          <w:sz w:val="36"/>
          <w:szCs w:val="36"/>
          <w:lang w:val="en-US"/>
        </w:rPr>
        <w:t xml:space="preserve"> </w:t>
      </w:r>
      <w:r w:rsidRPr="00EE6E56">
        <w:rPr>
          <w:rFonts w:ascii="Arial" w:hAnsi="Arial" w:cs="Arial"/>
          <w:b/>
          <w:bCs/>
          <w:spacing w:val="-4"/>
          <w:w w:val="85"/>
          <w:sz w:val="36"/>
          <w:szCs w:val="36"/>
          <w:lang w:val="en-US"/>
        </w:rPr>
        <w:t>Comorbidity</w:t>
      </w:r>
      <w:r w:rsidRPr="00EE6E56">
        <w:rPr>
          <w:rFonts w:ascii="Arial" w:hAnsi="Arial" w:cs="Arial"/>
          <w:b/>
          <w:bCs/>
          <w:spacing w:val="-7"/>
          <w:sz w:val="36"/>
          <w:szCs w:val="36"/>
          <w:lang w:val="en-US"/>
        </w:rPr>
        <w:t xml:space="preserve"> </w:t>
      </w:r>
      <w:r w:rsidRPr="00EE6E56">
        <w:rPr>
          <w:rFonts w:ascii="Arial" w:hAnsi="Arial" w:cs="Arial"/>
          <w:b/>
          <w:bCs/>
          <w:spacing w:val="-4"/>
          <w:w w:val="85"/>
          <w:sz w:val="36"/>
          <w:szCs w:val="36"/>
          <w:lang w:val="en-US"/>
        </w:rPr>
        <w:t>Index</w:t>
      </w:r>
      <w:r w:rsidRPr="00EE6E56">
        <w:rPr>
          <w:rFonts w:ascii="Arial" w:hAnsi="Arial" w:cs="Arial"/>
          <w:b/>
          <w:bCs/>
          <w:spacing w:val="-11"/>
          <w:sz w:val="36"/>
          <w:szCs w:val="36"/>
          <w:lang w:val="en-US"/>
        </w:rPr>
        <w:t xml:space="preserve"> </w:t>
      </w:r>
      <w:r w:rsidRPr="00EE6E56">
        <w:rPr>
          <w:rFonts w:ascii="Arial" w:hAnsi="Arial" w:cs="Arial"/>
          <w:b/>
          <w:bCs/>
          <w:spacing w:val="-4"/>
          <w:w w:val="85"/>
          <w:sz w:val="36"/>
          <w:szCs w:val="36"/>
          <w:lang w:val="en-US"/>
        </w:rPr>
        <w:t>for</w:t>
      </w:r>
      <w:r w:rsidRPr="00EE6E56">
        <w:rPr>
          <w:rFonts w:ascii="Arial" w:hAnsi="Arial" w:cs="Arial"/>
          <w:b/>
          <w:bCs/>
          <w:spacing w:val="-6"/>
          <w:w w:val="85"/>
          <w:sz w:val="36"/>
          <w:szCs w:val="36"/>
          <w:lang w:val="en-US"/>
        </w:rPr>
        <w:t xml:space="preserve"> </w:t>
      </w:r>
      <w:r w:rsidRPr="00EE6E56">
        <w:rPr>
          <w:rFonts w:ascii="Arial" w:hAnsi="Arial" w:cs="Arial"/>
          <w:b/>
          <w:bCs/>
          <w:spacing w:val="-4"/>
          <w:w w:val="85"/>
          <w:sz w:val="36"/>
          <w:szCs w:val="36"/>
          <w:lang w:val="en-US"/>
        </w:rPr>
        <w:t>Heart</w:t>
      </w:r>
      <w:r w:rsidRPr="00EE6E56">
        <w:rPr>
          <w:rFonts w:ascii="Arial" w:hAnsi="Arial" w:cs="Arial"/>
          <w:b/>
          <w:bCs/>
          <w:spacing w:val="-9"/>
          <w:sz w:val="36"/>
          <w:szCs w:val="36"/>
          <w:lang w:val="en-US"/>
        </w:rPr>
        <w:t xml:space="preserve"> </w:t>
      </w:r>
      <w:r w:rsidRPr="00EE6E56">
        <w:rPr>
          <w:rFonts w:ascii="Arial" w:hAnsi="Arial" w:cs="Arial"/>
          <w:b/>
          <w:bCs/>
          <w:spacing w:val="-4"/>
          <w:w w:val="85"/>
          <w:sz w:val="36"/>
          <w:szCs w:val="36"/>
          <w:lang w:val="en-US"/>
        </w:rPr>
        <w:t>failure</w:t>
      </w:r>
      <w:r w:rsidRPr="00EE6E56">
        <w:rPr>
          <w:rFonts w:ascii="Arial" w:hAnsi="Arial" w:cs="Arial"/>
          <w:b/>
          <w:bCs/>
          <w:spacing w:val="-10"/>
          <w:sz w:val="36"/>
          <w:szCs w:val="36"/>
          <w:lang w:val="en-US"/>
        </w:rPr>
        <w:t xml:space="preserve"> </w:t>
      </w:r>
      <w:r w:rsidRPr="00EE6E56">
        <w:rPr>
          <w:rFonts w:ascii="Arial" w:hAnsi="Arial" w:cs="Arial"/>
          <w:b/>
          <w:bCs/>
          <w:spacing w:val="-4"/>
          <w:w w:val="85"/>
          <w:sz w:val="36"/>
          <w:szCs w:val="36"/>
          <w:lang w:val="en-US"/>
        </w:rPr>
        <w:t>with</w:t>
      </w:r>
      <w:r w:rsidRPr="00EE6E56">
        <w:rPr>
          <w:rFonts w:ascii="Arial" w:hAnsi="Arial" w:cs="Arial"/>
          <w:b/>
          <w:bCs/>
          <w:spacing w:val="-9"/>
          <w:w w:val="85"/>
          <w:sz w:val="36"/>
          <w:szCs w:val="36"/>
          <w:lang w:val="en-US"/>
        </w:rPr>
        <w:t xml:space="preserve"> </w:t>
      </w:r>
      <w:r w:rsidRPr="00EE6E56">
        <w:rPr>
          <w:rFonts w:ascii="Arial" w:hAnsi="Arial" w:cs="Arial"/>
          <w:b/>
          <w:bCs/>
          <w:spacing w:val="-4"/>
          <w:w w:val="85"/>
          <w:sz w:val="36"/>
          <w:szCs w:val="36"/>
          <w:lang w:val="en-US"/>
        </w:rPr>
        <w:t xml:space="preserve">reduced </w:t>
      </w:r>
      <w:r w:rsidRPr="00EE6E56">
        <w:rPr>
          <w:rFonts w:ascii="Arial" w:hAnsi="Arial" w:cs="Arial"/>
          <w:b/>
          <w:bCs/>
          <w:w w:val="85"/>
          <w:sz w:val="36"/>
          <w:szCs w:val="36"/>
          <w:lang w:val="en-US"/>
        </w:rPr>
        <w:t>ejection</w:t>
      </w:r>
      <w:r w:rsidRPr="00EE6E56">
        <w:rPr>
          <w:rFonts w:ascii="Arial" w:hAnsi="Arial" w:cs="Arial"/>
          <w:b/>
          <w:bCs/>
          <w:spacing w:val="-6"/>
          <w:w w:val="85"/>
          <w:sz w:val="36"/>
          <w:szCs w:val="36"/>
          <w:lang w:val="en-US"/>
        </w:rPr>
        <w:t xml:space="preserve"> </w:t>
      </w:r>
      <w:r w:rsidRPr="00EE6E56">
        <w:rPr>
          <w:rFonts w:ascii="Arial" w:hAnsi="Arial" w:cs="Arial"/>
          <w:b/>
          <w:bCs/>
          <w:w w:val="85"/>
          <w:sz w:val="36"/>
          <w:szCs w:val="36"/>
          <w:lang w:val="en-US"/>
        </w:rPr>
        <w:t>fraction</w:t>
      </w:r>
      <w:r w:rsidRPr="00EE6E56">
        <w:rPr>
          <w:rFonts w:ascii="Arial" w:hAnsi="Arial" w:cs="Arial"/>
          <w:b/>
          <w:bCs/>
          <w:spacing w:val="-6"/>
          <w:w w:val="85"/>
          <w:sz w:val="36"/>
          <w:szCs w:val="36"/>
          <w:lang w:val="en-US"/>
        </w:rPr>
        <w:t xml:space="preserve"> </w:t>
      </w:r>
      <w:r w:rsidRPr="00EE6E56">
        <w:rPr>
          <w:rFonts w:ascii="Arial" w:hAnsi="Arial" w:cs="Arial"/>
          <w:b/>
          <w:bCs/>
          <w:w w:val="85"/>
          <w:sz w:val="36"/>
          <w:szCs w:val="36"/>
          <w:lang w:val="en-US"/>
        </w:rPr>
        <w:t>prognosis prediction</w:t>
      </w:r>
    </w:p>
    <w:p w14:paraId="3E063B48" w14:textId="77777777" w:rsidR="005D283C" w:rsidRPr="00EE6E56" w:rsidRDefault="005D283C">
      <w:pPr>
        <w:rPr>
          <w:rFonts w:ascii="Arial" w:hAnsi="Arial" w:cs="Arial"/>
          <w:b/>
          <w:bCs/>
          <w:w w:val="85"/>
          <w:sz w:val="36"/>
          <w:szCs w:val="36"/>
          <w:lang w:val="en-US"/>
        </w:rPr>
      </w:pPr>
    </w:p>
    <w:p w14:paraId="05061642" w14:textId="77777777" w:rsidR="005D283C" w:rsidRDefault="005D283C" w:rsidP="005D283C">
      <w:pPr>
        <w:spacing w:before="100" w:beforeAutospacing="1" w:after="100" w:afterAutospacing="1"/>
        <w:jc w:val="right"/>
        <w:rPr>
          <w:rFonts w:ascii="Arial" w:hAnsi="Arial" w:cs="Arial"/>
          <w:i/>
          <w:iCs/>
          <w:sz w:val="20"/>
          <w:szCs w:val="20"/>
          <w:lang w:val="en-US"/>
        </w:rPr>
      </w:pPr>
    </w:p>
    <w:p w14:paraId="5590A26A" w14:textId="342DED67" w:rsidR="005D283C" w:rsidRPr="005D283C" w:rsidRDefault="005D283C" w:rsidP="005D283C">
      <w:pPr>
        <w:spacing w:before="100" w:beforeAutospacing="1" w:after="100" w:afterAutospacing="1"/>
        <w:rPr>
          <w:rStyle w:val="Strong"/>
          <w:rFonts w:ascii="Arial" w:hAnsi="Arial" w:cs="Arial"/>
          <w:i/>
          <w:iCs/>
          <w:sz w:val="22"/>
          <w:szCs w:val="22"/>
          <w:lang w:val="en-US"/>
        </w:rPr>
      </w:pPr>
      <w:r>
        <w:rPr>
          <w:rFonts w:ascii="Arial" w:hAnsi="Arial" w:cs="Arial"/>
          <w:noProof/>
        </w:rPr>
        <mc:AlternateContent>
          <mc:Choice Requires="wps">
            <w:drawing>
              <wp:inline distT="0" distB="0" distL="0" distR="0" wp14:anchorId="28B39E71" wp14:editId="0483179F">
                <wp:extent cx="5303520" cy="0"/>
                <wp:effectExtent l="25400" t="25400" r="43180" b="38100"/>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shapetype w14:anchorId="6E702CB3" id="_x0000_t32" coordsize="21600,21600" o:spt="32" o:oned="t" path="m0,0l21600,21600e" filled="f">
                <v:path arrowok="t" fillok="f" o:connecttype="none"/>
                <o:lock v:ext="edit" shapetype="t"/>
              </v:shapetype>
              <v:shape id="Connecteur droit avec flèche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" strokeweight="1.5pt">
                <w10:anchorlock/>
              </v:shape>
            </w:pict>
          </mc:Fallback>
        </mc:AlternateContent>
      </w:r>
    </w:p>
    <w:p w14:paraId="255D07F7" w14:textId="7D076412" w:rsidR="00741468" w:rsidRPr="00565B8F" w:rsidRDefault="00741468" w:rsidP="00565B8F">
      <w:pPr>
        <w:spacing w:before="100" w:beforeAutospacing="1" w:after="100" w:afterAutospacing="1"/>
        <w:rPr>
          <w:lang w:val="en-US"/>
        </w:rPr>
      </w:pPr>
      <w:r w:rsidRPr="00741468">
        <w:rPr>
          <w:rStyle w:val="Strong"/>
          <w:rFonts w:ascii="Arial" w:hAnsi="Arial" w:cs="Arial"/>
          <w:sz w:val="22"/>
          <w:szCs w:val="22"/>
          <w:lang w:val="en-US"/>
        </w:rPr>
        <w:t>ABSTRACT</w:t>
      </w:r>
    </w:p>
    <w:p w14:paraId="080BEB0A" w14:textId="198A19E8" w:rsidR="008009A2" w:rsidRP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proofErr w:type="spellStart"/>
      <w:proofErr w:type="gramStart"/>
      <w:r w:rsidRPr="008009A2">
        <w:rPr>
          <w:rStyle w:val="Strong"/>
          <w:rFonts w:ascii="Arial" w:hAnsi="Arial" w:cs="Arial"/>
          <w:sz w:val="20"/>
          <w:szCs w:val="20"/>
          <w:lang w:val="en-US"/>
        </w:rPr>
        <w:t>Aims</w:t>
      </w:r>
      <w:r w:rsidR="00741468" w:rsidRPr="008009A2">
        <w:rPr>
          <w:rStyle w:val="Strong"/>
          <w:rFonts w:ascii="Arial" w:hAnsi="Arial" w:cs="Arial"/>
          <w:sz w:val="20"/>
          <w:szCs w:val="20"/>
          <w:lang w:val="en-US"/>
        </w:rPr>
        <w:t>:</w:t>
      </w:r>
      <w:r w:rsidRPr="008009A2">
        <w:rPr>
          <w:rFonts w:ascii="Arial" w:hAnsi="Arial" w:cs="Arial"/>
          <w:sz w:val="20"/>
          <w:szCs w:val="20"/>
          <w:lang w:val="en-US"/>
        </w:rPr>
        <w:t>To</w:t>
      </w:r>
      <w:proofErr w:type="spellEnd"/>
      <w:proofErr w:type="gramEnd"/>
      <w:r w:rsidRPr="008009A2">
        <w:rPr>
          <w:rFonts w:ascii="Arial" w:hAnsi="Arial" w:cs="Arial"/>
          <w:sz w:val="20"/>
          <w:szCs w:val="20"/>
          <w:lang w:val="en-US"/>
        </w:rPr>
        <w:t xml:space="preserve"> assess the prognostic value of the </w:t>
      </w:r>
      <w:r w:rsidR="006B115F" w:rsidRPr="006B115F">
        <w:rPr>
          <w:rFonts w:ascii="Arial" w:hAnsi="Arial" w:cs="Arial"/>
          <w:sz w:val="20"/>
          <w:szCs w:val="20"/>
          <w:highlight w:val="green"/>
          <w:lang w:val="en-US"/>
        </w:rPr>
        <w:t>Charlson</w:t>
      </w:r>
      <w:r w:rsidRPr="008009A2">
        <w:rPr>
          <w:rFonts w:ascii="Arial" w:hAnsi="Arial" w:cs="Arial"/>
          <w:sz w:val="20"/>
          <w:szCs w:val="20"/>
          <w:lang w:val="en-US"/>
        </w:rPr>
        <w:t xml:space="preserve"> comorbidity index (</w:t>
      </w:r>
      <w:r>
        <w:rPr>
          <w:rFonts w:ascii="Arial" w:hAnsi="Arial" w:cs="Arial"/>
          <w:sz w:val="20"/>
          <w:szCs w:val="20"/>
          <w:lang w:val="en-US"/>
        </w:rPr>
        <w:t>CCI</w:t>
      </w:r>
      <w:r w:rsidRPr="008009A2">
        <w:rPr>
          <w:rFonts w:ascii="Arial" w:hAnsi="Arial" w:cs="Arial"/>
          <w:sz w:val="20"/>
          <w:szCs w:val="20"/>
          <w:lang w:val="en-US"/>
        </w:rPr>
        <w:t>) for predicting all-cause mortality in patients with heart failure wi</w:t>
      </w:r>
      <w:r>
        <w:rPr>
          <w:rFonts w:ascii="Arial" w:hAnsi="Arial" w:cs="Arial"/>
          <w:sz w:val="20"/>
          <w:szCs w:val="20"/>
          <w:lang w:val="en-US"/>
        </w:rPr>
        <w:t>th reduced ejection fraction (</w:t>
      </w:r>
      <w:proofErr w:type="spellStart"/>
      <w:r>
        <w:rPr>
          <w:rFonts w:ascii="Arial" w:hAnsi="Arial" w:cs="Arial"/>
          <w:sz w:val="20"/>
          <w:szCs w:val="20"/>
          <w:lang w:val="en-US"/>
        </w:rPr>
        <w:t>HRrEF</w:t>
      </w:r>
      <w:proofErr w:type="spellEnd"/>
      <w:r w:rsidRPr="008009A2">
        <w:rPr>
          <w:rFonts w:ascii="Arial" w:hAnsi="Arial" w:cs="Arial"/>
          <w:sz w:val="20"/>
          <w:szCs w:val="20"/>
          <w:lang w:val="en-US"/>
        </w:rPr>
        <w:t xml:space="preserve">) in a north </w:t>
      </w:r>
      <w:r w:rsidR="006B115F" w:rsidRPr="006B115F">
        <w:rPr>
          <w:rFonts w:ascii="Arial" w:hAnsi="Arial" w:cs="Arial"/>
          <w:sz w:val="20"/>
          <w:szCs w:val="20"/>
          <w:highlight w:val="green"/>
          <w:lang w:val="en-US"/>
        </w:rPr>
        <w:t>African</w:t>
      </w:r>
      <w:r w:rsidRPr="008009A2">
        <w:rPr>
          <w:rFonts w:ascii="Arial" w:hAnsi="Arial" w:cs="Arial"/>
          <w:sz w:val="20"/>
          <w:szCs w:val="20"/>
          <w:lang w:val="en-US"/>
        </w:rPr>
        <w:t xml:space="preserve"> context.</w:t>
      </w:r>
    </w:p>
    <w:p w14:paraId="1836A311" w14:textId="04547071" w:rsidR="007E53E1" w:rsidRP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Strong"/>
          <w:rFonts w:ascii="Arial" w:hAnsi="Arial" w:cs="Arial"/>
          <w:sz w:val="20"/>
          <w:szCs w:val="20"/>
          <w:lang w:val="en-US"/>
        </w:rPr>
        <w:t>Study design:</w:t>
      </w:r>
      <w:r>
        <w:rPr>
          <w:rStyle w:val="Strong"/>
          <w:rFonts w:ascii="Arial" w:hAnsi="Arial" w:cs="Arial"/>
          <w:sz w:val="20"/>
          <w:szCs w:val="20"/>
          <w:lang w:val="en-US"/>
        </w:rPr>
        <w:t xml:space="preserve"> </w:t>
      </w:r>
      <w:r w:rsidRPr="008009A2">
        <w:rPr>
          <w:rFonts w:ascii="Arial" w:hAnsi="Arial" w:cs="Arial"/>
          <w:sz w:val="20"/>
          <w:szCs w:val="20"/>
          <w:lang w:val="en-US"/>
        </w:rPr>
        <w:t>prospective, single-center observational study.</w:t>
      </w:r>
    </w:p>
    <w:p w14:paraId="031A8677" w14:textId="05497A48" w:rsidR="007E53E1" w:rsidRP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Strong"/>
          <w:rFonts w:ascii="Arial" w:hAnsi="Arial" w:cs="Arial"/>
          <w:sz w:val="20"/>
          <w:szCs w:val="20"/>
          <w:lang w:val="en-US"/>
        </w:rPr>
        <w:t>Place and duration of study:</w:t>
      </w:r>
      <w:r>
        <w:rPr>
          <w:rFonts w:ascii="Arial" w:hAnsi="Arial" w:cs="Arial"/>
          <w:sz w:val="20"/>
          <w:szCs w:val="20"/>
          <w:lang w:val="en-US"/>
        </w:rPr>
        <w:t xml:space="preserve"> </w:t>
      </w:r>
      <w:r w:rsidRPr="008009A2">
        <w:rPr>
          <w:rFonts w:ascii="Arial" w:hAnsi="Arial" w:cs="Arial"/>
          <w:sz w:val="20"/>
          <w:szCs w:val="20"/>
          <w:lang w:val="en-US"/>
        </w:rPr>
        <w:t xml:space="preserve">conducted at the therapeutic heart failure unit, </w:t>
      </w:r>
      <w:r w:rsidR="006B115F">
        <w:rPr>
          <w:rFonts w:ascii="Arial" w:hAnsi="Arial" w:cs="Arial"/>
          <w:sz w:val="20"/>
          <w:szCs w:val="20"/>
          <w:highlight w:val="green"/>
          <w:lang w:val="en-US"/>
        </w:rPr>
        <w:t xml:space="preserve">Ibn </w:t>
      </w:r>
      <w:proofErr w:type="spellStart"/>
      <w:r w:rsidR="006B115F" w:rsidRPr="006B115F">
        <w:rPr>
          <w:rFonts w:ascii="Arial" w:hAnsi="Arial" w:cs="Arial"/>
          <w:sz w:val="20"/>
          <w:szCs w:val="20"/>
          <w:highlight w:val="green"/>
          <w:lang w:val="en-US"/>
        </w:rPr>
        <w:t>Rochd</w:t>
      </w:r>
      <w:proofErr w:type="spellEnd"/>
      <w:r w:rsidRPr="008009A2">
        <w:rPr>
          <w:rFonts w:ascii="Arial" w:hAnsi="Arial" w:cs="Arial"/>
          <w:sz w:val="20"/>
          <w:szCs w:val="20"/>
          <w:lang w:val="en-US"/>
        </w:rPr>
        <w:t xml:space="preserve"> hospital, </w:t>
      </w:r>
      <w:r w:rsidR="006B115F" w:rsidRPr="006B115F">
        <w:rPr>
          <w:rFonts w:ascii="Arial" w:hAnsi="Arial" w:cs="Arial"/>
          <w:sz w:val="20"/>
          <w:szCs w:val="20"/>
          <w:highlight w:val="green"/>
          <w:lang w:val="en-US"/>
        </w:rPr>
        <w:t>Casablanca</w:t>
      </w:r>
      <w:r w:rsidRPr="008009A2">
        <w:rPr>
          <w:rFonts w:ascii="Arial" w:hAnsi="Arial" w:cs="Arial"/>
          <w:sz w:val="20"/>
          <w:szCs w:val="20"/>
          <w:lang w:val="en-US"/>
        </w:rPr>
        <w:t xml:space="preserve">, </w:t>
      </w:r>
      <w:r w:rsidR="006B115F" w:rsidRPr="006B115F">
        <w:rPr>
          <w:rFonts w:ascii="Arial" w:hAnsi="Arial" w:cs="Arial"/>
          <w:sz w:val="20"/>
          <w:szCs w:val="20"/>
          <w:highlight w:val="green"/>
          <w:lang w:val="en-US"/>
        </w:rPr>
        <w:t>Morocco</w:t>
      </w:r>
      <w:r w:rsidRPr="008009A2">
        <w:rPr>
          <w:rFonts w:ascii="Arial" w:hAnsi="Arial" w:cs="Arial"/>
          <w:sz w:val="20"/>
          <w:szCs w:val="20"/>
          <w:lang w:val="en-US"/>
        </w:rPr>
        <w:t xml:space="preserve">, from march to </w:t>
      </w:r>
      <w:r w:rsidR="006B115F" w:rsidRPr="006B115F">
        <w:rPr>
          <w:rFonts w:ascii="Arial" w:hAnsi="Arial" w:cs="Arial"/>
          <w:sz w:val="20"/>
          <w:szCs w:val="20"/>
          <w:highlight w:val="green"/>
          <w:lang w:val="en-US"/>
        </w:rPr>
        <w:t>October</w:t>
      </w:r>
      <w:r w:rsidRPr="008009A2">
        <w:rPr>
          <w:rFonts w:ascii="Arial" w:hAnsi="Arial" w:cs="Arial"/>
          <w:sz w:val="20"/>
          <w:szCs w:val="20"/>
          <w:lang w:val="en-US"/>
        </w:rPr>
        <w:t xml:space="preserve"> 2022.</w:t>
      </w:r>
    </w:p>
    <w:p w14:paraId="2BA53B0E" w14:textId="5B64ADCB" w:rsidR="007E53E1" w:rsidRP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Strong"/>
          <w:rFonts w:ascii="Arial" w:hAnsi="Arial" w:cs="Arial"/>
          <w:sz w:val="20"/>
          <w:szCs w:val="20"/>
          <w:lang w:val="en-US"/>
        </w:rPr>
        <w:t>Methodology:</w:t>
      </w:r>
      <w:r>
        <w:rPr>
          <w:rFonts w:ascii="Arial" w:hAnsi="Arial" w:cs="Arial"/>
          <w:sz w:val="20"/>
          <w:szCs w:val="20"/>
          <w:lang w:val="en-US"/>
        </w:rPr>
        <w:t xml:space="preserve"> </w:t>
      </w:r>
      <w:r w:rsidRPr="008009A2">
        <w:rPr>
          <w:rFonts w:ascii="Arial" w:hAnsi="Arial" w:cs="Arial"/>
          <w:sz w:val="20"/>
          <w:szCs w:val="20"/>
          <w:lang w:val="en-US"/>
        </w:rPr>
        <w:t xml:space="preserve">we enrolled 188 </w:t>
      </w:r>
      <w:r>
        <w:rPr>
          <w:rFonts w:ascii="Arial" w:hAnsi="Arial" w:cs="Arial"/>
          <w:sz w:val="20"/>
          <w:szCs w:val="20"/>
          <w:lang w:val="en-US"/>
        </w:rPr>
        <w:t xml:space="preserve">adult patients diagnosed with </w:t>
      </w:r>
      <w:proofErr w:type="spellStart"/>
      <w:r>
        <w:rPr>
          <w:rFonts w:ascii="Arial" w:hAnsi="Arial" w:cs="Arial"/>
          <w:sz w:val="20"/>
          <w:szCs w:val="20"/>
          <w:lang w:val="en-US"/>
        </w:rPr>
        <w:t>HFrEF</w:t>
      </w:r>
      <w:proofErr w:type="spellEnd"/>
      <w:r w:rsidRPr="008009A2">
        <w:rPr>
          <w:rFonts w:ascii="Arial" w:hAnsi="Arial" w:cs="Arial"/>
          <w:sz w:val="20"/>
          <w:szCs w:val="20"/>
          <w:lang w:val="en-US"/>
        </w:rPr>
        <w:t xml:space="preserve"> (left ventricular ejection fraction &lt;40%). Comorbidities were recorded at admission and scored using the </w:t>
      </w:r>
      <w:r w:rsidR="006B115F" w:rsidRPr="006B115F">
        <w:rPr>
          <w:rFonts w:ascii="Arial" w:hAnsi="Arial" w:cs="Arial"/>
          <w:sz w:val="20"/>
          <w:szCs w:val="20"/>
          <w:highlight w:val="green"/>
          <w:lang w:val="en-US"/>
        </w:rPr>
        <w:t>CCI</w:t>
      </w:r>
      <w:r w:rsidRPr="008009A2">
        <w:rPr>
          <w:rFonts w:ascii="Arial" w:hAnsi="Arial" w:cs="Arial"/>
          <w:sz w:val="20"/>
          <w:szCs w:val="20"/>
          <w:lang w:val="en-US"/>
        </w:rPr>
        <w:t xml:space="preserve">. Patients were divided into two groups based on a cci cutoff of 5. The primary outcome was all-cause mortality tracked during follow-up. Survival differences were analyzed using </w:t>
      </w:r>
      <w:r w:rsidR="006B115F" w:rsidRPr="006B115F">
        <w:rPr>
          <w:rFonts w:ascii="Arial" w:hAnsi="Arial" w:cs="Arial"/>
          <w:sz w:val="20"/>
          <w:szCs w:val="20"/>
          <w:highlight w:val="green"/>
          <w:lang w:val="en-US"/>
        </w:rPr>
        <w:t>Kaplan-Meier</w:t>
      </w:r>
      <w:r w:rsidR="006B115F" w:rsidRPr="008009A2">
        <w:rPr>
          <w:rFonts w:ascii="Arial" w:hAnsi="Arial" w:cs="Arial"/>
          <w:sz w:val="20"/>
          <w:szCs w:val="20"/>
          <w:lang w:val="en-US"/>
        </w:rPr>
        <w:t xml:space="preserve"> </w:t>
      </w:r>
      <w:r w:rsidRPr="008009A2">
        <w:rPr>
          <w:rFonts w:ascii="Arial" w:hAnsi="Arial" w:cs="Arial"/>
          <w:sz w:val="20"/>
          <w:szCs w:val="20"/>
          <w:lang w:val="en-US"/>
        </w:rPr>
        <w:t>curves and statistical comparison tests.</w:t>
      </w:r>
    </w:p>
    <w:p w14:paraId="09416944" w14:textId="744B4E5E" w:rsid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proofErr w:type="spellStart"/>
      <w:proofErr w:type="gramStart"/>
      <w:r w:rsidRPr="008009A2">
        <w:rPr>
          <w:rStyle w:val="Strong"/>
          <w:rFonts w:ascii="Arial" w:hAnsi="Arial" w:cs="Arial"/>
          <w:sz w:val="20"/>
          <w:szCs w:val="20"/>
          <w:lang w:val="en-US"/>
        </w:rPr>
        <w:t>Results:</w:t>
      </w:r>
      <w:r w:rsidRPr="008009A2">
        <w:rPr>
          <w:rFonts w:ascii="Arial" w:hAnsi="Arial" w:cs="Arial"/>
          <w:sz w:val="20"/>
          <w:szCs w:val="20"/>
          <w:lang w:val="en-US"/>
        </w:rPr>
        <w:t>the</w:t>
      </w:r>
      <w:proofErr w:type="spellEnd"/>
      <w:proofErr w:type="gramEnd"/>
      <w:r w:rsidRPr="008009A2">
        <w:rPr>
          <w:rFonts w:ascii="Arial" w:hAnsi="Arial" w:cs="Arial"/>
          <w:sz w:val="20"/>
          <w:szCs w:val="20"/>
          <w:lang w:val="en-US"/>
        </w:rPr>
        <w:t xml:space="preserve"> average age was 63 ± 12 years, with a male-to-female ratio of 2:1. The mean cci score was 3.65 ± 1.45. Hypertension, diabetes, and chronic obstructive pulmonary disease were the most frequent comorbidities. During follow-up, 44 patients (23.4%) died. Mortality wa</w:t>
      </w:r>
      <w:r w:rsidR="0081518E">
        <w:rPr>
          <w:rFonts w:ascii="Arial" w:hAnsi="Arial" w:cs="Arial"/>
          <w:sz w:val="20"/>
          <w:szCs w:val="20"/>
          <w:lang w:val="en-US"/>
        </w:rPr>
        <w:t>s</w:t>
      </w:r>
      <w:r w:rsidR="00741468" w:rsidRPr="008009A2">
        <w:rPr>
          <w:rFonts w:ascii="Arial" w:hAnsi="Arial" w:cs="Arial"/>
          <w:sz w:val="20"/>
          <w:szCs w:val="20"/>
          <w:lang w:val="en-US"/>
        </w:rPr>
        <w:t xml:space="preserve"> </w:t>
      </w:r>
      <w:r w:rsidR="0081518E" w:rsidRPr="008009A2">
        <w:rPr>
          <w:rFonts w:ascii="Arial" w:hAnsi="Arial" w:cs="Arial"/>
          <w:sz w:val="20"/>
          <w:szCs w:val="20"/>
          <w:lang w:val="en-US"/>
        </w:rPr>
        <w:t>significantly higher in patients with a cci score above</w:t>
      </w:r>
      <w:r w:rsidR="00741468" w:rsidRPr="008009A2">
        <w:rPr>
          <w:rFonts w:ascii="Arial" w:hAnsi="Arial" w:cs="Arial"/>
          <w:sz w:val="20"/>
          <w:szCs w:val="20"/>
          <w:lang w:val="en-US"/>
        </w:rPr>
        <w:t xml:space="preserve"> 5 (P &lt; 0.001). </w:t>
      </w:r>
      <w:r w:rsidRPr="008009A2">
        <w:rPr>
          <w:rFonts w:ascii="Arial" w:hAnsi="Arial" w:cs="Arial"/>
          <w:sz w:val="20"/>
          <w:szCs w:val="20"/>
          <w:lang w:val="en-US"/>
        </w:rPr>
        <w:t>Mean survival was 6.02 months for the low cci group and 4.38 months for the high cci group.</w:t>
      </w:r>
    </w:p>
    <w:p w14:paraId="69EF36A5" w14:textId="66EE51F9" w:rsidR="007E53E1" w:rsidRPr="008009A2" w:rsidRDefault="008009A2" w:rsidP="00070C14">
      <w:pPr>
        <w:pStyle w:val="NoSpacing"/>
        <w:pBdr>
          <w:top w:val="single" w:sz="4" w:space="1" w:color="auto"/>
          <w:left w:val="single" w:sz="4" w:space="4" w:color="auto"/>
          <w:bottom w:val="single" w:sz="4" w:space="1" w:color="auto"/>
          <w:right w:val="single" w:sz="4" w:space="4" w:color="auto"/>
        </w:pBdr>
        <w:rPr>
          <w:lang w:val="en-US"/>
        </w:rPr>
      </w:pPr>
      <w:r w:rsidRPr="008009A2">
        <w:rPr>
          <w:rStyle w:val="Strong"/>
          <w:rFonts w:ascii="Arial" w:hAnsi="Arial" w:cs="Arial"/>
          <w:sz w:val="20"/>
          <w:szCs w:val="20"/>
          <w:lang w:val="en-US"/>
        </w:rPr>
        <w:t>Conclusion:</w:t>
      </w:r>
      <w:r w:rsidRPr="008009A2">
        <w:rPr>
          <w:rFonts w:ascii="Arial" w:hAnsi="Arial" w:cs="Arial"/>
          <w:sz w:val="20"/>
          <w:szCs w:val="20"/>
          <w:lang w:val="en-US"/>
        </w:rPr>
        <w:t xml:space="preserve"> The </w:t>
      </w:r>
      <w:r w:rsidR="006B115F" w:rsidRPr="006B115F">
        <w:rPr>
          <w:rFonts w:ascii="Arial" w:hAnsi="Arial" w:cs="Arial"/>
          <w:sz w:val="20"/>
          <w:szCs w:val="20"/>
          <w:highlight w:val="green"/>
          <w:lang w:val="en-US"/>
        </w:rPr>
        <w:t>Charlson</w:t>
      </w:r>
      <w:r w:rsidRPr="008009A2">
        <w:rPr>
          <w:rFonts w:ascii="Arial" w:hAnsi="Arial" w:cs="Arial"/>
          <w:sz w:val="20"/>
          <w:szCs w:val="20"/>
          <w:lang w:val="en-US"/>
        </w:rPr>
        <w:t xml:space="preserve"> comorbidity index is a simple and effective tool to predict mortality risk in </w:t>
      </w:r>
      <w:proofErr w:type="spellStart"/>
      <w:r w:rsidR="006B115F" w:rsidRPr="006B115F">
        <w:rPr>
          <w:rFonts w:ascii="Arial" w:hAnsi="Arial" w:cs="Arial"/>
          <w:sz w:val="20"/>
          <w:szCs w:val="20"/>
          <w:highlight w:val="green"/>
          <w:lang w:val="en-US"/>
        </w:rPr>
        <w:t>HFrEF</w:t>
      </w:r>
      <w:proofErr w:type="spellEnd"/>
      <w:r w:rsidR="006B115F" w:rsidRPr="008009A2">
        <w:rPr>
          <w:rFonts w:ascii="Arial" w:hAnsi="Arial" w:cs="Arial"/>
          <w:sz w:val="20"/>
          <w:szCs w:val="20"/>
          <w:lang w:val="en-US"/>
        </w:rPr>
        <w:t xml:space="preserve"> </w:t>
      </w:r>
      <w:r w:rsidRPr="008009A2">
        <w:rPr>
          <w:rFonts w:ascii="Arial" w:hAnsi="Arial" w:cs="Arial"/>
          <w:sz w:val="20"/>
          <w:szCs w:val="20"/>
          <w:lang w:val="en-US"/>
        </w:rPr>
        <w:t>patients. Its use can improve risk stratification and support tailored management, especially in settings with limited resources.</w:t>
      </w:r>
    </w:p>
    <w:p w14:paraId="01F0366F" w14:textId="06039DC9" w:rsidR="00070C14" w:rsidRPr="008009A2" w:rsidRDefault="00741468" w:rsidP="00070C14">
      <w:pPr>
        <w:spacing w:before="100" w:beforeAutospacing="1" w:after="100" w:afterAutospacing="1"/>
        <w:rPr>
          <w:rFonts w:ascii="Arial" w:hAnsi="Arial" w:cs="Arial"/>
          <w:i/>
          <w:iCs/>
          <w:sz w:val="20"/>
          <w:szCs w:val="20"/>
          <w:lang w:val="en-US"/>
        </w:rPr>
      </w:pPr>
      <w:r w:rsidRPr="008009A2">
        <w:rPr>
          <w:rStyle w:val="Strong"/>
          <w:rFonts w:ascii="Arial" w:hAnsi="Arial" w:cs="Arial"/>
          <w:b w:val="0"/>
          <w:bCs w:val="0"/>
          <w:i/>
          <w:iCs/>
          <w:sz w:val="20"/>
          <w:szCs w:val="20"/>
          <w:lang w:val="en-US"/>
        </w:rPr>
        <w:t>Keywords:</w:t>
      </w:r>
      <w:r w:rsidRPr="008009A2">
        <w:rPr>
          <w:rFonts w:ascii="Arial" w:hAnsi="Arial" w:cs="Arial"/>
          <w:b/>
          <w:bCs/>
          <w:i/>
          <w:iCs/>
          <w:sz w:val="20"/>
          <w:szCs w:val="20"/>
          <w:lang w:val="en-US"/>
        </w:rPr>
        <w:t xml:space="preserve"> </w:t>
      </w:r>
      <w:r w:rsidRPr="008009A2">
        <w:rPr>
          <w:rFonts w:ascii="Arial" w:hAnsi="Arial" w:cs="Arial"/>
          <w:i/>
          <w:iCs/>
          <w:sz w:val="20"/>
          <w:szCs w:val="20"/>
          <w:lang w:val="en-US"/>
        </w:rPr>
        <w:t xml:space="preserve"> </w:t>
      </w:r>
      <w:r w:rsidRPr="008009A2">
        <w:rPr>
          <w:rStyle w:val="Strong"/>
          <w:rFonts w:ascii="Arial" w:hAnsi="Arial" w:cs="Arial"/>
          <w:b w:val="0"/>
          <w:bCs w:val="0"/>
          <w:i/>
          <w:iCs/>
          <w:sz w:val="20"/>
          <w:szCs w:val="20"/>
          <w:lang w:val="en-US"/>
        </w:rPr>
        <w:t>Heart failure, Comorbidity,</w:t>
      </w:r>
      <w:r w:rsidRPr="008009A2">
        <w:rPr>
          <w:rFonts w:ascii="Arial" w:hAnsi="Arial" w:cs="Arial"/>
          <w:i/>
          <w:iCs/>
          <w:sz w:val="20"/>
          <w:szCs w:val="20"/>
          <w:lang w:val="en-US"/>
        </w:rPr>
        <w:t xml:space="preserve"> Charlson Comorbidity Index,</w:t>
      </w:r>
      <w:r w:rsidRPr="008009A2">
        <w:rPr>
          <w:rStyle w:val="Strong"/>
          <w:rFonts w:ascii="Arial" w:hAnsi="Arial" w:cs="Arial"/>
          <w:b w:val="0"/>
          <w:bCs w:val="0"/>
          <w:i/>
          <w:iCs/>
          <w:sz w:val="20"/>
          <w:szCs w:val="20"/>
          <w:lang w:val="en-US"/>
        </w:rPr>
        <w:t xml:space="preserve"> Mortality, Risk assessment, Prognostic models, Observational studies</w:t>
      </w:r>
    </w:p>
    <w:p w14:paraId="502C61E4" w14:textId="688B0376" w:rsidR="00522DDB" w:rsidRPr="00741468" w:rsidRDefault="00741468" w:rsidP="000A3FC2">
      <w:pPr>
        <w:spacing w:before="100" w:beforeAutospacing="1" w:after="100" w:afterAutospacing="1"/>
        <w:rPr>
          <w:rFonts w:ascii="Arial" w:hAnsi="Arial" w:cs="Arial"/>
          <w:b/>
          <w:bCs/>
          <w:sz w:val="22"/>
          <w:szCs w:val="22"/>
          <w:lang w:val="en-US"/>
        </w:rPr>
      </w:pPr>
      <w:proofErr w:type="gramStart"/>
      <w:r w:rsidRPr="00741468">
        <w:rPr>
          <w:rFonts w:ascii="Arial" w:hAnsi="Arial" w:cs="Arial"/>
          <w:b/>
          <w:bCs/>
          <w:sz w:val="22"/>
          <w:szCs w:val="22"/>
          <w:lang w:val="en-US"/>
        </w:rPr>
        <w:t>INTRODUCTION :</w:t>
      </w:r>
      <w:proofErr w:type="gramEnd"/>
    </w:p>
    <w:p w14:paraId="35D7CCAF" w14:textId="6827C175" w:rsidR="00522DDB" w:rsidRPr="00741468" w:rsidRDefault="00522DDB" w:rsidP="00741468">
      <w:pPr>
        <w:pStyle w:val="NoSpacing"/>
        <w:rPr>
          <w:rFonts w:ascii="Arial" w:hAnsi="Arial" w:cs="Arial"/>
          <w:sz w:val="20"/>
          <w:szCs w:val="20"/>
          <w:lang w:val="en-US"/>
        </w:rPr>
      </w:pPr>
      <w:r w:rsidRPr="00741468">
        <w:rPr>
          <w:rFonts w:ascii="Arial" w:hAnsi="Arial" w:cs="Arial"/>
          <w:sz w:val="20"/>
          <w:szCs w:val="20"/>
          <w:lang w:val="en-US"/>
        </w:rPr>
        <w:t>Heart failure with reduced ejection fraction is a major global health problem with high morbidity and mortality despite treatment advances. It affects over 64 million people worldwide, representing nearly half of all heart failure cases [1]. Risk stratification remains difficult due to patient heterogeneity [2,3].</w:t>
      </w:r>
    </w:p>
    <w:p w14:paraId="32D427FF" w14:textId="77777777" w:rsidR="00522DDB" w:rsidRPr="00741468" w:rsidRDefault="00522DDB" w:rsidP="00741468">
      <w:pPr>
        <w:pStyle w:val="NoSpacing"/>
        <w:rPr>
          <w:rFonts w:ascii="Arial" w:hAnsi="Arial" w:cs="Arial"/>
          <w:sz w:val="20"/>
          <w:szCs w:val="20"/>
          <w:lang w:val="en-US"/>
        </w:rPr>
      </w:pPr>
      <w:r w:rsidRPr="00741468">
        <w:rPr>
          <w:rFonts w:ascii="Arial" w:hAnsi="Arial" w:cs="Arial"/>
          <w:sz w:val="20"/>
          <w:szCs w:val="20"/>
          <w:lang w:val="en-US"/>
        </w:rPr>
        <w:t xml:space="preserve">Non-cardiac comorbidities significantly worsen prognosis in </w:t>
      </w:r>
      <w:proofErr w:type="spellStart"/>
      <w:r w:rsidRPr="00741468">
        <w:rPr>
          <w:rFonts w:ascii="Arial" w:hAnsi="Arial" w:cs="Arial"/>
          <w:sz w:val="20"/>
          <w:szCs w:val="20"/>
          <w:lang w:val="en-US"/>
        </w:rPr>
        <w:t>HFrEF</w:t>
      </w:r>
      <w:proofErr w:type="spellEnd"/>
      <w:r w:rsidRPr="00741468">
        <w:rPr>
          <w:rFonts w:ascii="Arial" w:hAnsi="Arial" w:cs="Arial"/>
          <w:sz w:val="20"/>
          <w:szCs w:val="20"/>
          <w:lang w:val="en-US"/>
        </w:rPr>
        <w:t>. Patients often have multiple chronic diseases like hypertension, diabetes, or COPD that impact outcomes and limit therapies [4,5]. Evaluating these conditions individually may underestimate their combined effect.</w:t>
      </w:r>
    </w:p>
    <w:p w14:paraId="100F33FC" w14:textId="3CC36A37" w:rsidR="00522DDB" w:rsidRPr="00741468" w:rsidRDefault="00522DDB" w:rsidP="00741468">
      <w:pPr>
        <w:pStyle w:val="NoSpacing"/>
        <w:rPr>
          <w:rFonts w:ascii="Arial" w:hAnsi="Arial" w:cs="Arial"/>
          <w:sz w:val="20"/>
          <w:szCs w:val="20"/>
          <w:lang w:val="en-US"/>
        </w:rPr>
      </w:pPr>
      <w:r w:rsidRPr="00741468">
        <w:rPr>
          <w:rFonts w:ascii="Arial" w:hAnsi="Arial" w:cs="Arial"/>
          <w:sz w:val="20"/>
          <w:szCs w:val="20"/>
          <w:lang w:val="en-US"/>
        </w:rPr>
        <w:t>The Charlson Comorbidity Index offers a simple, clinically based score summarizing 19 chronic conditions to predict mortality [6]. Its ease of use is valuable, especially in low-resource settings lacking advanced tools.</w:t>
      </w:r>
    </w:p>
    <w:p w14:paraId="324A15ED" w14:textId="77777777" w:rsidR="00522DDB" w:rsidRPr="00741468" w:rsidRDefault="00522DDB" w:rsidP="00741468">
      <w:pPr>
        <w:pStyle w:val="NoSpacing"/>
        <w:rPr>
          <w:rFonts w:ascii="Arial" w:hAnsi="Arial" w:cs="Arial"/>
          <w:sz w:val="20"/>
          <w:szCs w:val="20"/>
          <w:lang w:val="en-US"/>
        </w:rPr>
      </w:pPr>
      <w:r w:rsidRPr="00741468">
        <w:rPr>
          <w:rFonts w:ascii="Arial" w:hAnsi="Arial" w:cs="Arial"/>
          <w:sz w:val="20"/>
          <w:szCs w:val="20"/>
          <w:lang w:val="en-US"/>
        </w:rPr>
        <w:t>Recent studies link higher CCI scores to worse outcomes in heart failure, but most data come from Asia, with limited evidence in North Africa. Regional differences highlight the need to validate the CCI locally.</w:t>
      </w:r>
    </w:p>
    <w:p w14:paraId="51B441E4" w14:textId="4FE4AD20" w:rsidR="00522DDB" w:rsidRDefault="00522DDB" w:rsidP="005668FD">
      <w:pPr>
        <w:pStyle w:val="NoSpacing"/>
        <w:rPr>
          <w:rFonts w:ascii="Arial" w:hAnsi="Arial" w:cs="Arial"/>
          <w:sz w:val="20"/>
          <w:szCs w:val="20"/>
          <w:lang w:val="en-US"/>
        </w:rPr>
      </w:pPr>
      <w:r w:rsidRPr="00741468">
        <w:rPr>
          <w:rFonts w:ascii="Arial" w:hAnsi="Arial" w:cs="Arial"/>
          <w:sz w:val="20"/>
          <w:szCs w:val="20"/>
          <w:lang w:val="en-US"/>
        </w:rPr>
        <w:t xml:space="preserve">This study assesses the CCI’s prognostic value for all-cause mortality in Moroccan patients with </w:t>
      </w:r>
      <w:proofErr w:type="spellStart"/>
      <w:r w:rsidRPr="00741468">
        <w:rPr>
          <w:rFonts w:ascii="Arial" w:hAnsi="Arial" w:cs="Arial"/>
          <w:sz w:val="20"/>
          <w:szCs w:val="20"/>
          <w:lang w:val="en-US"/>
        </w:rPr>
        <w:t>HFrEF</w:t>
      </w:r>
      <w:proofErr w:type="spellEnd"/>
      <w:r w:rsidRPr="00741468">
        <w:rPr>
          <w:rFonts w:ascii="Arial" w:hAnsi="Arial" w:cs="Arial"/>
          <w:sz w:val="20"/>
          <w:szCs w:val="20"/>
          <w:lang w:val="en-US"/>
        </w:rPr>
        <w:t>, hypothesizing that higher scores predict increased mortality and shorter survival, supporting its clinical use.</w:t>
      </w:r>
    </w:p>
    <w:p w14:paraId="601042B3" w14:textId="77777777" w:rsidR="00070C14" w:rsidRPr="005668FD" w:rsidRDefault="00070C14" w:rsidP="005668FD">
      <w:pPr>
        <w:pStyle w:val="NoSpacing"/>
        <w:rPr>
          <w:rFonts w:ascii="Arial" w:hAnsi="Arial" w:cs="Arial"/>
          <w:sz w:val="20"/>
          <w:szCs w:val="20"/>
          <w:lang w:val="en-US"/>
        </w:rPr>
      </w:pPr>
    </w:p>
    <w:p w14:paraId="55D00573" w14:textId="3633D231" w:rsidR="00741468" w:rsidRPr="00AE205E" w:rsidRDefault="00741468" w:rsidP="005514DB">
      <w:pPr>
        <w:spacing w:before="100" w:beforeAutospacing="1" w:after="100" w:afterAutospacing="1"/>
        <w:rPr>
          <w:rFonts w:ascii="Arial" w:hAnsi="Arial" w:cs="Arial"/>
          <w:b/>
          <w:bCs/>
          <w:sz w:val="22"/>
          <w:szCs w:val="22"/>
          <w:lang w:val="en-US"/>
        </w:rPr>
      </w:pPr>
      <w:r w:rsidRPr="00AE205E">
        <w:rPr>
          <w:rFonts w:ascii="Arial" w:hAnsi="Arial" w:cs="Arial"/>
          <w:b/>
          <w:bCs/>
          <w:sz w:val="22"/>
          <w:szCs w:val="22"/>
          <w:lang w:val="en-US"/>
        </w:rPr>
        <w:t xml:space="preserve">MATERIAL AND METHODS </w:t>
      </w:r>
    </w:p>
    <w:p w14:paraId="4537DCC8" w14:textId="77777777" w:rsidR="005D283C" w:rsidRDefault="00750C59" w:rsidP="005D283C">
      <w:pPr>
        <w:spacing w:before="100" w:beforeAutospacing="1" w:after="100" w:afterAutospacing="1"/>
        <w:rPr>
          <w:rStyle w:val="Strong"/>
          <w:rFonts w:ascii="Arial" w:hAnsi="Arial" w:cs="Arial"/>
          <w:sz w:val="22"/>
          <w:szCs w:val="22"/>
          <w:lang w:val="en-US"/>
        </w:rPr>
      </w:pPr>
      <w:r w:rsidRPr="00921B09">
        <w:rPr>
          <w:rStyle w:val="Strong"/>
          <w:rFonts w:ascii="Arial" w:hAnsi="Arial" w:cs="Arial"/>
          <w:sz w:val="22"/>
          <w:szCs w:val="22"/>
          <w:lang w:val="en-US"/>
        </w:rPr>
        <w:lastRenderedPageBreak/>
        <w:t>Study Design and Setting</w:t>
      </w:r>
    </w:p>
    <w:p w14:paraId="13264869" w14:textId="2812B027" w:rsidR="005514DB" w:rsidRPr="005D283C" w:rsidRDefault="00750C59" w:rsidP="005D283C">
      <w:pPr>
        <w:spacing w:before="100" w:beforeAutospacing="1" w:after="100" w:afterAutospacing="1"/>
        <w:rPr>
          <w:rFonts w:ascii="Arial" w:hAnsi="Arial" w:cs="Arial"/>
          <w:b/>
          <w:bCs/>
          <w:sz w:val="22"/>
          <w:szCs w:val="22"/>
          <w:lang w:val="en-US"/>
        </w:rPr>
      </w:pPr>
      <w:r w:rsidRPr="0083763C">
        <w:rPr>
          <w:rFonts w:ascii="Arial" w:hAnsi="Arial" w:cs="Arial"/>
          <w:lang w:val="en-US"/>
        </w:rPr>
        <w:br/>
      </w:r>
      <w:r w:rsidR="005514DB" w:rsidRPr="00921B09">
        <w:rPr>
          <w:rFonts w:ascii="Arial" w:eastAsia="Times New Roman" w:hAnsi="Arial" w:cs="Arial"/>
          <w:sz w:val="20"/>
          <w:szCs w:val="20"/>
          <w:lang w:val="en-US"/>
        </w:rPr>
        <w:t>This prospective, single-center observational study was conducted at th</w:t>
      </w:r>
      <w:r w:rsidR="00666267" w:rsidRPr="00921B09">
        <w:rPr>
          <w:rFonts w:ascii="Arial" w:eastAsia="Times New Roman" w:hAnsi="Arial" w:cs="Arial"/>
          <w:sz w:val="20"/>
          <w:szCs w:val="20"/>
          <w:lang w:val="en-US"/>
        </w:rPr>
        <w:t>e therapeutic heart failure</w:t>
      </w:r>
      <w:r w:rsidR="005514DB" w:rsidRPr="00921B09">
        <w:rPr>
          <w:rFonts w:ascii="Arial" w:eastAsia="Times New Roman" w:hAnsi="Arial" w:cs="Arial"/>
          <w:sz w:val="20"/>
          <w:szCs w:val="20"/>
          <w:lang w:val="en-US"/>
        </w:rPr>
        <w:t xml:space="preserve"> within the cardiology department at Ibn </w:t>
      </w:r>
      <w:proofErr w:type="spellStart"/>
      <w:r w:rsidR="005514DB" w:rsidRPr="00921B09">
        <w:rPr>
          <w:rFonts w:ascii="Arial" w:eastAsia="Times New Roman" w:hAnsi="Arial" w:cs="Arial"/>
          <w:sz w:val="20"/>
          <w:szCs w:val="20"/>
          <w:lang w:val="en-US"/>
        </w:rPr>
        <w:t>Rochd</w:t>
      </w:r>
      <w:proofErr w:type="spellEnd"/>
      <w:r w:rsidR="005514DB" w:rsidRPr="00921B09">
        <w:rPr>
          <w:rFonts w:ascii="Arial" w:eastAsia="Times New Roman" w:hAnsi="Arial" w:cs="Arial"/>
          <w:sz w:val="20"/>
          <w:szCs w:val="20"/>
          <w:lang w:val="en-US"/>
        </w:rPr>
        <w:t xml:space="preserve"> Hospital, Casablanca, Morocco. Data collection spanned an 8-month period from March 2022 to October 2022. The hospital serves a diverse urban and suburban population, providing a relevant clinical setting for assessing heart failure outcomes in a North African context.</w:t>
      </w:r>
    </w:p>
    <w:p w14:paraId="33E116EC" w14:textId="77777777" w:rsidR="00750C59" w:rsidRDefault="00750C59" w:rsidP="00750C59">
      <w:pPr>
        <w:pStyle w:val="NoSpacing"/>
        <w:rPr>
          <w:rFonts w:ascii="Arial" w:hAnsi="Arial" w:cs="Arial"/>
          <w:b/>
          <w:bCs/>
          <w:sz w:val="22"/>
          <w:szCs w:val="22"/>
          <w:lang w:val="en-US" w:eastAsia="fr-FR"/>
        </w:rPr>
      </w:pPr>
      <w:r w:rsidRPr="0083763C">
        <w:rPr>
          <w:rFonts w:ascii="Arial" w:hAnsi="Arial" w:cs="Arial"/>
          <w:b/>
          <w:bCs/>
          <w:sz w:val="22"/>
          <w:szCs w:val="22"/>
          <w:lang w:val="en-US" w:eastAsia="fr-FR"/>
        </w:rPr>
        <w:t>Study Population</w:t>
      </w:r>
    </w:p>
    <w:p w14:paraId="6DAA21CB" w14:textId="77777777" w:rsidR="005D283C" w:rsidRPr="0083763C" w:rsidRDefault="005D283C" w:rsidP="00750C59">
      <w:pPr>
        <w:pStyle w:val="NoSpacing"/>
        <w:rPr>
          <w:rFonts w:ascii="Arial" w:hAnsi="Arial" w:cs="Arial"/>
          <w:b/>
          <w:bCs/>
          <w:sz w:val="22"/>
          <w:szCs w:val="22"/>
          <w:lang w:val="en-US" w:eastAsia="fr-FR"/>
        </w:rPr>
      </w:pPr>
    </w:p>
    <w:p w14:paraId="2E8EB5CC" w14:textId="6FFC8143" w:rsidR="00750C59" w:rsidRDefault="005514DB" w:rsidP="005514DB">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Eligible participants were adult patients (≥18 years) admitted with a confirmed diagnosis of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 defined as a left ventricular ejection fraction below 40% on echocardiography. Patients presenting with acute coronary syndromes, recent myocardial infarction (within the past 30 days), or other severe systemic illnesses that could confound the study outcomes were excluded. Informed consent was obtained from all participants prior to enrollment.</w:t>
      </w:r>
    </w:p>
    <w:p w14:paraId="2891BA9C" w14:textId="77777777" w:rsidR="00EE6E56" w:rsidRPr="00921B09" w:rsidRDefault="00EE6E56" w:rsidP="005514DB">
      <w:pPr>
        <w:rPr>
          <w:rFonts w:ascii="Arial" w:eastAsia="Times New Roman" w:hAnsi="Arial" w:cs="Arial"/>
          <w:sz w:val="20"/>
          <w:szCs w:val="20"/>
          <w:lang w:val="en-US"/>
        </w:rPr>
      </w:pPr>
    </w:p>
    <w:p w14:paraId="79B0BA3A" w14:textId="77777777" w:rsidR="00EE6E56" w:rsidRDefault="00750C59" w:rsidP="00666267">
      <w:pPr>
        <w:rPr>
          <w:rStyle w:val="Strong"/>
          <w:rFonts w:ascii="Arial" w:hAnsi="Arial" w:cs="Arial"/>
          <w:sz w:val="22"/>
          <w:szCs w:val="22"/>
          <w:lang w:val="en-US"/>
        </w:rPr>
      </w:pPr>
      <w:r w:rsidRPr="00921B09">
        <w:rPr>
          <w:rStyle w:val="Strong"/>
          <w:rFonts w:ascii="Arial" w:hAnsi="Arial" w:cs="Arial"/>
          <w:sz w:val="22"/>
          <w:szCs w:val="22"/>
          <w:lang w:val="en-US"/>
        </w:rPr>
        <w:t>Data Collection</w:t>
      </w:r>
    </w:p>
    <w:p w14:paraId="39ED77C6" w14:textId="0BE52ED2" w:rsidR="00666267" w:rsidRPr="00921B09" w:rsidRDefault="00750C59" w:rsidP="00666267">
      <w:pPr>
        <w:rPr>
          <w:rFonts w:ascii="Arial" w:hAnsi="Arial" w:cs="Arial"/>
          <w:sz w:val="20"/>
          <w:szCs w:val="20"/>
          <w:lang w:val="en-US"/>
        </w:rPr>
      </w:pPr>
      <w:r w:rsidRPr="00921B09">
        <w:rPr>
          <w:rFonts w:ascii="Arial" w:hAnsi="Arial" w:cs="Arial"/>
          <w:sz w:val="22"/>
          <w:szCs w:val="22"/>
          <w:lang w:val="en-US"/>
        </w:rPr>
        <w:br/>
      </w:r>
      <w:r w:rsidRPr="00921B09">
        <w:rPr>
          <w:rFonts w:ascii="Arial" w:hAnsi="Arial" w:cs="Arial"/>
          <w:sz w:val="20"/>
          <w:szCs w:val="20"/>
          <w:lang w:val="en-US"/>
        </w:rPr>
        <w:t xml:space="preserve">Upon admission, data were collected on patient demographics, clinical characteristics, and comorbidities. </w:t>
      </w:r>
    </w:p>
    <w:p w14:paraId="6C7775EC" w14:textId="77777777" w:rsidR="005668FD" w:rsidRDefault="00666267" w:rsidP="005668FD">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Comorbidities were quantified using the Charlson Comorbidity Index, which assigns weighted scores (ranging from 1 to 6) to 19 predefined medical conditions, such as diabetes, chronic pulmonary disease, renal failure, or malignancies, based on their associated risk of mortality. The individual scores for each condition are summed to yield a total comorbidity score for each patient. This cumulative score reflects the overall burden of comorbid illness and has been shown to correlate with survival in patients with chronic conditions such as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w:t>
      </w:r>
    </w:p>
    <w:p w14:paraId="0F62A07B" w14:textId="3DF3DFFC" w:rsidR="005514DB" w:rsidRPr="005668FD" w:rsidRDefault="00750C59" w:rsidP="005668FD">
      <w:pPr>
        <w:rPr>
          <w:rFonts w:ascii="Arial" w:eastAsia="Times New Roman" w:hAnsi="Arial" w:cs="Arial"/>
          <w:sz w:val="20"/>
          <w:szCs w:val="20"/>
          <w:lang w:val="en-US"/>
        </w:rPr>
      </w:pPr>
      <w:r w:rsidRPr="00921B09">
        <w:rPr>
          <w:rStyle w:val="Strong"/>
          <w:rFonts w:ascii="Arial" w:hAnsi="Arial" w:cs="Arial"/>
          <w:sz w:val="22"/>
          <w:szCs w:val="22"/>
          <w:lang w:val="en-US"/>
        </w:rPr>
        <w:t>Statistical Analysis</w:t>
      </w:r>
      <w:r w:rsidRPr="0083763C">
        <w:rPr>
          <w:rFonts w:ascii="Arial" w:hAnsi="Arial" w:cs="Arial"/>
          <w:lang w:val="en-US"/>
        </w:rPr>
        <w:br/>
      </w:r>
      <w:r w:rsidR="005514DB" w:rsidRPr="00921B09">
        <w:rPr>
          <w:rFonts w:ascii="Arial" w:eastAsia="Times New Roman" w:hAnsi="Arial" w:cs="Arial"/>
          <w:sz w:val="20"/>
          <w:szCs w:val="20"/>
          <w:lang w:val="en-US"/>
        </w:rPr>
        <w:t>Data were analyzed using SPSS version 23.0. Patients were dichotomized into two groups based on their CCI score: low comorbidity burden (CCI ≤ 5) and high comorbidity burden (CCI &gt; 5). Continuous variables were expressed as means ± standard deviations, and categorical variables as frequencies and percentages. Survival differences between groups were assessed using Kaplan-Meier survival analysis and compared with the Log-rank test. A p-value &lt; 0.05 was considered statistically significant.</w:t>
      </w:r>
    </w:p>
    <w:p w14:paraId="5A0E94F8" w14:textId="77777777" w:rsidR="00750C59" w:rsidRPr="00551C54" w:rsidRDefault="00750C59" w:rsidP="00612CC0">
      <w:pPr>
        <w:pStyle w:val="NoSpacing"/>
        <w:rPr>
          <w:rStyle w:val="Strong"/>
          <w:rFonts w:asciiTheme="minorBidi" w:eastAsia="Times New Roman" w:hAnsiTheme="minorBidi"/>
          <w:lang w:val="en-US"/>
        </w:rPr>
      </w:pPr>
    </w:p>
    <w:p w14:paraId="75551820" w14:textId="1A452F88" w:rsidR="00823D81" w:rsidRPr="00921B09" w:rsidRDefault="00921B09" w:rsidP="00612CC0">
      <w:pPr>
        <w:pStyle w:val="NoSpacing"/>
        <w:rPr>
          <w:rStyle w:val="Strong"/>
          <w:rFonts w:ascii="Arial" w:eastAsia="Times New Roman" w:hAnsi="Arial" w:cs="Arial"/>
          <w:sz w:val="22"/>
          <w:szCs w:val="22"/>
          <w:lang w:val="en-US"/>
        </w:rPr>
      </w:pPr>
      <w:r w:rsidRPr="00921B09">
        <w:rPr>
          <w:rStyle w:val="Strong"/>
          <w:rFonts w:ascii="Arial" w:eastAsia="Times New Roman" w:hAnsi="Arial" w:cs="Arial"/>
          <w:sz w:val="22"/>
          <w:szCs w:val="22"/>
          <w:lang w:val="en-US"/>
        </w:rPr>
        <w:t>RESULTS</w:t>
      </w:r>
    </w:p>
    <w:p w14:paraId="7C75CB4D" w14:textId="77777777" w:rsidR="00750C59" w:rsidRPr="00551C54" w:rsidRDefault="00750C59" w:rsidP="00612CC0">
      <w:pPr>
        <w:pStyle w:val="NoSpacing"/>
        <w:rPr>
          <w:rFonts w:asciiTheme="minorBidi" w:hAnsiTheme="minorBidi"/>
          <w:lang w:val="en-US"/>
        </w:rPr>
      </w:pPr>
    </w:p>
    <w:p w14:paraId="5C8B694D" w14:textId="4E262273" w:rsidR="00823D81" w:rsidRDefault="00823D81" w:rsidP="00612CC0">
      <w:pPr>
        <w:pStyle w:val="NoSpacing"/>
        <w:rPr>
          <w:rStyle w:val="Strong"/>
          <w:rFonts w:ascii="Arial" w:eastAsia="Times New Roman" w:hAnsi="Arial" w:cs="Arial"/>
          <w:sz w:val="22"/>
          <w:szCs w:val="22"/>
          <w:lang w:val="en-US"/>
        </w:rPr>
      </w:pPr>
      <w:r w:rsidRPr="00921B09">
        <w:rPr>
          <w:rStyle w:val="Strong"/>
          <w:rFonts w:ascii="Arial" w:eastAsia="Times New Roman" w:hAnsi="Arial" w:cs="Arial"/>
          <w:sz w:val="22"/>
          <w:szCs w:val="22"/>
          <w:lang w:val="en-US"/>
        </w:rPr>
        <w:t xml:space="preserve">Patient </w:t>
      </w:r>
      <w:r w:rsidR="00275C07">
        <w:rPr>
          <w:rStyle w:val="Strong"/>
          <w:rFonts w:ascii="Arial" w:eastAsia="Times New Roman" w:hAnsi="Arial" w:cs="Arial"/>
          <w:sz w:val="22"/>
          <w:szCs w:val="22"/>
          <w:lang w:val="en-US"/>
        </w:rPr>
        <w:t>c</w:t>
      </w:r>
      <w:r w:rsidRPr="00921B09">
        <w:rPr>
          <w:rStyle w:val="Strong"/>
          <w:rFonts w:ascii="Arial" w:eastAsia="Times New Roman" w:hAnsi="Arial" w:cs="Arial"/>
          <w:sz w:val="22"/>
          <w:szCs w:val="22"/>
          <w:lang w:val="en-US"/>
        </w:rPr>
        <w:t>haracteristics</w:t>
      </w:r>
    </w:p>
    <w:p w14:paraId="75FAB520" w14:textId="77777777" w:rsidR="00EE6E56" w:rsidRPr="00921B09" w:rsidRDefault="00EE6E56" w:rsidP="00612CC0">
      <w:pPr>
        <w:pStyle w:val="NoSpacing"/>
        <w:rPr>
          <w:rFonts w:ascii="Arial" w:hAnsi="Arial" w:cs="Arial"/>
          <w:sz w:val="22"/>
          <w:szCs w:val="22"/>
          <w:lang w:val="en-US"/>
        </w:rPr>
      </w:pPr>
    </w:p>
    <w:p w14:paraId="55C25991" w14:textId="6311ECE6" w:rsidR="00612CC0" w:rsidRDefault="005514DB" w:rsidP="0089473D">
      <w:pPr>
        <w:rPr>
          <w:rFonts w:ascii="Arial" w:eastAsia="Times New Roman" w:hAnsi="Arial" w:cs="Arial"/>
          <w:lang w:val="en-US"/>
        </w:rPr>
      </w:pPr>
      <w:r w:rsidRPr="00921B09">
        <w:rPr>
          <w:rFonts w:ascii="Arial" w:eastAsia="Times New Roman" w:hAnsi="Arial" w:cs="Arial"/>
          <w:sz w:val="20"/>
          <w:szCs w:val="20"/>
          <w:lang w:val="en-US"/>
        </w:rPr>
        <w:t xml:space="preserve">A total of 188 patients met inclusion criteria and were enrolled. The mean age of the cohort was 63 ± 12 years, with a predominance of male patients (male-to-female ratio approximately 2:1). </w:t>
      </w:r>
      <w:r w:rsidR="00190443" w:rsidRPr="00921B09">
        <w:rPr>
          <w:rFonts w:ascii="Arial" w:hAnsi="Arial" w:cs="Arial"/>
          <w:sz w:val="20"/>
          <w:szCs w:val="20"/>
          <w:lang w:val="en-US"/>
        </w:rPr>
        <w:t>corresponding to 125 men (66.5%) and 63 women (33.5%).</w:t>
      </w:r>
      <w:r w:rsidR="006B115F">
        <w:rPr>
          <w:rFonts w:ascii="Arial" w:hAnsi="Arial" w:cs="Arial"/>
          <w:sz w:val="20"/>
          <w:szCs w:val="20"/>
          <w:lang w:val="en-US"/>
        </w:rPr>
        <w:t xml:space="preserve"> </w:t>
      </w:r>
      <w:r w:rsidRPr="00921B09">
        <w:rPr>
          <w:rFonts w:ascii="Arial" w:eastAsia="Times New Roman" w:hAnsi="Arial" w:cs="Arial"/>
          <w:sz w:val="20"/>
          <w:szCs w:val="20"/>
          <w:lang w:val="en-US"/>
        </w:rPr>
        <w:t>The</w:t>
      </w:r>
      <w:r w:rsidR="006B115F">
        <w:rPr>
          <w:rFonts w:ascii="Arial" w:eastAsia="Times New Roman" w:hAnsi="Arial" w:cs="Arial"/>
          <w:sz w:val="20"/>
          <w:szCs w:val="20"/>
          <w:lang w:val="en-US"/>
        </w:rPr>
        <w:t xml:space="preserve"> </w:t>
      </w:r>
      <w:r w:rsidRPr="00921B09">
        <w:rPr>
          <w:rFonts w:ascii="Arial" w:eastAsia="Times New Roman" w:hAnsi="Arial" w:cs="Arial"/>
          <w:sz w:val="20"/>
          <w:szCs w:val="20"/>
          <w:lang w:val="en-US"/>
        </w:rPr>
        <w:t>average CCI score was 3.65 ± 1.45, with a range of 1 to 8, indicating a variable but generally moderate comorbidity burden among participants</w:t>
      </w:r>
      <w:r w:rsidRPr="00921B09">
        <w:rPr>
          <w:rFonts w:ascii="Arial" w:eastAsia="Times New Roman" w:hAnsi="Arial" w:cs="Arial"/>
          <w:lang w:val="en-US"/>
        </w:rPr>
        <w:t>.</w:t>
      </w:r>
    </w:p>
    <w:p w14:paraId="57220B13" w14:textId="77777777" w:rsidR="00EE6E56" w:rsidRPr="0089473D" w:rsidRDefault="00EE6E56" w:rsidP="0089473D">
      <w:pPr>
        <w:rPr>
          <w:rFonts w:ascii="Arial" w:eastAsia="Times New Roman" w:hAnsi="Arial" w:cs="Arial"/>
          <w:lang w:val="en-US"/>
        </w:rPr>
      </w:pPr>
    </w:p>
    <w:p w14:paraId="018304E8" w14:textId="77777777" w:rsidR="00823D81" w:rsidRDefault="00823D81" w:rsidP="00612CC0">
      <w:pPr>
        <w:pStyle w:val="NoSpacing"/>
        <w:rPr>
          <w:rStyle w:val="Strong"/>
          <w:rFonts w:ascii="Arial" w:eastAsia="Times New Roman" w:hAnsi="Arial" w:cs="Arial"/>
          <w:sz w:val="22"/>
          <w:szCs w:val="22"/>
          <w:lang w:val="en-US"/>
        </w:rPr>
      </w:pPr>
      <w:r w:rsidRPr="00921B09">
        <w:rPr>
          <w:rStyle w:val="Strong"/>
          <w:rFonts w:ascii="Arial" w:eastAsia="Times New Roman" w:hAnsi="Arial" w:cs="Arial"/>
          <w:sz w:val="22"/>
          <w:szCs w:val="22"/>
          <w:lang w:val="en-US"/>
        </w:rPr>
        <w:t>Comorbidities</w:t>
      </w:r>
    </w:p>
    <w:p w14:paraId="2E037EBE" w14:textId="77777777" w:rsidR="00EE6E56" w:rsidRPr="00921B09" w:rsidRDefault="00EE6E56" w:rsidP="00612CC0">
      <w:pPr>
        <w:pStyle w:val="NoSpacing"/>
        <w:rPr>
          <w:rFonts w:ascii="Arial" w:hAnsi="Arial" w:cs="Arial"/>
          <w:sz w:val="22"/>
          <w:szCs w:val="22"/>
          <w:lang w:val="en-US"/>
        </w:rPr>
      </w:pPr>
    </w:p>
    <w:p w14:paraId="5A67E560" w14:textId="278F1B91" w:rsidR="00750C59" w:rsidRDefault="005514DB" w:rsidP="0089473D">
      <w:pPr>
        <w:rPr>
          <w:rFonts w:ascii="Arial" w:eastAsia="Times New Roman" w:hAnsi="Arial" w:cs="Arial"/>
          <w:sz w:val="20"/>
          <w:szCs w:val="20"/>
          <w:lang w:val="en-US"/>
        </w:rPr>
      </w:pPr>
      <w:r w:rsidRPr="00921B09">
        <w:rPr>
          <w:rFonts w:ascii="Arial" w:eastAsia="Times New Roman" w:hAnsi="Arial" w:cs="Arial"/>
          <w:sz w:val="20"/>
          <w:szCs w:val="20"/>
          <w:lang w:val="en-US"/>
        </w:rPr>
        <w:t>Hypertension was the most frequently observed comorbidity (33.5%), followed by diabetes mellitus (30.3%) and chronic obstructive pulmonary disease (11.7%). Each comorbidity was analyzed for its association with mortality risk; however, none reached statistical significance individually (hypertension p=0.42, diabetes p=0.89, COPD p=0.9), underscoring the importance of cumulative comorbidity assessment rather than isolated conditions.</w:t>
      </w:r>
    </w:p>
    <w:p w14:paraId="500FBFC1" w14:textId="77777777" w:rsidR="00EE6E56" w:rsidRPr="0089473D" w:rsidRDefault="00EE6E56" w:rsidP="0089473D">
      <w:pPr>
        <w:rPr>
          <w:rFonts w:ascii="Arial" w:eastAsia="Times New Roman" w:hAnsi="Arial" w:cs="Arial"/>
          <w:sz w:val="20"/>
          <w:szCs w:val="20"/>
          <w:lang w:val="en-US"/>
        </w:rPr>
      </w:pPr>
    </w:p>
    <w:p w14:paraId="6DA7BA5A" w14:textId="1044D879" w:rsidR="00823D81" w:rsidRDefault="00275C07" w:rsidP="00612CC0">
      <w:pPr>
        <w:pStyle w:val="NoSpacing"/>
        <w:rPr>
          <w:rStyle w:val="Strong"/>
          <w:rFonts w:ascii="Arial" w:eastAsia="Times New Roman" w:hAnsi="Arial" w:cs="Arial"/>
          <w:sz w:val="22"/>
          <w:szCs w:val="22"/>
          <w:lang w:val="en-US"/>
        </w:rPr>
      </w:pPr>
      <w:r>
        <w:rPr>
          <w:rStyle w:val="Strong"/>
          <w:rFonts w:ascii="Arial" w:eastAsia="Times New Roman" w:hAnsi="Arial" w:cs="Arial"/>
          <w:sz w:val="22"/>
          <w:szCs w:val="22"/>
          <w:lang w:val="en-US"/>
        </w:rPr>
        <w:t>Mortality and survival a</w:t>
      </w:r>
      <w:r w:rsidR="00823D81" w:rsidRPr="00921B09">
        <w:rPr>
          <w:rStyle w:val="Strong"/>
          <w:rFonts w:ascii="Arial" w:eastAsia="Times New Roman" w:hAnsi="Arial" w:cs="Arial"/>
          <w:sz w:val="22"/>
          <w:szCs w:val="22"/>
          <w:lang w:val="en-US"/>
        </w:rPr>
        <w:t>nalysis</w:t>
      </w:r>
    </w:p>
    <w:p w14:paraId="073C1F84" w14:textId="77777777" w:rsidR="00EE6E56" w:rsidRPr="00921B09" w:rsidRDefault="00EE6E56" w:rsidP="00612CC0">
      <w:pPr>
        <w:pStyle w:val="NoSpacing"/>
        <w:rPr>
          <w:rFonts w:ascii="Arial" w:hAnsi="Arial" w:cs="Arial"/>
          <w:sz w:val="22"/>
          <w:szCs w:val="22"/>
          <w:lang w:val="en-US"/>
        </w:rPr>
      </w:pPr>
    </w:p>
    <w:p w14:paraId="028BA6C4" w14:textId="2A8C8BB7" w:rsidR="005514DB" w:rsidRPr="00921B09" w:rsidRDefault="005514DB" w:rsidP="005514DB">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During the follow-up period, 44 patients (23.4%) died. Mortality was significantly higher in the high comorbidity group (CCI &gt; 5) compared to the low comorbidity group (CCI ≤ 5), with a highly significant difference (p&lt;0.001). The mean estimated survival time was 6.02 months (95% CI: 5.94–6.47) for patients with lower CCI scores, versus 4.38 months (95% CI: 3.27–5.50) for those with higher scores. </w:t>
      </w:r>
      <w:r w:rsidRPr="00921B09">
        <w:rPr>
          <w:rFonts w:ascii="Arial" w:eastAsia="Times New Roman" w:hAnsi="Arial" w:cs="Arial"/>
          <w:sz w:val="20"/>
          <w:szCs w:val="20"/>
          <w:lang w:val="en-US"/>
        </w:rPr>
        <w:lastRenderedPageBreak/>
        <w:t xml:space="preserve">Kaplan-Meier survival curves clearly depicted the survival disparity between groups, confirmed by the Log-rank test (p&lt;0.001) (Figure-1). These findings demonstrate that a higher Charlson Comorbidity Index is strongly associated with increased mortality risk in patients with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w:t>
      </w:r>
    </w:p>
    <w:p w14:paraId="5B79F1BA" w14:textId="542E0A2D" w:rsidR="005514DB" w:rsidRPr="0089473D" w:rsidRDefault="0089473D" w:rsidP="0089473D">
      <w:pPr>
        <w:pStyle w:val="Heading3"/>
        <w:rPr>
          <w:rStyle w:val="Strong"/>
          <w:rFonts w:eastAsia="Times New Roman"/>
          <w:b/>
          <w:bCs/>
          <w:sz w:val="22"/>
          <w:szCs w:val="22"/>
          <w:lang w:val="en-US"/>
        </w:rPr>
      </w:pPr>
      <w:r w:rsidRPr="00612CC0">
        <w:rPr>
          <w:rFonts w:asciiTheme="minorBidi" w:hAnsiTheme="minorBidi"/>
          <w:noProof/>
          <w:sz w:val="22"/>
          <w:szCs w:val="22"/>
        </w:rPr>
        <w:drawing>
          <wp:anchor distT="0" distB="0" distL="0" distR="0" simplePos="0" relativeHeight="251659264" behindDoc="1" locked="0" layoutInCell="1" allowOverlap="1" wp14:anchorId="393C05BC" wp14:editId="71869C7B">
            <wp:simplePos x="0" y="0"/>
            <wp:positionH relativeFrom="page">
              <wp:posOffset>1541765</wp:posOffset>
            </wp:positionH>
            <wp:positionV relativeFrom="paragraph">
              <wp:posOffset>263</wp:posOffset>
            </wp:positionV>
            <wp:extent cx="3879850" cy="2858135"/>
            <wp:effectExtent l="0" t="0" r="6350" b="1206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79850" cy="2858135"/>
                    </a:xfrm>
                    <a:prstGeom prst="rect">
                      <a:avLst/>
                    </a:prstGeom>
                  </pic:spPr>
                </pic:pic>
              </a:graphicData>
            </a:graphic>
            <wp14:sizeRelV relativeFrom="margin">
              <wp14:pctHeight>0</wp14:pctHeight>
            </wp14:sizeRelV>
          </wp:anchor>
        </w:drawing>
      </w:r>
    </w:p>
    <w:p w14:paraId="519C2741" w14:textId="1782DCB4" w:rsidR="0042742E" w:rsidRPr="00921B09" w:rsidRDefault="00921B09" w:rsidP="0042742E">
      <w:pPr>
        <w:pStyle w:val="Heading3"/>
        <w:rPr>
          <w:rFonts w:ascii="Arial" w:eastAsia="Times New Roman" w:hAnsi="Arial" w:cs="Arial"/>
          <w:sz w:val="22"/>
          <w:szCs w:val="22"/>
          <w:lang w:val="en-US"/>
        </w:rPr>
      </w:pPr>
      <w:r w:rsidRPr="00921B09">
        <w:rPr>
          <w:rStyle w:val="Strong"/>
          <w:rFonts w:ascii="Arial" w:eastAsia="Times New Roman" w:hAnsi="Arial" w:cs="Arial"/>
          <w:b/>
          <w:bCs/>
          <w:sz w:val="22"/>
          <w:szCs w:val="22"/>
          <w:lang w:val="en-US"/>
        </w:rPr>
        <w:t>DISCUSSION</w:t>
      </w:r>
    </w:p>
    <w:p w14:paraId="353A6E14" w14:textId="4D8D817D" w:rsidR="00E01AD5" w:rsidRPr="005668FD" w:rsidRDefault="00E01AD5" w:rsidP="00921B09">
      <w:pPr>
        <w:pStyle w:val="NoSpacing"/>
        <w:rPr>
          <w:rFonts w:ascii="Arial" w:hAnsi="Arial" w:cs="Arial"/>
          <w:sz w:val="20"/>
          <w:szCs w:val="20"/>
          <w:lang w:val="en-US"/>
        </w:rPr>
      </w:pPr>
      <w:r w:rsidRPr="005668FD">
        <w:rPr>
          <w:rFonts w:ascii="Arial" w:hAnsi="Arial" w:cs="Arial"/>
          <w:sz w:val="20"/>
          <w:szCs w:val="20"/>
          <w:lang w:val="en-US"/>
        </w:rPr>
        <w:t xml:space="preserve">Our </w:t>
      </w:r>
      <w:r w:rsidRPr="005668FD">
        <w:rPr>
          <w:rStyle w:val="Strong"/>
          <w:rFonts w:ascii="Arial" w:eastAsia="Times New Roman" w:hAnsi="Arial" w:cs="Arial"/>
          <w:b w:val="0"/>
          <w:bCs w:val="0"/>
          <w:sz w:val="20"/>
          <w:szCs w:val="20"/>
          <w:lang w:val="en-US"/>
        </w:rPr>
        <w:t>prospective observational study</w:t>
      </w:r>
      <w:r w:rsidRPr="005668FD">
        <w:rPr>
          <w:rFonts w:ascii="Arial" w:hAnsi="Arial" w:cs="Arial"/>
          <w:sz w:val="20"/>
          <w:szCs w:val="20"/>
          <w:lang w:val="en-US"/>
        </w:rPr>
        <w:t xml:space="preserve"> demonstrates that the Charlson Comorbidity Index is a strong and independent predictor of mortality in patients with </w:t>
      </w:r>
      <w:proofErr w:type="spellStart"/>
      <w:r w:rsidRPr="005668FD">
        <w:rPr>
          <w:rFonts w:ascii="Arial" w:hAnsi="Arial" w:cs="Arial"/>
          <w:sz w:val="20"/>
          <w:szCs w:val="20"/>
          <w:lang w:val="en-US"/>
        </w:rPr>
        <w:t>HFrEF</w:t>
      </w:r>
      <w:proofErr w:type="spellEnd"/>
      <w:r w:rsidRPr="005668FD">
        <w:rPr>
          <w:rFonts w:ascii="Arial" w:hAnsi="Arial" w:cs="Arial"/>
          <w:sz w:val="20"/>
          <w:szCs w:val="20"/>
          <w:lang w:val="en-US"/>
        </w:rPr>
        <w:t>.</w:t>
      </w:r>
    </w:p>
    <w:p w14:paraId="44D85F49" w14:textId="734163DD" w:rsidR="00335273" w:rsidRPr="005668FD" w:rsidRDefault="0042742E" w:rsidP="00921B09">
      <w:pPr>
        <w:pStyle w:val="NoSpacing"/>
        <w:rPr>
          <w:rFonts w:ascii="Arial" w:hAnsi="Arial" w:cs="Arial"/>
          <w:sz w:val="20"/>
          <w:szCs w:val="20"/>
          <w:lang w:val="en-US"/>
        </w:rPr>
      </w:pPr>
      <w:r w:rsidRPr="005668FD">
        <w:rPr>
          <w:rFonts w:ascii="Arial" w:hAnsi="Arial" w:cs="Arial"/>
          <w:sz w:val="20"/>
          <w:szCs w:val="20"/>
          <w:lang w:val="en-US"/>
        </w:rPr>
        <w:t>Patients with a CCI &gt; 5 experienced significantly higher mortality and shorter survival compared to those with lower scores, supporting the use of this index as a simple yet powerful tool for risk stratification in heart failure care.</w:t>
      </w:r>
    </w:p>
    <w:p w14:paraId="5C83A0A6" w14:textId="4970A442" w:rsidR="00EF40B1" w:rsidRPr="005668FD" w:rsidRDefault="00EF40B1" w:rsidP="00806D37">
      <w:pPr>
        <w:pStyle w:val="NoSpacing"/>
        <w:rPr>
          <w:rFonts w:ascii="Arial" w:hAnsi="Arial" w:cs="Arial"/>
          <w:sz w:val="20"/>
          <w:szCs w:val="20"/>
          <w:lang w:val="en-US"/>
        </w:rPr>
      </w:pPr>
      <w:r w:rsidRPr="005668FD">
        <w:rPr>
          <w:rFonts w:ascii="Arial" w:hAnsi="Arial" w:cs="Arial"/>
          <w:sz w:val="20"/>
          <w:szCs w:val="20"/>
          <w:lang w:val="en-US"/>
        </w:rPr>
        <w:t>These findings align with prior analyses from large heart failure cohorts. For instance, data from the ASCEND-HF trial demonstrated that each one-point increase in the Charlson Comorbidity Index was associated with a significant incre</w:t>
      </w:r>
      <w:r w:rsidR="00806D37">
        <w:rPr>
          <w:rFonts w:ascii="Arial" w:hAnsi="Arial" w:cs="Arial"/>
          <w:sz w:val="20"/>
          <w:szCs w:val="20"/>
          <w:lang w:val="en-US"/>
        </w:rPr>
        <w:t>ase in six-month mortality risk</w:t>
      </w:r>
      <w:r w:rsidR="00BC7CAC" w:rsidRPr="00BC7CAC">
        <w:rPr>
          <w:rFonts w:ascii="Arial" w:hAnsi="Arial" w:cs="Arial"/>
          <w:sz w:val="20"/>
          <w:szCs w:val="20"/>
          <w:lang w:val="en-US"/>
        </w:rPr>
        <w:t xml:space="preserve"> </w:t>
      </w:r>
      <w:r w:rsidR="00BC7CAC">
        <w:rPr>
          <w:rFonts w:ascii="Arial" w:hAnsi="Arial" w:cs="Arial"/>
          <w:sz w:val="20"/>
          <w:szCs w:val="20"/>
          <w:lang w:val="en-US"/>
        </w:rPr>
        <w:t>[7</w:t>
      </w:r>
      <w:r w:rsidR="00BC7CAC" w:rsidRPr="005668FD">
        <w:rPr>
          <w:rFonts w:ascii="Arial" w:hAnsi="Arial" w:cs="Arial"/>
          <w:sz w:val="20"/>
          <w:szCs w:val="20"/>
          <w:lang w:val="en-US"/>
        </w:rPr>
        <w:t>].</w:t>
      </w:r>
    </w:p>
    <w:p w14:paraId="27095E7B" w14:textId="08C0A6F3" w:rsidR="00620680" w:rsidRPr="005668FD" w:rsidRDefault="00244C9F" w:rsidP="00921B09">
      <w:pPr>
        <w:pStyle w:val="NoSpacing"/>
        <w:rPr>
          <w:rFonts w:ascii="Arial" w:hAnsi="Arial" w:cs="Arial"/>
          <w:sz w:val="20"/>
          <w:szCs w:val="20"/>
          <w:lang w:val="en-US"/>
        </w:rPr>
      </w:pPr>
      <w:r w:rsidRPr="005668FD">
        <w:rPr>
          <w:rFonts w:ascii="Arial" w:hAnsi="Arial" w:cs="Arial"/>
          <w:sz w:val="20"/>
          <w:szCs w:val="20"/>
          <w:lang w:val="en-US"/>
        </w:rPr>
        <w:t xml:space="preserve">This demonstrates a clear dose-response relationship between comorbidity burden and adverse outcomes in heart failure. For instance, </w:t>
      </w:r>
      <w:proofErr w:type="spellStart"/>
      <w:r w:rsidRPr="005668FD">
        <w:rPr>
          <w:rFonts w:ascii="Arial" w:hAnsi="Arial" w:cs="Arial"/>
          <w:sz w:val="20"/>
          <w:szCs w:val="20"/>
          <w:lang w:val="en-US"/>
        </w:rPr>
        <w:t>Formiga</w:t>
      </w:r>
      <w:proofErr w:type="spellEnd"/>
      <w:r w:rsidRPr="005668FD">
        <w:rPr>
          <w:rFonts w:ascii="Arial" w:hAnsi="Arial" w:cs="Arial"/>
          <w:sz w:val="20"/>
          <w:szCs w:val="20"/>
          <w:lang w:val="en-US"/>
        </w:rPr>
        <w:t xml:space="preserve"> et al. reported that patients with a Charlson Comorbidity Index score greater than 2 had a significantly higher 1-year mortality rate compared to those with lower scores </w:t>
      </w:r>
      <w:r w:rsidR="00BC7CAC">
        <w:rPr>
          <w:rFonts w:ascii="Arial" w:hAnsi="Arial" w:cs="Arial"/>
          <w:sz w:val="20"/>
          <w:szCs w:val="20"/>
          <w:lang w:val="en-US"/>
        </w:rPr>
        <w:t>[8]</w:t>
      </w:r>
      <w:r w:rsidR="00335273" w:rsidRPr="005668FD">
        <w:rPr>
          <w:rFonts w:ascii="Arial" w:hAnsi="Arial" w:cs="Arial"/>
          <w:sz w:val="20"/>
          <w:szCs w:val="20"/>
          <w:lang w:val="en-US"/>
        </w:rPr>
        <w:t xml:space="preserve">. </w:t>
      </w:r>
      <w:r w:rsidR="00620680" w:rsidRPr="005668FD">
        <w:rPr>
          <w:rFonts w:ascii="Arial" w:hAnsi="Arial" w:cs="Arial"/>
          <w:sz w:val="20"/>
          <w:szCs w:val="20"/>
          <w:lang w:val="en-US"/>
        </w:rPr>
        <w:t>Our study reinforces these results by validating the prognostic value of the CCI within a North African context, where epidemiological profiles and healthcare infrastructures differ substantially from those typically studied.</w:t>
      </w:r>
    </w:p>
    <w:p w14:paraId="2DD4F9A9" w14:textId="41BA25F8" w:rsidR="00B41D19" w:rsidRPr="005668FD" w:rsidRDefault="00335273" w:rsidP="00921B09">
      <w:pPr>
        <w:pStyle w:val="NoSpacing"/>
        <w:rPr>
          <w:rFonts w:ascii="Arial" w:hAnsi="Arial" w:cs="Arial"/>
          <w:sz w:val="20"/>
          <w:szCs w:val="20"/>
          <w:lang w:val="en-US"/>
        </w:rPr>
      </w:pPr>
      <w:r w:rsidRPr="005668FD">
        <w:rPr>
          <w:rFonts w:ascii="Arial" w:hAnsi="Arial" w:cs="Arial"/>
          <w:sz w:val="20"/>
          <w:szCs w:val="20"/>
          <w:lang w:val="en-US"/>
        </w:rPr>
        <w:t>Interestingly, despite the high prevalence of common comorbidities such as hypertension, diabetes mellitus, an</w:t>
      </w:r>
      <w:r w:rsidR="00D25FCE" w:rsidRPr="005668FD">
        <w:rPr>
          <w:rFonts w:ascii="Arial" w:hAnsi="Arial" w:cs="Arial"/>
          <w:sz w:val="20"/>
          <w:szCs w:val="20"/>
          <w:lang w:val="en-US"/>
        </w:rPr>
        <w:t xml:space="preserve">d COPD </w:t>
      </w:r>
      <w:r w:rsidRPr="005668FD">
        <w:rPr>
          <w:rFonts w:ascii="Arial" w:hAnsi="Arial" w:cs="Arial"/>
          <w:sz w:val="20"/>
          <w:szCs w:val="20"/>
          <w:lang w:val="en-US"/>
        </w:rPr>
        <w:t xml:space="preserve">within our study, these conditions individually did not show a statistically significant association with mortality. This observation underscores the importance of assessing the cumulative burden of comorbidities rather than focusing solely on individual diseases. </w:t>
      </w:r>
      <w:r w:rsidR="00B41D19" w:rsidRPr="005668FD">
        <w:rPr>
          <w:rFonts w:ascii="Arial" w:hAnsi="Arial" w:cs="Arial"/>
          <w:sz w:val="20"/>
          <w:szCs w:val="20"/>
          <w:lang w:val="en-US"/>
        </w:rPr>
        <w:t>The Charlson Comorbidity Index effectively captures this cumulative burden, reflecting how multimorbidity contributes to a vulnerable physiological state characterized by systemic inflammation, neurohormonal dysregulation, diminished functional reserve, and reduced medication tolerance all factors associated with worse clinical outcomes</w:t>
      </w:r>
      <w:r w:rsidR="006B115F">
        <w:rPr>
          <w:rFonts w:ascii="Arial" w:hAnsi="Arial" w:cs="Arial"/>
          <w:sz w:val="20"/>
          <w:szCs w:val="20"/>
          <w:lang w:val="en-US"/>
        </w:rPr>
        <w:t xml:space="preserve"> </w:t>
      </w:r>
      <w:r w:rsidR="00B41D19" w:rsidRPr="005668FD">
        <w:rPr>
          <w:rFonts w:ascii="Arial" w:hAnsi="Arial" w:cs="Arial"/>
          <w:sz w:val="20"/>
          <w:szCs w:val="20"/>
          <w:lang w:val="en-US"/>
        </w:rPr>
        <w:t>[4,5].</w:t>
      </w:r>
    </w:p>
    <w:p w14:paraId="38BF3A5A" w14:textId="1327238A" w:rsidR="00335273" w:rsidRPr="005668FD" w:rsidRDefault="00335273" w:rsidP="00335273">
      <w:pPr>
        <w:rPr>
          <w:rFonts w:ascii="Arial" w:eastAsia="Times New Roman" w:hAnsi="Arial" w:cs="Arial"/>
          <w:sz w:val="20"/>
          <w:szCs w:val="20"/>
          <w:lang w:val="en-US"/>
        </w:rPr>
      </w:pPr>
      <w:r w:rsidRPr="005668FD">
        <w:rPr>
          <w:rFonts w:ascii="Arial" w:eastAsia="Times New Roman" w:hAnsi="Arial" w:cs="Arial"/>
          <w:sz w:val="20"/>
          <w:szCs w:val="20"/>
          <w:lang w:val="en-US"/>
        </w:rPr>
        <w:t>This cumulative effect can amplify the risk beyond what any single comorbidity would predict.</w:t>
      </w:r>
    </w:p>
    <w:p w14:paraId="4E3AF8D3" w14:textId="027FE169" w:rsidR="00335273" w:rsidRPr="005668FD" w:rsidRDefault="00335273" w:rsidP="005668FD">
      <w:pPr>
        <w:rPr>
          <w:rFonts w:ascii="Arial" w:eastAsia="Times New Roman" w:hAnsi="Arial" w:cs="Arial"/>
          <w:sz w:val="20"/>
          <w:szCs w:val="20"/>
          <w:lang w:val="en-US"/>
        </w:rPr>
      </w:pPr>
      <w:r w:rsidRPr="005668FD">
        <w:rPr>
          <w:rFonts w:ascii="Arial" w:eastAsia="Times New Roman" w:hAnsi="Arial" w:cs="Arial"/>
          <w:sz w:val="20"/>
          <w:szCs w:val="20"/>
          <w:lang w:val="en-US"/>
        </w:rPr>
        <w:t>One of the main strengths of the CCI is its simplicity and practicality. Unlike specialized biomarkers such as natriuretic peptides or advanced imaging modalities like cardiac MRI, which may not be readily accessible in many healthcare settings, the CCI can be calculated from basic clinical inform</w:t>
      </w:r>
      <w:r w:rsidR="009A26F7" w:rsidRPr="005668FD">
        <w:rPr>
          <w:rFonts w:ascii="Arial" w:eastAsia="Times New Roman" w:hAnsi="Arial" w:cs="Arial"/>
          <w:sz w:val="20"/>
          <w:szCs w:val="20"/>
          <w:lang w:val="en-US"/>
        </w:rPr>
        <w:t>ation obtained at admission</w:t>
      </w:r>
      <w:r w:rsidRPr="005668FD">
        <w:rPr>
          <w:rFonts w:ascii="Arial" w:eastAsia="Times New Roman" w:hAnsi="Arial" w:cs="Arial"/>
          <w:sz w:val="20"/>
          <w:szCs w:val="20"/>
          <w:lang w:val="en-US"/>
        </w:rPr>
        <w:t>. This makes it particularly valuable in resource-limited environments where diagnostic and monitoring tools may be scarce, yet the need for effective risk stratification remains critical. By incorporating the CCI into routine clinical assessment at admission, healthcare providers can quickly identify high-risk patients who may benefit from intensified monitoring, closer follow-up, early discharge planning, or more aggressive management of comorbidities and heart failure symptoms.</w:t>
      </w:r>
    </w:p>
    <w:p w14:paraId="78ED9A07" w14:textId="3C0B45D4" w:rsidR="00335273" w:rsidRPr="00921B09" w:rsidRDefault="00335273" w:rsidP="00921B09">
      <w:pPr>
        <w:pStyle w:val="NoSpacing"/>
        <w:rPr>
          <w:rFonts w:ascii="Arial" w:hAnsi="Arial" w:cs="Arial"/>
          <w:sz w:val="20"/>
          <w:szCs w:val="20"/>
          <w:lang w:val="en-US"/>
        </w:rPr>
      </w:pPr>
      <w:r w:rsidRPr="00921B09">
        <w:rPr>
          <w:rFonts w:ascii="Arial" w:hAnsi="Arial" w:cs="Arial"/>
          <w:sz w:val="20"/>
          <w:szCs w:val="20"/>
          <w:lang w:val="en-US"/>
        </w:rPr>
        <w:lastRenderedPageBreak/>
        <w:t>Moreover, the CCI should not be viewed as a stand-alone prognostic marker but rather as a complementary tool within a broader risk assessment framework. Previous studies suggest that combining the CCI with heart failure-specific parameters—such as natriuretic peptides (e.g., NT-</w:t>
      </w:r>
      <w:proofErr w:type="spellStart"/>
      <w:r w:rsidRPr="00921B09">
        <w:rPr>
          <w:rFonts w:ascii="Arial" w:hAnsi="Arial" w:cs="Arial"/>
          <w:sz w:val="20"/>
          <w:szCs w:val="20"/>
          <w:lang w:val="en-US"/>
        </w:rPr>
        <w:t>proBNP</w:t>
      </w:r>
      <w:proofErr w:type="spellEnd"/>
      <w:r w:rsidRPr="00921B09">
        <w:rPr>
          <w:rFonts w:ascii="Arial" w:hAnsi="Arial" w:cs="Arial"/>
          <w:sz w:val="20"/>
          <w:szCs w:val="20"/>
          <w:lang w:val="en-US"/>
        </w:rPr>
        <w:t>), echocardiographic measures of left ventricular function, renal function markers, and assessments of functional capacity—can enhance prognostic accuracy and better inform personalized treatment plans [</w:t>
      </w:r>
      <w:r w:rsidR="00BC7CAC">
        <w:rPr>
          <w:rFonts w:ascii="Arial" w:hAnsi="Arial" w:cs="Arial"/>
          <w:sz w:val="20"/>
          <w:szCs w:val="20"/>
          <w:lang w:val="en-US"/>
        </w:rPr>
        <w:t>9</w:t>
      </w:r>
      <w:r w:rsidRPr="00921B09">
        <w:rPr>
          <w:rFonts w:ascii="Arial" w:hAnsi="Arial" w:cs="Arial"/>
          <w:sz w:val="20"/>
          <w:szCs w:val="20"/>
          <w:lang w:val="en-US"/>
        </w:rPr>
        <w:t>]. Such multidimensional risk models can help clinicians prioritize patients for advanced therapies, including device implantation or referral for heart transplantation, and also guide timely discussions about p</w:t>
      </w:r>
      <w:r w:rsidR="00EE6E56">
        <w:rPr>
          <w:rFonts w:ascii="Arial" w:hAnsi="Arial" w:cs="Arial"/>
          <w:sz w:val="20"/>
          <w:szCs w:val="20"/>
          <w:lang w:val="en-US"/>
        </w:rPr>
        <w:t xml:space="preserve">alliative care when appropriate </w:t>
      </w:r>
      <w:r w:rsidR="00EE6E56" w:rsidRPr="00921B09">
        <w:rPr>
          <w:rFonts w:ascii="Arial" w:hAnsi="Arial" w:cs="Arial"/>
          <w:sz w:val="20"/>
          <w:szCs w:val="20"/>
          <w:lang w:val="en-US"/>
        </w:rPr>
        <w:t>[</w:t>
      </w:r>
      <w:r w:rsidR="00EE6E56">
        <w:rPr>
          <w:rFonts w:ascii="Arial" w:hAnsi="Arial" w:cs="Arial"/>
          <w:sz w:val="20"/>
          <w:szCs w:val="20"/>
          <w:lang w:val="en-US"/>
        </w:rPr>
        <w:t>10</w:t>
      </w:r>
      <w:r w:rsidR="00EE6E56" w:rsidRPr="00921B09">
        <w:rPr>
          <w:rFonts w:ascii="Arial" w:hAnsi="Arial" w:cs="Arial"/>
          <w:sz w:val="20"/>
          <w:szCs w:val="20"/>
          <w:lang w:val="en-US"/>
        </w:rPr>
        <w:t>].</w:t>
      </w:r>
    </w:p>
    <w:p w14:paraId="24349CB1" w14:textId="77777777" w:rsidR="00D25FCE" w:rsidRPr="00921B09" w:rsidRDefault="00D25FCE" w:rsidP="00921B09">
      <w:pPr>
        <w:pStyle w:val="NoSpacing"/>
        <w:rPr>
          <w:rFonts w:ascii="Arial" w:hAnsi="Arial" w:cs="Arial"/>
          <w:sz w:val="20"/>
          <w:szCs w:val="20"/>
          <w:lang w:val="en-US"/>
        </w:rPr>
      </w:pPr>
      <w:r w:rsidRPr="00921B09">
        <w:rPr>
          <w:rFonts w:ascii="Arial" w:hAnsi="Arial" w:cs="Arial"/>
          <w:sz w:val="20"/>
          <w:szCs w:val="20"/>
          <w:lang w:val="en-US"/>
        </w:rPr>
        <w:t>Despite these promising results, several limitations of our study should be acknowledged. The single-center design and relatively modest sample size may limit the generalizability of our findings to other populations and healthcare settings. Additionally, our follow-up period of six months was relatively short, restricting our ability to capture long-term outcomes and mortality trends. We also did not evaluate the impact of variations in treatment intensity, such as the use of beta-blockers, sacubitril/valsartan, or device therapies, which might independently influence mortality risk irrespective of comorbidity burden. Future studies incorporating these variables will be valuable in further refining the prognostic utility of the CCI.</w:t>
      </w:r>
    </w:p>
    <w:p w14:paraId="2A69DE98" w14:textId="77777777" w:rsidR="00D25FCE" w:rsidRPr="00921B09" w:rsidRDefault="00D25FCE" w:rsidP="00921B09">
      <w:pPr>
        <w:pStyle w:val="NoSpacing"/>
        <w:rPr>
          <w:rFonts w:ascii="Arial" w:hAnsi="Arial" w:cs="Arial"/>
          <w:sz w:val="20"/>
          <w:szCs w:val="20"/>
          <w:lang w:val="en-US"/>
        </w:rPr>
      </w:pPr>
      <w:r w:rsidRPr="00921B09">
        <w:rPr>
          <w:rFonts w:ascii="Arial" w:hAnsi="Arial" w:cs="Arial"/>
          <w:sz w:val="20"/>
          <w:szCs w:val="20"/>
          <w:lang w:val="en-US"/>
        </w:rPr>
        <w:t>Future research should also focus on integrating the CCI into electronic health record systems to enable real-time risk assessment and clinical decision support. Moreover, interventional studies targeting patients with high CCI scores are needed to determine whether tailored management strategies can reduce mortality and improve quality of life in this vulnerable subgroup. Importantly, validation of the CCI’s prognostic value in larger, multicenter cohorts across North Africa will be crucial to confirm its widespread applicability and to guide region-specific clinical guidelines.</w:t>
      </w:r>
    </w:p>
    <w:p w14:paraId="25134270" w14:textId="3A8D251E" w:rsidR="00251CC9" w:rsidRDefault="00D25FCE" w:rsidP="00921B09">
      <w:pPr>
        <w:pStyle w:val="NoSpacing"/>
        <w:rPr>
          <w:rFonts w:ascii="Arial" w:hAnsi="Arial" w:cs="Arial"/>
          <w:sz w:val="20"/>
          <w:szCs w:val="20"/>
          <w:lang w:val="en-US"/>
        </w:rPr>
      </w:pPr>
      <w:r w:rsidRPr="00921B09">
        <w:rPr>
          <w:rFonts w:ascii="Arial" w:hAnsi="Arial" w:cs="Arial"/>
          <w:sz w:val="20"/>
          <w:szCs w:val="20"/>
          <w:lang w:val="en-US"/>
        </w:rPr>
        <w:t xml:space="preserve">In conclusion, our findings demonstrate that the Charlson Comorbidity Index is a valuable, simple, and accessible prognostic instrument in patients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 independently associated with mortality risk in a Moroccan population. Given its predictive strength, ease of use, and applicability in diverse healthcare environments, particularly those constrained by limited resources, the CCI should be considered as an integral component of routine clinical evaluation and risk stratification in heart failure management.</w:t>
      </w:r>
    </w:p>
    <w:p w14:paraId="1259A04A" w14:textId="77777777" w:rsidR="00921B09" w:rsidRPr="00921B09" w:rsidRDefault="00921B09" w:rsidP="00921B09">
      <w:pPr>
        <w:pStyle w:val="NoSpacing"/>
        <w:rPr>
          <w:rFonts w:ascii="Arial" w:hAnsi="Arial" w:cs="Arial"/>
          <w:sz w:val="20"/>
          <w:szCs w:val="20"/>
          <w:lang w:val="en-US"/>
        </w:rPr>
      </w:pPr>
    </w:p>
    <w:p w14:paraId="6C0BDB37" w14:textId="6CE66C5A" w:rsidR="00551C54" w:rsidRDefault="00921B09" w:rsidP="00551C54">
      <w:pPr>
        <w:pStyle w:val="NoSpacing"/>
        <w:rPr>
          <w:rStyle w:val="Strong"/>
          <w:rFonts w:ascii="Arial" w:eastAsia="Times New Roman" w:hAnsi="Arial" w:cs="Arial"/>
          <w:sz w:val="22"/>
          <w:szCs w:val="22"/>
          <w:lang w:val="en-US"/>
        </w:rPr>
      </w:pPr>
      <w:r w:rsidRPr="00921B09">
        <w:rPr>
          <w:rStyle w:val="Strong"/>
          <w:rFonts w:ascii="Arial" w:eastAsia="Times New Roman" w:hAnsi="Arial" w:cs="Arial"/>
          <w:sz w:val="22"/>
          <w:szCs w:val="22"/>
          <w:lang w:val="en-US"/>
        </w:rPr>
        <w:t>CONCLUSION</w:t>
      </w:r>
    </w:p>
    <w:p w14:paraId="351B2FEC" w14:textId="77777777" w:rsidR="00EE6E56" w:rsidRPr="00921B09" w:rsidRDefault="00EE6E56" w:rsidP="00551C54">
      <w:pPr>
        <w:pStyle w:val="NoSpacing"/>
        <w:rPr>
          <w:rStyle w:val="Strong"/>
          <w:rFonts w:ascii="Arial" w:eastAsia="Times New Roman" w:hAnsi="Arial" w:cs="Arial"/>
          <w:sz w:val="22"/>
          <w:szCs w:val="22"/>
          <w:lang w:val="en-US"/>
        </w:rPr>
      </w:pPr>
    </w:p>
    <w:p w14:paraId="5C12BC1C" w14:textId="1DE5BA61" w:rsidR="00013305" w:rsidRPr="00921B09" w:rsidRDefault="00013305" w:rsidP="00921B09">
      <w:pPr>
        <w:pStyle w:val="NoSpacing"/>
        <w:rPr>
          <w:rFonts w:ascii="Arial" w:eastAsia="Times New Roman" w:hAnsi="Arial" w:cs="Arial"/>
          <w:sz w:val="20"/>
          <w:szCs w:val="20"/>
          <w:lang w:val="en-US"/>
        </w:rPr>
      </w:pPr>
      <w:r w:rsidRPr="00921B09">
        <w:rPr>
          <w:rFonts w:ascii="Arial" w:hAnsi="Arial" w:cs="Arial"/>
          <w:sz w:val="20"/>
          <w:szCs w:val="20"/>
          <w:lang w:val="en-US"/>
        </w:rPr>
        <w:t xml:space="preserve">This study underscores the critical importance of systematically assessing comorbidities in patients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 xml:space="preserve">. The CCI has proven to be a valuable and practical tool for identifying patients at high risk of mortality, demonstrating a strong and independent association between higher CCI scores and increased risk of death. </w:t>
      </w:r>
    </w:p>
    <w:p w14:paraId="0FE419E1" w14:textId="794C2914" w:rsidR="00013305" w:rsidRPr="00921B09" w:rsidRDefault="00013305" w:rsidP="00921B09">
      <w:pPr>
        <w:pStyle w:val="NoSpacing"/>
        <w:rPr>
          <w:rFonts w:ascii="Arial" w:hAnsi="Arial" w:cs="Arial"/>
          <w:sz w:val="20"/>
          <w:szCs w:val="20"/>
          <w:lang w:val="en-US"/>
        </w:rPr>
      </w:pPr>
      <w:r w:rsidRPr="00921B09">
        <w:rPr>
          <w:rFonts w:ascii="Arial" w:hAnsi="Arial" w:cs="Arial"/>
          <w:sz w:val="20"/>
          <w:szCs w:val="20"/>
          <w:lang w:val="en-US"/>
        </w:rPr>
        <w:t>Considering the high prevalence and complexity of multiple coexisting chronic conditions in this patient population, a thorough evaluation of comorbidity burden should be an integral part of routine clinical practice.</w:t>
      </w:r>
      <w:r w:rsidR="006B115F">
        <w:rPr>
          <w:rFonts w:ascii="Arial" w:hAnsi="Arial" w:cs="Arial"/>
          <w:sz w:val="20"/>
          <w:szCs w:val="20"/>
          <w:lang w:val="en-US"/>
        </w:rPr>
        <w:t xml:space="preserve"> </w:t>
      </w:r>
      <w:r w:rsidRPr="00921B09">
        <w:rPr>
          <w:rFonts w:ascii="Arial" w:hAnsi="Arial" w:cs="Arial"/>
          <w:sz w:val="20"/>
          <w:szCs w:val="20"/>
          <w:lang w:val="en-US"/>
        </w:rPr>
        <w:t>Moreover, the significant impact of comorbidities on patient outcomes highlights the urgent need for comprehensive secondary cardiovascular prevention strategies tailored to individuals with elevated CCI scores. These strategies could include optimized medical therapy, vigilant monitoring, multidisciplinary care, and patient education to effectively manage both heart failure and associated comorbid conditions.</w:t>
      </w:r>
    </w:p>
    <w:p w14:paraId="514EDA63" w14:textId="33F81B41" w:rsidR="00612CC0" w:rsidRDefault="00013305" w:rsidP="00921B09">
      <w:pPr>
        <w:pStyle w:val="NoSpacing"/>
        <w:rPr>
          <w:rFonts w:ascii="Arial" w:hAnsi="Arial" w:cs="Arial"/>
          <w:sz w:val="20"/>
          <w:szCs w:val="20"/>
          <w:lang w:val="en-US"/>
        </w:rPr>
      </w:pPr>
      <w:r w:rsidRPr="00921B09">
        <w:rPr>
          <w:rFonts w:ascii="Arial" w:hAnsi="Arial" w:cs="Arial"/>
          <w:sz w:val="20"/>
          <w:szCs w:val="20"/>
          <w:lang w:val="en-US"/>
        </w:rPr>
        <w:t xml:space="preserve">Future research should aim to further refine and validate the prognostic value of the CCI in diverse clinical settings and populations, especially in resource-limited environments. Additionally, it is essential to explore targeted interventions that can specifically address the heightened mortality risk linked to a high comorbidity burden. Ultimately, integrating comorbidity assessment tools like the CCI into personalized treatment plans may significantly improve survival and quality of life for patients living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w:t>
      </w:r>
    </w:p>
    <w:p w14:paraId="5ED7AC02" w14:textId="77777777" w:rsidR="00921B09" w:rsidRDefault="00921B09" w:rsidP="00921B09">
      <w:pPr>
        <w:pStyle w:val="NoSpacing"/>
        <w:rPr>
          <w:rFonts w:ascii="Arial" w:hAnsi="Arial" w:cs="Arial"/>
          <w:sz w:val="20"/>
          <w:szCs w:val="20"/>
          <w:lang w:val="en-US"/>
        </w:rPr>
      </w:pPr>
    </w:p>
    <w:p w14:paraId="6CC2FE06" w14:textId="77777777" w:rsidR="008009A2" w:rsidRDefault="008009A2" w:rsidP="008009A2">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18D4155C" w14:textId="77777777" w:rsidR="00EE6E56" w:rsidRDefault="00EE6E56" w:rsidP="008009A2">
      <w:pPr>
        <w:pStyle w:val="AcknHead"/>
        <w:spacing w:after="0"/>
        <w:jc w:val="both"/>
        <w:rPr>
          <w:rFonts w:ascii="Arial" w:hAnsi="Arial" w:cs="Arial"/>
        </w:rPr>
      </w:pPr>
    </w:p>
    <w:p w14:paraId="65673BB9" w14:textId="77777777" w:rsidR="008009A2" w:rsidRDefault="008009A2" w:rsidP="008009A2">
      <w:pPr>
        <w:pStyle w:val="NoSpacing"/>
        <w:rPr>
          <w:rFonts w:ascii="Arial" w:hAnsi="Arial" w:cs="Arial"/>
          <w:sz w:val="20"/>
          <w:szCs w:val="20"/>
          <w:lang w:val="en-US"/>
        </w:rPr>
      </w:pPr>
      <w:r w:rsidRPr="008009A2">
        <w:rPr>
          <w:rFonts w:ascii="Arial" w:hAnsi="Arial" w:cs="Arial"/>
          <w:sz w:val="20"/>
          <w:szCs w:val="20"/>
          <w:lang w:val="en-US"/>
        </w:rPr>
        <w:t xml:space="preserve">The author thanks the heart failure unit team at Ibn </w:t>
      </w:r>
      <w:proofErr w:type="spellStart"/>
      <w:r w:rsidRPr="008009A2">
        <w:rPr>
          <w:rFonts w:ascii="Arial" w:hAnsi="Arial" w:cs="Arial"/>
          <w:sz w:val="20"/>
          <w:szCs w:val="20"/>
          <w:lang w:val="en-US"/>
        </w:rPr>
        <w:t>Rochd</w:t>
      </w:r>
      <w:proofErr w:type="spellEnd"/>
      <w:r w:rsidRPr="008009A2">
        <w:rPr>
          <w:rFonts w:ascii="Arial" w:hAnsi="Arial" w:cs="Arial"/>
          <w:sz w:val="20"/>
          <w:szCs w:val="20"/>
          <w:lang w:val="en-US"/>
        </w:rPr>
        <w:t xml:space="preserve"> Hospital for providing access to the database. This work was conducted independently, without any external funding or financial support.</w:t>
      </w:r>
    </w:p>
    <w:p w14:paraId="1B44356D" w14:textId="77777777" w:rsidR="00EE6E56" w:rsidRDefault="00EE6E56" w:rsidP="008009A2">
      <w:pPr>
        <w:pStyle w:val="NoSpacing"/>
        <w:rPr>
          <w:rFonts w:ascii="Arial" w:hAnsi="Arial" w:cs="Arial"/>
          <w:sz w:val="20"/>
          <w:szCs w:val="20"/>
          <w:lang w:val="en-US"/>
        </w:rPr>
      </w:pPr>
    </w:p>
    <w:p w14:paraId="247DFF36" w14:textId="15F6E611" w:rsidR="005668FD" w:rsidRDefault="00571159" w:rsidP="008009A2">
      <w:pPr>
        <w:pStyle w:val="NoSpacing"/>
        <w:rPr>
          <w:rFonts w:ascii="Arial" w:hAnsi="Arial" w:cs="Arial"/>
          <w:b/>
          <w:sz w:val="22"/>
          <w:szCs w:val="22"/>
        </w:rPr>
      </w:pPr>
      <w:r w:rsidRPr="00571159">
        <w:rPr>
          <w:rFonts w:ascii="Arial" w:hAnsi="Arial" w:cs="Arial"/>
          <w:b/>
          <w:sz w:val="22"/>
          <w:szCs w:val="22"/>
        </w:rPr>
        <w:t>CONSENT</w:t>
      </w:r>
    </w:p>
    <w:p w14:paraId="22C2699F" w14:textId="77777777" w:rsidR="00EE6E56" w:rsidRPr="00571159" w:rsidRDefault="00EE6E56" w:rsidP="008009A2">
      <w:pPr>
        <w:pStyle w:val="NoSpacing"/>
        <w:rPr>
          <w:rFonts w:ascii="Arial" w:hAnsi="Arial" w:cs="Arial"/>
          <w:b/>
          <w:sz w:val="22"/>
          <w:szCs w:val="22"/>
          <w:lang w:val="en-US"/>
        </w:rPr>
      </w:pPr>
    </w:p>
    <w:p w14:paraId="620C4733" w14:textId="77777777" w:rsidR="00571159" w:rsidRDefault="00571159" w:rsidP="00571159">
      <w:pPr>
        <w:rPr>
          <w:rFonts w:ascii="Arial" w:eastAsia="Times New Roman" w:hAnsi="Arial" w:cs="Arial"/>
          <w:sz w:val="20"/>
          <w:szCs w:val="20"/>
          <w:lang w:val="en-US"/>
        </w:rPr>
      </w:pPr>
      <w:r w:rsidRPr="00571159">
        <w:rPr>
          <w:rFonts w:ascii="Arial" w:eastAsia="Times New Roman" w:hAnsi="Arial" w:cs="Arial"/>
          <w:sz w:val="20"/>
          <w:szCs w:val="20"/>
          <w:lang w:val="en-US"/>
        </w:rPr>
        <w:t>All authors declare that written informed consent was obtained from the patients for publication of this study and any accompanying data.</w:t>
      </w:r>
    </w:p>
    <w:p w14:paraId="175AB621" w14:textId="77777777" w:rsidR="00EE6E56" w:rsidRPr="00571159" w:rsidRDefault="00EE6E56" w:rsidP="00571159">
      <w:pPr>
        <w:rPr>
          <w:rFonts w:ascii="Arial" w:eastAsia="Times New Roman" w:hAnsi="Arial" w:cs="Arial"/>
          <w:sz w:val="20"/>
          <w:szCs w:val="20"/>
          <w:lang w:val="en-US"/>
        </w:rPr>
      </w:pPr>
    </w:p>
    <w:p w14:paraId="27229B8F" w14:textId="77777777" w:rsidR="00EE6E56" w:rsidRDefault="005668FD" w:rsidP="005668FD">
      <w:pPr>
        <w:pStyle w:val="NoSpacing"/>
        <w:rPr>
          <w:rFonts w:ascii="Arial" w:hAnsi="Arial" w:cs="Arial"/>
          <w:b/>
          <w:sz w:val="22"/>
          <w:szCs w:val="22"/>
          <w:lang w:val="en-US"/>
        </w:rPr>
      </w:pPr>
      <w:r w:rsidRPr="00921B09">
        <w:rPr>
          <w:rFonts w:ascii="Arial" w:hAnsi="Arial" w:cs="Arial"/>
          <w:b/>
          <w:sz w:val="22"/>
          <w:szCs w:val="22"/>
          <w:lang w:val="en-US"/>
        </w:rPr>
        <w:t>ETHICAL APPROVAL</w:t>
      </w:r>
    </w:p>
    <w:p w14:paraId="7871380A" w14:textId="75B68434" w:rsidR="005668FD" w:rsidRPr="00921B09" w:rsidRDefault="005668FD" w:rsidP="005668FD">
      <w:pPr>
        <w:pStyle w:val="NoSpacing"/>
        <w:rPr>
          <w:rFonts w:ascii="Arial" w:hAnsi="Arial" w:cs="Arial"/>
          <w:sz w:val="20"/>
          <w:szCs w:val="20"/>
          <w:lang w:val="en-US" w:eastAsia="fr-FR"/>
        </w:rPr>
      </w:pPr>
      <w:r w:rsidRPr="00921B09">
        <w:rPr>
          <w:rFonts w:asciiTheme="minorBidi" w:hAnsiTheme="minorBidi"/>
          <w:sz w:val="22"/>
          <w:szCs w:val="22"/>
          <w:lang w:val="en-US"/>
        </w:rPr>
        <w:lastRenderedPageBreak/>
        <w:br/>
      </w:r>
      <w:r w:rsidRPr="00921B09">
        <w:rPr>
          <w:rFonts w:ascii="Arial" w:hAnsi="Arial" w:cs="Arial"/>
          <w:sz w:val="20"/>
          <w:szCs w:val="20"/>
          <w:lang w:val="en-US" w:eastAsia="fr-FR"/>
        </w:rPr>
        <w:t xml:space="preserve">This study was approved by the Ethics Committee of </w:t>
      </w:r>
      <w:proofErr w:type="gramStart"/>
      <w:r w:rsidRPr="00921B09">
        <w:rPr>
          <w:rFonts w:ascii="Arial" w:hAnsi="Arial" w:cs="Arial"/>
          <w:sz w:val="20"/>
          <w:szCs w:val="20"/>
          <w:lang w:val="en-US" w:eastAsia="fr-FR"/>
        </w:rPr>
        <w:t>Ibn</w:t>
      </w:r>
      <w:proofErr w:type="gramEnd"/>
      <w:r w:rsidRPr="00921B09">
        <w:rPr>
          <w:rFonts w:ascii="Arial" w:hAnsi="Arial" w:cs="Arial"/>
          <w:sz w:val="20"/>
          <w:szCs w:val="20"/>
          <w:lang w:val="en-US" w:eastAsia="fr-FR"/>
        </w:rPr>
        <w:t xml:space="preserve"> </w:t>
      </w:r>
      <w:proofErr w:type="spellStart"/>
      <w:r w:rsidRPr="00921B09">
        <w:rPr>
          <w:rFonts w:ascii="Arial" w:hAnsi="Arial" w:cs="Arial"/>
          <w:sz w:val="20"/>
          <w:szCs w:val="20"/>
          <w:lang w:val="en-US" w:eastAsia="fr-FR"/>
        </w:rPr>
        <w:t>Rochd</w:t>
      </w:r>
      <w:proofErr w:type="spellEnd"/>
      <w:r w:rsidRPr="00921B09">
        <w:rPr>
          <w:rFonts w:ascii="Arial" w:hAnsi="Arial" w:cs="Arial"/>
          <w:sz w:val="20"/>
          <w:szCs w:val="20"/>
          <w:lang w:val="en-US" w:eastAsia="fr-FR"/>
        </w:rPr>
        <w:t xml:space="preserve"> Hospital, Casablanca. All patients provided informed consent prior to inclusion, in accordance with the principles of the Declaration of Helsinki.</w:t>
      </w:r>
    </w:p>
    <w:p w14:paraId="10B48579" w14:textId="77777777" w:rsidR="005668FD" w:rsidRDefault="005668FD" w:rsidP="008009A2">
      <w:pPr>
        <w:pStyle w:val="NoSpacing"/>
        <w:rPr>
          <w:rFonts w:ascii="Arial" w:hAnsi="Arial" w:cs="Arial"/>
          <w:sz w:val="20"/>
          <w:szCs w:val="20"/>
          <w:lang w:val="en-US"/>
        </w:rPr>
      </w:pPr>
    </w:p>
    <w:p w14:paraId="2A7FC39B" w14:textId="77777777" w:rsidR="005668FD" w:rsidRPr="008009A2" w:rsidRDefault="005668FD" w:rsidP="008009A2">
      <w:pPr>
        <w:pStyle w:val="NoSpacing"/>
        <w:rPr>
          <w:rFonts w:ascii="Arial" w:hAnsi="Arial" w:cs="Arial"/>
          <w:sz w:val="20"/>
          <w:szCs w:val="20"/>
          <w:lang w:val="en-US"/>
        </w:rPr>
      </w:pPr>
    </w:p>
    <w:p w14:paraId="1BF2E16D" w14:textId="2432056D" w:rsidR="00612CC0" w:rsidRPr="00551C54" w:rsidRDefault="000D5C87" w:rsidP="0098705F">
      <w:pPr>
        <w:rPr>
          <w:rFonts w:eastAsia="Times New Roman"/>
          <w:sz w:val="22"/>
          <w:szCs w:val="22"/>
          <w:lang w:val="en-US"/>
        </w:rPr>
      </w:pPr>
      <w:r w:rsidRPr="00612CC0">
        <w:rPr>
          <w:b/>
          <w:bCs/>
          <w:sz w:val="22"/>
          <w:szCs w:val="22"/>
          <w:lang w:val="en-US"/>
        </w:rPr>
        <w:t xml:space="preserve"> </w:t>
      </w:r>
    </w:p>
    <w:p w14:paraId="4FBECC97" w14:textId="77777777" w:rsidR="00612CC0" w:rsidRDefault="00612CC0">
      <w:pPr>
        <w:rPr>
          <w:sz w:val="22"/>
          <w:szCs w:val="22"/>
          <w:lang w:val="en-US"/>
        </w:rPr>
      </w:pPr>
    </w:p>
    <w:p w14:paraId="2E0CDB11" w14:textId="77777777" w:rsidR="00551C54" w:rsidRDefault="00551C54" w:rsidP="00551C54">
      <w:pPr>
        <w:rPr>
          <w:sz w:val="22"/>
          <w:szCs w:val="22"/>
          <w:lang w:val="en-US"/>
        </w:rPr>
      </w:pPr>
    </w:p>
    <w:p w14:paraId="3E3CF790" w14:textId="77777777" w:rsidR="00551C54" w:rsidRDefault="00551C54" w:rsidP="00551C54">
      <w:pPr>
        <w:rPr>
          <w:sz w:val="22"/>
          <w:szCs w:val="22"/>
          <w:lang w:val="en-US"/>
        </w:rPr>
      </w:pPr>
    </w:p>
    <w:p w14:paraId="43F227BA" w14:textId="77777777" w:rsidR="00551C54" w:rsidRDefault="00551C54" w:rsidP="00551C54">
      <w:pPr>
        <w:rPr>
          <w:sz w:val="22"/>
          <w:szCs w:val="22"/>
          <w:lang w:val="en-US"/>
        </w:rPr>
      </w:pPr>
    </w:p>
    <w:p w14:paraId="3BEAF14C" w14:textId="77777777" w:rsidR="00551C54" w:rsidRDefault="00551C54" w:rsidP="00551C54">
      <w:pPr>
        <w:rPr>
          <w:sz w:val="22"/>
          <w:szCs w:val="22"/>
          <w:lang w:val="en-US"/>
        </w:rPr>
      </w:pPr>
    </w:p>
    <w:p w14:paraId="3F37CB93" w14:textId="77777777" w:rsidR="00551C54" w:rsidRDefault="00551C54" w:rsidP="00551C54">
      <w:pPr>
        <w:rPr>
          <w:sz w:val="22"/>
          <w:szCs w:val="22"/>
          <w:lang w:val="en-US"/>
        </w:rPr>
      </w:pPr>
    </w:p>
    <w:p w14:paraId="5A898D82" w14:textId="77777777" w:rsidR="00551C54" w:rsidRDefault="00551C54" w:rsidP="00551C54">
      <w:pPr>
        <w:rPr>
          <w:sz w:val="22"/>
          <w:szCs w:val="22"/>
          <w:lang w:val="en-US"/>
        </w:rPr>
      </w:pPr>
    </w:p>
    <w:p w14:paraId="6A069C86" w14:textId="77777777" w:rsidR="00551C54" w:rsidRDefault="00551C54" w:rsidP="00551C54">
      <w:pPr>
        <w:rPr>
          <w:sz w:val="22"/>
          <w:szCs w:val="22"/>
          <w:lang w:val="en-US"/>
        </w:rPr>
      </w:pPr>
    </w:p>
    <w:p w14:paraId="1AAFBAE4" w14:textId="77777777" w:rsidR="00551C54" w:rsidRDefault="00551C54" w:rsidP="00551C54">
      <w:pPr>
        <w:rPr>
          <w:sz w:val="22"/>
          <w:szCs w:val="22"/>
          <w:lang w:val="en-US"/>
        </w:rPr>
      </w:pPr>
    </w:p>
    <w:p w14:paraId="5444F7B9" w14:textId="77777777" w:rsidR="00DE2C10" w:rsidRPr="00FE7640" w:rsidRDefault="00DE2C10" w:rsidP="00DE2C10">
      <w:pPr>
        <w:rPr>
          <w:rFonts w:ascii="Calibri" w:eastAsia="Calibri" w:hAnsi="Calibri"/>
          <w:kern w:val="2"/>
          <w:highlight w:val="yellow"/>
          <w:lang w:val="en-US"/>
        </w:rPr>
      </w:pPr>
      <w:bookmarkStart w:id="0" w:name="_Hlk193540946"/>
      <w:bookmarkStart w:id="1" w:name="_Hlk180402183"/>
      <w:bookmarkStart w:id="2" w:name="_Hlk183680988"/>
      <w:r w:rsidRPr="00FE7640">
        <w:rPr>
          <w:rFonts w:ascii="Calibri" w:eastAsia="Calibri" w:hAnsi="Calibri"/>
          <w:kern w:val="2"/>
          <w:highlight w:val="yellow"/>
          <w:lang w:val="en-US"/>
        </w:rPr>
        <w:t>Disclaimer (Artificial intelligence)</w:t>
      </w:r>
    </w:p>
    <w:p w14:paraId="1EBF0C79" w14:textId="77777777" w:rsidR="0021538C" w:rsidRDefault="0021538C" w:rsidP="00DE2C10">
      <w:pPr>
        <w:rPr>
          <w:rFonts w:ascii="Calibri" w:eastAsia="Calibri" w:hAnsi="Calibri"/>
          <w:kern w:val="2"/>
          <w:highlight w:val="yellow"/>
          <w:lang w:val="en-US"/>
        </w:rPr>
      </w:pPr>
    </w:p>
    <w:p w14:paraId="1E70FFCF"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w:t>
      </w:r>
      <w:proofErr w:type="gramStart"/>
      <w:r w:rsidRPr="009C5487">
        <w:rPr>
          <w:rFonts w:ascii="Calibri" w:eastAsia="Calibri" w:hAnsi="Calibri"/>
          <w:kern w:val="2"/>
          <w:highlight w:val="yellow"/>
          <w:lang w:val="en-US"/>
        </w:rPr>
        <w:t>declare</w:t>
      </w:r>
      <w:proofErr w:type="gramEnd"/>
      <w:r w:rsidRPr="009C5487">
        <w:rPr>
          <w:rFonts w:ascii="Calibri" w:eastAsia="Calibri" w:hAnsi="Calibri"/>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1270CD"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0E7E690E" w14:textId="1A6BCE3F" w:rsidR="00DE2C10" w:rsidRPr="005668FD" w:rsidRDefault="00DE2C10" w:rsidP="005668FD">
      <w:pPr>
        <w:pStyle w:val="NormalWeb"/>
        <w:rPr>
          <w:lang w:val="en-US"/>
        </w:rPr>
      </w:pPr>
      <w:r w:rsidRPr="009C5487">
        <w:rPr>
          <w:rFonts w:ascii="Calibri" w:eastAsia="Calibri" w:hAnsi="Calibri"/>
          <w:kern w:val="2"/>
          <w:highlight w:val="yellow"/>
          <w:lang w:val="en-US"/>
        </w:rPr>
        <w:t>1.</w:t>
      </w:r>
      <w:r w:rsidR="005668FD">
        <w:rPr>
          <w:rFonts w:ascii="Calibri" w:eastAsia="Calibri" w:hAnsi="Calibri"/>
          <w:kern w:val="2"/>
          <w:highlight w:val="yellow"/>
          <w:lang w:val="en-US"/>
        </w:rPr>
        <w:t xml:space="preserve"> </w:t>
      </w:r>
      <w:r w:rsidR="005668FD" w:rsidRPr="005668FD">
        <w:rPr>
          <w:rFonts w:eastAsia="Times New Roman"/>
          <w:lang w:val="en-US"/>
        </w:rPr>
        <w:t xml:space="preserve"> </w:t>
      </w:r>
      <w:r w:rsidR="005668FD" w:rsidRPr="005668FD">
        <w:rPr>
          <w:lang w:val="en-US"/>
        </w:rPr>
        <w:t>Tool used: ChatGPT (OpenAI) — free online version</w:t>
      </w:r>
    </w:p>
    <w:p w14:paraId="2290E5E0" w14:textId="6D5D9C40" w:rsidR="00DE2C10" w:rsidRPr="005668FD" w:rsidRDefault="00DE2C10" w:rsidP="005668FD">
      <w:pPr>
        <w:pStyle w:val="NormalWeb"/>
        <w:rPr>
          <w:lang w:val="en-US"/>
        </w:rPr>
      </w:pPr>
      <w:r w:rsidRPr="009C5487">
        <w:rPr>
          <w:rFonts w:ascii="Calibri" w:eastAsia="Calibri" w:hAnsi="Calibri"/>
          <w:kern w:val="2"/>
          <w:highlight w:val="yellow"/>
          <w:lang w:val="en-US"/>
        </w:rPr>
        <w:t>2.</w:t>
      </w:r>
      <w:r w:rsidR="005668FD" w:rsidRPr="005668FD">
        <w:rPr>
          <w:rFonts w:eastAsia="Times New Roman" w:hAnsi="Symbol"/>
          <w:lang w:val="en-US"/>
        </w:rPr>
        <w:t xml:space="preserve"> </w:t>
      </w:r>
      <w:r w:rsidR="005668FD">
        <w:rPr>
          <w:rFonts w:asciiTheme="minorBidi" w:eastAsia="Times New Roman" w:hAnsiTheme="minorBidi" w:cstheme="minorBidi"/>
          <w:lang w:val="en-US"/>
        </w:rPr>
        <w:t>P</w:t>
      </w:r>
      <w:r w:rsidR="005668FD" w:rsidRPr="005668FD">
        <w:rPr>
          <w:lang w:val="en-US"/>
        </w:rPr>
        <w:t>urpose: Grammar and spelling correction, language refinement</w:t>
      </w:r>
    </w:p>
    <w:p w14:paraId="1A5D6499" w14:textId="5C703E2F" w:rsidR="005668FD" w:rsidRPr="005668FD" w:rsidRDefault="00DE2C10" w:rsidP="003259F8">
      <w:pPr>
        <w:pStyle w:val="NormalWeb"/>
        <w:rPr>
          <w:lang w:val="en-US"/>
        </w:rPr>
      </w:pPr>
      <w:r w:rsidRPr="009C5487">
        <w:rPr>
          <w:rFonts w:ascii="Calibri" w:eastAsia="Calibri" w:hAnsi="Calibri"/>
          <w:kern w:val="2"/>
          <w:highlight w:val="yellow"/>
          <w:lang w:val="en-US"/>
        </w:rPr>
        <w:t>3.</w:t>
      </w:r>
      <w:bookmarkEnd w:id="0"/>
      <w:r w:rsidR="005668FD">
        <w:rPr>
          <w:rFonts w:ascii="Calibri" w:eastAsia="Calibri" w:hAnsi="Calibri"/>
          <w:kern w:val="2"/>
          <w:lang w:val="en-US"/>
        </w:rPr>
        <w:t xml:space="preserve"> </w:t>
      </w:r>
      <w:r w:rsidR="005668FD" w:rsidRPr="005668FD">
        <w:rPr>
          <w:lang w:val="en-US"/>
        </w:rPr>
        <w:t>Input prompts: Provided text and asked for corrections and improvements in English</w:t>
      </w:r>
      <w:r w:rsidR="00826848">
        <w:rPr>
          <w:lang w:val="en-US"/>
        </w:rPr>
        <w:t xml:space="preserve"> or grammar mistakes</w:t>
      </w:r>
    </w:p>
    <w:p w14:paraId="2BCF8729" w14:textId="3B402CAD" w:rsidR="00DE2C10" w:rsidRPr="009C5487" w:rsidRDefault="00DE2C10" w:rsidP="00DE2C10">
      <w:pPr>
        <w:rPr>
          <w:rFonts w:ascii="Calibri" w:eastAsia="Calibri" w:hAnsi="Calibri"/>
          <w:kern w:val="2"/>
          <w:lang w:val="en-US"/>
        </w:rPr>
      </w:pPr>
    </w:p>
    <w:bookmarkEnd w:id="1"/>
    <w:bookmarkEnd w:id="2"/>
    <w:p w14:paraId="62A17A1E" w14:textId="77777777" w:rsidR="00551C54" w:rsidRDefault="00551C54" w:rsidP="00551C54">
      <w:pPr>
        <w:rPr>
          <w:sz w:val="22"/>
          <w:szCs w:val="22"/>
          <w:lang w:val="en-US"/>
        </w:rPr>
      </w:pPr>
    </w:p>
    <w:p w14:paraId="67D6C110" w14:textId="77777777" w:rsidR="00551C54" w:rsidRDefault="00551C54" w:rsidP="00551C54">
      <w:pPr>
        <w:rPr>
          <w:sz w:val="22"/>
          <w:szCs w:val="22"/>
          <w:lang w:val="en-US"/>
        </w:rPr>
      </w:pPr>
    </w:p>
    <w:p w14:paraId="34B97FCB" w14:textId="77777777" w:rsidR="00551C54" w:rsidRDefault="00551C54" w:rsidP="00551C54">
      <w:pPr>
        <w:rPr>
          <w:sz w:val="22"/>
          <w:szCs w:val="22"/>
          <w:lang w:val="en-US"/>
        </w:rPr>
      </w:pPr>
    </w:p>
    <w:p w14:paraId="4B6867B0" w14:textId="77777777" w:rsidR="00551C54" w:rsidRDefault="00551C54" w:rsidP="00551C54">
      <w:pPr>
        <w:rPr>
          <w:sz w:val="22"/>
          <w:szCs w:val="22"/>
          <w:lang w:val="en-US"/>
        </w:rPr>
      </w:pPr>
    </w:p>
    <w:p w14:paraId="7F5E95B6" w14:textId="77777777" w:rsidR="00551C54" w:rsidRDefault="00551C54" w:rsidP="00551C54">
      <w:pPr>
        <w:rPr>
          <w:sz w:val="22"/>
          <w:szCs w:val="22"/>
          <w:lang w:val="en-US"/>
        </w:rPr>
      </w:pPr>
    </w:p>
    <w:p w14:paraId="6AA271F5" w14:textId="77777777" w:rsidR="00551C54" w:rsidRDefault="00551C54" w:rsidP="00551C54">
      <w:pPr>
        <w:rPr>
          <w:sz w:val="22"/>
          <w:szCs w:val="22"/>
          <w:lang w:val="en-US"/>
        </w:rPr>
      </w:pPr>
    </w:p>
    <w:p w14:paraId="74FAB42B" w14:textId="77777777" w:rsidR="00551C54" w:rsidRDefault="00551C54" w:rsidP="00551C54">
      <w:pPr>
        <w:rPr>
          <w:sz w:val="22"/>
          <w:szCs w:val="22"/>
          <w:lang w:val="en-US"/>
        </w:rPr>
      </w:pPr>
    </w:p>
    <w:p w14:paraId="50DED29A" w14:textId="77777777" w:rsidR="00551C54" w:rsidRDefault="00551C54" w:rsidP="00551C54">
      <w:pPr>
        <w:rPr>
          <w:sz w:val="22"/>
          <w:szCs w:val="22"/>
          <w:lang w:val="en-US"/>
        </w:rPr>
      </w:pPr>
    </w:p>
    <w:p w14:paraId="0F4236E3" w14:textId="77777777" w:rsidR="00551C54" w:rsidRDefault="00551C54" w:rsidP="00551C54">
      <w:pPr>
        <w:rPr>
          <w:sz w:val="22"/>
          <w:szCs w:val="22"/>
          <w:lang w:val="en-US"/>
        </w:rPr>
      </w:pPr>
    </w:p>
    <w:p w14:paraId="7A406D3D" w14:textId="77777777" w:rsidR="00551C54" w:rsidRDefault="00551C54" w:rsidP="00551C54">
      <w:pPr>
        <w:rPr>
          <w:sz w:val="22"/>
          <w:szCs w:val="22"/>
          <w:lang w:val="en-US"/>
        </w:rPr>
      </w:pPr>
    </w:p>
    <w:p w14:paraId="14ABC801" w14:textId="77777777" w:rsidR="00551C54" w:rsidRDefault="00551C54" w:rsidP="00551C54">
      <w:pPr>
        <w:rPr>
          <w:sz w:val="22"/>
          <w:szCs w:val="22"/>
          <w:lang w:val="en-US"/>
        </w:rPr>
      </w:pPr>
    </w:p>
    <w:p w14:paraId="1D24982C" w14:textId="77777777" w:rsidR="00551C54" w:rsidRDefault="00551C54" w:rsidP="00551C54">
      <w:pPr>
        <w:rPr>
          <w:sz w:val="22"/>
          <w:szCs w:val="22"/>
          <w:lang w:val="en-US"/>
        </w:rPr>
      </w:pPr>
    </w:p>
    <w:p w14:paraId="1FEE803E" w14:textId="77777777" w:rsidR="00551C54" w:rsidRDefault="00551C54" w:rsidP="00551C54">
      <w:pPr>
        <w:rPr>
          <w:sz w:val="22"/>
          <w:szCs w:val="22"/>
          <w:lang w:val="en-US"/>
        </w:rPr>
      </w:pPr>
    </w:p>
    <w:p w14:paraId="1BBA7D1A" w14:textId="77777777" w:rsidR="00551C54" w:rsidRDefault="00551C54" w:rsidP="00551C54">
      <w:pPr>
        <w:rPr>
          <w:sz w:val="22"/>
          <w:szCs w:val="22"/>
          <w:lang w:val="en-US"/>
        </w:rPr>
      </w:pPr>
    </w:p>
    <w:p w14:paraId="5C5E1939" w14:textId="77777777" w:rsidR="00551C54" w:rsidRDefault="00551C54" w:rsidP="00551C54">
      <w:pPr>
        <w:rPr>
          <w:sz w:val="22"/>
          <w:szCs w:val="22"/>
          <w:lang w:val="en-US"/>
        </w:rPr>
      </w:pPr>
    </w:p>
    <w:p w14:paraId="20FA8430" w14:textId="77777777" w:rsidR="00551C54" w:rsidRDefault="00551C54" w:rsidP="00551C54">
      <w:pPr>
        <w:rPr>
          <w:sz w:val="22"/>
          <w:szCs w:val="22"/>
          <w:lang w:val="en-US"/>
        </w:rPr>
      </w:pPr>
    </w:p>
    <w:p w14:paraId="45ADEF2B" w14:textId="77777777" w:rsidR="00551C54" w:rsidRDefault="00551C54" w:rsidP="00551C54">
      <w:pPr>
        <w:rPr>
          <w:sz w:val="22"/>
          <w:szCs w:val="22"/>
          <w:lang w:val="en-US"/>
        </w:rPr>
      </w:pPr>
    </w:p>
    <w:p w14:paraId="3CBD1445" w14:textId="77777777" w:rsidR="00551C54" w:rsidRDefault="00551C54" w:rsidP="00551C54">
      <w:pPr>
        <w:rPr>
          <w:sz w:val="22"/>
          <w:szCs w:val="22"/>
          <w:lang w:val="en-US"/>
        </w:rPr>
      </w:pPr>
    </w:p>
    <w:p w14:paraId="1CA18D2D" w14:textId="5DFC0E8E" w:rsidR="00551C54" w:rsidRPr="00E46383" w:rsidRDefault="00E46383" w:rsidP="00551C54">
      <w:pPr>
        <w:rPr>
          <w:rFonts w:ascii="Arial" w:hAnsi="Arial" w:cs="Arial"/>
          <w:b/>
          <w:bCs/>
          <w:sz w:val="22"/>
          <w:szCs w:val="22"/>
          <w:lang w:val="en-US"/>
        </w:rPr>
      </w:pPr>
      <w:r w:rsidRPr="00E46383">
        <w:rPr>
          <w:rFonts w:ascii="Arial" w:hAnsi="Arial" w:cs="Arial"/>
          <w:b/>
          <w:bCs/>
          <w:sz w:val="22"/>
          <w:szCs w:val="22"/>
          <w:lang w:val="en-US"/>
        </w:rPr>
        <w:t xml:space="preserve">REFERENCES: </w:t>
      </w:r>
    </w:p>
    <w:p w14:paraId="42510F8C" w14:textId="2F777060" w:rsidR="00A876AE" w:rsidRPr="001E0CD8" w:rsidRDefault="00A876AE" w:rsidP="00E46383">
      <w:pPr>
        <w:pStyle w:val="ListParagraph"/>
        <w:numPr>
          <w:ilvl w:val="0"/>
          <w:numId w:val="4"/>
        </w:numPr>
        <w:rPr>
          <w:rFonts w:ascii="Arial" w:hAnsi="Arial" w:cs="Arial"/>
          <w:sz w:val="20"/>
          <w:szCs w:val="20"/>
          <w:highlight w:val="yellow"/>
          <w:lang w:val="en-US"/>
        </w:rPr>
      </w:pPr>
      <w:r w:rsidRPr="001E0CD8">
        <w:rPr>
          <w:rFonts w:ascii="Arial" w:hAnsi="Arial" w:cs="Arial"/>
          <w:sz w:val="20"/>
          <w:szCs w:val="20"/>
          <w:highlight w:val="yellow"/>
          <w:lang w:val="en-US"/>
        </w:rPr>
        <w:t>Savarese G, Lund LH. Global Public Health Burden of Heart Failure. Card Fail Rev</w:t>
      </w:r>
      <w:r w:rsidR="001E70CE" w:rsidRPr="001E0CD8">
        <w:rPr>
          <w:rFonts w:ascii="Arial" w:hAnsi="Arial" w:cs="Arial"/>
          <w:sz w:val="20"/>
          <w:szCs w:val="20"/>
          <w:highlight w:val="yellow"/>
          <w:lang w:val="en-US"/>
        </w:rPr>
        <w:t xml:space="preserve">. 2017 Apr;3(1):7-11. </w:t>
      </w:r>
    </w:p>
    <w:p w14:paraId="3ACE3737" w14:textId="661964FC" w:rsidR="00A876AE" w:rsidRPr="001E0CD8" w:rsidRDefault="00A876AE" w:rsidP="00E46383">
      <w:pPr>
        <w:pStyle w:val="ListParagraph"/>
        <w:numPr>
          <w:ilvl w:val="0"/>
          <w:numId w:val="4"/>
        </w:numPr>
        <w:spacing w:before="100" w:beforeAutospacing="1" w:after="100" w:afterAutospacing="1"/>
        <w:rPr>
          <w:rFonts w:ascii="Arial" w:hAnsi="Arial" w:cs="Arial"/>
          <w:sz w:val="20"/>
          <w:szCs w:val="20"/>
          <w:highlight w:val="yellow"/>
        </w:rPr>
      </w:pPr>
      <w:proofErr w:type="spellStart"/>
      <w:r w:rsidRPr="001E0CD8">
        <w:rPr>
          <w:rFonts w:ascii="Arial" w:hAnsi="Arial" w:cs="Arial"/>
          <w:sz w:val="20"/>
          <w:szCs w:val="20"/>
          <w:highlight w:val="yellow"/>
        </w:rPr>
        <w:lastRenderedPageBreak/>
        <w:t>Bozkurt</w:t>
      </w:r>
      <w:proofErr w:type="spellEnd"/>
      <w:r w:rsidRPr="001E0CD8">
        <w:rPr>
          <w:rFonts w:ascii="Arial" w:hAnsi="Arial" w:cs="Arial"/>
          <w:sz w:val="20"/>
          <w:szCs w:val="20"/>
          <w:highlight w:val="yellow"/>
        </w:rPr>
        <w:t xml:space="preserve"> B, </w:t>
      </w:r>
      <w:proofErr w:type="spellStart"/>
      <w:r w:rsidRPr="001E0CD8">
        <w:rPr>
          <w:rFonts w:ascii="Arial" w:hAnsi="Arial" w:cs="Arial"/>
          <w:sz w:val="20"/>
          <w:szCs w:val="20"/>
          <w:highlight w:val="yellow"/>
        </w:rPr>
        <w:t>Coats</w:t>
      </w:r>
      <w:proofErr w:type="spellEnd"/>
      <w:r w:rsidRPr="001E0CD8">
        <w:rPr>
          <w:rFonts w:ascii="Arial" w:hAnsi="Arial" w:cs="Arial"/>
          <w:sz w:val="20"/>
          <w:szCs w:val="20"/>
          <w:highlight w:val="yellow"/>
        </w:rPr>
        <w:t xml:space="preserve"> AJS, </w:t>
      </w:r>
      <w:proofErr w:type="spellStart"/>
      <w:r w:rsidRPr="001E0CD8">
        <w:rPr>
          <w:rFonts w:ascii="Arial" w:hAnsi="Arial" w:cs="Arial"/>
          <w:sz w:val="20"/>
          <w:szCs w:val="20"/>
          <w:highlight w:val="yellow"/>
        </w:rPr>
        <w:t>Tsutsui</w:t>
      </w:r>
      <w:proofErr w:type="spellEnd"/>
      <w:r w:rsidRPr="001E0CD8">
        <w:rPr>
          <w:rFonts w:ascii="Arial" w:hAnsi="Arial" w:cs="Arial"/>
          <w:sz w:val="20"/>
          <w:szCs w:val="20"/>
          <w:highlight w:val="yellow"/>
        </w:rPr>
        <w:t xml:space="preserve"> H, et al. </w:t>
      </w:r>
      <w:r w:rsidRPr="001E0CD8">
        <w:rPr>
          <w:rFonts w:ascii="Arial" w:hAnsi="Arial" w:cs="Arial"/>
          <w:sz w:val="20"/>
          <w:szCs w:val="20"/>
          <w:highlight w:val="yellow"/>
          <w:lang w:val="en-US"/>
        </w:rPr>
        <w:t xml:space="preserve">Universal Definition and Classification of Heart Failure: A Report of the Heart Failure Society of America, Heart Failure Association of the ESC, and Japanese Heart Failure Society. </w:t>
      </w:r>
      <w:proofErr w:type="spellStart"/>
      <w:r w:rsidRPr="001E0CD8">
        <w:rPr>
          <w:rFonts w:ascii="Arial" w:hAnsi="Arial" w:cs="Arial"/>
          <w:sz w:val="20"/>
          <w:szCs w:val="20"/>
          <w:highlight w:val="yellow"/>
        </w:rPr>
        <w:t>Eur</w:t>
      </w:r>
      <w:proofErr w:type="spellEnd"/>
      <w:r w:rsidRPr="001E0CD8">
        <w:rPr>
          <w:rFonts w:ascii="Arial" w:hAnsi="Arial" w:cs="Arial"/>
          <w:sz w:val="20"/>
          <w:szCs w:val="20"/>
          <w:highlight w:val="yellow"/>
        </w:rPr>
        <w:t xml:space="preserve"> J </w:t>
      </w:r>
      <w:proofErr w:type="spellStart"/>
      <w:r w:rsidRPr="001E0CD8">
        <w:rPr>
          <w:rFonts w:ascii="Arial" w:hAnsi="Arial" w:cs="Arial"/>
          <w:sz w:val="20"/>
          <w:szCs w:val="20"/>
          <w:highlight w:val="yellow"/>
        </w:rPr>
        <w:t>Heart</w:t>
      </w:r>
      <w:proofErr w:type="spellEnd"/>
      <w:r w:rsidRPr="001E0CD8">
        <w:rPr>
          <w:rFonts w:ascii="Arial" w:hAnsi="Arial" w:cs="Arial"/>
          <w:sz w:val="20"/>
          <w:szCs w:val="20"/>
          <w:highlight w:val="yellow"/>
        </w:rPr>
        <w:t xml:space="preserve"> Fail. 2021 </w:t>
      </w:r>
      <w:proofErr w:type="gramStart"/>
      <w:r w:rsidRPr="001E0CD8">
        <w:rPr>
          <w:rFonts w:ascii="Arial" w:hAnsi="Arial" w:cs="Arial"/>
          <w:sz w:val="20"/>
          <w:szCs w:val="20"/>
          <w:highlight w:val="yellow"/>
        </w:rPr>
        <w:t>Apr;</w:t>
      </w:r>
      <w:proofErr w:type="gramEnd"/>
      <w:r w:rsidRPr="001E0CD8">
        <w:rPr>
          <w:rFonts w:ascii="Arial" w:hAnsi="Arial" w:cs="Arial"/>
          <w:sz w:val="20"/>
          <w:szCs w:val="20"/>
          <w:highlight w:val="yellow"/>
        </w:rPr>
        <w:t>23(4</w:t>
      </w:r>
      <w:proofErr w:type="gramStart"/>
      <w:r w:rsidRPr="001E0CD8">
        <w:rPr>
          <w:rFonts w:ascii="Arial" w:hAnsi="Arial" w:cs="Arial"/>
          <w:sz w:val="20"/>
          <w:szCs w:val="20"/>
          <w:highlight w:val="yellow"/>
        </w:rPr>
        <w:t>):</w:t>
      </w:r>
      <w:proofErr w:type="gramEnd"/>
      <w:r w:rsidRPr="001E0CD8">
        <w:rPr>
          <w:rFonts w:ascii="Arial" w:hAnsi="Arial" w:cs="Arial"/>
          <w:sz w:val="20"/>
          <w:szCs w:val="20"/>
          <w:highlight w:val="yellow"/>
        </w:rPr>
        <w:t>352-380.</w:t>
      </w:r>
    </w:p>
    <w:p w14:paraId="14290C27" w14:textId="1906C63B" w:rsidR="00A876AE" w:rsidRPr="00E46383" w:rsidRDefault="00A876AE" w:rsidP="00E46383">
      <w:pPr>
        <w:pStyle w:val="ListParagraph"/>
        <w:numPr>
          <w:ilvl w:val="0"/>
          <w:numId w:val="4"/>
        </w:numPr>
        <w:spacing w:before="100" w:beforeAutospacing="1" w:after="100" w:afterAutospacing="1"/>
        <w:rPr>
          <w:rFonts w:ascii="Arial" w:hAnsi="Arial" w:cs="Arial"/>
          <w:sz w:val="20"/>
          <w:szCs w:val="20"/>
          <w:lang w:val="en-US"/>
        </w:rPr>
      </w:pPr>
      <w:r w:rsidRPr="001E0CD8">
        <w:rPr>
          <w:rFonts w:ascii="Arial" w:hAnsi="Arial" w:cs="Arial"/>
          <w:sz w:val="20"/>
          <w:szCs w:val="20"/>
          <w:highlight w:val="yellow"/>
        </w:rPr>
        <w:t xml:space="preserve">Shah KS, Xu H, </w:t>
      </w:r>
      <w:proofErr w:type="spellStart"/>
      <w:r w:rsidRPr="001E0CD8">
        <w:rPr>
          <w:rFonts w:ascii="Arial" w:hAnsi="Arial" w:cs="Arial"/>
          <w:sz w:val="20"/>
          <w:szCs w:val="20"/>
          <w:highlight w:val="yellow"/>
        </w:rPr>
        <w:t>Matsouaka</w:t>
      </w:r>
      <w:proofErr w:type="spellEnd"/>
      <w:r w:rsidRPr="001E0CD8">
        <w:rPr>
          <w:rFonts w:ascii="Arial" w:hAnsi="Arial" w:cs="Arial"/>
          <w:sz w:val="20"/>
          <w:szCs w:val="20"/>
          <w:highlight w:val="yellow"/>
        </w:rPr>
        <w:t xml:space="preserve"> RA, et al. </w:t>
      </w:r>
      <w:r w:rsidRPr="001E0CD8">
        <w:rPr>
          <w:rFonts w:ascii="Arial" w:hAnsi="Arial" w:cs="Arial"/>
          <w:sz w:val="20"/>
          <w:szCs w:val="20"/>
          <w:highlight w:val="yellow"/>
          <w:lang w:val="en-US"/>
        </w:rPr>
        <w:t xml:space="preserve">Heart Failure with Preserved, Borderline, and Reduced Ejection Fraction: 5-Year Outcomes. J Am Coll </w:t>
      </w:r>
      <w:proofErr w:type="spellStart"/>
      <w:r w:rsidRPr="001E0CD8">
        <w:rPr>
          <w:rFonts w:ascii="Arial" w:hAnsi="Arial" w:cs="Arial"/>
          <w:sz w:val="20"/>
          <w:szCs w:val="20"/>
          <w:highlight w:val="yellow"/>
          <w:lang w:val="en-US"/>
        </w:rPr>
        <w:t>Cardiol</w:t>
      </w:r>
      <w:proofErr w:type="spellEnd"/>
      <w:r w:rsidRPr="001E0CD8">
        <w:rPr>
          <w:rFonts w:ascii="Arial" w:hAnsi="Arial" w:cs="Arial"/>
          <w:sz w:val="20"/>
          <w:szCs w:val="20"/>
          <w:highlight w:val="yellow"/>
          <w:lang w:val="en-US"/>
        </w:rPr>
        <w:t>. 2017 Sep 5;70(20):2476-2486</w:t>
      </w:r>
      <w:r w:rsidRPr="00E46383">
        <w:rPr>
          <w:rFonts w:ascii="Arial" w:hAnsi="Arial" w:cs="Arial"/>
          <w:sz w:val="20"/>
          <w:szCs w:val="20"/>
          <w:lang w:val="en-US"/>
        </w:rPr>
        <w:t>.</w:t>
      </w:r>
    </w:p>
    <w:p w14:paraId="27A651A7" w14:textId="3D3C5717" w:rsidR="00F2733F" w:rsidRPr="001E0CD8" w:rsidRDefault="00F2733F" w:rsidP="00E46383">
      <w:pPr>
        <w:pStyle w:val="ListParagraph"/>
        <w:numPr>
          <w:ilvl w:val="0"/>
          <w:numId w:val="4"/>
        </w:numPr>
        <w:rPr>
          <w:rFonts w:ascii="Arial" w:eastAsia="Times New Roman" w:hAnsi="Arial" w:cs="Arial"/>
          <w:sz w:val="20"/>
          <w:szCs w:val="20"/>
          <w:highlight w:val="yellow"/>
          <w:lang w:val="en-US"/>
        </w:rPr>
      </w:pPr>
      <w:r w:rsidRPr="001E0CD8">
        <w:rPr>
          <w:rFonts w:ascii="Arial" w:eastAsia="Times New Roman" w:hAnsi="Arial" w:cs="Arial"/>
          <w:sz w:val="20"/>
          <w:szCs w:val="20"/>
          <w:highlight w:val="yellow"/>
          <w:lang w:val="nl-NL"/>
        </w:rPr>
        <w:t xml:space="preserve">Tromp J, Tay WT, Ouwerkerk W, et al. </w:t>
      </w:r>
      <w:r w:rsidRPr="001E0CD8">
        <w:rPr>
          <w:rStyle w:val="Emphasis"/>
          <w:rFonts w:ascii="Arial" w:eastAsia="Times New Roman" w:hAnsi="Arial" w:cs="Arial"/>
          <w:sz w:val="20"/>
          <w:szCs w:val="20"/>
          <w:highlight w:val="yellow"/>
          <w:lang w:val="en-US"/>
        </w:rPr>
        <w:t>Multimorbidity in patients with heart failure from 11 Asian regions: A prospective cohort study using the ASIAN-HF registry.</w:t>
      </w:r>
      <w:r w:rsidRPr="001E0CD8">
        <w:rPr>
          <w:rFonts w:ascii="Arial" w:eastAsia="Times New Roman" w:hAnsi="Arial" w:cs="Arial"/>
          <w:sz w:val="20"/>
          <w:szCs w:val="20"/>
          <w:highlight w:val="yellow"/>
          <w:lang w:val="en-US"/>
        </w:rPr>
        <w:t xml:space="preserve"> </w:t>
      </w:r>
      <w:proofErr w:type="spellStart"/>
      <w:r w:rsidRPr="001E0CD8">
        <w:rPr>
          <w:rFonts w:ascii="Arial" w:eastAsia="Times New Roman" w:hAnsi="Arial" w:cs="Arial"/>
          <w:sz w:val="20"/>
          <w:szCs w:val="20"/>
          <w:highlight w:val="yellow"/>
          <w:lang w:val="en-US"/>
        </w:rPr>
        <w:t>PLoS</w:t>
      </w:r>
      <w:proofErr w:type="spellEnd"/>
      <w:r w:rsidRPr="001E0CD8">
        <w:rPr>
          <w:rFonts w:ascii="Arial" w:eastAsia="Times New Roman" w:hAnsi="Arial" w:cs="Arial"/>
          <w:sz w:val="20"/>
          <w:szCs w:val="20"/>
          <w:highlight w:val="yellow"/>
          <w:lang w:val="en-US"/>
        </w:rPr>
        <w:t xml:space="preserve"> Med. 2018 Mar 27;15(3</w:t>
      </w:r>
      <w:proofErr w:type="gramStart"/>
      <w:r w:rsidRPr="001E0CD8">
        <w:rPr>
          <w:rFonts w:ascii="Arial" w:eastAsia="Times New Roman" w:hAnsi="Arial" w:cs="Arial"/>
          <w:sz w:val="20"/>
          <w:szCs w:val="20"/>
          <w:highlight w:val="yellow"/>
          <w:lang w:val="en-US"/>
        </w:rPr>
        <w:t>):e</w:t>
      </w:r>
      <w:proofErr w:type="gramEnd"/>
      <w:r w:rsidRPr="001E0CD8">
        <w:rPr>
          <w:rFonts w:ascii="Arial" w:eastAsia="Times New Roman" w:hAnsi="Arial" w:cs="Arial"/>
          <w:sz w:val="20"/>
          <w:szCs w:val="20"/>
          <w:highlight w:val="yellow"/>
          <w:lang w:val="en-US"/>
        </w:rPr>
        <w:t>1002541.</w:t>
      </w:r>
    </w:p>
    <w:p w14:paraId="4B2C8D7D" w14:textId="14C4917B" w:rsidR="00A876AE" w:rsidRPr="001E0CD8" w:rsidRDefault="00A876AE" w:rsidP="00E46383">
      <w:pPr>
        <w:pStyle w:val="ListParagraph"/>
        <w:numPr>
          <w:ilvl w:val="0"/>
          <w:numId w:val="4"/>
        </w:numPr>
        <w:spacing w:before="100" w:beforeAutospacing="1" w:after="100" w:afterAutospacing="1"/>
        <w:rPr>
          <w:rFonts w:ascii="Arial" w:hAnsi="Arial" w:cs="Arial"/>
          <w:sz w:val="20"/>
          <w:szCs w:val="20"/>
          <w:highlight w:val="yellow"/>
          <w:lang w:val="en-US"/>
        </w:rPr>
      </w:pPr>
      <w:r w:rsidRPr="001E0CD8">
        <w:rPr>
          <w:rFonts w:ascii="Arial" w:hAnsi="Arial" w:cs="Arial"/>
          <w:sz w:val="20"/>
          <w:szCs w:val="20"/>
          <w:highlight w:val="yellow"/>
          <w:lang w:val="en-US"/>
        </w:rPr>
        <w:t xml:space="preserve">Mentz RJ, O’Connor CM. Pathophysiology and Clinical Evaluation of Acute Heart Failure. Nat Rev </w:t>
      </w:r>
      <w:proofErr w:type="spellStart"/>
      <w:r w:rsidRPr="001E0CD8">
        <w:rPr>
          <w:rFonts w:ascii="Arial" w:hAnsi="Arial" w:cs="Arial"/>
          <w:sz w:val="20"/>
          <w:szCs w:val="20"/>
          <w:highlight w:val="yellow"/>
          <w:lang w:val="en-US"/>
        </w:rPr>
        <w:t>Cardiol</w:t>
      </w:r>
      <w:proofErr w:type="spellEnd"/>
      <w:r w:rsidRPr="001E0CD8">
        <w:rPr>
          <w:rFonts w:ascii="Arial" w:hAnsi="Arial" w:cs="Arial"/>
          <w:sz w:val="20"/>
          <w:szCs w:val="20"/>
          <w:highlight w:val="yellow"/>
          <w:lang w:val="en-US"/>
        </w:rPr>
        <w:t>. 2016 Nov;13(11):676-687.</w:t>
      </w:r>
    </w:p>
    <w:p w14:paraId="073CC7A9" w14:textId="42EC1C19" w:rsidR="00A876AE" w:rsidRPr="001E0CD8" w:rsidRDefault="00A876AE" w:rsidP="00E46383">
      <w:pPr>
        <w:pStyle w:val="ListParagraph"/>
        <w:numPr>
          <w:ilvl w:val="0"/>
          <w:numId w:val="4"/>
        </w:numPr>
        <w:spacing w:before="100" w:beforeAutospacing="1" w:after="100" w:afterAutospacing="1"/>
        <w:rPr>
          <w:rFonts w:ascii="Arial" w:hAnsi="Arial" w:cs="Arial"/>
          <w:sz w:val="20"/>
          <w:szCs w:val="20"/>
          <w:highlight w:val="yellow"/>
        </w:rPr>
      </w:pPr>
      <w:r w:rsidRPr="001E0CD8">
        <w:rPr>
          <w:rFonts w:ascii="Arial" w:hAnsi="Arial" w:cs="Arial"/>
          <w:sz w:val="20"/>
          <w:szCs w:val="20"/>
          <w:highlight w:val="yellow"/>
          <w:lang w:val="en-US"/>
        </w:rPr>
        <w:t xml:space="preserve">Charlson ME, Pompei P, Ales KL, </w:t>
      </w:r>
      <w:proofErr w:type="spellStart"/>
      <w:r w:rsidRPr="001E0CD8">
        <w:rPr>
          <w:rFonts w:ascii="Arial" w:hAnsi="Arial" w:cs="Arial"/>
          <w:sz w:val="20"/>
          <w:szCs w:val="20"/>
          <w:highlight w:val="yellow"/>
          <w:lang w:val="en-US"/>
        </w:rPr>
        <w:t>MacKenzie</w:t>
      </w:r>
      <w:proofErr w:type="spellEnd"/>
      <w:r w:rsidRPr="001E0CD8">
        <w:rPr>
          <w:rFonts w:ascii="Arial" w:hAnsi="Arial" w:cs="Arial"/>
          <w:sz w:val="20"/>
          <w:szCs w:val="20"/>
          <w:highlight w:val="yellow"/>
          <w:lang w:val="en-US"/>
        </w:rPr>
        <w:t xml:space="preserve"> CR. A New Method of Classifying Prognostic Comorbidity in Longitudinal Studies: Development and Validation. </w:t>
      </w:r>
      <w:r w:rsidRPr="001E0CD8">
        <w:rPr>
          <w:rFonts w:ascii="Arial" w:hAnsi="Arial" w:cs="Arial"/>
          <w:sz w:val="20"/>
          <w:szCs w:val="20"/>
          <w:highlight w:val="yellow"/>
        </w:rPr>
        <w:t xml:space="preserve">J </w:t>
      </w:r>
      <w:proofErr w:type="spellStart"/>
      <w:r w:rsidRPr="001E0CD8">
        <w:rPr>
          <w:rFonts w:ascii="Arial" w:hAnsi="Arial" w:cs="Arial"/>
          <w:sz w:val="20"/>
          <w:szCs w:val="20"/>
          <w:highlight w:val="yellow"/>
        </w:rPr>
        <w:t>Chronic</w:t>
      </w:r>
      <w:proofErr w:type="spellEnd"/>
      <w:r w:rsidRPr="001E0CD8">
        <w:rPr>
          <w:rFonts w:ascii="Arial" w:hAnsi="Arial" w:cs="Arial"/>
          <w:sz w:val="20"/>
          <w:szCs w:val="20"/>
          <w:highlight w:val="yellow"/>
        </w:rPr>
        <w:t xml:space="preserve"> Dis. </w:t>
      </w:r>
      <w:proofErr w:type="gramStart"/>
      <w:r w:rsidRPr="001E0CD8">
        <w:rPr>
          <w:rFonts w:ascii="Arial" w:hAnsi="Arial" w:cs="Arial"/>
          <w:sz w:val="20"/>
          <w:szCs w:val="20"/>
          <w:highlight w:val="yellow"/>
        </w:rPr>
        <w:t>1987;</w:t>
      </w:r>
      <w:proofErr w:type="gramEnd"/>
      <w:r w:rsidRPr="001E0CD8">
        <w:rPr>
          <w:rFonts w:ascii="Arial" w:hAnsi="Arial" w:cs="Arial"/>
          <w:sz w:val="20"/>
          <w:szCs w:val="20"/>
          <w:highlight w:val="yellow"/>
        </w:rPr>
        <w:t>40(5</w:t>
      </w:r>
      <w:proofErr w:type="gramStart"/>
      <w:r w:rsidRPr="001E0CD8">
        <w:rPr>
          <w:rFonts w:ascii="Arial" w:hAnsi="Arial" w:cs="Arial"/>
          <w:sz w:val="20"/>
          <w:szCs w:val="20"/>
          <w:highlight w:val="yellow"/>
        </w:rPr>
        <w:t>):</w:t>
      </w:r>
      <w:proofErr w:type="gramEnd"/>
      <w:r w:rsidRPr="001E0CD8">
        <w:rPr>
          <w:rFonts w:ascii="Arial" w:hAnsi="Arial" w:cs="Arial"/>
          <w:sz w:val="20"/>
          <w:szCs w:val="20"/>
          <w:highlight w:val="yellow"/>
        </w:rPr>
        <w:t>373-383.</w:t>
      </w:r>
    </w:p>
    <w:p w14:paraId="55A7E742" w14:textId="5F06AE49" w:rsidR="00806D37" w:rsidRPr="001E0CD8" w:rsidRDefault="00806D37" w:rsidP="00E46383">
      <w:pPr>
        <w:pStyle w:val="ListParagraph"/>
        <w:numPr>
          <w:ilvl w:val="0"/>
          <w:numId w:val="4"/>
        </w:numPr>
        <w:rPr>
          <w:rFonts w:ascii="Arial" w:eastAsia="Times New Roman" w:hAnsi="Arial" w:cs="Arial"/>
          <w:color w:val="000000" w:themeColor="text1"/>
          <w:sz w:val="20"/>
          <w:szCs w:val="20"/>
          <w:highlight w:val="yellow"/>
          <w:lang w:val="en-US"/>
        </w:rPr>
      </w:pPr>
      <w:r w:rsidRPr="001E0CD8">
        <w:rPr>
          <w:rFonts w:ascii="Arial" w:eastAsia="Times New Roman" w:hAnsi="Arial" w:cs="Arial"/>
          <w:color w:val="000000" w:themeColor="text1"/>
          <w:sz w:val="20"/>
          <w:szCs w:val="20"/>
          <w:highlight w:val="yellow"/>
          <w:lang w:val="en-US"/>
        </w:rPr>
        <w:t>AS Bhatt, AP Ambrosy, A Dunning, </w:t>
      </w:r>
      <w:r w:rsidRPr="001E0CD8">
        <w:rPr>
          <w:rStyle w:val="Emphasis"/>
          <w:rFonts w:ascii="Arial" w:eastAsia="Times New Roman" w:hAnsi="Arial" w:cs="Arial"/>
          <w:color w:val="000000" w:themeColor="text1"/>
          <w:sz w:val="20"/>
          <w:szCs w:val="20"/>
          <w:highlight w:val="yellow"/>
          <w:lang w:val="en-US"/>
        </w:rPr>
        <w:t>et al.</w:t>
      </w:r>
      <w:r w:rsidRPr="001E0CD8">
        <w:rPr>
          <w:rFonts w:ascii="Arial" w:eastAsia="Times New Roman" w:hAnsi="Arial" w:cs="Arial"/>
          <w:color w:val="000000" w:themeColor="text1"/>
          <w:sz w:val="20"/>
          <w:szCs w:val="20"/>
          <w:highlight w:val="yellow"/>
          <w:lang w:val="en-US"/>
        </w:rPr>
        <w:t xml:space="preserve"> The burden of non-cardiac comorbidities and association with clinical outcomes in an acute heart failure trial – insights from ASCEND-HF </w:t>
      </w:r>
      <w:proofErr w:type="spellStart"/>
      <w:r w:rsidRPr="001E0CD8">
        <w:rPr>
          <w:rFonts w:ascii="Arial" w:eastAsia="Times New Roman" w:hAnsi="Arial" w:cs="Arial"/>
          <w:color w:val="000000" w:themeColor="text1"/>
          <w:sz w:val="20"/>
          <w:szCs w:val="20"/>
          <w:highlight w:val="yellow"/>
          <w:lang w:val="en-US"/>
        </w:rPr>
        <w:t>Eur</w:t>
      </w:r>
      <w:proofErr w:type="spellEnd"/>
      <w:r w:rsidRPr="001E0CD8">
        <w:rPr>
          <w:rFonts w:ascii="Arial" w:eastAsia="Times New Roman" w:hAnsi="Arial" w:cs="Arial"/>
          <w:color w:val="000000" w:themeColor="text1"/>
          <w:sz w:val="20"/>
          <w:szCs w:val="20"/>
          <w:highlight w:val="yellow"/>
          <w:lang w:val="en-US"/>
        </w:rPr>
        <w:t xml:space="preserve"> J Heart Fail, 22 (2020), pp. 1022-1031</w:t>
      </w:r>
    </w:p>
    <w:p w14:paraId="136E6F24" w14:textId="7B26B1E1" w:rsidR="00806D37" w:rsidRPr="001E0CD8" w:rsidRDefault="00806D37" w:rsidP="00E46383">
      <w:pPr>
        <w:pStyle w:val="NormalWeb"/>
        <w:numPr>
          <w:ilvl w:val="0"/>
          <w:numId w:val="4"/>
        </w:numPr>
        <w:rPr>
          <w:rFonts w:ascii="Arial" w:hAnsi="Arial" w:cs="Arial"/>
          <w:sz w:val="20"/>
          <w:szCs w:val="20"/>
          <w:highlight w:val="yellow"/>
        </w:rPr>
      </w:pPr>
      <w:proofErr w:type="spellStart"/>
      <w:r w:rsidRPr="001E0CD8">
        <w:rPr>
          <w:rStyle w:val="relative"/>
          <w:rFonts w:ascii="Arial" w:hAnsi="Arial" w:cs="Arial"/>
          <w:sz w:val="20"/>
          <w:szCs w:val="20"/>
          <w:highlight w:val="yellow"/>
        </w:rPr>
        <w:t>Formiga</w:t>
      </w:r>
      <w:proofErr w:type="spellEnd"/>
      <w:r w:rsidRPr="001E0CD8">
        <w:rPr>
          <w:rStyle w:val="relative"/>
          <w:rFonts w:ascii="Arial" w:hAnsi="Arial" w:cs="Arial"/>
          <w:sz w:val="20"/>
          <w:szCs w:val="20"/>
          <w:highlight w:val="yellow"/>
        </w:rPr>
        <w:t xml:space="preserve"> F, Moreno-Gonzalez R, </w:t>
      </w:r>
      <w:proofErr w:type="spellStart"/>
      <w:r w:rsidRPr="001E0CD8">
        <w:rPr>
          <w:rStyle w:val="relative"/>
          <w:rFonts w:ascii="Arial" w:hAnsi="Arial" w:cs="Arial"/>
          <w:sz w:val="20"/>
          <w:szCs w:val="20"/>
          <w:highlight w:val="yellow"/>
        </w:rPr>
        <w:t>Chivite</w:t>
      </w:r>
      <w:proofErr w:type="spellEnd"/>
      <w:r w:rsidRPr="001E0CD8">
        <w:rPr>
          <w:rStyle w:val="relative"/>
          <w:rFonts w:ascii="Arial" w:hAnsi="Arial" w:cs="Arial"/>
          <w:sz w:val="20"/>
          <w:szCs w:val="20"/>
          <w:highlight w:val="yellow"/>
        </w:rPr>
        <w:t xml:space="preserve"> D, et al. </w:t>
      </w:r>
      <w:r w:rsidRPr="001E0CD8">
        <w:rPr>
          <w:rStyle w:val="relative"/>
          <w:rFonts w:ascii="Arial" w:hAnsi="Arial" w:cs="Arial"/>
          <w:sz w:val="20"/>
          <w:szCs w:val="20"/>
          <w:highlight w:val="yellow"/>
          <w:lang w:val="en-US"/>
        </w:rPr>
        <w:t xml:space="preserve">High comorbidity, measured by the Charlson Comorbidity Index, associates with higher 1-year mortality risks in elderly patients experiencing a first acute heart failure hospitalization. </w:t>
      </w:r>
      <w:proofErr w:type="spellStart"/>
      <w:r w:rsidRPr="001E0CD8">
        <w:rPr>
          <w:rStyle w:val="Emphasis"/>
          <w:rFonts w:ascii="Arial" w:hAnsi="Arial" w:cs="Arial"/>
          <w:sz w:val="20"/>
          <w:szCs w:val="20"/>
          <w:highlight w:val="yellow"/>
        </w:rPr>
        <w:t>Aging</w:t>
      </w:r>
      <w:proofErr w:type="spellEnd"/>
      <w:r w:rsidRPr="001E0CD8">
        <w:rPr>
          <w:rStyle w:val="Emphasis"/>
          <w:rFonts w:ascii="Arial" w:hAnsi="Arial" w:cs="Arial"/>
          <w:sz w:val="20"/>
          <w:szCs w:val="20"/>
          <w:highlight w:val="yellow"/>
        </w:rPr>
        <w:t xml:space="preserve"> Clin </w:t>
      </w:r>
      <w:proofErr w:type="spellStart"/>
      <w:r w:rsidRPr="001E0CD8">
        <w:rPr>
          <w:rStyle w:val="Emphasis"/>
          <w:rFonts w:ascii="Arial" w:hAnsi="Arial" w:cs="Arial"/>
          <w:sz w:val="20"/>
          <w:szCs w:val="20"/>
          <w:highlight w:val="yellow"/>
        </w:rPr>
        <w:t>Exp</w:t>
      </w:r>
      <w:proofErr w:type="spellEnd"/>
      <w:r w:rsidRPr="001E0CD8">
        <w:rPr>
          <w:rStyle w:val="Emphasis"/>
          <w:rFonts w:ascii="Arial" w:hAnsi="Arial" w:cs="Arial"/>
          <w:sz w:val="20"/>
          <w:szCs w:val="20"/>
          <w:highlight w:val="yellow"/>
        </w:rPr>
        <w:t xml:space="preserve"> </w:t>
      </w:r>
      <w:proofErr w:type="spellStart"/>
      <w:r w:rsidRPr="001E0CD8">
        <w:rPr>
          <w:rStyle w:val="Emphasis"/>
          <w:rFonts w:ascii="Arial" w:hAnsi="Arial" w:cs="Arial"/>
          <w:sz w:val="20"/>
          <w:szCs w:val="20"/>
          <w:highlight w:val="yellow"/>
        </w:rPr>
        <w:t>Res</w:t>
      </w:r>
      <w:proofErr w:type="spellEnd"/>
      <w:r w:rsidRPr="001E0CD8">
        <w:rPr>
          <w:rStyle w:val="relative"/>
          <w:rFonts w:ascii="Arial" w:hAnsi="Arial" w:cs="Arial"/>
          <w:sz w:val="20"/>
          <w:szCs w:val="20"/>
          <w:highlight w:val="yellow"/>
        </w:rPr>
        <w:t xml:space="preserve">. </w:t>
      </w:r>
      <w:proofErr w:type="gramStart"/>
      <w:r w:rsidRPr="001E0CD8">
        <w:rPr>
          <w:rStyle w:val="relative"/>
          <w:rFonts w:ascii="Arial" w:hAnsi="Arial" w:cs="Arial"/>
          <w:sz w:val="20"/>
          <w:szCs w:val="20"/>
          <w:highlight w:val="yellow"/>
        </w:rPr>
        <w:t>2018;</w:t>
      </w:r>
      <w:proofErr w:type="gramEnd"/>
      <w:r w:rsidRPr="001E0CD8">
        <w:rPr>
          <w:rStyle w:val="relative"/>
          <w:rFonts w:ascii="Arial" w:hAnsi="Arial" w:cs="Arial"/>
          <w:sz w:val="20"/>
          <w:szCs w:val="20"/>
          <w:highlight w:val="yellow"/>
        </w:rPr>
        <w:t>30(8</w:t>
      </w:r>
      <w:proofErr w:type="gramStart"/>
      <w:r w:rsidRPr="001E0CD8">
        <w:rPr>
          <w:rStyle w:val="relative"/>
          <w:rFonts w:ascii="Arial" w:hAnsi="Arial" w:cs="Arial"/>
          <w:sz w:val="20"/>
          <w:szCs w:val="20"/>
          <w:highlight w:val="yellow"/>
        </w:rPr>
        <w:t>):</w:t>
      </w:r>
      <w:proofErr w:type="gramEnd"/>
      <w:r w:rsidRPr="001E0CD8">
        <w:rPr>
          <w:rStyle w:val="relative"/>
          <w:rFonts w:ascii="Arial" w:hAnsi="Arial" w:cs="Arial"/>
          <w:sz w:val="20"/>
          <w:szCs w:val="20"/>
          <w:highlight w:val="yellow"/>
        </w:rPr>
        <w:t>927–933.</w:t>
      </w:r>
    </w:p>
    <w:p w14:paraId="1035D88D" w14:textId="5B5520BD" w:rsidR="00DD5499" w:rsidRPr="001E0CD8" w:rsidRDefault="00DD5499" w:rsidP="00E46383">
      <w:pPr>
        <w:pStyle w:val="ListParagraph"/>
        <w:numPr>
          <w:ilvl w:val="0"/>
          <w:numId w:val="4"/>
        </w:numPr>
        <w:rPr>
          <w:rFonts w:ascii="Arial" w:eastAsia="Times New Roman" w:hAnsi="Arial" w:cs="Arial"/>
          <w:sz w:val="20"/>
          <w:szCs w:val="20"/>
          <w:highlight w:val="yellow"/>
          <w:lang w:val="en-US"/>
        </w:rPr>
      </w:pPr>
      <w:r w:rsidRPr="001E0CD8">
        <w:rPr>
          <w:rFonts w:ascii="Arial" w:eastAsia="Times New Roman" w:hAnsi="Arial" w:cs="Arial"/>
          <w:sz w:val="20"/>
          <w:szCs w:val="20"/>
          <w:highlight w:val="yellow"/>
        </w:rPr>
        <w:t xml:space="preserve">Sheng S, Xu F, Zhang Y, Hu L, Liang Y, Bai J, et al. </w:t>
      </w:r>
      <w:r w:rsidRPr="001E0CD8">
        <w:rPr>
          <w:rFonts w:ascii="Arial" w:eastAsia="Times New Roman" w:hAnsi="Arial" w:cs="Arial"/>
          <w:sz w:val="20"/>
          <w:szCs w:val="20"/>
          <w:highlight w:val="yellow"/>
          <w:lang w:val="en-US"/>
        </w:rPr>
        <w:t xml:space="preserve">Charlson Comorbidity Index is correlated with all-cause readmission within six months in patients with heart failure: a retrospective cohort study in China. </w:t>
      </w:r>
      <w:r w:rsidRPr="001E0CD8">
        <w:rPr>
          <w:rStyle w:val="Emphasis"/>
          <w:rFonts w:ascii="Arial" w:eastAsia="Times New Roman" w:hAnsi="Arial" w:cs="Arial"/>
          <w:sz w:val="20"/>
          <w:szCs w:val="20"/>
          <w:highlight w:val="yellow"/>
          <w:lang w:val="en-US"/>
        </w:rPr>
        <w:t xml:space="preserve">BMC Cardiovasc </w:t>
      </w:r>
      <w:proofErr w:type="spellStart"/>
      <w:r w:rsidRPr="001E0CD8">
        <w:rPr>
          <w:rStyle w:val="Emphasis"/>
          <w:rFonts w:ascii="Arial" w:eastAsia="Times New Roman" w:hAnsi="Arial" w:cs="Arial"/>
          <w:sz w:val="20"/>
          <w:szCs w:val="20"/>
          <w:highlight w:val="yellow"/>
          <w:lang w:val="en-US"/>
        </w:rPr>
        <w:t>Disord</w:t>
      </w:r>
      <w:proofErr w:type="spellEnd"/>
      <w:r w:rsidRPr="001E0CD8">
        <w:rPr>
          <w:rFonts w:ascii="Arial" w:eastAsia="Times New Roman" w:hAnsi="Arial" w:cs="Arial"/>
          <w:sz w:val="20"/>
          <w:szCs w:val="20"/>
          <w:highlight w:val="yellow"/>
          <w:lang w:val="en-US"/>
        </w:rPr>
        <w:t xml:space="preserve">. </w:t>
      </w:r>
      <w:proofErr w:type="gramStart"/>
      <w:r w:rsidRPr="001E0CD8">
        <w:rPr>
          <w:rFonts w:ascii="Arial" w:eastAsia="Times New Roman" w:hAnsi="Arial" w:cs="Arial"/>
          <w:sz w:val="20"/>
          <w:szCs w:val="20"/>
          <w:highlight w:val="yellow"/>
          <w:lang w:val="en-US"/>
        </w:rPr>
        <w:t>2023;23:271</w:t>
      </w:r>
      <w:proofErr w:type="gramEnd"/>
      <w:r w:rsidRPr="001E0CD8">
        <w:rPr>
          <w:rFonts w:ascii="Arial" w:eastAsia="Times New Roman" w:hAnsi="Arial" w:cs="Arial"/>
          <w:sz w:val="20"/>
          <w:szCs w:val="20"/>
          <w:highlight w:val="yellow"/>
          <w:lang w:val="en-US"/>
        </w:rPr>
        <w:t>. doi:10.1186/s12872-023-03151-9.</w:t>
      </w:r>
    </w:p>
    <w:p w14:paraId="2094A8CE" w14:textId="77777777" w:rsidR="00EE6E56" w:rsidRPr="001E0CD8" w:rsidRDefault="00EE6E56" w:rsidP="00EE6E56">
      <w:pPr>
        <w:pStyle w:val="ListParagraph"/>
        <w:numPr>
          <w:ilvl w:val="0"/>
          <w:numId w:val="4"/>
        </w:numPr>
        <w:rPr>
          <w:rFonts w:ascii="Arial" w:eastAsia="Times New Roman" w:hAnsi="Arial" w:cs="Arial"/>
          <w:sz w:val="20"/>
          <w:szCs w:val="20"/>
          <w:highlight w:val="yellow"/>
        </w:rPr>
      </w:pPr>
      <w:r w:rsidRPr="001E0CD8">
        <w:rPr>
          <w:rFonts w:ascii="Arial" w:eastAsia="Times New Roman" w:hAnsi="Arial" w:cs="Arial"/>
          <w:sz w:val="20"/>
          <w:szCs w:val="20"/>
          <w:highlight w:val="yellow"/>
          <w:lang w:val="nl-NL"/>
        </w:rPr>
        <w:t xml:space="preserve">Chuzi, S., Saylor, M. A., Allen, L. A., Goldstein, N. E., Warraich, H. J., Kavalieratos, D., et al. </w:t>
      </w:r>
      <w:r w:rsidRPr="001E0CD8">
        <w:rPr>
          <w:rFonts w:ascii="Arial" w:eastAsia="Times New Roman" w:hAnsi="Arial" w:cs="Arial"/>
          <w:sz w:val="20"/>
          <w:szCs w:val="20"/>
          <w:highlight w:val="yellow"/>
          <w:lang w:val="en-US"/>
        </w:rPr>
        <w:t xml:space="preserve">(2025). Integration of palliative care into heart failure care: Consensus-based recommendations from the Heart Failure Society of America. </w:t>
      </w:r>
      <w:r w:rsidRPr="001E0CD8">
        <w:rPr>
          <w:rStyle w:val="Emphasis"/>
          <w:rFonts w:ascii="Arial" w:eastAsia="Times New Roman" w:hAnsi="Arial" w:cs="Arial"/>
          <w:sz w:val="20"/>
          <w:szCs w:val="20"/>
          <w:highlight w:val="yellow"/>
        </w:rPr>
        <w:t>Journal of Cardiac Failure</w:t>
      </w:r>
      <w:r w:rsidRPr="001E0CD8">
        <w:rPr>
          <w:rFonts w:ascii="Arial" w:eastAsia="Times New Roman" w:hAnsi="Arial" w:cs="Arial"/>
          <w:sz w:val="20"/>
          <w:szCs w:val="20"/>
          <w:highlight w:val="yellow"/>
        </w:rPr>
        <w:t>, 31(3), 559–573. https://doi.org/10.1016/j.cardfail.2024.12.012</w:t>
      </w:r>
    </w:p>
    <w:p w14:paraId="6BF51547" w14:textId="3951CF9F" w:rsidR="00612CC0" w:rsidRPr="005D283C" w:rsidRDefault="00612CC0" w:rsidP="005D283C">
      <w:pPr>
        <w:rPr>
          <w:sz w:val="22"/>
          <w:szCs w:val="22"/>
          <w:lang w:val="en-US"/>
        </w:rPr>
      </w:pPr>
    </w:p>
    <w:p w14:paraId="343E339D" w14:textId="77777777" w:rsidR="00612CC0" w:rsidRPr="00B46169" w:rsidRDefault="00612CC0">
      <w:pPr>
        <w:rPr>
          <w:sz w:val="22"/>
          <w:szCs w:val="22"/>
          <w:lang w:val="en-US"/>
        </w:rPr>
      </w:pPr>
    </w:p>
    <w:p w14:paraId="798250FF" w14:textId="7423D377" w:rsidR="000D5C87" w:rsidRDefault="0098705F" w:rsidP="00364F5B">
      <w:pPr>
        <w:pStyle w:val="NoSpacing"/>
        <w:rPr>
          <w:rFonts w:ascii="Arial" w:hAnsi="Arial" w:cs="Arial"/>
          <w:b/>
          <w:bCs/>
          <w:sz w:val="22"/>
          <w:szCs w:val="22"/>
        </w:rPr>
      </w:pPr>
      <w:r w:rsidRPr="0098705F">
        <w:rPr>
          <w:rFonts w:ascii="Arial" w:hAnsi="Arial" w:cs="Arial"/>
          <w:b/>
          <w:bCs/>
          <w:sz w:val="22"/>
          <w:szCs w:val="22"/>
        </w:rPr>
        <w:t>ABBREVIATIONS</w:t>
      </w:r>
    </w:p>
    <w:p w14:paraId="6F914B71" w14:textId="77777777" w:rsidR="0098705F" w:rsidRPr="00612CC0" w:rsidRDefault="0098705F" w:rsidP="0098705F">
      <w:pPr>
        <w:rPr>
          <w:b/>
          <w:bCs/>
          <w:sz w:val="22"/>
          <w:szCs w:val="22"/>
          <w:lang w:val="en-US"/>
        </w:rPr>
      </w:pPr>
    </w:p>
    <w:p w14:paraId="34082976" w14:textId="24D92FB0" w:rsidR="0098705F" w:rsidRPr="0098705F" w:rsidRDefault="0098705F" w:rsidP="0098705F">
      <w:pPr>
        <w:rPr>
          <w:rFonts w:ascii="Arial" w:eastAsia="Times New Roman" w:hAnsi="Arial" w:cs="Arial"/>
          <w:sz w:val="20"/>
          <w:szCs w:val="20"/>
          <w:lang w:val="en-US"/>
        </w:rPr>
      </w:pPr>
      <w:proofErr w:type="spellStart"/>
      <w:r>
        <w:rPr>
          <w:rFonts w:ascii="Arial" w:eastAsia="Times New Roman" w:hAnsi="Arial" w:cs="Arial"/>
          <w:sz w:val="20"/>
          <w:szCs w:val="20"/>
          <w:lang w:val="en-US"/>
        </w:rPr>
        <w:t>HF</w:t>
      </w:r>
      <w:r w:rsidRPr="0098705F">
        <w:rPr>
          <w:rFonts w:ascii="Arial" w:eastAsia="Times New Roman" w:hAnsi="Arial" w:cs="Arial"/>
          <w:sz w:val="20"/>
          <w:szCs w:val="20"/>
          <w:lang w:val="en-US"/>
        </w:rPr>
        <w:t>rEF</w:t>
      </w:r>
      <w:proofErr w:type="spellEnd"/>
      <w:r>
        <w:rPr>
          <w:rFonts w:ascii="Arial" w:eastAsia="Times New Roman" w:hAnsi="Arial" w:cs="Arial"/>
          <w:sz w:val="20"/>
          <w:szCs w:val="20"/>
          <w:lang w:val="en-US"/>
        </w:rPr>
        <w:t xml:space="preserve"> Heart failure with reduced ejection f</w:t>
      </w:r>
      <w:r w:rsidRPr="0098705F">
        <w:rPr>
          <w:rFonts w:ascii="Arial" w:eastAsia="Times New Roman" w:hAnsi="Arial" w:cs="Arial"/>
          <w:sz w:val="20"/>
          <w:szCs w:val="20"/>
          <w:lang w:val="en-US"/>
        </w:rPr>
        <w:t>raction</w:t>
      </w:r>
    </w:p>
    <w:p w14:paraId="382B592D" w14:textId="1F789E3B"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CCI</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Charlson</w:t>
      </w:r>
      <w:proofErr w:type="gramEnd"/>
      <w:r w:rsidRPr="0098705F">
        <w:rPr>
          <w:rFonts w:ascii="Arial" w:eastAsia="Times New Roman" w:hAnsi="Arial" w:cs="Arial"/>
          <w:sz w:val="20"/>
          <w:szCs w:val="20"/>
          <w:lang w:val="en-US"/>
        </w:rPr>
        <w:t xml:space="preserve"> Comorbidity Index</w:t>
      </w:r>
    </w:p>
    <w:p w14:paraId="7208EDDC" w14:textId="684EC4DE"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HF</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Heart Failure</w:t>
      </w:r>
    </w:p>
    <w:p w14:paraId="5B99FAF2" w14:textId="50F59869"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COPD</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Chronic Obstructive Pulmonary Disease</w:t>
      </w:r>
    </w:p>
    <w:p w14:paraId="3D3CF0A7" w14:textId="49904D5B"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DM</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Diabetes</w:t>
      </w:r>
      <w:proofErr w:type="gramEnd"/>
      <w:r w:rsidRPr="0098705F">
        <w:rPr>
          <w:rFonts w:ascii="Arial" w:eastAsia="Times New Roman" w:hAnsi="Arial" w:cs="Arial"/>
          <w:sz w:val="20"/>
          <w:szCs w:val="20"/>
          <w:lang w:val="en-US"/>
        </w:rPr>
        <w:t xml:space="preserve"> Mellitus</w:t>
      </w:r>
    </w:p>
    <w:p w14:paraId="65E90F3B" w14:textId="7D65C6B7"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HBP</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High</w:t>
      </w:r>
      <w:proofErr w:type="gramEnd"/>
      <w:r w:rsidRPr="0098705F">
        <w:rPr>
          <w:rFonts w:ascii="Arial" w:eastAsia="Times New Roman" w:hAnsi="Arial" w:cs="Arial"/>
          <w:sz w:val="20"/>
          <w:szCs w:val="20"/>
          <w:lang w:val="en-US"/>
        </w:rPr>
        <w:t xml:space="preserve"> Blood Pressure</w:t>
      </w:r>
    </w:p>
    <w:p w14:paraId="38FA3F19" w14:textId="232D49C5"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SPSS</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Statistical</w:t>
      </w:r>
      <w:proofErr w:type="gramEnd"/>
      <w:r w:rsidRPr="0098705F">
        <w:rPr>
          <w:rFonts w:ascii="Arial" w:eastAsia="Times New Roman" w:hAnsi="Arial" w:cs="Arial"/>
          <w:sz w:val="20"/>
          <w:szCs w:val="20"/>
          <w:lang w:val="en-US"/>
        </w:rPr>
        <w:t xml:space="preserve"> Package for the Social Sciences</w:t>
      </w:r>
    </w:p>
    <w:p w14:paraId="735374CD" w14:textId="1B73BF05"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CI  Confidence</w:t>
      </w:r>
      <w:proofErr w:type="gramEnd"/>
      <w:r w:rsidRPr="0098705F">
        <w:rPr>
          <w:rFonts w:ascii="Arial" w:eastAsia="Times New Roman" w:hAnsi="Arial" w:cs="Arial"/>
          <w:sz w:val="20"/>
          <w:szCs w:val="20"/>
          <w:lang w:val="en-US"/>
        </w:rPr>
        <w:t xml:space="preserve"> Interval</w:t>
      </w:r>
    </w:p>
    <w:p w14:paraId="63B4CAB1" w14:textId="71CB4316"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SHFM</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Seattle</w:t>
      </w:r>
      <w:proofErr w:type="gramEnd"/>
      <w:r w:rsidRPr="0098705F">
        <w:rPr>
          <w:rFonts w:ascii="Arial" w:eastAsia="Times New Roman" w:hAnsi="Arial" w:cs="Arial"/>
          <w:sz w:val="20"/>
          <w:szCs w:val="20"/>
          <w:lang w:val="en-US"/>
        </w:rPr>
        <w:t xml:space="preserve"> Heart Failure Model</w:t>
      </w:r>
    </w:p>
    <w:p w14:paraId="29D0C9A2" w14:textId="1294B339"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NT-</w:t>
      </w:r>
      <w:proofErr w:type="spellStart"/>
      <w:r w:rsidRPr="0098705F">
        <w:rPr>
          <w:rFonts w:ascii="Arial" w:eastAsia="Times New Roman" w:hAnsi="Arial" w:cs="Arial"/>
          <w:sz w:val="20"/>
          <w:szCs w:val="20"/>
          <w:lang w:val="en-US"/>
        </w:rPr>
        <w:t>probnp</w:t>
      </w:r>
      <w:proofErr w:type="spellEnd"/>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N-terminal pro B-type Natriuretic Peptide</w:t>
      </w:r>
    </w:p>
    <w:p w14:paraId="016DE25A" w14:textId="77777777" w:rsidR="0098705F" w:rsidRPr="0098705F" w:rsidRDefault="0098705F" w:rsidP="00364F5B">
      <w:pPr>
        <w:pStyle w:val="NoSpacing"/>
        <w:rPr>
          <w:b/>
          <w:bCs/>
          <w:sz w:val="22"/>
          <w:szCs w:val="22"/>
          <w:lang w:val="en-US"/>
        </w:rPr>
      </w:pPr>
    </w:p>
    <w:sectPr w:rsidR="0098705F" w:rsidRPr="0098705F" w:rsidSect="00070C14">
      <w:headerReference w:type="even" r:id="rId8"/>
      <w:headerReference w:type="default" r:id="rId9"/>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80F9B" w14:textId="77777777" w:rsidR="00D47A7A" w:rsidRDefault="00D47A7A" w:rsidP="00757BBA">
      <w:r>
        <w:separator/>
      </w:r>
    </w:p>
  </w:endnote>
  <w:endnote w:type="continuationSeparator" w:id="0">
    <w:p w14:paraId="22C5B09F" w14:textId="77777777" w:rsidR="00D47A7A" w:rsidRDefault="00D47A7A" w:rsidP="0075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04E0F" w14:textId="77777777" w:rsidR="00D47A7A" w:rsidRDefault="00D47A7A" w:rsidP="00757BBA">
      <w:r>
        <w:separator/>
      </w:r>
    </w:p>
  </w:footnote>
  <w:footnote w:type="continuationSeparator" w:id="0">
    <w:p w14:paraId="11E0D81F" w14:textId="77777777" w:rsidR="00D47A7A" w:rsidRDefault="00D47A7A" w:rsidP="0075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22ED" w14:textId="40C992AB" w:rsidR="00757BBA" w:rsidRDefault="00000000">
    <w:pPr>
      <w:pStyle w:val="Header"/>
    </w:pPr>
    <w:r>
      <w:rPr>
        <w:noProof/>
      </w:rPr>
      <w:pict w14:anchorId="3FFF5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7" o:spid="_x0000_s1026" type="#_x0000_t136" style="position:absolute;margin-left:0;margin-top:0;width:575.2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3275" w14:textId="74C26CA1" w:rsidR="00757BBA" w:rsidRDefault="00000000">
    <w:pPr>
      <w:pStyle w:val="Header"/>
    </w:pPr>
    <w:r>
      <w:rPr>
        <w:noProof/>
      </w:rPr>
      <w:pict w14:anchorId="22CED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8" o:spid="_x0000_s1027" type="#_x0000_t136" style="position:absolute;margin-left:0;margin-top:0;width:575.2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B8E1" w14:textId="205C5B93" w:rsidR="00757BBA" w:rsidRDefault="00000000">
    <w:pPr>
      <w:pStyle w:val="Header"/>
    </w:pPr>
    <w:r>
      <w:rPr>
        <w:noProof/>
      </w:rPr>
      <w:pict w14:anchorId="02DE2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6" o:spid="_x0000_s1025" type="#_x0000_t136" style="position:absolute;margin-left:0;margin-top:0;width:575.2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6A0"/>
    <w:multiLevelType w:val="multilevel"/>
    <w:tmpl w:val="B90C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475D6"/>
    <w:multiLevelType w:val="multilevel"/>
    <w:tmpl w:val="C35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65AF5"/>
    <w:multiLevelType w:val="hybridMultilevel"/>
    <w:tmpl w:val="B178C56C"/>
    <w:lvl w:ilvl="0" w:tplc="5A028626">
      <w:start w:val="1"/>
      <w:numFmt w:val="decimal"/>
      <w:lvlText w:val="%1."/>
      <w:lvlJc w:val="left"/>
      <w:pPr>
        <w:ind w:left="720" w:hanging="360"/>
      </w:pPr>
      <w:rPr>
        <w:rFonts w:ascii="Arial" w:hAnsi="Arial" w:cs="Arial"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6307BB"/>
    <w:multiLevelType w:val="multilevel"/>
    <w:tmpl w:val="86DE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428920">
    <w:abstractNumId w:val="0"/>
  </w:num>
  <w:num w:numId="2" w16cid:durableId="1435705405">
    <w:abstractNumId w:val="1"/>
  </w:num>
  <w:num w:numId="3" w16cid:durableId="896162526">
    <w:abstractNumId w:val="3"/>
  </w:num>
  <w:num w:numId="4" w16cid:durableId="127100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10"/>
    <w:rsid w:val="00011EE4"/>
    <w:rsid w:val="00013305"/>
    <w:rsid w:val="00056FDC"/>
    <w:rsid w:val="00064E98"/>
    <w:rsid w:val="00070C14"/>
    <w:rsid w:val="000A0BAF"/>
    <w:rsid w:val="000A3FC2"/>
    <w:rsid w:val="000B1482"/>
    <w:rsid w:val="000B27AA"/>
    <w:rsid w:val="000C5B46"/>
    <w:rsid w:val="000D5C87"/>
    <w:rsid w:val="000E6682"/>
    <w:rsid w:val="00116B36"/>
    <w:rsid w:val="00190443"/>
    <w:rsid w:val="00190929"/>
    <w:rsid w:val="001A0BFC"/>
    <w:rsid w:val="001E0CD8"/>
    <w:rsid w:val="001E70CE"/>
    <w:rsid w:val="00211CCF"/>
    <w:rsid w:val="0021538C"/>
    <w:rsid w:val="00244C9F"/>
    <w:rsid w:val="00251CC9"/>
    <w:rsid w:val="00275C07"/>
    <w:rsid w:val="002D44D2"/>
    <w:rsid w:val="002E7FAA"/>
    <w:rsid w:val="00315462"/>
    <w:rsid w:val="00316F21"/>
    <w:rsid w:val="003259F8"/>
    <w:rsid w:val="00335273"/>
    <w:rsid w:val="003521AB"/>
    <w:rsid w:val="00364F5B"/>
    <w:rsid w:val="003A5043"/>
    <w:rsid w:val="003B79EC"/>
    <w:rsid w:val="00401026"/>
    <w:rsid w:val="00423F24"/>
    <w:rsid w:val="0042742E"/>
    <w:rsid w:val="004D3004"/>
    <w:rsid w:val="004F249C"/>
    <w:rsid w:val="00501DF6"/>
    <w:rsid w:val="00504C06"/>
    <w:rsid w:val="0051147A"/>
    <w:rsid w:val="00522DDB"/>
    <w:rsid w:val="005514DB"/>
    <w:rsid w:val="00551C54"/>
    <w:rsid w:val="00557740"/>
    <w:rsid w:val="00565B8F"/>
    <w:rsid w:val="005668FD"/>
    <w:rsid w:val="00570D5B"/>
    <w:rsid w:val="00571159"/>
    <w:rsid w:val="0057704B"/>
    <w:rsid w:val="005C5D1E"/>
    <w:rsid w:val="005D283C"/>
    <w:rsid w:val="0061015D"/>
    <w:rsid w:val="00612CC0"/>
    <w:rsid w:val="00620680"/>
    <w:rsid w:val="006424F1"/>
    <w:rsid w:val="00655CE4"/>
    <w:rsid w:val="00666267"/>
    <w:rsid w:val="00686691"/>
    <w:rsid w:val="006A04D2"/>
    <w:rsid w:val="006B115F"/>
    <w:rsid w:val="0070225A"/>
    <w:rsid w:val="00741468"/>
    <w:rsid w:val="00750C59"/>
    <w:rsid w:val="00753F46"/>
    <w:rsid w:val="00757BBA"/>
    <w:rsid w:val="007C7B1C"/>
    <w:rsid w:val="007D12BA"/>
    <w:rsid w:val="007E53E1"/>
    <w:rsid w:val="008009A2"/>
    <w:rsid w:val="00806D37"/>
    <w:rsid w:val="0081518E"/>
    <w:rsid w:val="00823D81"/>
    <w:rsid w:val="00826848"/>
    <w:rsid w:val="00835710"/>
    <w:rsid w:val="0083763C"/>
    <w:rsid w:val="0089473D"/>
    <w:rsid w:val="008B2ED3"/>
    <w:rsid w:val="008E3A74"/>
    <w:rsid w:val="00921B09"/>
    <w:rsid w:val="00950FFB"/>
    <w:rsid w:val="00953E1B"/>
    <w:rsid w:val="0098705F"/>
    <w:rsid w:val="009A26F7"/>
    <w:rsid w:val="00A536F1"/>
    <w:rsid w:val="00A75E98"/>
    <w:rsid w:val="00A876AE"/>
    <w:rsid w:val="00AE205E"/>
    <w:rsid w:val="00B00BB2"/>
    <w:rsid w:val="00B2005B"/>
    <w:rsid w:val="00B3056D"/>
    <w:rsid w:val="00B41D19"/>
    <w:rsid w:val="00B444AE"/>
    <w:rsid w:val="00B46169"/>
    <w:rsid w:val="00BC7CAC"/>
    <w:rsid w:val="00BD4316"/>
    <w:rsid w:val="00BF1C50"/>
    <w:rsid w:val="00D25FCE"/>
    <w:rsid w:val="00D47A7A"/>
    <w:rsid w:val="00D822BE"/>
    <w:rsid w:val="00DB1DFA"/>
    <w:rsid w:val="00DC3C27"/>
    <w:rsid w:val="00DD5499"/>
    <w:rsid w:val="00DE2C10"/>
    <w:rsid w:val="00DF55FA"/>
    <w:rsid w:val="00E01AD5"/>
    <w:rsid w:val="00E46383"/>
    <w:rsid w:val="00E711A9"/>
    <w:rsid w:val="00EA6580"/>
    <w:rsid w:val="00EE6E56"/>
    <w:rsid w:val="00EF40B1"/>
    <w:rsid w:val="00F06F14"/>
    <w:rsid w:val="00F17B8C"/>
    <w:rsid w:val="00F2733F"/>
    <w:rsid w:val="00F313B3"/>
    <w:rsid w:val="00F56F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E7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6E56"/>
    <w:rPr>
      <w:rFonts w:ascii="Times New Roman" w:hAnsi="Times New Roman" w:cs="Times New Roman"/>
      <w:lang w:eastAsia="fr-FR"/>
    </w:rPr>
  </w:style>
  <w:style w:type="paragraph" w:styleId="Heading1">
    <w:name w:val="heading 1"/>
    <w:basedOn w:val="Normal"/>
    <w:next w:val="Normal"/>
    <w:link w:val="Heading1Char"/>
    <w:uiPriority w:val="9"/>
    <w:qFormat/>
    <w:rsid w:val="00655C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23D8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23D8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D81"/>
    <w:rPr>
      <w:rFonts w:ascii="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823D81"/>
    <w:rPr>
      <w:rFonts w:ascii="Times New Roman" w:hAnsi="Times New Roman" w:cs="Times New Roman"/>
      <w:b/>
      <w:bCs/>
      <w:lang w:eastAsia="fr-FR"/>
    </w:rPr>
  </w:style>
  <w:style w:type="character" w:styleId="Strong">
    <w:name w:val="Strong"/>
    <w:basedOn w:val="DefaultParagraphFont"/>
    <w:uiPriority w:val="22"/>
    <w:qFormat/>
    <w:rsid w:val="00823D81"/>
    <w:rPr>
      <w:b/>
      <w:bCs/>
    </w:rPr>
  </w:style>
  <w:style w:type="paragraph" w:styleId="NormalWeb">
    <w:name w:val="Normal (Web)"/>
    <w:basedOn w:val="Normal"/>
    <w:uiPriority w:val="99"/>
    <w:unhideWhenUsed/>
    <w:rsid w:val="00823D81"/>
    <w:pPr>
      <w:spacing w:before="100" w:beforeAutospacing="1" w:after="100" w:afterAutospacing="1"/>
    </w:pPr>
  </w:style>
  <w:style w:type="character" w:styleId="Emphasis">
    <w:name w:val="Emphasis"/>
    <w:basedOn w:val="DefaultParagraphFont"/>
    <w:uiPriority w:val="20"/>
    <w:qFormat/>
    <w:rsid w:val="000D5C87"/>
    <w:rPr>
      <w:i/>
      <w:iCs/>
    </w:rPr>
  </w:style>
  <w:style w:type="character" w:customStyle="1" w:styleId="Heading1Char">
    <w:name w:val="Heading 1 Char"/>
    <w:basedOn w:val="DefaultParagraphFont"/>
    <w:link w:val="Heading1"/>
    <w:uiPriority w:val="9"/>
    <w:rsid w:val="00655CE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55CE4"/>
    <w:pPr>
      <w:widowControl w:val="0"/>
      <w:autoSpaceDE w:val="0"/>
      <w:autoSpaceDN w:val="0"/>
      <w:spacing w:before="13"/>
      <w:ind w:left="118" w:firstLine="2"/>
    </w:pPr>
    <w:rPr>
      <w:rFonts w:ascii="Verdana" w:eastAsia="Verdana" w:hAnsi="Verdana" w:cs="Verdana"/>
      <w:sz w:val="19"/>
      <w:szCs w:val="19"/>
      <w:lang w:val="en-US"/>
    </w:rPr>
  </w:style>
  <w:style w:type="character" w:customStyle="1" w:styleId="BodyTextChar">
    <w:name w:val="Body Text Char"/>
    <w:basedOn w:val="DefaultParagraphFont"/>
    <w:link w:val="BodyText"/>
    <w:uiPriority w:val="1"/>
    <w:rsid w:val="00655CE4"/>
    <w:rPr>
      <w:rFonts w:ascii="Verdana" w:eastAsia="Verdana" w:hAnsi="Verdana" w:cs="Verdana"/>
      <w:sz w:val="19"/>
      <w:szCs w:val="19"/>
      <w:lang w:val="en-US"/>
    </w:rPr>
  </w:style>
  <w:style w:type="paragraph" w:styleId="NoSpacing">
    <w:name w:val="No Spacing"/>
    <w:uiPriority w:val="1"/>
    <w:qFormat/>
    <w:rsid w:val="00612CC0"/>
  </w:style>
  <w:style w:type="character" w:styleId="Hyperlink">
    <w:name w:val="Hyperlink"/>
    <w:basedOn w:val="DefaultParagraphFont"/>
    <w:uiPriority w:val="99"/>
    <w:unhideWhenUsed/>
    <w:rsid w:val="00056FDC"/>
    <w:rPr>
      <w:color w:val="0563C1" w:themeColor="hyperlink"/>
      <w:u w:val="single"/>
    </w:rPr>
  </w:style>
  <w:style w:type="character" w:customStyle="1" w:styleId="UnresolvedMention1">
    <w:name w:val="Unresolved Mention1"/>
    <w:basedOn w:val="DefaultParagraphFont"/>
    <w:uiPriority w:val="99"/>
    <w:rsid w:val="00056FDC"/>
    <w:rPr>
      <w:color w:val="605E5C"/>
      <w:shd w:val="clear" w:color="auto" w:fill="E1DFDD"/>
    </w:rPr>
  </w:style>
  <w:style w:type="paragraph" w:styleId="Header">
    <w:name w:val="header"/>
    <w:basedOn w:val="Normal"/>
    <w:link w:val="HeaderChar"/>
    <w:uiPriority w:val="99"/>
    <w:unhideWhenUsed/>
    <w:rsid w:val="00757BBA"/>
    <w:pPr>
      <w:tabs>
        <w:tab w:val="center" w:pos="4680"/>
        <w:tab w:val="right" w:pos="9360"/>
      </w:tabs>
    </w:pPr>
  </w:style>
  <w:style w:type="character" w:customStyle="1" w:styleId="HeaderChar">
    <w:name w:val="Header Char"/>
    <w:basedOn w:val="DefaultParagraphFont"/>
    <w:link w:val="Header"/>
    <w:uiPriority w:val="99"/>
    <w:rsid w:val="00757BBA"/>
    <w:rPr>
      <w:rFonts w:ascii="Times New Roman" w:hAnsi="Times New Roman" w:cs="Times New Roman"/>
      <w:lang w:eastAsia="fr-FR"/>
    </w:rPr>
  </w:style>
  <w:style w:type="paragraph" w:styleId="Footer">
    <w:name w:val="footer"/>
    <w:basedOn w:val="Normal"/>
    <w:link w:val="FooterChar"/>
    <w:unhideWhenUsed/>
    <w:rsid w:val="00757BBA"/>
    <w:pPr>
      <w:tabs>
        <w:tab w:val="center" w:pos="4680"/>
        <w:tab w:val="right" w:pos="9360"/>
      </w:tabs>
    </w:pPr>
  </w:style>
  <w:style w:type="character" w:customStyle="1" w:styleId="FooterChar">
    <w:name w:val="Footer Char"/>
    <w:basedOn w:val="DefaultParagraphFont"/>
    <w:link w:val="Footer"/>
    <w:rsid w:val="00757BBA"/>
    <w:rPr>
      <w:rFonts w:ascii="Times New Roman" w:hAnsi="Times New Roman" w:cs="Times New Roman"/>
      <w:lang w:eastAsia="fr-FR"/>
    </w:rPr>
  </w:style>
  <w:style w:type="character" w:customStyle="1" w:styleId="relative">
    <w:name w:val="relative"/>
    <w:basedOn w:val="DefaultParagraphFont"/>
    <w:rsid w:val="00244C9F"/>
  </w:style>
  <w:style w:type="paragraph" w:customStyle="1" w:styleId="AcknHead">
    <w:name w:val="Ackn Head"/>
    <w:basedOn w:val="Normal"/>
    <w:rsid w:val="008009A2"/>
    <w:pPr>
      <w:keepNext/>
      <w:spacing w:after="240"/>
    </w:pPr>
    <w:rPr>
      <w:rFonts w:ascii="Helvetica" w:eastAsia="Times New Roman" w:hAnsi="Helvetica"/>
      <w:b/>
      <w:caps/>
      <w:sz w:val="22"/>
      <w:szCs w:val="20"/>
      <w:lang w:val="en-US" w:eastAsia="en-US"/>
    </w:rPr>
  </w:style>
  <w:style w:type="paragraph" w:styleId="ListParagraph">
    <w:name w:val="List Paragraph"/>
    <w:basedOn w:val="Normal"/>
    <w:uiPriority w:val="34"/>
    <w:qFormat/>
    <w:rsid w:val="00E46383"/>
    <w:pPr>
      <w:ind w:left="720"/>
      <w:contextualSpacing/>
    </w:pPr>
  </w:style>
  <w:style w:type="paragraph" w:customStyle="1" w:styleId="Author">
    <w:name w:val="Author"/>
    <w:basedOn w:val="Normal"/>
    <w:rsid w:val="00EE6E56"/>
    <w:pPr>
      <w:spacing w:line="280" w:lineRule="exact"/>
      <w:jc w:val="right"/>
    </w:pPr>
    <w:rPr>
      <w:rFonts w:ascii="Helvetica" w:eastAsia="Times New Roman" w:hAnsi="Helvetica"/>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7811">
      <w:bodyDiv w:val="1"/>
      <w:marLeft w:val="0"/>
      <w:marRight w:val="0"/>
      <w:marTop w:val="0"/>
      <w:marBottom w:val="0"/>
      <w:divBdr>
        <w:top w:val="none" w:sz="0" w:space="0" w:color="auto"/>
        <w:left w:val="none" w:sz="0" w:space="0" w:color="auto"/>
        <w:bottom w:val="none" w:sz="0" w:space="0" w:color="auto"/>
        <w:right w:val="none" w:sz="0" w:space="0" w:color="auto"/>
      </w:divBdr>
    </w:div>
    <w:div w:id="29913996">
      <w:bodyDiv w:val="1"/>
      <w:marLeft w:val="0"/>
      <w:marRight w:val="0"/>
      <w:marTop w:val="0"/>
      <w:marBottom w:val="0"/>
      <w:divBdr>
        <w:top w:val="none" w:sz="0" w:space="0" w:color="auto"/>
        <w:left w:val="none" w:sz="0" w:space="0" w:color="auto"/>
        <w:bottom w:val="none" w:sz="0" w:space="0" w:color="auto"/>
        <w:right w:val="none" w:sz="0" w:space="0" w:color="auto"/>
      </w:divBdr>
      <w:divsChild>
        <w:div w:id="360321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5603">
      <w:bodyDiv w:val="1"/>
      <w:marLeft w:val="0"/>
      <w:marRight w:val="0"/>
      <w:marTop w:val="0"/>
      <w:marBottom w:val="0"/>
      <w:divBdr>
        <w:top w:val="none" w:sz="0" w:space="0" w:color="auto"/>
        <w:left w:val="none" w:sz="0" w:space="0" w:color="auto"/>
        <w:bottom w:val="none" w:sz="0" w:space="0" w:color="auto"/>
        <w:right w:val="none" w:sz="0" w:space="0" w:color="auto"/>
      </w:divBdr>
    </w:div>
    <w:div w:id="43719063">
      <w:bodyDiv w:val="1"/>
      <w:marLeft w:val="0"/>
      <w:marRight w:val="0"/>
      <w:marTop w:val="0"/>
      <w:marBottom w:val="0"/>
      <w:divBdr>
        <w:top w:val="none" w:sz="0" w:space="0" w:color="auto"/>
        <w:left w:val="none" w:sz="0" w:space="0" w:color="auto"/>
        <w:bottom w:val="none" w:sz="0" w:space="0" w:color="auto"/>
        <w:right w:val="none" w:sz="0" w:space="0" w:color="auto"/>
      </w:divBdr>
    </w:div>
    <w:div w:id="92240838">
      <w:bodyDiv w:val="1"/>
      <w:marLeft w:val="0"/>
      <w:marRight w:val="0"/>
      <w:marTop w:val="0"/>
      <w:marBottom w:val="0"/>
      <w:divBdr>
        <w:top w:val="none" w:sz="0" w:space="0" w:color="auto"/>
        <w:left w:val="none" w:sz="0" w:space="0" w:color="auto"/>
        <w:bottom w:val="none" w:sz="0" w:space="0" w:color="auto"/>
        <w:right w:val="none" w:sz="0" w:space="0" w:color="auto"/>
      </w:divBdr>
    </w:div>
    <w:div w:id="113524914">
      <w:bodyDiv w:val="1"/>
      <w:marLeft w:val="0"/>
      <w:marRight w:val="0"/>
      <w:marTop w:val="0"/>
      <w:marBottom w:val="0"/>
      <w:divBdr>
        <w:top w:val="none" w:sz="0" w:space="0" w:color="auto"/>
        <w:left w:val="none" w:sz="0" w:space="0" w:color="auto"/>
        <w:bottom w:val="none" w:sz="0" w:space="0" w:color="auto"/>
        <w:right w:val="none" w:sz="0" w:space="0" w:color="auto"/>
      </w:divBdr>
    </w:div>
    <w:div w:id="121046434">
      <w:bodyDiv w:val="1"/>
      <w:marLeft w:val="0"/>
      <w:marRight w:val="0"/>
      <w:marTop w:val="0"/>
      <w:marBottom w:val="0"/>
      <w:divBdr>
        <w:top w:val="none" w:sz="0" w:space="0" w:color="auto"/>
        <w:left w:val="none" w:sz="0" w:space="0" w:color="auto"/>
        <w:bottom w:val="none" w:sz="0" w:space="0" w:color="auto"/>
        <w:right w:val="none" w:sz="0" w:space="0" w:color="auto"/>
      </w:divBdr>
    </w:div>
    <w:div w:id="198670540">
      <w:bodyDiv w:val="1"/>
      <w:marLeft w:val="0"/>
      <w:marRight w:val="0"/>
      <w:marTop w:val="0"/>
      <w:marBottom w:val="0"/>
      <w:divBdr>
        <w:top w:val="none" w:sz="0" w:space="0" w:color="auto"/>
        <w:left w:val="none" w:sz="0" w:space="0" w:color="auto"/>
        <w:bottom w:val="none" w:sz="0" w:space="0" w:color="auto"/>
        <w:right w:val="none" w:sz="0" w:space="0" w:color="auto"/>
      </w:divBdr>
    </w:div>
    <w:div w:id="209726879">
      <w:bodyDiv w:val="1"/>
      <w:marLeft w:val="0"/>
      <w:marRight w:val="0"/>
      <w:marTop w:val="0"/>
      <w:marBottom w:val="0"/>
      <w:divBdr>
        <w:top w:val="none" w:sz="0" w:space="0" w:color="auto"/>
        <w:left w:val="none" w:sz="0" w:space="0" w:color="auto"/>
        <w:bottom w:val="none" w:sz="0" w:space="0" w:color="auto"/>
        <w:right w:val="none" w:sz="0" w:space="0" w:color="auto"/>
      </w:divBdr>
    </w:div>
    <w:div w:id="222834204">
      <w:bodyDiv w:val="1"/>
      <w:marLeft w:val="0"/>
      <w:marRight w:val="0"/>
      <w:marTop w:val="0"/>
      <w:marBottom w:val="0"/>
      <w:divBdr>
        <w:top w:val="none" w:sz="0" w:space="0" w:color="auto"/>
        <w:left w:val="none" w:sz="0" w:space="0" w:color="auto"/>
        <w:bottom w:val="none" w:sz="0" w:space="0" w:color="auto"/>
        <w:right w:val="none" w:sz="0" w:space="0" w:color="auto"/>
      </w:divBdr>
    </w:div>
    <w:div w:id="226310174">
      <w:bodyDiv w:val="1"/>
      <w:marLeft w:val="0"/>
      <w:marRight w:val="0"/>
      <w:marTop w:val="0"/>
      <w:marBottom w:val="0"/>
      <w:divBdr>
        <w:top w:val="none" w:sz="0" w:space="0" w:color="auto"/>
        <w:left w:val="none" w:sz="0" w:space="0" w:color="auto"/>
        <w:bottom w:val="none" w:sz="0" w:space="0" w:color="auto"/>
        <w:right w:val="none" w:sz="0" w:space="0" w:color="auto"/>
      </w:divBdr>
    </w:div>
    <w:div w:id="226844830">
      <w:bodyDiv w:val="1"/>
      <w:marLeft w:val="0"/>
      <w:marRight w:val="0"/>
      <w:marTop w:val="0"/>
      <w:marBottom w:val="0"/>
      <w:divBdr>
        <w:top w:val="none" w:sz="0" w:space="0" w:color="auto"/>
        <w:left w:val="none" w:sz="0" w:space="0" w:color="auto"/>
        <w:bottom w:val="none" w:sz="0" w:space="0" w:color="auto"/>
        <w:right w:val="none" w:sz="0" w:space="0" w:color="auto"/>
      </w:divBdr>
    </w:div>
    <w:div w:id="265508073">
      <w:bodyDiv w:val="1"/>
      <w:marLeft w:val="0"/>
      <w:marRight w:val="0"/>
      <w:marTop w:val="0"/>
      <w:marBottom w:val="0"/>
      <w:divBdr>
        <w:top w:val="none" w:sz="0" w:space="0" w:color="auto"/>
        <w:left w:val="none" w:sz="0" w:space="0" w:color="auto"/>
        <w:bottom w:val="none" w:sz="0" w:space="0" w:color="auto"/>
        <w:right w:val="none" w:sz="0" w:space="0" w:color="auto"/>
      </w:divBdr>
    </w:div>
    <w:div w:id="280035501">
      <w:bodyDiv w:val="1"/>
      <w:marLeft w:val="0"/>
      <w:marRight w:val="0"/>
      <w:marTop w:val="0"/>
      <w:marBottom w:val="0"/>
      <w:divBdr>
        <w:top w:val="none" w:sz="0" w:space="0" w:color="auto"/>
        <w:left w:val="none" w:sz="0" w:space="0" w:color="auto"/>
        <w:bottom w:val="none" w:sz="0" w:space="0" w:color="auto"/>
        <w:right w:val="none" w:sz="0" w:space="0" w:color="auto"/>
      </w:divBdr>
    </w:div>
    <w:div w:id="323702795">
      <w:bodyDiv w:val="1"/>
      <w:marLeft w:val="0"/>
      <w:marRight w:val="0"/>
      <w:marTop w:val="0"/>
      <w:marBottom w:val="0"/>
      <w:divBdr>
        <w:top w:val="none" w:sz="0" w:space="0" w:color="auto"/>
        <w:left w:val="none" w:sz="0" w:space="0" w:color="auto"/>
        <w:bottom w:val="none" w:sz="0" w:space="0" w:color="auto"/>
        <w:right w:val="none" w:sz="0" w:space="0" w:color="auto"/>
      </w:divBdr>
    </w:div>
    <w:div w:id="366636621">
      <w:bodyDiv w:val="1"/>
      <w:marLeft w:val="0"/>
      <w:marRight w:val="0"/>
      <w:marTop w:val="0"/>
      <w:marBottom w:val="0"/>
      <w:divBdr>
        <w:top w:val="none" w:sz="0" w:space="0" w:color="auto"/>
        <w:left w:val="none" w:sz="0" w:space="0" w:color="auto"/>
        <w:bottom w:val="none" w:sz="0" w:space="0" w:color="auto"/>
        <w:right w:val="none" w:sz="0" w:space="0" w:color="auto"/>
      </w:divBdr>
    </w:div>
    <w:div w:id="437721687">
      <w:bodyDiv w:val="1"/>
      <w:marLeft w:val="0"/>
      <w:marRight w:val="0"/>
      <w:marTop w:val="0"/>
      <w:marBottom w:val="0"/>
      <w:divBdr>
        <w:top w:val="none" w:sz="0" w:space="0" w:color="auto"/>
        <w:left w:val="none" w:sz="0" w:space="0" w:color="auto"/>
        <w:bottom w:val="none" w:sz="0" w:space="0" w:color="auto"/>
        <w:right w:val="none" w:sz="0" w:space="0" w:color="auto"/>
      </w:divBdr>
    </w:div>
    <w:div w:id="452133554">
      <w:bodyDiv w:val="1"/>
      <w:marLeft w:val="0"/>
      <w:marRight w:val="0"/>
      <w:marTop w:val="0"/>
      <w:marBottom w:val="0"/>
      <w:divBdr>
        <w:top w:val="none" w:sz="0" w:space="0" w:color="auto"/>
        <w:left w:val="none" w:sz="0" w:space="0" w:color="auto"/>
        <w:bottom w:val="none" w:sz="0" w:space="0" w:color="auto"/>
        <w:right w:val="none" w:sz="0" w:space="0" w:color="auto"/>
      </w:divBdr>
    </w:div>
    <w:div w:id="459885156">
      <w:bodyDiv w:val="1"/>
      <w:marLeft w:val="0"/>
      <w:marRight w:val="0"/>
      <w:marTop w:val="0"/>
      <w:marBottom w:val="0"/>
      <w:divBdr>
        <w:top w:val="none" w:sz="0" w:space="0" w:color="auto"/>
        <w:left w:val="none" w:sz="0" w:space="0" w:color="auto"/>
        <w:bottom w:val="none" w:sz="0" w:space="0" w:color="auto"/>
        <w:right w:val="none" w:sz="0" w:space="0" w:color="auto"/>
      </w:divBdr>
    </w:div>
    <w:div w:id="477117773">
      <w:bodyDiv w:val="1"/>
      <w:marLeft w:val="0"/>
      <w:marRight w:val="0"/>
      <w:marTop w:val="0"/>
      <w:marBottom w:val="0"/>
      <w:divBdr>
        <w:top w:val="none" w:sz="0" w:space="0" w:color="auto"/>
        <w:left w:val="none" w:sz="0" w:space="0" w:color="auto"/>
        <w:bottom w:val="none" w:sz="0" w:space="0" w:color="auto"/>
        <w:right w:val="none" w:sz="0" w:space="0" w:color="auto"/>
      </w:divBdr>
    </w:div>
    <w:div w:id="524051840">
      <w:bodyDiv w:val="1"/>
      <w:marLeft w:val="0"/>
      <w:marRight w:val="0"/>
      <w:marTop w:val="0"/>
      <w:marBottom w:val="0"/>
      <w:divBdr>
        <w:top w:val="none" w:sz="0" w:space="0" w:color="auto"/>
        <w:left w:val="none" w:sz="0" w:space="0" w:color="auto"/>
        <w:bottom w:val="none" w:sz="0" w:space="0" w:color="auto"/>
        <w:right w:val="none" w:sz="0" w:space="0" w:color="auto"/>
      </w:divBdr>
    </w:div>
    <w:div w:id="611590777">
      <w:bodyDiv w:val="1"/>
      <w:marLeft w:val="0"/>
      <w:marRight w:val="0"/>
      <w:marTop w:val="0"/>
      <w:marBottom w:val="0"/>
      <w:divBdr>
        <w:top w:val="none" w:sz="0" w:space="0" w:color="auto"/>
        <w:left w:val="none" w:sz="0" w:space="0" w:color="auto"/>
        <w:bottom w:val="none" w:sz="0" w:space="0" w:color="auto"/>
        <w:right w:val="none" w:sz="0" w:space="0" w:color="auto"/>
      </w:divBdr>
    </w:div>
    <w:div w:id="704906710">
      <w:bodyDiv w:val="1"/>
      <w:marLeft w:val="0"/>
      <w:marRight w:val="0"/>
      <w:marTop w:val="0"/>
      <w:marBottom w:val="0"/>
      <w:divBdr>
        <w:top w:val="none" w:sz="0" w:space="0" w:color="auto"/>
        <w:left w:val="none" w:sz="0" w:space="0" w:color="auto"/>
        <w:bottom w:val="none" w:sz="0" w:space="0" w:color="auto"/>
        <w:right w:val="none" w:sz="0" w:space="0" w:color="auto"/>
      </w:divBdr>
    </w:div>
    <w:div w:id="733432823">
      <w:bodyDiv w:val="1"/>
      <w:marLeft w:val="0"/>
      <w:marRight w:val="0"/>
      <w:marTop w:val="0"/>
      <w:marBottom w:val="0"/>
      <w:divBdr>
        <w:top w:val="none" w:sz="0" w:space="0" w:color="auto"/>
        <w:left w:val="none" w:sz="0" w:space="0" w:color="auto"/>
        <w:bottom w:val="none" w:sz="0" w:space="0" w:color="auto"/>
        <w:right w:val="none" w:sz="0" w:space="0" w:color="auto"/>
      </w:divBdr>
    </w:div>
    <w:div w:id="752967339">
      <w:bodyDiv w:val="1"/>
      <w:marLeft w:val="0"/>
      <w:marRight w:val="0"/>
      <w:marTop w:val="0"/>
      <w:marBottom w:val="0"/>
      <w:divBdr>
        <w:top w:val="none" w:sz="0" w:space="0" w:color="auto"/>
        <w:left w:val="none" w:sz="0" w:space="0" w:color="auto"/>
        <w:bottom w:val="none" w:sz="0" w:space="0" w:color="auto"/>
        <w:right w:val="none" w:sz="0" w:space="0" w:color="auto"/>
      </w:divBdr>
    </w:div>
    <w:div w:id="838545252">
      <w:bodyDiv w:val="1"/>
      <w:marLeft w:val="0"/>
      <w:marRight w:val="0"/>
      <w:marTop w:val="0"/>
      <w:marBottom w:val="0"/>
      <w:divBdr>
        <w:top w:val="none" w:sz="0" w:space="0" w:color="auto"/>
        <w:left w:val="none" w:sz="0" w:space="0" w:color="auto"/>
        <w:bottom w:val="none" w:sz="0" w:space="0" w:color="auto"/>
        <w:right w:val="none" w:sz="0" w:space="0" w:color="auto"/>
      </w:divBdr>
    </w:div>
    <w:div w:id="862669435">
      <w:bodyDiv w:val="1"/>
      <w:marLeft w:val="0"/>
      <w:marRight w:val="0"/>
      <w:marTop w:val="0"/>
      <w:marBottom w:val="0"/>
      <w:divBdr>
        <w:top w:val="none" w:sz="0" w:space="0" w:color="auto"/>
        <w:left w:val="none" w:sz="0" w:space="0" w:color="auto"/>
        <w:bottom w:val="none" w:sz="0" w:space="0" w:color="auto"/>
        <w:right w:val="none" w:sz="0" w:space="0" w:color="auto"/>
      </w:divBdr>
    </w:div>
    <w:div w:id="885607699">
      <w:bodyDiv w:val="1"/>
      <w:marLeft w:val="0"/>
      <w:marRight w:val="0"/>
      <w:marTop w:val="0"/>
      <w:marBottom w:val="0"/>
      <w:divBdr>
        <w:top w:val="none" w:sz="0" w:space="0" w:color="auto"/>
        <w:left w:val="none" w:sz="0" w:space="0" w:color="auto"/>
        <w:bottom w:val="none" w:sz="0" w:space="0" w:color="auto"/>
        <w:right w:val="none" w:sz="0" w:space="0" w:color="auto"/>
      </w:divBdr>
    </w:div>
    <w:div w:id="918751559">
      <w:bodyDiv w:val="1"/>
      <w:marLeft w:val="0"/>
      <w:marRight w:val="0"/>
      <w:marTop w:val="0"/>
      <w:marBottom w:val="0"/>
      <w:divBdr>
        <w:top w:val="none" w:sz="0" w:space="0" w:color="auto"/>
        <w:left w:val="none" w:sz="0" w:space="0" w:color="auto"/>
        <w:bottom w:val="none" w:sz="0" w:space="0" w:color="auto"/>
        <w:right w:val="none" w:sz="0" w:space="0" w:color="auto"/>
      </w:divBdr>
    </w:div>
    <w:div w:id="919173015">
      <w:bodyDiv w:val="1"/>
      <w:marLeft w:val="0"/>
      <w:marRight w:val="0"/>
      <w:marTop w:val="0"/>
      <w:marBottom w:val="0"/>
      <w:divBdr>
        <w:top w:val="none" w:sz="0" w:space="0" w:color="auto"/>
        <w:left w:val="none" w:sz="0" w:space="0" w:color="auto"/>
        <w:bottom w:val="none" w:sz="0" w:space="0" w:color="auto"/>
        <w:right w:val="none" w:sz="0" w:space="0" w:color="auto"/>
      </w:divBdr>
    </w:div>
    <w:div w:id="991526397">
      <w:bodyDiv w:val="1"/>
      <w:marLeft w:val="0"/>
      <w:marRight w:val="0"/>
      <w:marTop w:val="0"/>
      <w:marBottom w:val="0"/>
      <w:divBdr>
        <w:top w:val="none" w:sz="0" w:space="0" w:color="auto"/>
        <w:left w:val="none" w:sz="0" w:space="0" w:color="auto"/>
        <w:bottom w:val="none" w:sz="0" w:space="0" w:color="auto"/>
        <w:right w:val="none" w:sz="0" w:space="0" w:color="auto"/>
      </w:divBdr>
    </w:div>
    <w:div w:id="993336814">
      <w:bodyDiv w:val="1"/>
      <w:marLeft w:val="0"/>
      <w:marRight w:val="0"/>
      <w:marTop w:val="0"/>
      <w:marBottom w:val="0"/>
      <w:divBdr>
        <w:top w:val="none" w:sz="0" w:space="0" w:color="auto"/>
        <w:left w:val="none" w:sz="0" w:space="0" w:color="auto"/>
        <w:bottom w:val="none" w:sz="0" w:space="0" w:color="auto"/>
        <w:right w:val="none" w:sz="0" w:space="0" w:color="auto"/>
      </w:divBdr>
    </w:div>
    <w:div w:id="1017731734">
      <w:bodyDiv w:val="1"/>
      <w:marLeft w:val="0"/>
      <w:marRight w:val="0"/>
      <w:marTop w:val="0"/>
      <w:marBottom w:val="0"/>
      <w:divBdr>
        <w:top w:val="none" w:sz="0" w:space="0" w:color="auto"/>
        <w:left w:val="none" w:sz="0" w:space="0" w:color="auto"/>
        <w:bottom w:val="none" w:sz="0" w:space="0" w:color="auto"/>
        <w:right w:val="none" w:sz="0" w:space="0" w:color="auto"/>
      </w:divBdr>
    </w:div>
    <w:div w:id="1045569581">
      <w:bodyDiv w:val="1"/>
      <w:marLeft w:val="0"/>
      <w:marRight w:val="0"/>
      <w:marTop w:val="0"/>
      <w:marBottom w:val="0"/>
      <w:divBdr>
        <w:top w:val="none" w:sz="0" w:space="0" w:color="auto"/>
        <w:left w:val="none" w:sz="0" w:space="0" w:color="auto"/>
        <w:bottom w:val="none" w:sz="0" w:space="0" w:color="auto"/>
        <w:right w:val="none" w:sz="0" w:space="0" w:color="auto"/>
      </w:divBdr>
    </w:div>
    <w:div w:id="1069301531">
      <w:bodyDiv w:val="1"/>
      <w:marLeft w:val="0"/>
      <w:marRight w:val="0"/>
      <w:marTop w:val="0"/>
      <w:marBottom w:val="0"/>
      <w:divBdr>
        <w:top w:val="none" w:sz="0" w:space="0" w:color="auto"/>
        <w:left w:val="none" w:sz="0" w:space="0" w:color="auto"/>
        <w:bottom w:val="none" w:sz="0" w:space="0" w:color="auto"/>
        <w:right w:val="none" w:sz="0" w:space="0" w:color="auto"/>
      </w:divBdr>
    </w:div>
    <w:div w:id="1100292367">
      <w:bodyDiv w:val="1"/>
      <w:marLeft w:val="0"/>
      <w:marRight w:val="0"/>
      <w:marTop w:val="0"/>
      <w:marBottom w:val="0"/>
      <w:divBdr>
        <w:top w:val="none" w:sz="0" w:space="0" w:color="auto"/>
        <w:left w:val="none" w:sz="0" w:space="0" w:color="auto"/>
        <w:bottom w:val="none" w:sz="0" w:space="0" w:color="auto"/>
        <w:right w:val="none" w:sz="0" w:space="0" w:color="auto"/>
      </w:divBdr>
    </w:div>
    <w:div w:id="1154681917">
      <w:bodyDiv w:val="1"/>
      <w:marLeft w:val="0"/>
      <w:marRight w:val="0"/>
      <w:marTop w:val="0"/>
      <w:marBottom w:val="0"/>
      <w:divBdr>
        <w:top w:val="none" w:sz="0" w:space="0" w:color="auto"/>
        <w:left w:val="none" w:sz="0" w:space="0" w:color="auto"/>
        <w:bottom w:val="none" w:sz="0" w:space="0" w:color="auto"/>
        <w:right w:val="none" w:sz="0" w:space="0" w:color="auto"/>
      </w:divBdr>
    </w:div>
    <w:div w:id="1171338096">
      <w:bodyDiv w:val="1"/>
      <w:marLeft w:val="0"/>
      <w:marRight w:val="0"/>
      <w:marTop w:val="0"/>
      <w:marBottom w:val="0"/>
      <w:divBdr>
        <w:top w:val="none" w:sz="0" w:space="0" w:color="auto"/>
        <w:left w:val="none" w:sz="0" w:space="0" w:color="auto"/>
        <w:bottom w:val="none" w:sz="0" w:space="0" w:color="auto"/>
        <w:right w:val="none" w:sz="0" w:space="0" w:color="auto"/>
      </w:divBdr>
    </w:div>
    <w:div w:id="1214930249">
      <w:bodyDiv w:val="1"/>
      <w:marLeft w:val="0"/>
      <w:marRight w:val="0"/>
      <w:marTop w:val="0"/>
      <w:marBottom w:val="0"/>
      <w:divBdr>
        <w:top w:val="none" w:sz="0" w:space="0" w:color="auto"/>
        <w:left w:val="none" w:sz="0" w:space="0" w:color="auto"/>
        <w:bottom w:val="none" w:sz="0" w:space="0" w:color="auto"/>
        <w:right w:val="none" w:sz="0" w:space="0" w:color="auto"/>
      </w:divBdr>
    </w:div>
    <w:div w:id="1229682052">
      <w:bodyDiv w:val="1"/>
      <w:marLeft w:val="0"/>
      <w:marRight w:val="0"/>
      <w:marTop w:val="0"/>
      <w:marBottom w:val="0"/>
      <w:divBdr>
        <w:top w:val="none" w:sz="0" w:space="0" w:color="auto"/>
        <w:left w:val="none" w:sz="0" w:space="0" w:color="auto"/>
        <w:bottom w:val="none" w:sz="0" w:space="0" w:color="auto"/>
        <w:right w:val="none" w:sz="0" w:space="0" w:color="auto"/>
      </w:divBdr>
    </w:div>
    <w:div w:id="1231575026">
      <w:bodyDiv w:val="1"/>
      <w:marLeft w:val="0"/>
      <w:marRight w:val="0"/>
      <w:marTop w:val="0"/>
      <w:marBottom w:val="0"/>
      <w:divBdr>
        <w:top w:val="none" w:sz="0" w:space="0" w:color="auto"/>
        <w:left w:val="none" w:sz="0" w:space="0" w:color="auto"/>
        <w:bottom w:val="none" w:sz="0" w:space="0" w:color="auto"/>
        <w:right w:val="none" w:sz="0" w:space="0" w:color="auto"/>
      </w:divBdr>
    </w:div>
    <w:div w:id="1275677508">
      <w:bodyDiv w:val="1"/>
      <w:marLeft w:val="0"/>
      <w:marRight w:val="0"/>
      <w:marTop w:val="0"/>
      <w:marBottom w:val="0"/>
      <w:divBdr>
        <w:top w:val="none" w:sz="0" w:space="0" w:color="auto"/>
        <w:left w:val="none" w:sz="0" w:space="0" w:color="auto"/>
        <w:bottom w:val="none" w:sz="0" w:space="0" w:color="auto"/>
        <w:right w:val="none" w:sz="0" w:space="0" w:color="auto"/>
      </w:divBdr>
    </w:div>
    <w:div w:id="1276982592">
      <w:bodyDiv w:val="1"/>
      <w:marLeft w:val="0"/>
      <w:marRight w:val="0"/>
      <w:marTop w:val="0"/>
      <w:marBottom w:val="0"/>
      <w:divBdr>
        <w:top w:val="none" w:sz="0" w:space="0" w:color="auto"/>
        <w:left w:val="none" w:sz="0" w:space="0" w:color="auto"/>
        <w:bottom w:val="none" w:sz="0" w:space="0" w:color="auto"/>
        <w:right w:val="none" w:sz="0" w:space="0" w:color="auto"/>
      </w:divBdr>
    </w:div>
    <w:div w:id="1343825577">
      <w:bodyDiv w:val="1"/>
      <w:marLeft w:val="0"/>
      <w:marRight w:val="0"/>
      <w:marTop w:val="0"/>
      <w:marBottom w:val="0"/>
      <w:divBdr>
        <w:top w:val="none" w:sz="0" w:space="0" w:color="auto"/>
        <w:left w:val="none" w:sz="0" w:space="0" w:color="auto"/>
        <w:bottom w:val="none" w:sz="0" w:space="0" w:color="auto"/>
        <w:right w:val="none" w:sz="0" w:space="0" w:color="auto"/>
      </w:divBdr>
    </w:div>
    <w:div w:id="1446541666">
      <w:bodyDiv w:val="1"/>
      <w:marLeft w:val="0"/>
      <w:marRight w:val="0"/>
      <w:marTop w:val="0"/>
      <w:marBottom w:val="0"/>
      <w:divBdr>
        <w:top w:val="none" w:sz="0" w:space="0" w:color="auto"/>
        <w:left w:val="none" w:sz="0" w:space="0" w:color="auto"/>
        <w:bottom w:val="none" w:sz="0" w:space="0" w:color="auto"/>
        <w:right w:val="none" w:sz="0" w:space="0" w:color="auto"/>
      </w:divBdr>
    </w:div>
    <w:div w:id="1447388676">
      <w:bodyDiv w:val="1"/>
      <w:marLeft w:val="0"/>
      <w:marRight w:val="0"/>
      <w:marTop w:val="0"/>
      <w:marBottom w:val="0"/>
      <w:divBdr>
        <w:top w:val="none" w:sz="0" w:space="0" w:color="auto"/>
        <w:left w:val="none" w:sz="0" w:space="0" w:color="auto"/>
        <w:bottom w:val="none" w:sz="0" w:space="0" w:color="auto"/>
        <w:right w:val="none" w:sz="0" w:space="0" w:color="auto"/>
      </w:divBdr>
    </w:div>
    <w:div w:id="1463427905">
      <w:bodyDiv w:val="1"/>
      <w:marLeft w:val="0"/>
      <w:marRight w:val="0"/>
      <w:marTop w:val="0"/>
      <w:marBottom w:val="0"/>
      <w:divBdr>
        <w:top w:val="none" w:sz="0" w:space="0" w:color="auto"/>
        <w:left w:val="none" w:sz="0" w:space="0" w:color="auto"/>
        <w:bottom w:val="none" w:sz="0" w:space="0" w:color="auto"/>
        <w:right w:val="none" w:sz="0" w:space="0" w:color="auto"/>
      </w:divBdr>
    </w:div>
    <w:div w:id="1528174042">
      <w:bodyDiv w:val="1"/>
      <w:marLeft w:val="0"/>
      <w:marRight w:val="0"/>
      <w:marTop w:val="0"/>
      <w:marBottom w:val="0"/>
      <w:divBdr>
        <w:top w:val="none" w:sz="0" w:space="0" w:color="auto"/>
        <w:left w:val="none" w:sz="0" w:space="0" w:color="auto"/>
        <w:bottom w:val="none" w:sz="0" w:space="0" w:color="auto"/>
        <w:right w:val="none" w:sz="0" w:space="0" w:color="auto"/>
      </w:divBdr>
    </w:div>
    <w:div w:id="1556623802">
      <w:bodyDiv w:val="1"/>
      <w:marLeft w:val="0"/>
      <w:marRight w:val="0"/>
      <w:marTop w:val="0"/>
      <w:marBottom w:val="0"/>
      <w:divBdr>
        <w:top w:val="none" w:sz="0" w:space="0" w:color="auto"/>
        <w:left w:val="none" w:sz="0" w:space="0" w:color="auto"/>
        <w:bottom w:val="none" w:sz="0" w:space="0" w:color="auto"/>
        <w:right w:val="none" w:sz="0" w:space="0" w:color="auto"/>
      </w:divBdr>
    </w:div>
    <w:div w:id="1559322603">
      <w:bodyDiv w:val="1"/>
      <w:marLeft w:val="0"/>
      <w:marRight w:val="0"/>
      <w:marTop w:val="0"/>
      <w:marBottom w:val="0"/>
      <w:divBdr>
        <w:top w:val="none" w:sz="0" w:space="0" w:color="auto"/>
        <w:left w:val="none" w:sz="0" w:space="0" w:color="auto"/>
        <w:bottom w:val="none" w:sz="0" w:space="0" w:color="auto"/>
        <w:right w:val="none" w:sz="0" w:space="0" w:color="auto"/>
      </w:divBdr>
    </w:div>
    <w:div w:id="1571227556">
      <w:bodyDiv w:val="1"/>
      <w:marLeft w:val="0"/>
      <w:marRight w:val="0"/>
      <w:marTop w:val="0"/>
      <w:marBottom w:val="0"/>
      <w:divBdr>
        <w:top w:val="none" w:sz="0" w:space="0" w:color="auto"/>
        <w:left w:val="none" w:sz="0" w:space="0" w:color="auto"/>
        <w:bottom w:val="none" w:sz="0" w:space="0" w:color="auto"/>
        <w:right w:val="none" w:sz="0" w:space="0" w:color="auto"/>
      </w:divBdr>
    </w:div>
    <w:div w:id="1677223447">
      <w:bodyDiv w:val="1"/>
      <w:marLeft w:val="0"/>
      <w:marRight w:val="0"/>
      <w:marTop w:val="0"/>
      <w:marBottom w:val="0"/>
      <w:divBdr>
        <w:top w:val="none" w:sz="0" w:space="0" w:color="auto"/>
        <w:left w:val="none" w:sz="0" w:space="0" w:color="auto"/>
        <w:bottom w:val="none" w:sz="0" w:space="0" w:color="auto"/>
        <w:right w:val="none" w:sz="0" w:space="0" w:color="auto"/>
      </w:divBdr>
    </w:div>
    <w:div w:id="1714649236">
      <w:bodyDiv w:val="1"/>
      <w:marLeft w:val="0"/>
      <w:marRight w:val="0"/>
      <w:marTop w:val="0"/>
      <w:marBottom w:val="0"/>
      <w:divBdr>
        <w:top w:val="none" w:sz="0" w:space="0" w:color="auto"/>
        <w:left w:val="none" w:sz="0" w:space="0" w:color="auto"/>
        <w:bottom w:val="none" w:sz="0" w:space="0" w:color="auto"/>
        <w:right w:val="none" w:sz="0" w:space="0" w:color="auto"/>
      </w:divBdr>
    </w:div>
    <w:div w:id="1739133082">
      <w:bodyDiv w:val="1"/>
      <w:marLeft w:val="0"/>
      <w:marRight w:val="0"/>
      <w:marTop w:val="0"/>
      <w:marBottom w:val="0"/>
      <w:divBdr>
        <w:top w:val="none" w:sz="0" w:space="0" w:color="auto"/>
        <w:left w:val="none" w:sz="0" w:space="0" w:color="auto"/>
        <w:bottom w:val="none" w:sz="0" w:space="0" w:color="auto"/>
        <w:right w:val="none" w:sz="0" w:space="0" w:color="auto"/>
      </w:divBdr>
    </w:div>
    <w:div w:id="1740251053">
      <w:bodyDiv w:val="1"/>
      <w:marLeft w:val="0"/>
      <w:marRight w:val="0"/>
      <w:marTop w:val="0"/>
      <w:marBottom w:val="0"/>
      <w:divBdr>
        <w:top w:val="none" w:sz="0" w:space="0" w:color="auto"/>
        <w:left w:val="none" w:sz="0" w:space="0" w:color="auto"/>
        <w:bottom w:val="none" w:sz="0" w:space="0" w:color="auto"/>
        <w:right w:val="none" w:sz="0" w:space="0" w:color="auto"/>
      </w:divBdr>
    </w:div>
    <w:div w:id="1741174863">
      <w:bodyDiv w:val="1"/>
      <w:marLeft w:val="0"/>
      <w:marRight w:val="0"/>
      <w:marTop w:val="0"/>
      <w:marBottom w:val="0"/>
      <w:divBdr>
        <w:top w:val="none" w:sz="0" w:space="0" w:color="auto"/>
        <w:left w:val="none" w:sz="0" w:space="0" w:color="auto"/>
        <w:bottom w:val="none" w:sz="0" w:space="0" w:color="auto"/>
        <w:right w:val="none" w:sz="0" w:space="0" w:color="auto"/>
      </w:divBdr>
    </w:div>
    <w:div w:id="1783648357">
      <w:bodyDiv w:val="1"/>
      <w:marLeft w:val="0"/>
      <w:marRight w:val="0"/>
      <w:marTop w:val="0"/>
      <w:marBottom w:val="0"/>
      <w:divBdr>
        <w:top w:val="none" w:sz="0" w:space="0" w:color="auto"/>
        <w:left w:val="none" w:sz="0" w:space="0" w:color="auto"/>
        <w:bottom w:val="none" w:sz="0" w:space="0" w:color="auto"/>
        <w:right w:val="none" w:sz="0" w:space="0" w:color="auto"/>
      </w:divBdr>
    </w:div>
    <w:div w:id="1785686811">
      <w:bodyDiv w:val="1"/>
      <w:marLeft w:val="0"/>
      <w:marRight w:val="0"/>
      <w:marTop w:val="0"/>
      <w:marBottom w:val="0"/>
      <w:divBdr>
        <w:top w:val="none" w:sz="0" w:space="0" w:color="auto"/>
        <w:left w:val="none" w:sz="0" w:space="0" w:color="auto"/>
        <w:bottom w:val="none" w:sz="0" w:space="0" w:color="auto"/>
        <w:right w:val="none" w:sz="0" w:space="0" w:color="auto"/>
      </w:divBdr>
    </w:div>
    <w:div w:id="1796362217">
      <w:bodyDiv w:val="1"/>
      <w:marLeft w:val="0"/>
      <w:marRight w:val="0"/>
      <w:marTop w:val="0"/>
      <w:marBottom w:val="0"/>
      <w:divBdr>
        <w:top w:val="none" w:sz="0" w:space="0" w:color="auto"/>
        <w:left w:val="none" w:sz="0" w:space="0" w:color="auto"/>
        <w:bottom w:val="none" w:sz="0" w:space="0" w:color="auto"/>
        <w:right w:val="none" w:sz="0" w:space="0" w:color="auto"/>
      </w:divBdr>
    </w:div>
    <w:div w:id="1836800329">
      <w:bodyDiv w:val="1"/>
      <w:marLeft w:val="0"/>
      <w:marRight w:val="0"/>
      <w:marTop w:val="0"/>
      <w:marBottom w:val="0"/>
      <w:divBdr>
        <w:top w:val="none" w:sz="0" w:space="0" w:color="auto"/>
        <w:left w:val="none" w:sz="0" w:space="0" w:color="auto"/>
        <w:bottom w:val="none" w:sz="0" w:space="0" w:color="auto"/>
        <w:right w:val="none" w:sz="0" w:space="0" w:color="auto"/>
      </w:divBdr>
      <w:divsChild>
        <w:div w:id="1974211084">
          <w:marLeft w:val="0"/>
          <w:marRight w:val="0"/>
          <w:marTop w:val="0"/>
          <w:marBottom w:val="0"/>
          <w:divBdr>
            <w:top w:val="none" w:sz="0" w:space="0" w:color="auto"/>
            <w:left w:val="none" w:sz="0" w:space="0" w:color="auto"/>
            <w:bottom w:val="none" w:sz="0" w:space="0" w:color="auto"/>
            <w:right w:val="none" w:sz="0" w:space="0" w:color="auto"/>
          </w:divBdr>
        </w:div>
        <w:div w:id="1728525839">
          <w:marLeft w:val="0"/>
          <w:marRight w:val="0"/>
          <w:marTop w:val="0"/>
          <w:marBottom w:val="0"/>
          <w:divBdr>
            <w:top w:val="none" w:sz="0" w:space="0" w:color="auto"/>
            <w:left w:val="none" w:sz="0" w:space="0" w:color="auto"/>
            <w:bottom w:val="none" w:sz="0" w:space="0" w:color="auto"/>
            <w:right w:val="none" w:sz="0" w:space="0" w:color="auto"/>
          </w:divBdr>
        </w:div>
      </w:divsChild>
    </w:div>
    <w:div w:id="1843818997">
      <w:bodyDiv w:val="1"/>
      <w:marLeft w:val="0"/>
      <w:marRight w:val="0"/>
      <w:marTop w:val="0"/>
      <w:marBottom w:val="0"/>
      <w:divBdr>
        <w:top w:val="none" w:sz="0" w:space="0" w:color="auto"/>
        <w:left w:val="none" w:sz="0" w:space="0" w:color="auto"/>
        <w:bottom w:val="none" w:sz="0" w:space="0" w:color="auto"/>
        <w:right w:val="none" w:sz="0" w:space="0" w:color="auto"/>
      </w:divBdr>
    </w:div>
    <w:div w:id="1900703523">
      <w:bodyDiv w:val="1"/>
      <w:marLeft w:val="0"/>
      <w:marRight w:val="0"/>
      <w:marTop w:val="0"/>
      <w:marBottom w:val="0"/>
      <w:divBdr>
        <w:top w:val="none" w:sz="0" w:space="0" w:color="auto"/>
        <w:left w:val="none" w:sz="0" w:space="0" w:color="auto"/>
        <w:bottom w:val="none" w:sz="0" w:space="0" w:color="auto"/>
        <w:right w:val="none" w:sz="0" w:space="0" w:color="auto"/>
      </w:divBdr>
    </w:div>
    <w:div w:id="1905528437">
      <w:bodyDiv w:val="1"/>
      <w:marLeft w:val="0"/>
      <w:marRight w:val="0"/>
      <w:marTop w:val="0"/>
      <w:marBottom w:val="0"/>
      <w:divBdr>
        <w:top w:val="none" w:sz="0" w:space="0" w:color="auto"/>
        <w:left w:val="none" w:sz="0" w:space="0" w:color="auto"/>
        <w:bottom w:val="none" w:sz="0" w:space="0" w:color="auto"/>
        <w:right w:val="none" w:sz="0" w:space="0" w:color="auto"/>
      </w:divBdr>
    </w:div>
    <w:div w:id="1967201071">
      <w:bodyDiv w:val="1"/>
      <w:marLeft w:val="0"/>
      <w:marRight w:val="0"/>
      <w:marTop w:val="0"/>
      <w:marBottom w:val="0"/>
      <w:divBdr>
        <w:top w:val="none" w:sz="0" w:space="0" w:color="auto"/>
        <w:left w:val="none" w:sz="0" w:space="0" w:color="auto"/>
        <w:bottom w:val="none" w:sz="0" w:space="0" w:color="auto"/>
        <w:right w:val="none" w:sz="0" w:space="0" w:color="auto"/>
      </w:divBdr>
    </w:div>
    <w:div w:id="1979919524">
      <w:bodyDiv w:val="1"/>
      <w:marLeft w:val="0"/>
      <w:marRight w:val="0"/>
      <w:marTop w:val="0"/>
      <w:marBottom w:val="0"/>
      <w:divBdr>
        <w:top w:val="none" w:sz="0" w:space="0" w:color="auto"/>
        <w:left w:val="none" w:sz="0" w:space="0" w:color="auto"/>
        <w:bottom w:val="none" w:sz="0" w:space="0" w:color="auto"/>
        <w:right w:val="none" w:sz="0" w:space="0" w:color="auto"/>
      </w:divBdr>
    </w:div>
    <w:div w:id="1991253997">
      <w:bodyDiv w:val="1"/>
      <w:marLeft w:val="0"/>
      <w:marRight w:val="0"/>
      <w:marTop w:val="0"/>
      <w:marBottom w:val="0"/>
      <w:divBdr>
        <w:top w:val="none" w:sz="0" w:space="0" w:color="auto"/>
        <w:left w:val="none" w:sz="0" w:space="0" w:color="auto"/>
        <w:bottom w:val="none" w:sz="0" w:space="0" w:color="auto"/>
        <w:right w:val="none" w:sz="0" w:space="0" w:color="auto"/>
      </w:divBdr>
    </w:div>
    <w:div w:id="2042045725">
      <w:bodyDiv w:val="1"/>
      <w:marLeft w:val="0"/>
      <w:marRight w:val="0"/>
      <w:marTop w:val="0"/>
      <w:marBottom w:val="0"/>
      <w:divBdr>
        <w:top w:val="none" w:sz="0" w:space="0" w:color="auto"/>
        <w:left w:val="none" w:sz="0" w:space="0" w:color="auto"/>
        <w:bottom w:val="none" w:sz="0" w:space="0" w:color="auto"/>
        <w:right w:val="none" w:sz="0" w:space="0" w:color="auto"/>
      </w:divBdr>
    </w:div>
    <w:div w:id="2044600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2607</Words>
  <Characters>14861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Editor GP 005</cp:lastModifiedBy>
  <cp:revision>6</cp:revision>
  <dcterms:created xsi:type="dcterms:W3CDTF">2025-05-27T04:59:00Z</dcterms:created>
  <dcterms:modified xsi:type="dcterms:W3CDTF">2025-05-28T11:33:00Z</dcterms:modified>
</cp:coreProperties>
</file>