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2AF3" w14:textId="77777777" w:rsidR="0081225C" w:rsidRDefault="0081225C"/>
    <w:p w14:paraId="45F64992" w14:textId="385C27A1" w:rsidR="00F81399" w:rsidRPr="00F57F43" w:rsidRDefault="00F81399" w:rsidP="00F57F43">
      <w:pPr>
        <w:jc w:val="center"/>
        <w:rPr>
          <w:rFonts w:ascii="Times New Roman" w:hAnsi="Times New Roman" w:cs="Times New Roman"/>
          <w:b/>
          <w:bCs/>
          <w:sz w:val="28"/>
          <w:szCs w:val="28"/>
        </w:rPr>
      </w:pPr>
      <w:r w:rsidRPr="00F57F43">
        <w:rPr>
          <w:rFonts w:ascii="Times New Roman" w:hAnsi="Times New Roman" w:cs="Times New Roman"/>
          <w:b/>
          <w:bCs/>
          <w:sz w:val="28"/>
          <w:szCs w:val="28"/>
        </w:rPr>
        <w:t>Investigating the Association Between Serum Uric Acid Levels, Diabetes</w:t>
      </w:r>
      <w:r w:rsidR="00C7097E">
        <w:rPr>
          <w:rFonts w:ascii="Times New Roman" w:hAnsi="Times New Roman" w:cs="Times New Roman"/>
          <w:b/>
          <w:bCs/>
          <w:sz w:val="28"/>
          <w:szCs w:val="28"/>
        </w:rPr>
        <w:t xml:space="preserve"> </w:t>
      </w:r>
      <w:r w:rsidRPr="00F57F43">
        <w:rPr>
          <w:rFonts w:ascii="Times New Roman" w:hAnsi="Times New Roman" w:cs="Times New Roman"/>
          <w:b/>
          <w:bCs/>
          <w:sz w:val="28"/>
          <w:szCs w:val="28"/>
        </w:rPr>
        <w:t>and Other Key Biochemical Markers: A Comprehensive Analysis of Their Interrelationships and Implications for Health</w:t>
      </w:r>
    </w:p>
    <w:p w14:paraId="0CC498C3" w14:textId="77777777" w:rsidR="007329F0" w:rsidRDefault="007329F0">
      <w:pPr>
        <w:rPr>
          <w:rFonts w:ascii="Times New Roman" w:hAnsi="Times New Roman" w:cs="Times New Roman"/>
        </w:rPr>
      </w:pPr>
    </w:p>
    <w:p w14:paraId="7EA7E81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Abstract</w:t>
      </w:r>
    </w:p>
    <w:p w14:paraId="0A7FB192"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Background:</w:t>
      </w:r>
      <w:r w:rsidRPr="00BE11A5">
        <w:rPr>
          <w:rFonts w:ascii="Times New Roman" w:hAnsi="Times New Roman" w:cs="Times New Roman"/>
          <w:lang w:val="en-GB"/>
        </w:rPr>
        <w:t xml:space="preserve"> Serum uric acid (UA) has emerged as a significant biomarker associated with metabolic disorders, including diabetes and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While hyperuricemia is linked to insulin resistance and cardiovascular risk globally, its role in South Asian populations, particularly Bangladesh, remains understudied. Given the rising prevalence of diabetes and metabolic syndrome in Bangladesh, understanding UA's association with these conditions is crucial for tailored clinical interventions.</w:t>
      </w:r>
    </w:p>
    <w:p w14:paraId="5FCBE13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Aim:</w:t>
      </w:r>
      <w:r w:rsidRPr="00BE11A5">
        <w:rPr>
          <w:rFonts w:ascii="Times New Roman" w:hAnsi="Times New Roman" w:cs="Times New Roman"/>
          <w:lang w:val="en-GB"/>
        </w:rPr>
        <w:t> This study aimed to investigate the relationship between serum UA levels, diabetes, and other metabolic parameters in a Bangladeshi cohort, while assessing gender-specific differences and predictive utility.</w:t>
      </w:r>
    </w:p>
    <w:p w14:paraId="2B8BD725"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Methods:</w:t>
      </w:r>
      <w:r w:rsidRPr="00BE11A5">
        <w:rPr>
          <w:rFonts w:ascii="Times New Roman" w:hAnsi="Times New Roman" w:cs="Times New Roman"/>
          <w:lang w:val="en-GB"/>
        </w:rPr>
        <w:t xml:space="preserve"> A retrospective cross-sectional study was conducted using 220 laboratory reports from urban and semi-urban diagnostic </w:t>
      </w:r>
      <w:proofErr w:type="spellStart"/>
      <w:r w:rsidRPr="00BE11A5">
        <w:rPr>
          <w:rFonts w:ascii="Times New Roman" w:hAnsi="Times New Roman" w:cs="Times New Roman"/>
          <w:lang w:val="en-GB"/>
        </w:rPr>
        <w:t>centers</w:t>
      </w:r>
      <w:proofErr w:type="spellEnd"/>
      <w:r w:rsidRPr="00BE11A5">
        <w:rPr>
          <w:rFonts w:ascii="Times New Roman" w:hAnsi="Times New Roman" w:cs="Times New Roman"/>
          <w:lang w:val="en-GB"/>
        </w:rPr>
        <w:t xml:space="preserve"> in Bangladesh (2022–2023). Biochemical parameters, including UA, HbA1c, lipid profiles, and renal markers, were </w:t>
      </w:r>
      <w:proofErr w:type="spellStart"/>
      <w:r w:rsidRPr="00BE11A5">
        <w:rPr>
          <w:rFonts w:ascii="Times New Roman" w:hAnsi="Times New Roman" w:cs="Times New Roman"/>
          <w:lang w:val="en-GB"/>
        </w:rPr>
        <w:t>analyzed</w:t>
      </w:r>
      <w:proofErr w:type="spellEnd"/>
      <w:r w:rsidRPr="00BE11A5">
        <w:rPr>
          <w:rFonts w:ascii="Times New Roman" w:hAnsi="Times New Roman" w:cs="Times New Roman"/>
          <w:lang w:val="en-GB"/>
        </w:rPr>
        <w:t>. Hyperuricemia was defined as UA &gt;7.0 mg/dL (males) and &gt;6.0 mg/dL (females). Statistical analyses included Spearman’s correlation, ROC analysis, and logistic regression.</w:t>
      </w:r>
    </w:p>
    <w:p w14:paraId="2EC969F4"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Results:</w:t>
      </w:r>
      <w:r w:rsidRPr="00BE11A5">
        <w:rPr>
          <w:rFonts w:ascii="Times New Roman" w:hAnsi="Times New Roman" w:cs="Times New Roman"/>
          <w:lang w:val="en-GB"/>
        </w:rPr>
        <w:t> Females had higher hyperuricemia (38.2% vs. 14.1%, </w:t>
      </w:r>
      <w:r w:rsidRPr="00BE11A5">
        <w:rPr>
          <w:rFonts w:ascii="Times New Roman" w:hAnsi="Times New Roman" w:cs="Times New Roman"/>
          <w:i/>
          <w:iCs/>
          <w:lang w:val="en-GB"/>
        </w:rPr>
        <w:t>P</w:t>
      </w:r>
      <w:r w:rsidRPr="00BE11A5">
        <w:rPr>
          <w:rFonts w:ascii="Times New Roman" w:hAnsi="Times New Roman" w:cs="Times New Roman"/>
          <w:lang w:val="en-GB"/>
        </w:rPr>
        <w:t>=0.040) and diabetes prevalence (12.7% vs. 8.2%, </w:t>
      </w:r>
      <w:r w:rsidRPr="00BE11A5">
        <w:rPr>
          <w:rFonts w:ascii="Times New Roman" w:hAnsi="Times New Roman" w:cs="Times New Roman"/>
          <w:i/>
          <w:iCs/>
          <w:lang w:val="en-GB"/>
        </w:rPr>
        <w:t>P</w:t>
      </w:r>
      <w:r w:rsidRPr="00BE11A5">
        <w:rPr>
          <w:rFonts w:ascii="Times New Roman" w:hAnsi="Times New Roman" w:cs="Times New Roman"/>
          <w:lang w:val="en-GB"/>
        </w:rPr>
        <w:t>=0.042), while males exhibited lower HDL (43 vs. 48 mg/dL, </w:t>
      </w:r>
      <w:r w:rsidRPr="00BE11A5">
        <w:rPr>
          <w:rFonts w:ascii="Times New Roman" w:hAnsi="Times New Roman" w:cs="Times New Roman"/>
          <w:i/>
          <w:iCs/>
          <w:lang w:val="en-GB"/>
        </w:rPr>
        <w:t>P</w:t>
      </w:r>
      <w:r w:rsidRPr="00BE11A5">
        <w:rPr>
          <w:rFonts w:ascii="Times New Roman" w:hAnsi="Times New Roman" w:cs="Times New Roman"/>
          <w:lang w:val="en-GB"/>
        </w:rPr>
        <w:t>=0.009). UA correlated positively with HbA1c (ρ=0.25, </w:t>
      </w:r>
      <w:r w:rsidRPr="00BE11A5">
        <w:rPr>
          <w:rFonts w:ascii="Times New Roman" w:hAnsi="Times New Roman" w:cs="Times New Roman"/>
          <w:i/>
          <w:iCs/>
          <w:lang w:val="en-GB"/>
        </w:rPr>
        <w:t>P</w:t>
      </w:r>
      <w:r w:rsidRPr="00BE11A5">
        <w:rPr>
          <w:rFonts w:ascii="Times New Roman" w:hAnsi="Times New Roman" w:cs="Times New Roman"/>
          <w:lang w:val="en-GB"/>
        </w:rPr>
        <w:t>=0.006) and inversely with HDL (ρ=-0.18, </w:t>
      </w:r>
      <w:r w:rsidRPr="00BE11A5">
        <w:rPr>
          <w:rFonts w:ascii="Times New Roman" w:hAnsi="Times New Roman" w:cs="Times New Roman"/>
          <w:i/>
          <w:iCs/>
          <w:lang w:val="en-GB"/>
        </w:rPr>
        <w:t>P</w:t>
      </w:r>
      <w:r w:rsidRPr="00BE11A5">
        <w:rPr>
          <w:rFonts w:ascii="Times New Roman" w:hAnsi="Times New Roman" w:cs="Times New Roman"/>
          <w:lang w:val="en-GB"/>
        </w:rPr>
        <w:t>=0.024). Triglycerides (OR=2.85, </w:t>
      </w:r>
      <w:r w:rsidRPr="00BE11A5">
        <w:rPr>
          <w:rFonts w:ascii="Times New Roman" w:hAnsi="Times New Roman" w:cs="Times New Roman"/>
          <w:i/>
          <w:iCs/>
          <w:lang w:val="en-GB"/>
        </w:rPr>
        <w:t>P</w:t>
      </w:r>
      <w:r w:rsidRPr="00BE11A5">
        <w:rPr>
          <w:rFonts w:ascii="Times New Roman" w:hAnsi="Times New Roman" w:cs="Times New Roman"/>
          <w:lang w:val="en-GB"/>
        </w:rPr>
        <w:t>=0.004) and low HDL (OR=1.67, </w:t>
      </w:r>
      <w:r w:rsidRPr="00BE11A5">
        <w:rPr>
          <w:rFonts w:ascii="Times New Roman" w:hAnsi="Times New Roman" w:cs="Times New Roman"/>
          <w:i/>
          <w:iCs/>
          <w:lang w:val="en-GB"/>
        </w:rPr>
        <w:t>P</w:t>
      </w:r>
      <w:r w:rsidRPr="00BE11A5">
        <w:rPr>
          <w:rFonts w:ascii="Times New Roman" w:hAnsi="Times New Roman" w:cs="Times New Roman"/>
          <w:lang w:val="en-GB"/>
        </w:rPr>
        <w:t>=0.009) were stronger diabetes predictors than UA (OR=1.41, </w:t>
      </w:r>
      <w:r w:rsidRPr="00BE11A5">
        <w:rPr>
          <w:rFonts w:ascii="Times New Roman" w:hAnsi="Times New Roman" w:cs="Times New Roman"/>
          <w:i/>
          <w:iCs/>
          <w:lang w:val="en-GB"/>
        </w:rPr>
        <w:t>P</w:t>
      </w:r>
      <w:r w:rsidRPr="00BE11A5">
        <w:rPr>
          <w:rFonts w:ascii="Times New Roman" w:hAnsi="Times New Roman" w:cs="Times New Roman"/>
          <w:lang w:val="en-GB"/>
        </w:rPr>
        <w:t>=0.021).</w:t>
      </w:r>
    </w:p>
    <w:p w14:paraId="7FF2825D"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Conclusion:</w:t>
      </w:r>
      <w:r w:rsidRPr="00BE11A5">
        <w:rPr>
          <w:rFonts w:ascii="Times New Roman" w:hAnsi="Times New Roman" w:cs="Times New Roman"/>
          <w:lang w:val="en-GB"/>
        </w:rPr>
        <w:t> UA is associated with metabolic dysfunction but is a weaker diabetes predictor than lipid abnormalities in Bangladeshi adults. Gender-specific differences highlight the need for tailored screening and management strategies.</w:t>
      </w:r>
    </w:p>
    <w:p w14:paraId="158029FE"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lastRenderedPageBreak/>
        <w:t>Keywords:</w:t>
      </w:r>
      <w:r w:rsidRPr="00BE11A5">
        <w:rPr>
          <w:rFonts w:ascii="Times New Roman" w:hAnsi="Times New Roman" w:cs="Times New Roman"/>
          <w:lang w:val="en-GB"/>
        </w:rPr>
        <w:t xml:space="preserve"> Uric acid, Diabetes,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Hyperuricemia, Bangladesh.</w:t>
      </w:r>
    </w:p>
    <w:p w14:paraId="19F19664" w14:textId="77777777" w:rsidR="007329F0" w:rsidRDefault="007329F0">
      <w:pPr>
        <w:rPr>
          <w:rFonts w:ascii="Times New Roman" w:hAnsi="Times New Roman" w:cs="Times New Roman"/>
        </w:rPr>
      </w:pPr>
    </w:p>
    <w:p w14:paraId="33A414E4" w14:textId="77777777" w:rsidR="007329F0" w:rsidRDefault="007329F0">
      <w:pPr>
        <w:rPr>
          <w:rFonts w:ascii="Times New Roman" w:hAnsi="Times New Roman" w:cs="Times New Roman"/>
        </w:rPr>
      </w:pPr>
    </w:p>
    <w:p w14:paraId="0D347EC9" w14:textId="77777777" w:rsidR="007329F0" w:rsidRDefault="007329F0">
      <w:pPr>
        <w:rPr>
          <w:rFonts w:ascii="Times New Roman" w:hAnsi="Times New Roman" w:cs="Times New Roman"/>
        </w:rPr>
      </w:pPr>
    </w:p>
    <w:p w14:paraId="1A8A5C5D" w14:textId="77777777" w:rsidR="007329F0" w:rsidRDefault="007329F0">
      <w:pPr>
        <w:rPr>
          <w:rFonts w:ascii="Times New Roman" w:hAnsi="Times New Roman" w:cs="Times New Roman"/>
        </w:rPr>
      </w:pPr>
    </w:p>
    <w:p w14:paraId="4856C7EC" w14:textId="77777777" w:rsidR="00BE11A5" w:rsidRPr="00BE11A5" w:rsidRDefault="00BE11A5" w:rsidP="00BE11A5">
      <w:pPr>
        <w:spacing w:line="360" w:lineRule="auto"/>
        <w:jc w:val="both"/>
        <w:rPr>
          <w:rFonts w:ascii="Times New Roman" w:hAnsi="Times New Roman" w:cs="Times New Roman"/>
          <w:lang w:val="en-GB"/>
        </w:rPr>
      </w:pPr>
      <w:r w:rsidRPr="00BE11A5">
        <w:rPr>
          <w:rFonts w:ascii="Times New Roman" w:hAnsi="Times New Roman" w:cs="Times New Roman"/>
          <w:b/>
          <w:bCs/>
          <w:lang w:val="en-GB"/>
        </w:rPr>
        <w:t>Introduction</w:t>
      </w:r>
    </w:p>
    <w:p w14:paraId="44407D7A" w14:textId="1BFC9190"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Serum uric acid (UA), the end product of purine metabolism in humans, has emerged as a biomarker of significant clinical importance in contemporary medicine</w:t>
      </w:r>
      <w:r w:rsidR="00857549">
        <w:rPr>
          <w:rFonts w:ascii="Times New Roman" w:hAnsi="Times New Roman" w:cs="Times New Roman"/>
          <w:vertAlign w:val="superscript"/>
          <w:lang w:val="en-GB"/>
        </w:rPr>
        <w:t>1</w:t>
      </w:r>
      <w:r w:rsidRPr="00BE11A5">
        <w:rPr>
          <w:rFonts w:ascii="Times New Roman" w:hAnsi="Times New Roman" w:cs="Times New Roman"/>
          <w:lang w:val="en-GB"/>
        </w:rPr>
        <w:t>. As the final enzymatic product of xanthine oxidase activity, UA serves dual roles in human physiology - acting as an antioxidant at normal physiological concentrations while demonstrating pro-oxidant properties when elevated</w:t>
      </w:r>
      <w:r w:rsidR="00857549">
        <w:rPr>
          <w:rFonts w:ascii="Times New Roman" w:hAnsi="Times New Roman" w:cs="Times New Roman"/>
          <w:vertAlign w:val="superscript"/>
          <w:lang w:val="en-GB"/>
        </w:rPr>
        <w:t>2</w:t>
      </w:r>
      <w:r w:rsidRPr="00BE11A5">
        <w:rPr>
          <w:rFonts w:ascii="Times New Roman" w:hAnsi="Times New Roman" w:cs="Times New Roman"/>
          <w:lang w:val="en-GB"/>
        </w:rPr>
        <w:t xml:space="preserve">. This biochemical duality has positioned UA at the </w:t>
      </w:r>
      <w:proofErr w:type="spellStart"/>
      <w:r w:rsidRPr="00BE11A5">
        <w:rPr>
          <w:rFonts w:ascii="Times New Roman" w:hAnsi="Times New Roman" w:cs="Times New Roman"/>
          <w:lang w:val="en-GB"/>
        </w:rPr>
        <w:t>center</w:t>
      </w:r>
      <w:proofErr w:type="spellEnd"/>
      <w:r w:rsidRPr="00BE11A5">
        <w:rPr>
          <w:rFonts w:ascii="Times New Roman" w:hAnsi="Times New Roman" w:cs="Times New Roman"/>
          <w:lang w:val="en-GB"/>
        </w:rPr>
        <w:t xml:space="preserve"> of numerous pathophysiological investigations, particularly regarding its association with various chronic metabolic disorders</w:t>
      </w:r>
      <w:r w:rsidR="00857549">
        <w:rPr>
          <w:rFonts w:ascii="Times New Roman" w:hAnsi="Times New Roman" w:cs="Times New Roman"/>
          <w:vertAlign w:val="superscript"/>
          <w:lang w:val="en-GB"/>
        </w:rPr>
        <w:t>3</w:t>
      </w:r>
      <w:r w:rsidRPr="00BE11A5">
        <w:rPr>
          <w:rFonts w:ascii="Times New Roman" w:hAnsi="Times New Roman" w:cs="Times New Roman"/>
          <w:lang w:val="en-GB"/>
        </w:rPr>
        <w:t>. The current medical literature increasingly recognizes hyperuricemia (commonly defined as serum UA levels exceeding 6.8 mg/dL) not merely as a causative factor in gout, but as an independent risk marker for a spectrum of systemic conditions including cardiovascular diseases, hypertension, chronic kidney disease, insulin resistance, metabolic syndrome, and type 2 diabetes mellitus (T2DM)</w:t>
      </w:r>
      <w:r w:rsidR="00857549">
        <w:rPr>
          <w:rFonts w:ascii="Times New Roman" w:hAnsi="Times New Roman" w:cs="Times New Roman"/>
          <w:vertAlign w:val="superscript"/>
          <w:lang w:val="en-GB"/>
        </w:rPr>
        <w:t>4,5</w:t>
      </w:r>
      <w:r w:rsidRPr="00BE11A5">
        <w:rPr>
          <w:rFonts w:ascii="Times New Roman" w:hAnsi="Times New Roman" w:cs="Times New Roman"/>
          <w:lang w:val="en-GB"/>
        </w:rPr>
        <w:t>. Epidemiological evidence suggests that serum UA levels above 6.57 mg/dL may significantly elevate all-cause mortality risk, underscoring the critical importance of monitoring and managing UA levels in clinical practice</w:t>
      </w:r>
      <w:r w:rsidR="00857549">
        <w:rPr>
          <w:rFonts w:ascii="Times New Roman" w:hAnsi="Times New Roman" w:cs="Times New Roman"/>
          <w:vertAlign w:val="superscript"/>
          <w:lang w:val="en-GB"/>
        </w:rPr>
        <w:t>6,7</w:t>
      </w:r>
      <w:r w:rsidRPr="00BE11A5">
        <w:rPr>
          <w:rFonts w:ascii="Times New Roman" w:hAnsi="Times New Roman" w:cs="Times New Roman"/>
          <w:lang w:val="en-GB"/>
        </w:rPr>
        <w:t>.</w:t>
      </w:r>
    </w:p>
    <w:p w14:paraId="791A9BDD" w14:textId="5F52CC8B"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global prevalence of hyperuricemia has shown a concerning upward trajectory in recent decades, with this trend being particularly pronounced in developing nations undergoing rapid socioeconomic transition</w:t>
      </w:r>
      <w:r w:rsidR="00857549">
        <w:rPr>
          <w:rFonts w:ascii="Times New Roman" w:hAnsi="Times New Roman" w:cs="Times New Roman"/>
          <w:vertAlign w:val="superscript"/>
          <w:lang w:val="en-GB"/>
        </w:rPr>
        <w:t>8</w:t>
      </w:r>
      <w:r w:rsidRPr="00BE11A5">
        <w:rPr>
          <w:rFonts w:ascii="Times New Roman" w:hAnsi="Times New Roman" w:cs="Times New Roman"/>
          <w:lang w:val="en-GB"/>
        </w:rPr>
        <w:t>. This epidemiological shift can be largely attributed to profound changes in lifestyle patterns, including the widespread adoption of Western-style diets rich in purines and fructose, increasing rates of obesity and metabolic syndrome, and declining levels of physical activity</w:t>
      </w:r>
      <w:r w:rsidR="00857549">
        <w:rPr>
          <w:rFonts w:ascii="Times New Roman" w:hAnsi="Times New Roman" w:cs="Times New Roman"/>
          <w:vertAlign w:val="superscript"/>
          <w:lang w:val="en-GB"/>
        </w:rPr>
        <w:t>9</w:t>
      </w:r>
      <w:r w:rsidRPr="00BE11A5">
        <w:rPr>
          <w:rFonts w:ascii="Times New Roman" w:hAnsi="Times New Roman" w:cs="Times New Roman"/>
          <w:lang w:val="en-GB"/>
        </w:rPr>
        <w:t>. South Asian countries, including Bangladesh, have been notably affected by this trend, experiencing a dramatic rise in hyperuricemia prevalence alongside other non-communicable diseases (NCDs)</w:t>
      </w:r>
      <w:r w:rsidR="00857549">
        <w:rPr>
          <w:rFonts w:ascii="Times New Roman" w:hAnsi="Times New Roman" w:cs="Times New Roman"/>
          <w:vertAlign w:val="superscript"/>
          <w:lang w:val="en-GB"/>
        </w:rPr>
        <w:t>10,11</w:t>
      </w:r>
      <w:r w:rsidRPr="00BE11A5">
        <w:rPr>
          <w:rFonts w:ascii="Times New Roman" w:hAnsi="Times New Roman" w:cs="Times New Roman"/>
          <w:lang w:val="en-GB"/>
        </w:rPr>
        <w:t>. Bangladesh currently finds itself in an advanced stage of epidemiological transition, where NCDs now account for approximately 67% of all deaths nationally, representing a major public health challenge that demands urgent attention and targeted interventions</w:t>
      </w:r>
      <w:r w:rsidR="00857549">
        <w:rPr>
          <w:rFonts w:ascii="Times New Roman" w:hAnsi="Times New Roman" w:cs="Times New Roman"/>
          <w:vertAlign w:val="superscript"/>
          <w:lang w:val="en-GB"/>
        </w:rPr>
        <w:t>12</w:t>
      </w:r>
      <w:r w:rsidRPr="00BE11A5">
        <w:rPr>
          <w:rFonts w:ascii="Times New Roman" w:hAnsi="Times New Roman" w:cs="Times New Roman"/>
          <w:lang w:val="en-GB"/>
        </w:rPr>
        <w:t>.</w:t>
      </w:r>
    </w:p>
    <w:p w14:paraId="0CDA78BB" w14:textId="1C00B9EF"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lastRenderedPageBreak/>
        <w:t>Within this context, diabetes mellitus has emerged as a particularly pressing health concern in Bangladesh. Recent national health surveys estimate that over 9% of Bangladeshi adults currently live with diabetes, with prevalence rates continuing to climb steadily</w:t>
      </w:r>
      <w:r w:rsidR="00857549">
        <w:rPr>
          <w:rFonts w:ascii="Times New Roman" w:hAnsi="Times New Roman" w:cs="Times New Roman"/>
          <w:vertAlign w:val="superscript"/>
          <w:lang w:val="en-GB"/>
        </w:rPr>
        <w:t>13</w:t>
      </w:r>
      <w:r w:rsidRPr="00BE11A5">
        <w:rPr>
          <w:rFonts w:ascii="Times New Roman" w:hAnsi="Times New Roman" w:cs="Times New Roman"/>
          <w:lang w:val="en-GB"/>
        </w:rPr>
        <w:t xml:space="preserve">. More alarmingly, diabetes in this population frequently presents alongside other metabolic comorbidities such as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obesity, and hypertension, creating complex clinical scenarios that challenge conventional management approaches</w:t>
      </w:r>
      <w:r w:rsidR="00733019">
        <w:rPr>
          <w:rFonts w:ascii="Times New Roman" w:hAnsi="Times New Roman" w:cs="Times New Roman"/>
          <w:vertAlign w:val="superscript"/>
          <w:lang w:val="en-GB"/>
        </w:rPr>
        <w:t>14</w:t>
      </w:r>
      <w:r w:rsidRPr="00BE11A5">
        <w:rPr>
          <w:rFonts w:ascii="Times New Roman" w:hAnsi="Times New Roman" w:cs="Times New Roman"/>
          <w:lang w:val="en-GB"/>
        </w:rPr>
        <w:t>. Emerging research from diverse populations suggests that elevated serum UA may play an active role in the pathophysiology of metabolic dysfunction, potentially contributing to insulin resistance through multiple mechanisms including endothelial dysfunction, increased oxidative stress, and chronic low-grade inflammation</w:t>
      </w:r>
      <w:r w:rsidR="00733019">
        <w:rPr>
          <w:rFonts w:ascii="Times New Roman" w:hAnsi="Times New Roman" w:cs="Times New Roman"/>
          <w:vertAlign w:val="superscript"/>
          <w:lang w:val="en-GB"/>
        </w:rPr>
        <w:t>15</w:t>
      </w:r>
      <w:r w:rsidRPr="00BE11A5">
        <w:rPr>
          <w:rFonts w:ascii="Times New Roman" w:hAnsi="Times New Roman" w:cs="Times New Roman"/>
          <w:lang w:val="en-GB"/>
        </w:rPr>
        <w:t>. These pathways not only accelerate the development of diabetes but may also exacerbate its vascular complications, creating a vicious cycle of metabolic deterioration</w:t>
      </w:r>
      <w:r w:rsidR="00733019">
        <w:rPr>
          <w:rFonts w:ascii="Times New Roman" w:hAnsi="Times New Roman" w:cs="Times New Roman"/>
          <w:vertAlign w:val="superscript"/>
          <w:lang w:val="en-GB"/>
        </w:rPr>
        <w:t>16</w:t>
      </w:r>
      <w:r w:rsidRPr="00BE11A5">
        <w:rPr>
          <w:rFonts w:ascii="Times New Roman" w:hAnsi="Times New Roman" w:cs="Times New Roman"/>
          <w:lang w:val="en-GB"/>
        </w:rPr>
        <w:t>.</w:t>
      </w:r>
    </w:p>
    <w:p w14:paraId="345652C2" w14:textId="31504D99"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relationship between UA and metabolic health appears particularly relevant in South Asian populations, who demonstrate unique susceptibility patterns to both hyperuricemia and diabetes</w:t>
      </w:r>
      <w:r w:rsidR="00733019">
        <w:rPr>
          <w:rFonts w:ascii="Times New Roman" w:hAnsi="Times New Roman" w:cs="Times New Roman"/>
          <w:vertAlign w:val="superscript"/>
          <w:lang w:val="en-GB"/>
        </w:rPr>
        <w:t>17,18</w:t>
      </w:r>
      <w:r w:rsidRPr="00BE11A5">
        <w:rPr>
          <w:rFonts w:ascii="Times New Roman" w:hAnsi="Times New Roman" w:cs="Times New Roman"/>
          <w:lang w:val="en-GB"/>
        </w:rPr>
        <w:t>. Several distinctive factors may contribute to this phenomenon, including genetic predispositions, characteristic body composition patterns (with higher body fat percentages at lower BMIs), and rapidly changing dietary habits featuring increased consumption of processed foods and sugar-sweetened beverages</w:t>
      </w:r>
      <w:r w:rsidR="00733019">
        <w:rPr>
          <w:rFonts w:ascii="Times New Roman" w:hAnsi="Times New Roman" w:cs="Times New Roman"/>
          <w:vertAlign w:val="superscript"/>
          <w:lang w:val="en-GB"/>
        </w:rPr>
        <w:t>18</w:t>
      </w:r>
      <w:r w:rsidRPr="00BE11A5">
        <w:rPr>
          <w:rFonts w:ascii="Times New Roman" w:hAnsi="Times New Roman" w:cs="Times New Roman"/>
          <w:lang w:val="en-GB"/>
        </w:rPr>
        <w:t>. Additionally, the high prevalence of chronic kidney disease in the region may further complicate UA metabolism, as impaired renal excretion represents a primary mechanism for hyperuricemia development. Despite these compelling associations, the precise interrelationships between serum UA and other metabolic parameters - including glucose homeostasis indicators, lipid profiles, and renal function markers - remain inadequately explored in the Bangladeshi context</w:t>
      </w:r>
      <w:r w:rsidR="00733019">
        <w:rPr>
          <w:rFonts w:ascii="Times New Roman" w:hAnsi="Times New Roman" w:cs="Times New Roman"/>
          <w:vertAlign w:val="superscript"/>
          <w:lang w:val="en-GB"/>
        </w:rPr>
        <w:t>19</w:t>
      </w:r>
      <w:r w:rsidRPr="00BE11A5">
        <w:rPr>
          <w:rFonts w:ascii="Times New Roman" w:hAnsi="Times New Roman" w:cs="Times New Roman"/>
          <w:lang w:val="en-GB"/>
        </w:rPr>
        <w:t>.</w:t>
      </w:r>
    </w:p>
    <w:p w14:paraId="6EB1B87C" w14:textId="6727B803"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This knowledge gap carries significant implications for clinical practice and public health policy in Bangladesh. Current diabetes screening and management protocols in the country predominantly focus on conventional risk factors, potentially overlooking the contributory role of UA in metabolic dysfunction</w:t>
      </w:r>
      <w:r w:rsidR="00733019">
        <w:rPr>
          <w:rFonts w:ascii="Times New Roman" w:hAnsi="Times New Roman" w:cs="Times New Roman"/>
          <w:vertAlign w:val="superscript"/>
          <w:lang w:val="en-GB"/>
        </w:rPr>
        <w:t>20</w:t>
      </w:r>
      <w:r w:rsidRPr="00BE11A5">
        <w:rPr>
          <w:rFonts w:ascii="Times New Roman" w:hAnsi="Times New Roman" w:cs="Times New Roman"/>
          <w:lang w:val="en-GB"/>
        </w:rPr>
        <w:t>. Furthermore, the lack of population-specific data hampers the development of tailored prevention strategies that could address the unique metabolic characteristics of Bangladeshi individuals</w:t>
      </w:r>
      <w:r w:rsidR="00733019">
        <w:rPr>
          <w:rFonts w:ascii="Times New Roman" w:hAnsi="Times New Roman" w:cs="Times New Roman"/>
          <w:vertAlign w:val="superscript"/>
          <w:lang w:val="en-GB"/>
        </w:rPr>
        <w:t>21</w:t>
      </w:r>
      <w:r w:rsidRPr="00BE11A5">
        <w:rPr>
          <w:rFonts w:ascii="Times New Roman" w:hAnsi="Times New Roman" w:cs="Times New Roman"/>
          <w:lang w:val="en-GB"/>
        </w:rPr>
        <w:t xml:space="preserve">. Given the substantial regional variations in diet, genetic background, and disease patterns, findings from Western populations may not be directly </w:t>
      </w:r>
      <w:r w:rsidRPr="00BE11A5">
        <w:rPr>
          <w:rFonts w:ascii="Times New Roman" w:hAnsi="Times New Roman" w:cs="Times New Roman"/>
          <w:lang w:val="en-GB"/>
        </w:rPr>
        <w:lastRenderedPageBreak/>
        <w:t>applicable to Bangladesh, necessitating localized research to inform context-appropriate clinical guidelines</w:t>
      </w:r>
      <w:r w:rsidR="00733019">
        <w:rPr>
          <w:rFonts w:ascii="Times New Roman" w:hAnsi="Times New Roman" w:cs="Times New Roman"/>
          <w:vertAlign w:val="superscript"/>
          <w:lang w:val="en-GB"/>
        </w:rPr>
        <w:t>22</w:t>
      </w:r>
      <w:r w:rsidRPr="00BE11A5">
        <w:rPr>
          <w:rFonts w:ascii="Times New Roman" w:hAnsi="Times New Roman" w:cs="Times New Roman"/>
          <w:lang w:val="en-GB"/>
        </w:rPr>
        <w:t>.</w:t>
      </w:r>
    </w:p>
    <w:p w14:paraId="14AF30F0" w14:textId="1D4C560B" w:rsidR="007329F0" w:rsidRPr="007329F0" w:rsidRDefault="00733019" w:rsidP="009C316B">
      <w:pPr>
        <w:spacing w:line="360" w:lineRule="auto"/>
        <w:jc w:val="both"/>
        <w:rPr>
          <w:rFonts w:ascii="Times New Roman" w:hAnsi="Times New Roman" w:cs="Times New Roman"/>
          <w:lang w:val="en-GB"/>
        </w:rPr>
      </w:pPr>
      <w:r w:rsidRPr="00733019">
        <w:rPr>
          <w:rFonts w:ascii="Times New Roman" w:hAnsi="Times New Roman" w:cs="Times New Roman"/>
        </w:rPr>
        <w:t>This study explores the relationship between serum uric acid levels, diabetes status, and metabolic markers in a Bangladeshi population. It focuses on the prevalence of hyperuricemia in different diabetes groups, its association with lipid and renal markers, and its potential as a predictor of metabolic dysfunction. The findings may support improved risk assessment and targeted prevention strategies for metabolic disorders in Bangladesh.</w:t>
      </w:r>
    </w:p>
    <w:p w14:paraId="087B2E84" w14:textId="77777777" w:rsidR="00CB677E" w:rsidRPr="00CB677E" w:rsidRDefault="00CB677E" w:rsidP="00733019">
      <w:pPr>
        <w:spacing w:line="360" w:lineRule="auto"/>
        <w:jc w:val="both"/>
        <w:rPr>
          <w:rFonts w:ascii="Times New Roman" w:hAnsi="Times New Roman" w:cs="Times New Roman"/>
          <w:b/>
          <w:bCs/>
          <w:lang w:val="en-GB"/>
        </w:rPr>
      </w:pPr>
      <w:r w:rsidRPr="00CB677E">
        <w:rPr>
          <w:rFonts w:ascii="Times New Roman" w:hAnsi="Times New Roman" w:cs="Times New Roman"/>
          <w:b/>
          <w:bCs/>
          <w:lang w:val="en-GB"/>
        </w:rPr>
        <w:t>Materials and Methods</w:t>
      </w:r>
    </w:p>
    <w:p w14:paraId="02A856E0" w14:textId="6CF4BDF5"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Study Design</w:t>
      </w:r>
      <w:r w:rsidRPr="00BE11A5">
        <w:rPr>
          <w:rFonts w:ascii="Times New Roman" w:hAnsi="Times New Roman" w:cs="Times New Roman"/>
          <w:lang w:val="en-GB"/>
        </w:rPr>
        <w:br/>
        <w:t>This investigation employed a retrospective cross-sectional study design to examine associations between serum uric acid levels and metabolic parameters in a Bangladeshi population. Data collection spanned 24 months (January 2022-December 2023) across multiple diagnostic laboratories in urban and semi-urban regions</w:t>
      </w:r>
      <w:r w:rsidR="008651C5">
        <w:rPr>
          <w:rFonts w:ascii="Times New Roman" w:hAnsi="Times New Roman" w:cs="Times New Roman"/>
          <w:lang w:val="en-GB"/>
        </w:rPr>
        <w:t xml:space="preserve"> (Dhaka, </w:t>
      </w:r>
      <w:proofErr w:type="spellStart"/>
      <w:r w:rsidR="008651C5">
        <w:rPr>
          <w:rFonts w:ascii="Times New Roman" w:hAnsi="Times New Roman" w:cs="Times New Roman"/>
          <w:lang w:val="en-GB"/>
        </w:rPr>
        <w:t>Rajshahi</w:t>
      </w:r>
      <w:proofErr w:type="spellEnd"/>
      <w:r w:rsidR="008651C5">
        <w:rPr>
          <w:rFonts w:ascii="Times New Roman" w:hAnsi="Times New Roman" w:cs="Times New Roman"/>
          <w:lang w:val="en-GB"/>
        </w:rPr>
        <w:t xml:space="preserve">, </w:t>
      </w:r>
      <w:proofErr w:type="spellStart"/>
      <w:r w:rsidR="008651C5">
        <w:rPr>
          <w:rFonts w:ascii="Times New Roman" w:hAnsi="Times New Roman" w:cs="Times New Roman"/>
          <w:lang w:val="en-GB"/>
        </w:rPr>
        <w:t>Natore</w:t>
      </w:r>
      <w:proofErr w:type="spellEnd"/>
      <w:r w:rsidR="008651C5">
        <w:rPr>
          <w:rFonts w:ascii="Times New Roman" w:hAnsi="Times New Roman" w:cs="Times New Roman"/>
          <w:lang w:val="en-GB"/>
        </w:rPr>
        <w:t>, Tangail)</w:t>
      </w:r>
      <w:r w:rsidRPr="00BE11A5">
        <w:rPr>
          <w:rFonts w:ascii="Times New Roman" w:hAnsi="Times New Roman" w:cs="Times New Roman"/>
          <w:lang w:val="en-GB"/>
        </w:rPr>
        <w:t>. The study initially screened 320 laboratory reports, applying rigorous three-stage quality control measures to exclude incomplete records, acute illnesses, and statistical outliers, resulting in a final sample of 220 eligible reports.</w:t>
      </w:r>
    </w:p>
    <w:p w14:paraId="0F198E2B" w14:textId="44E0CB55"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Ethical Considerations</w:t>
      </w:r>
      <w:r w:rsidRPr="00BE11A5">
        <w:rPr>
          <w:rFonts w:ascii="Times New Roman" w:hAnsi="Times New Roman" w:cs="Times New Roman"/>
          <w:lang w:val="en-GB"/>
        </w:rPr>
        <w:br/>
        <w:t>The study protocol received institutional review board approval and strictly followed Declaration of Helsinki guidelines</w:t>
      </w:r>
      <w:r w:rsidR="00733019">
        <w:rPr>
          <w:rFonts w:ascii="Times New Roman" w:hAnsi="Times New Roman" w:cs="Times New Roman"/>
          <w:vertAlign w:val="superscript"/>
          <w:lang w:val="en-GB"/>
        </w:rPr>
        <w:t>23</w:t>
      </w:r>
      <w:r w:rsidRPr="00BE11A5">
        <w:rPr>
          <w:rFonts w:ascii="Times New Roman" w:hAnsi="Times New Roman" w:cs="Times New Roman"/>
          <w:lang w:val="en-GB"/>
        </w:rPr>
        <w:t>. All laboratory data were completely anonymized through removal of personal identifiers. As the research involved only secondary analysis of existing records without patient contact, it was classified as minimal-risk with waived consent requirements. Stringent data protection measures were implemented, including restricted access to encrypted files.</w:t>
      </w:r>
    </w:p>
    <w:p w14:paraId="503153AC" w14:textId="40E7F091"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Laboratory Methods</w:t>
      </w:r>
      <w:r w:rsidRPr="00BE11A5">
        <w:rPr>
          <w:rFonts w:ascii="Times New Roman" w:hAnsi="Times New Roman" w:cs="Times New Roman"/>
          <w:lang w:val="en-GB"/>
        </w:rPr>
        <w:br/>
        <w:t xml:space="preserve">All biochemical analyses were performed using standardized laboratory techniques to ensure accuracy and reproducibility. For glucose metabolism assessment, fasting blood sugar (FBS) was measured using the glucose oxidase method, while glycosylated </w:t>
      </w:r>
      <w:proofErr w:type="spellStart"/>
      <w:r w:rsidRPr="00BE11A5">
        <w:rPr>
          <w:rFonts w:ascii="Times New Roman" w:hAnsi="Times New Roman" w:cs="Times New Roman"/>
          <w:lang w:val="en-GB"/>
        </w:rPr>
        <w:t>hemoglobin</w:t>
      </w:r>
      <w:proofErr w:type="spellEnd"/>
      <w:r w:rsidRPr="00BE11A5">
        <w:rPr>
          <w:rFonts w:ascii="Times New Roman" w:hAnsi="Times New Roman" w:cs="Times New Roman"/>
          <w:lang w:val="en-GB"/>
        </w:rPr>
        <w:t xml:space="preserve"> (HbA1c) was quantified through high-performance liquid chromatography (HPLC). Renal function evaluation included serum uric acid (UA) measurement via the uricase-peroxidase method, along with enzymatic colorimetric tests for urea and creatinine determination. Lipid profile analysis employed </w:t>
      </w:r>
      <w:r w:rsidRPr="00BE11A5">
        <w:rPr>
          <w:rFonts w:ascii="Times New Roman" w:hAnsi="Times New Roman" w:cs="Times New Roman"/>
          <w:lang w:val="en-GB"/>
        </w:rPr>
        <w:lastRenderedPageBreak/>
        <w:t xml:space="preserve">enzymatic methods for total cholesterol (TC) and triglycerides (TG), homogeneous assay for high-density lipoprotein (HDL) measurement, and the </w:t>
      </w:r>
      <w:proofErr w:type="spellStart"/>
      <w:r w:rsidRPr="00BE11A5">
        <w:rPr>
          <w:rFonts w:ascii="Times New Roman" w:hAnsi="Times New Roman" w:cs="Times New Roman"/>
          <w:lang w:val="en-GB"/>
        </w:rPr>
        <w:t>Friedewald</w:t>
      </w:r>
      <w:proofErr w:type="spellEnd"/>
      <w:r w:rsidRPr="00BE11A5">
        <w:rPr>
          <w:rFonts w:ascii="Times New Roman" w:hAnsi="Times New Roman" w:cs="Times New Roman"/>
          <w:lang w:val="en-GB"/>
        </w:rPr>
        <w:t xml:space="preserve"> equation for low-density lipoprotein (LDL) calculation</w:t>
      </w:r>
      <w:r w:rsidR="00733019">
        <w:rPr>
          <w:rFonts w:ascii="Times New Roman" w:hAnsi="Times New Roman" w:cs="Times New Roman"/>
          <w:vertAlign w:val="superscript"/>
          <w:lang w:val="en-GB"/>
        </w:rPr>
        <w:t>24</w:t>
      </w:r>
      <w:r w:rsidRPr="00BE11A5">
        <w:rPr>
          <w:rFonts w:ascii="Times New Roman" w:hAnsi="Times New Roman" w:cs="Times New Roman"/>
          <w:lang w:val="en-GB"/>
        </w:rPr>
        <w:t xml:space="preserve">. All laboratory procedures were conducted using automated clinical chemistry </w:t>
      </w:r>
      <w:proofErr w:type="spellStart"/>
      <w:r w:rsidRPr="00BE11A5">
        <w:rPr>
          <w:rFonts w:ascii="Times New Roman" w:hAnsi="Times New Roman" w:cs="Times New Roman"/>
          <w:lang w:val="en-GB"/>
        </w:rPr>
        <w:t>analyzers</w:t>
      </w:r>
      <w:proofErr w:type="spellEnd"/>
      <w:r w:rsidRPr="00BE11A5">
        <w:rPr>
          <w:rFonts w:ascii="Times New Roman" w:hAnsi="Times New Roman" w:cs="Times New Roman"/>
          <w:lang w:val="en-GB"/>
        </w:rPr>
        <w:t xml:space="preserve"> following stringent quality control protocols to maintain analytical precision.</w:t>
      </w:r>
    </w:p>
    <w:p w14:paraId="0F63CCA6" w14:textId="5892690A"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Diagnostic Criteria</w:t>
      </w:r>
      <w:r w:rsidRPr="00BE11A5">
        <w:rPr>
          <w:rFonts w:ascii="Times New Roman" w:hAnsi="Times New Roman" w:cs="Times New Roman"/>
          <w:lang w:val="en-GB"/>
        </w:rPr>
        <w:br/>
        <w:t>The study applied clinically validated diagnostic thresholds for parameter classification. Hyperuricemia was defined using gender-specific cutoffs, with levels exceeding 7.0 mg/dL for males and 6.0 mg/dL for females considered elevated. Diabetes status was categorized according to established HbA1c criteria: values below 5.7% indicated normal glucose tolerance, 5.7-6.4% indicated prediabetes, and 6.5% or higher confirmed diabetes diagnosis. Lipid profile interpretation followed the standard NCEP ATP III classification system</w:t>
      </w:r>
      <w:r w:rsidR="00733019">
        <w:rPr>
          <w:rFonts w:ascii="Times New Roman" w:hAnsi="Times New Roman" w:cs="Times New Roman"/>
          <w:vertAlign w:val="superscript"/>
          <w:lang w:val="en-GB"/>
        </w:rPr>
        <w:t>25</w:t>
      </w:r>
      <w:r w:rsidRPr="00BE11A5">
        <w:rPr>
          <w:rFonts w:ascii="Times New Roman" w:hAnsi="Times New Roman" w:cs="Times New Roman"/>
          <w:lang w:val="en-GB"/>
        </w:rPr>
        <w:t>, which provides comprehensive stratification of lipid parameters based on large-scale epidemiological evidence and clinical outcomes data. These standardized criteria ensured consistent and clinically relevant classification of metabolic abnormalities across all study participants.</w:t>
      </w:r>
    </w:p>
    <w:p w14:paraId="11AD9AE3" w14:textId="77777777" w:rsidR="00BE11A5" w:rsidRPr="00733019" w:rsidRDefault="00BE11A5" w:rsidP="00733019">
      <w:pPr>
        <w:spacing w:line="360" w:lineRule="auto"/>
        <w:jc w:val="both"/>
        <w:rPr>
          <w:rFonts w:ascii="Times New Roman" w:hAnsi="Times New Roman" w:cs="Times New Roman"/>
          <w:lang w:val="en-GB"/>
        </w:rPr>
      </w:pPr>
    </w:p>
    <w:p w14:paraId="7A16AFC7" w14:textId="04252052" w:rsidR="00CB677E" w:rsidRPr="00CB677E" w:rsidRDefault="00BE11A5" w:rsidP="00733019">
      <w:pPr>
        <w:spacing w:line="360" w:lineRule="auto"/>
        <w:jc w:val="both"/>
        <w:rPr>
          <w:rFonts w:ascii="Times New Roman" w:hAnsi="Times New Roman" w:cs="Times New Roman"/>
          <w:lang w:val="en-GB"/>
        </w:rPr>
      </w:pPr>
      <w:r w:rsidRPr="00733019">
        <w:rPr>
          <w:rFonts w:ascii="Times New Roman" w:hAnsi="Times New Roman" w:cs="Times New Roman"/>
          <w:b/>
          <w:bCs/>
        </w:rPr>
        <w:t>Statistical Analysis</w:t>
      </w:r>
      <w:r w:rsidRPr="00733019">
        <w:rPr>
          <w:rFonts w:ascii="Times New Roman" w:hAnsi="Times New Roman" w:cs="Times New Roman"/>
        </w:rPr>
        <w:br/>
        <w:t xml:space="preserve">Analyses used IBM SPSS v26. Continuous variables were expressed as </w:t>
      </w:r>
      <w:proofErr w:type="spellStart"/>
      <w:r w:rsidRPr="00733019">
        <w:rPr>
          <w:rFonts w:ascii="Times New Roman" w:hAnsi="Times New Roman" w:cs="Times New Roman"/>
        </w:rPr>
        <w:t>mean±SD</w:t>
      </w:r>
      <w:proofErr w:type="spellEnd"/>
      <w:r w:rsidRPr="00733019">
        <w:rPr>
          <w:rFonts w:ascii="Times New Roman" w:hAnsi="Times New Roman" w:cs="Times New Roman"/>
        </w:rPr>
        <w:t xml:space="preserve"> or median</w:t>
      </w:r>
      <w:r w:rsidR="00347B8C">
        <w:rPr>
          <w:rFonts w:ascii="Times New Roman" w:hAnsi="Times New Roman" w:cs="Times New Roman"/>
        </w:rPr>
        <w:t xml:space="preserve"> </w:t>
      </w:r>
      <w:r w:rsidRPr="00733019">
        <w:rPr>
          <w:rFonts w:ascii="Times New Roman" w:hAnsi="Times New Roman" w:cs="Times New Roman"/>
        </w:rPr>
        <w:t>(IQR); categorical as frequencies. Group comparisons used appropriate parametric/non-parametric tests. Correlations employed Spearman's method. Predictive modeling included ROC analysis and logistic regression. All tests were two-tailed (α=0.05) with Bonferroni correction for multiple comparisons.</w:t>
      </w:r>
    </w:p>
    <w:p w14:paraId="08C0AC4D" w14:textId="77777777" w:rsidR="007329F0" w:rsidRDefault="007329F0">
      <w:pPr>
        <w:rPr>
          <w:rFonts w:ascii="Times New Roman" w:hAnsi="Times New Roman" w:cs="Times New Roman"/>
        </w:rPr>
      </w:pPr>
    </w:p>
    <w:p w14:paraId="6451FD64" w14:textId="77777777" w:rsidR="00E62FBF" w:rsidRDefault="00E62FBF">
      <w:pPr>
        <w:rPr>
          <w:rFonts w:ascii="Times New Roman" w:hAnsi="Times New Roman" w:cs="Times New Roman"/>
        </w:rPr>
      </w:pPr>
    </w:p>
    <w:p w14:paraId="2A1BCCBF" w14:textId="77777777" w:rsidR="00E62FBF" w:rsidRDefault="00E62FBF">
      <w:pPr>
        <w:rPr>
          <w:rFonts w:ascii="Times New Roman" w:hAnsi="Times New Roman" w:cs="Times New Roman"/>
        </w:rPr>
      </w:pPr>
    </w:p>
    <w:p w14:paraId="65DCF9AB" w14:textId="77777777" w:rsidR="00E62FBF" w:rsidRDefault="00E62FBF">
      <w:pPr>
        <w:rPr>
          <w:rFonts w:ascii="Times New Roman" w:hAnsi="Times New Roman" w:cs="Times New Roman"/>
        </w:rPr>
      </w:pPr>
    </w:p>
    <w:p w14:paraId="17F6D12F" w14:textId="77777777" w:rsidR="00E62FBF" w:rsidRDefault="00E62FBF">
      <w:pPr>
        <w:rPr>
          <w:rFonts w:ascii="Times New Roman" w:hAnsi="Times New Roman" w:cs="Times New Roman"/>
        </w:rPr>
      </w:pPr>
    </w:p>
    <w:p w14:paraId="7197803C" w14:textId="77777777" w:rsidR="00733019" w:rsidRDefault="00733019" w:rsidP="00E62FBF">
      <w:pPr>
        <w:rPr>
          <w:rFonts w:ascii="Times New Roman" w:hAnsi="Times New Roman" w:cs="Times New Roman"/>
          <w:b/>
          <w:bCs/>
          <w:lang w:val="en-GB"/>
        </w:rPr>
      </w:pPr>
    </w:p>
    <w:p w14:paraId="3C5A588B" w14:textId="77777777" w:rsidR="00733019" w:rsidRDefault="00733019" w:rsidP="00E62FBF">
      <w:pPr>
        <w:rPr>
          <w:rFonts w:ascii="Times New Roman" w:hAnsi="Times New Roman" w:cs="Times New Roman"/>
          <w:b/>
          <w:bCs/>
          <w:lang w:val="en-GB"/>
        </w:rPr>
      </w:pPr>
    </w:p>
    <w:p w14:paraId="315C4215" w14:textId="77777777" w:rsidR="00733019" w:rsidRDefault="00733019" w:rsidP="00E62FBF">
      <w:pPr>
        <w:rPr>
          <w:rFonts w:ascii="Times New Roman" w:hAnsi="Times New Roman" w:cs="Times New Roman"/>
          <w:b/>
          <w:bCs/>
          <w:lang w:val="en-GB"/>
        </w:rPr>
      </w:pPr>
    </w:p>
    <w:p w14:paraId="6B400A48" w14:textId="77777777" w:rsidR="00733019" w:rsidRDefault="00733019" w:rsidP="00E62FBF">
      <w:pPr>
        <w:rPr>
          <w:rFonts w:ascii="Times New Roman" w:hAnsi="Times New Roman" w:cs="Times New Roman"/>
          <w:b/>
          <w:bCs/>
          <w:lang w:val="en-GB"/>
        </w:rPr>
      </w:pPr>
    </w:p>
    <w:p w14:paraId="6B5F6E72" w14:textId="77777777" w:rsidR="00733019" w:rsidRDefault="00733019" w:rsidP="00E62FBF">
      <w:pPr>
        <w:rPr>
          <w:rFonts w:ascii="Times New Roman" w:hAnsi="Times New Roman" w:cs="Times New Roman"/>
          <w:b/>
          <w:bCs/>
          <w:lang w:val="en-GB"/>
        </w:rPr>
      </w:pPr>
    </w:p>
    <w:p w14:paraId="3D7C3EF1" w14:textId="77777777" w:rsidR="00733019" w:rsidRDefault="00733019" w:rsidP="00E62FBF">
      <w:pPr>
        <w:rPr>
          <w:rFonts w:ascii="Times New Roman" w:hAnsi="Times New Roman" w:cs="Times New Roman"/>
          <w:b/>
          <w:bCs/>
          <w:lang w:val="en-GB"/>
        </w:rPr>
      </w:pPr>
    </w:p>
    <w:p w14:paraId="002D762C" w14:textId="77777777" w:rsidR="00733019" w:rsidRDefault="00733019" w:rsidP="00E62FBF">
      <w:pPr>
        <w:rPr>
          <w:rFonts w:ascii="Times New Roman" w:hAnsi="Times New Roman" w:cs="Times New Roman"/>
          <w:b/>
          <w:bCs/>
          <w:lang w:val="en-GB"/>
        </w:rPr>
      </w:pPr>
    </w:p>
    <w:p w14:paraId="0B5D4DB1" w14:textId="77777777" w:rsidR="00733019" w:rsidRDefault="00733019" w:rsidP="00E62FBF">
      <w:pPr>
        <w:rPr>
          <w:rFonts w:ascii="Times New Roman" w:hAnsi="Times New Roman" w:cs="Times New Roman"/>
          <w:b/>
          <w:bCs/>
          <w:lang w:val="en-GB"/>
        </w:rPr>
      </w:pPr>
    </w:p>
    <w:p w14:paraId="0CBE452D" w14:textId="77777777" w:rsidR="00733019" w:rsidRDefault="00733019" w:rsidP="00E62FBF">
      <w:pPr>
        <w:rPr>
          <w:rFonts w:ascii="Times New Roman" w:hAnsi="Times New Roman" w:cs="Times New Roman"/>
          <w:b/>
          <w:bCs/>
          <w:lang w:val="en-GB"/>
        </w:rPr>
      </w:pPr>
    </w:p>
    <w:p w14:paraId="4785FF46" w14:textId="77777777" w:rsidR="00733019" w:rsidRDefault="00733019" w:rsidP="00E62FBF">
      <w:pPr>
        <w:rPr>
          <w:rFonts w:ascii="Times New Roman" w:hAnsi="Times New Roman" w:cs="Times New Roman"/>
          <w:b/>
          <w:bCs/>
          <w:lang w:val="en-GB"/>
        </w:rPr>
      </w:pPr>
    </w:p>
    <w:p w14:paraId="4232E0E0" w14:textId="77777777" w:rsidR="00733019" w:rsidRDefault="00733019" w:rsidP="00E62FBF">
      <w:pPr>
        <w:rPr>
          <w:rFonts w:ascii="Times New Roman" w:hAnsi="Times New Roman" w:cs="Times New Roman"/>
          <w:b/>
          <w:bCs/>
          <w:lang w:val="en-GB"/>
        </w:rPr>
      </w:pPr>
    </w:p>
    <w:p w14:paraId="4ABF6F46" w14:textId="7A9F0940" w:rsidR="00E62FBF" w:rsidRDefault="00E62FBF" w:rsidP="00E62FBF">
      <w:pPr>
        <w:rPr>
          <w:rFonts w:ascii="Times New Roman" w:hAnsi="Times New Roman" w:cs="Times New Roman"/>
          <w:b/>
          <w:bCs/>
          <w:lang w:val="en-GB"/>
        </w:rPr>
      </w:pPr>
      <w:r>
        <w:rPr>
          <w:rFonts w:ascii="Times New Roman" w:hAnsi="Times New Roman" w:cs="Times New Roman"/>
          <w:b/>
          <w:bCs/>
          <w:lang w:val="en-GB"/>
        </w:rPr>
        <w:t>Results</w:t>
      </w:r>
    </w:p>
    <w:p w14:paraId="1A5A12C8" w14:textId="590CA5C4"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The study included 220 participants (61.4% female, 38.6% male), with a mean age of 42.1 years. The 31–40 age group was the largest (35.5%), and age distribution did not differ significantly between genders (</w:t>
      </w:r>
      <w:r w:rsidRPr="00733019">
        <w:rPr>
          <w:rFonts w:ascii="Times New Roman" w:hAnsi="Times New Roman" w:cs="Times New Roman"/>
          <w:i/>
          <w:iCs/>
        </w:rPr>
        <w:t>P</w:t>
      </w:r>
      <w:r w:rsidRPr="00733019">
        <w:rPr>
          <w:rFonts w:ascii="Times New Roman" w:hAnsi="Times New Roman" w:cs="Times New Roman"/>
        </w:rPr>
        <w:t> &gt; 0.05). This suggests that age was not a confounding factor in gender-based comparisons. The female predominance aligns with trends in primary care-seeking behavior but contrasts with typical metabolic syndrome studies, which often have male-dominated cohorts (Table 1).</w:t>
      </w:r>
    </w:p>
    <w:p w14:paraId="419CF524" w14:textId="77777777" w:rsidR="00E62FBF" w:rsidRDefault="00E62FBF" w:rsidP="00E62FBF">
      <w:pPr>
        <w:rPr>
          <w:rFonts w:ascii="Times New Roman" w:hAnsi="Times New Roman" w:cs="Times New Roman"/>
          <w:b/>
          <w:bCs/>
          <w:lang w:val="en-GB"/>
        </w:rPr>
      </w:pPr>
    </w:p>
    <w:p w14:paraId="0E966B39" w14:textId="2D1CB6C9"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1: Demographic Characteristics by Gender</w:t>
      </w:r>
    </w:p>
    <w:p w14:paraId="3B9C18EA" w14:textId="34E9B855" w:rsidR="00E62FBF" w:rsidRPr="00E62FBF" w:rsidRDefault="00E62FBF" w:rsidP="00E62FBF">
      <w:pPr>
        <w:rPr>
          <w:rFonts w:ascii="Times New Roman" w:hAnsi="Times New Roman" w:cs="Times New Roman"/>
          <w:lang w:val="en-GB"/>
        </w:rPr>
      </w:pPr>
    </w:p>
    <w:tbl>
      <w:tblPr>
        <w:tblStyle w:val="TableGrid"/>
        <w:tblW w:w="0" w:type="auto"/>
        <w:tblLook w:val="04A0" w:firstRow="1" w:lastRow="0" w:firstColumn="1" w:lastColumn="0" w:noHBand="0" w:noVBand="1"/>
      </w:tblPr>
      <w:tblGrid>
        <w:gridCol w:w="1352"/>
        <w:gridCol w:w="1906"/>
        <w:gridCol w:w="1560"/>
        <w:gridCol w:w="1591"/>
        <w:gridCol w:w="990"/>
      </w:tblGrid>
      <w:tr w:rsidR="00E62FBF" w:rsidRPr="00E62FBF" w14:paraId="0B9A08C7" w14:textId="77777777" w:rsidTr="00E62FBF">
        <w:tc>
          <w:tcPr>
            <w:tcW w:w="0" w:type="auto"/>
            <w:hideMark/>
          </w:tcPr>
          <w:p w14:paraId="6E748D1D"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Age Group</w:t>
            </w:r>
          </w:p>
        </w:tc>
        <w:tc>
          <w:tcPr>
            <w:tcW w:w="0" w:type="auto"/>
            <w:hideMark/>
          </w:tcPr>
          <w:p w14:paraId="0856960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 (n=135)</w:t>
            </w:r>
          </w:p>
        </w:tc>
        <w:tc>
          <w:tcPr>
            <w:tcW w:w="0" w:type="auto"/>
            <w:hideMark/>
          </w:tcPr>
          <w:p w14:paraId="7CC5A9F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 (n=85)</w:t>
            </w:r>
          </w:p>
        </w:tc>
        <w:tc>
          <w:tcPr>
            <w:tcW w:w="0" w:type="auto"/>
            <w:hideMark/>
          </w:tcPr>
          <w:p w14:paraId="46161709"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 (n=220)</w:t>
            </w:r>
          </w:p>
        </w:tc>
        <w:tc>
          <w:tcPr>
            <w:tcW w:w="0" w:type="auto"/>
            <w:hideMark/>
          </w:tcPr>
          <w:p w14:paraId="587E97F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41A38D" w14:textId="77777777" w:rsidTr="00E62FBF">
        <w:tc>
          <w:tcPr>
            <w:tcW w:w="0" w:type="auto"/>
            <w:hideMark/>
          </w:tcPr>
          <w:p w14:paraId="2F4F666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20–30 yrs</w:t>
            </w:r>
          </w:p>
        </w:tc>
        <w:tc>
          <w:tcPr>
            <w:tcW w:w="0" w:type="auto"/>
            <w:hideMark/>
          </w:tcPr>
          <w:p w14:paraId="14193CE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 (20.7%)</w:t>
            </w:r>
          </w:p>
        </w:tc>
        <w:tc>
          <w:tcPr>
            <w:tcW w:w="0" w:type="auto"/>
            <w:hideMark/>
          </w:tcPr>
          <w:p w14:paraId="2742A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15 (17.6%)</w:t>
            </w:r>
          </w:p>
        </w:tc>
        <w:tc>
          <w:tcPr>
            <w:tcW w:w="0" w:type="auto"/>
            <w:hideMark/>
          </w:tcPr>
          <w:p w14:paraId="42A494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(19.5%)</w:t>
            </w:r>
          </w:p>
        </w:tc>
        <w:tc>
          <w:tcPr>
            <w:tcW w:w="0" w:type="auto"/>
            <w:hideMark/>
          </w:tcPr>
          <w:p w14:paraId="3EE4BD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0.452</w:t>
            </w:r>
          </w:p>
        </w:tc>
      </w:tr>
      <w:tr w:rsidR="00E62FBF" w:rsidRPr="00E62FBF" w14:paraId="76ADC89E" w14:textId="77777777" w:rsidTr="00E62FBF">
        <w:tc>
          <w:tcPr>
            <w:tcW w:w="0" w:type="auto"/>
            <w:hideMark/>
          </w:tcPr>
          <w:p w14:paraId="392C415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31–40 yrs</w:t>
            </w:r>
          </w:p>
        </w:tc>
        <w:tc>
          <w:tcPr>
            <w:tcW w:w="0" w:type="auto"/>
            <w:hideMark/>
          </w:tcPr>
          <w:p w14:paraId="71D3C71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(35.6%)</w:t>
            </w:r>
          </w:p>
        </w:tc>
        <w:tc>
          <w:tcPr>
            <w:tcW w:w="0" w:type="auto"/>
            <w:hideMark/>
          </w:tcPr>
          <w:p w14:paraId="648A0D2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30 (35.3%)</w:t>
            </w:r>
          </w:p>
        </w:tc>
        <w:tc>
          <w:tcPr>
            <w:tcW w:w="0" w:type="auto"/>
            <w:hideMark/>
          </w:tcPr>
          <w:p w14:paraId="1F269F5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78 (35.5%)</w:t>
            </w:r>
          </w:p>
        </w:tc>
        <w:tc>
          <w:tcPr>
            <w:tcW w:w="0" w:type="auto"/>
            <w:hideMark/>
          </w:tcPr>
          <w:p w14:paraId="27BC1CE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0.937</w:t>
            </w:r>
          </w:p>
        </w:tc>
      </w:tr>
      <w:tr w:rsidR="00E62FBF" w:rsidRPr="00E62FBF" w14:paraId="1CC2A0ED" w14:textId="77777777" w:rsidTr="00E62FBF">
        <w:tc>
          <w:tcPr>
            <w:tcW w:w="0" w:type="auto"/>
            <w:hideMark/>
          </w:tcPr>
          <w:p w14:paraId="03F65B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41–50 yrs</w:t>
            </w:r>
          </w:p>
        </w:tc>
        <w:tc>
          <w:tcPr>
            <w:tcW w:w="0" w:type="auto"/>
            <w:hideMark/>
          </w:tcPr>
          <w:p w14:paraId="1D21DC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26 (19.3%)</w:t>
            </w:r>
          </w:p>
        </w:tc>
        <w:tc>
          <w:tcPr>
            <w:tcW w:w="0" w:type="auto"/>
            <w:hideMark/>
          </w:tcPr>
          <w:p w14:paraId="3716E1E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18 (21.2%)</w:t>
            </w:r>
          </w:p>
        </w:tc>
        <w:tc>
          <w:tcPr>
            <w:tcW w:w="0" w:type="auto"/>
            <w:hideMark/>
          </w:tcPr>
          <w:p w14:paraId="03E4CB6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44 (20.0%)</w:t>
            </w:r>
          </w:p>
        </w:tc>
        <w:tc>
          <w:tcPr>
            <w:tcW w:w="0" w:type="auto"/>
            <w:hideMark/>
          </w:tcPr>
          <w:p w14:paraId="7B5C3DF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0.721</w:t>
            </w:r>
          </w:p>
        </w:tc>
      </w:tr>
      <w:tr w:rsidR="00E62FBF" w:rsidRPr="00E62FBF" w14:paraId="1BEF6E00" w14:textId="77777777" w:rsidTr="00E62FBF">
        <w:tc>
          <w:tcPr>
            <w:tcW w:w="0" w:type="auto"/>
            <w:hideMark/>
          </w:tcPr>
          <w:p w14:paraId="71A456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&gt;50 yrs</w:t>
            </w:r>
          </w:p>
        </w:tc>
        <w:tc>
          <w:tcPr>
            <w:tcW w:w="0" w:type="auto"/>
            <w:hideMark/>
          </w:tcPr>
          <w:p w14:paraId="489276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33 (24.4%)</w:t>
            </w:r>
          </w:p>
        </w:tc>
        <w:tc>
          <w:tcPr>
            <w:tcW w:w="0" w:type="auto"/>
            <w:hideMark/>
          </w:tcPr>
          <w:p w14:paraId="35CB383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22 (25.9%)</w:t>
            </w:r>
          </w:p>
        </w:tc>
        <w:tc>
          <w:tcPr>
            <w:tcW w:w="0" w:type="auto"/>
            <w:hideMark/>
          </w:tcPr>
          <w:p w14:paraId="503785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(25.0%)</w:t>
            </w:r>
          </w:p>
        </w:tc>
        <w:tc>
          <w:tcPr>
            <w:tcW w:w="0" w:type="auto"/>
            <w:hideMark/>
          </w:tcPr>
          <w:p w14:paraId="7D1B509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0.803</w:t>
            </w:r>
          </w:p>
        </w:tc>
      </w:tr>
    </w:tbl>
    <w:p w14:paraId="1A40722B" w14:textId="77777777" w:rsidR="00E62FBF" w:rsidRDefault="00E62FBF" w:rsidP="00E62FBF">
      <w:pPr>
        <w:rPr>
          <w:rFonts w:ascii="Times New Roman" w:hAnsi="Times New Roman" w:cs="Times New Roman"/>
          <w:b/>
          <w:bCs/>
          <w:lang w:val="en-GB"/>
        </w:rPr>
      </w:pPr>
    </w:p>
    <w:p w14:paraId="0BA1D194" w14:textId="68C7394E"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Males exhibited significantly higher creatinine (0.91 vs. 0.76 mg/dL, </w:t>
      </w:r>
      <w:r w:rsidRPr="00733019">
        <w:rPr>
          <w:rFonts w:ascii="Times New Roman" w:hAnsi="Times New Roman" w:cs="Times New Roman"/>
          <w:i/>
          <w:iCs/>
        </w:rPr>
        <w:t>P</w:t>
      </w:r>
      <w:r w:rsidRPr="00733019">
        <w:rPr>
          <w:rFonts w:ascii="Times New Roman" w:hAnsi="Times New Roman" w:cs="Times New Roman"/>
        </w:rPr>
        <w:t> = 0.045), reflecting greater muscle mass, and lower HDL (43 vs. 48 mg/dL, </w:t>
      </w:r>
      <w:r w:rsidRPr="00733019">
        <w:rPr>
          <w:rFonts w:ascii="Times New Roman" w:hAnsi="Times New Roman" w:cs="Times New Roman"/>
          <w:i/>
          <w:iCs/>
        </w:rPr>
        <w:t>P</w:t>
      </w:r>
      <w:r w:rsidRPr="00733019">
        <w:rPr>
          <w:rFonts w:ascii="Times New Roman" w:hAnsi="Times New Roman" w:cs="Times New Roman"/>
        </w:rPr>
        <w:t> = 0.009), indicating poorer cardiometabolic health. Despite higher uric acid trends in males (6.8 vs. 5.9 mg/dL), this did not reach significance (</w:t>
      </w:r>
      <w:r w:rsidRPr="00733019">
        <w:rPr>
          <w:rFonts w:ascii="Times New Roman" w:hAnsi="Times New Roman" w:cs="Times New Roman"/>
          <w:i/>
          <w:iCs/>
        </w:rPr>
        <w:t>P</w:t>
      </w:r>
      <w:r w:rsidRPr="00733019">
        <w:rPr>
          <w:rFonts w:ascii="Times New Roman" w:hAnsi="Times New Roman" w:cs="Times New Roman"/>
        </w:rPr>
        <w:t> = 0.078). Females had higher HbA1c (5.7% vs. 5.5%, </w:t>
      </w:r>
      <w:r w:rsidRPr="00733019">
        <w:rPr>
          <w:rFonts w:ascii="Times New Roman" w:hAnsi="Times New Roman" w:cs="Times New Roman"/>
          <w:i/>
          <w:iCs/>
        </w:rPr>
        <w:t>P</w:t>
      </w:r>
      <w:r w:rsidRPr="00733019">
        <w:rPr>
          <w:rFonts w:ascii="Times New Roman" w:hAnsi="Times New Roman" w:cs="Times New Roman"/>
        </w:rPr>
        <w:t xml:space="preserve"> = 0.032), contradicting the expected </w:t>
      </w:r>
      <w:r w:rsidRPr="00733019">
        <w:rPr>
          <w:rFonts w:ascii="Times New Roman" w:hAnsi="Times New Roman" w:cs="Times New Roman"/>
        </w:rPr>
        <w:lastRenderedPageBreak/>
        <w:t>male predominance in diabetes risk. This paradox may stem from hormonal influences on glucose metabolism or sampling bias in clinical settings (Table 2).</w:t>
      </w:r>
    </w:p>
    <w:p w14:paraId="6E56BDED" w14:textId="4C36C4F6"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2: Biochemical Parameters by Gender</w:t>
      </w:r>
    </w:p>
    <w:tbl>
      <w:tblPr>
        <w:tblStyle w:val="TableGrid"/>
        <w:tblW w:w="0" w:type="auto"/>
        <w:tblLook w:val="04A0" w:firstRow="1" w:lastRow="0" w:firstColumn="1" w:lastColumn="0" w:noHBand="0" w:noVBand="1"/>
      </w:tblPr>
      <w:tblGrid>
        <w:gridCol w:w="2076"/>
        <w:gridCol w:w="1308"/>
        <w:gridCol w:w="1308"/>
        <w:gridCol w:w="1308"/>
        <w:gridCol w:w="990"/>
      </w:tblGrid>
      <w:tr w:rsidR="00E62FBF" w:rsidRPr="00E62FBF" w14:paraId="4CE0801D" w14:textId="77777777" w:rsidTr="00733019">
        <w:tc>
          <w:tcPr>
            <w:tcW w:w="0" w:type="auto"/>
            <w:hideMark/>
          </w:tcPr>
          <w:p w14:paraId="10C12AD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5D94D910"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325810A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7784C33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3B4122C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32521CE5" w14:textId="77777777" w:rsidTr="00733019">
        <w:tc>
          <w:tcPr>
            <w:tcW w:w="0" w:type="auto"/>
            <w:hideMark/>
          </w:tcPr>
          <w:p w14:paraId="5B9FC57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 (mg/dL)</w:t>
            </w:r>
          </w:p>
        </w:tc>
        <w:tc>
          <w:tcPr>
            <w:tcW w:w="0" w:type="auto"/>
            <w:hideMark/>
          </w:tcPr>
          <w:p w14:paraId="1B67DD9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6.3 ± 1.4</w:t>
            </w:r>
          </w:p>
        </w:tc>
        <w:tc>
          <w:tcPr>
            <w:tcW w:w="0" w:type="auto"/>
            <w:hideMark/>
          </w:tcPr>
          <w:p w14:paraId="7AABF45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5.9 ± 1.2</w:t>
            </w:r>
          </w:p>
        </w:tc>
        <w:tc>
          <w:tcPr>
            <w:tcW w:w="0" w:type="auto"/>
            <w:hideMark/>
          </w:tcPr>
          <w:p w14:paraId="31CA9B2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 ± 1.5</w:t>
            </w:r>
          </w:p>
        </w:tc>
        <w:tc>
          <w:tcPr>
            <w:tcW w:w="0" w:type="auto"/>
            <w:hideMark/>
          </w:tcPr>
          <w:p w14:paraId="44B0163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0.078</w:t>
            </w:r>
          </w:p>
        </w:tc>
      </w:tr>
      <w:tr w:rsidR="00E62FBF" w:rsidRPr="00E62FBF" w14:paraId="1D7091F2" w14:textId="77777777" w:rsidTr="00733019">
        <w:tc>
          <w:tcPr>
            <w:tcW w:w="0" w:type="auto"/>
            <w:hideMark/>
          </w:tcPr>
          <w:p w14:paraId="132B44E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Creatinine (mg/dL)</w:t>
            </w:r>
          </w:p>
        </w:tc>
        <w:tc>
          <w:tcPr>
            <w:tcW w:w="0" w:type="auto"/>
            <w:hideMark/>
          </w:tcPr>
          <w:p w14:paraId="7DFEFED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0.82 ± 0.30</w:t>
            </w:r>
          </w:p>
        </w:tc>
        <w:tc>
          <w:tcPr>
            <w:tcW w:w="0" w:type="auto"/>
            <w:hideMark/>
          </w:tcPr>
          <w:p w14:paraId="3A84B09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0.76 ± 0.28</w:t>
            </w:r>
          </w:p>
        </w:tc>
        <w:tc>
          <w:tcPr>
            <w:tcW w:w="0" w:type="auto"/>
            <w:hideMark/>
          </w:tcPr>
          <w:p w14:paraId="0F785DC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0.91 ± 0.32</w:t>
            </w:r>
          </w:p>
        </w:tc>
        <w:tc>
          <w:tcPr>
            <w:tcW w:w="0" w:type="auto"/>
            <w:hideMark/>
          </w:tcPr>
          <w:p w14:paraId="17B1DC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0.045</w:t>
            </w:r>
            <w:r w:rsidRPr="00E62FBF">
              <w:rPr>
                <w:rFonts w:ascii="Times New Roman" w:hAnsi="Times New Roman" w:cs="Times New Roman"/>
                <w:lang w:val="en-GB"/>
              </w:rPr>
              <w:t>*</w:t>
            </w:r>
          </w:p>
        </w:tc>
      </w:tr>
      <w:tr w:rsidR="00E62FBF" w:rsidRPr="00E62FBF" w14:paraId="07AE02F7" w14:textId="77777777" w:rsidTr="00733019">
        <w:tc>
          <w:tcPr>
            <w:tcW w:w="0" w:type="auto"/>
            <w:hideMark/>
          </w:tcPr>
          <w:p w14:paraId="029BB2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 (%)</w:t>
            </w:r>
          </w:p>
        </w:tc>
        <w:tc>
          <w:tcPr>
            <w:tcW w:w="0" w:type="auto"/>
            <w:hideMark/>
          </w:tcPr>
          <w:p w14:paraId="2A2929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5.6 ± 0.9</w:t>
            </w:r>
          </w:p>
        </w:tc>
        <w:tc>
          <w:tcPr>
            <w:tcW w:w="0" w:type="auto"/>
            <w:hideMark/>
          </w:tcPr>
          <w:p w14:paraId="0818484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 0.8</w:t>
            </w:r>
          </w:p>
        </w:tc>
        <w:tc>
          <w:tcPr>
            <w:tcW w:w="0" w:type="auto"/>
            <w:hideMark/>
          </w:tcPr>
          <w:p w14:paraId="269A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5.7 ± 1.0</w:t>
            </w:r>
          </w:p>
        </w:tc>
        <w:tc>
          <w:tcPr>
            <w:tcW w:w="0" w:type="auto"/>
            <w:hideMark/>
          </w:tcPr>
          <w:p w14:paraId="01BE96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0.032</w:t>
            </w:r>
            <w:r w:rsidRPr="00E62FBF">
              <w:rPr>
                <w:rFonts w:ascii="Times New Roman" w:hAnsi="Times New Roman" w:cs="Times New Roman"/>
                <w:lang w:val="en-GB"/>
              </w:rPr>
              <w:t>*</w:t>
            </w:r>
          </w:p>
        </w:tc>
      </w:tr>
      <w:tr w:rsidR="00E62FBF" w:rsidRPr="00E62FBF" w14:paraId="33B27141" w14:textId="77777777" w:rsidTr="00733019">
        <w:tc>
          <w:tcPr>
            <w:tcW w:w="0" w:type="auto"/>
            <w:hideMark/>
          </w:tcPr>
          <w:p w14:paraId="39B4621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HDL (mg/dL)</w:t>
            </w:r>
          </w:p>
        </w:tc>
        <w:tc>
          <w:tcPr>
            <w:tcW w:w="0" w:type="auto"/>
            <w:hideMark/>
          </w:tcPr>
          <w:p w14:paraId="582341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46 ± 15</w:t>
            </w:r>
          </w:p>
        </w:tc>
        <w:tc>
          <w:tcPr>
            <w:tcW w:w="0" w:type="auto"/>
            <w:hideMark/>
          </w:tcPr>
          <w:p w14:paraId="5B831E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 16</w:t>
            </w:r>
          </w:p>
        </w:tc>
        <w:tc>
          <w:tcPr>
            <w:tcW w:w="0" w:type="auto"/>
            <w:hideMark/>
          </w:tcPr>
          <w:p w14:paraId="5043ABE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 14</w:t>
            </w:r>
          </w:p>
        </w:tc>
        <w:tc>
          <w:tcPr>
            <w:tcW w:w="0" w:type="auto"/>
            <w:hideMark/>
          </w:tcPr>
          <w:p w14:paraId="4F2759F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7127DD98" w14:textId="6C2EEEBA" w:rsidR="00E62FBF" w:rsidRPr="00E62FBF" w:rsidRDefault="00E62FBF" w:rsidP="00E62FBF">
      <w:pPr>
        <w:rPr>
          <w:rFonts w:ascii="Times New Roman" w:hAnsi="Times New Roman" w:cs="Times New Roman"/>
          <w:lang w:val="en-GB"/>
        </w:rPr>
      </w:pPr>
    </w:p>
    <w:p w14:paraId="7AF15C57" w14:textId="77777777" w:rsidR="00E62FBF" w:rsidRDefault="00E62FBF" w:rsidP="00E62FBF">
      <w:pPr>
        <w:rPr>
          <w:rFonts w:ascii="Times New Roman" w:hAnsi="Times New Roman" w:cs="Times New Roman"/>
          <w:b/>
          <w:bCs/>
          <w:lang w:val="en-GB"/>
        </w:rPr>
      </w:pPr>
    </w:p>
    <w:p w14:paraId="2A0E9E6F" w14:textId="373CCEFF"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Hyperuricemia was more common in females (38.2% vs. 14.1%, </w:t>
      </w:r>
      <w:r w:rsidRPr="00733019">
        <w:rPr>
          <w:rFonts w:ascii="Times New Roman" w:hAnsi="Times New Roman" w:cs="Times New Roman"/>
          <w:i/>
          <w:iCs/>
        </w:rPr>
        <w:t>P</w:t>
      </w:r>
      <w:r w:rsidRPr="00733019">
        <w:rPr>
          <w:rFonts w:ascii="Times New Roman" w:hAnsi="Times New Roman" w:cs="Times New Roman"/>
        </w:rPr>
        <w:t> = 0.040), yet diabetes prevalence was also higher in females (12.7% vs. 8.2%, </w:t>
      </w:r>
      <w:r w:rsidRPr="00733019">
        <w:rPr>
          <w:rFonts w:ascii="Times New Roman" w:hAnsi="Times New Roman" w:cs="Times New Roman"/>
          <w:i/>
          <w:iCs/>
        </w:rPr>
        <w:t>P</w:t>
      </w:r>
      <w:r w:rsidRPr="00733019">
        <w:rPr>
          <w:rFonts w:ascii="Times New Roman" w:hAnsi="Times New Roman" w:cs="Times New Roman"/>
        </w:rPr>
        <w:t> = 0.042). This unexpected association suggests uric acid’s role may differ by gender, possibly mediated by estrogen’s effects on urate excretion. Low HDL was prevalent overall (31.8%), emphasizing a shared metabolic dysfunction, but males had worse lipid profiles (higher TG, lower HDL), aligning with known atherogenic patterns (Table 3)</w:t>
      </w:r>
    </w:p>
    <w:p w14:paraId="72329C33" w14:textId="77777777" w:rsidR="00733019" w:rsidRDefault="00733019" w:rsidP="00E62FBF">
      <w:pPr>
        <w:rPr>
          <w:rFonts w:ascii="Times New Roman" w:hAnsi="Times New Roman" w:cs="Times New Roman"/>
          <w:b/>
          <w:bCs/>
          <w:lang w:val="en-GB"/>
        </w:rPr>
      </w:pPr>
    </w:p>
    <w:p w14:paraId="6D3ED1E2" w14:textId="0E8DD50A"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3: Prevalence of Abnormal Conditions</w:t>
      </w:r>
    </w:p>
    <w:tbl>
      <w:tblPr>
        <w:tblStyle w:val="TableGrid"/>
        <w:tblW w:w="0" w:type="auto"/>
        <w:tblLook w:val="04A0" w:firstRow="1" w:lastRow="0" w:firstColumn="1" w:lastColumn="0" w:noHBand="0" w:noVBand="1"/>
      </w:tblPr>
      <w:tblGrid>
        <w:gridCol w:w="3404"/>
        <w:gridCol w:w="836"/>
        <w:gridCol w:w="1056"/>
        <w:gridCol w:w="836"/>
        <w:gridCol w:w="990"/>
      </w:tblGrid>
      <w:tr w:rsidR="00E62FBF" w:rsidRPr="00E62FBF" w14:paraId="0E0AC1EA" w14:textId="77777777" w:rsidTr="00733019">
        <w:tc>
          <w:tcPr>
            <w:tcW w:w="0" w:type="auto"/>
            <w:hideMark/>
          </w:tcPr>
          <w:p w14:paraId="1E06B3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Condition</w:t>
            </w:r>
          </w:p>
        </w:tc>
        <w:tc>
          <w:tcPr>
            <w:tcW w:w="0" w:type="auto"/>
            <w:hideMark/>
          </w:tcPr>
          <w:p w14:paraId="02230A2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1549638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3B7BA7A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11DAB2D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EEA3F75" w14:textId="77777777" w:rsidTr="00733019">
        <w:tc>
          <w:tcPr>
            <w:tcW w:w="0" w:type="auto"/>
            <w:hideMark/>
          </w:tcPr>
          <w:p w14:paraId="4DBDD4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Hyperuricemia (UA &gt;6.0 mg/dL)</w:t>
            </w:r>
          </w:p>
        </w:tc>
        <w:tc>
          <w:tcPr>
            <w:tcW w:w="0" w:type="auto"/>
            <w:hideMark/>
          </w:tcPr>
          <w:p w14:paraId="06807AB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52.3%</w:t>
            </w:r>
          </w:p>
        </w:tc>
        <w:tc>
          <w:tcPr>
            <w:tcW w:w="0" w:type="auto"/>
            <w:hideMark/>
          </w:tcPr>
          <w:p w14:paraId="09F182B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38.2%</w:t>
            </w:r>
          </w:p>
        </w:tc>
        <w:tc>
          <w:tcPr>
            <w:tcW w:w="0" w:type="auto"/>
            <w:hideMark/>
          </w:tcPr>
          <w:p w14:paraId="112FBEE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w:t>
            </w:r>
          </w:p>
        </w:tc>
        <w:tc>
          <w:tcPr>
            <w:tcW w:w="0" w:type="auto"/>
            <w:hideMark/>
          </w:tcPr>
          <w:p w14:paraId="6FBC894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0.040</w:t>
            </w:r>
            <w:r w:rsidRPr="00E62FBF">
              <w:rPr>
                <w:rFonts w:ascii="Times New Roman" w:hAnsi="Times New Roman" w:cs="Times New Roman"/>
                <w:lang w:val="en-GB"/>
              </w:rPr>
              <w:t>*</w:t>
            </w:r>
          </w:p>
        </w:tc>
      </w:tr>
      <w:tr w:rsidR="00E62FBF" w:rsidRPr="00E62FBF" w14:paraId="1A528298" w14:textId="77777777" w:rsidTr="00733019">
        <w:tc>
          <w:tcPr>
            <w:tcW w:w="0" w:type="auto"/>
            <w:hideMark/>
          </w:tcPr>
          <w:p w14:paraId="6B9131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Diabetes (HbA1c ≥6.5%)</w:t>
            </w:r>
          </w:p>
        </w:tc>
        <w:tc>
          <w:tcPr>
            <w:tcW w:w="0" w:type="auto"/>
            <w:hideMark/>
          </w:tcPr>
          <w:p w14:paraId="3C32B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20.9%</w:t>
            </w:r>
          </w:p>
        </w:tc>
        <w:tc>
          <w:tcPr>
            <w:tcW w:w="0" w:type="auto"/>
            <w:hideMark/>
          </w:tcPr>
          <w:p w14:paraId="003A6B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12.7%</w:t>
            </w:r>
          </w:p>
        </w:tc>
        <w:tc>
          <w:tcPr>
            <w:tcW w:w="0" w:type="auto"/>
            <w:hideMark/>
          </w:tcPr>
          <w:p w14:paraId="5C3CA1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8.2%</w:t>
            </w:r>
          </w:p>
        </w:tc>
        <w:tc>
          <w:tcPr>
            <w:tcW w:w="0" w:type="auto"/>
            <w:hideMark/>
          </w:tcPr>
          <w:p w14:paraId="1D066B6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0.042</w:t>
            </w:r>
            <w:r w:rsidRPr="00E62FBF">
              <w:rPr>
                <w:rFonts w:ascii="Times New Roman" w:hAnsi="Times New Roman" w:cs="Times New Roman"/>
                <w:lang w:val="en-GB"/>
              </w:rPr>
              <w:t>*</w:t>
            </w:r>
          </w:p>
        </w:tc>
      </w:tr>
      <w:tr w:rsidR="00E62FBF" w:rsidRPr="00E62FBF" w14:paraId="4CBA0130" w14:textId="77777777" w:rsidTr="00733019">
        <w:tc>
          <w:tcPr>
            <w:tcW w:w="0" w:type="auto"/>
            <w:hideMark/>
          </w:tcPr>
          <w:p w14:paraId="6A68BB9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 (&lt;40 mg/dL)</w:t>
            </w:r>
          </w:p>
        </w:tc>
        <w:tc>
          <w:tcPr>
            <w:tcW w:w="0" w:type="auto"/>
            <w:hideMark/>
          </w:tcPr>
          <w:p w14:paraId="4EF1567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31.8%</w:t>
            </w:r>
          </w:p>
        </w:tc>
        <w:tc>
          <w:tcPr>
            <w:tcW w:w="0" w:type="auto"/>
            <w:hideMark/>
          </w:tcPr>
          <w:p w14:paraId="1B8DE49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19.5%</w:t>
            </w:r>
          </w:p>
        </w:tc>
        <w:tc>
          <w:tcPr>
            <w:tcW w:w="0" w:type="auto"/>
            <w:hideMark/>
          </w:tcPr>
          <w:p w14:paraId="2D86A5B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12.3%</w:t>
            </w:r>
          </w:p>
        </w:tc>
        <w:tc>
          <w:tcPr>
            <w:tcW w:w="0" w:type="auto"/>
            <w:hideMark/>
          </w:tcPr>
          <w:p w14:paraId="2190D7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0.047</w:t>
            </w:r>
            <w:r w:rsidRPr="00E62FBF">
              <w:rPr>
                <w:rFonts w:ascii="Times New Roman" w:hAnsi="Times New Roman" w:cs="Times New Roman"/>
                <w:lang w:val="en-GB"/>
              </w:rPr>
              <w:t>*</w:t>
            </w:r>
          </w:p>
        </w:tc>
      </w:tr>
    </w:tbl>
    <w:p w14:paraId="38EC12EF" w14:textId="5C2B95C9" w:rsidR="00E62FBF" w:rsidRPr="00E62FBF" w:rsidRDefault="00E62FBF" w:rsidP="00E62FBF">
      <w:pPr>
        <w:rPr>
          <w:rFonts w:ascii="Times New Roman" w:hAnsi="Times New Roman" w:cs="Times New Roman"/>
          <w:lang w:val="en-GB"/>
        </w:rPr>
      </w:pPr>
    </w:p>
    <w:p w14:paraId="033C3D64" w14:textId="77777777" w:rsidR="00E62FBF" w:rsidRDefault="00E62FBF" w:rsidP="00E62FBF">
      <w:pPr>
        <w:rPr>
          <w:rFonts w:ascii="Times New Roman" w:hAnsi="Times New Roman" w:cs="Times New Roman"/>
          <w:b/>
          <w:bCs/>
          <w:lang w:val="en-GB"/>
        </w:rPr>
      </w:pPr>
    </w:p>
    <w:p w14:paraId="168368C6" w14:textId="0FDB1A2B"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Uric acid correlated positively with urea (ρ = 0.32, </w:t>
      </w:r>
      <w:r w:rsidRPr="00733019">
        <w:rPr>
          <w:rFonts w:ascii="Times New Roman" w:hAnsi="Times New Roman" w:cs="Times New Roman"/>
          <w:i/>
          <w:iCs/>
        </w:rPr>
        <w:t>P</w:t>
      </w:r>
      <w:r w:rsidRPr="00733019">
        <w:rPr>
          <w:rFonts w:ascii="Times New Roman" w:hAnsi="Times New Roman" w:cs="Times New Roman"/>
        </w:rPr>
        <w:t> = 0.001), linking it to renal function, and HbA1c (ρ = 0.25, </w:t>
      </w:r>
      <w:r w:rsidRPr="00733019">
        <w:rPr>
          <w:rFonts w:ascii="Times New Roman" w:hAnsi="Times New Roman" w:cs="Times New Roman"/>
          <w:i/>
          <w:iCs/>
        </w:rPr>
        <w:t>P</w:t>
      </w:r>
      <w:r w:rsidRPr="00733019">
        <w:rPr>
          <w:rFonts w:ascii="Times New Roman" w:hAnsi="Times New Roman" w:cs="Times New Roman"/>
        </w:rPr>
        <w:t> = 0.006), supporting its role in glucose dysregulation. The inverse correlation with HDL (ρ = −0.18, </w:t>
      </w:r>
      <w:r w:rsidRPr="00733019">
        <w:rPr>
          <w:rFonts w:ascii="Times New Roman" w:hAnsi="Times New Roman" w:cs="Times New Roman"/>
          <w:i/>
          <w:iCs/>
        </w:rPr>
        <w:t>P</w:t>
      </w:r>
      <w:r w:rsidRPr="00733019">
        <w:rPr>
          <w:rFonts w:ascii="Times New Roman" w:hAnsi="Times New Roman" w:cs="Times New Roman"/>
        </w:rPr>
        <w:t> = 0.024) underscores uric acid’s association with atherogenic dyslipidemia. These findings position uric acid as a marker of both metabolic and renal dysfunction, though its predictive power for diabetes was modest (AUC = 0.68) (Table 4).</w:t>
      </w:r>
    </w:p>
    <w:p w14:paraId="19347137" w14:textId="77777777" w:rsidR="00733019" w:rsidRDefault="00733019" w:rsidP="00E62FBF">
      <w:pPr>
        <w:rPr>
          <w:rFonts w:ascii="Times New Roman" w:hAnsi="Times New Roman" w:cs="Times New Roman"/>
          <w:b/>
          <w:bCs/>
          <w:lang w:val="en-GB"/>
        </w:rPr>
      </w:pPr>
    </w:p>
    <w:p w14:paraId="1CABBB55" w14:textId="27A8FE6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lastRenderedPageBreak/>
        <w:t>Table 4: Correlation of Uric Acid with Other Parameters</w:t>
      </w:r>
    </w:p>
    <w:tbl>
      <w:tblPr>
        <w:tblStyle w:val="TableGrid"/>
        <w:tblW w:w="0" w:type="auto"/>
        <w:tblLook w:val="04A0" w:firstRow="1" w:lastRow="0" w:firstColumn="1" w:lastColumn="0" w:noHBand="0" w:noVBand="1"/>
      </w:tblPr>
      <w:tblGrid>
        <w:gridCol w:w="1309"/>
        <w:gridCol w:w="1760"/>
        <w:gridCol w:w="990"/>
      </w:tblGrid>
      <w:tr w:rsidR="00E62FBF" w:rsidRPr="00E62FBF" w14:paraId="233899FE" w14:textId="77777777" w:rsidTr="00733019">
        <w:tc>
          <w:tcPr>
            <w:tcW w:w="0" w:type="auto"/>
            <w:hideMark/>
          </w:tcPr>
          <w:p w14:paraId="033E5A6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0A1F404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Correlation (ρ)</w:t>
            </w:r>
          </w:p>
        </w:tc>
        <w:tc>
          <w:tcPr>
            <w:tcW w:w="0" w:type="auto"/>
            <w:hideMark/>
          </w:tcPr>
          <w:p w14:paraId="6BF14D8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0E5D6E" w14:textId="77777777" w:rsidTr="00733019">
        <w:tc>
          <w:tcPr>
            <w:tcW w:w="0" w:type="auto"/>
            <w:hideMark/>
          </w:tcPr>
          <w:p w14:paraId="4D785AF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Urea</w:t>
            </w:r>
          </w:p>
        </w:tc>
        <w:tc>
          <w:tcPr>
            <w:tcW w:w="0" w:type="auto"/>
            <w:hideMark/>
          </w:tcPr>
          <w:p w14:paraId="1D47CB8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0.32</w:t>
            </w:r>
          </w:p>
        </w:tc>
        <w:tc>
          <w:tcPr>
            <w:tcW w:w="0" w:type="auto"/>
            <w:hideMark/>
          </w:tcPr>
          <w:p w14:paraId="665864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r w:rsidR="00E62FBF" w:rsidRPr="00E62FBF" w14:paraId="4408F8D9" w14:textId="77777777" w:rsidTr="00733019">
        <w:tc>
          <w:tcPr>
            <w:tcW w:w="0" w:type="auto"/>
            <w:hideMark/>
          </w:tcPr>
          <w:p w14:paraId="0A23408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056EF5F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0.25</w:t>
            </w:r>
          </w:p>
        </w:tc>
        <w:tc>
          <w:tcPr>
            <w:tcW w:w="0" w:type="auto"/>
            <w:hideMark/>
          </w:tcPr>
          <w:p w14:paraId="0CDE37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0.006</w:t>
            </w:r>
            <w:r w:rsidRPr="00E62FBF">
              <w:rPr>
                <w:rFonts w:ascii="Times New Roman" w:hAnsi="Times New Roman" w:cs="Times New Roman"/>
                <w:lang w:val="en-GB"/>
              </w:rPr>
              <w:t>*</w:t>
            </w:r>
          </w:p>
        </w:tc>
      </w:tr>
      <w:tr w:rsidR="00E62FBF" w:rsidRPr="00E62FBF" w14:paraId="3260EE9F" w14:textId="77777777" w:rsidTr="00733019">
        <w:tc>
          <w:tcPr>
            <w:tcW w:w="0" w:type="auto"/>
            <w:hideMark/>
          </w:tcPr>
          <w:p w14:paraId="273F831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4A95A0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0.24</w:t>
            </w:r>
          </w:p>
        </w:tc>
        <w:tc>
          <w:tcPr>
            <w:tcW w:w="0" w:type="auto"/>
            <w:hideMark/>
          </w:tcPr>
          <w:p w14:paraId="69425F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0.008</w:t>
            </w:r>
            <w:r w:rsidRPr="00E62FBF">
              <w:rPr>
                <w:rFonts w:ascii="Times New Roman" w:hAnsi="Times New Roman" w:cs="Times New Roman"/>
                <w:lang w:val="en-GB"/>
              </w:rPr>
              <w:t>*</w:t>
            </w:r>
          </w:p>
        </w:tc>
      </w:tr>
      <w:tr w:rsidR="00E62FBF" w:rsidRPr="00E62FBF" w14:paraId="35EE1EC0" w14:textId="77777777" w:rsidTr="00733019">
        <w:tc>
          <w:tcPr>
            <w:tcW w:w="0" w:type="auto"/>
            <w:hideMark/>
          </w:tcPr>
          <w:p w14:paraId="4BAF0C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HDL</w:t>
            </w:r>
          </w:p>
        </w:tc>
        <w:tc>
          <w:tcPr>
            <w:tcW w:w="0" w:type="auto"/>
            <w:hideMark/>
          </w:tcPr>
          <w:p w14:paraId="157A84B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-0.18</w:t>
            </w:r>
          </w:p>
        </w:tc>
        <w:tc>
          <w:tcPr>
            <w:tcW w:w="0" w:type="auto"/>
            <w:hideMark/>
          </w:tcPr>
          <w:p w14:paraId="1841F8A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0.024</w:t>
            </w:r>
            <w:r w:rsidRPr="00E62FBF">
              <w:rPr>
                <w:rFonts w:ascii="Times New Roman" w:hAnsi="Times New Roman" w:cs="Times New Roman"/>
                <w:lang w:val="en-GB"/>
              </w:rPr>
              <w:t>*</w:t>
            </w:r>
          </w:p>
        </w:tc>
      </w:tr>
    </w:tbl>
    <w:p w14:paraId="2D7BFD94" w14:textId="64FBF694" w:rsidR="00E62FBF" w:rsidRPr="00E62FBF" w:rsidRDefault="00E62FBF" w:rsidP="00E62FBF">
      <w:pPr>
        <w:rPr>
          <w:rFonts w:ascii="Times New Roman" w:hAnsi="Times New Roman" w:cs="Times New Roman"/>
          <w:lang w:val="en-GB"/>
        </w:rPr>
      </w:pPr>
    </w:p>
    <w:p w14:paraId="6588570F" w14:textId="77777777" w:rsidR="00E62FBF" w:rsidRDefault="00E62FBF" w:rsidP="00E62FBF">
      <w:pPr>
        <w:rPr>
          <w:rFonts w:ascii="Times New Roman" w:hAnsi="Times New Roman" w:cs="Times New Roman"/>
          <w:b/>
          <w:bCs/>
          <w:lang w:val="en-GB"/>
        </w:rPr>
      </w:pPr>
    </w:p>
    <w:p w14:paraId="7B2BD787" w14:textId="77777777" w:rsidR="00E62FBF" w:rsidRDefault="00E62FBF" w:rsidP="00E62FBF">
      <w:pPr>
        <w:rPr>
          <w:rFonts w:ascii="Times New Roman" w:hAnsi="Times New Roman" w:cs="Times New Roman"/>
          <w:b/>
          <w:bCs/>
          <w:lang w:val="en-GB"/>
        </w:rPr>
      </w:pPr>
    </w:p>
    <w:p w14:paraId="439D85DD" w14:textId="77777777" w:rsidR="00E62FBF" w:rsidRDefault="00E62FBF" w:rsidP="00E62FBF">
      <w:pPr>
        <w:rPr>
          <w:rFonts w:ascii="Times New Roman" w:hAnsi="Times New Roman" w:cs="Times New Roman"/>
          <w:b/>
          <w:bCs/>
          <w:lang w:val="en-GB"/>
        </w:rPr>
      </w:pPr>
    </w:p>
    <w:p w14:paraId="69790D8C" w14:textId="1B02B4AD" w:rsidR="00E62FBF" w:rsidRPr="00733019" w:rsidRDefault="00E62FBF" w:rsidP="00E62FBF">
      <w:pPr>
        <w:rPr>
          <w:rFonts w:ascii="Times New Roman" w:hAnsi="Times New Roman" w:cs="Times New Roman"/>
          <w:lang w:val="en-GB"/>
        </w:rPr>
      </w:pPr>
      <w:r w:rsidRPr="00733019">
        <w:rPr>
          <w:rFonts w:ascii="Times New Roman" w:hAnsi="Times New Roman" w:cs="Times New Roman"/>
        </w:rPr>
        <w:t>HbA1c was the strongest diabetes predictor (AUC = 0.75), followed by TG (AUC = 0.71). In multivariate analysis, high TG (OR = 2.85, </w:t>
      </w:r>
      <w:r w:rsidRPr="00733019">
        <w:rPr>
          <w:rFonts w:ascii="Times New Roman" w:hAnsi="Times New Roman" w:cs="Times New Roman"/>
          <w:i/>
          <w:iCs/>
        </w:rPr>
        <w:t>P</w:t>
      </w:r>
      <w:r w:rsidRPr="00733019">
        <w:rPr>
          <w:rFonts w:ascii="Times New Roman" w:hAnsi="Times New Roman" w:cs="Times New Roman"/>
        </w:rPr>
        <w:t> = 0.004) and low HDL (OR = 1.67, </w:t>
      </w:r>
      <w:r w:rsidRPr="00733019">
        <w:rPr>
          <w:rFonts w:ascii="Times New Roman" w:hAnsi="Times New Roman" w:cs="Times New Roman"/>
          <w:i/>
          <w:iCs/>
        </w:rPr>
        <w:t>P</w:t>
      </w:r>
      <w:r w:rsidRPr="00733019">
        <w:rPr>
          <w:rFonts w:ascii="Times New Roman" w:hAnsi="Times New Roman" w:cs="Times New Roman"/>
        </w:rPr>
        <w:t> = 0.009) were significant risk factors, while uric acid had a weaker independent effect (OR = 1.41, </w:t>
      </w:r>
      <w:r w:rsidRPr="00733019">
        <w:rPr>
          <w:rFonts w:ascii="Times New Roman" w:hAnsi="Times New Roman" w:cs="Times New Roman"/>
          <w:i/>
          <w:iCs/>
        </w:rPr>
        <w:t>P</w:t>
      </w:r>
      <w:r w:rsidRPr="00733019">
        <w:rPr>
          <w:rFonts w:ascii="Times New Roman" w:hAnsi="Times New Roman" w:cs="Times New Roman"/>
        </w:rPr>
        <w:t> = 0.021). This highlights lipid management as a priority in diabetes prevention, with uric acid serving as a secondary marker (Table 5,6)</w:t>
      </w:r>
    </w:p>
    <w:p w14:paraId="42E76DA8" w14:textId="77777777" w:rsidR="00733019" w:rsidRDefault="00733019" w:rsidP="00E62FBF">
      <w:pPr>
        <w:rPr>
          <w:rFonts w:ascii="Times New Roman" w:hAnsi="Times New Roman" w:cs="Times New Roman"/>
          <w:b/>
          <w:bCs/>
          <w:lang w:val="en-GB"/>
        </w:rPr>
      </w:pPr>
    </w:p>
    <w:p w14:paraId="2D4F38E1" w14:textId="1023A7C2"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5: Predictive Power for Diabetes (ROC Analysis)</w:t>
      </w:r>
    </w:p>
    <w:tbl>
      <w:tblPr>
        <w:tblStyle w:val="TableGrid"/>
        <w:tblW w:w="0" w:type="auto"/>
        <w:tblLook w:val="04A0" w:firstRow="1" w:lastRow="0" w:firstColumn="1" w:lastColumn="0" w:noHBand="0" w:noVBand="1"/>
      </w:tblPr>
      <w:tblGrid>
        <w:gridCol w:w="1309"/>
        <w:gridCol w:w="736"/>
        <w:gridCol w:w="1268"/>
        <w:gridCol w:w="1283"/>
        <w:gridCol w:w="1283"/>
        <w:gridCol w:w="1013"/>
      </w:tblGrid>
      <w:tr w:rsidR="00E62FBF" w:rsidRPr="00E62FBF" w14:paraId="32D8690E" w14:textId="77777777" w:rsidTr="00733019">
        <w:tc>
          <w:tcPr>
            <w:tcW w:w="0" w:type="auto"/>
            <w:hideMark/>
          </w:tcPr>
          <w:p w14:paraId="5345D2F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38BA8B7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AUC</w:t>
            </w:r>
          </w:p>
        </w:tc>
        <w:tc>
          <w:tcPr>
            <w:tcW w:w="0" w:type="auto"/>
            <w:hideMark/>
          </w:tcPr>
          <w:p w14:paraId="67864B1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Cut-off</w:t>
            </w:r>
          </w:p>
        </w:tc>
        <w:tc>
          <w:tcPr>
            <w:tcW w:w="0" w:type="auto"/>
            <w:hideMark/>
          </w:tcPr>
          <w:p w14:paraId="25FBCE4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Sensitivity</w:t>
            </w:r>
          </w:p>
        </w:tc>
        <w:tc>
          <w:tcPr>
            <w:tcW w:w="0" w:type="auto"/>
            <w:hideMark/>
          </w:tcPr>
          <w:p w14:paraId="48247B1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Specificity</w:t>
            </w:r>
          </w:p>
        </w:tc>
        <w:tc>
          <w:tcPr>
            <w:tcW w:w="0" w:type="auto"/>
            <w:hideMark/>
          </w:tcPr>
          <w:p w14:paraId="3A92F54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62404D8" w14:textId="77777777" w:rsidTr="00733019">
        <w:tc>
          <w:tcPr>
            <w:tcW w:w="0" w:type="auto"/>
            <w:hideMark/>
          </w:tcPr>
          <w:p w14:paraId="334303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2CF4738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0.75</w:t>
            </w:r>
          </w:p>
        </w:tc>
        <w:tc>
          <w:tcPr>
            <w:tcW w:w="0" w:type="auto"/>
            <w:hideMark/>
          </w:tcPr>
          <w:p w14:paraId="39020A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5.8%</w:t>
            </w:r>
          </w:p>
        </w:tc>
        <w:tc>
          <w:tcPr>
            <w:tcW w:w="0" w:type="auto"/>
            <w:hideMark/>
          </w:tcPr>
          <w:p w14:paraId="1E5494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76.5%</w:t>
            </w:r>
          </w:p>
        </w:tc>
        <w:tc>
          <w:tcPr>
            <w:tcW w:w="0" w:type="auto"/>
            <w:hideMark/>
          </w:tcPr>
          <w:p w14:paraId="2DD8E3E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68.3%</w:t>
            </w:r>
          </w:p>
        </w:tc>
        <w:tc>
          <w:tcPr>
            <w:tcW w:w="0" w:type="auto"/>
            <w:hideMark/>
          </w:tcPr>
          <w:p w14:paraId="74ACD9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&lt;0.001</w:t>
            </w:r>
            <w:r w:rsidRPr="00E62FBF">
              <w:rPr>
                <w:rFonts w:ascii="Times New Roman" w:hAnsi="Times New Roman" w:cs="Times New Roman"/>
                <w:lang w:val="en-GB"/>
              </w:rPr>
              <w:t>*</w:t>
            </w:r>
          </w:p>
        </w:tc>
      </w:tr>
      <w:tr w:rsidR="00E62FBF" w:rsidRPr="00E62FBF" w14:paraId="2056E255" w14:textId="77777777" w:rsidTr="00733019">
        <w:tc>
          <w:tcPr>
            <w:tcW w:w="0" w:type="auto"/>
            <w:hideMark/>
          </w:tcPr>
          <w:p w14:paraId="4EDA928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w:t>
            </w:r>
          </w:p>
        </w:tc>
        <w:tc>
          <w:tcPr>
            <w:tcW w:w="0" w:type="auto"/>
            <w:hideMark/>
          </w:tcPr>
          <w:p w14:paraId="323450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0.68</w:t>
            </w:r>
          </w:p>
        </w:tc>
        <w:tc>
          <w:tcPr>
            <w:tcW w:w="0" w:type="auto"/>
            <w:hideMark/>
          </w:tcPr>
          <w:p w14:paraId="1C0EDF8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 mg/dL</w:t>
            </w:r>
          </w:p>
        </w:tc>
        <w:tc>
          <w:tcPr>
            <w:tcW w:w="0" w:type="auto"/>
            <w:hideMark/>
          </w:tcPr>
          <w:p w14:paraId="01A18B6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70.2%</w:t>
            </w:r>
          </w:p>
        </w:tc>
        <w:tc>
          <w:tcPr>
            <w:tcW w:w="0" w:type="auto"/>
            <w:hideMark/>
          </w:tcPr>
          <w:p w14:paraId="2D6D5D4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62.1%</w:t>
            </w:r>
          </w:p>
        </w:tc>
        <w:tc>
          <w:tcPr>
            <w:tcW w:w="0" w:type="auto"/>
            <w:hideMark/>
          </w:tcPr>
          <w:p w14:paraId="579F965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0.002</w:t>
            </w:r>
            <w:r w:rsidRPr="00E62FBF">
              <w:rPr>
                <w:rFonts w:ascii="Times New Roman" w:hAnsi="Times New Roman" w:cs="Times New Roman"/>
                <w:lang w:val="en-GB"/>
              </w:rPr>
              <w:t>*</w:t>
            </w:r>
          </w:p>
        </w:tc>
      </w:tr>
      <w:tr w:rsidR="00E62FBF" w:rsidRPr="00E62FBF" w14:paraId="050F81FB" w14:textId="77777777" w:rsidTr="00733019">
        <w:tc>
          <w:tcPr>
            <w:tcW w:w="0" w:type="auto"/>
            <w:hideMark/>
          </w:tcPr>
          <w:p w14:paraId="40358F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61CFED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0.71</w:t>
            </w:r>
          </w:p>
        </w:tc>
        <w:tc>
          <w:tcPr>
            <w:tcW w:w="0" w:type="auto"/>
            <w:hideMark/>
          </w:tcPr>
          <w:p w14:paraId="00E2E7C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118 mg/dL</w:t>
            </w:r>
          </w:p>
        </w:tc>
        <w:tc>
          <w:tcPr>
            <w:tcW w:w="0" w:type="auto"/>
            <w:hideMark/>
          </w:tcPr>
          <w:p w14:paraId="1BE2A5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72.8%</w:t>
            </w:r>
          </w:p>
        </w:tc>
        <w:tc>
          <w:tcPr>
            <w:tcW w:w="0" w:type="auto"/>
            <w:hideMark/>
          </w:tcPr>
          <w:p w14:paraId="60EEEC7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65.4%</w:t>
            </w:r>
          </w:p>
        </w:tc>
        <w:tc>
          <w:tcPr>
            <w:tcW w:w="0" w:type="auto"/>
            <w:hideMark/>
          </w:tcPr>
          <w:p w14:paraId="48F1F34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bl>
    <w:p w14:paraId="1D85CBC7" w14:textId="6CEF4771" w:rsidR="00E62FBF" w:rsidRPr="00E62FBF" w:rsidRDefault="00E62FBF" w:rsidP="00E62FBF">
      <w:pPr>
        <w:rPr>
          <w:rFonts w:ascii="Times New Roman" w:hAnsi="Times New Roman" w:cs="Times New Roman"/>
          <w:lang w:val="en-GB"/>
        </w:rPr>
      </w:pPr>
    </w:p>
    <w:p w14:paraId="356DF269" w14:textId="0CD7371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6: Multivariate Risk Factors for Diabetes</w:t>
      </w:r>
    </w:p>
    <w:tbl>
      <w:tblPr>
        <w:tblStyle w:val="TableGrid"/>
        <w:tblW w:w="0" w:type="auto"/>
        <w:tblLook w:val="04A0" w:firstRow="1" w:lastRow="0" w:firstColumn="1" w:lastColumn="0" w:noHBand="0" w:noVBand="1"/>
      </w:tblPr>
      <w:tblGrid>
        <w:gridCol w:w="1696"/>
        <w:gridCol w:w="1816"/>
        <w:gridCol w:w="990"/>
      </w:tblGrid>
      <w:tr w:rsidR="00E62FBF" w:rsidRPr="00E62FBF" w14:paraId="098F796C" w14:textId="77777777" w:rsidTr="00733019">
        <w:tc>
          <w:tcPr>
            <w:tcW w:w="0" w:type="auto"/>
            <w:hideMark/>
          </w:tcPr>
          <w:p w14:paraId="55F967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Risk Factor</w:t>
            </w:r>
          </w:p>
        </w:tc>
        <w:tc>
          <w:tcPr>
            <w:tcW w:w="0" w:type="auto"/>
            <w:hideMark/>
          </w:tcPr>
          <w:p w14:paraId="5C06A26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OR (95% CI)</w:t>
            </w:r>
          </w:p>
        </w:tc>
        <w:tc>
          <w:tcPr>
            <w:tcW w:w="0" w:type="auto"/>
            <w:hideMark/>
          </w:tcPr>
          <w:p w14:paraId="05903D6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9F03C39" w14:textId="77777777" w:rsidTr="00733019">
        <w:tc>
          <w:tcPr>
            <w:tcW w:w="0" w:type="auto"/>
            <w:hideMark/>
          </w:tcPr>
          <w:p w14:paraId="6031ED2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Uric Acid</w:t>
            </w:r>
          </w:p>
        </w:tc>
        <w:tc>
          <w:tcPr>
            <w:tcW w:w="0" w:type="auto"/>
            <w:hideMark/>
          </w:tcPr>
          <w:p w14:paraId="76634DC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 (1.08–1.84)</w:t>
            </w:r>
          </w:p>
        </w:tc>
        <w:tc>
          <w:tcPr>
            <w:tcW w:w="0" w:type="auto"/>
            <w:hideMark/>
          </w:tcPr>
          <w:p w14:paraId="5AAC958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0.021</w:t>
            </w:r>
            <w:r w:rsidRPr="00E62FBF">
              <w:rPr>
                <w:rFonts w:ascii="Times New Roman" w:hAnsi="Times New Roman" w:cs="Times New Roman"/>
                <w:lang w:val="en-GB"/>
              </w:rPr>
              <w:t>*</w:t>
            </w:r>
          </w:p>
        </w:tc>
      </w:tr>
      <w:tr w:rsidR="00E62FBF" w:rsidRPr="00E62FBF" w14:paraId="02BC1F1A" w14:textId="77777777" w:rsidTr="00733019">
        <w:tc>
          <w:tcPr>
            <w:tcW w:w="0" w:type="auto"/>
            <w:hideMark/>
          </w:tcPr>
          <w:p w14:paraId="0043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TG</w:t>
            </w:r>
          </w:p>
        </w:tc>
        <w:tc>
          <w:tcPr>
            <w:tcW w:w="0" w:type="auto"/>
            <w:hideMark/>
          </w:tcPr>
          <w:p w14:paraId="2A2379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2.85 (1.32–3.52)</w:t>
            </w:r>
          </w:p>
        </w:tc>
        <w:tc>
          <w:tcPr>
            <w:tcW w:w="0" w:type="auto"/>
            <w:hideMark/>
          </w:tcPr>
          <w:p w14:paraId="2DFDF56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0.004</w:t>
            </w:r>
            <w:r w:rsidRPr="00E62FBF">
              <w:rPr>
                <w:rFonts w:ascii="Times New Roman" w:hAnsi="Times New Roman" w:cs="Times New Roman"/>
                <w:lang w:val="en-GB"/>
              </w:rPr>
              <w:t>*</w:t>
            </w:r>
          </w:p>
        </w:tc>
      </w:tr>
      <w:tr w:rsidR="00E62FBF" w:rsidRPr="00E62FBF" w14:paraId="50BB045C" w14:textId="77777777" w:rsidTr="00733019">
        <w:tc>
          <w:tcPr>
            <w:tcW w:w="0" w:type="auto"/>
            <w:hideMark/>
          </w:tcPr>
          <w:p w14:paraId="0601E2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w:t>
            </w:r>
          </w:p>
        </w:tc>
        <w:tc>
          <w:tcPr>
            <w:tcW w:w="0" w:type="auto"/>
            <w:hideMark/>
          </w:tcPr>
          <w:p w14:paraId="114D53A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1.67 (1.22–2.29)</w:t>
            </w:r>
          </w:p>
        </w:tc>
        <w:tc>
          <w:tcPr>
            <w:tcW w:w="0" w:type="auto"/>
            <w:hideMark/>
          </w:tcPr>
          <w:p w14:paraId="5E8FE11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5717B7B7" w14:textId="77777777" w:rsidR="00E62FBF" w:rsidRPr="00F7025A" w:rsidRDefault="00E62FBF">
      <w:pPr>
        <w:rPr>
          <w:rFonts w:ascii="Times New Roman" w:hAnsi="Times New Roman" w:cs="Times New Roman"/>
        </w:rPr>
      </w:pPr>
    </w:p>
    <w:p w14:paraId="344F07A5" w14:textId="77777777" w:rsidR="00F7025A" w:rsidRDefault="00F7025A"/>
    <w:p w14:paraId="06870E45" w14:textId="77777777" w:rsidR="00733019" w:rsidRDefault="00733019" w:rsidP="00BA13A1">
      <w:pPr>
        <w:rPr>
          <w:lang w:val="en-GB"/>
        </w:rPr>
      </w:pPr>
    </w:p>
    <w:p w14:paraId="27EBA8AF" w14:textId="77777777" w:rsidR="00733019" w:rsidRDefault="00733019" w:rsidP="00BA13A1">
      <w:pPr>
        <w:rPr>
          <w:lang w:val="en-GB"/>
        </w:rPr>
      </w:pPr>
    </w:p>
    <w:p w14:paraId="6D49E48B" w14:textId="77777777" w:rsidR="00733019" w:rsidRDefault="00733019" w:rsidP="00BA13A1">
      <w:pPr>
        <w:rPr>
          <w:lang w:val="en-GB"/>
        </w:rPr>
      </w:pPr>
    </w:p>
    <w:p w14:paraId="728CC06E" w14:textId="77777777" w:rsidR="00733019" w:rsidRDefault="00733019" w:rsidP="00BA13A1">
      <w:pPr>
        <w:rPr>
          <w:lang w:val="en-GB"/>
        </w:rPr>
      </w:pPr>
    </w:p>
    <w:p w14:paraId="6C912A50" w14:textId="77777777" w:rsidR="00733019" w:rsidRDefault="00733019" w:rsidP="00BA13A1">
      <w:pPr>
        <w:rPr>
          <w:lang w:val="en-GB"/>
        </w:rPr>
      </w:pPr>
    </w:p>
    <w:p w14:paraId="6878883D" w14:textId="77777777" w:rsidR="00733019" w:rsidRDefault="00733019" w:rsidP="00BA13A1">
      <w:pPr>
        <w:rPr>
          <w:lang w:val="en-GB"/>
        </w:rPr>
      </w:pPr>
    </w:p>
    <w:p w14:paraId="3446D774" w14:textId="77777777" w:rsidR="00733019" w:rsidRDefault="00733019" w:rsidP="00BA13A1">
      <w:pPr>
        <w:rPr>
          <w:lang w:val="en-GB"/>
        </w:rPr>
      </w:pPr>
    </w:p>
    <w:p w14:paraId="30E28888" w14:textId="77777777" w:rsidR="00733019" w:rsidRDefault="00733019" w:rsidP="00BA13A1">
      <w:pPr>
        <w:rPr>
          <w:lang w:val="en-GB"/>
        </w:rPr>
      </w:pPr>
    </w:p>
    <w:p w14:paraId="7D0CFB1B" w14:textId="77777777" w:rsidR="00733019" w:rsidRDefault="00733019" w:rsidP="00BA13A1">
      <w:pPr>
        <w:rPr>
          <w:lang w:val="en-GB"/>
        </w:rPr>
      </w:pPr>
    </w:p>
    <w:p w14:paraId="3B9FE941" w14:textId="77777777" w:rsidR="00733019" w:rsidRPr="00733019" w:rsidRDefault="00733019" w:rsidP="00BA13A1">
      <w:pPr>
        <w:rPr>
          <w:rFonts w:ascii="Times New Roman" w:hAnsi="Times New Roman" w:cs="Times New Roman"/>
          <w:b/>
          <w:bCs/>
          <w:lang w:val="en-GB"/>
        </w:rPr>
      </w:pPr>
      <w:r w:rsidRPr="00733019">
        <w:rPr>
          <w:rFonts w:ascii="Times New Roman" w:hAnsi="Times New Roman" w:cs="Times New Roman"/>
          <w:b/>
          <w:bCs/>
          <w:lang w:val="en-GB"/>
        </w:rPr>
        <w:t>Discussion</w:t>
      </w:r>
    </w:p>
    <w:p w14:paraId="0BC19760" w14:textId="101873DB"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The present study revealed significant gender disparities in metabolic markers among Bangladeshi adults. Males demonstrated higher creatinine levels (0.91 vs 0.76 mg/dL), consistent with their greater muscle mass, and lower HDL cholesterol (43 vs 48 mg/dL), indicating poorer cardiometabolic profiles. Interestingly, females showed higher HbA1c levels (5.7% vs 5.5%) and greater prevalence of hyperuricemia (38.2% vs 14.1%), contrasting with global patterns where males typically exhibit worse metabolic parameters. This finding aligns with recent South Asian studies suggesting unique gender-specific metabolic patterns in the region, possibly related to differences in body composition, hormonal influences, and lifestyle factors</w:t>
      </w:r>
      <w:r w:rsidR="00733019">
        <w:rPr>
          <w:rFonts w:ascii="Times New Roman" w:hAnsi="Times New Roman" w:cs="Times New Roman"/>
          <w:vertAlign w:val="superscript"/>
          <w:lang w:val="en-GB"/>
        </w:rPr>
        <w:t>26,27</w:t>
      </w:r>
      <w:r w:rsidR="00733019">
        <w:rPr>
          <w:rFonts w:ascii="Times New Roman" w:hAnsi="Times New Roman" w:cs="Times New Roman"/>
          <w:lang w:val="en-GB"/>
        </w:rPr>
        <w:t>.</w:t>
      </w:r>
    </w:p>
    <w:p w14:paraId="1CD90489" w14:textId="682C405A"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analysis demonstrated uric acid's multifaceted role as a metabolic marker, showing significant positive correlations with both urea (ρ=0.32) and HbA1c (ρ=0.25), while exhibiting an inverse relationship with HDL cholesterol (ρ=-0.18). These associations suggest that elevated uric acid levels may reflect both renal dysfunction and impaired glucose metabolism, while contributing to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through endothelial dysfunction</w:t>
      </w:r>
      <w:r w:rsidR="00733019">
        <w:rPr>
          <w:rFonts w:ascii="Times New Roman" w:hAnsi="Times New Roman" w:cs="Times New Roman"/>
          <w:vertAlign w:val="superscript"/>
          <w:lang w:val="en-GB"/>
        </w:rPr>
        <w:t>28</w:t>
      </w:r>
      <w:r w:rsidRPr="00BA13A1">
        <w:rPr>
          <w:rFonts w:ascii="Times New Roman" w:hAnsi="Times New Roman" w:cs="Times New Roman"/>
          <w:lang w:val="en-GB"/>
        </w:rPr>
        <w:t>. However, the relatively modest predictive value of uric acid for diabetes (AUC=0.68) compared to established markers like HbA1c (AUC=0.75) indicates its limited utility as a standalone screening tool. These observations are consistent with recent research highlighting the complex, context-dependent relationship between uric acid and metabolic disorders</w:t>
      </w:r>
      <w:r w:rsidR="00EB6128">
        <w:rPr>
          <w:rFonts w:ascii="Times New Roman" w:hAnsi="Times New Roman" w:cs="Times New Roman"/>
          <w:vertAlign w:val="superscript"/>
          <w:lang w:val="en-GB"/>
        </w:rPr>
        <w:t>29,30</w:t>
      </w:r>
      <w:r w:rsidRPr="00BA13A1">
        <w:rPr>
          <w:rFonts w:ascii="Times New Roman" w:hAnsi="Times New Roman" w:cs="Times New Roman"/>
          <w:lang w:val="en-GB"/>
        </w:rPr>
        <w:t>.</w:t>
      </w:r>
    </w:p>
    <w:p w14:paraId="4C8FBA42" w14:textId="65700DF5"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lastRenderedPageBreak/>
        <w:t xml:space="preserve">The study identified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particularly elevated triglycerides (OR=2.85) and reduced HDL cholesterol (OR=1.67), as stronger independent risk factors for diabetes than uric acid levels (OR=1.41). This finding reinforces the central role of lipid abnormalities in diabetes pathogenesis among South Asian populations</w:t>
      </w:r>
      <w:r w:rsidR="00EB6128">
        <w:rPr>
          <w:rFonts w:ascii="Times New Roman" w:hAnsi="Times New Roman" w:cs="Times New Roman"/>
          <w:vertAlign w:val="superscript"/>
          <w:lang w:val="en-GB"/>
        </w:rPr>
        <w:t>31</w:t>
      </w:r>
      <w:r w:rsidRPr="00BA13A1">
        <w:rPr>
          <w:rFonts w:ascii="Times New Roman" w:hAnsi="Times New Roman" w:cs="Times New Roman"/>
          <w:lang w:val="en-GB"/>
        </w:rPr>
        <w:t xml:space="preserve">, where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often precedes and accompanies glucose metabolism disorders. The high prevalence of low HDL cholesterol (31.8%) in our cohort mirrors regional epidemiological patterns and likely reflects the combined effects of genetic predisposition and lifestyle factors characteristic of nutritional transition in Bangladesh</w:t>
      </w:r>
      <w:r w:rsidR="00EB6128">
        <w:rPr>
          <w:rFonts w:ascii="Times New Roman" w:hAnsi="Times New Roman" w:cs="Times New Roman"/>
          <w:vertAlign w:val="superscript"/>
          <w:lang w:val="en-GB"/>
        </w:rPr>
        <w:t>32</w:t>
      </w:r>
      <w:r w:rsidRPr="00BA13A1">
        <w:rPr>
          <w:rFonts w:ascii="Times New Roman" w:hAnsi="Times New Roman" w:cs="Times New Roman"/>
          <w:lang w:val="en-GB"/>
        </w:rPr>
        <w:t>. These results corroborate findings from large multinational studies in South Asia that have emphasized the primacy of lipid disturbances in diabetes</w:t>
      </w:r>
      <w:r w:rsidR="00EB6128">
        <w:rPr>
          <w:rFonts w:ascii="Times New Roman" w:hAnsi="Times New Roman" w:cs="Times New Roman"/>
          <w:vertAlign w:val="superscript"/>
          <w:lang w:val="en-GB"/>
        </w:rPr>
        <w:t>33</w:t>
      </w:r>
      <w:r w:rsidR="00EB6128">
        <w:rPr>
          <w:rFonts w:ascii="Times New Roman" w:hAnsi="Times New Roman" w:cs="Times New Roman"/>
          <w:lang w:val="en-GB"/>
        </w:rPr>
        <w:t>.</w:t>
      </w:r>
    </w:p>
    <w:p w14:paraId="40E9628C" w14:textId="4E337E7D"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unexpected finding of higher diabetes prevalence among females despite their more </w:t>
      </w:r>
      <w:proofErr w:type="spellStart"/>
      <w:r w:rsidRPr="00BA13A1">
        <w:rPr>
          <w:rFonts w:ascii="Times New Roman" w:hAnsi="Times New Roman" w:cs="Times New Roman"/>
          <w:lang w:val="en-GB"/>
        </w:rPr>
        <w:t>favorable</w:t>
      </w:r>
      <w:proofErr w:type="spellEnd"/>
      <w:r w:rsidRPr="00BA13A1">
        <w:rPr>
          <w:rFonts w:ascii="Times New Roman" w:hAnsi="Times New Roman" w:cs="Times New Roman"/>
          <w:lang w:val="en-GB"/>
        </w:rPr>
        <w:t xml:space="preserve"> lipid profiles warrants particular attention. This paradox may reflect gender differences in body fat distribution, with South Asian women</w:t>
      </w:r>
      <w:r w:rsidR="00EB6128">
        <w:rPr>
          <w:rFonts w:ascii="Times New Roman" w:hAnsi="Times New Roman" w:cs="Times New Roman"/>
          <w:vertAlign w:val="superscript"/>
          <w:lang w:val="en-GB"/>
        </w:rPr>
        <w:t>34</w:t>
      </w:r>
      <w:r w:rsidRPr="00BA13A1">
        <w:rPr>
          <w:rFonts w:ascii="Times New Roman" w:hAnsi="Times New Roman" w:cs="Times New Roman"/>
          <w:lang w:val="en-GB"/>
        </w:rPr>
        <w:t xml:space="preserve"> tending to accumulate more metabolically active visceral fat at lower BMI thresholds than men. Additionally, cultural factors influencing physical activity levels and dietary patterns may contribute to this phenomenon. The female predominance in hyperuricemia prevalence contrasts with most Western studies but has been observed in other South Asian populations, possibly due to gender-specific differences in renal urate handling or dietary habits</w:t>
      </w:r>
      <w:r w:rsidR="00EB6128">
        <w:rPr>
          <w:rFonts w:ascii="Times New Roman" w:hAnsi="Times New Roman" w:cs="Times New Roman"/>
          <w:vertAlign w:val="superscript"/>
          <w:lang w:val="en-GB"/>
        </w:rPr>
        <w:t>35</w:t>
      </w:r>
      <w:r w:rsidRPr="00BA13A1">
        <w:rPr>
          <w:rFonts w:ascii="Times New Roman" w:hAnsi="Times New Roman" w:cs="Times New Roman"/>
          <w:lang w:val="en-GB"/>
        </w:rPr>
        <w:t>. These observations highlight the importance of developing population-specific risk assessment tools and intervention strategies</w:t>
      </w:r>
      <w:r w:rsidR="00EB6128">
        <w:rPr>
          <w:rFonts w:ascii="Times New Roman" w:hAnsi="Times New Roman" w:cs="Times New Roman"/>
          <w:vertAlign w:val="superscript"/>
          <w:lang w:val="en-GB"/>
        </w:rPr>
        <w:t>36</w:t>
      </w:r>
      <w:r w:rsidR="00EB6128">
        <w:rPr>
          <w:rFonts w:ascii="Times New Roman" w:hAnsi="Times New Roman" w:cs="Times New Roman"/>
          <w:lang w:val="en-GB"/>
        </w:rPr>
        <w:t>.</w:t>
      </w:r>
    </w:p>
    <w:p w14:paraId="54767644" w14:textId="77777777"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While providing valuable insights, this study has several limitations that should be acknowledged. The cross-sectional design prevents establishment of causal relationships between the examined variables. The lack of detailed dietary and physical activity data limits our ability to fully contextualize the observed metabolic patterns. Furthermore, the modest sample size may have reduced statistical power for some subgroup analyses. Future longitudinal studies incorporating comprehensive lifestyle assessments and larger, population-representative samples would help clarify the temporal relationships between uric acid, lipid abnormalities, and diabetes development in this population.</w:t>
      </w:r>
    </w:p>
    <w:p w14:paraId="5FA3EDA3" w14:textId="4035CFA8" w:rsid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In conclusion, this study contributes to the growing body of evidence suggesting that the metabolic significance of uric acid may vary across populations and gender groups. While uric acid shows associations with both renal and metabolic dysfunction, lipid abnormalities appear to be more strongly linked to diabetes risk in Bangladeshi adults. These findings underscore the need for </w:t>
      </w:r>
      <w:r w:rsidRPr="00BA13A1">
        <w:rPr>
          <w:rFonts w:ascii="Times New Roman" w:hAnsi="Times New Roman" w:cs="Times New Roman"/>
          <w:lang w:val="en-GB"/>
        </w:rPr>
        <w:lastRenderedPageBreak/>
        <w:t>tailored approaches to diabetes prevention and management that account for population-specific risk factor patterns and gender differences in disease manifestation.</w:t>
      </w:r>
    </w:p>
    <w:p w14:paraId="6B6C45EE" w14:textId="33C3BCDD" w:rsidR="005A4769" w:rsidRDefault="005A4769" w:rsidP="00733019">
      <w:pPr>
        <w:spacing w:line="360" w:lineRule="auto"/>
        <w:jc w:val="both"/>
        <w:rPr>
          <w:rFonts w:ascii="Times New Roman" w:hAnsi="Times New Roman" w:cs="Times New Roman"/>
          <w:lang w:val="en-GB"/>
        </w:rPr>
      </w:pPr>
    </w:p>
    <w:p w14:paraId="7731386F" w14:textId="364EE579" w:rsidR="005A4769" w:rsidRDefault="005A4769" w:rsidP="00733019">
      <w:pPr>
        <w:spacing w:line="360" w:lineRule="auto"/>
        <w:jc w:val="both"/>
        <w:rPr>
          <w:rFonts w:ascii="Times New Roman" w:hAnsi="Times New Roman" w:cs="Times New Roman"/>
          <w:lang w:val="en-GB"/>
        </w:rPr>
      </w:pPr>
    </w:p>
    <w:p w14:paraId="4B417056" w14:textId="77777777" w:rsidR="005A4769" w:rsidRPr="008651C5" w:rsidRDefault="005A4769" w:rsidP="005A4769">
      <w:pPr>
        <w:rPr>
          <w:rFonts w:ascii="Calibri" w:eastAsia="Calibri" w:hAnsi="Calibri" w:cs="Times New Roman"/>
        </w:rPr>
      </w:pPr>
      <w:bookmarkStart w:id="0" w:name="_Hlk197682619"/>
      <w:bookmarkStart w:id="1" w:name="_Hlk180402183"/>
      <w:bookmarkStart w:id="2" w:name="_Hlk183680988"/>
      <w:r w:rsidRPr="008651C5">
        <w:rPr>
          <w:rFonts w:ascii="Calibri" w:eastAsia="Calibri" w:hAnsi="Calibri" w:cs="Times New Roman"/>
        </w:rPr>
        <w:t>Disclaimer (Artificial intelligence)</w:t>
      </w:r>
    </w:p>
    <w:p w14:paraId="3A0761A2" w14:textId="77777777" w:rsidR="005A4769" w:rsidRPr="008651C5" w:rsidRDefault="005A4769" w:rsidP="005A4769">
      <w:pPr>
        <w:rPr>
          <w:rFonts w:ascii="Calibri" w:eastAsia="Calibri" w:hAnsi="Calibri" w:cs="Times New Roman"/>
        </w:rPr>
      </w:pPr>
      <w:r w:rsidRPr="008651C5">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BC62335" w14:textId="77777777" w:rsidR="005A4769" w:rsidRPr="00BA13A1" w:rsidRDefault="005A4769" w:rsidP="00733019">
      <w:pPr>
        <w:spacing w:line="360" w:lineRule="auto"/>
        <w:jc w:val="both"/>
        <w:rPr>
          <w:rFonts w:ascii="Times New Roman" w:hAnsi="Times New Roman" w:cs="Times New Roman"/>
          <w:lang w:val="en-GB"/>
        </w:rPr>
      </w:pPr>
    </w:p>
    <w:p w14:paraId="7B3E1F2F" w14:textId="77777777" w:rsidR="00EB6128" w:rsidRDefault="00EB6128" w:rsidP="00BA13A1">
      <w:pPr>
        <w:rPr>
          <w:lang w:val="en-GB"/>
        </w:rPr>
      </w:pPr>
    </w:p>
    <w:p w14:paraId="2EE06560" w14:textId="7CC0605F" w:rsidR="00BA13A1" w:rsidRDefault="00BA13A1" w:rsidP="00BA13A1">
      <w:pPr>
        <w:rPr>
          <w:lang w:val="en-GB"/>
        </w:rPr>
      </w:pPr>
      <w:r w:rsidRPr="00BA13A1">
        <w:rPr>
          <w:lang w:val="en-GB"/>
        </w:rPr>
        <w:t>References:</w:t>
      </w:r>
    </w:p>
    <w:p w14:paraId="79FEB488" w14:textId="527A98A7" w:rsidR="009B2F16" w:rsidRPr="00C35A68" w:rsidRDefault="00FB226A" w:rsidP="00C35A68">
      <w:pPr>
        <w:pStyle w:val="ListParagraph"/>
        <w:numPr>
          <w:ilvl w:val="0"/>
          <w:numId w:val="2"/>
        </w:numPr>
        <w:jc w:val="both"/>
        <w:rPr>
          <w:rFonts w:ascii="Times New Roman" w:hAnsi="Times New Roman" w:cs="Times New Roman"/>
        </w:rPr>
      </w:pPr>
      <w:r w:rsidRPr="00C35A68">
        <w:rPr>
          <w:rFonts w:ascii="Times New Roman" w:hAnsi="Times New Roman" w:cs="Times New Roman"/>
        </w:rPr>
        <w:t>Ali N, Miah R, Hasan M, Barman Z, Mou AD, Hafsa JM, Trisha AD, Hasan A, Islam F. Association between serum uric acid and metabolic syndrome: a cross-sectional study in Bangladeshi adults. Scientific reports. 2020 May 12;10(1):7841.</w:t>
      </w:r>
    </w:p>
    <w:p w14:paraId="60AB366D" w14:textId="4B52137C"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5980DE33" w14:textId="45D249CE"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Ali N, Rahman S, Islam S, Haque T, Molla NH, </w:t>
      </w:r>
      <w:proofErr w:type="spellStart"/>
      <w:r w:rsidRPr="00C35A68">
        <w:rPr>
          <w:rFonts w:ascii="Times New Roman" w:hAnsi="Times New Roman" w:cs="Times New Roman"/>
        </w:rPr>
        <w:t>Sumon</w:t>
      </w:r>
      <w:proofErr w:type="spellEnd"/>
      <w:r w:rsidRPr="00C35A68">
        <w:rPr>
          <w:rFonts w:ascii="Times New Roman" w:hAnsi="Times New Roman" w:cs="Times New Roman"/>
        </w:rPr>
        <w:t xml:space="preserve"> AH, Kathak RR, </w:t>
      </w:r>
      <w:proofErr w:type="spellStart"/>
      <w:r w:rsidRPr="00C35A68">
        <w:rPr>
          <w:rFonts w:ascii="Times New Roman" w:hAnsi="Times New Roman" w:cs="Times New Roman"/>
        </w:rPr>
        <w:t>Asaduzzaman</w:t>
      </w:r>
      <w:proofErr w:type="spellEnd"/>
      <w:r w:rsidRPr="00C35A68">
        <w:rPr>
          <w:rFonts w:ascii="Times New Roman" w:hAnsi="Times New Roman" w:cs="Times New Roman"/>
        </w:rPr>
        <w:t xml:space="preserve"> M, Islam F, </w:t>
      </w:r>
      <w:proofErr w:type="spellStart"/>
      <w:r w:rsidRPr="00C35A68">
        <w:rPr>
          <w:rFonts w:ascii="Times New Roman" w:hAnsi="Times New Roman" w:cs="Times New Roman"/>
        </w:rPr>
        <w:t>Mohanto</w:t>
      </w:r>
      <w:proofErr w:type="spellEnd"/>
      <w:r w:rsidRPr="00C35A68">
        <w:rPr>
          <w:rFonts w:ascii="Times New Roman" w:hAnsi="Times New Roman" w:cs="Times New Roman"/>
        </w:rPr>
        <w:t xml:space="preserve"> NC, </w:t>
      </w:r>
      <w:proofErr w:type="spellStart"/>
      <w:r w:rsidRPr="00C35A68">
        <w:rPr>
          <w:rFonts w:ascii="Times New Roman" w:hAnsi="Times New Roman" w:cs="Times New Roman"/>
        </w:rPr>
        <w:t>Hasnat</w:t>
      </w:r>
      <w:proofErr w:type="spellEnd"/>
      <w:r w:rsidRPr="00C35A68">
        <w:rPr>
          <w:rFonts w:ascii="Times New Roman" w:hAnsi="Times New Roman" w:cs="Times New Roman"/>
        </w:rPr>
        <w:t xml:space="preserve"> MA. The relationship between serum uric acid and lipid profile in Bangladeshi adults. BMC cardiovascular disorders. 2019 Dec;19:1-7.</w:t>
      </w:r>
    </w:p>
    <w:p w14:paraId="36060BEA" w14:textId="61B7BBC4"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61DC1EC5" w14:textId="0422CFC2"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Abdi HI, Mohamed MN, Rahman MA. Impact of Urbanization and Dietary Transitions on Metabolic Syndrome and Insulin Resistance in Bangladesh: A Cross-Sectional Study. Viral Infections and Cancer Research. 2024;1(1):8141.</w:t>
      </w:r>
    </w:p>
    <w:p w14:paraId="046D2AE7" w14:textId="34D2B3F8" w:rsidR="00FB226A" w:rsidRPr="00C35A68" w:rsidRDefault="002C5F5F" w:rsidP="00C35A68">
      <w:pPr>
        <w:pStyle w:val="ListParagraph"/>
        <w:numPr>
          <w:ilvl w:val="0"/>
          <w:numId w:val="2"/>
        </w:numPr>
        <w:jc w:val="both"/>
        <w:rPr>
          <w:rFonts w:ascii="Times New Roman" w:hAnsi="Times New Roman" w:cs="Times New Roman"/>
          <w:lang w:val="en-GB"/>
        </w:rPr>
      </w:pPr>
      <w:proofErr w:type="spellStart"/>
      <w:r w:rsidRPr="002C5F5F">
        <w:rPr>
          <w:rFonts w:ascii="Times New Roman" w:hAnsi="Times New Roman" w:cs="Times New Roman"/>
        </w:rPr>
        <w:t>Shamrin.T</w:t>
      </w:r>
      <w:proofErr w:type="spellEnd"/>
      <w:r w:rsidRPr="002C5F5F">
        <w:rPr>
          <w:rFonts w:ascii="Times New Roman" w:hAnsi="Times New Roman" w:cs="Times New Roman"/>
        </w:rPr>
        <w:t xml:space="preserve">, Mohamed M. N, </w:t>
      </w:r>
      <w:proofErr w:type="spellStart"/>
      <w:r w:rsidRPr="002C5F5F">
        <w:rPr>
          <w:rFonts w:ascii="Times New Roman" w:hAnsi="Times New Roman" w:cs="Times New Roman"/>
        </w:rPr>
        <w:t>Siddik</w:t>
      </w:r>
      <w:proofErr w:type="spellEnd"/>
      <w:r w:rsidRPr="002C5F5F">
        <w:rPr>
          <w:rFonts w:ascii="Times New Roman" w:hAnsi="Times New Roman" w:cs="Times New Roman"/>
        </w:rPr>
        <w:t xml:space="preserve"> A.B. Serum Gamma-Glutamyl Transferase as a Predictive Biomarker for Metabolic Syndrome and </w:t>
      </w:r>
      <w:proofErr w:type="spellStart"/>
      <w:r w:rsidRPr="002C5F5F">
        <w:rPr>
          <w:rFonts w:ascii="Times New Roman" w:hAnsi="Times New Roman" w:cs="Times New Roman"/>
        </w:rPr>
        <w:t>InsulinResistance</w:t>
      </w:r>
      <w:proofErr w:type="spellEnd"/>
      <w:r w:rsidRPr="002C5F5F">
        <w:rPr>
          <w:rFonts w:ascii="Times New Roman" w:hAnsi="Times New Roman" w:cs="Times New Roman"/>
        </w:rPr>
        <w:t>: Implications for Early Risk Assessment and Preventive Healthcare. Molecular Mechanism Research 2024; 2(1): 6959</w:t>
      </w:r>
      <w:r w:rsidR="00FB226A" w:rsidRPr="00C35A68">
        <w:rPr>
          <w:rFonts w:ascii="Times New Roman" w:hAnsi="Times New Roman" w:cs="Times New Roman"/>
        </w:rPr>
        <w:t>.</w:t>
      </w:r>
    </w:p>
    <w:p w14:paraId="26BDE6EF" w14:textId="4FFD93F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Banjar G, Abdulrahim H, </w:t>
      </w:r>
      <w:proofErr w:type="spellStart"/>
      <w:r w:rsidRPr="00C35A68">
        <w:rPr>
          <w:rFonts w:ascii="Times New Roman" w:hAnsi="Times New Roman" w:cs="Times New Roman"/>
        </w:rPr>
        <w:t>Alomari</w:t>
      </w:r>
      <w:proofErr w:type="spellEnd"/>
      <w:r w:rsidRPr="00C35A68">
        <w:rPr>
          <w:rFonts w:ascii="Times New Roman" w:hAnsi="Times New Roman" w:cs="Times New Roman"/>
        </w:rPr>
        <w:t xml:space="preserve"> J, </w:t>
      </w:r>
      <w:proofErr w:type="spellStart"/>
      <w:r w:rsidRPr="00C35A68">
        <w:rPr>
          <w:rFonts w:ascii="Times New Roman" w:hAnsi="Times New Roman" w:cs="Times New Roman"/>
        </w:rPr>
        <w:t>Aldeijy</w:t>
      </w:r>
      <w:proofErr w:type="spellEnd"/>
      <w:r w:rsidRPr="00C35A68">
        <w:rPr>
          <w:rFonts w:ascii="Times New Roman" w:hAnsi="Times New Roman" w:cs="Times New Roman"/>
        </w:rPr>
        <w:t xml:space="preserve"> R, </w:t>
      </w:r>
      <w:proofErr w:type="spellStart"/>
      <w:r w:rsidRPr="00C35A68">
        <w:rPr>
          <w:rFonts w:ascii="Times New Roman" w:hAnsi="Times New Roman" w:cs="Times New Roman"/>
        </w:rPr>
        <w:t>Almalki</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Alrabghi</w:t>
      </w:r>
      <w:proofErr w:type="spellEnd"/>
      <w:r w:rsidRPr="00C35A68">
        <w:rPr>
          <w:rFonts w:ascii="Times New Roman" w:hAnsi="Times New Roman" w:cs="Times New Roman"/>
        </w:rPr>
        <w:t xml:space="preserve"> S, </w:t>
      </w:r>
      <w:proofErr w:type="spellStart"/>
      <w:r w:rsidRPr="00C35A68">
        <w:rPr>
          <w:rFonts w:ascii="Times New Roman" w:hAnsi="Times New Roman" w:cs="Times New Roman"/>
        </w:rPr>
        <w:t>AlMuhanna</w:t>
      </w:r>
      <w:proofErr w:type="spellEnd"/>
      <w:r w:rsidRPr="00C35A68">
        <w:rPr>
          <w:rFonts w:ascii="Times New Roman" w:hAnsi="Times New Roman" w:cs="Times New Roman"/>
        </w:rPr>
        <w:t xml:space="preserve"> R, ALAMA A, </w:t>
      </w:r>
      <w:proofErr w:type="spellStart"/>
      <w:r w:rsidRPr="00C35A68">
        <w:rPr>
          <w:rFonts w:ascii="Times New Roman" w:hAnsi="Times New Roman" w:cs="Times New Roman"/>
        </w:rPr>
        <w:t>Albalawi</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Almazrui</w:t>
      </w:r>
      <w:proofErr w:type="spellEnd"/>
      <w:r w:rsidRPr="00C35A68">
        <w:rPr>
          <w:rFonts w:ascii="Times New Roman" w:hAnsi="Times New Roman" w:cs="Times New Roman"/>
        </w:rPr>
        <w:t xml:space="preserve"> O. Relation between serum uric acid and diabetes type II. International Journal Of Community Medicine And Public Health. 2018 Sep;5(9):3720.</w:t>
      </w:r>
    </w:p>
    <w:p w14:paraId="42E960C2" w14:textId="35333FAD"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lastRenderedPageBreak/>
        <w:t>Abdiaziz</w:t>
      </w:r>
      <w:proofErr w:type="spellEnd"/>
      <w:r w:rsidRPr="00C35A68">
        <w:rPr>
          <w:rFonts w:ascii="Times New Roman" w:hAnsi="Times New Roman" w:cs="Times New Roman"/>
        </w:rPr>
        <w:t xml:space="preserve"> AA, Hossain MB, Mahbub A, Islam S, </w:t>
      </w:r>
      <w:proofErr w:type="spellStart"/>
      <w:r w:rsidRPr="00C35A68">
        <w:rPr>
          <w:rFonts w:ascii="Times New Roman" w:hAnsi="Times New Roman" w:cs="Times New Roman"/>
        </w:rPr>
        <w:t>Rahaman</w:t>
      </w:r>
      <w:proofErr w:type="spellEnd"/>
      <w:r w:rsidRPr="00C35A68">
        <w:rPr>
          <w:rFonts w:ascii="Times New Roman" w:hAnsi="Times New Roman" w:cs="Times New Roman"/>
        </w:rPr>
        <w:t xml:space="preserve"> S, Rahman MA. Prevalence of Abnormal Lipid Profile Among Obese People in </w:t>
      </w:r>
      <w:proofErr w:type="spellStart"/>
      <w:r w:rsidRPr="00C35A68">
        <w:rPr>
          <w:rFonts w:ascii="Times New Roman" w:hAnsi="Times New Roman" w:cs="Times New Roman"/>
        </w:rPr>
        <w:t>Mogadisho</w:t>
      </w:r>
      <w:proofErr w:type="spellEnd"/>
      <w:r w:rsidRPr="00C35A68">
        <w:rPr>
          <w:rFonts w:ascii="Times New Roman" w:hAnsi="Times New Roman" w:cs="Times New Roman"/>
        </w:rPr>
        <w:t>, Somalia. Asian Journal of Medicine and Health. 2024 Jun 26;22(7):194-203.</w:t>
      </w:r>
    </w:p>
    <w:p w14:paraId="0809BB47" w14:textId="1EDC85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Thakur P, Kumar A, Patra PK, Kumar A. A demographic study on relation between uric acid and diabetes parameters in the Chhattisgarh State of India. Advances in Human Biology. 2017 Sep 1;7(3):124-9.</w:t>
      </w:r>
    </w:p>
    <w:p w14:paraId="46E9CD93" w14:textId="26C2537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Bashir S, Rana S, </w:t>
      </w:r>
      <w:proofErr w:type="spellStart"/>
      <w:r w:rsidRPr="00C35A68">
        <w:rPr>
          <w:rFonts w:ascii="Times New Roman" w:hAnsi="Times New Roman" w:cs="Times New Roman"/>
        </w:rPr>
        <w:t>Shib</w:t>
      </w:r>
      <w:proofErr w:type="spellEnd"/>
      <w:r w:rsidRPr="00C35A68">
        <w:rPr>
          <w:rFonts w:ascii="Times New Roman" w:hAnsi="Times New Roman" w:cs="Times New Roman"/>
        </w:rPr>
        <w:t xml:space="preserve"> S. Das., </w:t>
      </w:r>
      <w:proofErr w:type="spellStart"/>
      <w:r w:rsidRPr="00C35A68">
        <w:rPr>
          <w:rFonts w:ascii="Times New Roman" w:hAnsi="Times New Roman" w:cs="Times New Roman"/>
        </w:rPr>
        <w:t>Najnatul</w:t>
      </w:r>
      <w:proofErr w:type="spellEnd"/>
      <w:r w:rsidRPr="00C35A68">
        <w:rPr>
          <w:rFonts w:ascii="Times New Roman" w:hAnsi="Times New Roman" w:cs="Times New Roman"/>
        </w:rPr>
        <w:t xml:space="preserve"> F </w:t>
      </w:r>
      <w:proofErr w:type="spellStart"/>
      <w:r w:rsidRPr="00C35A68">
        <w:rPr>
          <w:rFonts w:ascii="Times New Roman" w:hAnsi="Times New Roman" w:cs="Times New Roman"/>
        </w:rPr>
        <w:t>Sikder</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Hossian</w:t>
      </w:r>
      <w:proofErr w:type="spellEnd"/>
      <w:r w:rsidRPr="00C35A68">
        <w:rPr>
          <w:rFonts w:ascii="Times New Roman" w:hAnsi="Times New Roman" w:cs="Times New Roman"/>
        </w:rPr>
        <w:t xml:space="preserve"> S., et al,(2024), Risk factors of Cardio Vascular Disease among Diabetic Patients. Journal of Clinical and Laboratory Research.;7(8):2768-0487.</w:t>
      </w:r>
    </w:p>
    <w:p w14:paraId="28C48B98" w14:textId="7E8162E1"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43F42002" w14:textId="640ED9C0"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Rana MS, Uddin N, Bashir MS, Das SS, Islam MS, </w:t>
      </w:r>
      <w:proofErr w:type="spellStart"/>
      <w:r w:rsidRPr="00C35A68">
        <w:rPr>
          <w:rFonts w:ascii="Times New Roman" w:hAnsi="Times New Roman" w:cs="Times New Roman"/>
        </w:rPr>
        <w:t>Sikder</w:t>
      </w:r>
      <w:proofErr w:type="spellEnd"/>
      <w:r w:rsidRPr="00C35A68">
        <w:rPr>
          <w:rFonts w:ascii="Times New Roman" w:hAnsi="Times New Roman" w:cs="Times New Roman"/>
        </w:rPr>
        <w:t xml:space="preserve"> NF. Effect of </w:t>
      </w:r>
      <w:proofErr w:type="spellStart"/>
      <w:r w:rsidRPr="00C35A68">
        <w:rPr>
          <w:rFonts w:ascii="Times New Roman" w:hAnsi="Times New Roman" w:cs="Times New Roman"/>
        </w:rPr>
        <w:t>Stereospermum</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personatum</w:t>
      </w:r>
      <w:proofErr w:type="spellEnd"/>
      <w:r w:rsidRPr="00C35A68">
        <w:rPr>
          <w:rFonts w:ascii="Times New Roman" w:hAnsi="Times New Roman" w:cs="Times New Roman"/>
        </w:rPr>
        <w:t xml:space="preserve">, Senna </w:t>
      </w:r>
      <w:proofErr w:type="spellStart"/>
      <w:r w:rsidRPr="00C35A68">
        <w:rPr>
          <w:rFonts w:ascii="Times New Roman" w:hAnsi="Times New Roman" w:cs="Times New Roman"/>
        </w:rPr>
        <w:t>obtusifolia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Amomumsubulatum</w:t>
      </w:r>
      <w:proofErr w:type="spellEnd"/>
      <w:r w:rsidRPr="00C35A68">
        <w:rPr>
          <w:rFonts w:ascii="Times New Roman" w:hAnsi="Times New Roman" w:cs="Times New Roman"/>
        </w:rPr>
        <w:t xml:space="preserve"> extract in Hypoglycemia on Swiss Albino mice model. Pathfinder of Research. 2023 Apr 28;1(1).</w:t>
      </w:r>
    </w:p>
    <w:p w14:paraId="73423C1C" w14:textId="6AD6B0A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Cheng D, Hu C, Du R, Qi H, Lin L, Wu X, Ma L, Peng K, Li M, Xu M, Xu Y. Serum uric acid and risk of incident diabetes in middle-aged and elderly Chinese adults: prospective cohort study. Frontiers of medicine. 2020 Dec;14:802-10.</w:t>
      </w:r>
    </w:p>
    <w:p w14:paraId="4F3F2D1B" w14:textId="68828C03"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Sayem</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Isam</w:t>
      </w:r>
      <w:proofErr w:type="spellEnd"/>
      <w:r w:rsidRPr="00C35A68">
        <w:rPr>
          <w:rFonts w:ascii="Times New Roman" w:hAnsi="Times New Roman" w:cs="Times New Roman"/>
        </w:rPr>
        <w:t xml:space="preserve"> H, </w:t>
      </w:r>
      <w:proofErr w:type="spellStart"/>
      <w:r w:rsidRPr="00C35A68">
        <w:rPr>
          <w:rFonts w:ascii="Times New Roman" w:hAnsi="Times New Roman" w:cs="Times New Roman"/>
        </w:rPr>
        <w:t>Shil</w:t>
      </w:r>
      <w:proofErr w:type="spellEnd"/>
      <w:r w:rsidRPr="00C35A68">
        <w:rPr>
          <w:rFonts w:ascii="Times New Roman" w:hAnsi="Times New Roman" w:cs="Times New Roman"/>
        </w:rPr>
        <w:t xml:space="preserve"> RC, Uddin KM, </w:t>
      </w:r>
      <w:proofErr w:type="spellStart"/>
      <w:r w:rsidRPr="00C35A68">
        <w:rPr>
          <w:rFonts w:ascii="Times New Roman" w:hAnsi="Times New Roman" w:cs="Times New Roman"/>
        </w:rPr>
        <w:t>Hossen</w:t>
      </w:r>
      <w:proofErr w:type="spellEnd"/>
      <w:r w:rsidRPr="00C35A68">
        <w:rPr>
          <w:rFonts w:ascii="Times New Roman" w:hAnsi="Times New Roman" w:cs="Times New Roman"/>
        </w:rPr>
        <w:t xml:space="preserve"> A, Rahman R, Hasan M, Akter T, Sultana A, Islam S. Phytochemicals from anti-diabetic medicinal plants: A comprehensive review of glycemic control mechanisms.</w:t>
      </w:r>
    </w:p>
    <w:p w14:paraId="0353E6F7" w14:textId="1173DF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Wang T, Bi Y, Xu M, Huang Y, Xu Y, Li X, Wang W, Ning G. Serum uric acid associates with the incidence of type 2 diabetes in a prospective cohort of middle-aged and elderly Chinese. Endocrine. 2011 Aug;40:109-16.</w:t>
      </w:r>
    </w:p>
    <w:p w14:paraId="34FE72B1" w14:textId="79B8701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Wang C, Wang J, Wan R, Yuan T, Yang L, Zhang D, Li X, Wang M, Liu H, Lei Y, Wei H. Relationship between baseline and changed serum uric acid and the incidence of type 2 diabetes mellitus: A national cohort study. Frontiers in public health. 2023 Jul 6;11:1170792.</w:t>
      </w:r>
    </w:p>
    <w:p w14:paraId="3F219169" w14:textId="135B6A01"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Samiul</w:t>
      </w:r>
      <w:proofErr w:type="spellEnd"/>
      <w:r w:rsidRPr="00C35A68">
        <w:rPr>
          <w:rFonts w:ascii="Times New Roman" w:hAnsi="Times New Roman" w:cs="Times New Roman"/>
        </w:rPr>
        <w:t xml:space="preserve"> M, </w:t>
      </w:r>
      <w:proofErr w:type="spellStart"/>
      <w:r w:rsidRPr="00C35A68">
        <w:rPr>
          <w:rFonts w:ascii="Times New Roman" w:hAnsi="Times New Roman" w:cs="Times New Roman"/>
        </w:rPr>
        <w:t>Mohi</w:t>
      </w:r>
      <w:proofErr w:type="spellEnd"/>
      <w:r w:rsidRPr="00C35A68">
        <w:rPr>
          <w:rFonts w:ascii="Times New Roman" w:hAnsi="Times New Roman" w:cs="Times New Roman"/>
        </w:rPr>
        <w:t xml:space="preserve"> MK, Akter F, </w:t>
      </w:r>
      <w:proofErr w:type="spellStart"/>
      <w:r w:rsidRPr="00C35A68">
        <w:rPr>
          <w:rFonts w:ascii="Times New Roman" w:hAnsi="Times New Roman" w:cs="Times New Roman"/>
        </w:rPr>
        <w:t>Sohel</w:t>
      </w:r>
      <w:proofErr w:type="spellEnd"/>
      <w:r w:rsidRPr="00C35A68">
        <w:rPr>
          <w:rFonts w:ascii="Times New Roman" w:hAnsi="Times New Roman" w:cs="Times New Roman"/>
        </w:rPr>
        <w:t xml:space="preserve"> M, Shankar S. Association Between Hepatocellular Carcinoma and Diabetes Mellitus. Journal of </w:t>
      </w:r>
      <w:proofErr w:type="spellStart"/>
      <w:r w:rsidRPr="00C35A68">
        <w:rPr>
          <w:rFonts w:ascii="Times New Roman" w:hAnsi="Times New Roman" w:cs="Times New Roman"/>
        </w:rPr>
        <w:t>Primeasia</w:t>
      </w:r>
      <w:proofErr w:type="spellEnd"/>
      <w:r w:rsidRPr="00C35A68">
        <w:rPr>
          <w:rFonts w:ascii="Times New Roman" w:hAnsi="Times New Roman" w:cs="Times New Roman"/>
        </w:rPr>
        <w:t>. 2025 Mar 15;6(1):1-7.</w:t>
      </w:r>
    </w:p>
    <w:p w14:paraId="7D1DAC37" w14:textId="77777777"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Chanda M, Biswas T, Roy MN, </w:t>
      </w:r>
      <w:proofErr w:type="spellStart"/>
      <w:r w:rsidRPr="00C35A68">
        <w:rPr>
          <w:rFonts w:ascii="Times New Roman" w:hAnsi="Times New Roman" w:cs="Times New Roman"/>
        </w:rPr>
        <w:t>Sampa</w:t>
      </w:r>
      <w:proofErr w:type="spellEnd"/>
      <w:r w:rsidRPr="00C35A68">
        <w:rPr>
          <w:rFonts w:ascii="Times New Roman" w:hAnsi="Times New Roman" w:cs="Times New Roman"/>
        </w:rPr>
        <w:t xml:space="preserve"> SR, Saha P, Sharna RJ, Islam S, Mahbub A, Rahman MA. Association of Liver Enzymes and Lipid Profile in Adults at Tertiary Level </w:t>
      </w:r>
      <w:proofErr w:type="spellStart"/>
      <w:r w:rsidRPr="00C35A68">
        <w:rPr>
          <w:rFonts w:ascii="Times New Roman" w:hAnsi="Times New Roman" w:cs="Times New Roman"/>
        </w:rPr>
        <w:t>Hospitalin</w:t>
      </w:r>
      <w:proofErr w:type="spellEnd"/>
      <w:r w:rsidRPr="00C35A68">
        <w:rPr>
          <w:rFonts w:ascii="Times New Roman" w:hAnsi="Times New Roman" w:cs="Times New Roman"/>
        </w:rPr>
        <w:t xml:space="preserve"> Bangladesh. J Natl Inst Lab Med Ref Bangladesh. 2021 Jun;1(1):17-24.</w:t>
      </w:r>
    </w:p>
    <w:p w14:paraId="4C6E30A3" w14:textId="2A8C1BC5"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1B27F450" w14:textId="616A02A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Mukhopadhyay P, Ghosh S, Pandit K, Chatterjee P, Majhi B, Chowdhury S. Uric acid and its correlation with various metabolic parameters: a population-based study. Indian Journal of Endocrinology and Metabolism. 2019 Jan 1;23(1):134-9.</w:t>
      </w:r>
    </w:p>
    <w:p w14:paraId="35FE92FE" w14:textId="02E6F67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lastRenderedPageBreak/>
        <w:t xml:space="preserve">Singh SK, Singh R, Singh SK, </w:t>
      </w:r>
      <w:proofErr w:type="spellStart"/>
      <w:r w:rsidRPr="00C35A68">
        <w:rPr>
          <w:rFonts w:ascii="Times New Roman" w:hAnsi="Times New Roman" w:cs="Times New Roman"/>
        </w:rPr>
        <w:t>Iquebal</w:t>
      </w:r>
      <w:proofErr w:type="spellEnd"/>
      <w:r w:rsidRPr="00C35A68">
        <w:rPr>
          <w:rFonts w:ascii="Times New Roman" w:hAnsi="Times New Roman" w:cs="Times New Roman"/>
        </w:rPr>
        <w:t xml:space="preserve"> MA, Jaiswal S, Singh A. Prevalence of hyperuricemia and the relationship between serum uric acid and hypertension in new onset diabetic patients: a cross-sectional Indian study. Diabetes, metabolic syndrome and obesity: targets and therapy. 2022 Jan 1:1809-17.</w:t>
      </w:r>
    </w:p>
    <w:p w14:paraId="7664B35C" w14:textId="282BDE5E"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Chanda M, Biswas T, </w:t>
      </w:r>
      <w:proofErr w:type="spellStart"/>
      <w:r w:rsidRPr="00C35A68">
        <w:rPr>
          <w:rFonts w:ascii="Times New Roman" w:hAnsi="Times New Roman" w:cs="Times New Roman"/>
        </w:rPr>
        <w:t>Amiruzzaman</w:t>
      </w:r>
      <w:proofErr w:type="spellEnd"/>
      <w:r w:rsidRPr="00C35A68">
        <w:rPr>
          <w:rFonts w:ascii="Times New Roman" w:hAnsi="Times New Roman" w:cs="Times New Roman"/>
        </w:rPr>
        <w:t xml:space="preserve"> M, Begum H, Tabassum F, Munmun ST, Rahman A, Akram A. Association of Serum Uric Acid and Liver Enzymes in Adults at Tertiary Level Hospital in Bangladesh. Bangladesh Medical Journal. 2022;51(3):18-27.</w:t>
      </w:r>
    </w:p>
    <w:p w14:paraId="5B78A9C3" w14:textId="532066D2"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Jia Z, Zhang X, Kang S, Wu Y. Serum uric acid levels and incidence of impaired fasting glucose and type 2 diabetes mellitus: a meta-analysis of cohort studies. Diabetes research and clinical practice. 2013 Jul 1;101(1):88-96.</w:t>
      </w:r>
    </w:p>
    <w:p w14:paraId="3CB012A0" w14:textId="51C6F6E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Lee JW, Cho YK, Ryan MC, Kim H, Lee SW, Chang E, Joo KJ, Kim JT, Kim BS, Sung KC. Serum uric Acid as a predictor for the development of nonalcoholic Fatty liver disease in apparently healthy subjects: a 5-year retrospective cohort study. Gut and liver. 2010 Sep 24;4(3):378.</w:t>
      </w:r>
    </w:p>
    <w:p w14:paraId="1041DA85" w14:textId="270317A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Islam S, </w:t>
      </w:r>
      <w:proofErr w:type="spellStart"/>
      <w:r w:rsidRPr="00C35A68">
        <w:rPr>
          <w:rFonts w:ascii="Times New Roman" w:hAnsi="Times New Roman" w:cs="Times New Roman"/>
        </w:rPr>
        <w:t>Hossen</w:t>
      </w:r>
      <w:proofErr w:type="spellEnd"/>
      <w:r w:rsidRPr="00C35A68">
        <w:rPr>
          <w:rFonts w:ascii="Times New Roman" w:hAnsi="Times New Roman" w:cs="Times New Roman"/>
        </w:rPr>
        <w:t xml:space="preserve"> MA, Rahman MA, </w:t>
      </w:r>
      <w:proofErr w:type="spellStart"/>
      <w:r w:rsidRPr="00C35A68">
        <w:rPr>
          <w:rFonts w:ascii="Times New Roman" w:hAnsi="Times New Roman" w:cs="Times New Roman"/>
        </w:rPr>
        <w:t>Lubaba</w:t>
      </w:r>
      <w:proofErr w:type="spellEnd"/>
      <w:r w:rsidRPr="00C35A68">
        <w:rPr>
          <w:rFonts w:ascii="Times New Roman" w:hAnsi="Times New Roman" w:cs="Times New Roman"/>
        </w:rPr>
        <w:t xml:space="preserve"> MI, Akram A. Serum uric acid level among type-2 diabetes subjects attending in a tertiary hospital of Bangladesh. World Journal of Biology Pharmacy and Health Sciences. 2022;12(1):081-5.</w:t>
      </w:r>
    </w:p>
    <w:p w14:paraId="32EB04A3" w14:textId="2E3D392C" w:rsidR="00FB226A"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Liu Z, Que S, Zhou L, Zheng S. Dose-response relationship of serum uric acid with metabolic syndrome and non-alcoholic fatty liver disease incidence: a meta-analysis of prospective studies. Scientific Reports. 2015 Sep 23;5(1):14325.</w:t>
      </w:r>
    </w:p>
    <w:p w14:paraId="445D025E" w14:textId="40C8FD6F"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Zhou Y, Wei F, Fan Y. High serum uric acid and risk of nonalcoholic fatty liver disease: A systematic review and meta-analysis. Clinical biochemistry. 2016 May 1;49(7-8):636-42.</w:t>
      </w:r>
    </w:p>
    <w:p w14:paraId="619DF3FE" w14:textId="7777777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Sun Q, Zhang T, Manji L, Liu Y, Chang Q, Zhao Y, Ding Y, Xia Y. Association between serum uric acid and non-alcoholic fatty liver disease: an updated systematic review and meta-analysis. Clinical Epidemiology. 2023 Dec 31:683-93.</w:t>
      </w:r>
    </w:p>
    <w:p w14:paraId="1F2883E3" w14:textId="6A6A100D"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Rahman MA, Islam S, </w:t>
      </w:r>
      <w:proofErr w:type="spellStart"/>
      <w:r w:rsidRPr="00C35A68">
        <w:rPr>
          <w:rFonts w:ascii="Times New Roman" w:hAnsi="Times New Roman" w:cs="Times New Roman"/>
        </w:rPr>
        <w:t>Lubaba</w:t>
      </w:r>
      <w:proofErr w:type="spellEnd"/>
      <w:r w:rsidRPr="00C35A68">
        <w:rPr>
          <w:rFonts w:ascii="Times New Roman" w:hAnsi="Times New Roman" w:cs="Times New Roman"/>
        </w:rPr>
        <w:t xml:space="preserve"> MS, Akram A. Study of Uric acid and Serum Creatinine in Diabetic and Non-Diabetic patients in a tertiary hospital. Dhaka. Int. j. adv. multidisc. res. stud. 2022;2(6):226-8.</w:t>
      </w:r>
    </w:p>
    <w:p w14:paraId="4DC7C5C5" w14:textId="6DE256CA" w:rsidR="009B2F16"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Xu C, Yu C, Xu L, Miao M, Li Y. High serum uric acid increases the risk for nonalcoholic fatty liver disease: a prospective observational study. </w:t>
      </w:r>
      <w:proofErr w:type="spellStart"/>
      <w:r w:rsidRPr="00C35A68">
        <w:rPr>
          <w:rFonts w:ascii="Times New Roman" w:hAnsi="Times New Roman" w:cs="Times New Roman"/>
        </w:rPr>
        <w:t>PloS</w:t>
      </w:r>
      <w:proofErr w:type="spellEnd"/>
      <w:r w:rsidRPr="00C35A68">
        <w:rPr>
          <w:rFonts w:ascii="Times New Roman" w:hAnsi="Times New Roman" w:cs="Times New Roman"/>
        </w:rPr>
        <w:t xml:space="preserve"> one. 2010 Jul 14;5(7):e11578.</w:t>
      </w:r>
      <w:r w:rsidR="009B2F16" w:rsidRPr="00C35A68">
        <w:rPr>
          <w:rFonts w:ascii="Times New Roman" w:hAnsi="Times New Roman" w:cs="Times New Roman"/>
          <w:lang w:val="en-GB"/>
        </w:rPr>
        <w:t xml:space="preserve">5. </w:t>
      </w:r>
    </w:p>
    <w:p w14:paraId="773863E1" w14:textId="08B21411" w:rsidR="002461AC" w:rsidRPr="00C35A68" w:rsidRDefault="002461AC"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Alqahtani</w:t>
      </w:r>
      <w:proofErr w:type="spellEnd"/>
      <w:r w:rsidRPr="00C35A68">
        <w:rPr>
          <w:rFonts w:ascii="Times New Roman" w:hAnsi="Times New Roman" w:cs="Times New Roman"/>
        </w:rPr>
        <w:t xml:space="preserve"> SA. Prevalence and characteristics of thyroid abnormalities and its association with anemia in ASIR region of Saudi Arabia: a cross-sectional study. Clinics and practice. 2021 Aug 6;11(3):494-504.</w:t>
      </w:r>
    </w:p>
    <w:p w14:paraId="0A362011" w14:textId="56097D56" w:rsidR="002461AC" w:rsidRPr="00C35A68" w:rsidRDefault="002461AC"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Bener</w:t>
      </w:r>
      <w:proofErr w:type="spellEnd"/>
      <w:r w:rsidRPr="00C35A68">
        <w:rPr>
          <w:rFonts w:ascii="Times New Roman" w:hAnsi="Times New Roman" w:cs="Times New Roman"/>
        </w:rPr>
        <w:t xml:space="preserve"> A, Al-</w:t>
      </w:r>
      <w:proofErr w:type="spellStart"/>
      <w:r w:rsidRPr="00C35A68">
        <w:rPr>
          <w:rFonts w:ascii="Times New Roman" w:hAnsi="Times New Roman" w:cs="Times New Roman"/>
        </w:rPr>
        <w:t>Hamaq</w:t>
      </w:r>
      <w:proofErr w:type="spellEnd"/>
      <w:r w:rsidRPr="00C35A68">
        <w:rPr>
          <w:rFonts w:ascii="Times New Roman" w:hAnsi="Times New Roman" w:cs="Times New Roman"/>
        </w:rPr>
        <w:t xml:space="preserve"> AO, </w:t>
      </w:r>
      <w:proofErr w:type="spellStart"/>
      <w:r w:rsidRPr="00C35A68">
        <w:rPr>
          <w:rFonts w:ascii="Times New Roman" w:hAnsi="Times New Roman" w:cs="Times New Roman"/>
        </w:rPr>
        <w:t>Öztürk</w:t>
      </w:r>
      <w:proofErr w:type="spellEnd"/>
      <w:r w:rsidRPr="00C35A68">
        <w:rPr>
          <w:rFonts w:ascii="Times New Roman" w:hAnsi="Times New Roman" w:cs="Times New Roman"/>
        </w:rPr>
        <w:t xml:space="preserve"> M, Tewfik I. Vitamin D and elevated serum uric acid as novel predictors and prognostic markers for type 2 diabetes mellitus. Journal of Pharmacy And </w:t>
      </w:r>
      <w:proofErr w:type="spellStart"/>
      <w:r w:rsidRPr="00C35A68">
        <w:rPr>
          <w:rFonts w:ascii="Times New Roman" w:hAnsi="Times New Roman" w:cs="Times New Roman"/>
        </w:rPr>
        <w:t>Bioallied</w:t>
      </w:r>
      <w:proofErr w:type="spellEnd"/>
      <w:r w:rsidRPr="00C35A68">
        <w:rPr>
          <w:rFonts w:ascii="Times New Roman" w:hAnsi="Times New Roman" w:cs="Times New Roman"/>
        </w:rPr>
        <w:t xml:space="preserve"> Sciences. 2019 Apr 1;11(2):127-32.</w:t>
      </w:r>
    </w:p>
    <w:p w14:paraId="477B1BB8" w14:textId="67861532" w:rsidR="002461AC" w:rsidRPr="00C35A68" w:rsidRDefault="00C35A68"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Darmawan</w:t>
      </w:r>
      <w:proofErr w:type="spellEnd"/>
      <w:r w:rsidRPr="00C35A68">
        <w:rPr>
          <w:rFonts w:ascii="Times New Roman" w:hAnsi="Times New Roman" w:cs="Times New Roman"/>
        </w:rPr>
        <w:t xml:space="preserve"> G, </w:t>
      </w:r>
      <w:proofErr w:type="spellStart"/>
      <w:r w:rsidRPr="00C35A68">
        <w:rPr>
          <w:rFonts w:ascii="Times New Roman" w:hAnsi="Times New Roman" w:cs="Times New Roman"/>
        </w:rPr>
        <w:t>Hamijoyo</w:t>
      </w:r>
      <w:proofErr w:type="spellEnd"/>
      <w:r w:rsidRPr="00C35A68">
        <w:rPr>
          <w:rFonts w:ascii="Times New Roman" w:hAnsi="Times New Roman" w:cs="Times New Roman"/>
        </w:rPr>
        <w:t xml:space="preserve"> L, Hasan I. Association between serum uric acid and non-alcoholic fatty liver disease: a meta-analysis. Acta Medica </w:t>
      </w:r>
      <w:proofErr w:type="spellStart"/>
      <w:r w:rsidRPr="00C35A68">
        <w:rPr>
          <w:rFonts w:ascii="Times New Roman" w:hAnsi="Times New Roman" w:cs="Times New Roman"/>
        </w:rPr>
        <w:t>Indonesiana</w:t>
      </w:r>
      <w:proofErr w:type="spellEnd"/>
      <w:r w:rsidRPr="00C35A68">
        <w:rPr>
          <w:rFonts w:ascii="Times New Roman" w:hAnsi="Times New Roman" w:cs="Times New Roman"/>
        </w:rPr>
        <w:t>. 2017 Aug 8;49(2):136-.</w:t>
      </w:r>
    </w:p>
    <w:p w14:paraId="7C6E5AAE" w14:textId="5795A6FB" w:rsidR="008651C5" w:rsidRPr="00AB07CC" w:rsidRDefault="00C35A68" w:rsidP="00AB07CC">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lastRenderedPageBreak/>
        <w:t xml:space="preserve">Rahman MA, Islam S, </w:t>
      </w:r>
      <w:proofErr w:type="spellStart"/>
      <w:r w:rsidRPr="00C35A68">
        <w:rPr>
          <w:rFonts w:ascii="Times New Roman" w:hAnsi="Times New Roman" w:cs="Times New Roman"/>
        </w:rPr>
        <w:t>Rahaman</w:t>
      </w:r>
      <w:proofErr w:type="spellEnd"/>
      <w:r w:rsidRPr="00C35A68">
        <w:rPr>
          <w:rFonts w:ascii="Times New Roman" w:hAnsi="Times New Roman" w:cs="Times New Roman"/>
        </w:rPr>
        <w:t xml:space="preserve"> S, Emran MR. Assessment the Levels of Serum Ferritin and Some Biochemical Parameters in Type 2 Diabetic Subjects Attending A Tertiary Hospital in Bangladesh.</w:t>
      </w:r>
    </w:p>
    <w:p w14:paraId="4CDBCF59" w14:textId="3989F44F" w:rsidR="00C35A68" w:rsidRPr="00C35A68" w:rsidRDefault="00C35A68"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Shimodaira</w:t>
      </w:r>
      <w:proofErr w:type="spellEnd"/>
      <w:r w:rsidRPr="00C35A68">
        <w:rPr>
          <w:rFonts w:ascii="Times New Roman" w:hAnsi="Times New Roman" w:cs="Times New Roman"/>
        </w:rPr>
        <w:t xml:space="preserve"> M, </w:t>
      </w:r>
      <w:proofErr w:type="spellStart"/>
      <w:r w:rsidRPr="00C35A68">
        <w:rPr>
          <w:rFonts w:ascii="Times New Roman" w:hAnsi="Times New Roman" w:cs="Times New Roman"/>
        </w:rPr>
        <w:t>Minemura</w:t>
      </w:r>
      <w:proofErr w:type="spellEnd"/>
      <w:r w:rsidRPr="00C35A68">
        <w:rPr>
          <w:rFonts w:ascii="Times New Roman" w:hAnsi="Times New Roman" w:cs="Times New Roman"/>
        </w:rPr>
        <w:t xml:space="preserve"> Y, Nakayama T. Elevated serum uric acid is a risk factor for progression to prediabetes in Japanese women: A 5‐year retrospective </w:t>
      </w:r>
      <w:proofErr w:type="spellStart"/>
      <w:r w:rsidRPr="00C35A68">
        <w:rPr>
          <w:rFonts w:ascii="Times New Roman" w:hAnsi="Times New Roman" w:cs="Times New Roman"/>
        </w:rPr>
        <w:t>chort</w:t>
      </w:r>
      <w:proofErr w:type="spellEnd"/>
      <w:r w:rsidRPr="00C35A68">
        <w:rPr>
          <w:rFonts w:ascii="Times New Roman" w:hAnsi="Times New Roman" w:cs="Times New Roman"/>
        </w:rPr>
        <w:t xml:space="preserve"> study. Journal of Diabetes Investigation. 2023 Nov;14(11):1237-45.</w:t>
      </w:r>
    </w:p>
    <w:p w14:paraId="0F934217" w14:textId="6487B646"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Li Y, Tian L, Zheng H, Jia C. Serum uric acid and risk of incident </w:t>
      </w:r>
      <w:proofErr w:type="spellStart"/>
      <w:r w:rsidRPr="00C35A68">
        <w:rPr>
          <w:rFonts w:ascii="Times New Roman" w:hAnsi="Times New Roman" w:cs="Times New Roman"/>
        </w:rPr>
        <w:t>hypercholesterolaemia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hypertriglyceridaemia</w:t>
      </w:r>
      <w:proofErr w:type="spellEnd"/>
      <w:r w:rsidRPr="00C35A68">
        <w:rPr>
          <w:rFonts w:ascii="Times New Roman" w:hAnsi="Times New Roman" w:cs="Times New Roman"/>
        </w:rPr>
        <w:t xml:space="preserve"> in middle-aged and older Chinese: a 4-year prospective cohort study. Annals of medicine. 2020 Nov 16;52(8):479-87.</w:t>
      </w:r>
    </w:p>
    <w:p w14:paraId="4516AEFA" w14:textId="77777777" w:rsidR="00BA13A1" w:rsidRDefault="00BA13A1"/>
    <w:sectPr w:rsidR="00BA13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2A59" w14:textId="77777777" w:rsidR="00E16794" w:rsidRDefault="00E16794" w:rsidP="00EF0450">
      <w:pPr>
        <w:spacing w:after="0" w:line="240" w:lineRule="auto"/>
      </w:pPr>
      <w:r>
        <w:separator/>
      </w:r>
    </w:p>
  </w:endnote>
  <w:endnote w:type="continuationSeparator" w:id="0">
    <w:p w14:paraId="1C5364BB" w14:textId="77777777" w:rsidR="00E16794" w:rsidRDefault="00E16794" w:rsidP="00EF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D75" w14:textId="77777777" w:rsidR="00EF0450" w:rsidRDefault="00EF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612D" w14:textId="77777777" w:rsidR="00EF0450" w:rsidRDefault="00EF0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2A3C" w14:textId="77777777" w:rsidR="00EF0450" w:rsidRDefault="00EF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F615" w14:textId="77777777" w:rsidR="00E16794" w:rsidRDefault="00E16794" w:rsidP="00EF0450">
      <w:pPr>
        <w:spacing w:after="0" w:line="240" w:lineRule="auto"/>
      </w:pPr>
      <w:r>
        <w:separator/>
      </w:r>
    </w:p>
  </w:footnote>
  <w:footnote w:type="continuationSeparator" w:id="0">
    <w:p w14:paraId="7E862259" w14:textId="77777777" w:rsidR="00E16794" w:rsidRDefault="00E16794" w:rsidP="00EF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18AA" w14:textId="3B5923B0" w:rsidR="00EF0450" w:rsidRDefault="00000000">
    <w:pPr>
      <w:pStyle w:val="Header"/>
    </w:pPr>
    <w:r>
      <w:rPr>
        <w:noProof/>
      </w:rPr>
      <w:pict w14:anchorId="61B3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3585" w14:textId="4D85AB07" w:rsidR="00EF0450" w:rsidRDefault="00000000">
    <w:pPr>
      <w:pStyle w:val="Header"/>
    </w:pPr>
    <w:r>
      <w:rPr>
        <w:noProof/>
      </w:rPr>
      <w:pict w14:anchorId="7C89C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FEAE" w14:textId="12952A4E" w:rsidR="00EF0450" w:rsidRDefault="00000000">
    <w:pPr>
      <w:pStyle w:val="Header"/>
    </w:pPr>
    <w:r>
      <w:rPr>
        <w:noProof/>
      </w:rPr>
      <w:pict w14:anchorId="1BCFE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8BF"/>
    <w:multiLevelType w:val="hybridMultilevel"/>
    <w:tmpl w:val="6EE2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CE0C78"/>
    <w:multiLevelType w:val="multilevel"/>
    <w:tmpl w:val="381C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C0B6F"/>
    <w:multiLevelType w:val="hybridMultilevel"/>
    <w:tmpl w:val="DA08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679227">
    <w:abstractNumId w:val="1"/>
  </w:num>
  <w:num w:numId="2" w16cid:durableId="980841076">
    <w:abstractNumId w:val="2"/>
  </w:num>
  <w:num w:numId="3" w16cid:durableId="1004405873">
    <w:abstractNumId w:val="3"/>
  </w:num>
  <w:num w:numId="4" w16cid:durableId="29858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5C"/>
    <w:rsid w:val="000428E9"/>
    <w:rsid w:val="00070864"/>
    <w:rsid w:val="000A1702"/>
    <w:rsid w:val="001B5E52"/>
    <w:rsid w:val="002461AC"/>
    <w:rsid w:val="002C5F5F"/>
    <w:rsid w:val="002F246A"/>
    <w:rsid w:val="00347B8C"/>
    <w:rsid w:val="00396871"/>
    <w:rsid w:val="004B2909"/>
    <w:rsid w:val="00564A82"/>
    <w:rsid w:val="005A4769"/>
    <w:rsid w:val="006716DA"/>
    <w:rsid w:val="007329F0"/>
    <w:rsid w:val="00733019"/>
    <w:rsid w:val="0074565A"/>
    <w:rsid w:val="0081225C"/>
    <w:rsid w:val="00857549"/>
    <w:rsid w:val="008651C5"/>
    <w:rsid w:val="008B7E81"/>
    <w:rsid w:val="009B2F16"/>
    <w:rsid w:val="009C316B"/>
    <w:rsid w:val="009D7C11"/>
    <w:rsid w:val="00A72D00"/>
    <w:rsid w:val="00A74796"/>
    <w:rsid w:val="00AB07CC"/>
    <w:rsid w:val="00B17815"/>
    <w:rsid w:val="00BA13A1"/>
    <w:rsid w:val="00BE11A5"/>
    <w:rsid w:val="00C35A68"/>
    <w:rsid w:val="00C7097E"/>
    <w:rsid w:val="00CB677E"/>
    <w:rsid w:val="00DD64B3"/>
    <w:rsid w:val="00DE5615"/>
    <w:rsid w:val="00DF750C"/>
    <w:rsid w:val="00E16794"/>
    <w:rsid w:val="00E62FBF"/>
    <w:rsid w:val="00EB6128"/>
    <w:rsid w:val="00EF0450"/>
    <w:rsid w:val="00F57F43"/>
    <w:rsid w:val="00F7025A"/>
    <w:rsid w:val="00F81399"/>
    <w:rsid w:val="00FB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2EED7"/>
  <w15:chartTrackingRefBased/>
  <w15:docId w15:val="{CB6837C4-AF3A-4786-9E38-CB57575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25C"/>
    <w:rPr>
      <w:rFonts w:eastAsiaTheme="majorEastAsia" w:cstheme="majorBidi"/>
      <w:color w:val="272727" w:themeColor="text1" w:themeTint="D8"/>
    </w:rPr>
  </w:style>
  <w:style w:type="paragraph" w:styleId="Title">
    <w:name w:val="Title"/>
    <w:basedOn w:val="Normal"/>
    <w:next w:val="Normal"/>
    <w:link w:val="TitleChar"/>
    <w:uiPriority w:val="10"/>
    <w:qFormat/>
    <w:rsid w:val="00812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25C"/>
    <w:pPr>
      <w:spacing w:before="160"/>
      <w:jc w:val="center"/>
    </w:pPr>
    <w:rPr>
      <w:i/>
      <w:iCs/>
      <w:color w:val="404040" w:themeColor="text1" w:themeTint="BF"/>
    </w:rPr>
  </w:style>
  <w:style w:type="character" w:customStyle="1" w:styleId="QuoteChar">
    <w:name w:val="Quote Char"/>
    <w:basedOn w:val="DefaultParagraphFont"/>
    <w:link w:val="Quote"/>
    <w:uiPriority w:val="29"/>
    <w:rsid w:val="0081225C"/>
    <w:rPr>
      <w:i/>
      <w:iCs/>
      <w:color w:val="404040" w:themeColor="text1" w:themeTint="BF"/>
    </w:rPr>
  </w:style>
  <w:style w:type="paragraph" w:styleId="ListParagraph">
    <w:name w:val="List Paragraph"/>
    <w:basedOn w:val="Normal"/>
    <w:uiPriority w:val="34"/>
    <w:qFormat/>
    <w:rsid w:val="0081225C"/>
    <w:pPr>
      <w:ind w:left="720"/>
      <w:contextualSpacing/>
    </w:pPr>
  </w:style>
  <w:style w:type="character" w:styleId="IntenseEmphasis">
    <w:name w:val="Intense Emphasis"/>
    <w:basedOn w:val="DefaultParagraphFont"/>
    <w:uiPriority w:val="21"/>
    <w:qFormat/>
    <w:rsid w:val="0081225C"/>
    <w:rPr>
      <w:i/>
      <w:iCs/>
      <w:color w:val="0F4761" w:themeColor="accent1" w:themeShade="BF"/>
    </w:rPr>
  </w:style>
  <w:style w:type="paragraph" w:styleId="IntenseQuote">
    <w:name w:val="Intense Quote"/>
    <w:basedOn w:val="Normal"/>
    <w:next w:val="Normal"/>
    <w:link w:val="IntenseQuoteChar"/>
    <w:uiPriority w:val="30"/>
    <w:qFormat/>
    <w:rsid w:val="0081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25C"/>
    <w:rPr>
      <w:i/>
      <w:iCs/>
      <w:color w:val="0F4761" w:themeColor="accent1" w:themeShade="BF"/>
    </w:rPr>
  </w:style>
  <w:style w:type="character" w:styleId="IntenseReference">
    <w:name w:val="Intense Reference"/>
    <w:basedOn w:val="DefaultParagraphFont"/>
    <w:uiPriority w:val="32"/>
    <w:qFormat/>
    <w:rsid w:val="0081225C"/>
    <w:rPr>
      <w:b/>
      <w:bCs/>
      <w:smallCaps/>
      <w:color w:val="0F4761" w:themeColor="accent1" w:themeShade="BF"/>
      <w:spacing w:val="5"/>
    </w:rPr>
  </w:style>
  <w:style w:type="table" w:styleId="TableGrid">
    <w:name w:val="Table Grid"/>
    <w:basedOn w:val="TableNormal"/>
    <w:uiPriority w:val="39"/>
    <w:rsid w:val="00E6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6716DA"/>
    <w:rPr>
      <w:color w:val="0000FF"/>
      <w:u w:val="single"/>
    </w:rPr>
  </w:style>
  <w:style w:type="character" w:styleId="UnresolvedMention">
    <w:name w:val="Unresolved Mention"/>
    <w:basedOn w:val="DefaultParagraphFont"/>
    <w:uiPriority w:val="99"/>
    <w:semiHidden/>
    <w:unhideWhenUsed/>
    <w:rsid w:val="00A72D00"/>
    <w:rPr>
      <w:color w:val="605E5C"/>
      <w:shd w:val="clear" w:color="auto" w:fill="E1DFDD"/>
    </w:rPr>
  </w:style>
  <w:style w:type="paragraph" w:styleId="Header">
    <w:name w:val="header"/>
    <w:basedOn w:val="Normal"/>
    <w:link w:val="HeaderChar"/>
    <w:uiPriority w:val="99"/>
    <w:unhideWhenUsed/>
    <w:rsid w:val="00EF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50"/>
  </w:style>
  <w:style w:type="paragraph" w:styleId="Footer">
    <w:name w:val="footer"/>
    <w:basedOn w:val="Normal"/>
    <w:link w:val="FooterChar"/>
    <w:uiPriority w:val="99"/>
    <w:unhideWhenUsed/>
    <w:rsid w:val="00EF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739">
      <w:bodyDiv w:val="1"/>
      <w:marLeft w:val="0"/>
      <w:marRight w:val="0"/>
      <w:marTop w:val="0"/>
      <w:marBottom w:val="0"/>
      <w:divBdr>
        <w:top w:val="none" w:sz="0" w:space="0" w:color="auto"/>
        <w:left w:val="none" w:sz="0" w:space="0" w:color="auto"/>
        <w:bottom w:val="none" w:sz="0" w:space="0" w:color="auto"/>
        <w:right w:val="none" w:sz="0" w:space="0" w:color="auto"/>
      </w:divBdr>
    </w:div>
    <w:div w:id="212230413">
      <w:bodyDiv w:val="1"/>
      <w:marLeft w:val="0"/>
      <w:marRight w:val="0"/>
      <w:marTop w:val="0"/>
      <w:marBottom w:val="0"/>
      <w:divBdr>
        <w:top w:val="none" w:sz="0" w:space="0" w:color="auto"/>
        <w:left w:val="none" w:sz="0" w:space="0" w:color="auto"/>
        <w:bottom w:val="none" w:sz="0" w:space="0" w:color="auto"/>
        <w:right w:val="none" w:sz="0" w:space="0" w:color="auto"/>
      </w:divBdr>
    </w:div>
    <w:div w:id="246496615">
      <w:bodyDiv w:val="1"/>
      <w:marLeft w:val="0"/>
      <w:marRight w:val="0"/>
      <w:marTop w:val="0"/>
      <w:marBottom w:val="0"/>
      <w:divBdr>
        <w:top w:val="none" w:sz="0" w:space="0" w:color="auto"/>
        <w:left w:val="none" w:sz="0" w:space="0" w:color="auto"/>
        <w:bottom w:val="none" w:sz="0" w:space="0" w:color="auto"/>
        <w:right w:val="none" w:sz="0" w:space="0" w:color="auto"/>
      </w:divBdr>
    </w:div>
    <w:div w:id="366565968">
      <w:bodyDiv w:val="1"/>
      <w:marLeft w:val="0"/>
      <w:marRight w:val="0"/>
      <w:marTop w:val="0"/>
      <w:marBottom w:val="0"/>
      <w:divBdr>
        <w:top w:val="none" w:sz="0" w:space="0" w:color="auto"/>
        <w:left w:val="none" w:sz="0" w:space="0" w:color="auto"/>
        <w:bottom w:val="none" w:sz="0" w:space="0" w:color="auto"/>
        <w:right w:val="none" w:sz="0" w:space="0" w:color="auto"/>
      </w:divBdr>
    </w:div>
    <w:div w:id="522985356">
      <w:bodyDiv w:val="1"/>
      <w:marLeft w:val="0"/>
      <w:marRight w:val="0"/>
      <w:marTop w:val="0"/>
      <w:marBottom w:val="0"/>
      <w:divBdr>
        <w:top w:val="none" w:sz="0" w:space="0" w:color="auto"/>
        <w:left w:val="none" w:sz="0" w:space="0" w:color="auto"/>
        <w:bottom w:val="none" w:sz="0" w:space="0" w:color="auto"/>
        <w:right w:val="none" w:sz="0" w:space="0" w:color="auto"/>
      </w:divBdr>
      <w:divsChild>
        <w:div w:id="1621104080">
          <w:marLeft w:val="0"/>
          <w:marRight w:val="0"/>
          <w:marTop w:val="0"/>
          <w:marBottom w:val="0"/>
          <w:divBdr>
            <w:top w:val="none" w:sz="0" w:space="0" w:color="auto"/>
            <w:left w:val="none" w:sz="0" w:space="0" w:color="auto"/>
            <w:bottom w:val="none" w:sz="0" w:space="0" w:color="auto"/>
            <w:right w:val="none" w:sz="0" w:space="0" w:color="auto"/>
          </w:divBdr>
        </w:div>
        <w:div w:id="139150083">
          <w:marLeft w:val="0"/>
          <w:marRight w:val="0"/>
          <w:marTop w:val="0"/>
          <w:marBottom w:val="0"/>
          <w:divBdr>
            <w:top w:val="none" w:sz="0" w:space="0" w:color="auto"/>
            <w:left w:val="none" w:sz="0" w:space="0" w:color="auto"/>
            <w:bottom w:val="none" w:sz="0" w:space="0" w:color="auto"/>
            <w:right w:val="none" w:sz="0" w:space="0" w:color="auto"/>
          </w:divBdr>
        </w:div>
        <w:div w:id="989670167">
          <w:marLeft w:val="0"/>
          <w:marRight w:val="0"/>
          <w:marTop w:val="0"/>
          <w:marBottom w:val="0"/>
          <w:divBdr>
            <w:top w:val="none" w:sz="0" w:space="0" w:color="auto"/>
            <w:left w:val="none" w:sz="0" w:space="0" w:color="auto"/>
            <w:bottom w:val="none" w:sz="0" w:space="0" w:color="auto"/>
            <w:right w:val="none" w:sz="0" w:space="0" w:color="auto"/>
          </w:divBdr>
        </w:div>
        <w:div w:id="605843741">
          <w:marLeft w:val="0"/>
          <w:marRight w:val="0"/>
          <w:marTop w:val="0"/>
          <w:marBottom w:val="0"/>
          <w:divBdr>
            <w:top w:val="none" w:sz="0" w:space="0" w:color="auto"/>
            <w:left w:val="none" w:sz="0" w:space="0" w:color="auto"/>
            <w:bottom w:val="none" w:sz="0" w:space="0" w:color="auto"/>
            <w:right w:val="none" w:sz="0" w:space="0" w:color="auto"/>
          </w:divBdr>
        </w:div>
        <w:div w:id="509879042">
          <w:marLeft w:val="0"/>
          <w:marRight w:val="0"/>
          <w:marTop w:val="0"/>
          <w:marBottom w:val="0"/>
          <w:divBdr>
            <w:top w:val="none" w:sz="0" w:space="0" w:color="auto"/>
            <w:left w:val="none" w:sz="0" w:space="0" w:color="auto"/>
            <w:bottom w:val="none" w:sz="0" w:space="0" w:color="auto"/>
            <w:right w:val="none" w:sz="0" w:space="0" w:color="auto"/>
          </w:divBdr>
        </w:div>
      </w:divsChild>
    </w:div>
    <w:div w:id="777598339">
      <w:bodyDiv w:val="1"/>
      <w:marLeft w:val="0"/>
      <w:marRight w:val="0"/>
      <w:marTop w:val="0"/>
      <w:marBottom w:val="0"/>
      <w:divBdr>
        <w:top w:val="none" w:sz="0" w:space="0" w:color="auto"/>
        <w:left w:val="none" w:sz="0" w:space="0" w:color="auto"/>
        <w:bottom w:val="none" w:sz="0" w:space="0" w:color="auto"/>
        <w:right w:val="none" w:sz="0" w:space="0" w:color="auto"/>
      </w:divBdr>
      <w:divsChild>
        <w:div w:id="1057360150">
          <w:marLeft w:val="0"/>
          <w:marRight w:val="0"/>
          <w:marTop w:val="0"/>
          <w:marBottom w:val="0"/>
          <w:divBdr>
            <w:top w:val="none" w:sz="0" w:space="0" w:color="auto"/>
            <w:left w:val="none" w:sz="0" w:space="0" w:color="auto"/>
            <w:bottom w:val="none" w:sz="0" w:space="0" w:color="auto"/>
            <w:right w:val="none" w:sz="0" w:space="0" w:color="auto"/>
          </w:divBdr>
        </w:div>
      </w:divsChild>
    </w:div>
    <w:div w:id="1011297226">
      <w:bodyDiv w:val="1"/>
      <w:marLeft w:val="0"/>
      <w:marRight w:val="0"/>
      <w:marTop w:val="0"/>
      <w:marBottom w:val="0"/>
      <w:divBdr>
        <w:top w:val="none" w:sz="0" w:space="0" w:color="auto"/>
        <w:left w:val="none" w:sz="0" w:space="0" w:color="auto"/>
        <w:bottom w:val="none" w:sz="0" w:space="0" w:color="auto"/>
        <w:right w:val="none" w:sz="0" w:space="0" w:color="auto"/>
      </w:divBdr>
    </w:div>
    <w:div w:id="1125581606">
      <w:bodyDiv w:val="1"/>
      <w:marLeft w:val="0"/>
      <w:marRight w:val="0"/>
      <w:marTop w:val="0"/>
      <w:marBottom w:val="0"/>
      <w:divBdr>
        <w:top w:val="none" w:sz="0" w:space="0" w:color="auto"/>
        <w:left w:val="none" w:sz="0" w:space="0" w:color="auto"/>
        <w:bottom w:val="none" w:sz="0" w:space="0" w:color="auto"/>
        <w:right w:val="none" w:sz="0" w:space="0" w:color="auto"/>
      </w:divBdr>
    </w:div>
    <w:div w:id="1177309215">
      <w:bodyDiv w:val="1"/>
      <w:marLeft w:val="0"/>
      <w:marRight w:val="0"/>
      <w:marTop w:val="0"/>
      <w:marBottom w:val="0"/>
      <w:divBdr>
        <w:top w:val="none" w:sz="0" w:space="0" w:color="auto"/>
        <w:left w:val="none" w:sz="0" w:space="0" w:color="auto"/>
        <w:bottom w:val="none" w:sz="0" w:space="0" w:color="auto"/>
        <w:right w:val="none" w:sz="0" w:space="0" w:color="auto"/>
      </w:divBdr>
    </w:div>
    <w:div w:id="1242136251">
      <w:bodyDiv w:val="1"/>
      <w:marLeft w:val="0"/>
      <w:marRight w:val="0"/>
      <w:marTop w:val="0"/>
      <w:marBottom w:val="0"/>
      <w:divBdr>
        <w:top w:val="none" w:sz="0" w:space="0" w:color="auto"/>
        <w:left w:val="none" w:sz="0" w:space="0" w:color="auto"/>
        <w:bottom w:val="none" w:sz="0" w:space="0" w:color="auto"/>
        <w:right w:val="none" w:sz="0" w:space="0" w:color="auto"/>
      </w:divBdr>
    </w:div>
    <w:div w:id="1342005504">
      <w:bodyDiv w:val="1"/>
      <w:marLeft w:val="0"/>
      <w:marRight w:val="0"/>
      <w:marTop w:val="0"/>
      <w:marBottom w:val="0"/>
      <w:divBdr>
        <w:top w:val="none" w:sz="0" w:space="0" w:color="auto"/>
        <w:left w:val="none" w:sz="0" w:space="0" w:color="auto"/>
        <w:bottom w:val="none" w:sz="0" w:space="0" w:color="auto"/>
        <w:right w:val="none" w:sz="0" w:space="0" w:color="auto"/>
      </w:divBdr>
    </w:div>
    <w:div w:id="1428306456">
      <w:bodyDiv w:val="1"/>
      <w:marLeft w:val="0"/>
      <w:marRight w:val="0"/>
      <w:marTop w:val="0"/>
      <w:marBottom w:val="0"/>
      <w:divBdr>
        <w:top w:val="none" w:sz="0" w:space="0" w:color="auto"/>
        <w:left w:val="none" w:sz="0" w:space="0" w:color="auto"/>
        <w:bottom w:val="none" w:sz="0" w:space="0" w:color="auto"/>
        <w:right w:val="none" w:sz="0" w:space="0" w:color="auto"/>
      </w:divBdr>
    </w:div>
    <w:div w:id="1750227535">
      <w:bodyDiv w:val="1"/>
      <w:marLeft w:val="0"/>
      <w:marRight w:val="0"/>
      <w:marTop w:val="0"/>
      <w:marBottom w:val="0"/>
      <w:divBdr>
        <w:top w:val="none" w:sz="0" w:space="0" w:color="auto"/>
        <w:left w:val="none" w:sz="0" w:space="0" w:color="auto"/>
        <w:bottom w:val="none" w:sz="0" w:space="0" w:color="auto"/>
        <w:right w:val="none" w:sz="0" w:space="0" w:color="auto"/>
      </w:divBdr>
    </w:div>
    <w:div w:id="1978222984">
      <w:bodyDiv w:val="1"/>
      <w:marLeft w:val="0"/>
      <w:marRight w:val="0"/>
      <w:marTop w:val="0"/>
      <w:marBottom w:val="0"/>
      <w:divBdr>
        <w:top w:val="none" w:sz="0" w:space="0" w:color="auto"/>
        <w:left w:val="none" w:sz="0" w:space="0" w:color="auto"/>
        <w:bottom w:val="none" w:sz="0" w:space="0" w:color="auto"/>
        <w:right w:val="none" w:sz="0" w:space="0" w:color="auto"/>
      </w:divBdr>
      <w:divsChild>
        <w:div w:id="155608003">
          <w:marLeft w:val="0"/>
          <w:marRight w:val="0"/>
          <w:marTop w:val="0"/>
          <w:marBottom w:val="0"/>
          <w:divBdr>
            <w:top w:val="none" w:sz="0" w:space="0" w:color="auto"/>
            <w:left w:val="none" w:sz="0" w:space="0" w:color="auto"/>
            <w:bottom w:val="none" w:sz="0" w:space="0" w:color="auto"/>
            <w:right w:val="none" w:sz="0" w:space="0" w:color="auto"/>
          </w:divBdr>
        </w:div>
        <w:div w:id="57289072">
          <w:marLeft w:val="0"/>
          <w:marRight w:val="0"/>
          <w:marTop w:val="0"/>
          <w:marBottom w:val="0"/>
          <w:divBdr>
            <w:top w:val="none" w:sz="0" w:space="0" w:color="auto"/>
            <w:left w:val="none" w:sz="0" w:space="0" w:color="auto"/>
            <w:bottom w:val="none" w:sz="0" w:space="0" w:color="auto"/>
            <w:right w:val="none" w:sz="0" w:space="0" w:color="auto"/>
          </w:divBdr>
        </w:div>
        <w:div w:id="847140916">
          <w:marLeft w:val="0"/>
          <w:marRight w:val="0"/>
          <w:marTop w:val="0"/>
          <w:marBottom w:val="0"/>
          <w:divBdr>
            <w:top w:val="none" w:sz="0" w:space="0" w:color="auto"/>
            <w:left w:val="none" w:sz="0" w:space="0" w:color="auto"/>
            <w:bottom w:val="none" w:sz="0" w:space="0" w:color="auto"/>
            <w:right w:val="none" w:sz="0" w:space="0" w:color="auto"/>
          </w:divBdr>
        </w:div>
        <w:div w:id="2031642778">
          <w:marLeft w:val="0"/>
          <w:marRight w:val="0"/>
          <w:marTop w:val="0"/>
          <w:marBottom w:val="0"/>
          <w:divBdr>
            <w:top w:val="none" w:sz="0" w:space="0" w:color="auto"/>
            <w:left w:val="none" w:sz="0" w:space="0" w:color="auto"/>
            <w:bottom w:val="none" w:sz="0" w:space="0" w:color="auto"/>
            <w:right w:val="none" w:sz="0" w:space="0" w:color="auto"/>
          </w:divBdr>
        </w:div>
        <w:div w:id="2141914712">
          <w:marLeft w:val="0"/>
          <w:marRight w:val="0"/>
          <w:marTop w:val="0"/>
          <w:marBottom w:val="0"/>
          <w:divBdr>
            <w:top w:val="none" w:sz="0" w:space="0" w:color="auto"/>
            <w:left w:val="none" w:sz="0" w:space="0" w:color="auto"/>
            <w:bottom w:val="none" w:sz="0" w:space="0" w:color="auto"/>
            <w:right w:val="none" w:sz="0" w:space="0" w:color="auto"/>
          </w:divBdr>
        </w:div>
      </w:divsChild>
    </w:div>
    <w:div w:id="2039506410">
      <w:bodyDiv w:val="1"/>
      <w:marLeft w:val="0"/>
      <w:marRight w:val="0"/>
      <w:marTop w:val="0"/>
      <w:marBottom w:val="0"/>
      <w:divBdr>
        <w:top w:val="none" w:sz="0" w:space="0" w:color="auto"/>
        <w:left w:val="none" w:sz="0" w:space="0" w:color="auto"/>
        <w:bottom w:val="none" w:sz="0" w:space="0" w:color="auto"/>
        <w:right w:val="none" w:sz="0" w:space="0" w:color="auto"/>
      </w:divBdr>
    </w:div>
    <w:div w:id="2070183398">
      <w:bodyDiv w:val="1"/>
      <w:marLeft w:val="0"/>
      <w:marRight w:val="0"/>
      <w:marTop w:val="0"/>
      <w:marBottom w:val="0"/>
      <w:divBdr>
        <w:top w:val="none" w:sz="0" w:space="0" w:color="auto"/>
        <w:left w:val="none" w:sz="0" w:space="0" w:color="auto"/>
        <w:bottom w:val="none" w:sz="0" w:space="0" w:color="auto"/>
        <w:right w:val="none" w:sz="0" w:space="0" w:color="auto"/>
      </w:divBdr>
      <w:divsChild>
        <w:div w:id="448821299">
          <w:marLeft w:val="0"/>
          <w:marRight w:val="0"/>
          <w:marTop w:val="0"/>
          <w:marBottom w:val="0"/>
          <w:divBdr>
            <w:top w:val="none" w:sz="0" w:space="0" w:color="auto"/>
            <w:left w:val="none" w:sz="0" w:space="0" w:color="auto"/>
            <w:bottom w:val="none" w:sz="0" w:space="0" w:color="auto"/>
            <w:right w:val="none" w:sz="0" w:space="0" w:color="auto"/>
          </w:divBdr>
        </w:div>
      </w:divsChild>
    </w:div>
    <w:div w:id="2099401778">
      <w:bodyDiv w:val="1"/>
      <w:marLeft w:val="0"/>
      <w:marRight w:val="0"/>
      <w:marTop w:val="0"/>
      <w:marBottom w:val="0"/>
      <w:divBdr>
        <w:top w:val="none" w:sz="0" w:space="0" w:color="auto"/>
        <w:left w:val="none" w:sz="0" w:space="0" w:color="auto"/>
        <w:bottom w:val="none" w:sz="0" w:space="0" w:color="auto"/>
        <w:right w:val="none" w:sz="0" w:space="0" w:color="auto"/>
      </w:divBdr>
    </w:div>
    <w:div w:id="212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Md. Ashiqur Rahman</cp:lastModifiedBy>
  <cp:revision>29</cp:revision>
  <dcterms:created xsi:type="dcterms:W3CDTF">2025-03-25T08:14:00Z</dcterms:created>
  <dcterms:modified xsi:type="dcterms:W3CDTF">2025-05-13T03:38:00Z</dcterms:modified>
</cp:coreProperties>
</file>