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0963E" w14:textId="77777777" w:rsidR="00596D86" w:rsidRPr="00596D86" w:rsidRDefault="00596D86" w:rsidP="00596D86">
      <w:pPr>
        <w:jc w:val="center"/>
        <w:rPr>
          <w:rFonts w:ascii="Arial" w:hAnsi="Arial" w:cs="Arial"/>
          <w:b/>
          <w:bCs/>
          <w:i/>
          <w:iCs/>
          <w:color w:val="222222"/>
          <w:sz w:val="32"/>
          <w:szCs w:val="32"/>
          <w:u w:val="single"/>
          <w:shd w:val="clear" w:color="auto" w:fill="FFFFFF"/>
          <w:lang w:val="en-US"/>
        </w:rPr>
      </w:pPr>
      <w:r w:rsidRPr="00596D86">
        <w:rPr>
          <w:rFonts w:ascii="Arial" w:hAnsi="Arial" w:cs="Arial"/>
          <w:b/>
          <w:bCs/>
          <w:i/>
          <w:iCs/>
          <w:color w:val="222222"/>
          <w:sz w:val="32"/>
          <w:szCs w:val="32"/>
          <w:u w:val="single"/>
          <w:shd w:val="clear" w:color="auto" w:fill="FFFFFF"/>
          <w:lang w:val="en-US"/>
        </w:rPr>
        <w:t xml:space="preserve">Case report </w:t>
      </w:r>
    </w:p>
    <w:p w14:paraId="38C663F2" w14:textId="77777777" w:rsidR="00596D86" w:rsidRDefault="00596D86" w:rsidP="007840FF">
      <w:pPr>
        <w:jc w:val="center"/>
        <w:rPr>
          <w:rFonts w:ascii="Arial" w:hAnsi="Arial" w:cs="Arial"/>
          <w:b/>
          <w:bCs/>
          <w:color w:val="222222"/>
          <w:sz w:val="32"/>
          <w:szCs w:val="32"/>
          <w:shd w:val="clear" w:color="auto" w:fill="FFFFFF"/>
          <w:lang w:val="en-US"/>
        </w:rPr>
      </w:pPr>
    </w:p>
    <w:p w14:paraId="276136BC" w14:textId="2DA1F1CF" w:rsidR="007840FF" w:rsidRDefault="007840FF" w:rsidP="007840FF">
      <w:pPr>
        <w:jc w:val="center"/>
        <w:rPr>
          <w:rFonts w:ascii="Arial" w:hAnsi="Arial" w:cs="Arial"/>
          <w:b/>
          <w:bCs/>
          <w:color w:val="222222"/>
          <w:sz w:val="32"/>
          <w:szCs w:val="32"/>
          <w:shd w:val="clear" w:color="auto" w:fill="FFFFFF"/>
          <w:lang w:val="en-US"/>
        </w:rPr>
      </w:pPr>
      <w:r w:rsidRPr="008E0584">
        <w:rPr>
          <w:rFonts w:ascii="Arial" w:hAnsi="Arial" w:cs="Arial"/>
          <w:b/>
          <w:bCs/>
          <w:color w:val="222222"/>
          <w:sz w:val="32"/>
          <w:szCs w:val="32"/>
          <w:shd w:val="clear" w:color="auto" w:fill="FFFFFF"/>
          <w:lang w:val="en-US"/>
        </w:rPr>
        <w:t>Golimumab-Triggered Palmoplantar Pustular Psoriasis in Ankylosing Spondylitis: Case Study and Evidence Review</w:t>
      </w:r>
    </w:p>
    <w:p w14:paraId="691235C4" w14:textId="77777777" w:rsidR="002421AD" w:rsidRPr="008E0584" w:rsidRDefault="002421AD" w:rsidP="007840FF">
      <w:pPr>
        <w:jc w:val="center"/>
        <w:rPr>
          <w:rFonts w:ascii="Arial" w:hAnsi="Arial" w:cs="Arial"/>
          <w:b/>
          <w:bCs/>
          <w:color w:val="222222"/>
          <w:sz w:val="32"/>
          <w:szCs w:val="32"/>
          <w:shd w:val="clear" w:color="auto" w:fill="FFFFFF"/>
          <w:lang w:val="en-US"/>
        </w:rPr>
      </w:pPr>
    </w:p>
    <w:p w14:paraId="275A7780" w14:textId="40FCAB42" w:rsidR="008E0584" w:rsidRPr="00FD413A" w:rsidRDefault="007840FF" w:rsidP="00256A30">
      <w:pPr>
        <w:jc w:val="center"/>
        <w:rPr>
          <w:lang w:val="en-US"/>
        </w:rPr>
      </w:pPr>
      <w:r w:rsidRPr="007840FF">
        <w:rPr>
          <w:rFonts w:ascii="Arial" w:hAnsi="Arial" w:cs="Arial"/>
          <w:color w:val="222222"/>
          <w:lang w:val="en-US"/>
        </w:rPr>
        <w:br/>
      </w:r>
    </w:p>
    <w:p w14:paraId="54A73759" w14:textId="77777777" w:rsidR="008E0584" w:rsidRPr="00FD413A" w:rsidRDefault="008E0584" w:rsidP="007840FF">
      <w:pPr>
        <w:rPr>
          <w:lang w:val="en-US"/>
        </w:rPr>
      </w:pPr>
    </w:p>
    <w:p w14:paraId="2E0346F9" w14:textId="77777777" w:rsidR="008E0584" w:rsidRDefault="007840FF" w:rsidP="007840FF">
      <w:pPr>
        <w:rPr>
          <w:rFonts w:ascii="Arial" w:hAnsi="Arial" w:cs="Arial"/>
          <w:color w:val="222222"/>
          <w:lang w:val="en-US"/>
        </w:rPr>
      </w:pPr>
      <w:r w:rsidRPr="008E0584">
        <w:rPr>
          <w:rFonts w:ascii="Arial" w:hAnsi="Arial" w:cs="Arial"/>
          <w:b/>
          <w:bCs/>
          <w:color w:val="222222"/>
          <w:lang w:val="en-US"/>
        </w:rPr>
        <w:br/>
      </w:r>
      <w:r w:rsidRPr="008E0584">
        <w:rPr>
          <w:rFonts w:ascii="Arial" w:hAnsi="Arial" w:cs="Arial"/>
          <w:b/>
          <w:bCs/>
          <w:color w:val="222222"/>
          <w:shd w:val="clear" w:color="auto" w:fill="FFFFFF"/>
          <w:lang w:val="en-US"/>
        </w:rPr>
        <w:t>Abstract</w:t>
      </w:r>
    </w:p>
    <w:p w14:paraId="4EC678AD" w14:textId="77777777" w:rsidR="008E0584" w:rsidRDefault="007840FF" w:rsidP="007840FF">
      <w:pPr>
        <w:rPr>
          <w:rFonts w:ascii="Arial" w:hAnsi="Arial" w:cs="Arial"/>
          <w:color w:val="222222"/>
          <w:shd w:val="clear" w:color="auto" w:fill="FFFFFF"/>
          <w:lang w:val="en-US"/>
        </w:rPr>
      </w:pPr>
      <w:r w:rsidRPr="008E0584">
        <w:rPr>
          <w:rFonts w:ascii="Arial" w:hAnsi="Arial" w:cs="Arial"/>
          <w:color w:val="222222"/>
          <w:u w:val="single"/>
          <w:lang w:val="en-US"/>
        </w:rPr>
        <w:br/>
      </w:r>
      <w:r w:rsidRPr="008E0584">
        <w:rPr>
          <w:rFonts w:ascii="Arial" w:hAnsi="Arial" w:cs="Arial"/>
          <w:color w:val="222222"/>
          <w:u w:val="single"/>
          <w:shd w:val="clear" w:color="auto" w:fill="FFFFFF"/>
          <w:lang w:val="en-US"/>
        </w:rPr>
        <w:t>Background:</w:t>
      </w:r>
      <w:r w:rsidRPr="007840FF">
        <w:rPr>
          <w:rFonts w:ascii="Arial" w:hAnsi="Arial" w:cs="Arial"/>
          <w:color w:val="222222"/>
          <w:shd w:val="clear" w:color="auto" w:fill="FFFFFF"/>
          <w:lang w:val="en-US"/>
        </w:rPr>
        <w:t xml:space="preserve"> Golimumab, a human monoclonal antibody targeting tumor necrosis factor-alpha (TNF-</w:t>
      </w:r>
      <w:r>
        <w:rPr>
          <w:rFonts w:ascii="Arial" w:hAnsi="Arial" w:cs="Arial"/>
          <w:color w:val="222222"/>
          <w:shd w:val="clear" w:color="auto" w:fill="FFFFFF"/>
        </w:rPr>
        <w:t>α</w:t>
      </w:r>
      <w:r w:rsidRPr="007840FF">
        <w:rPr>
          <w:rFonts w:ascii="Arial" w:hAnsi="Arial" w:cs="Arial"/>
          <w:color w:val="222222"/>
          <w:shd w:val="clear" w:color="auto" w:fill="FFFFFF"/>
          <w:lang w:val="en-US"/>
        </w:rPr>
        <w:t>), is widely used to treat ankylosing spondylitis (AS). However, it can paradoxically trigger dermatological conditions, including psoriasis. This report details a rare instance of palmoplantar pustular psoriasis (PPP) induced by golimumab in an AS patient.</w:t>
      </w:r>
    </w:p>
    <w:p w14:paraId="2F1063DC"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Case Presentation:</w:t>
      </w:r>
      <w:r w:rsidRPr="007840FF">
        <w:rPr>
          <w:rFonts w:ascii="Arial" w:hAnsi="Arial" w:cs="Arial"/>
          <w:color w:val="222222"/>
          <w:shd w:val="clear" w:color="auto" w:fill="FFFFFF"/>
          <w:lang w:val="en-US"/>
        </w:rPr>
        <w:t xml:space="preserve"> A 39-year-old male smoker with HLA-B27-positive axial AS (BASDAI 4.6, BASFI 5.6) began golimumab (50 mg monthly) in October 2022 after inadequate NSAID response. Ten months later, he developed PPP with pustules on the palms and soles, plus psoriatic plaques on the thighs and legs. Golimumab was stopped, and treatment shifted to </w:t>
      </w:r>
      <w:proofErr w:type="spellStart"/>
      <w:r w:rsidRPr="007840FF">
        <w:rPr>
          <w:rFonts w:ascii="Arial" w:hAnsi="Arial" w:cs="Arial"/>
          <w:color w:val="222222"/>
          <w:shd w:val="clear" w:color="auto" w:fill="FFFFFF"/>
          <w:lang w:val="en-US"/>
        </w:rPr>
        <w:t>secukinumab</w:t>
      </w:r>
      <w:proofErr w:type="spellEnd"/>
      <w:r w:rsidRPr="007840FF">
        <w:rPr>
          <w:rFonts w:ascii="Arial" w:hAnsi="Arial" w:cs="Arial"/>
          <w:color w:val="222222"/>
          <w:shd w:val="clear" w:color="auto" w:fill="FFFFFF"/>
          <w:lang w:val="en-US"/>
        </w:rPr>
        <w:t xml:space="preserve"> (an anti-IL-17 agent) with topical corticosteroids, resulting in significant lesion improvement within weeks and ongoing AS control.</w:t>
      </w:r>
    </w:p>
    <w:p w14:paraId="22D3AEB0"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Conclusion:</w:t>
      </w:r>
      <w:r w:rsidRPr="007840FF">
        <w:rPr>
          <w:rFonts w:ascii="Arial" w:hAnsi="Arial" w:cs="Arial"/>
          <w:color w:val="222222"/>
          <w:shd w:val="clear" w:color="auto" w:fill="FFFFFF"/>
          <w:lang w:val="en-US"/>
        </w:rPr>
        <w:t xml:space="preserve"> This case illustrates a rare paradoxical effect of golimumab, likely driven by altered immune regulation involving interferon-alpha (IFN-</w:t>
      </w:r>
      <w:r>
        <w:rPr>
          <w:rFonts w:ascii="Arial" w:hAnsi="Arial" w:cs="Arial"/>
          <w:color w:val="222222"/>
          <w:shd w:val="clear" w:color="auto" w:fill="FFFFFF"/>
        </w:rPr>
        <w:t>α</w:t>
      </w:r>
      <w:r w:rsidRPr="007840FF">
        <w:rPr>
          <w:rFonts w:ascii="Arial" w:hAnsi="Arial" w:cs="Arial"/>
          <w:color w:val="222222"/>
          <w:shd w:val="clear" w:color="auto" w:fill="FFFFFF"/>
          <w:lang w:val="en-US"/>
        </w:rPr>
        <w:t>) and IL-17 pathways. Discontinuing golimumab and initiating anti-IL-17 therapy was effective. Clinicians should monitor for skin-related side effects in AS patients on anti-TNF drugs, especially those with smoking history, and consider tailored therapeutic approaches. Further studies are needed to explore this phenomenon.</w:t>
      </w:r>
    </w:p>
    <w:p w14:paraId="2DE15F85"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Keywords:</w:t>
      </w:r>
      <w:r w:rsidRPr="007840FF">
        <w:rPr>
          <w:rFonts w:ascii="Arial" w:hAnsi="Arial" w:cs="Arial"/>
          <w:color w:val="222222"/>
          <w:shd w:val="clear" w:color="auto" w:fill="FFFFFF"/>
          <w:lang w:val="en-US"/>
        </w:rPr>
        <w:t xml:space="preserve"> Golimumab, ankylosing spondylitis, palmoplantar pustular psoriasis, anti-TNF therapy, paradoxical reaction, IL-17 inhibitor.</w:t>
      </w:r>
    </w:p>
    <w:p w14:paraId="3A1A3307" w14:textId="77777777" w:rsidR="008E0584" w:rsidRDefault="008E0584" w:rsidP="007840FF">
      <w:pPr>
        <w:rPr>
          <w:rFonts w:ascii="Arial" w:hAnsi="Arial" w:cs="Arial"/>
          <w:color w:val="222222"/>
          <w:shd w:val="clear" w:color="auto" w:fill="FFFFFF"/>
          <w:lang w:val="en-US"/>
        </w:rPr>
      </w:pPr>
    </w:p>
    <w:p w14:paraId="1A2478D9" w14:textId="77777777" w:rsidR="008E0584" w:rsidRDefault="008E0584" w:rsidP="007840FF">
      <w:pPr>
        <w:rPr>
          <w:rFonts w:ascii="Arial" w:hAnsi="Arial" w:cs="Arial"/>
          <w:color w:val="222222"/>
          <w:shd w:val="clear" w:color="auto" w:fill="FFFFFF"/>
          <w:lang w:val="en-US"/>
        </w:rPr>
      </w:pPr>
    </w:p>
    <w:p w14:paraId="043CE67E" w14:textId="77777777" w:rsidR="00DA5D91" w:rsidRDefault="00DA5D91" w:rsidP="007840FF">
      <w:pPr>
        <w:rPr>
          <w:rFonts w:ascii="Arial" w:hAnsi="Arial" w:cs="Arial"/>
          <w:color w:val="222222"/>
          <w:shd w:val="clear" w:color="auto" w:fill="FFFFFF"/>
          <w:lang w:val="en-US"/>
        </w:rPr>
      </w:pPr>
    </w:p>
    <w:p w14:paraId="2F631218" w14:textId="77777777" w:rsidR="008E0584" w:rsidRPr="008E0584" w:rsidRDefault="007840FF" w:rsidP="007840FF">
      <w:pPr>
        <w:rPr>
          <w:rFonts w:ascii="Arial" w:hAnsi="Arial" w:cs="Arial"/>
          <w:b/>
          <w:bCs/>
          <w:color w:val="222222"/>
          <w:sz w:val="28"/>
          <w:szCs w:val="28"/>
          <w:shd w:val="clear" w:color="auto" w:fill="FFFFFF"/>
          <w:lang w:val="en-US"/>
        </w:rPr>
      </w:pPr>
      <w:r w:rsidRPr="008E0584">
        <w:rPr>
          <w:rFonts w:ascii="Arial" w:hAnsi="Arial" w:cs="Arial"/>
          <w:color w:val="222222"/>
          <w:sz w:val="28"/>
          <w:szCs w:val="28"/>
          <w:lang w:val="en-US"/>
        </w:rPr>
        <w:br/>
      </w:r>
      <w:r w:rsidRPr="008E0584">
        <w:rPr>
          <w:rFonts w:ascii="Arial" w:hAnsi="Arial" w:cs="Arial"/>
          <w:b/>
          <w:bCs/>
          <w:color w:val="222222"/>
          <w:sz w:val="28"/>
          <w:szCs w:val="28"/>
          <w:shd w:val="clear" w:color="auto" w:fill="FFFFFF"/>
          <w:lang w:val="en-US"/>
        </w:rPr>
        <w:t>Introduction</w:t>
      </w:r>
    </w:p>
    <w:p w14:paraId="06B9DD8B" w14:textId="25F662CB"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Ankylosing spondylitis (AS) is a chronic inflammatory disorder primarily affecting the spine and sacroiliac joints, leading to pain and reduced mobility. The advent of biologic therapies, notably anti-TNF-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agents, has transformed AS management for patients unresponsive to traditional treatments like NSAIDs. Golimumab, a fully human anti-TNF-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antibody, has proven effective in controlling AS symptoms, as demonstrated in clinical studies. Yet, these therapies carry risks, including paradoxical adverse effects where conditions typically alleviated by 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inhibition, such as psoriasis, emerge instead.</w:t>
      </w:r>
      <w:r w:rsidRPr="007840FF">
        <w:rPr>
          <w:rFonts w:ascii="Arial" w:hAnsi="Arial" w:cs="Arial"/>
          <w:color w:val="222222"/>
          <w:lang w:val="en-US"/>
        </w:rPr>
        <w:br/>
      </w:r>
      <w:r w:rsidRPr="007840FF">
        <w:rPr>
          <w:rFonts w:ascii="Arial" w:hAnsi="Arial" w:cs="Arial"/>
          <w:color w:val="222222"/>
          <w:shd w:val="clear" w:color="auto" w:fill="FFFFFF"/>
          <w:lang w:val="en-US"/>
        </w:rPr>
        <w:lastRenderedPageBreak/>
        <w:t xml:space="preserve">Psoriasis, an immune-mediated skin disorder, occurs in 1–5% of patients on anti-TNF drugs, with </w:t>
      </w:r>
      <w:r w:rsidRPr="00FD413A">
        <w:rPr>
          <w:rFonts w:ascii="Arial" w:hAnsi="Arial" w:cs="Arial"/>
          <w:color w:val="222222"/>
          <w:highlight w:val="yellow"/>
          <w:shd w:val="clear" w:color="auto" w:fill="FFFFFF"/>
          <w:lang w:val="en-US"/>
        </w:rPr>
        <w:t>palmoplantar pustular psoriasis (PPP)</w:t>
      </w:r>
      <w:r w:rsidR="00FD413A">
        <w:rPr>
          <w:rFonts w:ascii="Arial" w:hAnsi="Arial" w:cs="Arial"/>
          <w:color w:val="222222"/>
          <w:shd w:val="clear" w:color="auto" w:fill="FFFFFF"/>
          <w:lang w:val="en-US"/>
        </w:rPr>
        <w:t xml:space="preserve"> </w:t>
      </w:r>
      <w:r w:rsidRPr="007840FF">
        <w:rPr>
          <w:rFonts w:ascii="Arial" w:hAnsi="Arial" w:cs="Arial"/>
          <w:color w:val="222222"/>
          <w:shd w:val="clear" w:color="auto" w:fill="FFFFFF"/>
          <w:lang w:val="en-US"/>
        </w:rPr>
        <w:t>marked by sterile pustules on the palms and soles—being a less common but debilitating variant. The underlying mechanism may involve disrupted cytokine balance, potentially linked to plasmacytoid dendritic cell (</w:t>
      </w:r>
      <w:proofErr w:type="spellStart"/>
      <w:r w:rsidRPr="007840FF">
        <w:rPr>
          <w:rFonts w:ascii="Arial" w:hAnsi="Arial" w:cs="Arial"/>
          <w:color w:val="222222"/>
          <w:shd w:val="clear" w:color="auto" w:fill="FFFFFF"/>
          <w:lang w:val="en-US"/>
        </w:rPr>
        <w:t>pDC</w:t>
      </w:r>
      <w:proofErr w:type="spellEnd"/>
      <w:r w:rsidRPr="007840FF">
        <w:rPr>
          <w:rFonts w:ascii="Arial" w:hAnsi="Arial" w:cs="Arial"/>
          <w:color w:val="222222"/>
          <w:shd w:val="clear" w:color="auto" w:fill="FFFFFF"/>
          <w:lang w:val="en-US"/>
        </w:rPr>
        <w:t>) activity and excessive IFN-</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production. Risk factors like smoking may heighten susceptibility. Managing such complications often requires switching to alternative biologics, such as anti-IL-17 agents, which target different inflammatory pathways.</w:t>
      </w:r>
      <w:r w:rsidRPr="007840FF">
        <w:rPr>
          <w:rFonts w:ascii="Arial" w:hAnsi="Arial" w:cs="Arial"/>
          <w:color w:val="222222"/>
          <w:lang w:val="en-US"/>
        </w:rPr>
        <w:br/>
      </w:r>
      <w:r w:rsidRPr="007840FF">
        <w:rPr>
          <w:rFonts w:ascii="Arial" w:hAnsi="Arial" w:cs="Arial"/>
          <w:color w:val="222222"/>
          <w:shd w:val="clear" w:color="auto" w:fill="FFFFFF"/>
          <w:lang w:val="en-US"/>
        </w:rPr>
        <w:t>We report a case of golimumab-induced PPP in a 39-year-old male with AS, emphasizing the need for vigilance and personalized treatment. This report, supported by a review of recent literature, explores the clinical presentation, potential mechanisms, and management strategies for this rare adverse effect.</w:t>
      </w:r>
    </w:p>
    <w:p w14:paraId="2374C12A" w14:textId="20F65E5A" w:rsidR="008E0584" w:rsidRPr="008E0584" w:rsidRDefault="007840FF" w:rsidP="007840FF">
      <w:pPr>
        <w:rPr>
          <w:rFonts w:ascii="Arial" w:hAnsi="Arial" w:cs="Arial"/>
          <w:color w:val="222222"/>
          <w:sz w:val="28"/>
          <w:szCs w:val="28"/>
          <w:lang w:val="en-US"/>
        </w:rPr>
      </w:pPr>
      <w:r w:rsidRPr="008E0584">
        <w:rPr>
          <w:rFonts w:ascii="Arial" w:hAnsi="Arial" w:cs="Arial"/>
          <w:color w:val="222222"/>
          <w:sz w:val="28"/>
          <w:szCs w:val="28"/>
          <w:lang w:val="en-US"/>
        </w:rPr>
        <w:br/>
      </w:r>
      <w:r w:rsidRPr="008E0584">
        <w:rPr>
          <w:rFonts w:ascii="Arial" w:hAnsi="Arial" w:cs="Arial"/>
          <w:b/>
          <w:bCs/>
          <w:color w:val="222222"/>
          <w:sz w:val="28"/>
          <w:szCs w:val="28"/>
          <w:shd w:val="clear" w:color="auto" w:fill="FFFFFF"/>
          <w:lang w:val="en-US"/>
        </w:rPr>
        <w:t xml:space="preserve">Case </w:t>
      </w:r>
      <w:r w:rsidR="007A6C9E">
        <w:rPr>
          <w:rFonts w:ascii="Arial" w:hAnsi="Arial" w:cs="Arial"/>
          <w:b/>
          <w:bCs/>
          <w:color w:val="222222"/>
          <w:sz w:val="28"/>
          <w:szCs w:val="28"/>
          <w:shd w:val="clear" w:color="auto" w:fill="FFFFFF"/>
          <w:lang w:val="en-US"/>
        </w:rPr>
        <w:t xml:space="preserve">Presentation </w:t>
      </w:r>
    </w:p>
    <w:p w14:paraId="51232D6A" w14:textId="571D56F1" w:rsidR="00B4236A"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 xml:space="preserve">A 39-year-old male with a 15-year history of smoking was diagnosed with axial AS in 2018, confirmed by bilateral grade 4 sacroiliitis and HLA-B27 positivity. His disease was active, with a </w:t>
      </w:r>
      <w:r w:rsidRPr="00FD413A">
        <w:rPr>
          <w:rFonts w:ascii="Arial" w:hAnsi="Arial" w:cs="Arial"/>
          <w:color w:val="222222"/>
          <w:highlight w:val="yellow"/>
          <w:shd w:val="clear" w:color="auto" w:fill="FFFFFF"/>
          <w:lang w:val="en-US"/>
        </w:rPr>
        <w:t>Bath Ankylosing Spondylitis Disease Activity Index (BASDAI)</w:t>
      </w:r>
      <w:r w:rsidRPr="007840FF">
        <w:rPr>
          <w:rFonts w:ascii="Arial" w:hAnsi="Arial" w:cs="Arial"/>
          <w:color w:val="222222"/>
          <w:shd w:val="clear" w:color="auto" w:fill="FFFFFF"/>
          <w:lang w:val="en-US"/>
        </w:rPr>
        <w:t xml:space="preserve"> of 4.6 and Bath Ankylosing Spondylitis Functional Index (BASFI) of 5.6, indicating substantial functional limitation. He had no prior personal or family history of psoriasis or extra-articular manifestations. After failing multiple NSAIDs, golimumab (50 mg subcutaneous injection monthly) was initiated in October 2022, initially lowering his</w:t>
      </w:r>
      <w:r w:rsidR="00FD413A">
        <w:rPr>
          <w:rFonts w:ascii="Arial" w:hAnsi="Arial" w:cs="Arial"/>
          <w:color w:val="222222"/>
          <w:shd w:val="clear" w:color="auto" w:fill="FFFFFF"/>
          <w:lang w:val="en-US"/>
        </w:rPr>
        <w:t xml:space="preserve"> </w:t>
      </w:r>
      <w:r w:rsidRPr="00FD413A">
        <w:rPr>
          <w:rFonts w:ascii="Arial" w:hAnsi="Arial" w:cs="Arial"/>
          <w:color w:val="222222"/>
          <w:highlight w:val="yellow"/>
          <w:shd w:val="clear" w:color="auto" w:fill="FFFFFF"/>
          <w:lang w:val="en-US"/>
        </w:rPr>
        <w:t>BASDAI</w:t>
      </w:r>
      <w:r w:rsidRPr="007840FF">
        <w:rPr>
          <w:rFonts w:ascii="Arial" w:hAnsi="Arial" w:cs="Arial"/>
          <w:color w:val="222222"/>
          <w:shd w:val="clear" w:color="auto" w:fill="FFFFFF"/>
          <w:lang w:val="en-US"/>
        </w:rPr>
        <w:t xml:space="preserve"> to 3.2 after six months.</w:t>
      </w:r>
      <w:r w:rsidRPr="007840FF">
        <w:rPr>
          <w:rFonts w:ascii="Arial" w:hAnsi="Arial" w:cs="Arial"/>
          <w:color w:val="222222"/>
          <w:lang w:val="en-US"/>
        </w:rPr>
        <w:br/>
      </w:r>
      <w:r w:rsidRPr="007840FF">
        <w:rPr>
          <w:rFonts w:ascii="Arial" w:hAnsi="Arial" w:cs="Arial"/>
          <w:color w:val="222222"/>
          <w:shd w:val="clear" w:color="auto" w:fill="FFFFFF"/>
          <w:lang w:val="en-US"/>
        </w:rPr>
        <w:t xml:space="preserve">In August 2023, ten months into golimumab therapy, the patient presented with new skin lesions. Physical examination revealed sterile pustules on the palms and soles, consistent with </w:t>
      </w:r>
      <w:r w:rsidRPr="00FD413A">
        <w:rPr>
          <w:rFonts w:ascii="Arial" w:hAnsi="Arial" w:cs="Arial"/>
          <w:color w:val="222222"/>
          <w:highlight w:val="yellow"/>
          <w:shd w:val="clear" w:color="auto" w:fill="FFFFFF"/>
          <w:lang w:val="en-US"/>
        </w:rPr>
        <w:t>PPP</w:t>
      </w:r>
      <w:r w:rsidRPr="007840FF">
        <w:rPr>
          <w:rFonts w:ascii="Arial" w:hAnsi="Arial" w:cs="Arial"/>
          <w:color w:val="222222"/>
          <w:shd w:val="clear" w:color="auto" w:fill="FFFFFF"/>
          <w:lang w:val="en-US"/>
        </w:rPr>
        <w:t>, alongside erythematous, scaly plaques on the anterior thighs and legs. A dermatological consultation confirmed anti-TNF-induced psoriasis based on clinical features and the temporal association with golimumab initiation</w:t>
      </w:r>
      <w:r w:rsidR="00B4236A">
        <w:rPr>
          <w:rFonts w:ascii="Arial" w:hAnsi="Arial" w:cs="Arial"/>
          <w:color w:val="222222"/>
          <w:shd w:val="clear" w:color="auto" w:fill="FFFFFF"/>
          <w:lang w:val="en-US"/>
        </w:rPr>
        <w:t xml:space="preserve"> </w:t>
      </w:r>
      <w:r w:rsidRPr="007840FF">
        <w:rPr>
          <w:rFonts w:ascii="Arial" w:hAnsi="Arial" w:cs="Arial"/>
          <w:color w:val="222222"/>
          <w:shd w:val="clear" w:color="auto" w:fill="FFFFFF"/>
          <w:lang w:val="en-US"/>
        </w:rPr>
        <w:t>(Figure 1</w:t>
      </w:r>
      <w:r w:rsidR="00B4236A">
        <w:rPr>
          <w:rFonts w:ascii="Arial" w:hAnsi="Arial" w:cs="Arial"/>
          <w:color w:val="222222"/>
          <w:shd w:val="clear" w:color="auto" w:fill="FFFFFF"/>
          <w:lang w:val="en-US"/>
        </w:rPr>
        <w:t>).</w:t>
      </w:r>
    </w:p>
    <w:p w14:paraId="4D922E73" w14:textId="77777777" w:rsidR="00B4236A" w:rsidRDefault="00B4236A" w:rsidP="007840FF">
      <w:pPr>
        <w:rPr>
          <w:rFonts w:ascii="Arial" w:hAnsi="Arial" w:cs="Arial"/>
          <w:color w:val="222222"/>
          <w:shd w:val="clear" w:color="auto" w:fill="FFFFFF"/>
          <w:lang w:val="en-US"/>
        </w:rPr>
      </w:pPr>
    </w:p>
    <w:p w14:paraId="7C0CBDAD" w14:textId="77777777" w:rsidR="00B4236A" w:rsidRDefault="00B4236A" w:rsidP="007840FF">
      <w:pPr>
        <w:rPr>
          <w:rFonts w:ascii="Arial" w:hAnsi="Arial" w:cs="Arial"/>
          <w:color w:val="222222"/>
          <w:shd w:val="clear" w:color="auto" w:fill="FFFFFF"/>
          <w:lang w:val="en-US"/>
        </w:rPr>
      </w:pPr>
    </w:p>
    <w:p w14:paraId="0FD59621" w14:textId="77777777" w:rsidR="00B4236A" w:rsidRDefault="00B4236A" w:rsidP="007840FF">
      <w:pPr>
        <w:rPr>
          <w:rFonts w:ascii="Arial" w:hAnsi="Arial" w:cs="Arial"/>
          <w:color w:val="222222"/>
          <w:shd w:val="clear" w:color="auto" w:fill="FFFFFF"/>
          <w:lang w:val="en-US"/>
        </w:rPr>
      </w:pPr>
      <w:r>
        <w:rPr>
          <w:rFonts w:ascii="Times New Roman" w:eastAsia="Times New Roman" w:hAnsi="Times New Roman" w:cs="Times New Roman"/>
          <w:noProof/>
          <w:sz w:val="28"/>
          <w:szCs w:val="28"/>
          <w:lang w:val="en-US" w:eastAsia="fr-FR"/>
        </w:rPr>
        <w:drawing>
          <wp:inline distT="0" distB="0" distL="0" distR="0" wp14:anchorId="2FB41169" wp14:editId="3C3B7B58">
            <wp:extent cx="5412207" cy="2682240"/>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12207" cy="2682240"/>
                    </a:xfrm>
                    <a:prstGeom prst="rect">
                      <a:avLst/>
                    </a:prstGeom>
                  </pic:spPr>
                </pic:pic>
              </a:graphicData>
            </a:graphic>
          </wp:inline>
        </w:drawing>
      </w:r>
    </w:p>
    <w:p w14:paraId="0FED2245" w14:textId="77777777" w:rsidR="00B4236A" w:rsidRPr="002C4A22" w:rsidRDefault="00B4236A" w:rsidP="00B4236A">
      <w:pPr>
        <w:pStyle w:val="PrformatHTML"/>
        <w:spacing w:line="540" w:lineRule="atLeast"/>
        <w:jc w:val="center"/>
        <w:rPr>
          <w:rFonts w:asciiTheme="majorBidi" w:hAnsiTheme="majorBidi" w:cstheme="majorBidi"/>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A22">
        <w:rPr>
          <w:rFonts w:asciiTheme="majorBidi" w:hAnsiTheme="majorBidi" w:cstheme="majorBidi"/>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1: </w:t>
      </w:r>
      <w:r w:rsidRPr="002C4A22">
        <w:rPr>
          <w:rFonts w:asciiTheme="majorBidi" w:hAnsiTheme="majorBidi" w:cstheme="majorBidi"/>
          <w:color w:val="000000" w:themeColor="text1"/>
          <w:sz w:val="28"/>
          <w:szCs w:val="28"/>
          <w:u w:val="single"/>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Golimumab-induced palmoplantar pustular psoriasis lesions in our patient</w:t>
      </w:r>
    </w:p>
    <w:p w14:paraId="17485FF9" w14:textId="77777777" w:rsidR="00B4236A" w:rsidRDefault="00B4236A" w:rsidP="00B4236A">
      <w:pPr>
        <w:jc w:val="center"/>
        <w:rPr>
          <w:rFonts w:ascii="Arial" w:hAnsi="Arial" w:cs="Arial"/>
          <w:color w:val="222222"/>
          <w:shd w:val="clear" w:color="auto" w:fill="FFFFFF"/>
          <w:lang w:val="en-US"/>
        </w:rPr>
      </w:pPr>
    </w:p>
    <w:p w14:paraId="4E96A20E"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lastRenderedPageBreak/>
        <w:br/>
      </w:r>
      <w:r w:rsidRPr="007840FF">
        <w:rPr>
          <w:rFonts w:ascii="Arial" w:hAnsi="Arial" w:cs="Arial"/>
          <w:color w:val="222222"/>
          <w:shd w:val="clear" w:color="auto" w:fill="FFFFFF"/>
          <w:lang w:val="en-US"/>
        </w:rPr>
        <w:t xml:space="preserve">Golimumab was discontinued, and the patient started </w:t>
      </w:r>
      <w:proofErr w:type="spellStart"/>
      <w:r w:rsidRPr="007840FF">
        <w:rPr>
          <w:rFonts w:ascii="Arial" w:hAnsi="Arial" w:cs="Arial"/>
          <w:color w:val="222222"/>
          <w:shd w:val="clear" w:color="auto" w:fill="FFFFFF"/>
          <w:lang w:val="en-US"/>
        </w:rPr>
        <w:t>secukinumab</w:t>
      </w:r>
      <w:proofErr w:type="spellEnd"/>
      <w:r w:rsidRPr="007840FF">
        <w:rPr>
          <w:rFonts w:ascii="Arial" w:hAnsi="Arial" w:cs="Arial"/>
          <w:color w:val="222222"/>
          <w:shd w:val="clear" w:color="auto" w:fill="FFFFFF"/>
          <w:lang w:val="en-US"/>
        </w:rPr>
        <w:t xml:space="preserve"> (150 mg weekly for five weeks, then monthly) alongside topical clobetasol propionate (0.05%). Within four weeks, the palmoplantar pustules had nearly resolved, and the thigh/leg plaques showed gradual improvement. At the three-month follow-up, AS remained controlled (BASDAI 2.8), with no psoriasis recurrence. (Figure </w:t>
      </w:r>
      <w:r w:rsidR="00D142D5">
        <w:rPr>
          <w:rFonts w:ascii="Arial" w:hAnsi="Arial" w:cs="Arial"/>
          <w:color w:val="222222"/>
          <w:shd w:val="clear" w:color="auto" w:fill="FFFFFF"/>
          <w:lang w:val="en-US"/>
        </w:rPr>
        <w:t>2</w:t>
      </w:r>
      <w:r w:rsidRPr="007840FF">
        <w:rPr>
          <w:rFonts w:ascii="Arial" w:hAnsi="Arial" w:cs="Arial"/>
          <w:color w:val="222222"/>
          <w:shd w:val="clear" w:color="auto" w:fill="FFFFFF"/>
          <w:lang w:val="en-US"/>
        </w:rPr>
        <w:t>)</w:t>
      </w:r>
    </w:p>
    <w:p w14:paraId="03D3E1AF" w14:textId="77777777" w:rsidR="00D142D5" w:rsidRDefault="00D142D5" w:rsidP="007840FF">
      <w:pPr>
        <w:rPr>
          <w:rFonts w:ascii="Arial" w:hAnsi="Arial" w:cs="Arial"/>
          <w:color w:val="222222"/>
          <w:shd w:val="clear" w:color="auto" w:fill="FFFFFF"/>
          <w:lang w:val="en-US"/>
        </w:rPr>
      </w:pPr>
    </w:p>
    <w:p w14:paraId="7285ADF2" w14:textId="77777777" w:rsidR="00D142D5" w:rsidRDefault="00D142D5" w:rsidP="007840FF">
      <w:pPr>
        <w:rPr>
          <w:rFonts w:ascii="Arial" w:hAnsi="Arial" w:cs="Arial"/>
          <w:color w:val="222222"/>
          <w:shd w:val="clear" w:color="auto" w:fill="FFFFFF"/>
          <w:lang w:val="en-US"/>
        </w:rPr>
      </w:pPr>
      <w:r>
        <w:rPr>
          <w:rFonts w:ascii="Times New Roman" w:eastAsia="Times New Roman" w:hAnsi="Times New Roman" w:cs="Times New Roman"/>
          <w:noProof/>
          <w:lang w:val="en-US" w:eastAsia="fr-FR"/>
        </w:rPr>
        <w:drawing>
          <wp:inline distT="0" distB="0" distL="0" distR="0" wp14:anchorId="42B2FC7C" wp14:editId="678CEB00">
            <wp:extent cx="4975860" cy="2942076"/>
            <wp:effectExtent l="0" t="0" r="254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2327" cy="2963638"/>
                    </a:xfrm>
                    <a:prstGeom prst="rect">
                      <a:avLst/>
                    </a:prstGeom>
                  </pic:spPr>
                </pic:pic>
              </a:graphicData>
            </a:graphic>
          </wp:inline>
        </w:drawing>
      </w:r>
    </w:p>
    <w:p w14:paraId="0D6EFFAC" w14:textId="77777777" w:rsidR="008E0584" w:rsidRDefault="008E0584" w:rsidP="00D142D5">
      <w:pPr>
        <w:jc w:val="center"/>
        <w:rPr>
          <w:rFonts w:ascii="Arial" w:hAnsi="Arial" w:cs="Arial"/>
          <w:color w:val="222222"/>
          <w:shd w:val="clear" w:color="auto" w:fill="FFFFFF"/>
          <w:lang w:val="en-US"/>
        </w:rPr>
      </w:pPr>
    </w:p>
    <w:p w14:paraId="76532C8B" w14:textId="77777777" w:rsidR="00D142D5" w:rsidRPr="00E94E89" w:rsidRDefault="00D142D5" w:rsidP="00D142D5">
      <w:pPr>
        <w:pStyle w:val="PrformatHTML"/>
        <w:spacing w:line="540" w:lineRule="atLeast"/>
        <w:jc w:val="center"/>
        <w:rPr>
          <w:rFonts w:asciiTheme="majorBidi" w:hAnsiTheme="majorBidi" w:cstheme="majorBidi"/>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4E89">
        <w:rPr>
          <w:rFonts w:asciiTheme="majorBidi" w:hAnsiTheme="majorBidi" w:cstheme="majorBidi"/>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2: </w:t>
      </w:r>
      <w:r w:rsidRPr="00E94E89">
        <w:rPr>
          <w:rStyle w:val="y2iqfc"/>
          <w:rFonts w:asciiTheme="majorBidi" w:hAnsiTheme="majorBidi" w:cstheme="majorBidi"/>
          <w:color w:val="000000" w:themeColor="text1"/>
          <w:sz w:val="28"/>
          <w:szCs w:val="28"/>
          <w:u w:val="single"/>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Blanching of pustular psoriasis lesions after discontinuation of golimumab</w:t>
      </w:r>
    </w:p>
    <w:p w14:paraId="6FE0C023" w14:textId="77777777" w:rsidR="00D142D5" w:rsidRDefault="00D142D5" w:rsidP="007840FF">
      <w:pPr>
        <w:rPr>
          <w:rFonts w:ascii="Arial" w:hAnsi="Arial" w:cs="Arial"/>
          <w:color w:val="222222"/>
          <w:lang w:val="en-US"/>
        </w:rPr>
      </w:pPr>
    </w:p>
    <w:p w14:paraId="1C37F16F" w14:textId="77777777" w:rsidR="008E0584" w:rsidRPr="008E0584" w:rsidRDefault="007840FF" w:rsidP="007840FF">
      <w:pPr>
        <w:rPr>
          <w:rFonts w:ascii="Arial" w:hAnsi="Arial" w:cs="Arial"/>
          <w:b/>
          <w:bCs/>
          <w:color w:val="222222"/>
          <w:shd w:val="clear" w:color="auto" w:fill="FFFFFF"/>
          <w:lang w:val="en-US"/>
        </w:rPr>
      </w:pPr>
      <w:r w:rsidRPr="007840FF">
        <w:rPr>
          <w:rFonts w:ascii="Arial" w:hAnsi="Arial" w:cs="Arial"/>
          <w:color w:val="222222"/>
          <w:lang w:val="en-US"/>
        </w:rPr>
        <w:br/>
      </w:r>
      <w:r w:rsidRPr="008E0584">
        <w:rPr>
          <w:rFonts w:ascii="Arial" w:hAnsi="Arial" w:cs="Arial"/>
          <w:b/>
          <w:bCs/>
          <w:color w:val="222222"/>
          <w:sz w:val="28"/>
          <w:szCs w:val="28"/>
          <w:shd w:val="clear" w:color="auto" w:fill="FFFFFF"/>
          <w:lang w:val="en-US"/>
        </w:rPr>
        <w:t>Discussion</w:t>
      </w:r>
    </w:p>
    <w:p w14:paraId="2935E666"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The use of anti-TNF-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agents like golimumab has significantly improved outcomes for AS patients, yet paradoxical reactions, including psoriasis induction, remain a challenge. This case of golimumab-triggered PPP underscores a rare but clinically significant complication.</w:t>
      </w:r>
    </w:p>
    <w:p w14:paraId="13D49DF1" w14:textId="77777777" w:rsidR="008E0584" w:rsidRDefault="007840FF" w:rsidP="007840FF">
      <w:pPr>
        <w:rPr>
          <w:rFonts w:ascii="Arial" w:hAnsi="Arial" w:cs="Arial"/>
          <w:color w:val="222222"/>
          <w:u w:val="single"/>
          <w:shd w:val="clear" w:color="auto" w:fill="FFFFFF"/>
          <w:lang w:val="en-US"/>
        </w:rPr>
      </w:pPr>
      <w:r w:rsidRPr="008E0584">
        <w:rPr>
          <w:rFonts w:ascii="Arial" w:hAnsi="Arial" w:cs="Arial"/>
          <w:color w:val="222222"/>
          <w:u w:val="single"/>
          <w:lang w:val="en-US"/>
        </w:rPr>
        <w:br/>
      </w:r>
      <w:r w:rsidRPr="008E0584">
        <w:rPr>
          <w:rFonts w:ascii="Arial" w:hAnsi="Arial" w:cs="Arial"/>
          <w:color w:val="222222"/>
          <w:u w:val="single"/>
          <w:shd w:val="clear" w:color="auto" w:fill="FFFFFF"/>
          <w:lang w:val="en-US"/>
        </w:rPr>
        <w:t>Epidemiology and Clinical Features</w:t>
      </w:r>
    </w:p>
    <w:p w14:paraId="5EBBD395"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Paradoxical psoriasis linked to anti-TNF therapy affects approximately 1–5% of treated patients, with higher incidence in inflammatory bowel disease than rheumatologic conditions. PPP, characterized by sterile pustules, erythema, and scaling on the palms and soles, is less frequent but can severely impair quality of life. In this patient, PPP and psoriatic plaques emerged ten months after golimumab initiation, consistent with the typical latency of 3–24 months reported for anti-TNF-induced psoriasis. The absence of a prior psoriatic history and resolution after drug withdrawal support a drug-induced etiology.</w:t>
      </w:r>
    </w:p>
    <w:p w14:paraId="66B0DB56" w14:textId="77777777" w:rsidR="008E0584" w:rsidRPr="008E0584" w:rsidRDefault="007840FF" w:rsidP="007840FF">
      <w:pPr>
        <w:rPr>
          <w:rFonts w:ascii="Arial" w:hAnsi="Arial" w:cs="Arial"/>
          <w:color w:val="222222"/>
          <w:u w:val="single"/>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Pathogenesis</w:t>
      </w:r>
    </w:p>
    <w:p w14:paraId="29DB54C6"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lastRenderedPageBreak/>
        <w:br/>
      </w:r>
      <w:r w:rsidRPr="007840FF">
        <w:rPr>
          <w:rFonts w:ascii="Arial" w:hAnsi="Arial" w:cs="Arial"/>
          <w:color w:val="222222"/>
          <w:shd w:val="clear" w:color="auto" w:fill="FFFFFF"/>
          <w:lang w:val="en-US"/>
        </w:rPr>
        <w:t>The paradoxical induction of psoriasis by anti-TNF agents is not fully elucidated. 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normally suppresses </w:t>
      </w:r>
      <w:proofErr w:type="spellStart"/>
      <w:r w:rsidRPr="007840FF">
        <w:rPr>
          <w:rFonts w:ascii="Arial" w:hAnsi="Arial" w:cs="Arial"/>
          <w:color w:val="222222"/>
          <w:shd w:val="clear" w:color="auto" w:fill="FFFFFF"/>
          <w:lang w:val="en-US"/>
        </w:rPr>
        <w:t>pDC</w:t>
      </w:r>
      <w:proofErr w:type="spellEnd"/>
      <w:r w:rsidRPr="007840FF">
        <w:rPr>
          <w:rFonts w:ascii="Arial" w:hAnsi="Arial" w:cs="Arial"/>
          <w:color w:val="222222"/>
          <w:shd w:val="clear" w:color="auto" w:fill="FFFFFF"/>
          <w:lang w:val="en-US"/>
        </w:rPr>
        <w:t xml:space="preserve"> activity, which produces IFN-</w:t>
      </w:r>
      <w:r>
        <w:rPr>
          <w:rFonts w:ascii="Arial" w:hAnsi="Arial" w:cs="Arial"/>
          <w:color w:val="222222"/>
          <w:shd w:val="clear" w:color="auto" w:fill="FFFFFF"/>
        </w:rPr>
        <w:t>α</w:t>
      </w:r>
      <w:r w:rsidRPr="007840FF">
        <w:rPr>
          <w:rFonts w:ascii="Arial" w:hAnsi="Arial" w:cs="Arial"/>
          <w:color w:val="222222"/>
          <w:shd w:val="clear" w:color="auto" w:fill="FFFFFF"/>
          <w:lang w:val="en-US"/>
        </w:rPr>
        <w:t>, a cytokine implicated in psoriatic inflammation. Anti-TNF drugs may disrupt this suppression, leading to elevated IFN-</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and subsequent T-cell activation. Additionally, TNF-</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inhibition may enhance the IL-17/IL-23 axis, a key driver of psoriasis. Studies suggest increased Th17 cell activity in patients on anti-TNF therapy, contributing to lesion formation. The patient’s smoking history likely amplified this risk, as nicotine is known to upregulate pro-inflammatory cytokines, including IL-17. Genetic predispositions, such as variations in IL-23 receptor genes, may also play a role, though specific data on anti-TNF-induced cases are limited.</w:t>
      </w:r>
    </w:p>
    <w:p w14:paraId="5E50044C" w14:textId="77777777" w:rsidR="008E0584" w:rsidRDefault="007840FF" w:rsidP="007840FF">
      <w:pPr>
        <w:rPr>
          <w:rFonts w:ascii="Arial" w:hAnsi="Arial" w:cs="Arial"/>
          <w:color w:val="222222"/>
          <w:u w:val="single"/>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Management Strategies</w:t>
      </w:r>
    </w:p>
    <w:p w14:paraId="3EC1C5AE" w14:textId="5A81AFA0"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 xml:space="preserve">Treatment of anti-TNF-induced psoriasis varies by severity. Mild cases may respond to topical steroids or calcineurin inhibitors without stopping the biologic. However, severe PPP, as seen here, typically necessitates drug discontinuation. Switching to another anti-TNF agent is discouraged due to a high risk of recurrence. Anti-IL-17 therapies, such as </w:t>
      </w:r>
      <w:proofErr w:type="spellStart"/>
      <w:r w:rsidRPr="007840FF">
        <w:rPr>
          <w:rFonts w:ascii="Arial" w:hAnsi="Arial" w:cs="Arial"/>
          <w:color w:val="222222"/>
          <w:shd w:val="clear" w:color="auto" w:fill="FFFFFF"/>
          <w:lang w:val="en-US"/>
        </w:rPr>
        <w:t>secukinumab</w:t>
      </w:r>
      <w:proofErr w:type="spellEnd"/>
      <w:r w:rsidRPr="007840FF">
        <w:rPr>
          <w:rFonts w:ascii="Arial" w:hAnsi="Arial" w:cs="Arial"/>
          <w:color w:val="222222"/>
          <w:shd w:val="clear" w:color="auto" w:fill="FFFFFF"/>
          <w:lang w:val="en-US"/>
        </w:rPr>
        <w:t xml:space="preserve">, offer a promising alternative, effectively targeting both psoriasis and AS. In this case, </w:t>
      </w:r>
      <w:proofErr w:type="spellStart"/>
      <w:r w:rsidRPr="007840FF">
        <w:rPr>
          <w:rFonts w:ascii="Arial" w:hAnsi="Arial" w:cs="Arial"/>
          <w:color w:val="222222"/>
          <w:shd w:val="clear" w:color="auto" w:fill="FFFFFF"/>
          <w:lang w:val="en-US"/>
        </w:rPr>
        <w:t>secukinumab</w:t>
      </w:r>
      <w:proofErr w:type="spellEnd"/>
      <w:r w:rsidRPr="007840FF">
        <w:rPr>
          <w:rFonts w:ascii="Arial" w:hAnsi="Arial" w:cs="Arial"/>
          <w:color w:val="222222"/>
          <w:shd w:val="clear" w:color="auto" w:fill="FFFFFF"/>
          <w:lang w:val="en-US"/>
        </w:rPr>
        <w:t xml:space="preserve"> led to rapid lesion improvement, supporting its efficacy. Emerging options include anti-IL-23 agents (e.g., </w:t>
      </w:r>
      <w:proofErr w:type="spellStart"/>
      <w:r w:rsidRPr="007840FF">
        <w:rPr>
          <w:rFonts w:ascii="Arial" w:hAnsi="Arial" w:cs="Arial"/>
          <w:color w:val="222222"/>
          <w:shd w:val="clear" w:color="auto" w:fill="FFFFFF"/>
          <w:lang w:val="en-US"/>
        </w:rPr>
        <w:t>risankizumab</w:t>
      </w:r>
      <w:proofErr w:type="spellEnd"/>
      <w:r w:rsidRPr="007840FF">
        <w:rPr>
          <w:rFonts w:ascii="Arial" w:hAnsi="Arial" w:cs="Arial"/>
          <w:color w:val="222222"/>
          <w:shd w:val="clear" w:color="auto" w:fill="FFFFFF"/>
          <w:lang w:val="en-US"/>
        </w:rPr>
        <w:t xml:space="preserve">) and JAK inhibitors (e.g., </w:t>
      </w:r>
      <w:proofErr w:type="spellStart"/>
      <w:r w:rsidRPr="007840FF">
        <w:rPr>
          <w:rFonts w:ascii="Arial" w:hAnsi="Arial" w:cs="Arial"/>
          <w:color w:val="222222"/>
          <w:shd w:val="clear" w:color="auto" w:fill="FFFFFF"/>
          <w:lang w:val="en-US"/>
        </w:rPr>
        <w:t>upadacitinib</w:t>
      </w:r>
      <w:proofErr w:type="spellEnd"/>
      <w:r w:rsidRPr="007840FF">
        <w:rPr>
          <w:rFonts w:ascii="Arial" w:hAnsi="Arial" w:cs="Arial"/>
          <w:color w:val="222222"/>
          <w:shd w:val="clear" w:color="auto" w:fill="FFFFFF"/>
          <w:lang w:val="en-US"/>
        </w:rPr>
        <w:t>), which show potential in managing paradoxical psoriasis. Phototherapy or systemic agents like acitretin may be considered for refractory cases. Collaboration between rheumatologists and dermatologists is essential for optimal care.</w:t>
      </w:r>
    </w:p>
    <w:p w14:paraId="2AC97788" w14:textId="77777777" w:rsidR="008E0584" w:rsidRDefault="007840FF" w:rsidP="007840FF">
      <w:pPr>
        <w:rPr>
          <w:rFonts w:ascii="Arial" w:hAnsi="Arial" w:cs="Arial"/>
          <w:color w:val="222222"/>
          <w:u w:val="single"/>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Comparison with Other Anti-TNF Agents</w:t>
      </w:r>
    </w:p>
    <w:p w14:paraId="0DFB75A6"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All anti-TNF drugs, including infliximab, etanercept, adalimumab, and golimumab, can induce psoriasis, with adalimumab and infliximab more commonly reported due to longer clinical use. Golimumab-related cases are less documented, possibly reflecting its later market entry. A recent analysis found no significant difference in psoriasis risk across anti-TNF classes, suggesting a shared mechanism. The rarity of golimumab-induced PPP highlights the need for ongoing surveillance, even with newer agents.</w:t>
      </w:r>
    </w:p>
    <w:p w14:paraId="02DD2199" w14:textId="77777777" w:rsidR="008E0584" w:rsidRDefault="007840FF" w:rsidP="007840FF">
      <w:pPr>
        <w:rPr>
          <w:rFonts w:ascii="Arial" w:hAnsi="Arial" w:cs="Arial"/>
          <w:color w:val="222222"/>
          <w:u w:val="single"/>
          <w:shd w:val="clear" w:color="auto" w:fill="FFFFFF"/>
          <w:lang w:val="en-US"/>
        </w:rPr>
      </w:pPr>
      <w:r w:rsidRPr="007840FF">
        <w:rPr>
          <w:rFonts w:ascii="Arial" w:hAnsi="Arial" w:cs="Arial"/>
          <w:color w:val="222222"/>
          <w:lang w:val="en-US"/>
        </w:rPr>
        <w:br/>
      </w:r>
      <w:r w:rsidRPr="008E0584">
        <w:rPr>
          <w:rFonts w:ascii="Arial" w:hAnsi="Arial" w:cs="Arial"/>
          <w:color w:val="222222"/>
          <w:u w:val="single"/>
          <w:shd w:val="clear" w:color="auto" w:fill="FFFFFF"/>
          <w:lang w:val="en-US"/>
        </w:rPr>
        <w:t>Future Directions</w:t>
      </w:r>
    </w:p>
    <w:p w14:paraId="785E9836"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The scarcity of anti-TNF-induced PPP cases limits large-scale research. Identifying predictive biomarkers, such as serum IL-17 or IFN-</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levels, could guide preemptive strategies. Genetic studies exploring HLA-Cw6 or IL-23R polymorphisms may clarify susceptibility. Novel approaches, like dual TNF-</w:t>
      </w:r>
      <w:r>
        <w:rPr>
          <w:rFonts w:ascii="Arial" w:hAnsi="Arial" w:cs="Arial"/>
          <w:color w:val="222222"/>
          <w:shd w:val="clear" w:color="auto" w:fill="FFFFFF"/>
        </w:rPr>
        <w:t>α</w:t>
      </w:r>
      <w:r w:rsidRPr="007840FF">
        <w:rPr>
          <w:rFonts w:ascii="Arial" w:hAnsi="Arial" w:cs="Arial"/>
          <w:color w:val="222222"/>
          <w:shd w:val="clear" w:color="auto" w:fill="FFFFFF"/>
          <w:lang w:val="en-US"/>
        </w:rPr>
        <w:t>/IL-17 inhibitors, could mitigate paradoxical effects while preserving AS control. Long-term data on anti-IL-17 and anti-IL-23 therapies are needed to refine treatment protocols.</w:t>
      </w:r>
    </w:p>
    <w:p w14:paraId="60024136" w14:textId="77777777" w:rsidR="008E0584" w:rsidRDefault="007840FF" w:rsidP="007840FF">
      <w:pPr>
        <w:rPr>
          <w:rFonts w:ascii="Arial" w:hAnsi="Arial" w:cs="Arial"/>
          <w:b/>
          <w:bCs/>
          <w:color w:val="222222"/>
          <w:sz w:val="28"/>
          <w:szCs w:val="28"/>
          <w:shd w:val="clear" w:color="auto" w:fill="FFFFFF"/>
          <w:lang w:val="en-US"/>
        </w:rPr>
      </w:pPr>
      <w:r w:rsidRPr="007840FF">
        <w:rPr>
          <w:rFonts w:ascii="Arial" w:hAnsi="Arial" w:cs="Arial"/>
          <w:color w:val="222222"/>
          <w:lang w:val="en-US"/>
        </w:rPr>
        <w:br/>
      </w:r>
      <w:r w:rsidRPr="008E0584">
        <w:rPr>
          <w:rFonts w:ascii="Arial" w:hAnsi="Arial" w:cs="Arial"/>
          <w:b/>
          <w:bCs/>
          <w:color w:val="222222"/>
          <w:sz w:val="28"/>
          <w:szCs w:val="28"/>
          <w:shd w:val="clear" w:color="auto" w:fill="FFFFFF"/>
          <w:lang w:val="en-US"/>
        </w:rPr>
        <w:t>Conclusion</w:t>
      </w:r>
    </w:p>
    <w:p w14:paraId="518C8D42" w14:textId="77777777" w:rsidR="008E0584"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 xml:space="preserve">This case of golimumab-triggered palmoplantar pustular psoriasis in a patient with ankylosing spondylitis illustrates a rare paradoxical adverse effect of anti-TNF therapy. The likely mechanism involves </w:t>
      </w:r>
      <w:proofErr w:type="spellStart"/>
      <w:r w:rsidRPr="007840FF">
        <w:rPr>
          <w:rFonts w:ascii="Arial" w:hAnsi="Arial" w:cs="Arial"/>
          <w:color w:val="222222"/>
          <w:shd w:val="clear" w:color="auto" w:fill="FFFFFF"/>
          <w:lang w:val="en-US"/>
        </w:rPr>
        <w:t>pDC</w:t>
      </w:r>
      <w:proofErr w:type="spellEnd"/>
      <w:r w:rsidRPr="007840FF">
        <w:rPr>
          <w:rFonts w:ascii="Arial" w:hAnsi="Arial" w:cs="Arial"/>
          <w:color w:val="222222"/>
          <w:shd w:val="clear" w:color="auto" w:fill="FFFFFF"/>
          <w:lang w:val="en-US"/>
        </w:rPr>
        <w:t xml:space="preserve"> activation, IFN-</w:t>
      </w:r>
      <w:r>
        <w:rPr>
          <w:rFonts w:ascii="Arial" w:hAnsi="Arial" w:cs="Arial"/>
          <w:color w:val="222222"/>
          <w:shd w:val="clear" w:color="auto" w:fill="FFFFFF"/>
        </w:rPr>
        <w:t>α</w:t>
      </w:r>
      <w:r w:rsidRPr="007840FF">
        <w:rPr>
          <w:rFonts w:ascii="Arial" w:hAnsi="Arial" w:cs="Arial"/>
          <w:color w:val="222222"/>
          <w:shd w:val="clear" w:color="auto" w:fill="FFFFFF"/>
          <w:lang w:val="en-US"/>
        </w:rPr>
        <w:t xml:space="preserve"> dysregulation, and IL-</w:t>
      </w:r>
      <w:r w:rsidRPr="007840FF">
        <w:rPr>
          <w:rFonts w:ascii="Arial" w:hAnsi="Arial" w:cs="Arial"/>
          <w:color w:val="222222"/>
          <w:shd w:val="clear" w:color="auto" w:fill="FFFFFF"/>
          <w:lang w:val="en-US"/>
        </w:rPr>
        <w:lastRenderedPageBreak/>
        <w:t xml:space="preserve">17 pathway enhancement, with smoking as a contributing factor. Discontinuing golimumab and initiating </w:t>
      </w:r>
      <w:proofErr w:type="spellStart"/>
      <w:r w:rsidRPr="007840FF">
        <w:rPr>
          <w:rFonts w:ascii="Arial" w:hAnsi="Arial" w:cs="Arial"/>
          <w:color w:val="222222"/>
          <w:shd w:val="clear" w:color="auto" w:fill="FFFFFF"/>
          <w:lang w:val="en-US"/>
        </w:rPr>
        <w:t>secukinumab</w:t>
      </w:r>
      <w:proofErr w:type="spellEnd"/>
      <w:r w:rsidRPr="007840FF">
        <w:rPr>
          <w:rFonts w:ascii="Arial" w:hAnsi="Arial" w:cs="Arial"/>
          <w:color w:val="222222"/>
          <w:shd w:val="clear" w:color="auto" w:fill="FFFFFF"/>
          <w:lang w:val="en-US"/>
        </w:rPr>
        <w:t xml:space="preserve"> resulted in rapid PPP resolution and sustained AS management, validating this therapeutic shift. Clinicians should remain alert to cutaneous side effects, particularly in at-risk patients, and adopt individualized strategies. Future research should focus on biomarkers, genetic markers, and innovative therapies to prevent and manage such reactions. This report adds to the growing body of evidence on anti-TNF-induced psoriasis and underscores the value of multidisciplinary care.</w:t>
      </w:r>
    </w:p>
    <w:p w14:paraId="1813F23F" w14:textId="77777777" w:rsidR="008E0584" w:rsidRDefault="007840FF" w:rsidP="007840FF">
      <w:pPr>
        <w:rPr>
          <w:rFonts w:ascii="Arial" w:hAnsi="Arial" w:cs="Arial"/>
          <w:color w:val="222222"/>
          <w:lang w:val="en-US"/>
        </w:rPr>
      </w:pPr>
      <w:r w:rsidRPr="007840FF">
        <w:rPr>
          <w:rFonts w:ascii="Arial" w:hAnsi="Arial" w:cs="Arial"/>
          <w:color w:val="222222"/>
          <w:lang w:val="en-US"/>
        </w:rPr>
        <w:br/>
      </w:r>
      <w:r w:rsidRPr="008E0584">
        <w:rPr>
          <w:rFonts w:ascii="Arial" w:hAnsi="Arial" w:cs="Arial"/>
          <w:b/>
          <w:bCs/>
          <w:color w:val="222222"/>
          <w:sz w:val="28"/>
          <w:szCs w:val="28"/>
          <w:shd w:val="clear" w:color="auto" w:fill="FFFFFF"/>
          <w:lang w:val="en-US"/>
        </w:rPr>
        <w:t>Limitations</w:t>
      </w:r>
    </w:p>
    <w:p w14:paraId="5041297C" w14:textId="77777777" w:rsidR="007840FF" w:rsidRPr="00FD413A" w:rsidRDefault="007840FF" w:rsidP="007840FF">
      <w:pPr>
        <w:rPr>
          <w:rFonts w:ascii="Arial" w:hAnsi="Arial" w:cs="Arial"/>
          <w:color w:val="222222"/>
          <w:shd w:val="clear" w:color="auto" w:fill="FFFFFF"/>
          <w:lang w:val="en-US"/>
        </w:rPr>
      </w:pPr>
      <w:r w:rsidRPr="007840FF">
        <w:rPr>
          <w:rFonts w:ascii="Arial" w:hAnsi="Arial" w:cs="Arial"/>
          <w:color w:val="222222"/>
          <w:lang w:val="en-US"/>
        </w:rPr>
        <w:br/>
      </w:r>
      <w:r w:rsidRPr="007840FF">
        <w:rPr>
          <w:rFonts w:ascii="Arial" w:hAnsi="Arial" w:cs="Arial"/>
          <w:color w:val="222222"/>
          <w:shd w:val="clear" w:color="auto" w:fill="FFFFFF"/>
          <w:lang w:val="en-US"/>
        </w:rPr>
        <w:t xml:space="preserve">This report is constrained by its single-patient design and absence of histopathological confirmation, though the clinical diagnosis was robust. The three-month follow-up period is insufficient to assess long-term outcomes or recurrence risk. </w:t>
      </w:r>
      <w:r w:rsidRPr="00FD413A">
        <w:rPr>
          <w:rFonts w:ascii="Arial" w:hAnsi="Arial" w:cs="Arial"/>
          <w:color w:val="222222"/>
          <w:shd w:val="clear" w:color="auto" w:fill="FFFFFF"/>
          <w:lang w:val="en-US"/>
        </w:rPr>
        <w:t>These gaps suggest caution in generalizing the findings</w:t>
      </w:r>
    </w:p>
    <w:p w14:paraId="6EE168A3" w14:textId="77777777" w:rsidR="007840FF" w:rsidRPr="00FD413A" w:rsidRDefault="007840FF">
      <w:pPr>
        <w:rPr>
          <w:rFonts w:ascii="Arial" w:hAnsi="Arial" w:cs="Arial"/>
          <w:color w:val="222222"/>
          <w:shd w:val="clear" w:color="auto" w:fill="FFFFFF"/>
          <w:lang w:val="en-US"/>
        </w:rPr>
      </w:pPr>
    </w:p>
    <w:p w14:paraId="58783950" w14:textId="77777777" w:rsidR="008E0584" w:rsidRPr="00FD413A" w:rsidRDefault="008E0584">
      <w:pPr>
        <w:rPr>
          <w:rFonts w:ascii="Arial" w:hAnsi="Arial" w:cs="Arial"/>
          <w:color w:val="222222"/>
          <w:shd w:val="clear" w:color="auto" w:fill="FFFFFF"/>
          <w:lang w:val="en-US"/>
        </w:rPr>
      </w:pPr>
    </w:p>
    <w:p w14:paraId="3F915209" w14:textId="77777777" w:rsidR="00CF58E7" w:rsidRPr="00CF58E7" w:rsidRDefault="00CF58E7" w:rsidP="00CF58E7">
      <w:pPr>
        <w:spacing w:after="200" w:line="276" w:lineRule="auto"/>
        <w:rPr>
          <w:rFonts w:ascii="Calibri" w:eastAsia="Calibri" w:hAnsi="Calibri" w:cs="Times New Roman"/>
          <w:sz w:val="22"/>
          <w:szCs w:val="22"/>
          <w:highlight w:val="yellow"/>
          <w:lang w:val="en-US"/>
        </w:rPr>
      </w:pPr>
      <w:r w:rsidRPr="00CF58E7">
        <w:rPr>
          <w:rFonts w:ascii="Calibri" w:eastAsia="Calibri" w:hAnsi="Calibri" w:cs="Times New Roman"/>
          <w:sz w:val="22"/>
          <w:szCs w:val="22"/>
          <w:highlight w:val="yellow"/>
          <w:lang w:val="en-US"/>
        </w:rPr>
        <w:t>Disclaimer (Artificial intelligence)</w:t>
      </w:r>
    </w:p>
    <w:p w14:paraId="450504C0" w14:textId="77777777" w:rsidR="00CF58E7" w:rsidRPr="00CF58E7" w:rsidRDefault="00CF58E7" w:rsidP="00CF58E7">
      <w:pPr>
        <w:spacing w:after="200" w:line="276" w:lineRule="auto"/>
        <w:rPr>
          <w:rFonts w:ascii="Calibri" w:eastAsia="Calibri" w:hAnsi="Calibri" w:cs="Times New Roman"/>
          <w:sz w:val="22"/>
          <w:szCs w:val="22"/>
          <w:highlight w:val="yellow"/>
          <w:lang w:val="en-US"/>
        </w:rPr>
      </w:pPr>
      <w:r w:rsidRPr="00CF58E7">
        <w:rPr>
          <w:rFonts w:ascii="Calibri" w:eastAsia="Calibri" w:hAnsi="Calibri" w:cs="Times New Roman"/>
          <w:sz w:val="22"/>
          <w:szCs w:val="22"/>
          <w:highlight w:val="yellow"/>
          <w:lang w:val="en-US"/>
        </w:rPr>
        <w:t xml:space="preserve">Option 1: </w:t>
      </w:r>
    </w:p>
    <w:p w14:paraId="6C941FA6" w14:textId="77777777" w:rsidR="00CF58E7" w:rsidRPr="00CF58E7" w:rsidRDefault="00CF58E7" w:rsidP="00CF58E7">
      <w:pPr>
        <w:spacing w:after="200" w:line="276" w:lineRule="auto"/>
        <w:rPr>
          <w:rFonts w:ascii="Calibri" w:eastAsia="Calibri" w:hAnsi="Calibri" w:cs="Times New Roman"/>
          <w:sz w:val="22"/>
          <w:szCs w:val="22"/>
          <w:highlight w:val="yellow"/>
          <w:lang w:val="en-US"/>
        </w:rPr>
      </w:pPr>
      <w:r w:rsidRPr="00CF58E7">
        <w:rPr>
          <w:rFonts w:ascii="Calibri" w:eastAsia="Calibri" w:hAnsi="Calibri" w:cs="Times New Roman"/>
          <w:sz w:val="22"/>
          <w:szCs w:val="22"/>
          <w:highlight w:val="yellow"/>
          <w:lang w:val="en-US"/>
        </w:rPr>
        <w:t xml:space="preserve">Author(s) hereby </w:t>
      </w:r>
      <w:proofErr w:type="gramStart"/>
      <w:r w:rsidRPr="00CF58E7">
        <w:rPr>
          <w:rFonts w:ascii="Calibri" w:eastAsia="Calibri" w:hAnsi="Calibri" w:cs="Times New Roman"/>
          <w:sz w:val="22"/>
          <w:szCs w:val="22"/>
          <w:highlight w:val="yellow"/>
          <w:lang w:val="en-US"/>
        </w:rPr>
        <w:t>declare</w:t>
      </w:r>
      <w:proofErr w:type="gramEnd"/>
      <w:r w:rsidRPr="00CF58E7">
        <w:rPr>
          <w:rFonts w:ascii="Calibri" w:eastAsia="Calibri" w:hAnsi="Calibri" w:cs="Times New Roman"/>
          <w:sz w:val="22"/>
          <w:szCs w:val="22"/>
          <w:highlight w:val="yellow"/>
          <w:lang w:val="en-US"/>
        </w:rPr>
        <w:t xml:space="preserve"> that NO generative AI technologies such as Large Language Models (ChatGPT, COPILOT, etc.) and text-to-image generators have been used during the writing or editing of this manuscript. </w:t>
      </w:r>
    </w:p>
    <w:p w14:paraId="098F24B6" w14:textId="77777777" w:rsidR="00CF58E7" w:rsidRPr="00CF58E7" w:rsidRDefault="00CF58E7" w:rsidP="00CF58E7">
      <w:pPr>
        <w:spacing w:after="200" w:line="276" w:lineRule="auto"/>
        <w:rPr>
          <w:rFonts w:ascii="Calibri" w:eastAsia="Calibri" w:hAnsi="Calibri" w:cs="Times New Roman"/>
          <w:sz w:val="22"/>
          <w:szCs w:val="22"/>
          <w:highlight w:val="yellow"/>
          <w:lang w:val="en-US"/>
        </w:rPr>
      </w:pPr>
      <w:r w:rsidRPr="00CF58E7">
        <w:rPr>
          <w:rFonts w:ascii="Calibri" w:eastAsia="Calibri" w:hAnsi="Calibri" w:cs="Times New Roman"/>
          <w:sz w:val="22"/>
          <w:szCs w:val="22"/>
          <w:highlight w:val="yellow"/>
          <w:lang w:val="en-US"/>
        </w:rPr>
        <w:t xml:space="preserve">Option 2: </w:t>
      </w:r>
    </w:p>
    <w:p w14:paraId="538001E7" w14:textId="77777777" w:rsidR="00CF58E7" w:rsidRPr="00CF58E7" w:rsidRDefault="00CF58E7" w:rsidP="00CF58E7">
      <w:pPr>
        <w:spacing w:after="200" w:line="276" w:lineRule="auto"/>
        <w:rPr>
          <w:rFonts w:ascii="Calibri" w:eastAsia="Calibri" w:hAnsi="Calibri" w:cs="Times New Roman"/>
          <w:sz w:val="22"/>
          <w:szCs w:val="22"/>
          <w:highlight w:val="yellow"/>
          <w:lang w:val="en-US"/>
        </w:rPr>
      </w:pPr>
      <w:r w:rsidRPr="00CF58E7">
        <w:rPr>
          <w:rFonts w:ascii="Calibri" w:eastAsia="Calibri" w:hAnsi="Calibri" w:cs="Times New Roman"/>
          <w:sz w:val="22"/>
          <w:szCs w:val="22"/>
          <w:highlight w:val="yellow"/>
          <w:lang w:val="en-US"/>
        </w:rPr>
        <w:t xml:space="preserve">Author(s) hereby </w:t>
      </w:r>
      <w:proofErr w:type="gramStart"/>
      <w:r w:rsidRPr="00CF58E7">
        <w:rPr>
          <w:rFonts w:ascii="Calibri" w:eastAsia="Calibri" w:hAnsi="Calibri" w:cs="Times New Roman"/>
          <w:sz w:val="22"/>
          <w:szCs w:val="22"/>
          <w:highlight w:val="yellow"/>
          <w:lang w:val="en-US"/>
        </w:rPr>
        <w:t>declare</w:t>
      </w:r>
      <w:proofErr w:type="gramEnd"/>
      <w:r w:rsidRPr="00CF58E7">
        <w:rPr>
          <w:rFonts w:ascii="Calibri" w:eastAsia="Calibri" w:hAnsi="Calibri" w:cs="Times New Roman"/>
          <w:sz w:val="22"/>
          <w:szCs w:val="22"/>
          <w:highlight w:val="yellow"/>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0D5E610" w14:textId="77777777" w:rsidR="00CF58E7" w:rsidRPr="00CF58E7" w:rsidRDefault="00CF58E7" w:rsidP="00CF58E7">
      <w:pPr>
        <w:spacing w:after="200" w:line="276" w:lineRule="auto"/>
        <w:rPr>
          <w:rFonts w:ascii="Calibri" w:eastAsia="Calibri" w:hAnsi="Calibri" w:cs="Times New Roman"/>
          <w:sz w:val="22"/>
          <w:szCs w:val="22"/>
          <w:highlight w:val="yellow"/>
          <w:lang w:val="en-US"/>
        </w:rPr>
      </w:pPr>
      <w:r w:rsidRPr="00CF58E7">
        <w:rPr>
          <w:rFonts w:ascii="Calibri" w:eastAsia="Calibri" w:hAnsi="Calibri" w:cs="Times New Roman"/>
          <w:sz w:val="22"/>
          <w:szCs w:val="22"/>
          <w:highlight w:val="yellow"/>
          <w:lang w:val="en-US"/>
        </w:rPr>
        <w:t>Details of the AI usage are given below:</w:t>
      </w:r>
    </w:p>
    <w:p w14:paraId="568CB5CE" w14:textId="58D56F1F" w:rsidR="00AA51B8" w:rsidRPr="00CF58E7" w:rsidRDefault="00CF58E7" w:rsidP="00AA51B8">
      <w:pPr>
        <w:spacing w:after="200" w:line="276" w:lineRule="auto"/>
        <w:rPr>
          <w:rFonts w:ascii="Calibri" w:eastAsia="Calibri" w:hAnsi="Calibri" w:cs="Times New Roman"/>
          <w:sz w:val="22"/>
          <w:szCs w:val="22"/>
          <w:highlight w:val="yellow"/>
          <w:lang w:val="en-US"/>
        </w:rPr>
      </w:pPr>
      <w:r w:rsidRPr="00CF58E7">
        <w:rPr>
          <w:rFonts w:ascii="Calibri" w:eastAsia="Calibri" w:hAnsi="Calibri" w:cs="Times New Roman"/>
          <w:sz w:val="22"/>
          <w:szCs w:val="22"/>
          <w:highlight w:val="yellow"/>
          <w:lang w:val="en-US"/>
        </w:rPr>
        <w:t>1.</w:t>
      </w:r>
      <w:r w:rsidR="00AA51B8" w:rsidRPr="00AA51B8">
        <w:rPr>
          <w:rFonts w:ascii="Calibri" w:eastAsia="Calibri" w:hAnsi="Calibri" w:cs="Times New Roman"/>
          <w:sz w:val="22"/>
          <w:szCs w:val="22"/>
          <w:highlight w:val="yellow"/>
          <w:lang w:val="en-US"/>
        </w:rPr>
        <w:t xml:space="preserve"> </w:t>
      </w:r>
      <w:r w:rsidR="00AA51B8" w:rsidRPr="00CF58E7">
        <w:rPr>
          <w:rFonts w:ascii="Calibri" w:eastAsia="Calibri" w:hAnsi="Calibri" w:cs="Times New Roman"/>
          <w:sz w:val="22"/>
          <w:szCs w:val="22"/>
          <w:highlight w:val="yellow"/>
          <w:lang w:val="en-US"/>
        </w:rPr>
        <w:t>Author(s) hereby declare that NO generative AI technologies such as Large Language Models (</w:t>
      </w:r>
      <w:proofErr w:type="spellStart"/>
      <w:r w:rsidR="00AA51B8" w:rsidRPr="00CF58E7">
        <w:rPr>
          <w:rFonts w:ascii="Calibri" w:eastAsia="Calibri" w:hAnsi="Calibri" w:cs="Times New Roman"/>
          <w:sz w:val="22"/>
          <w:szCs w:val="22"/>
          <w:highlight w:val="yellow"/>
          <w:lang w:val="en-US"/>
        </w:rPr>
        <w:t>ChatGPT</w:t>
      </w:r>
      <w:proofErr w:type="spellEnd"/>
      <w:r w:rsidR="00AA51B8" w:rsidRPr="00CF58E7">
        <w:rPr>
          <w:rFonts w:ascii="Calibri" w:eastAsia="Calibri" w:hAnsi="Calibri" w:cs="Times New Roman"/>
          <w:sz w:val="22"/>
          <w:szCs w:val="22"/>
          <w:highlight w:val="yellow"/>
          <w:lang w:val="en-US"/>
        </w:rPr>
        <w:t xml:space="preserve">, COPILOT, etc.) and text-to-image generators have been used during the writing or editing of this manuscript. </w:t>
      </w:r>
    </w:p>
    <w:p w14:paraId="58E7EA46" w14:textId="6F277C38" w:rsidR="00CF58E7" w:rsidRPr="00CF58E7" w:rsidRDefault="00CF58E7" w:rsidP="00CF58E7">
      <w:pPr>
        <w:spacing w:after="200" w:line="276" w:lineRule="auto"/>
        <w:rPr>
          <w:rFonts w:ascii="Calibri" w:eastAsia="Calibri" w:hAnsi="Calibri" w:cs="Times New Roman"/>
          <w:sz w:val="22"/>
          <w:szCs w:val="22"/>
          <w:highlight w:val="yellow"/>
          <w:lang w:val="en-US"/>
        </w:rPr>
      </w:pPr>
    </w:p>
    <w:p w14:paraId="54136003" w14:textId="77777777" w:rsidR="00CF58E7" w:rsidRPr="00CF58E7" w:rsidRDefault="00CF58E7" w:rsidP="00CF58E7">
      <w:pPr>
        <w:spacing w:after="200" w:line="276" w:lineRule="auto"/>
        <w:rPr>
          <w:rFonts w:ascii="Calibri" w:eastAsia="Calibri" w:hAnsi="Calibri" w:cs="Times New Roman"/>
          <w:sz w:val="22"/>
          <w:szCs w:val="22"/>
          <w:highlight w:val="yellow"/>
          <w:lang w:val="en-US"/>
        </w:rPr>
      </w:pPr>
      <w:r w:rsidRPr="00CF58E7">
        <w:rPr>
          <w:rFonts w:ascii="Calibri" w:eastAsia="Calibri" w:hAnsi="Calibri" w:cs="Times New Roman"/>
          <w:sz w:val="22"/>
          <w:szCs w:val="22"/>
          <w:highlight w:val="yellow"/>
          <w:lang w:val="en-US"/>
        </w:rPr>
        <w:t>2.</w:t>
      </w:r>
    </w:p>
    <w:p w14:paraId="0657321A" w14:textId="77777777" w:rsidR="00CF58E7" w:rsidRPr="00CF58E7" w:rsidRDefault="00CF58E7" w:rsidP="00CF58E7">
      <w:pPr>
        <w:spacing w:after="200" w:line="276" w:lineRule="auto"/>
        <w:rPr>
          <w:rFonts w:ascii="Calibri" w:eastAsia="Calibri" w:hAnsi="Calibri" w:cs="Times New Roman"/>
          <w:sz w:val="22"/>
          <w:szCs w:val="22"/>
          <w:lang w:val="en-US"/>
        </w:rPr>
      </w:pPr>
      <w:r w:rsidRPr="00CF58E7">
        <w:rPr>
          <w:rFonts w:ascii="Calibri" w:eastAsia="Calibri" w:hAnsi="Calibri" w:cs="Times New Roman"/>
          <w:sz w:val="22"/>
          <w:szCs w:val="22"/>
          <w:highlight w:val="yellow"/>
          <w:lang w:val="en-US"/>
        </w:rPr>
        <w:t>3.</w:t>
      </w:r>
    </w:p>
    <w:p w14:paraId="2E241E1F" w14:textId="77777777" w:rsidR="00CF58E7" w:rsidRPr="00FD413A" w:rsidRDefault="00CF58E7">
      <w:pPr>
        <w:rPr>
          <w:rFonts w:ascii="Arial" w:hAnsi="Arial" w:cs="Arial"/>
          <w:color w:val="222222"/>
          <w:shd w:val="clear" w:color="auto" w:fill="FFFFFF"/>
          <w:lang w:val="en-US"/>
        </w:rPr>
      </w:pPr>
    </w:p>
    <w:p w14:paraId="0EADCB77" w14:textId="77777777" w:rsidR="00CF58E7" w:rsidRPr="00FD413A" w:rsidRDefault="00CF58E7">
      <w:pPr>
        <w:rPr>
          <w:rFonts w:ascii="Arial" w:hAnsi="Arial" w:cs="Arial"/>
          <w:color w:val="222222"/>
          <w:shd w:val="clear" w:color="auto" w:fill="FFFFFF"/>
          <w:lang w:val="en-US"/>
        </w:rPr>
      </w:pPr>
    </w:p>
    <w:p w14:paraId="173B94E5" w14:textId="77777777" w:rsidR="008E0584" w:rsidRPr="00FD413A" w:rsidRDefault="008E0584">
      <w:pPr>
        <w:rPr>
          <w:rFonts w:ascii="Arial" w:hAnsi="Arial" w:cs="Arial"/>
          <w:b/>
          <w:bCs/>
          <w:color w:val="222222"/>
          <w:sz w:val="28"/>
          <w:szCs w:val="28"/>
          <w:shd w:val="clear" w:color="auto" w:fill="FFFFFF"/>
          <w:lang w:val="en-US"/>
        </w:rPr>
      </w:pPr>
      <w:r w:rsidRPr="00FD413A">
        <w:rPr>
          <w:rFonts w:ascii="Arial" w:hAnsi="Arial" w:cs="Arial"/>
          <w:b/>
          <w:bCs/>
          <w:color w:val="222222"/>
          <w:sz w:val="28"/>
          <w:szCs w:val="28"/>
          <w:shd w:val="clear" w:color="auto" w:fill="FFFFFF"/>
          <w:lang w:val="en-US"/>
        </w:rPr>
        <w:t>References</w:t>
      </w:r>
    </w:p>
    <w:p w14:paraId="63CBDF12" w14:textId="77777777" w:rsidR="008E0584" w:rsidRPr="00FD413A" w:rsidRDefault="008E0584">
      <w:pPr>
        <w:rPr>
          <w:rFonts w:ascii="Arial" w:hAnsi="Arial" w:cs="Arial"/>
          <w:b/>
          <w:bCs/>
          <w:color w:val="222222"/>
          <w:sz w:val="28"/>
          <w:szCs w:val="28"/>
          <w:shd w:val="clear" w:color="auto" w:fill="FFFFFF"/>
          <w:lang w:val="en-US"/>
        </w:rPr>
      </w:pPr>
    </w:p>
    <w:p w14:paraId="1F399320"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lastRenderedPageBreak/>
        <w:t>1 -</w:t>
      </w:r>
      <w:r w:rsidRPr="008E0584">
        <w:rPr>
          <w:rStyle w:val="apple-converted-space"/>
          <w:rFonts w:asciiTheme="minorBidi" w:hAnsiTheme="minorBidi" w:cstheme="minorBidi"/>
          <w:color w:val="222222"/>
          <w:lang w:val="en-US"/>
        </w:rPr>
        <w:t> </w:t>
      </w:r>
      <w:hyperlink r:id="rId8" w:tgtFrame="_blank" w:history="1">
        <w:r w:rsidRPr="008E0584">
          <w:rPr>
            <w:rStyle w:val="Lienhypertexte"/>
            <w:rFonts w:asciiTheme="minorBidi" w:hAnsiTheme="minorBidi" w:cstheme="minorBidi"/>
            <w:color w:val="1155CC"/>
            <w:lang w:val="en-US"/>
          </w:rPr>
          <w:t>Shikha Singla</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Paradoxical psoriasis with IL-17 inhibitors. </w:t>
      </w:r>
      <w:proofErr w:type="spellStart"/>
      <w:r w:rsidRPr="008E0584">
        <w:rPr>
          <w:rFonts w:asciiTheme="minorBidi" w:hAnsiTheme="minorBidi" w:cstheme="minorBidi"/>
          <w:color w:val="222222"/>
          <w:lang w:val="en-US"/>
        </w:rPr>
        <w:t>Rheumatol</w:t>
      </w:r>
      <w:proofErr w:type="spellEnd"/>
      <w:r w:rsidRPr="008E0584">
        <w:rPr>
          <w:rFonts w:asciiTheme="minorBidi" w:hAnsiTheme="minorBidi" w:cstheme="minorBidi"/>
          <w:color w:val="222222"/>
          <w:lang w:val="en-US"/>
        </w:rPr>
        <w:t xml:space="preserve"> Adv </w:t>
      </w:r>
      <w:proofErr w:type="spellStart"/>
      <w:r w:rsidRPr="008E0584">
        <w:rPr>
          <w:rFonts w:asciiTheme="minorBidi" w:hAnsiTheme="minorBidi" w:cstheme="minorBidi"/>
          <w:color w:val="222222"/>
          <w:lang w:val="en-US"/>
        </w:rPr>
        <w:t>Pract</w:t>
      </w:r>
      <w:proofErr w:type="spellEnd"/>
      <w:r w:rsidRPr="008E0584">
        <w:rPr>
          <w:rFonts w:asciiTheme="minorBidi" w:hAnsiTheme="minorBidi" w:cstheme="minorBidi"/>
          <w:color w:val="222222"/>
          <w:lang w:val="en-US"/>
        </w:rPr>
        <w:t xml:space="preserve">. 2024 Jul 9;8(3):rkae082.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9" w:tgtFrame="_blank" w:history="1">
        <w:r w:rsidRPr="008E0584">
          <w:rPr>
            <w:rStyle w:val="Lienhypertexte"/>
            <w:rFonts w:asciiTheme="minorBidi" w:hAnsiTheme="minorBidi" w:cstheme="minorBidi"/>
            <w:color w:val="1155CC"/>
            <w:lang w:val="en-US"/>
          </w:rPr>
          <w:t>10.1093/rap/rkae082</w:t>
        </w:r>
      </w:hyperlink>
    </w:p>
    <w:p w14:paraId="7ECE0771" w14:textId="77777777" w:rsidR="008E0584" w:rsidRPr="008E0584" w:rsidRDefault="008E0584" w:rsidP="008E0584">
      <w:pPr>
        <w:pStyle w:val="NormalWeb"/>
        <w:rPr>
          <w:rFonts w:asciiTheme="minorBidi" w:hAnsiTheme="minorBidi" w:cstheme="minorBidi"/>
          <w:color w:val="222222"/>
          <w:lang w:val="en-US"/>
        </w:rPr>
      </w:pPr>
    </w:p>
    <w:p w14:paraId="41006B91"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2-</w:t>
      </w:r>
      <w:r w:rsidRPr="008E0584">
        <w:rPr>
          <w:rStyle w:val="apple-converted-space"/>
          <w:rFonts w:asciiTheme="minorBidi" w:hAnsiTheme="minorBidi" w:cstheme="minorBidi"/>
          <w:color w:val="222222"/>
          <w:lang w:val="en-US"/>
        </w:rPr>
        <w:t> </w:t>
      </w:r>
      <w:hyperlink r:id="rId10" w:tgtFrame="_blank" w:history="1">
        <w:r w:rsidRPr="008E0584">
          <w:rPr>
            <w:rStyle w:val="Lienhypertexte"/>
            <w:rFonts w:asciiTheme="minorBidi" w:hAnsiTheme="minorBidi" w:cstheme="minorBidi"/>
            <w:color w:val="1155CC"/>
            <w:lang w:val="en-US"/>
          </w:rPr>
          <w:t xml:space="preserve">Zuzana </w:t>
        </w:r>
        <w:proofErr w:type="spellStart"/>
        <w:r w:rsidRPr="008E0584">
          <w:rPr>
            <w:rStyle w:val="Lienhypertexte"/>
            <w:rFonts w:asciiTheme="minorBidi" w:hAnsiTheme="minorBidi" w:cstheme="minorBidi"/>
            <w:color w:val="1155CC"/>
            <w:lang w:val="en-US"/>
          </w:rPr>
          <w:t>Jiraskova</w:t>
        </w:r>
        <w:proofErr w:type="spellEnd"/>
        <w:r w:rsidRPr="008E0584">
          <w:rPr>
            <w:rStyle w:val="Lienhypertexte"/>
            <w:rFonts w:asciiTheme="minorBidi" w:hAnsiTheme="minorBidi" w:cstheme="minorBidi"/>
            <w:color w:val="1155CC"/>
            <w:lang w:val="en-US"/>
          </w:rPr>
          <w:t xml:space="preserve"> </w:t>
        </w:r>
        <w:proofErr w:type="spellStart"/>
        <w:r w:rsidRPr="008E0584">
          <w:rPr>
            <w:rStyle w:val="Lienhypertexte"/>
            <w:rFonts w:asciiTheme="minorBidi" w:hAnsiTheme="minorBidi" w:cstheme="minorBidi"/>
            <w:color w:val="1155CC"/>
            <w:lang w:val="en-US"/>
          </w:rPr>
          <w:t>Zakostelska</w:t>
        </w:r>
        <w:proofErr w:type="spellEnd"/>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et al , Paradoxical Reactions to Anti-TNF</w:t>
      </w:r>
      <w:r w:rsidRPr="008E0584">
        <w:rPr>
          <w:rFonts w:asciiTheme="minorBidi" w:hAnsiTheme="minorBidi" w:cstheme="minorBidi"/>
          <w:color w:val="222222"/>
        </w:rPr>
        <w:t>α</w:t>
      </w:r>
      <w:r w:rsidRPr="008E0584">
        <w:rPr>
          <w:rFonts w:asciiTheme="minorBidi" w:hAnsiTheme="minorBidi" w:cstheme="minorBidi"/>
          <w:color w:val="222222"/>
          <w:lang w:val="en-US"/>
        </w:rPr>
        <w:t xml:space="preserve"> and Anti-IL-17 Treatment in Psoriasis Patients: Are Skin and/or Gut Microbiota Involved? Dermatol </w:t>
      </w:r>
      <w:proofErr w:type="spellStart"/>
      <w:r w:rsidRPr="008E0584">
        <w:rPr>
          <w:rFonts w:asciiTheme="minorBidi" w:hAnsiTheme="minorBidi" w:cstheme="minorBidi"/>
          <w:color w:val="222222"/>
          <w:lang w:val="en-US"/>
        </w:rPr>
        <w:t>Ther</w:t>
      </w:r>
      <w:proofErr w:type="spellEnd"/>
      <w:r w:rsidRPr="008E0584">
        <w:rPr>
          <w:rFonts w:asciiTheme="minorBidi" w:hAnsiTheme="minorBidi" w:cstheme="minorBidi"/>
          <w:color w:val="222222"/>
          <w:lang w:val="en-US"/>
        </w:rPr>
        <w:t xml:space="preserve"> (</w:t>
      </w:r>
      <w:proofErr w:type="spellStart"/>
      <w:r w:rsidRPr="008E0584">
        <w:rPr>
          <w:rFonts w:asciiTheme="minorBidi" w:hAnsiTheme="minorBidi" w:cstheme="minorBidi"/>
          <w:color w:val="222222"/>
          <w:lang w:val="en-US"/>
        </w:rPr>
        <w:t>Heidelb</w:t>
      </w:r>
      <w:proofErr w:type="spellEnd"/>
      <w:r w:rsidRPr="008E0584">
        <w:rPr>
          <w:rFonts w:asciiTheme="minorBidi" w:hAnsiTheme="minorBidi" w:cstheme="minorBidi"/>
          <w:color w:val="222222"/>
          <w:lang w:val="en-US"/>
        </w:rPr>
        <w:t xml:space="preserve">). 2023 Mar 15;13(4):911–933.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11" w:tgtFrame="_blank" w:history="1">
        <w:r w:rsidRPr="008E0584">
          <w:rPr>
            <w:rStyle w:val="Lienhypertexte"/>
            <w:rFonts w:asciiTheme="minorBidi" w:hAnsiTheme="minorBidi" w:cstheme="minorBidi"/>
            <w:color w:val="1155CC"/>
            <w:lang w:val="en-US"/>
          </w:rPr>
          <w:t>10.1007/s13555-023-00904-4</w:t>
        </w:r>
      </w:hyperlink>
    </w:p>
    <w:p w14:paraId="482B7AB5" w14:textId="77777777" w:rsidR="008E0584" w:rsidRPr="008E0584" w:rsidRDefault="008E0584" w:rsidP="008E0584">
      <w:pPr>
        <w:pStyle w:val="NormalWeb"/>
        <w:rPr>
          <w:rFonts w:asciiTheme="minorBidi" w:hAnsiTheme="minorBidi" w:cstheme="minorBidi"/>
          <w:color w:val="222222"/>
          <w:lang w:val="en-US"/>
        </w:rPr>
      </w:pPr>
    </w:p>
    <w:p w14:paraId="470F5436"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3-</w:t>
      </w:r>
      <w:r w:rsidRPr="008E0584">
        <w:rPr>
          <w:rStyle w:val="apple-converted-space"/>
          <w:rFonts w:asciiTheme="minorBidi" w:hAnsiTheme="minorBidi" w:cstheme="minorBidi"/>
          <w:color w:val="222222"/>
          <w:lang w:val="en-US"/>
        </w:rPr>
        <w:t> </w:t>
      </w:r>
      <w:hyperlink r:id="rId12" w:tgtFrame="_blank" w:history="1">
        <w:r w:rsidRPr="008E0584">
          <w:rPr>
            <w:rStyle w:val="Lienhypertexte"/>
            <w:rFonts w:asciiTheme="minorBidi" w:hAnsiTheme="minorBidi" w:cstheme="minorBidi"/>
            <w:color w:val="1155CC"/>
            <w:lang w:val="en-US"/>
          </w:rPr>
          <w:t>Anna Gawdzik</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Paradoxical Skin Reaction to Certolizumab, an Overlap of Pyoderma Gangrenosum and Psoriasis in a Young Woman Treated for Ankylosing Spondylitis: Case Report with Literature Review. Dermatol </w:t>
      </w:r>
      <w:proofErr w:type="spellStart"/>
      <w:r w:rsidRPr="008E0584">
        <w:rPr>
          <w:rFonts w:asciiTheme="minorBidi" w:hAnsiTheme="minorBidi" w:cstheme="minorBidi"/>
          <w:color w:val="222222"/>
          <w:lang w:val="en-US"/>
        </w:rPr>
        <w:t>Ther</w:t>
      </w:r>
      <w:proofErr w:type="spellEnd"/>
      <w:r w:rsidRPr="008E0584">
        <w:rPr>
          <w:rFonts w:asciiTheme="minorBidi" w:hAnsiTheme="minorBidi" w:cstheme="minorBidi"/>
          <w:color w:val="222222"/>
          <w:lang w:val="en-US"/>
        </w:rPr>
        <w:t xml:space="preserve"> (</w:t>
      </w:r>
      <w:proofErr w:type="spellStart"/>
      <w:r w:rsidRPr="008E0584">
        <w:rPr>
          <w:rFonts w:asciiTheme="minorBidi" w:hAnsiTheme="minorBidi" w:cstheme="minorBidi"/>
          <w:color w:val="222222"/>
          <w:lang w:val="en-US"/>
        </w:rPr>
        <w:t>Heidelb</w:t>
      </w:r>
      <w:proofErr w:type="spellEnd"/>
      <w:r w:rsidRPr="008E0584">
        <w:rPr>
          <w:rFonts w:asciiTheme="minorBidi" w:hAnsiTheme="minorBidi" w:cstheme="minorBidi"/>
          <w:color w:val="222222"/>
          <w:lang w:val="en-US"/>
        </w:rPr>
        <w:t>) (2020) 10:869–879</w:t>
      </w:r>
      <w:r>
        <w:rPr>
          <w:rFonts w:asciiTheme="minorBidi" w:hAnsiTheme="minorBidi" w:cstheme="minorBidi"/>
          <w:color w:val="222222"/>
          <w:lang w:val="en-US"/>
        </w:rPr>
        <w:t xml:space="preserve"> </w:t>
      </w:r>
      <w:hyperlink r:id="rId13" w:history="1">
        <w:r w:rsidRPr="00062233">
          <w:rPr>
            <w:rStyle w:val="Lienhypertexte"/>
            <w:rFonts w:asciiTheme="minorBidi" w:hAnsiTheme="minorBidi" w:cstheme="minorBidi"/>
            <w:lang w:val="en-US"/>
          </w:rPr>
          <w:t>https://doi.org/10.1007/s13555-020-00398-4</w:t>
        </w:r>
      </w:hyperlink>
    </w:p>
    <w:p w14:paraId="321E6905" w14:textId="77777777" w:rsidR="008E0584" w:rsidRPr="008E0584" w:rsidRDefault="008E0584" w:rsidP="008E0584">
      <w:pPr>
        <w:pStyle w:val="NormalWeb"/>
        <w:rPr>
          <w:rFonts w:asciiTheme="minorBidi" w:hAnsiTheme="minorBidi" w:cstheme="minorBidi"/>
          <w:color w:val="222222"/>
          <w:lang w:val="en-US"/>
        </w:rPr>
      </w:pPr>
    </w:p>
    <w:p w14:paraId="53AFB0A5"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4- Xin-Yi Shao et al , A Patient with Adalimumab-Induced Refractory</w:t>
      </w:r>
      <w:r>
        <w:rPr>
          <w:rFonts w:asciiTheme="minorBidi" w:hAnsiTheme="minorBidi" w:cstheme="minorBidi"/>
          <w:color w:val="222222"/>
          <w:lang w:val="en-US"/>
        </w:rPr>
        <w:t xml:space="preserve"> </w:t>
      </w:r>
      <w:r w:rsidRPr="008E0584">
        <w:rPr>
          <w:rFonts w:asciiTheme="minorBidi" w:hAnsiTheme="minorBidi" w:cstheme="minorBidi"/>
          <w:color w:val="222222"/>
          <w:lang w:val="en-US"/>
        </w:rPr>
        <w:t xml:space="preserve">Paradoxical </w:t>
      </w:r>
      <w:r>
        <w:rPr>
          <w:rFonts w:asciiTheme="minorBidi" w:hAnsiTheme="minorBidi" w:cstheme="minorBidi"/>
          <w:color w:val="222222"/>
          <w:lang w:val="en-US"/>
        </w:rPr>
        <w:t xml:space="preserve"> </w:t>
      </w:r>
      <w:r w:rsidRPr="008E0584">
        <w:rPr>
          <w:rFonts w:asciiTheme="minorBidi" w:hAnsiTheme="minorBidi" w:cstheme="minorBidi"/>
          <w:color w:val="222222"/>
          <w:lang w:val="en-US"/>
        </w:rPr>
        <w:t>Palmoplantar Pustulosis Was</w:t>
      </w:r>
      <w:r>
        <w:rPr>
          <w:rFonts w:asciiTheme="minorBidi" w:hAnsiTheme="minorBidi" w:cstheme="minorBidi"/>
          <w:color w:val="222222"/>
          <w:lang w:val="en-US"/>
        </w:rPr>
        <w:t xml:space="preserve"> </w:t>
      </w:r>
      <w:r w:rsidRPr="008E0584">
        <w:rPr>
          <w:rFonts w:asciiTheme="minorBidi" w:hAnsiTheme="minorBidi" w:cstheme="minorBidi"/>
          <w:color w:val="222222"/>
          <w:lang w:val="en-US"/>
        </w:rPr>
        <w:t xml:space="preserve">Successfully Treated by </w:t>
      </w:r>
      <w:proofErr w:type="spellStart"/>
      <w:r w:rsidRPr="008E0584">
        <w:rPr>
          <w:rFonts w:asciiTheme="minorBidi" w:hAnsiTheme="minorBidi" w:cstheme="minorBidi"/>
          <w:color w:val="222222"/>
          <w:lang w:val="en-US"/>
        </w:rPr>
        <w:t>Ixekizumab</w:t>
      </w:r>
      <w:proofErr w:type="spellEnd"/>
      <w:r w:rsidRPr="008E0584">
        <w:rPr>
          <w:rFonts w:asciiTheme="minorBidi" w:hAnsiTheme="minorBidi" w:cstheme="minorBidi"/>
          <w:color w:val="222222"/>
          <w:lang w:val="en-US"/>
        </w:rPr>
        <w:t>: A Case Report. Clinical, Cosmetic and Investigational Dermatology 2023:16 879–881.</w:t>
      </w:r>
      <w:hyperlink r:id="rId14" w:tgtFrame="_blank" w:history="1">
        <w:r w:rsidRPr="008E0584">
          <w:rPr>
            <w:rStyle w:val="Lienhypertexte"/>
            <w:rFonts w:asciiTheme="minorBidi" w:hAnsiTheme="minorBidi" w:cstheme="minorBidi"/>
            <w:color w:val="1155CC"/>
            <w:lang w:val="en-US"/>
          </w:rPr>
          <w:t>https://doi.org/10.2147/CCID.S406164</w:t>
        </w:r>
      </w:hyperlink>
    </w:p>
    <w:p w14:paraId="16187CE4" w14:textId="77777777" w:rsidR="008E0584" w:rsidRPr="008E0584" w:rsidRDefault="008E0584" w:rsidP="008E0584">
      <w:pPr>
        <w:pStyle w:val="NormalWeb"/>
        <w:rPr>
          <w:rFonts w:asciiTheme="minorBidi" w:hAnsiTheme="minorBidi" w:cstheme="minorBidi"/>
          <w:color w:val="222222"/>
          <w:lang w:val="en-US"/>
        </w:rPr>
      </w:pPr>
    </w:p>
    <w:p w14:paraId="447BED3A"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5-</w:t>
      </w:r>
      <w:r w:rsidRPr="008E0584">
        <w:rPr>
          <w:rStyle w:val="apple-converted-space"/>
          <w:rFonts w:asciiTheme="minorBidi" w:hAnsiTheme="minorBidi" w:cstheme="minorBidi"/>
          <w:color w:val="222222"/>
          <w:lang w:val="en-US"/>
        </w:rPr>
        <w:t> </w:t>
      </w:r>
      <w:proofErr w:type="spellStart"/>
      <w:r w:rsidR="00000000">
        <w:fldChar w:fldCharType="begin"/>
      </w:r>
      <w:r w:rsidR="00000000" w:rsidRPr="00FD413A">
        <w:rPr>
          <w:lang w:val="en-US"/>
        </w:rPr>
        <w:instrText>HYPERLINK "https://pubmed.ncbi.nlm.nih.gov/?term=%22Soto%20Lopes%20MS%22%5BAuthor%5D" \t "_blank"</w:instrText>
      </w:r>
      <w:r w:rsidR="00000000">
        <w:fldChar w:fldCharType="separate"/>
      </w:r>
      <w:r w:rsidRPr="008E0584">
        <w:rPr>
          <w:rStyle w:val="Lienhypertexte"/>
          <w:rFonts w:asciiTheme="minorBidi" w:hAnsiTheme="minorBidi" w:cstheme="minorBidi"/>
          <w:color w:val="1155CC"/>
          <w:lang w:val="en-US"/>
        </w:rPr>
        <w:t>Marien</w:t>
      </w:r>
      <w:proofErr w:type="spellEnd"/>
      <w:r w:rsidRPr="008E0584">
        <w:rPr>
          <w:rStyle w:val="Lienhypertexte"/>
          <w:rFonts w:asciiTheme="minorBidi" w:hAnsiTheme="minorBidi" w:cstheme="minorBidi"/>
          <w:color w:val="1155CC"/>
          <w:lang w:val="en-US"/>
        </w:rPr>
        <w:t xml:space="preserve"> Siqueira Soto Lopes</w:t>
      </w:r>
      <w:r w:rsidR="00000000">
        <w:rPr>
          <w:rStyle w:val="Lienhypertexte"/>
          <w:rFonts w:asciiTheme="minorBidi" w:hAnsiTheme="minorBidi" w:cstheme="minorBidi"/>
          <w:color w:val="1155CC"/>
          <w:lang w:val="en-US"/>
        </w:rPr>
        <w:fldChar w:fldCharType="end"/>
      </w:r>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 Paradoxical Reaction to Golimumab: Tumor Necrosis Factor </w:t>
      </w:r>
      <w:r w:rsidRPr="008E0584">
        <w:rPr>
          <w:rFonts w:asciiTheme="minorBidi" w:hAnsiTheme="minorBidi" w:cstheme="minorBidi"/>
          <w:color w:val="222222"/>
        </w:rPr>
        <w:t>α</w:t>
      </w:r>
      <w:r w:rsidRPr="008E0584">
        <w:rPr>
          <w:rFonts w:asciiTheme="minorBidi" w:hAnsiTheme="minorBidi" w:cstheme="minorBidi"/>
          <w:color w:val="222222"/>
          <w:lang w:val="en-US"/>
        </w:rPr>
        <w:t xml:space="preserve"> Inhibitor Inducing Psoriasis Pustulosa. Case Rep Dermatol. 2013 Nov 7;5(3):326–331.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15" w:tgtFrame="_blank" w:history="1">
        <w:r w:rsidRPr="008E0584">
          <w:rPr>
            <w:rStyle w:val="Lienhypertexte"/>
            <w:rFonts w:asciiTheme="minorBidi" w:hAnsiTheme="minorBidi" w:cstheme="minorBidi"/>
            <w:color w:val="1155CC"/>
            <w:lang w:val="en-US"/>
          </w:rPr>
          <w:t>10.1159/000350930</w:t>
        </w:r>
      </w:hyperlink>
    </w:p>
    <w:p w14:paraId="61489EF6" w14:textId="77777777" w:rsidR="008E0584" w:rsidRPr="008E0584" w:rsidRDefault="008E0584" w:rsidP="008E0584">
      <w:pPr>
        <w:pStyle w:val="NormalWeb"/>
        <w:rPr>
          <w:rFonts w:asciiTheme="minorBidi" w:hAnsiTheme="minorBidi" w:cstheme="minorBidi"/>
          <w:color w:val="222222"/>
          <w:lang w:val="en-US"/>
        </w:rPr>
      </w:pPr>
    </w:p>
    <w:p w14:paraId="3A073BDA"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6- Yufeng Yin et al ,Efficacy and safety of IL-17 inhibitors for the treatment of ankylosing spondylitis: a systematic review and meta-analysis. Arthritis Research &amp; Therapy</w:t>
      </w:r>
      <w:r w:rsidRPr="008E0584">
        <w:rPr>
          <w:rStyle w:val="apple-converted-space"/>
          <w:rFonts w:asciiTheme="minorBidi" w:hAnsiTheme="minorBidi" w:cstheme="minorBidi"/>
          <w:color w:val="222222"/>
          <w:lang w:val="en-US"/>
        </w:rPr>
        <w:t> </w:t>
      </w:r>
      <w:r w:rsidR="00684525" w:rsidRPr="008E0584">
        <w:rPr>
          <w:rFonts w:asciiTheme="minorBidi" w:hAnsiTheme="minorBidi" w:cstheme="minorBidi"/>
          <w:color w:val="222222"/>
          <w:lang w:val="en-US"/>
        </w:rPr>
        <w:t>(2020) 22:111</w:t>
      </w:r>
      <w:r w:rsidR="00684525">
        <w:rPr>
          <w:rFonts w:asciiTheme="minorBidi" w:hAnsiTheme="minorBidi" w:cstheme="minorBidi"/>
          <w:color w:val="222222"/>
          <w:lang w:val="en-US"/>
        </w:rPr>
        <w:t xml:space="preserve"> </w:t>
      </w:r>
      <w:hyperlink r:id="rId16" w:history="1">
        <w:r w:rsidR="00684525" w:rsidRPr="00062233">
          <w:rPr>
            <w:rStyle w:val="Lienhypertexte"/>
            <w:rFonts w:asciiTheme="minorBidi" w:hAnsiTheme="minorBidi" w:cstheme="minorBidi"/>
            <w:lang w:val="en-US"/>
          </w:rPr>
          <w:t>https://doi.org/10.1186/s13075-020-02208-w</w:t>
        </w:r>
      </w:hyperlink>
    </w:p>
    <w:p w14:paraId="428FF708" w14:textId="77777777" w:rsidR="008E0584" w:rsidRPr="008E0584" w:rsidRDefault="008E0584" w:rsidP="008E0584">
      <w:pPr>
        <w:pStyle w:val="NormalWeb"/>
        <w:rPr>
          <w:rFonts w:asciiTheme="minorBidi" w:hAnsiTheme="minorBidi" w:cstheme="minorBidi"/>
          <w:color w:val="222222"/>
          <w:lang w:val="en-US"/>
        </w:rPr>
      </w:pPr>
    </w:p>
    <w:p w14:paraId="2804C9C5"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7-</w:t>
      </w:r>
      <w:r w:rsidRPr="008E0584">
        <w:rPr>
          <w:rStyle w:val="apple-converted-space"/>
          <w:rFonts w:asciiTheme="minorBidi" w:hAnsiTheme="minorBidi" w:cstheme="minorBidi"/>
          <w:color w:val="222222"/>
          <w:lang w:val="en-US"/>
        </w:rPr>
        <w:t> </w:t>
      </w:r>
      <w:hyperlink r:id="rId17" w:tgtFrame="_blank" w:history="1">
        <w:r w:rsidRPr="008E0584">
          <w:rPr>
            <w:rStyle w:val="Lienhypertexte"/>
            <w:rFonts w:asciiTheme="minorBidi" w:hAnsiTheme="minorBidi" w:cstheme="minorBidi"/>
            <w:color w:val="1155CC"/>
            <w:lang w:val="en-US"/>
          </w:rPr>
          <w:t xml:space="preserve">Khalid A. </w:t>
        </w:r>
        <w:proofErr w:type="spellStart"/>
        <w:r w:rsidRPr="008E0584">
          <w:rPr>
            <w:rStyle w:val="Lienhypertexte"/>
            <w:rFonts w:asciiTheme="minorBidi" w:hAnsiTheme="minorBidi" w:cstheme="minorBidi"/>
            <w:color w:val="1155CC"/>
            <w:lang w:val="en-US"/>
          </w:rPr>
          <w:t>Alnaqbi</w:t>
        </w:r>
        <w:proofErr w:type="spellEnd"/>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 Paradoxical Inflammatory Bowel Disease Induced by Golimumab in a Patient </w:t>
      </w:r>
      <w:proofErr w:type="gramStart"/>
      <w:r w:rsidRPr="008E0584">
        <w:rPr>
          <w:rFonts w:asciiTheme="minorBidi" w:hAnsiTheme="minorBidi" w:cstheme="minorBidi"/>
          <w:color w:val="222222"/>
          <w:lang w:val="en-US"/>
        </w:rPr>
        <w:t>With</w:t>
      </w:r>
      <w:proofErr w:type="gramEnd"/>
      <w:r w:rsidRPr="008E0584">
        <w:rPr>
          <w:rFonts w:asciiTheme="minorBidi" w:hAnsiTheme="minorBidi" w:cstheme="minorBidi"/>
          <w:color w:val="222222"/>
          <w:lang w:val="en-US"/>
        </w:rPr>
        <w:t xml:space="preserve"> Ankylosing Spondylitis: A Case Report and Systematic Review. Cureus. 2025 Jan 13;17(1):e77363.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18" w:tgtFrame="_blank" w:history="1">
        <w:r w:rsidRPr="008E0584">
          <w:rPr>
            <w:rStyle w:val="Lienhypertexte"/>
            <w:rFonts w:asciiTheme="minorBidi" w:hAnsiTheme="minorBidi" w:cstheme="minorBidi"/>
            <w:color w:val="1155CC"/>
            <w:lang w:val="en-US"/>
          </w:rPr>
          <w:t>10.7759/cureus.77363</w:t>
        </w:r>
      </w:hyperlink>
    </w:p>
    <w:p w14:paraId="5ABD5891" w14:textId="77777777" w:rsidR="008E0584" w:rsidRPr="008E0584" w:rsidRDefault="008E0584" w:rsidP="008E0584">
      <w:pPr>
        <w:pStyle w:val="NormalWeb"/>
        <w:rPr>
          <w:rFonts w:asciiTheme="minorBidi" w:hAnsiTheme="minorBidi" w:cstheme="minorBidi"/>
          <w:color w:val="222222"/>
          <w:lang w:val="en-US"/>
        </w:rPr>
      </w:pPr>
    </w:p>
    <w:p w14:paraId="2CFB8FE3"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8-</w:t>
      </w:r>
      <w:r w:rsidRPr="008E0584">
        <w:rPr>
          <w:rStyle w:val="apple-converted-space"/>
          <w:rFonts w:asciiTheme="minorBidi" w:hAnsiTheme="minorBidi" w:cstheme="minorBidi"/>
          <w:color w:val="222222"/>
          <w:lang w:val="en-US"/>
        </w:rPr>
        <w:t> </w:t>
      </w:r>
      <w:hyperlink r:id="rId19" w:tgtFrame="_blank" w:history="1">
        <w:r w:rsidRPr="008E0584">
          <w:rPr>
            <w:rStyle w:val="Lienhypertexte"/>
            <w:rFonts w:asciiTheme="minorBidi" w:hAnsiTheme="minorBidi" w:cstheme="minorBidi"/>
            <w:color w:val="1155CC"/>
            <w:lang w:val="en-US"/>
          </w:rPr>
          <w:t>Giovanni Damiani</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When IL-17 inhibitors fail: Real-life evidence to switch from </w:t>
      </w:r>
      <w:proofErr w:type="spellStart"/>
      <w:r w:rsidRPr="008E0584">
        <w:rPr>
          <w:rFonts w:asciiTheme="minorBidi" w:hAnsiTheme="minorBidi" w:cstheme="minorBidi"/>
          <w:color w:val="222222"/>
          <w:lang w:val="en-US"/>
        </w:rPr>
        <w:t>secukinumab</w:t>
      </w:r>
      <w:proofErr w:type="spellEnd"/>
      <w:r w:rsidRPr="008E0584">
        <w:rPr>
          <w:rFonts w:asciiTheme="minorBidi" w:hAnsiTheme="minorBidi" w:cstheme="minorBidi"/>
          <w:color w:val="222222"/>
          <w:lang w:val="en-US"/>
        </w:rPr>
        <w:t xml:space="preserve"> to adalimumab or </w:t>
      </w:r>
      <w:proofErr w:type="spellStart"/>
      <w:r w:rsidRPr="008E0584">
        <w:rPr>
          <w:rFonts w:asciiTheme="minorBidi" w:hAnsiTheme="minorBidi" w:cstheme="minorBidi"/>
          <w:color w:val="222222"/>
          <w:lang w:val="en-US"/>
        </w:rPr>
        <w:t>ustekinumab</w:t>
      </w:r>
      <w:proofErr w:type="spellEnd"/>
      <w:r w:rsidRPr="008E0584">
        <w:rPr>
          <w:rFonts w:asciiTheme="minorBidi" w:hAnsiTheme="minorBidi" w:cstheme="minorBidi"/>
          <w:color w:val="222222"/>
          <w:lang w:val="en-US"/>
        </w:rPr>
        <w:t>.</w:t>
      </w:r>
    </w:p>
    <w:p w14:paraId="49CBCFCE" w14:textId="77777777" w:rsidR="008E0584" w:rsidRPr="008E0584" w:rsidRDefault="00000000" w:rsidP="008E0584">
      <w:pPr>
        <w:pStyle w:val="NormalWeb"/>
        <w:rPr>
          <w:rFonts w:asciiTheme="minorBidi" w:hAnsiTheme="minorBidi" w:cstheme="minorBidi"/>
          <w:color w:val="222222"/>
          <w:lang w:val="en-US"/>
        </w:rPr>
      </w:pPr>
      <w:hyperlink r:id="rId20" w:tgtFrame="_blank" w:history="1">
        <w:r w:rsidR="008E0584" w:rsidRPr="008E0584">
          <w:rPr>
            <w:rStyle w:val="Lienhypertexte"/>
            <w:rFonts w:asciiTheme="minorBidi" w:hAnsiTheme="minorBidi" w:cstheme="minorBidi"/>
            <w:color w:val="1155CC"/>
            <w:lang w:val="en-US"/>
          </w:rPr>
          <w:t>Dermatologic Therapy</w:t>
        </w:r>
      </w:hyperlink>
      <w:hyperlink r:id="rId21" w:tgtFrame="_blank" w:history="1">
        <w:r w:rsidR="008E0584" w:rsidRPr="008E0584">
          <w:rPr>
            <w:rStyle w:val="Lienhypertexte"/>
            <w:rFonts w:asciiTheme="minorBidi" w:hAnsiTheme="minorBidi" w:cstheme="minorBidi"/>
            <w:color w:val="1155CC"/>
            <w:lang w:val="en-US"/>
          </w:rPr>
          <w:t>Volume 32, Issue 2</w:t>
        </w:r>
      </w:hyperlink>
      <w:r w:rsidR="008E0584" w:rsidRPr="008E0584">
        <w:rPr>
          <w:rStyle w:val="apple-converted-space"/>
          <w:rFonts w:asciiTheme="minorBidi" w:hAnsiTheme="minorBidi" w:cstheme="minorBidi"/>
          <w:color w:val="222222"/>
          <w:lang w:val="en-US"/>
        </w:rPr>
        <w:t> </w:t>
      </w:r>
      <w:r w:rsidR="008E0584" w:rsidRPr="008E0584">
        <w:rPr>
          <w:rFonts w:asciiTheme="minorBidi" w:hAnsiTheme="minorBidi" w:cstheme="minorBidi"/>
          <w:color w:val="222222"/>
          <w:lang w:val="en-US"/>
        </w:rPr>
        <w:t>e12793.</w:t>
      </w:r>
      <w:r w:rsidR="008E0584" w:rsidRPr="008E0584">
        <w:rPr>
          <w:rStyle w:val="apple-converted-space"/>
          <w:rFonts w:asciiTheme="minorBidi" w:hAnsiTheme="minorBidi" w:cstheme="minorBidi"/>
          <w:color w:val="222222"/>
          <w:lang w:val="en-US"/>
        </w:rPr>
        <w:t> </w:t>
      </w:r>
      <w:hyperlink r:id="rId22" w:tgtFrame="_blank" w:history="1">
        <w:r w:rsidR="008E0584" w:rsidRPr="008E0584">
          <w:rPr>
            <w:rStyle w:val="Lienhypertexte"/>
            <w:rFonts w:asciiTheme="minorBidi" w:hAnsiTheme="minorBidi" w:cstheme="minorBidi"/>
            <w:color w:val="1155CC"/>
            <w:lang w:val="en-US"/>
          </w:rPr>
          <w:t>https://doi.org/10.1111/dth.12793</w:t>
        </w:r>
      </w:hyperlink>
    </w:p>
    <w:p w14:paraId="2AEFF199" w14:textId="77777777" w:rsidR="008E0584" w:rsidRPr="008E0584" w:rsidRDefault="008E0584" w:rsidP="008E0584">
      <w:pPr>
        <w:pStyle w:val="NormalWeb"/>
        <w:rPr>
          <w:rFonts w:asciiTheme="minorBidi" w:hAnsiTheme="minorBidi" w:cstheme="minorBidi"/>
          <w:color w:val="222222"/>
          <w:lang w:val="en-US"/>
        </w:rPr>
      </w:pPr>
    </w:p>
    <w:p w14:paraId="5214334D"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lastRenderedPageBreak/>
        <w:t>9- Nikolai Loft MD et al, Efficacy of a second interleukin 17 inhibitor in patients with psoriasis: A systematic review and meta-analysis. </w:t>
      </w:r>
      <w:hyperlink r:id="rId23" w:tgtFrame="_blank" w:history="1">
        <w:r w:rsidRPr="008E0584">
          <w:rPr>
            <w:rStyle w:val="Lienhypertexte"/>
            <w:rFonts w:asciiTheme="minorBidi" w:hAnsiTheme="minorBidi" w:cstheme="minorBidi"/>
            <w:color w:val="1155CC"/>
            <w:lang w:val="en-US"/>
          </w:rPr>
          <w:t>Journal of the American Academy of Dermatology</w:t>
        </w:r>
      </w:hyperlink>
      <w:r w:rsidRPr="008E0584">
        <w:rPr>
          <w:rStyle w:val="apple-converted-space"/>
          <w:rFonts w:asciiTheme="minorBidi" w:hAnsiTheme="minorBidi" w:cstheme="minorBidi"/>
          <w:color w:val="222222"/>
          <w:lang w:val="en-US"/>
        </w:rPr>
        <w:t> </w:t>
      </w:r>
      <w:hyperlink r:id="rId24" w:tgtFrame="_blank" w:history="1">
        <w:r w:rsidRPr="008E0584">
          <w:rPr>
            <w:rStyle w:val="Lienhypertexte"/>
            <w:rFonts w:asciiTheme="minorBidi" w:hAnsiTheme="minorBidi" w:cstheme="minorBidi"/>
            <w:color w:val="1155CC"/>
            <w:lang w:val="en-US"/>
          </w:rPr>
          <w:t>Volume 84, Issue 1</w:t>
        </w:r>
      </w:hyperlink>
      <w:r w:rsidRPr="008E0584">
        <w:rPr>
          <w:rFonts w:asciiTheme="minorBidi" w:hAnsiTheme="minorBidi" w:cstheme="minorBidi"/>
          <w:color w:val="222222"/>
          <w:lang w:val="en-US"/>
        </w:rPr>
        <w:t>, January 2021, Pages 130-138.</w:t>
      </w:r>
      <w:r w:rsidRPr="008E0584">
        <w:rPr>
          <w:rStyle w:val="apple-converted-space"/>
          <w:rFonts w:asciiTheme="minorBidi" w:hAnsiTheme="minorBidi" w:cstheme="minorBidi"/>
          <w:color w:val="222222"/>
          <w:lang w:val="en-US"/>
        </w:rPr>
        <w:t> </w:t>
      </w:r>
      <w:hyperlink r:id="rId25" w:tgtFrame="_blank" w:history="1">
        <w:r w:rsidRPr="008E0584">
          <w:rPr>
            <w:rStyle w:val="Lienhypertexte"/>
            <w:rFonts w:asciiTheme="minorBidi" w:hAnsiTheme="minorBidi" w:cstheme="minorBidi"/>
            <w:color w:val="1155CC"/>
            <w:lang w:val="en-US"/>
          </w:rPr>
          <w:t>https://doi.org/10.1016/j.jaad.2020.07.085</w:t>
        </w:r>
      </w:hyperlink>
    </w:p>
    <w:p w14:paraId="6C00FE11" w14:textId="77777777" w:rsidR="008E0584" w:rsidRPr="008E0584" w:rsidRDefault="008E0584" w:rsidP="008E0584">
      <w:pPr>
        <w:pStyle w:val="NormalWeb"/>
        <w:rPr>
          <w:rFonts w:asciiTheme="minorBidi" w:hAnsiTheme="minorBidi" w:cstheme="minorBidi"/>
          <w:color w:val="222222"/>
          <w:lang w:val="en-US"/>
        </w:rPr>
      </w:pPr>
    </w:p>
    <w:p w14:paraId="7D1FBDFF"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10 - </w:t>
      </w:r>
      <w:proofErr w:type="spellStart"/>
      <w:r w:rsidRPr="008E0584">
        <w:rPr>
          <w:rFonts w:asciiTheme="minorBidi" w:hAnsiTheme="minorBidi" w:cstheme="minorBidi"/>
          <w:color w:val="222222"/>
          <w:lang w:val="en-US"/>
        </w:rPr>
        <w:t>Rotraut</w:t>
      </w:r>
      <w:proofErr w:type="spellEnd"/>
      <w:r w:rsidRPr="008E0584">
        <w:rPr>
          <w:rFonts w:asciiTheme="minorBidi" w:hAnsiTheme="minorBidi" w:cstheme="minorBidi"/>
          <w:color w:val="222222"/>
          <w:lang w:val="en-US"/>
        </w:rPr>
        <w:t xml:space="preserve"> </w:t>
      </w:r>
      <w:proofErr w:type="spellStart"/>
      <w:r w:rsidRPr="008E0584">
        <w:rPr>
          <w:rFonts w:asciiTheme="minorBidi" w:hAnsiTheme="minorBidi" w:cstheme="minorBidi"/>
          <w:color w:val="222222"/>
          <w:lang w:val="en-US"/>
        </w:rPr>
        <w:t>Mössner</w:t>
      </w:r>
      <w:proofErr w:type="spellEnd"/>
      <w:r w:rsidRPr="008E0584">
        <w:rPr>
          <w:rFonts w:asciiTheme="minorBidi" w:hAnsiTheme="minorBidi" w:cstheme="minorBidi"/>
          <w:color w:val="222222"/>
          <w:lang w:val="en-US"/>
        </w:rPr>
        <w:t> et al, Manifestation of palmoplantar pustulosis during or after infliximab therapy for plaque-type psoriasis: report on five cases. Arch Dermatol Res (2008) 300:101–105</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DOI 10.1007/s00403-008-0831-8</w:t>
      </w:r>
    </w:p>
    <w:p w14:paraId="45C8C829" w14:textId="77777777" w:rsidR="008E0584" w:rsidRPr="008E0584" w:rsidRDefault="00684525" w:rsidP="008E0584">
      <w:pPr>
        <w:pStyle w:val="NormalWeb"/>
        <w:rPr>
          <w:rFonts w:asciiTheme="minorBidi" w:hAnsiTheme="minorBidi" w:cstheme="minorBidi"/>
          <w:color w:val="222222"/>
          <w:lang w:val="en-US"/>
        </w:rPr>
      </w:pPr>
      <w:r>
        <w:rPr>
          <w:rFonts w:asciiTheme="minorBidi" w:hAnsiTheme="minorBidi" w:cstheme="minorBidi"/>
          <w:color w:val="222222"/>
          <w:lang w:val="en-US"/>
        </w:rPr>
        <w:t xml:space="preserve"> </w:t>
      </w:r>
    </w:p>
    <w:p w14:paraId="42B3B5B8"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11-</w:t>
      </w:r>
      <w:r w:rsidRPr="008E0584">
        <w:rPr>
          <w:rStyle w:val="apple-converted-space"/>
          <w:rFonts w:asciiTheme="minorBidi" w:hAnsiTheme="minorBidi" w:cstheme="minorBidi"/>
          <w:color w:val="222222"/>
          <w:lang w:val="en-US"/>
        </w:rPr>
        <w:t> </w:t>
      </w:r>
      <w:hyperlink r:id="rId26" w:tgtFrame="_blank" w:history="1">
        <w:r w:rsidRPr="008E0584">
          <w:rPr>
            <w:rStyle w:val="Lienhypertexte"/>
            <w:rFonts w:asciiTheme="minorBidi" w:hAnsiTheme="minorBidi" w:cstheme="minorBidi"/>
            <w:color w:val="1155CC"/>
            <w:lang w:val="en-US"/>
          </w:rPr>
          <w:t>Daniela Anghel</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 Paradoxical pustular psoriasis in a patient with </w:t>
      </w:r>
      <w:proofErr w:type="spellStart"/>
      <w:r w:rsidRPr="008E0584">
        <w:rPr>
          <w:rFonts w:asciiTheme="minorBidi" w:hAnsiTheme="minorBidi" w:cstheme="minorBidi"/>
          <w:color w:val="222222"/>
          <w:lang w:val="en-US"/>
        </w:rPr>
        <w:t>spondyloarthritis</w:t>
      </w:r>
      <w:proofErr w:type="spellEnd"/>
      <w:r w:rsidRPr="008E0584">
        <w:rPr>
          <w:rFonts w:asciiTheme="minorBidi" w:hAnsiTheme="minorBidi" w:cstheme="minorBidi"/>
          <w:color w:val="222222"/>
          <w:lang w:val="en-US"/>
        </w:rPr>
        <w:t xml:space="preserve"> treated with </w:t>
      </w:r>
      <w:proofErr w:type="spellStart"/>
      <w:r w:rsidRPr="008E0584">
        <w:rPr>
          <w:rFonts w:asciiTheme="minorBidi" w:hAnsiTheme="minorBidi" w:cstheme="minorBidi"/>
          <w:color w:val="222222"/>
          <w:lang w:val="en-US"/>
        </w:rPr>
        <w:t>secukinumab</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27" w:tgtFrame="_blank" w:history="1">
        <w:r w:rsidRPr="008E0584">
          <w:rPr>
            <w:rStyle w:val="Lienhypertexte"/>
            <w:rFonts w:asciiTheme="minorBidi" w:hAnsiTheme="minorBidi" w:cstheme="minorBidi"/>
            <w:color w:val="1155CC"/>
            <w:lang w:val="en-US"/>
          </w:rPr>
          <w:t>JEADV Clinical Practice</w:t>
        </w:r>
      </w:hyperlink>
      <w:hyperlink r:id="rId28" w:tgtFrame="_blank" w:history="1">
        <w:r w:rsidRPr="008E0584">
          <w:rPr>
            <w:rStyle w:val="Lienhypertexte"/>
            <w:rFonts w:asciiTheme="minorBidi" w:hAnsiTheme="minorBidi" w:cstheme="minorBidi"/>
            <w:color w:val="1155CC"/>
            <w:lang w:val="en-US"/>
          </w:rPr>
          <w:t>Volume 2, Issue 4</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p. 951-954.</w:t>
      </w:r>
      <w:r w:rsidR="00684525">
        <w:rPr>
          <w:rFonts w:asciiTheme="minorBidi" w:hAnsiTheme="minorBidi" w:cstheme="minorBidi"/>
          <w:color w:val="222222"/>
          <w:lang w:val="en-US"/>
        </w:rPr>
        <w:t xml:space="preserve"> </w:t>
      </w:r>
      <w:hyperlink r:id="rId29" w:history="1">
        <w:r w:rsidR="00684525" w:rsidRPr="00062233">
          <w:rPr>
            <w:rStyle w:val="Lienhypertexte"/>
            <w:rFonts w:asciiTheme="minorBidi" w:hAnsiTheme="minorBidi" w:cstheme="minorBidi"/>
            <w:lang w:val="en-US"/>
          </w:rPr>
          <w:t>https://doi.org/10.1002/jvc2.253</w:t>
        </w:r>
      </w:hyperlink>
    </w:p>
    <w:p w14:paraId="034F321C" w14:textId="77777777" w:rsidR="008E0584" w:rsidRPr="008E0584" w:rsidRDefault="008E0584" w:rsidP="008E0584">
      <w:pPr>
        <w:pStyle w:val="NormalWeb"/>
        <w:rPr>
          <w:rFonts w:asciiTheme="minorBidi" w:hAnsiTheme="minorBidi" w:cstheme="minorBidi"/>
          <w:color w:val="222222"/>
          <w:lang w:val="en-US"/>
        </w:rPr>
      </w:pPr>
    </w:p>
    <w:p w14:paraId="1041FC9E"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12-</w:t>
      </w:r>
      <w:r w:rsidRPr="008E0584">
        <w:rPr>
          <w:rStyle w:val="apple-converted-space"/>
          <w:rFonts w:asciiTheme="minorBidi" w:hAnsiTheme="minorBidi" w:cstheme="minorBidi"/>
          <w:color w:val="222222"/>
          <w:lang w:val="en-US"/>
        </w:rPr>
        <w:t> </w:t>
      </w:r>
      <w:hyperlink r:id="rId30" w:tgtFrame="_blank" w:history="1">
        <w:r w:rsidRPr="008E0584">
          <w:rPr>
            <w:rStyle w:val="Lienhypertexte"/>
            <w:rFonts w:asciiTheme="minorBidi" w:hAnsiTheme="minorBidi" w:cstheme="minorBidi"/>
            <w:color w:val="1155CC"/>
            <w:lang w:val="en-US"/>
          </w:rPr>
          <w:t>Jingyu Ren</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et al , Paradoxical reaction to IL-17A inhibitor: a case report and literature review. Sec. Dermatology</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Volume 11 - 2024 |</w:t>
      </w:r>
      <w:r w:rsidRPr="008E0584">
        <w:rPr>
          <w:rStyle w:val="apple-converted-space"/>
          <w:rFonts w:asciiTheme="minorBidi" w:hAnsiTheme="minorBidi" w:cstheme="minorBidi"/>
          <w:color w:val="222222"/>
          <w:lang w:val="en-US"/>
        </w:rPr>
        <w:t> </w:t>
      </w:r>
      <w:hyperlink r:id="rId31" w:tgtFrame="_blank" w:history="1">
        <w:r w:rsidRPr="008E0584">
          <w:rPr>
            <w:rStyle w:val="Lienhypertexte"/>
            <w:rFonts w:asciiTheme="minorBidi" w:hAnsiTheme="minorBidi" w:cstheme="minorBidi"/>
            <w:color w:val="1155CC"/>
            <w:lang w:val="en-US"/>
          </w:rPr>
          <w:t>https://doi.org/10.3389/fmed.2024.1364127</w:t>
        </w:r>
      </w:hyperlink>
    </w:p>
    <w:p w14:paraId="4E8505D4" w14:textId="77777777" w:rsidR="008E0584" w:rsidRPr="008E0584" w:rsidRDefault="008E0584" w:rsidP="008E0584">
      <w:pPr>
        <w:pStyle w:val="NormalWeb"/>
        <w:rPr>
          <w:rFonts w:asciiTheme="minorBidi" w:hAnsiTheme="minorBidi" w:cstheme="minorBidi"/>
          <w:color w:val="222222"/>
          <w:lang w:val="en-US"/>
        </w:rPr>
      </w:pPr>
    </w:p>
    <w:p w14:paraId="603D6AFC"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13 -</w:t>
      </w:r>
      <w:r w:rsidRPr="008E0584">
        <w:rPr>
          <w:rStyle w:val="apple-converted-space"/>
          <w:rFonts w:asciiTheme="minorBidi" w:hAnsiTheme="minorBidi" w:cstheme="minorBidi"/>
          <w:color w:val="222222"/>
          <w:lang w:val="en-US"/>
        </w:rPr>
        <w:t> </w:t>
      </w:r>
      <w:hyperlink r:id="rId32" w:tgtFrame="_blank" w:history="1">
        <w:r w:rsidRPr="008E0584">
          <w:rPr>
            <w:rStyle w:val="Lienhypertexte"/>
            <w:rFonts w:asciiTheme="minorBidi" w:hAnsiTheme="minorBidi" w:cstheme="minorBidi"/>
            <w:color w:val="1155CC"/>
            <w:lang w:val="en-US"/>
          </w:rPr>
          <w:t>Jae-</w:t>
        </w:r>
        <w:proofErr w:type="spellStart"/>
        <w:r w:rsidRPr="008E0584">
          <w:rPr>
            <w:rStyle w:val="Lienhypertexte"/>
            <w:rFonts w:asciiTheme="minorBidi" w:hAnsiTheme="minorBidi" w:cstheme="minorBidi"/>
            <w:color w:val="1155CC"/>
            <w:lang w:val="en-US"/>
          </w:rPr>
          <w:t>Jeong</w:t>
        </w:r>
        <w:proofErr w:type="spellEnd"/>
        <w:r w:rsidRPr="008E0584">
          <w:rPr>
            <w:rStyle w:val="Lienhypertexte"/>
            <w:rFonts w:asciiTheme="minorBidi" w:hAnsiTheme="minorBidi" w:cstheme="minorBidi"/>
            <w:color w:val="1155CC"/>
            <w:lang w:val="en-US"/>
          </w:rPr>
          <w:t xml:space="preserve"> Park</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et al , A Case of Tumor Necrosis Factor-</w:t>
      </w:r>
      <w:r w:rsidRPr="008E0584">
        <w:rPr>
          <w:rFonts w:asciiTheme="minorBidi" w:hAnsiTheme="minorBidi" w:cstheme="minorBidi"/>
          <w:color w:val="222222"/>
        </w:rPr>
        <w:t>α</w:t>
      </w:r>
      <w:r w:rsidRPr="008E0584">
        <w:rPr>
          <w:rFonts w:asciiTheme="minorBidi" w:hAnsiTheme="minorBidi" w:cstheme="minorBidi"/>
          <w:color w:val="222222"/>
          <w:lang w:val="en-US"/>
        </w:rPr>
        <w:t xml:space="preserve"> Inhibitors-induced Pustular Psoriasis. Ann Dermatol. 2010 May 18;22(2):212–215.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33" w:tgtFrame="_blank" w:history="1">
        <w:r w:rsidRPr="008E0584">
          <w:rPr>
            <w:rStyle w:val="Lienhypertexte"/>
            <w:rFonts w:asciiTheme="minorBidi" w:hAnsiTheme="minorBidi" w:cstheme="minorBidi"/>
            <w:color w:val="1155CC"/>
            <w:lang w:val="en-US"/>
          </w:rPr>
          <w:t>10.5021/ad.2010.22.2.212</w:t>
        </w:r>
      </w:hyperlink>
    </w:p>
    <w:p w14:paraId="2F3E1EA3" w14:textId="77777777" w:rsidR="008E0584" w:rsidRPr="008E0584" w:rsidRDefault="008E0584" w:rsidP="008E0584">
      <w:pPr>
        <w:pStyle w:val="NormalWeb"/>
        <w:rPr>
          <w:rFonts w:asciiTheme="minorBidi" w:hAnsiTheme="minorBidi" w:cstheme="minorBidi"/>
          <w:color w:val="222222"/>
          <w:lang w:val="en-US"/>
        </w:rPr>
      </w:pPr>
    </w:p>
    <w:p w14:paraId="7D2A2BED"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14 - Marine Fauny et al , Paradoxical gastrointestinal effects of interleukin-17 blockers. Ann Rheum Dis 2020;79:1132–1138. doi:10.1136/annrheumdis-2020-217927</w:t>
      </w:r>
    </w:p>
    <w:p w14:paraId="55E425B2" w14:textId="77777777" w:rsidR="008E0584" w:rsidRPr="008E0584" w:rsidRDefault="008E0584" w:rsidP="008E0584">
      <w:pPr>
        <w:pStyle w:val="NormalWeb"/>
        <w:rPr>
          <w:rFonts w:asciiTheme="minorBidi" w:hAnsiTheme="minorBidi" w:cstheme="minorBidi"/>
          <w:color w:val="222222"/>
          <w:lang w:val="en-US"/>
        </w:rPr>
      </w:pPr>
    </w:p>
    <w:p w14:paraId="2C870E95"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15- Qing-Yang Li et al ,Successful treatment of adalimumab-resistant palmoplantar pustulosis with </w:t>
      </w:r>
      <w:proofErr w:type="spellStart"/>
      <w:r w:rsidRPr="008E0584">
        <w:rPr>
          <w:rFonts w:asciiTheme="minorBidi" w:hAnsiTheme="minorBidi" w:cstheme="minorBidi"/>
          <w:color w:val="222222"/>
          <w:lang w:val="en-US"/>
        </w:rPr>
        <w:t>secukinumab</w:t>
      </w:r>
      <w:proofErr w:type="spellEnd"/>
      <w:r w:rsidRPr="008E0584">
        <w:rPr>
          <w:rFonts w:asciiTheme="minorBidi" w:hAnsiTheme="minorBidi" w:cstheme="minorBidi"/>
          <w:color w:val="222222"/>
          <w:lang w:val="en-US"/>
        </w:rPr>
        <w:t>: a case report. Chinese Medical Journal 2020;133(24). </w:t>
      </w:r>
      <w:r w:rsidR="00684525">
        <w:rPr>
          <w:rFonts w:asciiTheme="minorBidi" w:hAnsiTheme="minorBidi" w:cstheme="minorBidi"/>
          <w:color w:val="222222"/>
          <w:lang w:val="en-US"/>
        </w:rPr>
        <w:t xml:space="preserve">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 10.1097/CM9.0000000000001246</w:t>
      </w:r>
    </w:p>
    <w:p w14:paraId="544739B4" w14:textId="77777777" w:rsidR="008E0584" w:rsidRPr="008E0584" w:rsidRDefault="008E0584" w:rsidP="008E0584">
      <w:pPr>
        <w:pStyle w:val="NormalWeb"/>
        <w:rPr>
          <w:rFonts w:asciiTheme="minorBidi" w:hAnsiTheme="minorBidi" w:cstheme="minorBidi"/>
          <w:color w:val="222222"/>
          <w:lang w:val="en-US"/>
        </w:rPr>
      </w:pPr>
    </w:p>
    <w:p w14:paraId="4B7D847C"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16-</w:t>
      </w:r>
      <w:r w:rsidRPr="008E0584">
        <w:rPr>
          <w:rStyle w:val="apple-converted-space"/>
          <w:rFonts w:asciiTheme="minorBidi" w:hAnsiTheme="minorBidi" w:cstheme="minorBidi"/>
          <w:color w:val="222222"/>
          <w:lang w:val="en-US"/>
        </w:rPr>
        <w:t> </w:t>
      </w:r>
      <w:hyperlink r:id="rId34" w:tgtFrame="_blank" w:history="1">
        <w:r w:rsidRPr="008E0584">
          <w:rPr>
            <w:rStyle w:val="Lienhypertexte"/>
            <w:rFonts w:asciiTheme="minorBidi" w:hAnsiTheme="minorBidi" w:cstheme="minorBidi"/>
            <w:color w:val="1155CC"/>
            <w:lang w:val="en-US"/>
          </w:rPr>
          <w:t xml:space="preserve">Laura </w:t>
        </w:r>
        <w:proofErr w:type="spellStart"/>
        <w:r w:rsidRPr="008E0584">
          <w:rPr>
            <w:rStyle w:val="Lienhypertexte"/>
            <w:rFonts w:asciiTheme="minorBidi" w:hAnsiTheme="minorBidi" w:cstheme="minorBidi"/>
            <w:color w:val="1155CC"/>
            <w:lang w:val="en-US"/>
          </w:rPr>
          <w:t>Țiburcă</w:t>
        </w:r>
        <w:proofErr w:type="spellEnd"/>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 The Treatment with Interleukin 17 Inhibitors and Immune-Mediated Inflammatory Diseases. Curr Issues Mol Biol. 2022 Apr 26;44(5):1851–1866.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35" w:tgtFrame="_blank" w:history="1">
        <w:r w:rsidRPr="008E0584">
          <w:rPr>
            <w:rStyle w:val="Lienhypertexte"/>
            <w:rFonts w:asciiTheme="minorBidi" w:hAnsiTheme="minorBidi" w:cstheme="minorBidi"/>
            <w:color w:val="1155CC"/>
            <w:lang w:val="en-US"/>
          </w:rPr>
          <w:t>10.3390/cimb44050127</w:t>
        </w:r>
      </w:hyperlink>
    </w:p>
    <w:p w14:paraId="29505793"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17- Alan Menter et al , Pustular Psoriasis: A Narrative Review of Recent Developments in Pathophysiology and Therapeutic Options</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 xml:space="preserve">Dermatol </w:t>
      </w:r>
      <w:proofErr w:type="spellStart"/>
      <w:r w:rsidRPr="008E0584">
        <w:rPr>
          <w:rFonts w:asciiTheme="minorBidi" w:hAnsiTheme="minorBidi" w:cstheme="minorBidi"/>
          <w:color w:val="222222"/>
          <w:lang w:val="en-US"/>
        </w:rPr>
        <w:t>Ther</w:t>
      </w:r>
      <w:proofErr w:type="spellEnd"/>
      <w:r w:rsidRPr="008E0584">
        <w:rPr>
          <w:rFonts w:asciiTheme="minorBidi" w:hAnsiTheme="minorBidi" w:cstheme="minorBidi"/>
          <w:color w:val="222222"/>
          <w:lang w:val="en-US"/>
        </w:rPr>
        <w:t xml:space="preserve"> (</w:t>
      </w:r>
      <w:proofErr w:type="spellStart"/>
      <w:r w:rsidRPr="008E0584">
        <w:rPr>
          <w:rFonts w:asciiTheme="minorBidi" w:hAnsiTheme="minorBidi" w:cstheme="minorBidi"/>
          <w:color w:val="222222"/>
          <w:lang w:val="en-US"/>
        </w:rPr>
        <w:t>Heidelb</w:t>
      </w:r>
      <w:proofErr w:type="spellEnd"/>
      <w:r w:rsidRPr="008E0584">
        <w:rPr>
          <w:rFonts w:asciiTheme="minorBidi" w:hAnsiTheme="minorBidi" w:cstheme="minorBidi"/>
          <w:color w:val="222222"/>
          <w:lang w:val="en-US"/>
        </w:rPr>
        <w:t>) (2021) 11:1917–1929</w:t>
      </w:r>
      <w:r w:rsidR="00684525">
        <w:rPr>
          <w:rFonts w:asciiTheme="minorBidi" w:hAnsiTheme="minorBidi" w:cstheme="minorBidi"/>
          <w:color w:val="222222"/>
          <w:lang w:val="en-US"/>
        </w:rPr>
        <w:t xml:space="preserve"> </w:t>
      </w:r>
      <w:hyperlink r:id="rId36" w:history="1">
        <w:r w:rsidR="00684525" w:rsidRPr="00062233">
          <w:rPr>
            <w:rStyle w:val="Lienhypertexte"/>
            <w:rFonts w:asciiTheme="minorBidi" w:hAnsiTheme="minorBidi" w:cstheme="minorBidi"/>
            <w:lang w:val="en-US"/>
          </w:rPr>
          <w:t>https://doi.org/10.1007/s13555-021-00612-x</w:t>
        </w:r>
      </w:hyperlink>
    </w:p>
    <w:p w14:paraId="0A3C63AB" w14:textId="77777777" w:rsidR="008E0584" w:rsidRPr="008E0584" w:rsidRDefault="008E0584" w:rsidP="008E0584">
      <w:pPr>
        <w:pStyle w:val="NormalWeb"/>
        <w:rPr>
          <w:rFonts w:asciiTheme="minorBidi" w:hAnsiTheme="minorBidi" w:cstheme="minorBidi"/>
          <w:color w:val="222222"/>
          <w:lang w:val="en-US"/>
        </w:rPr>
      </w:pPr>
    </w:p>
    <w:p w14:paraId="49C8529D"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18- James G. Krueger et al , IL-17A inhibition by </w:t>
      </w:r>
      <w:proofErr w:type="spellStart"/>
      <w:r w:rsidRPr="008E0584">
        <w:rPr>
          <w:rFonts w:asciiTheme="minorBidi" w:hAnsiTheme="minorBidi" w:cstheme="minorBidi"/>
          <w:color w:val="222222"/>
          <w:lang w:val="en-US"/>
        </w:rPr>
        <w:t>secukinumab</w:t>
      </w:r>
      <w:proofErr w:type="spellEnd"/>
      <w:r w:rsidRPr="008E0584">
        <w:rPr>
          <w:rFonts w:asciiTheme="minorBidi" w:hAnsiTheme="minorBidi" w:cstheme="minorBidi"/>
          <w:color w:val="222222"/>
          <w:lang w:val="en-US"/>
        </w:rPr>
        <w:t xml:space="preserve"> induces early clinical, histopathologic, and molecular</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resolution of psoriasis.</w:t>
      </w:r>
      <w:r w:rsidRPr="008E0584">
        <w:rPr>
          <w:rStyle w:val="apple-converted-space"/>
          <w:rFonts w:asciiTheme="minorBidi" w:hAnsiTheme="minorBidi" w:cstheme="minorBidi"/>
          <w:color w:val="222222"/>
          <w:lang w:val="en-US"/>
        </w:rPr>
        <w:t> </w:t>
      </w:r>
      <w:hyperlink r:id="rId37" w:tgtFrame="_blank" w:history="1">
        <w:r w:rsidRPr="008E0584">
          <w:rPr>
            <w:rStyle w:val="Lienhypertexte"/>
            <w:rFonts w:asciiTheme="minorBidi" w:hAnsiTheme="minorBidi" w:cstheme="minorBidi"/>
            <w:color w:val="1155CC"/>
            <w:lang w:val="en-US"/>
          </w:rPr>
          <w:t>Journal of Allergy and Clinical Immunology</w:t>
        </w:r>
      </w:hyperlink>
      <w:r w:rsidRPr="008E0584">
        <w:rPr>
          <w:rStyle w:val="apple-converted-space"/>
          <w:rFonts w:asciiTheme="minorBidi" w:hAnsiTheme="minorBidi" w:cstheme="minorBidi"/>
          <w:color w:val="222222"/>
          <w:lang w:val="en-US"/>
        </w:rPr>
        <w:t> </w:t>
      </w:r>
      <w:hyperlink r:id="rId38" w:tgtFrame="_blank" w:history="1">
        <w:r w:rsidRPr="008E0584">
          <w:rPr>
            <w:rStyle w:val="Lienhypertexte"/>
            <w:rFonts w:asciiTheme="minorBidi" w:hAnsiTheme="minorBidi" w:cstheme="minorBidi"/>
            <w:color w:val="1155CC"/>
            <w:lang w:val="en-US"/>
          </w:rPr>
          <w:t>Volume 144, Issue 3</w:t>
        </w:r>
      </w:hyperlink>
      <w:r w:rsidRPr="008E0584">
        <w:rPr>
          <w:rFonts w:asciiTheme="minorBidi" w:hAnsiTheme="minorBidi" w:cstheme="minorBidi"/>
          <w:color w:val="222222"/>
          <w:lang w:val="en-US"/>
        </w:rPr>
        <w:t>, September 2019, Pages 750-763. </w:t>
      </w:r>
      <w:hyperlink r:id="rId39" w:history="1">
        <w:r w:rsidR="00684525" w:rsidRPr="00062233">
          <w:rPr>
            <w:rStyle w:val="Lienhypertexte"/>
            <w:rFonts w:asciiTheme="minorBidi" w:hAnsiTheme="minorBidi" w:cstheme="minorBidi"/>
            <w:lang w:val="en-US"/>
          </w:rPr>
          <w:t>https://doi.org/10.1016/j.jaci.2019.04.029</w:t>
        </w:r>
      </w:hyperlink>
    </w:p>
    <w:p w14:paraId="2516336B" w14:textId="77777777" w:rsidR="008E0584" w:rsidRPr="008E0584" w:rsidRDefault="008E0584" w:rsidP="008E0584">
      <w:pPr>
        <w:pStyle w:val="NormalWeb"/>
        <w:rPr>
          <w:rFonts w:asciiTheme="minorBidi" w:hAnsiTheme="minorBidi" w:cstheme="minorBidi"/>
          <w:color w:val="222222"/>
          <w:lang w:val="en-US"/>
        </w:rPr>
      </w:pPr>
    </w:p>
    <w:p w14:paraId="5FBF564D"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19 - Özgür AKGÜL et al , New-Onset Palmoplantar Psoriasis During Treatment of Active Ankylosing Spondylitis with TNF-alpha Blocking Agent Adalimumab. Turk J </w:t>
      </w:r>
      <w:proofErr w:type="spellStart"/>
      <w:r w:rsidRPr="008E0584">
        <w:rPr>
          <w:rFonts w:asciiTheme="minorBidi" w:hAnsiTheme="minorBidi" w:cstheme="minorBidi"/>
          <w:color w:val="222222"/>
          <w:lang w:val="en-US"/>
        </w:rPr>
        <w:t>Rheumatol</w:t>
      </w:r>
      <w:proofErr w:type="spellEnd"/>
      <w:r w:rsidRPr="008E0584">
        <w:rPr>
          <w:rFonts w:asciiTheme="minorBidi" w:hAnsiTheme="minorBidi" w:cstheme="minorBidi"/>
          <w:color w:val="222222"/>
          <w:lang w:val="en-US"/>
        </w:rPr>
        <w:t xml:space="preserve"> 2011;26(3):269-270</w:t>
      </w:r>
      <w:r w:rsidR="00684525">
        <w:rPr>
          <w:rFonts w:asciiTheme="minorBidi" w:hAnsiTheme="minorBidi" w:cstheme="minorBidi"/>
          <w:color w:val="222222"/>
          <w:lang w:val="en-US"/>
        </w:rPr>
        <w:t xml:space="preserve">.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 10.5152/tjr.2011.044</w:t>
      </w:r>
    </w:p>
    <w:p w14:paraId="4A5EBE49" w14:textId="77777777" w:rsidR="008E0584" w:rsidRPr="008E0584" w:rsidRDefault="008E0584" w:rsidP="008E0584">
      <w:pPr>
        <w:pStyle w:val="NormalWeb"/>
        <w:rPr>
          <w:rFonts w:asciiTheme="minorBidi" w:hAnsiTheme="minorBidi" w:cstheme="minorBidi"/>
          <w:color w:val="222222"/>
          <w:lang w:val="en-US"/>
        </w:rPr>
      </w:pPr>
    </w:p>
    <w:p w14:paraId="2FB6C918"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20 -</w:t>
      </w:r>
      <w:r w:rsidRPr="008E0584">
        <w:rPr>
          <w:rStyle w:val="apple-converted-space"/>
          <w:rFonts w:asciiTheme="minorBidi" w:hAnsiTheme="minorBidi" w:cstheme="minorBidi"/>
          <w:color w:val="222222"/>
          <w:lang w:val="en-US"/>
        </w:rPr>
        <w:t> </w:t>
      </w:r>
      <w:hyperlink r:id="rId40" w:tgtFrame="_blank" w:history="1">
        <w:r w:rsidRPr="008E0584">
          <w:rPr>
            <w:rStyle w:val="Lienhypertexte"/>
            <w:rFonts w:asciiTheme="minorBidi" w:hAnsiTheme="minorBidi" w:cstheme="minorBidi"/>
            <w:color w:val="1155CC"/>
            <w:lang w:val="en-US"/>
          </w:rPr>
          <w:t>Jillian Frieder</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 xml:space="preserve">et al,  </w:t>
      </w:r>
      <w:proofErr w:type="spellStart"/>
      <w:r w:rsidRPr="008E0584">
        <w:rPr>
          <w:rFonts w:asciiTheme="minorBidi" w:hAnsiTheme="minorBidi" w:cstheme="minorBidi"/>
          <w:color w:val="222222"/>
          <w:lang w:val="en-US"/>
        </w:rPr>
        <w:t>Secukinumab</w:t>
      </w:r>
      <w:proofErr w:type="spellEnd"/>
      <w:r w:rsidRPr="008E0584">
        <w:rPr>
          <w:rFonts w:asciiTheme="minorBidi" w:hAnsiTheme="minorBidi" w:cstheme="minorBidi"/>
          <w:color w:val="222222"/>
          <w:lang w:val="en-US"/>
        </w:rPr>
        <w:t xml:space="preserve">: a review of the anti-IL-17A biologic for the treatment of psoriasis. Ther Adv Chronic Dis. 2017 Nov 16;9(1):5–21. </w:t>
      </w:r>
      <w:proofErr w:type="spellStart"/>
      <w:r w:rsidRPr="008E0584">
        <w:rPr>
          <w:rFonts w:asciiTheme="minorBidi" w:hAnsiTheme="minorBidi" w:cstheme="minorBidi"/>
          <w:color w:val="222222"/>
          <w:lang w:val="en-US"/>
        </w:rPr>
        <w:t>doi</w:t>
      </w:r>
      <w:proofErr w:type="spellEnd"/>
      <w:r w:rsidRPr="008E0584">
        <w:rPr>
          <w:rFonts w:asciiTheme="minorBidi" w:hAnsiTheme="minorBidi" w:cstheme="minorBidi"/>
          <w:color w:val="222222"/>
          <w:lang w:val="en-US"/>
        </w:rPr>
        <w:t>:</w:t>
      </w:r>
      <w:r w:rsidRPr="008E0584">
        <w:rPr>
          <w:rStyle w:val="apple-converted-space"/>
          <w:rFonts w:asciiTheme="minorBidi" w:hAnsiTheme="minorBidi" w:cstheme="minorBidi"/>
          <w:color w:val="222222"/>
          <w:lang w:val="en-US"/>
        </w:rPr>
        <w:t> </w:t>
      </w:r>
      <w:hyperlink r:id="rId41" w:tgtFrame="_blank" w:history="1">
        <w:r w:rsidRPr="008E0584">
          <w:rPr>
            <w:rStyle w:val="Lienhypertexte"/>
            <w:rFonts w:asciiTheme="minorBidi" w:hAnsiTheme="minorBidi" w:cstheme="minorBidi"/>
            <w:color w:val="1155CC"/>
            <w:lang w:val="en-US"/>
          </w:rPr>
          <w:t>10.1177/2040622317738910</w:t>
        </w:r>
      </w:hyperlink>
    </w:p>
    <w:p w14:paraId="124D57A4" w14:textId="77777777" w:rsidR="008E0584" w:rsidRPr="008E0584" w:rsidRDefault="008E0584" w:rsidP="008E0584">
      <w:pPr>
        <w:pStyle w:val="NormalWeb"/>
        <w:rPr>
          <w:rFonts w:asciiTheme="minorBidi" w:hAnsiTheme="minorBidi" w:cstheme="minorBidi"/>
          <w:color w:val="222222"/>
          <w:lang w:val="en-US"/>
        </w:rPr>
      </w:pPr>
    </w:p>
    <w:p w14:paraId="3C27F1B7" w14:textId="77777777" w:rsidR="008E0584" w:rsidRPr="008E0584" w:rsidRDefault="008E0584" w:rsidP="008E0584">
      <w:pPr>
        <w:pStyle w:val="NormalWeb"/>
        <w:rPr>
          <w:rFonts w:asciiTheme="minorBidi" w:hAnsiTheme="minorBidi" w:cstheme="minorBidi"/>
          <w:color w:val="222222"/>
          <w:lang w:val="en-US"/>
        </w:rPr>
      </w:pPr>
      <w:r w:rsidRPr="008E0584">
        <w:rPr>
          <w:rFonts w:asciiTheme="minorBidi" w:hAnsiTheme="minorBidi" w:cstheme="minorBidi"/>
          <w:color w:val="222222"/>
          <w:lang w:val="en-US"/>
        </w:rPr>
        <w:t>21 -</w:t>
      </w:r>
      <w:r w:rsidRPr="008E0584">
        <w:rPr>
          <w:rStyle w:val="apple-converted-space"/>
          <w:rFonts w:asciiTheme="minorBidi" w:hAnsiTheme="minorBidi" w:cstheme="minorBidi"/>
          <w:color w:val="222222"/>
          <w:lang w:val="en-US"/>
        </w:rPr>
        <w:t> </w:t>
      </w:r>
      <w:hyperlink r:id="rId42" w:tgtFrame="_blank" w:history="1">
        <w:r w:rsidRPr="008E0584">
          <w:rPr>
            <w:rStyle w:val="Lienhypertexte"/>
            <w:rFonts w:asciiTheme="minorBidi" w:hAnsiTheme="minorBidi" w:cstheme="minorBidi"/>
            <w:color w:val="1155CC"/>
            <w:lang w:val="en-US"/>
          </w:rPr>
          <w:t>Gillian C. de Gannes</w:t>
        </w:r>
      </w:hyperlink>
      <w:r w:rsidRPr="008E0584">
        <w:rPr>
          <w:rStyle w:val="apple-converted-space"/>
          <w:rFonts w:asciiTheme="minorBidi" w:hAnsiTheme="minorBidi" w:cstheme="minorBidi"/>
          <w:color w:val="222222"/>
          <w:lang w:val="en-US"/>
        </w:rPr>
        <w:t> </w:t>
      </w:r>
      <w:r w:rsidRPr="008E0584">
        <w:rPr>
          <w:rFonts w:asciiTheme="minorBidi" w:hAnsiTheme="minorBidi" w:cstheme="minorBidi"/>
          <w:color w:val="222222"/>
          <w:lang w:val="en-US"/>
        </w:rPr>
        <w:t>et al ,Psoriasis and Pustular Dermatitis Triggered by TNF-</w:t>
      </w:r>
      <w:r w:rsidRPr="008E0584">
        <w:rPr>
          <w:rFonts w:asciiTheme="minorBidi" w:hAnsiTheme="minorBidi" w:cstheme="minorBidi"/>
          <w:color w:val="222222"/>
        </w:rPr>
        <w:t>α</w:t>
      </w:r>
      <w:r w:rsidRPr="008E0584">
        <w:rPr>
          <w:rFonts w:asciiTheme="minorBidi" w:hAnsiTheme="minorBidi" w:cstheme="minorBidi"/>
          <w:color w:val="222222"/>
          <w:lang w:val="en-US"/>
        </w:rPr>
        <w:t xml:space="preserve"> Inhibitors in Patients With Rheumatologic Conditions . Arch Dermatol. 2007;143(2):223-231. doi:10.1001/archderm.143.2.223</w:t>
      </w:r>
    </w:p>
    <w:p w14:paraId="6370C9BA" w14:textId="77777777" w:rsidR="008E0584" w:rsidRPr="008E0584" w:rsidRDefault="008E0584" w:rsidP="008E0584">
      <w:pPr>
        <w:pStyle w:val="NormalWeb"/>
        <w:rPr>
          <w:rFonts w:asciiTheme="minorBidi" w:hAnsiTheme="minorBidi" w:cstheme="minorBidi"/>
          <w:color w:val="222222"/>
          <w:lang w:val="en-US"/>
        </w:rPr>
      </w:pPr>
    </w:p>
    <w:p w14:paraId="78F7D303"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22- Kamran </w:t>
      </w:r>
      <w:proofErr w:type="spellStart"/>
      <w:r w:rsidRPr="008E0584">
        <w:rPr>
          <w:rFonts w:asciiTheme="minorBidi" w:hAnsiTheme="minorBidi" w:cstheme="minorBidi"/>
          <w:color w:val="222222"/>
          <w:lang w:val="en-US"/>
        </w:rPr>
        <w:t>Ghoreschi</w:t>
      </w:r>
      <w:proofErr w:type="spellEnd"/>
      <w:r w:rsidRPr="008E0584">
        <w:rPr>
          <w:rFonts w:asciiTheme="minorBidi" w:hAnsiTheme="minorBidi" w:cstheme="minorBidi"/>
          <w:color w:val="222222"/>
          <w:lang w:val="en-US"/>
        </w:rPr>
        <w:t xml:space="preserve"> et al ,  Therapeutics targeting the IL-23 and IL-17 pathway in psoriasis .</w:t>
      </w:r>
      <w:r w:rsidRPr="008E0584">
        <w:rPr>
          <w:rStyle w:val="apple-converted-space"/>
          <w:rFonts w:asciiTheme="minorBidi" w:hAnsiTheme="minorBidi" w:cstheme="minorBidi"/>
          <w:color w:val="222222"/>
          <w:lang w:val="en-US"/>
        </w:rPr>
        <w:t> </w:t>
      </w:r>
      <w:hyperlink r:id="rId43" w:tgtFrame="_blank" w:history="1">
        <w:r w:rsidRPr="008E0584">
          <w:rPr>
            <w:rStyle w:val="Lienhypertexte"/>
            <w:rFonts w:asciiTheme="minorBidi" w:hAnsiTheme="minorBidi" w:cstheme="minorBidi"/>
            <w:color w:val="1155CC"/>
            <w:lang w:val="en-US"/>
          </w:rPr>
          <w:t>The Lancet</w:t>
        </w:r>
      </w:hyperlink>
      <w:r w:rsidRPr="008E0584">
        <w:rPr>
          <w:rStyle w:val="apple-converted-space"/>
          <w:rFonts w:asciiTheme="minorBidi" w:hAnsiTheme="minorBidi" w:cstheme="minorBidi"/>
          <w:color w:val="222222"/>
          <w:lang w:val="en-US"/>
        </w:rPr>
        <w:t> </w:t>
      </w:r>
      <w:hyperlink r:id="rId44" w:tgtFrame="_blank" w:history="1">
        <w:r w:rsidRPr="008E0584">
          <w:rPr>
            <w:rStyle w:val="Lienhypertexte"/>
            <w:rFonts w:asciiTheme="minorBidi" w:hAnsiTheme="minorBidi" w:cstheme="minorBidi"/>
            <w:color w:val="1155CC"/>
            <w:lang w:val="en-US"/>
          </w:rPr>
          <w:t>Volume 397, Issue 10275</w:t>
        </w:r>
      </w:hyperlink>
      <w:r w:rsidRPr="008E0584">
        <w:rPr>
          <w:rFonts w:asciiTheme="minorBidi" w:hAnsiTheme="minorBidi" w:cstheme="minorBidi"/>
          <w:color w:val="222222"/>
          <w:lang w:val="en-US"/>
        </w:rPr>
        <w:t>, 20–26 February 2021, Pages 754-766</w:t>
      </w:r>
      <w:r w:rsidR="00684525">
        <w:rPr>
          <w:rFonts w:asciiTheme="minorBidi" w:hAnsiTheme="minorBidi" w:cstheme="minorBidi"/>
          <w:color w:val="222222"/>
          <w:lang w:val="en-US"/>
        </w:rPr>
        <w:t xml:space="preserve"> .</w:t>
      </w:r>
      <w:hyperlink r:id="rId45" w:history="1">
        <w:r w:rsidR="00684525" w:rsidRPr="00062233">
          <w:rPr>
            <w:rStyle w:val="Lienhypertexte"/>
            <w:rFonts w:asciiTheme="minorBidi" w:hAnsiTheme="minorBidi" w:cstheme="minorBidi"/>
            <w:lang w:val="en-US"/>
          </w:rPr>
          <w:t>https://doi.org/10.1016/S0140-6736(21)00184-7</w:t>
        </w:r>
      </w:hyperlink>
    </w:p>
    <w:p w14:paraId="56671040" w14:textId="77777777" w:rsidR="008E0584" w:rsidRPr="008E0584" w:rsidRDefault="008E0584" w:rsidP="008E0584">
      <w:pPr>
        <w:pStyle w:val="NormalWeb"/>
        <w:rPr>
          <w:rFonts w:asciiTheme="minorBidi" w:hAnsiTheme="minorBidi" w:cstheme="minorBidi"/>
          <w:color w:val="222222"/>
          <w:lang w:val="en-US"/>
        </w:rPr>
      </w:pPr>
    </w:p>
    <w:p w14:paraId="4AE75252" w14:textId="77777777" w:rsidR="008E0584" w:rsidRPr="008E0584" w:rsidRDefault="008E0584" w:rsidP="00684525">
      <w:pPr>
        <w:pStyle w:val="NormalWeb"/>
        <w:rPr>
          <w:rFonts w:asciiTheme="minorBidi" w:hAnsiTheme="minorBidi" w:cstheme="minorBidi"/>
          <w:color w:val="222222"/>
          <w:lang w:val="en-US"/>
        </w:rPr>
      </w:pPr>
      <w:r w:rsidRPr="008E0584">
        <w:rPr>
          <w:rFonts w:asciiTheme="minorBidi" w:hAnsiTheme="minorBidi" w:cstheme="minorBidi"/>
          <w:color w:val="222222"/>
          <w:lang w:val="en-US"/>
        </w:rPr>
        <w:t xml:space="preserve">23 - </w:t>
      </w:r>
      <w:proofErr w:type="spellStart"/>
      <w:r w:rsidRPr="008E0584">
        <w:rPr>
          <w:rFonts w:asciiTheme="minorBidi" w:hAnsiTheme="minorBidi" w:cstheme="minorBidi"/>
          <w:color w:val="222222"/>
          <w:lang w:val="en-US"/>
        </w:rPr>
        <w:t>Rotraut</w:t>
      </w:r>
      <w:proofErr w:type="spellEnd"/>
      <w:r w:rsidRPr="008E0584">
        <w:rPr>
          <w:rFonts w:asciiTheme="minorBidi" w:hAnsiTheme="minorBidi" w:cstheme="minorBidi"/>
          <w:color w:val="222222"/>
          <w:lang w:val="en-US"/>
        </w:rPr>
        <w:t xml:space="preserve"> </w:t>
      </w:r>
      <w:proofErr w:type="spellStart"/>
      <w:r w:rsidRPr="008E0584">
        <w:rPr>
          <w:rFonts w:asciiTheme="minorBidi" w:hAnsiTheme="minorBidi" w:cstheme="minorBidi"/>
          <w:color w:val="222222"/>
          <w:lang w:val="en-US"/>
        </w:rPr>
        <w:t>Mössner</w:t>
      </w:r>
      <w:proofErr w:type="spellEnd"/>
      <w:r w:rsidRPr="008E0584">
        <w:rPr>
          <w:rFonts w:asciiTheme="minorBidi" w:hAnsiTheme="minorBidi" w:cstheme="minorBidi"/>
          <w:color w:val="222222"/>
          <w:lang w:val="en-US"/>
        </w:rPr>
        <w:t> et al, Manifestation of palmoplantar pustulosis during or after infliximab therapy for plaque-type psoriasis: report on five cases.</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Arch Dermatol Res (2008) 300:101–105</w:t>
      </w:r>
      <w:r w:rsidR="00684525">
        <w:rPr>
          <w:rFonts w:asciiTheme="minorBidi" w:hAnsiTheme="minorBidi" w:cstheme="minorBidi"/>
          <w:color w:val="222222"/>
          <w:lang w:val="en-US"/>
        </w:rPr>
        <w:t xml:space="preserve">. </w:t>
      </w:r>
      <w:r w:rsidRPr="008E0584">
        <w:rPr>
          <w:rFonts w:asciiTheme="minorBidi" w:hAnsiTheme="minorBidi" w:cstheme="minorBidi"/>
          <w:color w:val="222222"/>
          <w:lang w:val="en-US"/>
        </w:rPr>
        <w:t>DOI 10.1007/s00403-008-0831-8.</w:t>
      </w:r>
    </w:p>
    <w:p w14:paraId="274E0349" w14:textId="77777777" w:rsidR="008E0584" w:rsidRPr="008E0584" w:rsidRDefault="008E0584" w:rsidP="008E0584">
      <w:pPr>
        <w:pStyle w:val="NormalWeb"/>
        <w:rPr>
          <w:rFonts w:asciiTheme="minorBidi" w:hAnsiTheme="minorBidi" w:cstheme="minorBidi"/>
          <w:color w:val="222222"/>
          <w:lang w:val="en-US"/>
        </w:rPr>
      </w:pPr>
    </w:p>
    <w:p w14:paraId="76E0C5C8" w14:textId="77777777" w:rsidR="008E0584" w:rsidRPr="008E0584" w:rsidRDefault="008E0584" w:rsidP="008E0584">
      <w:pPr>
        <w:pStyle w:val="NormalWeb"/>
        <w:rPr>
          <w:rFonts w:asciiTheme="minorBidi" w:hAnsiTheme="minorBidi" w:cstheme="minorBidi"/>
          <w:color w:val="222222"/>
        </w:rPr>
      </w:pPr>
      <w:r w:rsidRPr="008E0584">
        <w:rPr>
          <w:rFonts w:asciiTheme="minorBidi" w:hAnsiTheme="minorBidi" w:cstheme="minorBidi"/>
          <w:color w:val="222222"/>
          <w:lang w:val="en-US"/>
        </w:rPr>
        <w:t xml:space="preserve">24 - Wang J, Wang C, Liu L, Hong S, Ru Y, Sun X, Chen J, Zhang M, Lin N, Li B and Li X (2023) Adverse events associated with anti-IL-17 agents for psoriasis and psoriatic arthritis: a systematic scoping review. </w:t>
      </w:r>
      <w:r w:rsidRPr="008E0584">
        <w:rPr>
          <w:rFonts w:asciiTheme="minorBidi" w:hAnsiTheme="minorBidi" w:cstheme="minorBidi"/>
          <w:color w:val="222222"/>
        </w:rPr>
        <w:t xml:space="preserve">Front. </w:t>
      </w:r>
      <w:proofErr w:type="spellStart"/>
      <w:r w:rsidRPr="008E0584">
        <w:rPr>
          <w:rFonts w:asciiTheme="minorBidi" w:hAnsiTheme="minorBidi" w:cstheme="minorBidi"/>
          <w:color w:val="222222"/>
        </w:rPr>
        <w:t>Immunol</w:t>
      </w:r>
      <w:proofErr w:type="spellEnd"/>
      <w:r w:rsidRPr="008E0584">
        <w:rPr>
          <w:rFonts w:asciiTheme="minorBidi" w:hAnsiTheme="minorBidi" w:cstheme="minorBidi"/>
          <w:color w:val="222222"/>
        </w:rPr>
        <w:t xml:space="preserve">. 14:993057. </w:t>
      </w:r>
      <w:proofErr w:type="spellStart"/>
      <w:r w:rsidRPr="008E0584">
        <w:rPr>
          <w:rFonts w:asciiTheme="minorBidi" w:hAnsiTheme="minorBidi" w:cstheme="minorBidi"/>
          <w:color w:val="222222"/>
        </w:rPr>
        <w:t>doi</w:t>
      </w:r>
      <w:proofErr w:type="spellEnd"/>
      <w:r w:rsidRPr="008E0584">
        <w:rPr>
          <w:rFonts w:asciiTheme="minorBidi" w:hAnsiTheme="minorBidi" w:cstheme="minorBidi"/>
          <w:color w:val="222222"/>
        </w:rPr>
        <w:t>: 10.3389/fimmu.2023.993057</w:t>
      </w:r>
    </w:p>
    <w:p w14:paraId="281087B0" w14:textId="77777777" w:rsidR="008E0584" w:rsidRPr="008E0584" w:rsidRDefault="008E0584">
      <w:pPr>
        <w:rPr>
          <w:rFonts w:ascii="Arial" w:hAnsi="Arial" w:cs="Arial"/>
          <w:b/>
          <w:bCs/>
          <w:color w:val="222222"/>
          <w:sz w:val="28"/>
          <w:szCs w:val="28"/>
          <w:shd w:val="clear" w:color="auto" w:fill="FFFFFF"/>
        </w:rPr>
      </w:pPr>
    </w:p>
    <w:p w14:paraId="1D32327F" w14:textId="77777777" w:rsidR="007840FF" w:rsidRDefault="007840FF">
      <w:pPr>
        <w:rPr>
          <w:rFonts w:ascii="Arial" w:hAnsi="Arial" w:cs="Arial"/>
          <w:color w:val="222222"/>
          <w:shd w:val="clear" w:color="auto" w:fill="FFFFFF"/>
        </w:rPr>
      </w:pPr>
    </w:p>
    <w:p w14:paraId="29C7F786" w14:textId="77777777" w:rsidR="007840FF" w:rsidRDefault="007840FF">
      <w:pPr>
        <w:rPr>
          <w:rFonts w:ascii="Arial" w:hAnsi="Arial" w:cs="Arial"/>
          <w:color w:val="222222"/>
          <w:shd w:val="clear" w:color="auto" w:fill="FFFFFF"/>
        </w:rPr>
      </w:pPr>
    </w:p>
    <w:p w14:paraId="776F8ACC" w14:textId="77777777" w:rsidR="007840FF" w:rsidRDefault="007840FF">
      <w:pPr>
        <w:rPr>
          <w:rFonts w:ascii="Arial" w:hAnsi="Arial" w:cs="Arial"/>
          <w:color w:val="222222"/>
          <w:shd w:val="clear" w:color="auto" w:fill="FFFFFF"/>
        </w:rPr>
      </w:pPr>
    </w:p>
    <w:p w14:paraId="0D2C9A04" w14:textId="77777777" w:rsidR="007840FF" w:rsidRDefault="007840FF">
      <w:pPr>
        <w:rPr>
          <w:rFonts w:ascii="Arial" w:hAnsi="Arial" w:cs="Arial"/>
          <w:color w:val="222222"/>
          <w:shd w:val="clear" w:color="auto" w:fill="FFFFFF"/>
        </w:rPr>
      </w:pPr>
    </w:p>
    <w:sectPr w:rsidR="007840FF">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D021C" w14:textId="77777777" w:rsidR="00C3016D" w:rsidRDefault="00C3016D" w:rsidP="00256A30">
      <w:r>
        <w:separator/>
      </w:r>
    </w:p>
  </w:endnote>
  <w:endnote w:type="continuationSeparator" w:id="0">
    <w:p w14:paraId="41CF70F4" w14:textId="77777777" w:rsidR="00C3016D" w:rsidRDefault="00C3016D" w:rsidP="0025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B742" w14:textId="77777777" w:rsidR="00256A30" w:rsidRDefault="00256A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439E" w14:textId="77777777" w:rsidR="00256A30" w:rsidRDefault="00256A3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D64C" w14:textId="77777777" w:rsidR="00256A30" w:rsidRDefault="00256A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AC8AC" w14:textId="77777777" w:rsidR="00C3016D" w:rsidRDefault="00C3016D" w:rsidP="00256A30">
      <w:r>
        <w:separator/>
      </w:r>
    </w:p>
  </w:footnote>
  <w:footnote w:type="continuationSeparator" w:id="0">
    <w:p w14:paraId="0A831C6B" w14:textId="77777777" w:rsidR="00C3016D" w:rsidRDefault="00C3016D" w:rsidP="0025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0CB7" w14:textId="3E774EBB" w:rsidR="00256A30" w:rsidRDefault="00C3016D">
    <w:pPr>
      <w:pStyle w:val="En-tte"/>
    </w:pPr>
    <w:r>
      <w:rPr>
        <w:noProof/>
      </w:rPr>
      <w:pict w14:anchorId="2C511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39438" o:spid="_x0000_s1027"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36D0" w14:textId="367AAD8D" w:rsidR="00256A30" w:rsidRDefault="00C3016D">
    <w:pPr>
      <w:pStyle w:val="En-tte"/>
    </w:pPr>
    <w:r>
      <w:rPr>
        <w:noProof/>
      </w:rPr>
      <w:pict w14:anchorId="2E98C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39439" o:spid="_x0000_s1026"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331C" w14:textId="6FF32715" w:rsidR="00256A30" w:rsidRDefault="00C3016D">
    <w:pPr>
      <w:pStyle w:val="En-tte"/>
    </w:pPr>
    <w:r>
      <w:rPr>
        <w:noProof/>
      </w:rPr>
      <w:pict w14:anchorId="289B7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39437" o:spid="_x0000_s1025"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0FF"/>
    <w:rsid w:val="00147805"/>
    <w:rsid w:val="002421AD"/>
    <w:rsid w:val="00256A30"/>
    <w:rsid w:val="002C713A"/>
    <w:rsid w:val="003108D2"/>
    <w:rsid w:val="00437894"/>
    <w:rsid w:val="00546358"/>
    <w:rsid w:val="00596D86"/>
    <w:rsid w:val="00684525"/>
    <w:rsid w:val="007840FF"/>
    <w:rsid w:val="007A6C9E"/>
    <w:rsid w:val="008E0584"/>
    <w:rsid w:val="00AA51B8"/>
    <w:rsid w:val="00B174DE"/>
    <w:rsid w:val="00B4236A"/>
    <w:rsid w:val="00C3016D"/>
    <w:rsid w:val="00CA215A"/>
    <w:rsid w:val="00CF58E7"/>
    <w:rsid w:val="00D142D5"/>
    <w:rsid w:val="00DA5D91"/>
    <w:rsid w:val="00FD413A"/>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60F0C"/>
  <w15:chartTrackingRefBased/>
  <w15:docId w15:val="{CA9F78B7-8A0C-E14C-A434-042658F15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840FF"/>
  </w:style>
  <w:style w:type="character" w:styleId="Lienhypertexte">
    <w:name w:val="Hyperlink"/>
    <w:basedOn w:val="Policepardfaut"/>
    <w:uiPriority w:val="99"/>
    <w:unhideWhenUsed/>
    <w:rsid w:val="007840FF"/>
    <w:rPr>
      <w:color w:val="0000FF"/>
      <w:u w:val="single"/>
    </w:rPr>
  </w:style>
  <w:style w:type="paragraph" w:styleId="NormalWeb">
    <w:name w:val="Normal (Web)"/>
    <w:basedOn w:val="Normal"/>
    <w:uiPriority w:val="99"/>
    <w:semiHidden/>
    <w:unhideWhenUsed/>
    <w:rsid w:val="008E0584"/>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suivivisit">
    <w:name w:val="FollowedHyperlink"/>
    <w:basedOn w:val="Policepardfaut"/>
    <w:uiPriority w:val="99"/>
    <w:semiHidden/>
    <w:unhideWhenUsed/>
    <w:rsid w:val="008E0584"/>
    <w:rPr>
      <w:color w:val="954F72" w:themeColor="followedHyperlink"/>
      <w:u w:val="single"/>
    </w:rPr>
  </w:style>
  <w:style w:type="character" w:styleId="Mentionnonrsolue">
    <w:name w:val="Unresolved Mention"/>
    <w:basedOn w:val="Policepardfaut"/>
    <w:uiPriority w:val="99"/>
    <w:semiHidden/>
    <w:unhideWhenUsed/>
    <w:rsid w:val="008E0584"/>
    <w:rPr>
      <w:color w:val="605E5C"/>
      <w:shd w:val="clear" w:color="auto" w:fill="E1DFDD"/>
    </w:rPr>
  </w:style>
  <w:style w:type="paragraph" w:styleId="PrformatHTML">
    <w:name w:val="HTML Preformatted"/>
    <w:basedOn w:val="Normal"/>
    <w:link w:val="PrformatHTMLCar"/>
    <w:uiPriority w:val="99"/>
    <w:semiHidden/>
    <w:unhideWhenUsed/>
    <w:rsid w:val="00B4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fr-FR"/>
      <w14:ligatures w14:val="none"/>
    </w:rPr>
  </w:style>
  <w:style w:type="character" w:customStyle="1" w:styleId="PrformatHTMLCar">
    <w:name w:val="Préformaté HTML Car"/>
    <w:basedOn w:val="Policepardfaut"/>
    <w:link w:val="PrformatHTML"/>
    <w:uiPriority w:val="99"/>
    <w:semiHidden/>
    <w:rsid w:val="00B4236A"/>
    <w:rPr>
      <w:rFonts w:ascii="Courier New" w:eastAsia="Times New Roman" w:hAnsi="Courier New" w:cs="Courier New"/>
      <w:kern w:val="0"/>
      <w:sz w:val="20"/>
      <w:szCs w:val="20"/>
      <w:lang w:eastAsia="fr-FR"/>
      <w14:ligatures w14:val="none"/>
    </w:rPr>
  </w:style>
  <w:style w:type="character" w:customStyle="1" w:styleId="y2iqfc">
    <w:name w:val="y2iqfc"/>
    <w:basedOn w:val="Policepardfaut"/>
    <w:rsid w:val="00D142D5"/>
  </w:style>
  <w:style w:type="paragraph" w:styleId="En-tte">
    <w:name w:val="header"/>
    <w:basedOn w:val="Normal"/>
    <w:link w:val="En-tteCar"/>
    <w:uiPriority w:val="99"/>
    <w:unhideWhenUsed/>
    <w:rsid w:val="00256A30"/>
    <w:pPr>
      <w:tabs>
        <w:tab w:val="center" w:pos="4680"/>
        <w:tab w:val="right" w:pos="9360"/>
      </w:tabs>
    </w:pPr>
  </w:style>
  <w:style w:type="character" w:customStyle="1" w:styleId="En-tteCar">
    <w:name w:val="En-tête Car"/>
    <w:basedOn w:val="Policepardfaut"/>
    <w:link w:val="En-tte"/>
    <w:uiPriority w:val="99"/>
    <w:rsid w:val="00256A30"/>
  </w:style>
  <w:style w:type="paragraph" w:styleId="Pieddepage">
    <w:name w:val="footer"/>
    <w:basedOn w:val="Normal"/>
    <w:link w:val="PieddepageCar"/>
    <w:uiPriority w:val="99"/>
    <w:unhideWhenUsed/>
    <w:rsid w:val="00256A30"/>
    <w:pPr>
      <w:tabs>
        <w:tab w:val="center" w:pos="4680"/>
        <w:tab w:val="right" w:pos="9360"/>
      </w:tabs>
    </w:pPr>
  </w:style>
  <w:style w:type="character" w:customStyle="1" w:styleId="PieddepageCar">
    <w:name w:val="Pied de page Car"/>
    <w:basedOn w:val="Policepardfaut"/>
    <w:link w:val="Pieddepage"/>
    <w:uiPriority w:val="99"/>
    <w:rsid w:val="00256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16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3555-020-00398-4" TargetMode="External"/><Relationship Id="rId18" Type="http://schemas.openxmlformats.org/officeDocument/2006/relationships/hyperlink" Target="https://doi.org/10.7759/cureus.77363" TargetMode="External"/><Relationship Id="rId26" Type="http://schemas.openxmlformats.org/officeDocument/2006/relationships/hyperlink" Target="https://onlinelibrary.wiley.com/authored-by/Anghel/Daniela" TargetMode="External"/><Relationship Id="rId39" Type="http://schemas.openxmlformats.org/officeDocument/2006/relationships/hyperlink" Target="https://doi.org/10.1016/j.jaci.2019.04.029" TargetMode="External"/><Relationship Id="rId21" Type="http://schemas.openxmlformats.org/officeDocument/2006/relationships/hyperlink" Target="https://onlinelibrary.wiley.com/toc/15298019/2019/32/2" TargetMode="External"/><Relationship Id="rId34" Type="http://schemas.openxmlformats.org/officeDocument/2006/relationships/hyperlink" Target="https://pubmed.ncbi.nlm.nih.gov/?term=%22%C8%9Aiburc%C4%83%20L%22%5BAuthor%5D" TargetMode="External"/><Relationship Id="rId42" Type="http://schemas.openxmlformats.org/officeDocument/2006/relationships/hyperlink" Target="https://jamanetwork.com/searchresults?author=Gillian+C.+de+Gannes&amp;q=Gillian+C.+de+Gannes"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doi.org/10.1186/s13075-020-02208-w" TargetMode="External"/><Relationship Id="rId29" Type="http://schemas.openxmlformats.org/officeDocument/2006/relationships/hyperlink" Target="https://doi.org/10.1002/jvc2.253" TargetMode="External"/><Relationship Id="rId11" Type="http://schemas.openxmlformats.org/officeDocument/2006/relationships/hyperlink" Target="https://doi.org/10.1007/s13555-023-00904-4" TargetMode="External"/><Relationship Id="rId24" Type="http://schemas.openxmlformats.org/officeDocument/2006/relationships/hyperlink" Target="https://www.sciencedirect.com/journal/journal-of-the-american-academy-of-dermatology/vol/84/issue/1" TargetMode="External"/><Relationship Id="rId32" Type="http://schemas.openxmlformats.org/officeDocument/2006/relationships/hyperlink" Target="https://pubmed.ncbi.nlm.nih.gov/?term=%22Park%20JJ%22%5BAuthor%5D" TargetMode="External"/><Relationship Id="rId37" Type="http://schemas.openxmlformats.org/officeDocument/2006/relationships/hyperlink" Target="https://www.sciencedirect.com/journal/journal-of-allergy-and-clinical-immunology" TargetMode="External"/><Relationship Id="rId40" Type="http://schemas.openxmlformats.org/officeDocument/2006/relationships/hyperlink" Target="https://pubmed.ncbi.nlm.nih.gov/?term=%22Frieder%20J%22%5BAuthor%5D" TargetMode="External"/><Relationship Id="rId45" Type="http://schemas.openxmlformats.org/officeDocument/2006/relationships/hyperlink" Target="https://doi.org/10.1016/S0140-6736(21)00184-7"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hyperlink" Target="https://pubmed.ncbi.nlm.nih.gov/?term=%22Jiraskova%20Zakostelska%20Z%22%5BAuthor%5D" TargetMode="External"/><Relationship Id="rId19" Type="http://schemas.openxmlformats.org/officeDocument/2006/relationships/hyperlink" Target="https://onlinelibrary.wiley.com/authored-by/Damiani/Giovanni" TargetMode="External"/><Relationship Id="rId31" Type="http://schemas.openxmlformats.org/officeDocument/2006/relationships/hyperlink" Target="https://doi.org/10.3389/fmed.2024.1364127" TargetMode="External"/><Relationship Id="rId44" Type="http://schemas.openxmlformats.org/officeDocument/2006/relationships/hyperlink" Target="https://www.sciencedirect.com/journal/the-lancet/vol/397/issue/10275"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093/rap/rkae082" TargetMode="External"/><Relationship Id="rId14" Type="http://schemas.openxmlformats.org/officeDocument/2006/relationships/hyperlink" Target="https://doi.org/10.2147/CCID.S406164" TargetMode="External"/><Relationship Id="rId22" Type="http://schemas.openxmlformats.org/officeDocument/2006/relationships/hyperlink" Target="https://doi.org/10.1111/dth.12793" TargetMode="External"/><Relationship Id="rId27" Type="http://schemas.openxmlformats.org/officeDocument/2006/relationships/hyperlink" Target="https://onlinelibrary.wiley.com/journal/27686566" TargetMode="External"/><Relationship Id="rId30" Type="http://schemas.openxmlformats.org/officeDocument/2006/relationships/hyperlink" Target="https://loop.frontiersin.org/people/2549413" TargetMode="External"/><Relationship Id="rId35" Type="http://schemas.openxmlformats.org/officeDocument/2006/relationships/hyperlink" Target="https://doi.org/10.3390/cimb44050127" TargetMode="External"/><Relationship Id="rId43" Type="http://schemas.openxmlformats.org/officeDocument/2006/relationships/hyperlink" Target="https://www.sciencedirect.com/journal/the-lancet" TargetMode="External"/><Relationship Id="rId48" Type="http://schemas.openxmlformats.org/officeDocument/2006/relationships/footer" Target="footer1.xml"/><Relationship Id="rId8" Type="http://schemas.openxmlformats.org/officeDocument/2006/relationships/hyperlink" Target="https://pubmed.ncbi.nlm.nih.gov/?term=%22Singla%20S%22%5BAuthor%5D" TargetMode="External"/><Relationship Id="rId51" Type="http://schemas.openxmlformats.org/officeDocument/2006/relationships/footer" Target="footer3.xml"/><Relationship Id="rId3" Type="http://schemas.openxmlformats.org/officeDocument/2006/relationships/webSettings" Target="webSettings.xml"/><Relationship Id="rId12" Type="http://schemas.openxmlformats.org/officeDocument/2006/relationships/hyperlink" Target="https://www.semanticscholar.org/author/Anna-Gawdzik/1416338708" TargetMode="External"/><Relationship Id="rId17" Type="http://schemas.openxmlformats.org/officeDocument/2006/relationships/hyperlink" Target="https://www.cureus.com/users/552529-khalid-a-alnaqbi" TargetMode="External"/><Relationship Id="rId25" Type="http://schemas.openxmlformats.org/officeDocument/2006/relationships/hyperlink" Target="https://doi.org/10.1016/j.jaad.2020.07.085" TargetMode="External"/><Relationship Id="rId33" Type="http://schemas.openxmlformats.org/officeDocument/2006/relationships/hyperlink" Target="https://doi.org/10.5021/ad.2010.22.2.212" TargetMode="External"/><Relationship Id="rId38" Type="http://schemas.openxmlformats.org/officeDocument/2006/relationships/hyperlink" Target="https://www.sciencedirect.com/journal/journal-of-allergy-and-clinical-immunology/vol/144/issue/3" TargetMode="External"/><Relationship Id="rId46" Type="http://schemas.openxmlformats.org/officeDocument/2006/relationships/header" Target="header1.xml"/><Relationship Id="rId20" Type="http://schemas.openxmlformats.org/officeDocument/2006/relationships/hyperlink" Target="https://onlinelibrary.wiley.com/journal/15298019" TargetMode="External"/><Relationship Id="rId41" Type="http://schemas.openxmlformats.org/officeDocument/2006/relationships/hyperlink" Target="https://doi.org/10.1177/2040622317738910"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doi.org/10.1159/000350930" TargetMode="External"/><Relationship Id="rId23" Type="http://schemas.openxmlformats.org/officeDocument/2006/relationships/hyperlink" Target="https://www.sciencedirect.com/journal/journal-of-the-american-academy-of-dermatology" TargetMode="External"/><Relationship Id="rId28" Type="http://schemas.openxmlformats.org/officeDocument/2006/relationships/hyperlink" Target="https://onlinelibrary.wiley.com/toc/27686566/2023/2/4" TargetMode="External"/><Relationship Id="rId36" Type="http://schemas.openxmlformats.org/officeDocument/2006/relationships/hyperlink" Target="https://doi.org/10.1007/s13555-021-00612-x" TargetMode="External"/><Relationship Id="rId4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2906</Words>
  <Characters>15986</Characters>
  <Application>Microsoft Office Word</Application>
  <DocSecurity>0</DocSecurity>
  <Lines>133</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2025-05-08T21:58:00Z</dcterms:created>
  <dcterms:modified xsi:type="dcterms:W3CDTF">2025-05-16T16:04:00Z</dcterms:modified>
</cp:coreProperties>
</file>