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A0C24" w14:textId="4D29809B" w:rsidR="00C30412" w:rsidRDefault="00C30412"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0E755B">
        <w:rPr>
          <w:rFonts w:ascii="Times New Roman" w:eastAsia="Times New Roman" w:hAnsi="Times New Roman" w:cs="Times New Roman"/>
          <w:b/>
          <w:bCs/>
          <w:kern w:val="0"/>
          <w:sz w:val="27"/>
          <w:szCs w:val="27"/>
          <w14:ligatures w14:val="none"/>
        </w:rPr>
        <w:t>Oxidative Stress and Its Role in the Toxicity of Smoked Fish Extract in Albino Rats</w:t>
      </w:r>
    </w:p>
    <w:p w14:paraId="7ECB0B74" w14:textId="77777777" w:rsidR="0014246B" w:rsidRPr="000E755B" w:rsidRDefault="0014246B"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p>
    <w:p w14:paraId="5BEE2644" w14:textId="77777777" w:rsidR="006D7210" w:rsidRPr="006D7210" w:rsidRDefault="006D7210"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6D7210">
        <w:rPr>
          <w:rFonts w:ascii="Times New Roman" w:eastAsia="Times New Roman" w:hAnsi="Times New Roman" w:cs="Times New Roman"/>
          <w:b/>
          <w:bCs/>
          <w:kern w:val="0"/>
          <w:sz w:val="27"/>
          <w:szCs w:val="27"/>
          <w14:ligatures w14:val="none"/>
        </w:rPr>
        <w:t>Abstract</w:t>
      </w:r>
    </w:p>
    <w:p w14:paraId="35190785" w14:textId="4BCC3C3F" w:rsidR="005E1C45" w:rsidRDefault="006D7210"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6D7210">
        <w:rPr>
          <w:rFonts w:ascii="Times New Roman" w:eastAsia="Times New Roman" w:hAnsi="Times New Roman" w:cs="Times New Roman"/>
          <w:kern w:val="0"/>
          <w14:ligatures w14:val="none"/>
        </w:rPr>
        <w:t xml:space="preserve">This study aimed to investigate the role of oxidative stress in the toxicity induced by smoked fish extract in albino rats, with a particular focus on the biochemical markers of oxidative damage. A total of 20 male albino rats, weighing </w:t>
      </w:r>
      <w:r w:rsidRPr="006D7210">
        <w:rPr>
          <w:rFonts w:ascii="Times New Roman" w:eastAsia="Times New Roman" w:hAnsi="Times New Roman" w:cs="Times New Roman"/>
          <w:b/>
          <w:bCs/>
          <w:kern w:val="0"/>
          <w14:ligatures w14:val="none"/>
        </w:rPr>
        <w:t>180–220 g</w:t>
      </w:r>
      <w:r w:rsidRPr="006D7210">
        <w:rPr>
          <w:rFonts w:ascii="Times New Roman" w:eastAsia="Times New Roman" w:hAnsi="Times New Roman" w:cs="Times New Roman"/>
          <w:kern w:val="0"/>
          <w14:ligatures w14:val="none"/>
        </w:rPr>
        <w:t xml:space="preserve">, were divided into four groups: a control group and three treatment groups receiving smoked fish extract at doses of </w:t>
      </w:r>
      <w:r w:rsidRPr="006D7210">
        <w:rPr>
          <w:rFonts w:ascii="Times New Roman" w:eastAsia="Times New Roman" w:hAnsi="Times New Roman" w:cs="Times New Roman"/>
          <w:b/>
          <w:bCs/>
          <w:kern w:val="0"/>
          <w14:ligatures w14:val="none"/>
        </w:rPr>
        <w:t>50 mg/kg, 100 mg/kg, and 200 mg/kg body weight</w:t>
      </w:r>
      <w:r w:rsidRPr="006D7210">
        <w:rPr>
          <w:rFonts w:ascii="Times New Roman" w:eastAsia="Times New Roman" w:hAnsi="Times New Roman" w:cs="Times New Roman"/>
          <w:kern w:val="0"/>
          <w14:ligatures w14:val="none"/>
        </w:rPr>
        <w:t>. The smoked fish extract was administered intraperitoneally for 28 days. Biochemical analysis was conducted to assess the levels of oxidative stress markers, including malondialdehyde (MDA), superoxide dismutase (SOD), and glutathione (GSH) content in the liver and kidney tissues.</w:t>
      </w:r>
      <w:r>
        <w:rPr>
          <w:rFonts w:ascii="Times New Roman" w:eastAsia="Times New Roman" w:hAnsi="Times New Roman" w:cs="Times New Roman"/>
          <w:kern w:val="0"/>
          <w14:ligatures w14:val="none"/>
        </w:rPr>
        <w:t xml:space="preserve"> </w:t>
      </w:r>
      <w:r w:rsidRPr="006D7210">
        <w:rPr>
          <w:rFonts w:ascii="Times New Roman" w:eastAsia="Times New Roman" w:hAnsi="Times New Roman" w:cs="Times New Roman"/>
          <w:kern w:val="0"/>
          <w14:ligatures w14:val="none"/>
        </w:rPr>
        <w:t>Results demonstrated significant dose-dependent increases in oxidative stress markers, with the high-dose group (200 mg/kg) showing a substantial elevation in MDA levels (4.5 nmol/mg protein) compared to controls (1.2 nmol/mg protein), indicating extensive lipid peroxidation. SOD activity in the high-dose group decreased by approximately 40%, suggesting impaired antioxidant defense mechanisms. Additionally, GSH levels were significantly reduced in the liver and kidney tissues of rats exposed to higher doses of smoked fish extract, with the lowest GSH content observed in the 200 mg/kg group. These changes suggest that smoked fish extract induces oxidative stress, leading to cellular damage, particularly in liver and kidney tissues.</w:t>
      </w:r>
      <w:r>
        <w:rPr>
          <w:rFonts w:ascii="Times New Roman" w:eastAsia="Times New Roman" w:hAnsi="Times New Roman" w:cs="Times New Roman"/>
          <w:kern w:val="0"/>
          <w14:ligatures w14:val="none"/>
        </w:rPr>
        <w:t xml:space="preserve"> </w:t>
      </w:r>
      <w:r w:rsidRPr="006D7210">
        <w:rPr>
          <w:rFonts w:ascii="Times New Roman" w:eastAsia="Times New Roman" w:hAnsi="Times New Roman" w:cs="Times New Roman"/>
          <w:kern w:val="0"/>
          <w14:ligatures w14:val="none"/>
        </w:rPr>
        <w:t>The results of this study indicate that oxidative stress plays a critical role in the toxicity of smoked fish extract. The significant alterations in MDA, SOD, and GSH levels provide strong evidence that oxidative damage contributes to the observed liver and kidney dysfunctions. These findings highlight the potential health risks of consuming smoked fish, especially when contaminated with polycyclic aromatic hydrocarbons (PAHs) and other harmful substances. Further research is needed to elucidate the exact mechanisms of oxidative stress and to explore potential protective strategies against the toxicity of smoked fish.</w:t>
      </w:r>
    </w:p>
    <w:p w14:paraId="75301D9E" w14:textId="64BF5C01" w:rsidR="00697BFF" w:rsidRDefault="00697BFF" w:rsidP="00697BFF">
      <w:pPr>
        <w:spacing w:before="100" w:beforeAutospacing="1" w:after="100" w:afterAutospacing="1"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Keywords: </w:t>
      </w:r>
      <w:r w:rsidRPr="006D7210">
        <w:rPr>
          <w:rFonts w:ascii="Times New Roman" w:eastAsia="Times New Roman" w:hAnsi="Times New Roman" w:cs="Times New Roman"/>
          <w:kern w:val="0"/>
          <w14:ligatures w14:val="none"/>
        </w:rPr>
        <w:t>smoked fish</w:t>
      </w:r>
      <w:r>
        <w:rPr>
          <w:rFonts w:ascii="Times New Roman" w:eastAsia="Times New Roman" w:hAnsi="Times New Roman" w:cs="Times New Roman"/>
          <w:kern w:val="0"/>
          <w14:ligatures w14:val="none"/>
        </w:rPr>
        <w:t xml:space="preserve">, </w:t>
      </w:r>
      <w:r w:rsidRPr="006D7210">
        <w:rPr>
          <w:rFonts w:ascii="Times New Roman" w:eastAsia="Times New Roman" w:hAnsi="Times New Roman" w:cs="Times New Roman"/>
          <w:kern w:val="0"/>
          <w14:ligatures w14:val="none"/>
        </w:rPr>
        <w:t>toxicity</w:t>
      </w:r>
      <w:r>
        <w:rPr>
          <w:rFonts w:ascii="Times New Roman" w:eastAsia="Times New Roman" w:hAnsi="Times New Roman" w:cs="Times New Roman"/>
          <w:kern w:val="0"/>
          <w14:ligatures w14:val="none"/>
        </w:rPr>
        <w:t xml:space="preserve">, </w:t>
      </w:r>
      <w:r w:rsidRPr="00227FD6">
        <w:rPr>
          <w:rFonts w:ascii="Times New Roman" w:eastAsia="Times New Roman" w:hAnsi="Times New Roman" w:cs="Times New Roman"/>
          <w:kern w:val="0"/>
          <w14:ligatures w14:val="none"/>
        </w:rPr>
        <w:t>polycyclic aromatic hydrocarbons</w:t>
      </w:r>
      <w:r>
        <w:rPr>
          <w:rFonts w:ascii="Times New Roman" w:eastAsia="Times New Roman" w:hAnsi="Times New Roman" w:cs="Times New Roman"/>
          <w:kern w:val="0"/>
          <w14:ligatures w14:val="none"/>
        </w:rPr>
        <w:t xml:space="preserve">, </w:t>
      </w:r>
      <w:r w:rsidRPr="00227FD6">
        <w:rPr>
          <w:rFonts w:ascii="Times New Roman" w:eastAsia="Times New Roman" w:hAnsi="Times New Roman" w:cs="Times New Roman"/>
          <w:kern w:val="0"/>
          <w14:ligatures w14:val="none"/>
        </w:rPr>
        <w:t>organic matter</w:t>
      </w:r>
    </w:p>
    <w:p w14:paraId="6B22B90A" w14:textId="77777777" w:rsidR="00227FD6" w:rsidRPr="00227FD6" w:rsidRDefault="00227FD6"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227FD6">
        <w:rPr>
          <w:rFonts w:ascii="Times New Roman" w:eastAsia="Times New Roman" w:hAnsi="Times New Roman" w:cs="Times New Roman"/>
          <w:b/>
          <w:bCs/>
          <w:kern w:val="0"/>
          <w:sz w:val="27"/>
          <w:szCs w:val="27"/>
          <w14:ligatures w14:val="none"/>
        </w:rPr>
        <w:t>Introduction</w:t>
      </w:r>
    </w:p>
    <w:p w14:paraId="2E219538" w14:textId="6D43FFF5" w:rsidR="00227FD6" w:rsidRPr="00227FD6" w:rsidRDefault="00227FD6"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Smoked fish remains a dietary staple in many regions of the world, particularly in sub-Saharan Africa, where traditional smoking methods are widely used for preservation. While these techniques enhance flavor and shelf life, they have been associated with the formation of harmful contaminants, notably polycyclic aromatic hydrocarbons (PAHs), which pose significant health risks upon consumption (</w:t>
      </w:r>
      <w:proofErr w:type="spellStart"/>
      <w:r w:rsidRPr="00227FD6">
        <w:rPr>
          <w:rFonts w:ascii="Times New Roman" w:eastAsia="Times New Roman" w:hAnsi="Times New Roman" w:cs="Times New Roman"/>
          <w:kern w:val="0"/>
          <w14:ligatures w14:val="none"/>
        </w:rPr>
        <w:t>Akpambang</w:t>
      </w:r>
      <w:proofErr w:type="spellEnd"/>
      <w:r w:rsidRPr="00227FD6">
        <w:rPr>
          <w:rFonts w:ascii="Times New Roman" w:eastAsia="Times New Roman" w:hAnsi="Times New Roman" w:cs="Times New Roman"/>
          <w:kern w:val="0"/>
          <w14:ligatures w14:val="none"/>
        </w:rPr>
        <w:t xml:space="preserve"> et al., 2009; Duedahl-Olesen et al., 2015). PAHs are generated through the incomplete combustion of </w:t>
      </w:r>
      <w:r w:rsidR="00697BFF" w:rsidRPr="00227FD6">
        <w:rPr>
          <w:rFonts w:ascii="Times New Roman" w:eastAsia="Times New Roman" w:hAnsi="Times New Roman" w:cs="Times New Roman"/>
          <w:kern w:val="0"/>
          <w14:ligatures w14:val="none"/>
        </w:rPr>
        <w:t xml:space="preserve">organic matter </w:t>
      </w:r>
      <w:r w:rsidRPr="00227FD6">
        <w:rPr>
          <w:rFonts w:ascii="Times New Roman" w:eastAsia="Times New Roman" w:hAnsi="Times New Roman" w:cs="Times New Roman"/>
          <w:kern w:val="0"/>
          <w14:ligatures w14:val="none"/>
        </w:rPr>
        <w:t>during smoking processes and can bioaccumulate in animal tissues. Once ingested, these compounds exert toxic, mutagenic, and carcinogenic effects (Domingo &amp; Nadal, 2015; Gheorghe et al., 2019).</w:t>
      </w:r>
    </w:p>
    <w:p w14:paraId="59663E10" w14:textId="77777777" w:rsidR="00227FD6" w:rsidRPr="00227FD6" w:rsidRDefault="00227FD6"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 xml:space="preserve">A growing body of evidence implicates oxidative stress as a central mechanism by which PAHs and related toxicants inflict biological damage (Darwish et al., 2019; Gibis, 2016). Oxidative stress arises from an imbalance between the generation of reactive oxygen species (ROS) and the body’s </w:t>
      </w:r>
      <w:r w:rsidRPr="00227FD6">
        <w:rPr>
          <w:rFonts w:ascii="Times New Roman" w:eastAsia="Times New Roman" w:hAnsi="Times New Roman" w:cs="Times New Roman"/>
          <w:kern w:val="0"/>
          <w14:ligatures w14:val="none"/>
        </w:rPr>
        <w:lastRenderedPageBreak/>
        <w:t xml:space="preserve">antioxidant defenses. This imbalance leads to lipid peroxidation, DNA damage, and protein oxidation, resulting in cellular dysfunction and tissue injury (Forsberg et al., 2012; Al </w:t>
      </w:r>
      <w:proofErr w:type="spellStart"/>
      <w:r w:rsidRPr="00227FD6">
        <w:rPr>
          <w:rFonts w:ascii="Times New Roman" w:eastAsia="Times New Roman" w:hAnsi="Times New Roman" w:cs="Times New Roman"/>
          <w:kern w:val="0"/>
          <w14:ligatures w14:val="none"/>
        </w:rPr>
        <w:t>Bulushi</w:t>
      </w:r>
      <w:proofErr w:type="spellEnd"/>
      <w:r w:rsidRPr="00227FD6">
        <w:rPr>
          <w:rFonts w:ascii="Times New Roman" w:eastAsia="Times New Roman" w:hAnsi="Times New Roman" w:cs="Times New Roman"/>
          <w:kern w:val="0"/>
          <w14:ligatures w14:val="none"/>
        </w:rPr>
        <w:t xml:space="preserve"> et al., 2009).</w:t>
      </w:r>
    </w:p>
    <w:p w14:paraId="4267D8E9" w14:textId="77777777" w:rsidR="00227FD6" w:rsidRPr="00227FD6" w:rsidRDefault="00227FD6"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The liver and kidneys, as principal organs responsible for xenobiotic metabolism and excretion, are particularly vulnerable to oxidative injury induced by environmental toxicants such as PAHs (</w:t>
      </w:r>
      <w:proofErr w:type="spellStart"/>
      <w:r w:rsidRPr="00227FD6">
        <w:rPr>
          <w:rFonts w:ascii="Times New Roman" w:eastAsia="Times New Roman" w:hAnsi="Times New Roman" w:cs="Times New Roman"/>
          <w:kern w:val="0"/>
          <w14:ligatures w14:val="none"/>
        </w:rPr>
        <w:t>Alomirah</w:t>
      </w:r>
      <w:proofErr w:type="spellEnd"/>
      <w:r w:rsidRPr="00227FD6">
        <w:rPr>
          <w:rFonts w:ascii="Times New Roman" w:eastAsia="Times New Roman" w:hAnsi="Times New Roman" w:cs="Times New Roman"/>
          <w:kern w:val="0"/>
          <w14:ligatures w14:val="none"/>
        </w:rPr>
        <w:t xml:space="preserve"> et al., 2011; </w:t>
      </w:r>
      <w:proofErr w:type="spellStart"/>
      <w:r w:rsidRPr="00227FD6">
        <w:rPr>
          <w:rFonts w:ascii="Times New Roman" w:eastAsia="Times New Roman" w:hAnsi="Times New Roman" w:cs="Times New Roman"/>
          <w:kern w:val="0"/>
          <w14:ligatures w14:val="none"/>
        </w:rPr>
        <w:t>Anigboro</w:t>
      </w:r>
      <w:proofErr w:type="spellEnd"/>
      <w:r w:rsidRPr="00227FD6">
        <w:rPr>
          <w:rFonts w:ascii="Times New Roman" w:eastAsia="Times New Roman" w:hAnsi="Times New Roman" w:cs="Times New Roman"/>
          <w:kern w:val="0"/>
          <w14:ligatures w14:val="none"/>
        </w:rPr>
        <w:t xml:space="preserve"> et al., 2011). Biomarkers such as malondialdehyde (MDA) for lipid peroxidation, along with antioxidant enzymes like superoxide dismutase (SOD) and glutathione (GSH), are commonly used to assess oxidative stress and associated organ damage (EFSA, 2008; Assogba et al., 2019).</w:t>
      </w:r>
    </w:p>
    <w:p w14:paraId="24F9281B" w14:textId="77777777" w:rsidR="00227FD6" w:rsidRPr="00227FD6" w:rsidRDefault="00227FD6"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 xml:space="preserve">To simulate systemic exposure to smoked fish-derived toxins, this study employed </w:t>
      </w:r>
      <w:r w:rsidRPr="00227FD6">
        <w:rPr>
          <w:rFonts w:ascii="Times New Roman" w:eastAsia="Times New Roman" w:hAnsi="Times New Roman" w:cs="Times New Roman"/>
          <w:b/>
          <w:bCs/>
          <w:kern w:val="0"/>
          <w14:ligatures w14:val="none"/>
        </w:rPr>
        <w:t>intraperitoneal (</w:t>
      </w:r>
      <w:proofErr w:type="spellStart"/>
      <w:r w:rsidRPr="00227FD6">
        <w:rPr>
          <w:rFonts w:ascii="Times New Roman" w:eastAsia="Times New Roman" w:hAnsi="Times New Roman" w:cs="Times New Roman"/>
          <w:b/>
          <w:bCs/>
          <w:kern w:val="0"/>
          <w14:ligatures w14:val="none"/>
        </w:rPr>
        <w:t>i.p</w:t>
      </w:r>
      <w:proofErr w:type="spellEnd"/>
      <w:r w:rsidRPr="00227FD6">
        <w:rPr>
          <w:rFonts w:ascii="Times New Roman" w:eastAsia="Times New Roman" w:hAnsi="Times New Roman" w:cs="Times New Roman"/>
          <w:b/>
          <w:bCs/>
          <w:kern w:val="0"/>
          <w14:ligatures w14:val="none"/>
        </w:rPr>
        <w:t>.) administration of smoked fish extract in albino rats</w:t>
      </w:r>
      <w:r w:rsidRPr="00227FD6">
        <w:rPr>
          <w:rFonts w:ascii="Times New Roman" w:eastAsia="Times New Roman" w:hAnsi="Times New Roman" w:cs="Times New Roman"/>
          <w:kern w:val="0"/>
          <w14:ligatures w14:val="none"/>
        </w:rPr>
        <w:t xml:space="preserve">, a method that ensures rapid and consistent absorption of complex toxicants. The </w:t>
      </w:r>
      <w:proofErr w:type="spellStart"/>
      <w:r w:rsidRPr="00227FD6">
        <w:rPr>
          <w:rFonts w:ascii="Times New Roman" w:eastAsia="Times New Roman" w:hAnsi="Times New Roman" w:cs="Times New Roman"/>
          <w:kern w:val="0"/>
          <w14:ligatures w14:val="none"/>
        </w:rPr>
        <w:t>i.p</w:t>
      </w:r>
      <w:proofErr w:type="spellEnd"/>
      <w:r w:rsidRPr="00227FD6">
        <w:rPr>
          <w:rFonts w:ascii="Times New Roman" w:eastAsia="Times New Roman" w:hAnsi="Times New Roman" w:cs="Times New Roman"/>
          <w:kern w:val="0"/>
          <w14:ligatures w14:val="none"/>
        </w:rPr>
        <w:t xml:space="preserve">. route is widely accepted in toxicological studies evaluating crude or semi-purified food extracts (Saoudi et al., 2008; </w:t>
      </w:r>
      <w:proofErr w:type="spellStart"/>
      <w:r w:rsidRPr="00227FD6">
        <w:rPr>
          <w:rFonts w:ascii="Times New Roman" w:eastAsia="Times New Roman" w:hAnsi="Times New Roman" w:cs="Times New Roman"/>
          <w:kern w:val="0"/>
          <w14:ligatures w14:val="none"/>
        </w:rPr>
        <w:t>Omodara</w:t>
      </w:r>
      <w:proofErr w:type="spellEnd"/>
      <w:r w:rsidRPr="00227FD6">
        <w:rPr>
          <w:rFonts w:ascii="Times New Roman" w:eastAsia="Times New Roman" w:hAnsi="Times New Roman" w:cs="Times New Roman"/>
          <w:kern w:val="0"/>
          <w14:ligatures w14:val="none"/>
        </w:rPr>
        <w:t xml:space="preserve"> et al., 2024). It enables controlled dosing and has been shown to induce measurable hematological, biochemical, and histopathological changes reflective of real-world toxicity risks.</w:t>
      </w:r>
    </w:p>
    <w:p w14:paraId="058455E6" w14:textId="77777777" w:rsidR="00227FD6" w:rsidRPr="00227FD6" w:rsidRDefault="00227FD6"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Despite increasing awareness of the health hazards linked to smoked food products, comprehensive toxicological studies addressing oxidative and systemic effects of traditionally smoked fish remain limited, especially within African populations. This study, therefore, investigates the biochemical, hematological, oxidative, and histological alterations induced by smoked fish extract in Wistar rats. The aim is to elucidate the potential mechanisms of toxicity, particularly the role of oxidative stress in liver and kidney damage, thereby contributing to evidence-based food safety awareness.</w:t>
      </w:r>
    </w:p>
    <w:p w14:paraId="2C9852C7" w14:textId="110AEC95" w:rsidR="00227FD6" w:rsidRDefault="00227FD6" w:rsidP="00697BFF">
      <w:pPr>
        <w:pStyle w:val="NormalWeb"/>
        <w:jc w:val="both"/>
      </w:pPr>
    </w:p>
    <w:p w14:paraId="291FF98B" w14:textId="77777777" w:rsidR="00227FD6" w:rsidRPr="005E1C45" w:rsidRDefault="00227FD6" w:rsidP="00697BFF">
      <w:pPr>
        <w:spacing w:before="100" w:beforeAutospacing="1" w:after="100" w:afterAutospacing="1" w:line="240" w:lineRule="auto"/>
        <w:jc w:val="both"/>
        <w:rPr>
          <w:rFonts w:ascii="Times New Roman" w:eastAsia="Times New Roman" w:hAnsi="Times New Roman" w:cs="Times New Roman"/>
          <w:kern w:val="0"/>
          <w14:ligatures w14:val="none"/>
        </w:rPr>
      </w:pPr>
    </w:p>
    <w:p w14:paraId="6CD44D06" w14:textId="77777777" w:rsidR="005E1C45" w:rsidRPr="006D7210" w:rsidRDefault="005E1C45" w:rsidP="00697BFF">
      <w:pPr>
        <w:spacing w:before="100" w:beforeAutospacing="1" w:after="100" w:afterAutospacing="1" w:line="240" w:lineRule="auto"/>
        <w:jc w:val="both"/>
        <w:rPr>
          <w:rFonts w:ascii="Times New Roman" w:eastAsia="Times New Roman" w:hAnsi="Times New Roman" w:cs="Times New Roman"/>
          <w:kern w:val="0"/>
          <w14:ligatures w14:val="none"/>
        </w:rPr>
      </w:pPr>
    </w:p>
    <w:p w14:paraId="567434E2" w14:textId="3B1F8390" w:rsidR="002F6CBB" w:rsidRPr="009973BB" w:rsidRDefault="002F6CBB" w:rsidP="00697BFF">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sidRPr="009973BB">
        <w:rPr>
          <w:rFonts w:ascii="Times New Roman" w:eastAsia="Times New Roman" w:hAnsi="Times New Roman" w:cs="Times New Roman"/>
          <w:b/>
          <w:bCs/>
          <w:kern w:val="0"/>
          <w:sz w:val="36"/>
          <w:szCs w:val="36"/>
          <w14:ligatures w14:val="none"/>
        </w:rPr>
        <w:t>Materials and Methods</w:t>
      </w:r>
    </w:p>
    <w:p w14:paraId="431DB770" w14:textId="77777777" w:rsidR="002F6CBB" w:rsidRPr="009973BB" w:rsidRDefault="002F6CBB"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2.1. Source and Preparation of Smoked Fish Extract</w:t>
      </w:r>
    </w:p>
    <w:p w14:paraId="66132EC2" w14:textId="77777777" w:rsidR="002F6CBB" w:rsidRPr="009973BB" w:rsidRDefault="002F6CBB"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Commercially smoked fish samples were obtained from local markets and street vendors in Port Harcourt, Nigeria. The samples were homogenized using a stainless</w:t>
      </w:r>
      <w:r>
        <w:rPr>
          <w:rFonts w:ascii="Times New Roman" w:eastAsia="Times New Roman" w:hAnsi="Times New Roman" w:cs="Times New Roman"/>
          <w:kern w:val="0"/>
          <w14:ligatures w14:val="none"/>
        </w:rPr>
        <w:t xml:space="preserve"> </w:t>
      </w:r>
      <w:r w:rsidRPr="009973BB">
        <w:rPr>
          <w:rFonts w:ascii="Times New Roman" w:eastAsia="Times New Roman" w:hAnsi="Times New Roman" w:cs="Times New Roman"/>
          <w:kern w:val="0"/>
          <w14:ligatures w14:val="none"/>
        </w:rPr>
        <w:t>steel blender and subjected to Soxhlet extraction for 8 hours using a solvent mixture of hexane–dichloromethane (3:1, v/v). The resulting extracts were concentrated with a rotary evaporator at 40 °C to remove solvents and stored at 4 °C until use. Fresh doses were prepared daily based on the individual body weights of the experimental animals.</w:t>
      </w:r>
    </w:p>
    <w:p w14:paraId="08F5B7F9" w14:textId="43CB2DE6" w:rsidR="002F6CBB" w:rsidRPr="009973BB" w:rsidRDefault="002F6CBB"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 xml:space="preserve">2.2. Experimental Animals </w:t>
      </w:r>
    </w:p>
    <w:p w14:paraId="559F89B9" w14:textId="77777777" w:rsidR="002F6CBB" w:rsidRPr="009973BB" w:rsidRDefault="002F6CBB"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lastRenderedPageBreak/>
        <w:t>Twenty (20) adult male albino rats weighing between 180–220 g were procured from a certified animal breeding facility. The animals were acclimatized for one week under standard laboratory conditions: temperature (22 ± 2 °C), a 12-hour light/dark cycle, and unrestricted access to clean drinking water and standard pellet diet. The experimental protocol was reviewed and approved by the Institutional Animal Ethics Committee, and all procedures adhered to international guidelines for the care and use of laboratory animals.</w:t>
      </w:r>
    </w:p>
    <w:p w14:paraId="647355DF" w14:textId="77777777" w:rsidR="002F6CBB" w:rsidRPr="009973BB" w:rsidRDefault="002F6CBB"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2.3. Animal Grouping and Treatment Regimen</w:t>
      </w:r>
    </w:p>
    <w:p w14:paraId="37B239C8" w14:textId="77777777" w:rsidR="002F6CBB" w:rsidRPr="009973BB" w:rsidRDefault="002F6CBB"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The rats were randomly assigned into four groups (n = 5 rats per group) as follows:</w:t>
      </w:r>
    </w:p>
    <w:p w14:paraId="4B5F8B77" w14:textId="77777777" w:rsidR="002F6CBB" w:rsidRPr="009973BB" w:rsidRDefault="002F6CBB" w:rsidP="00697BFF">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 (Control):</w:t>
      </w:r>
      <w:r w:rsidRPr="009973BB">
        <w:rPr>
          <w:rFonts w:ascii="Times New Roman" w:eastAsia="Times New Roman" w:hAnsi="Times New Roman" w:cs="Times New Roman"/>
          <w:kern w:val="0"/>
          <w14:ligatures w14:val="none"/>
        </w:rPr>
        <w:t xml:space="preserve"> Received 0.9% normal saline intraperitoneally.</w:t>
      </w:r>
    </w:p>
    <w:p w14:paraId="2B763DF5" w14:textId="77777777" w:rsidR="002F6CBB" w:rsidRPr="009973BB" w:rsidRDefault="002F6CBB" w:rsidP="00697BFF">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 (Low Dose):</w:t>
      </w:r>
      <w:r w:rsidRPr="009973BB">
        <w:rPr>
          <w:rFonts w:ascii="Times New Roman" w:eastAsia="Times New Roman" w:hAnsi="Times New Roman" w:cs="Times New Roman"/>
          <w:kern w:val="0"/>
          <w14:ligatures w14:val="none"/>
        </w:rPr>
        <w:t xml:space="preserve"> Received 50 mg/kg body weight of smoked fish extract intraperitoneally.</w:t>
      </w:r>
    </w:p>
    <w:p w14:paraId="72339ECB" w14:textId="77777777" w:rsidR="002F6CBB" w:rsidRPr="009973BB" w:rsidRDefault="002F6CBB" w:rsidP="00697BFF">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III (Medium Dose):</w:t>
      </w:r>
      <w:r w:rsidRPr="009973BB">
        <w:rPr>
          <w:rFonts w:ascii="Times New Roman" w:eastAsia="Times New Roman" w:hAnsi="Times New Roman" w:cs="Times New Roman"/>
          <w:kern w:val="0"/>
          <w14:ligatures w14:val="none"/>
        </w:rPr>
        <w:t xml:space="preserve"> Received 100 mg/kg body weight of smoked fish extract intraperitoneally.</w:t>
      </w:r>
    </w:p>
    <w:p w14:paraId="415FB3D4" w14:textId="77777777" w:rsidR="002F6CBB" w:rsidRPr="009973BB" w:rsidRDefault="002F6CBB" w:rsidP="00697BFF">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IV (High Dose):</w:t>
      </w:r>
      <w:r w:rsidRPr="009973BB">
        <w:rPr>
          <w:rFonts w:ascii="Times New Roman" w:eastAsia="Times New Roman" w:hAnsi="Times New Roman" w:cs="Times New Roman"/>
          <w:kern w:val="0"/>
          <w14:ligatures w14:val="none"/>
        </w:rPr>
        <w:t xml:space="preserve"> Received 200 mg/kg body weight of smoked fish extract intraperitoneally.</w:t>
      </w:r>
    </w:p>
    <w:p w14:paraId="0F829D04" w14:textId="77777777" w:rsidR="002F6CBB" w:rsidRPr="009973BB" w:rsidRDefault="002F6CBB"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Treatments were administered once daily for 28 consecutive days.</w:t>
      </w:r>
    </w:p>
    <w:p w14:paraId="20CE637E" w14:textId="77777777" w:rsidR="002F6CBB" w:rsidRPr="009973BB" w:rsidRDefault="002F6CBB"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2.4. Biochemical Assays</w:t>
      </w:r>
    </w:p>
    <w:p w14:paraId="28CBA5BA" w14:textId="77777777" w:rsidR="002F6CBB" w:rsidRPr="009973BB" w:rsidRDefault="002F6CBB"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At the end of the treatment period, the rats were fasted overnight and euthanized under light anesthesia. Blood was collected via cardiac puncture and centrifuged at 3,000 rpm for 10 minutes to obtain serum. The following biochemical parameters were analyzed using standard diagnostic kits (Randox Laboratories, UK):</w:t>
      </w:r>
    </w:p>
    <w:p w14:paraId="27A198F4" w14:textId="77777777" w:rsidR="002F6CBB" w:rsidRPr="009973BB" w:rsidRDefault="002F6CBB" w:rsidP="00697BFF">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Liver Function Tests:</w:t>
      </w:r>
      <w:r w:rsidRPr="009973BB">
        <w:rPr>
          <w:rFonts w:ascii="Times New Roman" w:eastAsia="Times New Roman" w:hAnsi="Times New Roman" w:cs="Times New Roman"/>
          <w:kern w:val="0"/>
          <w14:ligatures w14:val="none"/>
        </w:rPr>
        <w:t xml:space="preserve"> Alanine aminotransferase (ALT), Aspartate aminotransferase (AST)</w:t>
      </w:r>
    </w:p>
    <w:p w14:paraId="7D758DF2" w14:textId="77777777" w:rsidR="002F6CBB" w:rsidRPr="009973BB" w:rsidRDefault="002F6CBB" w:rsidP="00697BFF">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Kidney Function Tests:</w:t>
      </w:r>
      <w:r w:rsidRPr="009973BB">
        <w:rPr>
          <w:rFonts w:ascii="Times New Roman" w:eastAsia="Times New Roman" w:hAnsi="Times New Roman" w:cs="Times New Roman"/>
          <w:kern w:val="0"/>
          <w14:ligatures w14:val="none"/>
        </w:rPr>
        <w:t xml:space="preserve"> Urea, Creatinine</w:t>
      </w:r>
    </w:p>
    <w:p w14:paraId="21D37DCB" w14:textId="77777777" w:rsidR="002F6CBB" w:rsidRPr="009973BB" w:rsidRDefault="002F6CBB" w:rsidP="00697BFF">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Oxidative Stress Markers:</w:t>
      </w:r>
      <w:r w:rsidRPr="009973BB">
        <w:rPr>
          <w:rFonts w:ascii="Times New Roman" w:eastAsia="Times New Roman" w:hAnsi="Times New Roman" w:cs="Times New Roman"/>
          <w:kern w:val="0"/>
          <w14:ligatures w14:val="none"/>
        </w:rPr>
        <w:t xml:space="preserve"> Malondialdehyde (MDA), Superoxide dismutase (SOD)</w:t>
      </w:r>
    </w:p>
    <w:p w14:paraId="498D9868" w14:textId="77777777" w:rsidR="002F6CBB" w:rsidRPr="009973BB" w:rsidRDefault="002F6CBB"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2.5. Histopathological Examination</w:t>
      </w:r>
    </w:p>
    <w:p w14:paraId="581CA871" w14:textId="77777777" w:rsidR="002F6CBB" w:rsidRPr="009973BB" w:rsidRDefault="002F6CBB"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Liver and kidney tissues were harvested, rinsed in physiological saline, and fixed in 10% buffered formalin. The tissues were processed, embedded in paraffin wax, and sectioned at 5 µm thickness. Sections were stained with hematoxylin and eosin (H&amp;E) and examined under a light microscope for structural and pathological alterations.</w:t>
      </w:r>
    </w:p>
    <w:p w14:paraId="5E76EF02" w14:textId="77777777" w:rsidR="002F6CBB" w:rsidRPr="009973BB" w:rsidRDefault="002F6CBB"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2.6. GC-MS Analysis of Polycyclic Aromatic Hydrocarbons (PAHs)</w:t>
      </w:r>
    </w:p>
    <w:p w14:paraId="13BC1884" w14:textId="77777777" w:rsidR="002F6CBB" w:rsidRPr="009973BB" w:rsidRDefault="002F6CBB"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 xml:space="preserve">A portion of the smoked fish extract was subjected to Gas Chromatography-Mass Spectrometry (GC-MS) analysis to quantify polycyclic aromatic hydrocarbons. Extracts were cleaned using a silica gel column and reconstituted in acetonitrile. Analysis was carried out using an Agilent 7890A GC system coupled with a 5975C Mass Selective Detector and an HP-5MS capillary </w:t>
      </w:r>
      <w:r w:rsidRPr="009973BB">
        <w:rPr>
          <w:rFonts w:ascii="Times New Roman" w:eastAsia="Times New Roman" w:hAnsi="Times New Roman" w:cs="Times New Roman"/>
          <w:kern w:val="0"/>
          <w14:ligatures w14:val="none"/>
        </w:rPr>
        <w:lastRenderedPageBreak/>
        <w:t>column (30 m × 0.25 mm × 0.25 µm). The oven temperature was programmed from 70 °C to 280 °C. Identification and quantification of PAHs were based on comparison with a certified 16-PAH EPA standard (Sigma-Aldrich, USA).</w:t>
      </w:r>
    </w:p>
    <w:p w14:paraId="32052BF0" w14:textId="77777777" w:rsidR="002F6CBB" w:rsidRPr="009973BB" w:rsidRDefault="002F6CBB"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2.7. Statistical Analysis</w:t>
      </w:r>
    </w:p>
    <w:p w14:paraId="0B736192" w14:textId="77777777" w:rsidR="002F6CBB" w:rsidRPr="009973BB" w:rsidRDefault="002F6CBB"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Data were expressed as mean ± standard deviation (SD). Statistical analysis was performed using one-way ANOVA followed by Tukey's post hoc test to evaluate inter-group differences. A p-value of &lt; 0.05 was considered statistically significant. Graphs were generated using GraphPad Prism version 9.0.</w:t>
      </w:r>
    </w:p>
    <w:p w14:paraId="6131A8E0" w14:textId="1192EF6E" w:rsidR="00154159" w:rsidRPr="00154159" w:rsidRDefault="00154159" w:rsidP="00697BFF">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t xml:space="preserve">3 </w:t>
      </w:r>
      <w:r w:rsidRPr="00154159">
        <w:rPr>
          <w:rFonts w:ascii="Times New Roman" w:eastAsia="Times New Roman" w:hAnsi="Times New Roman" w:cs="Times New Roman"/>
          <w:b/>
          <w:bCs/>
          <w:kern w:val="0"/>
          <w:sz w:val="36"/>
          <w:szCs w:val="36"/>
          <w14:ligatures w14:val="none"/>
        </w:rPr>
        <w:t>Results</w:t>
      </w:r>
    </w:p>
    <w:p w14:paraId="49288054" w14:textId="77777777" w:rsidR="00154159" w:rsidRPr="00154159" w:rsidRDefault="00154159"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kern w:val="0"/>
          <w14:ligatures w14:val="none"/>
        </w:rPr>
        <w:t>The administration of smoked fish extract for 28 days produced dose-dependent biochemical and histopathological alterations in albino rats.</w:t>
      </w:r>
    </w:p>
    <w:p w14:paraId="31CFE005" w14:textId="77777777" w:rsidR="00154159" w:rsidRDefault="00154159"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154159">
        <w:rPr>
          <w:rFonts w:ascii="Times New Roman" w:eastAsia="Times New Roman" w:hAnsi="Times New Roman" w:cs="Times New Roman"/>
          <w:b/>
          <w:bCs/>
          <w:kern w:val="0"/>
          <w:sz w:val="27"/>
          <w:szCs w:val="27"/>
          <w14:ligatures w14:val="none"/>
        </w:rPr>
        <w:t>Biochemical Findings:</w:t>
      </w:r>
    </w:p>
    <w:p w14:paraId="259E4E4A" w14:textId="52FB8D98" w:rsidR="00154159" w:rsidRDefault="00154159"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284DAD">
        <w:rPr>
          <w:rFonts w:ascii="Times New Roman" w:eastAsia="Times New Roman" w:hAnsi="Times New Roman" w:cs="Times New Roman"/>
          <w:b/>
          <w:bCs/>
          <w:kern w:val="0"/>
          <w:sz w:val="27"/>
          <w:szCs w:val="27"/>
          <w14:ligatures w14:val="none"/>
        </w:rPr>
        <w:t>3.</w:t>
      </w:r>
      <w:r>
        <w:rPr>
          <w:rFonts w:ascii="Times New Roman" w:eastAsia="Times New Roman" w:hAnsi="Times New Roman" w:cs="Times New Roman"/>
          <w:b/>
          <w:bCs/>
          <w:kern w:val="0"/>
          <w:sz w:val="27"/>
          <w:szCs w:val="27"/>
          <w14:ligatures w14:val="none"/>
        </w:rPr>
        <w:t>1</w:t>
      </w:r>
      <w:r w:rsidRPr="00284DAD">
        <w:rPr>
          <w:rFonts w:ascii="Times New Roman" w:eastAsia="Times New Roman" w:hAnsi="Times New Roman" w:cs="Times New Roman"/>
          <w:b/>
          <w:bCs/>
          <w:kern w:val="0"/>
          <w:sz w:val="27"/>
          <w:szCs w:val="27"/>
          <w14:ligatures w14:val="none"/>
        </w:rPr>
        <w:t xml:space="preserve"> Oxidative Stress Markers</w:t>
      </w:r>
    </w:p>
    <w:p w14:paraId="3F87A5CF" w14:textId="413D1D07" w:rsidR="005E1C45" w:rsidRPr="00284DAD" w:rsidRDefault="003A2023"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Table </w:t>
      </w:r>
      <w:proofErr w:type="gramStart"/>
      <w:r>
        <w:rPr>
          <w:rFonts w:ascii="Times New Roman" w:eastAsia="Times New Roman" w:hAnsi="Times New Roman" w:cs="Times New Roman"/>
          <w:b/>
          <w:bCs/>
          <w:kern w:val="0"/>
          <w:sz w:val="27"/>
          <w:szCs w:val="27"/>
          <w14:ligatures w14:val="none"/>
        </w:rPr>
        <w:t>1 :</w:t>
      </w:r>
      <w:proofErr w:type="gramEnd"/>
      <w:r w:rsidR="005E1C45">
        <w:rPr>
          <w:rFonts w:ascii="Times New Roman" w:eastAsia="Times New Roman" w:hAnsi="Times New Roman" w:cs="Times New Roman"/>
          <w:b/>
          <w:bCs/>
          <w:kern w:val="0"/>
          <w:sz w:val="27"/>
          <w:szCs w:val="27"/>
          <w14:ligatures w14:val="none"/>
        </w:rPr>
        <w:t xml:space="preserve"> result of oxidative stress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2567"/>
        <w:gridCol w:w="2682"/>
      </w:tblGrid>
      <w:tr w:rsidR="00154159" w:rsidRPr="00284DAD" w14:paraId="231B4B3E" w14:textId="77777777" w:rsidTr="00DF3B13">
        <w:trPr>
          <w:tblHeader/>
          <w:tblCellSpacing w:w="15" w:type="dxa"/>
        </w:trPr>
        <w:tc>
          <w:tcPr>
            <w:tcW w:w="0" w:type="auto"/>
            <w:vAlign w:val="center"/>
            <w:hideMark/>
          </w:tcPr>
          <w:p w14:paraId="452E3736" w14:textId="77777777" w:rsidR="00154159" w:rsidRPr="00284DAD" w:rsidRDefault="00154159" w:rsidP="00697BFF">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1908F3A7" w14:textId="77777777" w:rsidR="00154159" w:rsidRPr="00284DAD" w:rsidRDefault="00154159" w:rsidP="00697BFF">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MDA (nmol/mg protein)</w:t>
            </w:r>
          </w:p>
        </w:tc>
        <w:tc>
          <w:tcPr>
            <w:tcW w:w="0" w:type="auto"/>
            <w:vAlign w:val="center"/>
            <w:hideMark/>
          </w:tcPr>
          <w:p w14:paraId="077809C4" w14:textId="77777777" w:rsidR="00154159" w:rsidRPr="00284DAD" w:rsidRDefault="00154159" w:rsidP="00697BFF">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SOD Activity (% change)</w:t>
            </w:r>
          </w:p>
        </w:tc>
      </w:tr>
      <w:tr w:rsidR="00154159" w:rsidRPr="00284DAD" w14:paraId="1A623E80" w14:textId="77777777" w:rsidTr="00DF3B13">
        <w:trPr>
          <w:tblCellSpacing w:w="15" w:type="dxa"/>
        </w:trPr>
        <w:tc>
          <w:tcPr>
            <w:tcW w:w="0" w:type="auto"/>
            <w:vAlign w:val="center"/>
            <w:hideMark/>
          </w:tcPr>
          <w:p w14:paraId="69225559"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653130A4"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1.2 ± 0.2</w:t>
            </w:r>
          </w:p>
        </w:tc>
        <w:tc>
          <w:tcPr>
            <w:tcW w:w="0" w:type="auto"/>
            <w:vAlign w:val="center"/>
            <w:hideMark/>
          </w:tcPr>
          <w:p w14:paraId="2B23E057"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Baseline</w:t>
            </w:r>
          </w:p>
        </w:tc>
      </w:tr>
      <w:tr w:rsidR="00154159" w:rsidRPr="00284DAD" w14:paraId="5578B66A" w14:textId="77777777" w:rsidTr="00DF3B13">
        <w:trPr>
          <w:tblCellSpacing w:w="15" w:type="dxa"/>
        </w:trPr>
        <w:tc>
          <w:tcPr>
            <w:tcW w:w="0" w:type="auto"/>
            <w:vAlign w:val="center"/>
            <w:hideMark/>
          </w:tcPr>
          <w:p w14:paraId="4604869F"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36AD5E99"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2.4 ± 0.3</w:t>
            </w:r>
          </w:p>
        </w:tc>
        <w:tc>
          <w:tcPr>
            <w:tcW w:w="0" w:type="auto"/>
            <w:vAlign w:val="center"/>
            <w:hideMark/>
          </w:tcPr>
          <w:p w14:paraId="3412EF72"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-15%</w:t>
            </w:r>
          </w:p>
        </w:tc>
      </w:tr>
      <w:tr w:rsidR="00154159" w:rsidRPr="00284DAD" w14:paraId="676E2076" w14:textId="77777777" w:rsidTr="00DF3B13">
        <w:trPr>
          <w:tblCellSpacing w:w="15" w:type="dxa"/>
        </w:trPr>
        <w:tc>
          <w:tcPr>
            <w:tcW w:w="0" w:type="auto"/>
            <w:vAlign w:val="center"/>
            <w:hideMark/>
          </w:tcPr>
          <w:p w14:paraId="12FADDB9"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3D18B42F"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3.5 ± 0.4</w:t>
            </w:r>
          </w:p>
        </w:tc>
        <w:tc>
          <w:tcPr>
            <w:tcW w:w="0" w:type="auto"/>
            <w:vAlign w:val="center"/>
            <w:hideMark/>
          </w:tcPr>
          <w:p w14:paraId="77C54ED4"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-30%</w:t>
            </w:r>
          </w:p>
        </w:tc>
      </w:tr>
      <w:tr w:rsidR="00154159" w:rsidRPr="00284DAD" w14:paraId="74734372" w14:textId="77777777" w:rsidTr="00DF3B13">
        <w:trPr>
          <w:tblCellSpacing w:w="15" w:type="dxa"/>
        </w:trPr>
        <w:tc>
          <w:tcPr>
            <w:tcW w:w="0" w:type="auto"/>
            <w:vAlign w:val="center"/>
            <w:hideMark/>
          </w:tcPr>
          <w:p w14:paraId="06E03C0B"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
          <w:p w14:paraId="636C180F"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4.5 ± 0.5</w:t>
            </w:r>
          </w:p>
        </w:tc>
        <w:tc>
          <w:tcPr>
            <w:tcW w:w="0" w:type="auto"/>
            <w:vAlign w:val="center"/>
            <w:hideMark/>
          </w:tcPr>
          <w:p w14:paraId="44E3DBC7" w14:textId="77777777" w:rsidR="00154159" w:rsidRPr="00284DAD" w:rsidRDefault="00154159" w:rsidP="00697BFF">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-40%</w:t>
            </w:r>
          </w:p>
        </w:tc>
      </w:tr>
    </w:tbl>
    <w:p w14:paraId="4E0C6727" w14:textId="77777777" w:rsidR="00154159" w:rsidRPr="00154159" w:rsidRDefault="00154159"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p>
    <w:p w14:paraId="0ED200ED" w14:textId="77777777" w:rsidR="00154159" w:rsidRPr="00154159" w:rsidRDefault="00154159" w:rsidP="00697BFF">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Oxidative Stress Markers:</w:t>
      </w:r>
    </w:p>
    <w:p w14:paraId="297A4729" w14:textId="77777777" w:rsidR="00154159" w:rsidRPr="00154159" w:rsidRDefault="00154159" w:rsidP="00697BFF">
      <w:pPr>
        <w:numPr>
          <w:ilvl w:val="1"/>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Malondialdehyde (MDA):</w:t>
      </w:r>
      <w:r w:rsidRPr="00154159">
        <w:rPr>
          <w:rFonts w:ascii="Times New Roman" w:eastAsia="Times New Roman" w:hAnsi="Times New Roman" w:cs="Times New Roman"/>
          <w:kern w:val="0"/>
          <w14:ligatures w14:val="none"/>
        </w:rPr>
        <w:t xml:space="preserve"> Significant dose-dependent increases were observed. The high-dose group (200 mg/kg) recorded the highest MDA levels (4.5 ± 0.2 nmol/mg protein) compared to the control group (1.2 ± 0.1 nmol/mg protein), indicating elevated lipid peroxidation (p &lt; 0.05).</w:t>
      </w:r>
    </w:p>
    <w:p w14:paraId="5308B92C" w14:textId="77777777" w:rsidR="00154159" w:rsidRPr="00154159" w:rsidRDefault="00154159" w:rsidP="00697BFF">
      <w:pPr>
        <w:numPr>
          <w:ilvl w:val="1"/>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Superoxide Dismutase (SOD):</w:t>
      </w:r>
      <w:r w:rsidRPr="00154159">
        <w:rPr>
          <w:rFonts w:ascii="Times New Roman" w:eastAsia="Times New Roman" w:hAnsi="Times New Roman" w:cs="Times New Roman"/>
          <w:kern w:val="0"/>
          <w14:ligatures w14:val="none"/>
        </w:rPr>
        <w:t xml:space="preserve"> SOD activity significantly decreased with increasing doses. The high-dose group showed about a 40% reduction in activity compared to the control (p &lt; 0.05), suggesting weakened antioxidant defense.</w:t>
      </w:r>
    </w:p>
    <w:p w14:paraId="10B4BF8E" w14:textId="77777777" w:rsidR="00154159" w:rsidRPr="00154159" w:rsidRDefault="00154159" w:rsidP="00697BFF">
      <w:pPr>
        <w:numPr>
          <w:ilvl w:val="1"/>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Glutathione (GSH):</w:t>
      </w:r>
      <w:r w:rsidRPr="00154159">
        <w:rPr>
          <w:rFonts w:ascii="Times New Roman" w:eastAsia="Times New Roman" w:hAnsi="Times New Roman" w:cs="Times New Roman"/>
          <w:kern w:val="0"/>
          <w14:ligatures w14:val="none"/>
        </w:rPr>
        <w:t xml:space="preserve"> GSH levels were markedly reduced in both liver and kidney tissues of treated groups, with the lowest levels in the high-dose group.</w:t>
      </w:r>
    </w:p>
    <w:p w14:paraId="012553A7" w14:textId="77777777" w:rsidR="00154159" w:rsidRPr="00154159" w:rsidRDefault="00154159" w:rsidP="00697BFF">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Liver and Kidney Function Tests:</w:t>
      </w:r>
    </w:p>
    <w:p w14:paraId="1006CF77" w14:textId="77777777" w:rsidR="00154159" w:rsidRPr="00154159" w:rsidRDefault="00154159" w:rsidP="00697BFF">
      <w:pPr>
        <w:numPr>
          <w:ilvl w:val="1"/>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kern w:val="0"/>
          <w14:ligatures w14:val="none"/>
        </w:rPr>
        <w:t>Significant increases in serum ALT and AST levels were observed in medium- and high-dose groups, suggesting hepatocellular injury.</w:t>
      </w:r>
    </w:p>
    <w:p w14:paraId="7051B8A2" w14:textId="77777777" w:rsidR="00154159" w:rsidRPr="00154159" w:rsidRDefault="00154159" w:rsidP="00697BFF">
      <w:pPr>
        <w:numPr>
          <w:ilvl w:val="1"/>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kern w:val="0"/>
          <w14:ligatures w14:val="none"/>
        </w:rPr>
        <w:lastRenderedPageBreak/>
        <w:t>Serum urea and creatinine levels were also significantly elevated in a dose-dependent manner, indicating compromised renal function.</w:t>
      </w:r>
    </w:p>
    <w:p w14:paraId="0A25113C" w14:textId="019E2FF0" w:rsidR="00154159" w:rsidRPr="00154159" w:rsidRDefault="00227FD6"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3.2 </w:t>
      </w:r>
      <w:r w:rsidR="00154159" w:rsidRPr="00154159">
        <w:rPr>
          <w:rFonts w:ascii="Times New Roman" w:eastAsia="Times New Roman" w:hAnsi="Times New Roman" w:cs="Times New Roman"/>
          <w:b/>
          <w:bCs/>
          <w:kern w:val="0"/>
          <w:sz w:val="27"/>
          <w:szCs w:val="27"/>
          <w14:ligatures w14:val="none"/>
        </w:rPr>
        <w:t>Histopathological Findings:</w:t>
      </w:r>
    </w:p>
    <w:p w14:paraId="00C9BA9A" w14:textId="77777777" w:rsidR="00227FD6" w:rsidRPr="00227FD6" w:rsidRDefault="00227FD6" w:rsidP="00697BFF">
      <w:pPr>
        <w:pStyle w:val="ListParagraph"/>
        <w:numPr>
          <w:ilvl w:val="0"/>
          <w:numId w:val="4"/>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227FD6">
        <w:rPr>
          <w:rFonts w:ascii="Arial" w:eastAsia="Times New Roman" w:hAnsi="Arial" w:cs="Arial"/>
          <w:b/>
          <w:bCs/>
          <w:kern w:val="0"/>
          <w:sz w:val="20"/>
          <w:szCs w:val="20"/>
          <w14:ligatures w14:val="none"/>
        </w:rPr>
        <w:t>. H</w:t>
      </w:r>
      <w:r w:rsidRPr="00227FD6">
        <w:rPr>
          <w:rFonts w:ascii="Times New Roman" w:eastAsia="Times New Roman" w:hAnsi="Times New Roman" w:cs="Times New Roman"/>
          <w:b/>
          <w:bCs/>
          <w:kern w:val="0"/>
          <w:sz w:val="27"/>
          <w:szCs w:val="27"/>
          <w14:ligatures w14:val="none"/>
        </w:rPr>
        <w:t>istological Findings</w:t>
      </w:r>
    </w:p>
    <w:p w14:paraId="56085526"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Histopathological examination of liver and kidney tissues revealed dose-dependent structural alterations, particularly in the high-dose (200 mg/kg) group.</w:t>
      </w:r>
    </w:p>
    <w:p w14:paraId="18B788C8"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b/>
          <w:bCs/>
          <w:kern w:val="0"/>
          <w14:ligatures w14:val="none"/>
        </w:rPr>
        <w:t>Liver Sections</w:t>
      </w:r>
      <w:r w:rsidRPr="00227FD6">
        <w:rPr>
          <w:rFonts w:ascii="Times New Roman" w:eastAsia="Times New Roman" w:hAnsi="Times New Roman" w:cs="Times New Roman"/>
          <w:kern w:val="0"/>
          <w14:ligatures w14:val="none"/>
        </w:rPr>
        <w:br/>
        <w:t xml:space="preserve">As shown in </w:t>
      </w:r>
      <w:r w:rsidRPr="00227FD6">
        <w:rPr>
          <w:rFonts w:ascii="Times New Roman" w:eastAsia="Times New Roman" w:hAnsi="Times New Roman" w:cs="Times New Roman"/>
          <w:i/>
          <w:iCs/>
          <w:kern w:val="0"/>
          <w14:ligatures w14:val="none"/>
        </w:rPr>
        <w:t>Figure 1</w:t>
      </w:r>
      <w:r w:rsidRPr="00227FD6">
        <w:rPr>
          <w:rFonts w:ascii="Times New Roman" w:eastAsia="Times New Roman" w:hAnsi="Times New Roman" w:cs="Times New Roman"/>
          <w:kern w:val="0"/>
          <w14:ligatures w14:val="none"/>
        </w:rPr>
        <w:t xml:space="preserve">, liver tissues from rats administered 200 mg/kg of smoked fish extract exhibited </w:t>
      </w:r>
      <w:r w:rsidRPr="00227FD6">
        <w:rPr>
          <w:rFonts w:ascii="Times New Roman" w:eastAsia="Times New Roman" w:hAnsi="Times New Roman" w:cs="Times New Roman"/>
          <w:b/>
          <w:bCs/>
          <w:kern w:val="0"/>
          <w14:ligatures w14:val="none"/>
        </w:rPr>
        <w:t>severe hepatocellular necrosis</w:t>
      </w:r>
      <w:r w:rsidRPr="00227FD6">
        <w:rPr>
          <w:rFonts w:ascii="Times New Roman" w:eastAsia="Times New Roman" w:hAnsi="Times New Roman" w:cs="Times New Roman"/>
          <w:kern w:val="0"/>
          <w14:ligatures w14:val="none"/>
        </w:rPr>
        <w:t xml:space="preserve">, extensive </w:t>
      </w:r>
      <w:r w:rsidRPr="00227FD6">
        <w:rPr>
          <w:rFonts w:ascii="Times New Roman" w:eastAsia="Times New Roman" w:hAnsi="Times New Roman" w:cs="Times New Roman"/>
          <w:b/>
          <w:bCs/>
          <w:kern w:val="0"/>
          <w14:ligatures w14:val="none"/>
        </w:rPr>
        <w:t>cytoplasmic vacuolization</w:t>
      </w:r>
      <w:r w:rsidRPr="00227FD6">
        <w:rPr>
          <w:rFonts w:ascii="Times New Roman" w:eastAsia="Times New Roman" w:hAnsi="Times New Roman" w:cs="Times New Roman"/>
          <w:kern w:val="0"/>
          <w14:ligatures w14:val="none"/>
        </w:rPr>
        <w:t xml:space="preserve">, and </w:t>
      </w:r>
      <w:r w:rsidRPr="00227FD6">
        <w:rPr>
          <w:rFonts w:ascii="Times New Roman" w:eastAsia="Times New Roman" w:hAnsi="Times New Roman" w:cs="Times New Roman"/>
          <w:b/>
          <w:bCs/>
          <w:kern w:val="0"/>
          <w14:ligatures w14:val="none"/>
        </w:rPr>
        <w:t>dense infiltration of inflammatory cells</w:t>
      </w:r>
      <w:r w:rsidRPr="00227FD6">
        <w:rPr>
          <w:rFonts w:ascii="Times New Roman" w:eastAsia="Times New Roman" w:hAnsi="Times New Roman" w:cs="Times New Roman"/>
          <w:kern w:val="0"/>
          <w14:ligatures w14:val="none"/>
        </w:rPr>
        <w:t xml:space="preserve"> within the hepatic parenchyma. These features are indicative of substantial hepatic injury likely due to the toxic effects of polycyclic aromatic hydrocarbons (PAHs) and heavy metals in the extract. In contrast, the low- and medium-dose groups (50 and 100 mg/kg) showed </w:t>
      </w:r>
      <w:r w:rsidRPr="00227FD6">
        <w:rPr>
          <w:rFonts w:ascii="Times New Roman" w:eastAsia="Times New Roman" w:hAnsi="Times New Roman" w:cs="Times New Roman"/>
          <w:b/>
          <w:bCs/>
          <w:kern w:val="0"/>
          <w14:ligatures w14:val="none"/>
        </w:rPr>
        <w:t>mild to moderate hepatocyte degeneration</w:t>
      </w:r>
      <w:r w:rsidRPr="00227FD6">
        <w:rPr>
          <w:rFonts w:ascii="Times New Roman" w:eastAsia="Times New Roman" w:hAnsi="Times New Roman" w:cs="Times New Roman"/>
          <w:kern w:val="0"/>
          <w14:ligatures w14:val="none"/>
        </w:rPr>
        <w:t>, with scattered foci of vacuolization and mild inflammatory infiltration (</w:t>
      </w:r>
      <w:r w:rsidRPr="00227FD6">
        <w:rPr>
          <w:rFonts w:ascii="Times New Roman" w:eastAsia="Times New Roman" w:hAnsi="Times New Roman" w:cs="Times New Roman"/>
          <w:i/>
          <w:iCs/>
          <w:kern w:val="0"/>
          <w14:ligatures w14:val="none"/>
        </w:rPr>
        <w:t>Figures 2 and 3</w:t>
      </w:r>
      <w:r w:rsidRPr="00227FD6">
        <w:rPr>
          <w:rFonts w:ascii="Times New Roman" w:eastAsia="Times New Roman" w:hAnsi="Times New Roman" w:cs="Times New Roman"/>
          <w:kern w:val="0"/>
          <w14:ligatures w14:val="none"/>
        </w:rPr>
        <w:t>). The control group exhibited normal hepatic architecture with intact central veins and radiating hepatocyte cords (</w:t>
      </w:r>
      <w:r w:rsidRPr="00227FD6">
        <w:rPr>
          <w:rFonts w:ascii="Times New Roman" w:eastAsia="Times New Roman" w:hAnsi="Times New Roman" w:cs="Times New Roman"/>
          <w:i/>
          <w:iCs/>
          <w:kern w:val="0"/>
          <w14:ligatures w14:val="none"/>
        </w:rPr>
        <w:t>Figure 4</w:t>
      </w:r>
      <w:r w:rsidRPr="00227FD6">
        <w:rPr>
          <w:rFonts w:ascii="Times New Roman" w:eastAsia="Times New Roman" w:hAnsi="Times New Roman" w:cs="Times New Roman"/>
          <w:kern w:val="0"/>
          <w14:ligatures w14:val="none"/>
        </w:rPr>
        <w:t>).</w:t>
      </w:r>
    </w:p>
    <w:p w14:paraId="54071016"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b/>
          <w:bCs/>
          <w:kern w:val="0"/>
          <w14:ligatures w14:val="none"/>
        </w:rPr>
        <w:t>Kidney Sections</w:t>
      </w:r>
      <w:r w:rsidRPr="00227FD6">
        <w:rPr>
          <w:rFonts w:ascii="Times New Roman" w:eastAsia="Times New Roman" w:hAnsi="Times New Roman" w:cs="Times New Roman"/>
          <w:kern w:val="0"/>
          <w14:ligatures w14:val="none"/>
        </w:rPr>
        <w:br/>
        <w:t>Kidney tissues from the high-dose group (</w:t>
      </w:r>
      <w:r w:rsidRPr="00227FD6">
        <w:rPr>
          <w:rFonts w:ascii="Times New Roman" w:eastAsia="Times New Roman" w:hAnsi="Times New Roman" w:cs="Times New Roman"/>
          <w:i/>
          <w:iCs/>
          <w:kern w:val="0"/>
          <w14:ligatures w14:val="none"/>
        </w:rPr>
        <w:t>Figure 5</w:t>
      </w:r>
      <w:r w:rsidRPr="00227FD6">
        <w:rPr>
          <w:rFonts w:ascii="Times New Roman" w:eastAsia="Times New Roman" w:hAnsi="Times New Roman" w:cs="Times New Roman"/>
          <w:kern w:val="0"/>
          <w14:ligatures w14:val="none"/>
        </w:rPr>
        <w:t xml:space="preserve">) displayed </w:t>
      </w:r>
      <w:r w:rsidRPr="00227FD6">
        <w:rPr>
          <w:rFonts w:ascii="Times New Roman" w:eastAsia="Times New Roman" w:hAnsi="Times New Roman" w:cs="Times New Roman"/>
          <w:b/>
          <w:bCs/>
          <w:kern w:val="0"/>
          <w14:ligatures w14:val="none"/>
        </w:rPr>
        <w:t>tubular necrosis</w:t>
      </w:r>
      <w:r w:rsidRPr="00227FD6">
        <w:rPr>
          <w:rFonts w:ascii="Times New Roman" w:eastAsia="Times New Roman" w:hAnsi="Times New Roman" w:cs="Times New Roman"/>
          <w:kern w:val="0"/>
          <w14:ligatures w14:val="none"/>
        </w:rPr>
        <w:t xml:space="preserve">, </w:t>
      </w:r>
      <w:r w:rsidRPr="00227FD6">
        <w:rPr>
          <w:rFonts w:ascii="Times New Roman" w:eastAsia="Times New Roman" w:hAnsi="Times New Roman" w:cs="Times New Roman"/>
          <w:b/>
          <w:bCs/>
          <w:kern w:val="0"/>
          <w14:ligatures w14:val="none"/>
        </w:rPr>
        <w:t>glomerular atrophy</w:t>
      </w:r>
      <w:r w:rsidRPr="00227FD6">
        <w:rPr>
          <w:rFonts w:ascii="Times New Roman" w:eastAsia="Times New Roman" w:hAnsi="Times New Roman" w:cs="Times New Roman"/>
          <w:kern w:val="0"/>
          <w14:ligatures w14:val="none"/>
        </w:rPr>
        <w:t xml:space="preserve">, and </w:t>
      </w:r>
      <w:r w:rsidRPr="00227FD6">
        <w:rPr>
          <w:rFonts w:ascii="Times New Roman" w:eastAsia="Times New Roman" w:hAnsi="Times New Roman" w:cs="Times New Roman"/>
          <w:b/>
          <w:bCs/>
          <w:kern w:val="0"/>
          <w14:ligatures w14:val="none"/>
        </w:rPr>
        <w:t>interstitial inflammatory cell infiltration</w:t>
      </w:r>
      <w:r w:rsidRPr="00227FD6">
        <w:rPr>
          <w:rFonts w:ascii="Times New Roman" w:eastAsia="Times New Roman" w:hAnsi="Times New Roman" w:cs="Times New Roman"/>
          <w:kern w:val="0"/>
          <w14:ligatures w14:val="none"/>
        </w:rPr>
        <w:t>, suggestive of compromised renal function and structural damage. The medium-dose group showed moderate tubular dilation and loss of epithelial integrity (</w:t>
      </w:r>
      <w:r w:rsidRPr="00227FD6">
        <w:rPr>
          <w:rFonts w:ascii="Times New Roman" w:eastAsia="Times New Roman" w:hAnsi="Times New Roman" w:cs="Times New Roman"/>
          <w:i/>
          <w:iCs/>
          <w:kern w:val="0"/>
          <w14:ligatures w14:val="none"/>
        </w:rPr>
        <w:t>Figure 6</w:t>
      </w:r>
      <w:r w:rsidRPr="00227FD6">
        <w:rPr>
          <w:rFonts w:ascii="Times New Roman" w:eastAsia="Times New Roman" w:hAnsi="Times New Roman" w:cs="Times New Roman"/>
          <w:kern w:val="0"/>
          <w14:ligatures w14:val="none"/>
        </w:rPr>
        <w:t>), while the low-dose group had only minimal alterations (</w:t>
      </w:r>
      <w:r w:rsidRPr="00227FD6">
        <w:rPr>
          <w:rFonts w:ascii="Times New Roman" w:eastAsia="Times New Roman" w:hAnsi="Times New Roman" w:cs="Times New Roman"/>
          <w:i/>
          <w:iCs/>
          <w:kern w:val="0"/>
          <w14:ligatures w14:val="none"/>
        </w:rPr>
        <w:t>Figure 7</w:t>
      </w:r>
      <w:r w:rsidRPr="00227FD6">
        <w:rPr>
          <w:rFonts w:ascii="Times New Roman" w:eastAsia="Times New Roman" w:hAnsi="Times New Roman" w:cs="Times New Roman"/>
          <w:kern w:val="0"/>
          <w14:ligatures w14:val="none"/>
        </w:rPr>
        <w:t>). Renal histology in the control animals was unremarkable, with normal glomeruli and intact tubular architecture (</w:t>
      </w:r>
      <w:r w:rsidRPr="00227FD6">
        <w:rPr>
          <w:rFonts w:ascii="Times New Roman" w:eastAsia="Times New Roman" w:hAnsi="Times New Roman" w:cs="Times New Roman"/>
          <w:i/>
          <w:iCs/>
          <w:kern w:val="0"/>
          <w14:ligatures w14:val="none"/>
        </w:rPr>
        <w:t>Figure 8</w:t>
      </w:r>
      <w:r w:rsidRPr="00227FD6">
        <w:rPr>
          <w:rFonts w:ascii="Times New Roman" w:eastAsia="Times New Roman" w:hAnsi="Times New Roman" w:cs="Times New Roman"/>
          <w:kern w:val="0"/>
          <w14:ligatures w14:val="none"/>
        </w:rPr>
        <w:t>).</w:t>
      </w:r>
    </w:p>
    <w:p w14:paraId="2E00F502"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These findings correlate with the biochemical evidence of liver and kidney dysfunction observed in the elevated serum levels of ALT, AST, urea, and creatinine in treated groups. The degree of tissue damage confirms a dose-related toxicological effect of the smoked fish extract on hepatic and renal structures.</w:t>
      </w:r>
    </w:p>
    <w:p w14:paraId="75C41F78"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AF2754">
        <w:rPr>
          <w:noProof/>
        </w:rPr>
        <w:drawing>
          <wp:inline distT="0" distB="0" distL="0" distR="0" wp14:anchorId="762861FF" wp14:editId="064479E9">
            <wp:extent cx="1844040" cy="2181225"/>
            <wp:effectExtent l="0" t="0" r="3810" b="9525"/>
            <wp:docPr id="2"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7"/>
                    <a:srcRect/>
                    <a:stretch>
                      <a:fillRect/>
                    </a:stretch>
                  </pic:blipFill>
                  <pic:spPr bwMode="auto">
                    <a:xfrm>
                      <a:off x="0" y="0"/>
                      <a:ext cx="1844040" cy="2181225"/>
                    </a:xfrm>
                    <a:prstGeom prst="rect">
                      <a:avLst/>
                    </a:prstGeom>
                    <a:noFill/>
                    <a:ln w="9525">
                      <a:noFill/>
                      <a:miter lim="800000"/>
                      <a:headEnd/>
                      <a:tailEnd/>
                    </a:ln>
                  </pic:spPr>
                </pic:pic>
              </a:graphicData>
            </a:graphic>
          </wp:inline>
        </w:drawing>
      </w:r>
    </w:p>
    <w:p w14:paraId="7FF84550"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Fig 1: Histopathological image of Normal kidney</w:t>
      </w:r>
    </w:p>
    <w:p w14:paraId="7287FEAD"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p>
    <w:p w14:paraId="66423359"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E2905">
        <w:rPr>
          <w:noProof/>
        </w:rPr>
        <w:lastRenderedPageBreak/>
        <w:drawing>
          <wp:inline distT="0" distB="0" distL="0" distR="0" wp14:anchorId="0C05A64E" wp14:editId="4FC9BCD3">
            <wp:extent cx="2913380" cy="2355757"/>
            <wp:effectExtent l="0" t="0" r="1270" b="6985"/>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srcRect/>
                    <a:stretch>
                      <a:fillRect/>
                    </a:stretch>
                  </pic:blipFill>
                  <pic:spPr bwMode="auto">
                    <a:xfrm>
                      <a:off x="0" y="0"/>
                      <a:ext cx="2926660" cy="2366495"/>
                    </a:xfrm>
                    <a:prstGeom prst="rect">
                      <a:avLst/>
                    </a:prstGeom>
                    <a:noFill/>
                    <a:ln w="9525">
                      <a:noFill/>
                      <a:miter lim="800000"/>
                      <a:headEnd/>
                      <a:tailEnd/>
                    </a:ln>
                  </pic:spPr>
                </pic:pic>
              </a:graphicData>
            </a:graphic>
          </wp:inline>
        </w:drawing>
      </w:r>
    </w:p>
    <w:p w14:paraId="14B8CAF5"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Fig 2 : Histopathological image of Group 2 kidney</w:t>
      </w:r>
    </w:p>
    <w:p w14:paraId="104EC284"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p>
    <w:p w14:paraId="38890D8E"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AC1D59">
        <w:rPr>
          <w:noProof/>
        </w:rPr>
        <w:drawing>
          <wp:inline distT="0" distB="0" distL="0" distR="0" wp14:anchorId="095DD73A" wp14:editId="7016871C">
            <wp:extent cx="3480803" cy="2201934"/>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
                    <a:srcRect/>
                    <a:stretch>
                      <a:fillRect/>
                    </a:stretch>
                  </pic:blipFill>
                  <pic:spPr bwMode="auto">
                    <a:xfrm>
                      <a:off x="0" y="0"/>
                      <a:ext cx="3503442" cy="2216256"/>
                    </a:xfrm>
                    <a:prstGeom prst="rect">
                      <a:avLst/>
                    </a:prstGeom>
                    <a:noFill/>
                    <a:ln w="9525">
                      <a:noFill/>
                      <a:miter lim="800000"/>
                      <a:headEnd/>
                      <a:tailEnd/>
                    </a:ln>
                  </pic:spPr>
                </pic:pic>
              </a:graphicData>
            </a:graphic>
          </wp:inline>
        </w:drawing>
      </w:r>
    </w:p>
    <w:p w14:paraId="7CD9E4FD"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 xml:space="preserve">Fig 3 : Histopathological image of Group 3 kidney </w:t>
      </w:r>
    </w:p>
    <w:p w14:paraId="4E32A709"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012C83">
        <w:rPr>
          <w:noProof/>
        </w:rPr>
        <w:lastRenderedPageBreak/>
        <w:drawing>
          <wp:inline distT="0" distB="0" distL="0" distR="0" wp14:anchorId="2B4A4279" wp14:editId="5AE4D4D4">
            <wp:extent cx="5720080" cy="354076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20080" cy="3540760"/>
                    </a:xfrm>
                    <a:prstGeom prst="rect">
                      <a:avLst/>
                    </a:prstGeom>
                    <a:ln/>
                  </pic:spPr>
                </pic:pic>
              </a:graphicData>
            </a:graphic>
          </wp:inline>
        </w:drawing>
      </w:r>
    </w:p>
    <w:p w14:paraId="083ED81E"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Fig 4 : Histopathological image of Group 4 kidney</w:t>
      </w:r>
    </w:p>
    <w:p w14:paraId="6DF5B430"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Pr>
          <w:noProof/>
        </w:rPr>
        <w:lastRenderedPageBreak/>
        <w:drawing>
          <wp:inline distT="0" distB="0" distL="0" distR="0" wp14:anchorId="17C59DB0" wp14:editId="133F2628">
            <wp:extent cx="6387909" cy="4753374"/>
            <wp:effectExtent l="0" t="0" r="0" b="9525"/>
            <wp:docPr id="129990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4995" cy="4766088"/>
                    </a:xfrm>
                    <a:prstGeom prst="rect">
                      <a:avLst/>
                    </a:prstGeom>
                    <a:noFill/>
                    <a:ln>
                      <a:noFill/>
                    </a:ln>
                  </pic:spPr>
                </pic:pic>
              </a:graphicData>
            </a:graphic>
          </wp:inline>
        </w:drawing>
      </w:r>
    </w:p>
    <w:p w14:paraId="060E859C" w14:textId="77777777" w:rsidR="00227FD6" w:rsidRPr="00227FD6" w:rsidRDefault="00227FD6" w:rsidP="00697BFF">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227FD6">
        <w:rPr>
          <w:rFonts w:ascii="Times New Roman" w:eastAsia="Times New Roman" w:hAnsi="Times New Roman" w:cs="Times New Roman"/>
          <w:kern w:val="0"/>
          <w14:ligatures w14:val="none"/>
        </w:rPr>
        <w:t>Fig 5 : Histopathological images of Liver for the 4 groups</w:t>
      </w:r>
    </w:p>
    <w:p w14:paraId="2C9E43D9" w14:textId="00D18436" w:rsidR="00154159" w:rsidRPr="00154159" w:rsidRDefault="00154159" w:rsidP="00697BFF">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kern w:val="0"/>
          <w14:ligatures w14:val="none"/>
        </w:rPr>
        <w:t>group showed intact glomeruli and tubules. Treatment groups displayed dose-dependent lesions such as glomerular shrinkage, tubular vacuolation, and interstitial inflammation.</w:t>
      </w:r>
    </w:p>
    <w:p w14:paraId="4E9D984C" w14:textId="77777777" w:rsidR="00154159" w:rsidRDefault="00154159"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154159">
        <w:rPr>
          <w:rFonts w:ascii="Times New Roman" w:eastAsia="Times New Roman" w:hAnsi="Times New Roman" w:cs="Times New Roman"/>
          <w:b/>
          <w:bCs/>
          <w:kern w:val="0"/>
          <w:sz w:val="27"/>
          <w:szCs w:val="27"/>
          <w14:ligatures w14:val="none"/>
        </w:rPr>
        <w:t>GC-MS Analysis of PAHs:</w:t>
      </w:r>
    </w:p>
    <w:p w14:paraId="140E0ED4" w14:textId="0DACE49A" w:rsidR="00227FD6" w:rsidRDefault="00227FD6" w:rsidP="00697BFF">
      <w:pPr>
        <w:spacing w:before="100" w:beforeAutospacing="1" w:after="100" w:afterAutospacing="1"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GCMS FROM THE SMOKED FISH EXTRACT</w:t>
      </w:r>
    </w:p>
    <w:p w14:paraId="7A5B9070" w14:textId="7F82EE24" w:rsidR="00227FD6" w:rsidRPr="00696CAD" w:rsidRDefault="003A2023" w:rsidP="003A2023">
      <w:pPr>
        <w:pStyle w:val="ListParagraph"/>
        <w:numPr>
          <w:ilvl w:val="0"/>
          <w:numId w:val="8"/>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3A2023">
        <w:rPr>
          <w:rFonts w:ascii="Times New Roman" w:eastAsia="Times New Roman" w:hAnsi="Times New Roman" w:cs="Times New Roman"/>
          <w:b/>
          <w:bCs/>
          <w:kern w:val="0"/>
          <w:sz w:val="27"/>
          <w:szCs w:val="27"/>
          <w14:ligatures w14:val="none"/>
        </w:rPr>
        <w:t xml:space="preserve">Table 2 </w:t>
      </w:r>
      <w:r>
        <w:rPr>
          <w:rFonts w:ascii="Times New Roman" w:eastAsia="Times New Roman" w:hAnsi="Times New Roman" w:cs="Times New Roman"/>
          <w:b/>
          <w:bCs/>
          <w:kern w:val="0"/>
          <w:sz w:val="27"/>
          <w:szCs w:val="27"/>
          <w14:ligatures w14:val="none"/>
        </w:rPr>
        <w:t xml:space="preserve">: </w:t>
      </w:r>
      <w:bookmarkStart w:id="0" w:name="_GoBack"/>
      <w:bookmarkEnd w:id="0"/>
      <w:r w:rsidR="00227FD6" w:rsidRPr="00696CAD">
        <w:rPr>
          <w:rFonts w:ascii="Times New Roman" w:eastAsia="Times New Roman" w:hAnsi="Times New Roman" w:cs="Times New Roman"/>
          <w:b/>
          <w:bCs/>
          <w:kern w:val="0"/>
          <w:sz w:val="27"/>
          <w:szCs w:val="27"/>
          <w14:ligatures w14:val="none"/>
        </w:rPr>
        <w:t>EPA Priority PAHs in Smoked Fish with TEFs and BaPeq</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2359"/>
        <w:gridCol w:w="1421"/>
        <w:gridCol w:w="1449"/>
        <w:gridCol w:w="600"/>
        <w:gridCol w:w="1821"/>
        <w:gridCol w:w="1261"/>
      </w:tblGrid>
      <w:tr w:rsidR="00227FD6" w:rsidRPr="00EF3576" w14:paraId="77A50759" w14:textId="77777777" w:rsidTr="004C48D7">
        <w:trPr>
          <w:tblHeader/>
          <w:tblCellSpacing w:w="15" w:type="dxa"/>
        </w:trPr>
        <w:tc>
          <w:tcPr>
            <w:tcW w:w="0" w:type="auto"/>
            <w:vAlign w:val="center"/>
            <w:hideMark/>
          </w:tcPr>
          <w:p w14:paraId="25C10616" w14:textId="77777777" w:rsidR="00227FD6" w:rsidRPr="00EF3576" w:rsidRDefault="00227FD6" w:rsidP="00697BFF">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S/N</w:t>
            </w:r>
          </w:p>
        </w:tc>
        <w:tc>
          <w:tcPr>
            <w:tcW w:w="0" w:type="auto"/>
            <w:vAlign w:val="center"/>
            <w:hideMark/>
          </w:tcPr>
          <w:p w14:paraId="791334F5" w14:textId="77777777" w:rsidR="00227FD6" w:rsidRPr="00EF3576" w:rsidRDefault="00227FD6" w:rsidP="00697BFF">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PAH Compound</w:t>
            </w:r>
          </w:p>
        </w:tc>
        <w:tc>
          <w:tcPr>
            <w:tcW w:w="0" w:type="auto"/>
            <w:vAlign w:val="center"/>
            <w:hideMark/>
          </w:tcPr>
          <w:p w14:paraId="70E39955" w14:textId="77777777" w:rsidR="00227FD6" w:rsidRPr="00EF3576" w:rsidRDefault="00227FD6" w:rsidP="00697BFF">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Abbreviation</w:t>
            </w:r>
          </w:p>
        </w:tc>
        <w:tc>
          <w:tcPr>
            <w:tcW w:w="0" w:type="auto"/>
            <w:vAlign w:val="center"/>
            <w:hideMark/>
          </w:tcPr>
          <w:p w14:paraId="667E354F" w14:textId="77777777" w:rsidR="00227FD6" w:rsidRPr="00EF3576" w:rsidRDefault="00227FD6" w:rsidP="00697BFF">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Molecular Formula</w:t>
            </w:r>
          </w:p>
        </w:tc>
        <w:tc>
          <w:tcPr>
            <w:tcW w:w="0" w:type="auto"/>
            <w:vAlign w:val="center"/>
            <w:hideMark/>
          </w:tcPr>
          <w:p w14:paraId="12CFF30A" w14:textId="77777777" w:rsidR="00227FD6" w:rsidRPr="00EF3576" w:rsidRDefault="00227FD6" w:rsidP="00697BFF">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TEF</w:t>
            </w:r>
          </w:p>
        </w:tc>
        <w:tc>
          <w:tcPr>
            <w:tcW w:w="0" w:type="auto"/>
            <w:vAlign w:val="center"/>
            <w:hideMark/>
          </w:tcPr>
          <w:p w14:paraId="4EAB8A38" w14:textId="77777777" w:rsidR="00227FD6" w:rsidRPr="00EF3576" w:rsidRDefault="00227FD6" w:rsidP="00697BFF">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Concentration (</w:t>
            </w:r>
            <w:proofErr w:type="spellStart"/>
            <w:r w:rsidRPr="00EF3576">
              <w:rPr>
                <w:rFonts w:ascii="Times New Roman" w:eastAsia="Times New Roman" w:hAnsi="Times New Roman" w:cs="Times New Roman"/>
                <w:b/>
                <w:bCs/>
                <w:kern w:val="0"/>
                <w14:ligatures w14:val="none"/>
              </w:rPr>
              <w:t>μg</w:t>
            </w:r>
            <w:proofErr w:type="spellEnd"/>
            <w:r w:rsidRPr="00EF3576">
              <w:rPr>
                <w:rFonts w:ascii="Times New Roman" w:eastAsia="Times New Roman" w:hAnsi="Times New Roman" w:cs="Times New Roman"/>
                <w:b/>
                <w:bCs/>
                <w:kern w:val="0"/>
                <w14:ligatures w14:val="none"/>
              </w:rPr>
              <w:t>/kg)</w:t>
            </w:r>
          </w:p>
        </w:tc>
        <w:tc>
          <w:tcPr>
            <w:tcW w:w="0" w:type="auto"/>
            <w:vAlign w:val="center"/>
            <w:hideMark/>
          </w:tcPr>
          <w:p w14:paraId="25E25A0A" w14:textId="77777777" w:rsidR="00227FD6" w:rsidRPr="00EF3576" w:rsidRDefault="00227FD6" w:rsidP="00697BFF">
            <w:pPr>
              <w:spacing w:after="0" w:line="240" w:lineRule="auto"/>
              <w:jc w:val="both"/>
              <w:rPr>
                <w:rFonts w:ascii="Times New Roman" w:eastAsia="Times New Roman" w:hAnsi="Times New Roman" w:cs="Times New Roman"/>
                <w:b/>
                <w:bCs/>
                <w:kern w:val="0"/>
                <w14:ligatures w14:val="none"/>
              </w:rPr>
            </w:pPr>
            <w:proofErr w:type="spellStart"/>
            <w:r w:rsidRPr="00EF3576">
              <w:rPr>
                <w:rFonts w:ascii="Times New Roman" w:eastAsia="Times New Roman" w:hAnsi="Times New Roman" w:cs="Times New Roman"/>
                <w:b/>
                <w:bCs/>
                <w:kern w:val="0"/>
                <w14:ligatures w14:val="none"/>
              </w:rPr>
              <w:t>BaPeq</w:t>
            </w:r>
            <w:proofErr w:type="spellEnd"/>
            <w:r w:rsidRPr="00EF3576">
              <w:rPr>
                <w:rFonts w:ascii="Times New Roman" w:eastAsia="Times New Roman" w:hAnsi="Times New Roman" w:cs="Times New Roman"/>
                <w:b/>
                <w:bCs/>
                <w:kern w:val="0"/>
                <w14:ligatures w14:val="none"/>
              </w:rPr>
              <w:t xml:space="preserve"> (</w:t>
            </w:r>
            <w:proofErr w:type="spellStart"/>
            <w:r w:rsidRPr="00EF3576">
              <w:rPr>
                <w:rFonts w:ascii="Times New Roman" w:eastAsia="Times New Roman" w:hAnsi="Times New Roman" w:cs="Times New Roman"/>
                <w:b/>
                <w:bCs/>
                <w:kern w:val="0"/>
                <w14:ligatures w14:val="none"/>
              </w:rPr>
              <w:t>μg</w:t>
            </w:r>
            <w:proofErr w:type="spellEnd"/>
            <w:r w:rsidRPr="00EF3576">
              <w:rPr>
                <w:rFonts w:ascii="Times New Roman" w:eastAsia="Times New Roman" w:hAnsi="Times New Roman" w:cs="Times New Roman"/>
                <w:b/>
                <w:bCs/>
                <w:kern w:val="0"/>
                <w14:ligatures w14:val="none"/>
              </w:rPr>
              <w:t>/kg)</w:t>
            </w:r>
          </w:p>
        </w:tc>
      </w:tr>
      <w:tr w:rsidR="00227FD6" w:rsidRPr="00EF3576" w14:paraId="51B574F2" w14:textId="77777777" w:rsidTr="004C48D7">
        <w:trPr>
          <w:tblCellSpacing w:w="15" w:type="dxa"/>
        </w:trPr>
        <w:tc>
          <w:tcPr>
            <w:tcW w:w="0" w:type="auto"/>
            <w:vAlign w:val="center"/>
            <w:hideMark/>
          </w:tcPr>
          <w:p w14:paraId="1117D9BF"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w:t>
            </w:r>
          </w:p>
        </w:tc>
        <w:tc>
          <w:tcPr>
            <w:tcW w:w="0" w:type="auto"/>
            <w:vAlign w:val="center"/>
            <w:hideMark/>
          </w:tcPr>
          <w:p w14:paraId="5B0923F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Naphthalene</w:t>
            </w:r>
          </w:p>
        </w:tc>
        <w:tc>
          <w:tcPr>
            <w:tcW w:w="0" w:type="auto"/>
            <w:vAlign w:val="center"/>
            <w:hideMark/>
          </w:tcPr>
          <w:p w14:paraId="08B5A1B0"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NAP</w:t>
            </w:r>
          </w:p>
        </w:tc>
        <w:tc>
          <w:tcPr>
            <w:tcW w:w="0" w:type="auto"/>
            <w:vAlign w:val="center"/>
            <w:hideMark/>
          </w:tcPr>
          <w:p w14:paraId="3B088014"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C₁₀H₈</w:t>
            </w:r>
          </w:p>
        </w:tc>
        <w:tc>
          <w:tcPr>
            <w:tcW w:w="0" w:type="auto"/>
            <w:vAlign w:val="center"/>
            <w:hideMark/>
          </w:tcPr>
          <w:p w14:paraId="5026605F"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6B4C05EF"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45.0</w:t>
            </w:r>
          </w:p>
        </w:tc>
        <w:tc>
          <w:tcPr>
            <w:tcW w:w="0" w:type="auto"/>
            <w:vAlign w:val="center"/>
            <w:hideMark/>
          </w:tcPr>
          <w:p w14:paraId="5E8C917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45.0 × 0.001 = </w:t>
            </w:r>
            <w:r w:rsidRPr="00EF3576">
              <w:rPr>
                <w:rFonts w:ascii="Times New Roman" w:eastAsia="Times New Roman" w:hAnsi="Times New Roman" w:cs="Times New Roman"/>
                <w:b/>
                <w:bCs/>
                <w:kern w:val="0"/>
                <w14:ligatures w14:val="none"/>
              </w:rPr>
              <w:t>0.045</w:t>
            </w:r>
          </w:p>
        </w:tc>
      </w:tr>
      <w:tr w:rsidR="00227FD6" w:rsidRPr="00EF3576" w14:paraId="1F84E0A0" w14:textId="77777777" w:rsidTr="004C48D7">
        <w:trPr>
          <w:tblCellSpacing w:w="15" w:type="dxa"/>
        </w:trPr>
        <w:tc>
          <w:tcPr>
            <w:tcW w:w="0" w:type="auto"/>
            <w:vAlign w:val="center"/>
            <w:hideMark/>
          </w:tcPr>
          <w:p w14:paraId="3954454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w:t>
            </w:r>
          </w:p>
        </w:tc>
        <w:tc>
          <w:tcPr>
            <w:tcW w:w="0" w:type="auto"/>
            <w:vAlign w:val="center"/>
            <w:hideMark/>
          </w:tcPr>
          <w:p w14:paraId="70F274B4"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Acenaphthylene</w:t>
            </w:r>
          </w:p>
        </w:tc>
        <w:tc>
          <w:tcPr>
            <w:tcW w:w="0" w:type="auto"/>
            <w:vAlign w:val="center"/>
            <w:hideMark/>
          </w:tcPr>
          <w:p w14:paraId="20741B46"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ACY</w:t>
            </w:r>
          </w:p>
        </w:tc>
        <w:tc>
          <w:tcPr>
            <w:tcW w:w="0" w:type="auto"/>
            <w:vAlign w:val="center"/>
            <w:hideMark/>
          </w:tcPr>
          <w:p w14:paraId="214705E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C₁₂H₈</w:t>
            </w:r>
          </w:p>
        </w:tc>
        <w:tc>
          <w:tcPr>
            <w:tcW w:w="0" w:type="auto"/>
            <w:vAlign w:val="center"/>
            <w:hideMark/>
          </w:tcPr>
          <w:p w14:paraId="3CBA2E9C"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4D9AD948"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30.0</w:t>
            </w:r>
          </w:p>
        </w:tc>
        <w:tc>
          <w:tcPr>
            <w:tcW w:w="0" w:type="auto"/>
            <w:vAlign w:val="center"/>
            <w:hideMark/>
          </w:tcPr>
          <w:p w14:paraId="488E8B5A"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30.0 × 0.001 = </w:t>
            </w:r>
            <w:r w:rsidRPr="00EF3576">
              <w:rPr>
                <w:rFonts w:ascii="Times New Roman" w:eastAsia="Times New Roman" w:hAnsi="Times New Roman" w:cs="Times New Roman"/>
                <w:b/>
                <w:bCs/>
                <w:kern w:val="0"/>
                <w14:ligatures w14:val="none"/>
              </w:rPr>
              <w:t>0.030</w:t>
            </w:r>
          </w:p>
        </w:tc>
      </w:tr>
      <w:tr w:rsidR="00227FD6" w:rsidRPr="00EF3576" w14:paraId="1AA35599" w14:textId="77777777" w:rsidTr="004C48D7">
        <w:trPr>
          <w:tblCellSpacing w:w="15" w:type="dxa"/>
        </w:trPr>
        <w:tc>
          <w:tcPr>
            <w:tcW w:w="0" w:type="auto"/>
            <w:vAlign w:val="center"/>
            <w:hideMark/>
          </w:tcPr>
          <w:p w14:paraId="47AA274D"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w:t>
            </w:r>
          </w:p>
        </w:tc>
        <w:tc>
          <w:tcPr>
            <w:tcW w:w="0" w:type="auto"/>
            <w:vAlign w:val="center"/>
            <w:hideMark/>
          </w:tcPr>
          <w:p w14:paraId="65B29242"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Acenaphthene</w:t>
            </w:r>
          </w:p>
        </w:tc>
        <w:tc>
          <w:tcPr>
            <w:tcW w:w="0" w:type="auto"/>
            <w:vAlign w:val="center"/>
            <w:hideMark/>
          </w:tcPr>
          <w:p w14:paraId="0EA1CD4A"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w:t>
            </w:r>
          </w:p>
        </w:tc>
        <w:tc>
          <w:tcPr>
            <w:tcW w:w="0" w:type="auto"/>
            <w:vAlign w:val="center"/>
            <w:hideMark/>
          </w:tcPr>
          <w:p w14:paraId="704D452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C₁₂H₁₀</w:t>
            </w:r>
          </w:p>
        </w:tc>
        <w:tc>
          <w:tcPr>
            <w:tcW w:w="0" w:type="auto"/>
            <w:vAlign w:val="center"/>
            <w:hideMark/>
          </w:tcPr>
          <w:p w14:paraId="5F62EEFD"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717749A2"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28.0</w:t>
            </w:r>
          </w:p>
        </w:tc>
        <w:tc>
          <w:tcPr>
            <w:tcW w:w="0" w:type="auto"/>
            <w:vAlign w:val="center"/>
            <w:hideMark/>
          </w:tcPr>
          <w:p w14:paraId="0850B102"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28.0 × 0.001 = </w:t>
            </w:r>
            <w:r w:rsidRPr="00EF3576">
              <w:rPr>
                <w:rFonts w:ascii="Times New Roman" w:eastAsia="Times New Roman" w:hAnsi="Times New Roman" w:cs="Times New Roman"/>
                <w:b/>
                <w:bCs/>
                <w:kern w:val="0"/>
                <w14:ligatures w14:val="none"/>
              </w:rPr>
              <w:t>0.028</w:t>
            </w:r>
          </w:p>
        </w:tc>
      </w:tr>
      <w:tr w:rsidR="00227FD6" w:rsidRPr="00EF3576" w14:paraId="46E70BB0" w14:textId="77777777" w:rsidTr="004C48D7">
        <w:trPr>
          <w:tblCellSpacing w:w="15" w:type="dxa"/>
        </w:trPr>
        <w:tc>
          <w:tcPr>
            <w:tcW w:w="0" w:type="auto"/>
            <w:vAlign w:val="center"/>
            <w:hideMark/>
          </w:tcPr>
          <w:p w14:paraId="07178715"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lastRenderedPageBreak/>
              <w:t>4</w:t>
            </w:r>
          </w:p>
        </w:tc>
        <w:tc>
          <w:tcPr>
            <w:tcW w:w="0" w:type="auto"/>
            <w:vAlign w:val="center"/>
            <w:hideMark/>
          </w:tcPr>
          <w:p w14:paraId="2CA5E275"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Fluorene</w:t>
            </w:r>
          </w:p>
        </w:tc>
        <w:tc>
          <w:tcPr>
            <w:tcW w:w="0" w:type="auto"/>
            <w:vAlign w:val="center"/>
            <w:hideMark/>
          </w:tcPr>
          <w:p w14:paraId="72ED745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w:t>
            </w:r>
          </w:p>
        </w:tc>
        <w:tc>
          <w:tcPr>
            <w:tcW w:w="0" w:type="auto"/>
            <w:vAlign w:val="center"/>
            <w:hideMark/>
          </w:tcPr>
          <w:p w14:paraId="1A947B7B"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C₁₃H₁₀</w:t>
            </w:r>
          </w:p>
        </w:tc>
        <w:tc>
          <w:tcPr>
            <w:tcW w:w="0" w:type="auto"/>
            <w:vAlign w:val="center"/>
            <w:hideMark/>
          </w:tcPr>
          <w:p w14:paraId="4D51E3BE"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599AC37E"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25.0</w:t>
            </w:r>
          </w:p>
        </w:tc>
        <w:tc>
          <w:tcPr>
            <w:tcW w:w="0" w:type="auto"/>
            <w:vAlign w:val="center"/>
            <w:hideMark/>
          </w:tcPr>
          <w:p w14:paraId="214A9FF4"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25.0 × 0.001 = </w:t>
            </w:r>
            <w:r w:rsidRPr="00EF3576">
              <w:rPr>
                <w:rFonts w:ascii="Times New Roman" w:eastAsia="Times New Roman" w:hAnsi="Times New Roman" w:cs="Times New Roman"/>
                <w:b/>
                <w:bCs/>
                <w:kern w:val="0"/>
                <w14:ligatures w14:val="none"/>
              </w:rPr>
              <w:t>0.025</w:t>
            </w:r>
          </w:p>
        </w:tc>
      </w:tr>
      <w:tr w:rsidR="00227FD6" w:rsidRPr="00EF3576" w14:paraId="5CE84FF5" w14:textId="77777777" w:rsidTr="004C48D7">
        <w:trPr>
          <w:tblCellSpacing w:w="15" w:type="dxa"/>
        </w:trPr>
        <w:tc>
          <w:tcPr>
            <w:tcW w:w="0" w:type="auto"/>
            <w:vAlign w:val="center"/>
            <w:hideMark/>
          </w:tcPr>
          <w:p w14:paraId="28B833AF"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5</w:t>
            </w:r>
          </w:p>
        </w:tc>
        <w:tc>
          <w:tcPr>
            <w:tcW w:w="0" w:type="auto"/>
            <w:vAlign w:val="center"/>
            <w:hideMark/>
          </w:tcPr>
          <w:p w14:paraId="3DA384C2"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Phenanthrene</w:t>
            </w:r>
          </w:p>
        </w:tc>
        <w:tc>
          <w:tcPr>
            <w:tcW w:w="0" w:type="auto"/>
            <w:vAlign w:val="center"/>
            <w:hideMark/>
          </w:tcPr>
          <w:p w14:paraId="4528EB8E"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PHE</w:t>
            </w:r>
          </w:p>
        </w:tc>
        <w:tc>
          <w:tcPr>
            <w:tcW w:w="0" w:type="auto"/>
            <w:vAlign w:val="center"/>
            <w:hideMark/>
          </w:tcPr>
          <w:p w14:paraId="4DE181B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C₁₄H₁₀</w:t>
            </w:r>
          </w:p>
        </w:tc>
        <w:tc>
          <w:tcPr>
            <w:tcW w:w="0" w:type="auto"/>
            <w:vAlign w:val="center"/>
            <w:hideMark/>
          </w:tcPr>
          <w:p w14:paraId="5F398512"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3CB2E399"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50.0</w:t>
            </w:r>
          </w:p>
        </w:tc>
        <w:tc>
          <w:tcPr>
            <w:tcW w:w="0" w:type="auto"/>
            <w:vAlign w:val="center"/>
            <w:hideMark/>
          </w:tcPr>
          <w:p w14:paraId="35D2392D"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50.0 × 0.001 = </w:t>
            </w:r>
            <w:r w:rsidRPr="00EF3576">
              <w:rPr>
                <w:rFonts w:ascii="Times New Roman" w:eastAsia="Times New Roman" w:hAnsi="Times New Roman" w:cs="Times New Roman"/>
                <w:b/>
                <w:bCs/>
                <w:kern w:val="0"/>
                <w14:ligatures w14:val="none"/>
              </w:rPr>
              <w:t>0.050</w:t>
            </w:r>
          </w:p>
        </w:tc>
      </w:tr>
      <w:tr w:rsidR="00227FD6" w:rsidRPr="00EF3576" w14:paraId="08610623" w14:textId="77777777" w:rsidTr="004C48D7">
        <w:trPr>
          <w:tblCellSpacing w:w="15" w:type="dxa"/>
        </w:trPr>
        <w:tc>
          <w:tcPr>
            <w:tcW w:w="0" w:type="auto"/>
            <w:vAlign w:val="center"/>
            <w:hideMark/>
          </w:tcPr>
          <w:p w14:paraId="5750575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6</w:t>
            </w:r>
          </w:p>
        </w:tc>
        <w:tc>
          <w:tcPr>
            <w:tcW w:w="0" w:type="auto"/>
            <w:vAlign w:val="center"/>
            <w:hideMark/>
          </w:tcPr>
          <w:p w14:paraId="4032E584"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Anthracene</w:t>
            </w:r>
          </w:p>
        </w:tc>
        <w:tc>
          <w:tcPr>
            <w:tcW w:w="0" w:type="auto"/>
            <w:vAlign w:val="center"/>
            <w:hideMark/>
          </w:tcPr>
          <w:p w14:paraId="7B9BD509"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ANT</w:t>
            </w:r>
          </w:p>
        </w:tc>
        <w:tc>
          <w:tcPr>
            <w:tcW w:w="0" w:type="auto"/>
            <w:vAlign w:val="center"/>
            <w:hideMark/>
          </w:tcPr>
          <w:p w14:paraId="2448C38A"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C₁₄H₁₀</w:t>
            </w:r>
          </w:p>
        </w:tc>
        <w:tc>
          <w:tcPr>
            <w:tcW w:w="0" w:type="auto"/>
            <w:vAlign w:val="center"/>
            <w:hideMark/>
          </w:tcPr>
          <w:p w14:paraId="168255FC"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212957A6"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20.0</w:t>
            </w:r>
          </w:p>
        </w:tc>
        <w:tc>
          <w:tcPr>
            <w:tcW w:w="0" w:type="auto"/>
            <w:vAlign w:val="center"/>
            <w:hideMark/>
          </w:tcPr>
          <w:p w14:paraId="4A14507F"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20.0 × 0.01 = </w:t>
            </w:r>
            <w:r w:rsidRPr="00EF3576">
              <w:rPr>
                <w:rFonts w:ascii="Times New Roman" w:eastAsia="Times New Roman" w:hAnsi="Times New Roman" w:cs="Times New Roman"/>
                <w:b/>
                <w:bCs/>
                <w:kern w:val="0"/>
                <w14:ligatures w14:val="none"/>
              </w:rPr>
              <w:t>0.200</w:t>
            </w:r>
          </w:p>
        </w:tc>
      </w:tr>
      <w:tr w:rsidR="00227FD6" w:rsidRPr="00EF3576" w14:paraId="7EB55A43" w14:textId="77777777" w:rsidTr="004C48D7">
        <w:trPr>
          <w:tblCellSpacing w:w="15" w:type="dxa"/>
        </w:trPr>
        <w:tc>
          <w:tcPr>
            <w:tcW w:w="0" w:type="auto"/>
            <w:vAlign w:val="center"/>
            <w:hideMark/>
          </w:tcPr>
          <w:p w14:paraId="0D3512B5"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7</w:t>
            </w:r>
          </w:p>
        </w:tc>
        <w:tc>
          <w:tcPr>
            <w:tcW w:w="0" w:type="auto"/>
            <w:vAlign w:val="center"/>
            <w:hideMark/>
          </w:tcPr>
          <w:p w14:paraId="481B60C0"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Fluoranthene</w:t>
            </w:r>
          </w:p>
        </w:tc>
        <w:tc>
          <w:tcPr>
            <w:tcW w:w="0" w:type="auto"/>
            <w:vAlign w:val="center"/>
            <w:hideMark/>
          </w:tcPr>
          <w:p w14:paraId="5D5B8C0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FLA</w:t>
            </w:r>
          </w:p>
        </w:tc>
        <w:tc>
          <w:tcPr>
            <w:tcW w:w="0" w:type="auto"/>
            <w:vAlign w:val="center"/>
            <w:hideMark/>
          </w:tcPr>
          <w:p w14:paraId="1C17C010"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C₁₆H₁₀</w:t>
            </w:r>
          </w:p>
        </w:tc>
        <w:tc>
          <w:tcPr>
            <w:tcW w:w="0" w:type="auto"/>
            <w:vAlign w:val="center"/>
            <w:hideMark/>
          </w:tcPr>
          <w:p w14:paraId="562FDF48"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0595B336"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35.0</w:t>
            </w:r>
          </w:p>
        </w:tc>
        <w:tc>
          <w:tcPr>
            <w:tcW w:w="0" w:type="auto"/>
            <w:vAlign w:val="center"/>
            <w:hideMark/>
          </w:tcPr>
          <w:p w14:paraId="5B08E13A"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35.0 × 0.001 = </w:t>
            </w:r>
            <w:r w:rsidRPr="00EF3576">
              <w:rPr>
                <w:rFonts w:ascii="Times New Roman" w:eastAsia="Times New Roman" w:hAnsi="Times New Roman" w:cs="Times New Roman"/>
                <w:b/>
                <w:bCs/>
                <w:kern w:val="0"/>
                <w14:ligatures w14:val="none"/>
              </w:rPr>
              <w:t>0.035</w:t>
            </w:r>
          </w:p>
        </w:tc>
      </w:tr>
      <w:tr w:rsidR="00227FD6" w:rsidRPr="00EF3576" w14:paraId="15B74296" w14:textId="77777777" w:rsidTr="004C48D7">
        <w:trPr>
          <w:tblCellSpacing w:w="15" w:type="dxa"/>
        </w:trPr>
        <w:tc>
          <w:tcPr>
            <w:tcW w:w="0" w:type="auto"/>
            <w:vAlign w:val="center"/>
            <w:hideMark/>
          </w:tcPr>
          <w:p w14:paraId="0E54C7A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8</w:t>
            </w:r>
          </w:p>
        </w:tc>
        <w:tc>
          <w:tcPr>
            <w:tcW w:w="0" w:type="auto"/>
            <w:vAlign w:val="center"/>
            <w:hideMark/>
          </w:tcPr>
          <w:p w14:paraId="657B5F1A"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Pyrene</w:t>
            </w:r>
          </w:p>
        </w:tc>
        <w:tc>
          <w:tcPr>
            <w:tcW w:w="0" w:type="auto"/>
            <w:vAlign w:val="center"/>
            <w:hideMark/>
          </w:tcPr>
          <w:p w14:paraId="48FC4CB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PYR</w:t>
            </w:r>
          </w:p>
        </w:tc>
        <w:tc>
          <w:tcPr>
            <w:tcW w:w="0" w:type="auto"/>
            <w:vAlign w:val="center"/>
            <w:hideMark/>
          </w:tcPr>
          <w:p w14:paraId="12174A38"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C₁₆H₁₀</w:t>
            </w:r>
          </w:p>
        </w:tc>
        <w:tc>
          <w:tcPr>
            <w:tcW w:w="0" w:type="auto"/>
            <w:vAlign w:val="center"/>
            <w:hideMark/>
          </w:tcPr>
          <w:p w14:paraId="2286FBFF"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2F7E1B36"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40.0</w:t>
            </w:r>
          </w:p>
        </w:tc>
        <w:tc>
          <w:tcPr>
            <w:tcW w:w="0" w:type="auto"/>
            <w:vAlign w:val="center"/>
            <w:hideMark/>
          </w:tcPr>
          <w:p w14:paraId="13E6BB9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40.0 × 0.001 = </w:t>
            </w:r>
            <w:r w:rsidRPr="00EF3576">
              <w:rPr>
                <w:rFonts w:ascii="Times New Roman" w:eastAsia="Times New Roman" w:hAnsi="Times New Roman" w:cs="Times New Roman"/>
                <w:b/>
                <w:bCs/>
                <w:kern w:val="0"/>
                <w14:ligatures w14:val="none"/>
              </w:rPr>
              <w:t>0.040</w:t>
            </w:r>
          </w:p>
        </w:tc>
      </w:tr>
      <w:tr w:rsidR="00227FD6" w:rsidRPr="00EF3576" w14:paraId="7707DAE6" w14:textId="77777777" w:rsidTr="004C48D7">
        <w:trPr>
          <w:tblCellSpacing w:w="15" w:type="dxa"/>
        </w:trPr>
        <w:tc>
          <w:tcPr>
            <w:tcW w:w="0" w:type="auto"/>
            <w:vAlign w:val="center"/>
            <w:hideMark/>
          </w:tcPr>
          <w:p w14:paraId="328226D8"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9</w:t>
            </w:r>
          </w:p>
        </w:tc>
        <w:tc>
          <w:tcPr>
            <w:tcW w:w="0" w:type="auto"/>
            <w:vAlign w:val="center"/>
            <w:hideMark/>
          </w:tcPr>
          <w:p w14:paraId="461908B5"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Benzo[a]anthracene</w:t>
            </w:r>
          </w:p>
        </w:tc>
        <w:tc>
          <w:tcPr>
            <w:tcW w:w="0" w:type="auto"/>
            <w:vAlign w:val="center"/>
            <w:hideMark/>
          </w:tcPr>
          <w:p w14:paraId="496FD23B"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BaA</w:t>
            </w:r>
            <w:proofErr w:type="spellEnd"/>
          </w:p>
        </w:tc>
        <w:tc>
          <w:tcPr>
            <w:tcW w:w="0" w:type="auto"/>
            <w:vAlign w:val="center"/>
            <w:hideMark/>
          </w:tcPr>
          <w:p w14:paraId="61E1106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C₁₈H₁₂</w:t>
            </w:r>
          </w:p>
        </w:tc>
        <w:tc>
          <w:tcPr>
            <w:tcW w:w="0" w:type="auto"/>
            <w:vAlign w:val="center"/>
            <w:hideMark/>
          </w:tcPr>
          <w:p w14:paraId="123F19A2"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19C72A01"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12.0</w:t>
            </w:r>
          </w:p>
        </w:tc>
        <w:tc>
          <w:tcPr>
            <w:tcW w:w="0" w:type="auto"/>
            <w:vAlign w:val="center"/>
            <w:hideMark/>
          </w:tcPr>
          <w:p w14:paraId="08A32D2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12.0 × 0.1 = </w:t>
            </w:r>
            <w:r w:rsidRPr="00EF3576">
              <w:rPr>
                <w:rFonts w:ascii="Times New Roman" w:eastAsia="Times New Roman" w:hAnsi="Times New Roman" w:cs="Times New Roman"/>
                <w:b/>
                <w:bCs/>
                <w:kern w:val="0"/>
                <w14:ligatures w14:val="none"/>
              </w:rPr>
              <w:t>1.200</w:t>
            </w:r>
          </w:p>
        </w:tc>
      </w:tr>
      <w:tr w:rsidR="00227FD6" w:rsidRPr="00EF3576" w14:paraId="75EB98FE" w14:textId="77777777" w:rsidTr="004C48D7">
        <w:trPr>
          <w:tblCellSpacing w:w="15" w:type="dxa"/>
        </w:trPr>
        <w:tc>
          <w:tcPr>
            <w:tcW w:w="0" w:type="auto"/>
            <w:vAlign w:val="center"/>
            <w:hideMark/>
          </w:tcPr>
          <w:p w14:paraId="0365B06E"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6F2E1DA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Chrysene</w:t>
            </w:r>
          </w:p>
        </w:tc>
        <w:tc>
          <w:tcPr>
            <w:tcW w:w="0" w:type="auto"/>
            <w:vAlign w:val="center"/>
            <w:hideMark/>
          </w:tcPr>
          <w:p w14:paraId="5733E076"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CHR</w:t>
            </w:r>
          </w:p>
        </w:tc>
        <w:tc>
          <w:tcPr>
            <w:tcW w:w="0" w:type="auto"/>
            <w:vAlign w:val="center"/>
            <w:hideMark/>
          </w:tcPr>
          <w:p w14:paraId="7C36FE95"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C₁₈H₁₂</w:t>
            </w:r>
          </w:p>
        </w:tc>
        <w:tc>
          <w:tcPr>
            <w:tcW w:w="0" w:type="auto"/>
            <w:vAlign w:val="center"/>
            <w:hideMark/>
          </w:tcPr>
          <w:p w14:paraId="64D193A9"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571AAC36"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10.0</w:t>
            </w:r>
          </w:p>
        </w:tc>
        <w:tc>
          <w:tcPr>
            <w:tcW w:w="0" w:type="auto"/>
            <w:vAlign w:val="center"/>
            <w:hideMark/>
          </w:tcPr>
          <w:p w14:paraId="354D6A16"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10.0 × 0.01 = </w:t>
            </w:r>
            <w:r w:rsidRPr="00EF3576">
              <w:rPr>
                <w:rFonts w:ascii="Times New Roman" w:eastAsia="Times New Roman" w:hAnsi="Times New Roman" w:cs="Times New Roman"/>
                <w:b/>
                <w:bCs/>
                <w:kern w:val="0"/>
                <w14:ligatures w14:val="none"/>
              </w:rPr>
              <w:t>0.100</w:t>
            </w:r>
          </w:p>
        </w:tc>
      </w:tr>
      <w:tr w:rsidR="00227FD6" w:rsidRPr="00EF3576" w14:paraId="73076278" w14:textId="77777777" w:rsidTr="004C48D7">
        <w:trPr>
          <w:tblCellSpacing w:w="15" w:type="dxa"/>
        </w:trPr>
        <w:tc>
          <w:tcPr>
            <w:tcW w:w="0" w:type="auto"/>
            <w:vAlign w:val="center"/>
            <w:hideMark/>
          </w:tcPr>
          <w:p w14:paraId="6A5941A8"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11</w:t>
            </w:r>
          </w:p>
        </w:tc>
        <w:tc>
          <w:tcPr>
            <w:tcW w:w="0" w:type="auto"/>
            <w:vAlign w:val="center"/>
            <w:hideMark/>
          </w:tcPr>
          <w:p w14:paraId="7D38ADC2"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Benzo[b]fluoranthene</w:t>
            </w:r>
          </w:p>
        </w:tc>
        <w:tc>
          <w:tcPr>
            <w:tcW w:w="0" w:type="auto"/>
            <w:vAlign w:val="center"/>
            <w:hideMark/>
          </w:tcPr>
          <w:p w14:paraId="026EE29E"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BbF</w:t>
            </w:r>
            <w:proofErr w:type="spellEnd"/>
          </w:p>
        </w:tc>
        <w:tc>
          <w:tcPr>
            <w:tcW w:w="0" w:type="auto"/>
            <w:vAlign w:val="center"/>
            <w:hideMark/>
          </w:tcPr>
          <w:p w14:paraId="72F873AE"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407AC17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405CC85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9.0</w:t>
            </w:r>
          </w:p>
        </w:tc>
        <w:tc>
          <w:tcPr>
            <w:tcW w:w="0" w:type="auto"/>
            <w:vAlign w:val="center"/>
            <w:hideMark/>
          </w:tcPr>
          <w:p w14:paraId="427DE6AD"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9.0 × 0.1 = </w:t>
            </w:r>
            <w:r w:rsidRPr="00EF3576">
              <w:rPr>
                <w:rFonts w:ascii="Times New Roman" w:eastAsia="Times New Roman" w:hAnsi="Times New Roman" w:cs="Times New Roman"/>
                <w:b/>
                <w:bCs/>
                <w:kern w:val="0"/>
                <w14:ligatures w14:val="none"/>
              </w:rPr>
              <w:t>0.900</w:t>
            </w:r>
          </w:p>
        </w:tc>
      </w:tr>
      <w:tr w:rsidR="00227FD6" w:rsidRPr="00EF3576" w14:paraId="7E442C5D" w14:textId="77777777" w:rsidTr="004C48D7">
        <w:trPr>
          <w:tblCellSpacing w:w="15" w:type="dxa"/>
        </w:trPr>
        <w:tc>
          <w:tcPr>
            <w:tcW w:w="0" w:type="auto"/>
            <w:vAlign w:val="center"/>
            <w:hideMark/>
          </w:tcPr>
          <w:p w14:paraId="7D599DCF"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12</w:t>
            </w:r>
          </w:p>
        </w:tc>
        <w:tc>
          <w:tcPr>
            <w:tcW w:w="0" w:type="auto"/>
            <w:vAlign w:val="center"/>
            <w:hideMark/>
          </w:tcPr>
          <w:p w14:paraId="72081717"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Benzo[k]fluoranthene</w:t>
            </w:r>
          </w:p>
        </w:tc>
        <w:tc>
          <w:tcPr>
            <w:tcW w:w="0" w:type="auto"/>
            <w:vAlign w:val="center"/>
            <w:hideMark/>
          </w:tcPr>
          <w:p w14:paraId="3B6AC82A"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BkF</w:t>
            </w:r>
            <w:proofErr w:type="spellEnd"/>
          </w:p>
        </w:tc>
        <w:tc>
          <w:tcPr>
            <w:tcW w:w="0" w:type="auto"/>
            <w:vAlign w:val="center"/>
            <w:hideMark/>
          </w:tcPr>
          <w:p w14:paraId="0A8DC20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7B589CE4"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1187D2B0"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6.0</w:t>
            </w:r>
          </w:p>
        </w:tc>
        <w:tc>
          <w:tcPr>
            <w:tcW w:w="0" w:type="auto"/>
            <w:vAlign w:val="center"/>
            <w:hideMark/>
          </w:tcPr>
          <w:p w14:paraId="22AA6728"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6.0 × 0.1 = </w:t>
            </w:r>
            <w:r w:rsidRPr="00EF3576">
              <w:rPr>
                <w:rFonts w:ascii="Times New Roman" w:eastAsia="Times New Roman" w:hAnsi="Times New Roman" w:cs="Times New Roman"/>
                <w:b/>
                <w:bCs/>
                <w:kern w:val="0"/>
                <w14:ligatures w14:val="none"/>
              </w:rPr>
              <w:t>0.600</w:t>
            </w:r>
          </w:p>
        </w:tc>
      </w:tr>
      <w:tr w:rsidR="00227FD6" w:rsidRPr="00EF3576" w14:paraId="20885744" w14:textId="77777777" w:rsidTr="004C48D7">
        <w:trPr>
          <w:tblCellSpacing w:w="15" w:type="dxa"/>
        </w:trPr>
        <w:tc>
          <w:tcPr>
            <w:tcW w:w="0" w:type="auto"/>
            <w:vAlign w:val="center"/>
            <w:hideMark/>
          </w:tcPr>
          <w:p w14:paraId="1866ECE4"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13</w:t>
            </w:r>
          </w:p>
        </w:tc>
        <w:tc>
          <w:tcPr>
            <w:tcW w:w="0" w:type="auto"/>
            <w:vAlign w:val="center"/>
            <w:hideMark/>
          </w:tcPr>
          <w:p w14:paraId="3F9A991B"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Benzo[a]pyrene</w:t>
            </w:r>
          </w:p>
        </w:tc>
        <w:tc>
          <w:tcPr>
            <w:tcW w:w="0" w:type="auto"/>
            <w:vAlign w:val="center"/>
            <w:hideMark/>
          </w:tcPr>
          <w:p w14:paraId="28F07614"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BaP</w:t>
            </w:r>
            <w:proofErr w:type="spellEnd"/>
          </w:p>
        </w:tc>
        <w:tc>
          <w:tcPr>
            <w:tcW w:w="0" w:type="auto"/>
            <w:vAlign w:val="center"/>
            <w:hideMark/>
          </w:tcPr>
          <w:p w14:paraId="2BEEABDE"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7E442BE0"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1854347A"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8.0</w:t>
            </w:r>
          </w:p>
        </w:tc>
        <w:tc>
          <w:tcPr>
            <w:tcW w:w="0" w:type="auto"/>
            <w:vAlign w:val="center"/>
            <w:hideMark/>
          </w:tcPr>
          <w:p w14:paraId="716DE8C9"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8.0 × 1.0 = </w:t>
            </w:r>
            <w:r w:rsidRPr="00EF3576">
              <w:rPr>
                <w:rFonts w:ascii="Times New Roman" w:eastAsia="Times New Roman" w:hAnsi="Times New Roman" w:cs="Times New Roman"/>
                <w:b/>
                <w:bCs/>
                <w:kern w:val="0"/>
                <w14:ligatures w14:val="none"/>
              </w:rPr>
              <w:t>8.000</w:t>
            </w:r>
          </w:p>
        </w:tc>
      </w:tr>
      <w:tr w:rsidR="00227FD6" w:rsidRPr="00EF3576" w14:paraId="1C31C58D" w14:textId="77777777" w:rsidTr="004C48D7">
        <w:trPr>
          <w:tblCellSpacing w:w="15" w:type="dxa"/>
        </w:trPr>
        <w:tc>
          <w:tcPr>
            <w:tcW w:w="0" w:type="auto"/>
            <w:vAlign w:val="center"/>
            <w:hideMark/>
          </w:tcPr>
          <w:p w14:paraId="29888314"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14</w:t>
            </w:r>
          </w:p>
        </w:tc>
        <w:tc>
          <w:tcPr>
            <w:tcW w:w="0" w:type="auto"/>
            <w:vAlign w:val="center"/>
            <w:hideMark/>
          </w:tcPr>
          <w:p w14:paraId="751952A8"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Indeno</w:t>
            </w:r>
            <w:proofErr w:type="spellEnd"/>
            <w:r w:rsidRPr="00EF3576">
              <w:rPr>
                <w:rFonts w:ascii="Times New Roman" w:eastAsia="Times New Roman" w:hAnsi="Times New Roman" w:cs="Times New Roman"/>
                <w:kern w:val="0"/>
                <w14:ligatures w14:val="none"/>
              </w:rPr>
              <w:t>[1,2,3-cd]</w:t>
            </w:r>
            <w:proofErr w:type="spellStart"/>
            <w:r w:rsidRPr="00EF3576">
              <w:rPr>
                <w:rFonts w:ascii="Times New Roman" w:eastAsia="Times New Roman" w:hAnsi="Times New Roman" w:cs="Times New Roman"/>
                <w:kern w:val="0"/>
                <w14:ligatures w14:val="none"/>
              </w:rPr>
              <w:t>pyrene</w:t>
            </w:r>
            <w:proofErr w:type="spellEnd"/>
          </w:p>
        </w:tc>
        <w:tc>
          <w:tcPr>
            <w:tcW w:w="0" w:type="auto"/>
            <w:vAlign w:val="center"/>
            <w:hideMark/>
          </w:tcPr>
          <w:p w14:paraId="6784E04E"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IND</w:t>
            </w:r>
          </w:p>
        </w:tc>
        <w:tc>
          <w:tcPr>
            <w:tcW w:w="0" w:type="auto"/>
            <w:vAlign w:val="center"/>
            <w:hideMark/>
          </w:tcPr>
          <w:p w14:paraId="6F9DF21D"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C₂₂H₁₂</w:t>
            </w:r>
          </w:p>
        </w:tc>
        <w:tc>
          <w:tcPr>
            <w:tcW w:w="0" w:type="auto"/>
            <w:vAlign w:val="center"/>
            <w:hideMark/>
          </w:tcPr>
          <w:p w14:paraId="195E4450"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506F7B9E"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4.0</w:t>
            </w:r>
          </w:p>
        </w:tc>
        <w:tc>
          <w:tcPr>
            <w:tcW w:w="0" w:type="auto"/>
            <w:vAlign w:val="center"/>
            <w:hideMark/>
          </w:tcPr>
          <w:p w14:paraId="5FE62BF8"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4.0 × 0.1 = </w:t>
            </w:r>
            <w:r w:rsidRPr="00EF3576">
              <w:rPr>
                <w:rFonts w:ascii="Times New Roman" w:eastAsia="Times New Roman" w:hAnsi="Times New Roman" w:cs="Times New Roman"/>
                <w:b/>
                <w:bCs/>
                <w:kern w:val="0"/>
                <w14:ligatures w14:val="none"/>
              </w:rPr>
              <w:t>0.400</w:t>
            </w:r>
          </w:p>
        </w:tc>
      </w:tr>
      <w:tr w:rsidR="00227FD6" w:rsidRPr="00EF3576" w14:paraId="1879A6DF" w14:textId="77777777" w:rsidTr="004C48D7">
        <w:trPr>
          <w:tblCellSpacing w:w="15" w:type="dxa"/>
        </w:trPr>
        <w:tc>
          <w:tcPr>
            <w:tcW w:w="0" w:type="auto"/>
            <w:vAlign w:val="center"/>
            <w:hideMark/>
          </w:tcPr>
          <w:p w14:paraId="3C7480C0"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15</w:t>
            </w:r>
          </w:p>
        </w:tc>
        <w:tc>
          <w:tcPr>
            <w:tcW w:w="0" w:type="auto"/>
            <w:vAlign w:val="center"/>
            <w:hideMark/>
          </w:tcPr>
          <w:p w14:paraId="5C7C070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Dibenzo</w:t>
            </w:r>
            <w:proofErr w:type="spellEnd"/>
            <w:r w:rsidRPr="00EF3576">
              <w:rPr>
                <w:rFonts w:ascii="Times New Roman" w:eastAsia="Times New Roman" w:hAnsi="Times New Roman" w:cs="Times New Roman"/>
                <w:kern w:val="0"/>
                <w14:ligatures w14:val="none"/>
              </w:rPr>
              <w:t>[</w:t>
            </w:r>
            <w:proofErr w:type="spellStart"/>
            <w:r w:rsidRPr="00EF3576">
              <w:rPr>
                <w:rFonts w:ascii="Times New Roman" w:eastAsia="Times New Roman" w:hAnsi="Times New Roman" w:cs="Times New Roman"/>
                <w:kern w:val="0"/>
                <w14:ligatures w14:val="none"/>
              </w:rPr>
              <w:t>a,h</w:t>
            </w:r>
            <w:proofErr w:type="spellEnd"/>
            <w:r w:rsidRPr="00EF3576">
              <w:rPr>
                <w:rFonts w:ascii="Times New Roman" w:eastAsia="Times New Roman" w:hAnsi="Times New Roman" w:cs="Times New Roman"/>
                <w:kern w:val="0"/>
                <w14:ligatures w14:val="none"/>
              </w:rPr>
              <w:t>]anthracene</w:t>
            </w:r>
          </w:p>
        </w:tc>
        <w:tc>
          <w:tcPr>
            <w:tcW w:w="0" w:type="auto"/>
            <w:vAlign w:val="center"/>
            <w:hideMark/>
          </w:tcPr>
          <w:p w14:paraId="1D25DFF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DahA</w:t>
            </w:r>
          </w:p>
        </w:tc>
        <w:tc>
          <w:tcPr>
            <w:tcW w:w="0" w:type="auto"/>
            <w:vAlign w:val="center"/>
            <w:hideMark/>
          </w:tcPr>
          <w:p w14:paraId="510D294B"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C₂₂H₁₄</w:t>
            </w:r>
          </w:p>
        </w:tc>
        <w:tc>
          <w:tcPr>
            <w:tcW w:w="0" w:type="auto"/>
            <w:vAlign w:val="center"/>
            <w:hideMark/>
          </w:tcPr>
          <w:p w14:paraId="00F60F0C"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7AABE8F1"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3.0</w:t>
            </w:r>
          </w:p>
        </w:tc>
        <w:tc>
          <w:tcPr>
            <w:tcW w:w="0" w:type="auto"/>
            <w:vAlign w:val="center"/>
            <w:hideMark/>
          </w:tcPr>
          <w:p w14:paraId="30145E7D"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3.0 × 1.0 = </w:t>
            </w:r>
            <w:r w:rsidRPr="00EF3576">
              <w:rPr>
                <w:rFonts w:ascii="Times New Roman" w:eastAsia="Times New Roman" w:hAnsi="Times New Roman" w:cs="Times New Roman"/>
                <w:b/>
                <w:bCs/>
                <w:kern w:val="0"/>
                <w14:ligatures w14:val="none"/>
              </w:rPr>
              <w:t>3.000</w:t>
            </w:r>
          </w:p>
        </w:tc>
      </w:tr>
      <w:tr w:rsidR="00227FD6" w:rsidRPr="00EF3576" w14:paraId="7F235EA9" w14:textId="77777777" w:rsidTr="004C48D7">
        <w:trPr>
          <w:tblCellSpacing w:w="15" w:type="dxa"/>
        </w:trPr>
        <w:tc>
          <w:tcPr>
            <w:tcW w:w="0" w:type="auto"/>
            <w:vAlign w:val="center"/>
            <w:hideMark/>
          </w:tcPr>
          <w:p w14:paraId="0E037B1A"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16</w:t>
            </w:r>
          </w:p>
        </w:tc>
        <w:tc>
          <w:tcPr>
            <w:tcW w:w="0" w:type="auto"/>
            <w:vAlign w:val="center"/>
            <w:hideMark/>
          </w:tcPr>
          <w:p w14:paraId="36964FDD"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w:t>
            </w:r>
            <w:proofErr w:type="spellStart"/>
            <w:r w:rsidRPr="00EF3576">
              <w:rPr>
                <w:rFonts w:ascii="Times New Roman" w:eastAsia="Times New Roman" w:hAnsi="Times New Roman" w:cs="Times New Roman"/>
                <w:kern w:val="0"/>
                <w14:ligatures w14:val="none"/>
              </w:rPr>
              <w:t>ghi</w:t>
            </w:r>
            <w:proofErr w:type="spellEnd"/>
            <w:r w:rsidRPr="00EF3576">
              <w:rPr>
                <w:rFonts w:ascii="Times New Roman" w:eastAsia="Times New Roman" w:hAnsi="Times New Roman" w:cs="Times New Roman"/>
                <w:kern w:val="0"/>
                <w14:ligatures w14:val="none"/>
              </w:rPr>
              <w:t>]</w:t>
            </w:r>
            <w:proofErr w:type="spellStart"/>
            <w:r w:rsidRPr="00EF3576">
              <w:rPr>
                <w:rFonts w:ascii="Times New Roman" w:eastAsia="Times New Roman" w:hAnsi="Times New Roman" w:cs="Times New Roman"/>
                <w:kern w:val="0"/>
                <w14:ligatures w14:val="none"/>
              </w:rPr>
              <w:t>perylene</w:t>
            </w:r>
            <w:proofErr w:type="spellEnd"/>
          </w:p>
        </w:tc>
        <w:tc>
          <w:tcPr>
            <w:tcW w:w="0" w:type="auto"/>
            <w:vAlign w:val="center"/>
            <w:hideMark/>
          </w:tcPr>
          <w:p w14:paraId="3F82ACB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BghiP</w:t>
            </w:r>
            <w:proofErr w:type="spellEnd"/>
          </w:p>
        </w:tc>
        <w:tc>
          <w:tcPr>
            <w:tcW w:w="0" w:type="auto"/>
            <w:vAlign w:val="center"/>
            <w:hideMark/>
          </w:tcPr>
          <w:p w14:paraId="13281996"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C₂₂H₁₂</w:t>
            </w:r>
          </w:p>
        </w:tc>
        <w:tc>
          <w:tcPr>
            <w:tcW w:w="0" w:type="auto"/>
            <w:vAlign w:val="center"/>
            <w:hideMark/>
          </w:tcPr>
          <w:p w14:paraId="046A38B5"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7A0E277B"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7.0</w:t>
            </w:r>
          </w:p>
        </w:tc>
        <w:tc>
          <w:tcPr>
            <w:tcW w:w="0" w:type="auto"/>
            <w:vAlign w:val="center"/>
            <w:hideMark/>
          </w:tcPr>
          <w:p w14:paraId="0C0D8E93" w14:textId="77777777" w:rsidR="00227FD6" w:rsidRPr="00EF3576" w:rsidRDefault="00227FD6" w:rsidP="00697BFF">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7.0 × 0.01 = </w:t>
            </w:r>
            <w:r w:rsidRPr="00EF3576">
              <w:rPr>
                <w:rFonts w:ascii="Times New Roman" w:eastAsia="Times New Roman" w:hAnsi="Times New Roman" w:cs="Times New Roman"/>
                <w:b/>
                <w:bCs/>
                <w:kern w:val="0"/>
                <w14:ligatures w14:val="none"/>
              </w:rPr>
              <w:t>0.070</w:t>
            </w:r>
          </w:p>
        </w:tc>
      </w:tr>
    </w:tbl>
    <w:p w14:paraId="0AF3819E" w14:textId="77777777" w:rsidR="00227FD6" w:rsidRPr="00284DAD" w:rsidRDefault="00227FD6" w:rsidP="00697BFF">
      <w:pPr>
        <w:spacing w:before="100" w:beforeAutospacing="1" w:after="100" w:afterAutospacing="1" w:line="240" w:lineRule="auto"/>
        <w:jc w:val="both"/>
        <w:rPr>
          <w:rFonts w:ascii="Times New Roman" w:eastAsia="Times New Roman" w:hAnsi="Times New Roman" w:cs="Times New Roman"/>
          <w:kern w:val="0"/>
          <w14:ligatures w14:val="none"/>
        </w:rPr>
      </w:pPr>
    </w:p>
    <w:p w14:paraId="297F4F33" w14:textId="77777777" w:rsidR="00227FD6" w:rsidRPr="00154159" w:rsidRDefault="00227FD6"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p>
    <w:p w14:paraId="0EE88BDB" w14:textId="77777777" w:rsidR="00154159" w:rsidRPr="00154159" w:rsidRDefault="00154159" w:rsidP="00697BFF">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kern w:val="0"/>
          <w14:ligatures w14:val="none"/>
        </w:rPr>
        <w:t>PAH profiling of smoked fish extract revealed the presence of multiple carcinogenic PAHs, including benzo[a]pyrene, fluoranthene, and chrysene, with concentrations exceeding WHO safety limits.</w:t>
      </w:r>
    </w:p>
    <w:p w14:paraId="0A4A07C9" w14:textId="75EAF95B" w:rsidR="00154159" w:rsidRPr="00154159" w:rsidRDefault="00154159" w:rsidP="00697BFF">
      <w:pPr>
        <w:spacing w:after="0" w:line="240" w:lineRule="auto"/>
        <w:jc w:val="both"/>
        <w:rPr>
          <w:rFonts w:ascii="Times New Roman" w:eastAsia="Times New Roman" w:hAnsi="Times New Roman" w:cs="Times New Roman"/>
          <w:kern w:val="0"/>
          <w14:ligatures w14:val="none"/>
        </w:rPr>
      </w:pPr>
    </w:p>
    <w:p w14:paraId="13B8E855" w14:textId="737AA287" w:rsidR="005E1C45" w:rsidRPr="005E1C45" w:rsidRDefault="00154159" w:rsidP="00697BFF">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t xml:space="preserve">4 </w:t>
      </w:r>
      <w:r w:rsidRPr="00154159">
        <w:rPr>
          <w:rFonts w:ascii="Times New Roman" w:eastAsia="Times New Roman" w:hAnsi="Times New Roman" w:cs="Times New Roman"/>
          <w:b/>
          <w:bCs/>
          <w:kern w:val="0"/>
          <w:sz w:val="36"/>
          <w:szCs w:val="36"/>
          <w14:ligatures w14:val="none"/>
        </w:rPr>
        <w:t>Discussion</w:t>
      </w:r>
    </w:p>
    <w:p w14:paraId="37B5B0B6" w14:textId="77777777" w:rsidR="005E1C45" w:rsidRPr="005E1C45" w:rsidRDefault="005E1C45"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The findings of this study demonstrate that smoked fish extract induces oxidative stress in a dose-dependent manner in albino rats, with significant implications for organ health. Elevated MDA </w:t>
      </w:r>
      <w:r w:rsidRPr="005E1C45">
        <w:rPr>
          <w:rFonts w:ascii="Times New Roman" w:eastAsia="Times New Roman" w:hAnsi="Times New Roman" w:cs="Times New Roman"/>
          <w:kern w:val="0"/>
          <w14:ligatures w14:val="none"/>
        </w:rPr>
        <w:lastRenderedPageBreak/>
        <w:t xml:space="preserve">levels observed in liver and kidney tissues indicate enhanced lipid peroxidation and confirm the pro-oxidant nature of the extract, especially at higher doses (Darwish et al., 2019; Forsberg et al., 2012). These results are consistent with prior studies that associate high MDA levels with cellular membrane damage and oxidative degradation of lipids caused by dietary PAHs (Domingo &amp; Nadal, 2015; </w:t>
      </w:r>
      <w:proofErr w:type="spellStart"/>
      <w:r w:rsidRPr="005E1C45">
        <w:rPr>
          <w:rFonts w:ascii="Times New Roman" w:eastAsia="Times New Roman" w:hAnsi="Times New Roman" w:cs="Times New Roman"/>
          <w:kern w:val="0"/>
          <w14:ligatures w14:val="none"/>
        </w:rPr>
        <w:t>Douny</w:t>
      </w:r>
      <w:proofErr w:type="spellEnd"/>
      <w:r w:rsidRPr="005E1C45">
        <w:rPr>
          <w:rFonts w:ascii="Times New Roman" w:eastAsia="Times New Roman" w:hAnsi="Times New Roman" w:cs="Times New Roman"/>
          <w:kern w:val="0"/>
          <w14:ligatures w14:val="none"/>
        </w:rPr>
        <w:t xml:space="preserve"> et al., 2021).</w:t>
      </w:r>
    </w:p>
    <w:p w14:paraId="504919EC" w14:textId="77777777" w:rsidR="005E1C45" w:rsidRPr="005E1C45" w:rsidRDefault="005E1C45"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The concurrent reduction in SOD activity and GSH content across all treatment groups further indicates an overwhelmed antioxidant defense mechanism. This suppression is crucial, as both SOD and GSH are vital in neutralizing ROS and maintaining cellular redox balance (</w:t>
      </w:r>
      <w:proofErr w:type="spellStart"/>
      <w:r w:rsidRPr="005E1C45">
        <w:rPr>
          <w:rFonts w:ascii="Times New Roman" w:eastAsia="Times New Roman" w:hAnsi="Times New Roman" w:cs="Times New Roman"/>
          <w:kern w:val="0"/>
          <w14:ligatures w14:val="none"/>
        </w:rPr>
        <w:t>Alomirah</w:t>
      </w:r>
      <w:proofErr w:type="spellEnd"/>
      <w:r w:rsidRPr="005E1C45">
        <w:rPr>
          <w:rFonts w:ascii="Times New Roman" w:eastAsia="Times New Roman" w:hAnsi="Times New Roman" w:cs="Times New Roman"/>
          <w:kern w:val="0"/>
          <w14:ligatures w14:val="none"/>
        </w:rPr>
        <w:t xml:space="preserve"> et al., 2011; Gibis, 2016). The most profound reductions at the 200 mg/kg dose suggest that the detoxification systems are dose-sensitively impaired.</w:t>
      </w:r>
    </w:p>
    <w:p w14:paraId="1F744A7A" w14:textId="77777777" w:rsidR="005E1C45" w:rsidRPr="005E1C45" w:rsidRDefault="005E1C45"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Additionally, the oxidative insult was corroborated by preliminary histopathological observations and increased serum markers of hepatic and renal dysfunction (ALT, AST, urea, creatinine), similar to findings reported in studies involving thermally processed or PAH-contaminated foods (</w:t>
      </w:r>
      <w:proofErr w:type="spellStart"/>
      <w:r w:rsidRPr="005E1C45">
        <w:rPr>
          <w:rFonts w:ascii="Times New Roman" w:eastAsia="Times New Roman" w:hAnsi="Times New Roman" w:cs="Times New Roman"/>
          <w:kern w:val="0"/>
          <w14:ligatures w14:val="none"/>
        </w:rPr>
        <w:t>Akpambang</w:t>
      </w:r>
      <w:proofErr w:type="spellEnd"/>
      <w:r w:rsidRPr="005E1C45">
        <w:rPr>
          <w:rFonts w:ascii="Times New Roman" w:eastAsia="Times New Roman" w:hAnsi="Times New Roman" w:cs="Times New Roman"/>
          <w:kern w:val="0"/>
          <w14:ligatures w14:val="none"/>
        </w:rPr>
        <w:t xml:space="preserve"> et al., 2009; Al </w:t>
      </w:r>
      <w:proofErr w:type="spellStart"/>
      <w:r w:rsidRPr="005E1C45">
        <w:rPr>
          <w:rFonts w:ascii="Times New Roman" w:eastAsia="Times New Roman" w:hAnsi="Times New Roman" w:cs="Times New Roman"/>
          <w:kern w:val="0"/>
          <w14:ligatures w14:val="none"/>
        </w:rPr>
        <w:t>Bulushi</w:t>
      </w:r>
      <w:proofErr w:type="spellEnd"/>
      <w:r w:rsidRPr="005E1C45">
        <w:rPr>
          <w:rFonts w:ascii="Times New Roman" w:eastAsia="Times New Roman" w:hAnsi="Times New Roman" w:cs="Times New Roman"/>
          <w:kern w:val="0"/>
          <w14:ligatures w14:val="none"/>
        </w:rPr>
        <w:t xml:space="preserve"> et al., 2009; Daniel et al., 2013). These functional impairments reflect tissue-level consequences of chronic oxidative stress and support the hypothesis that liver and kidneys are primary targets of toxicity (</w:t>
      </w:r>
      <w:proofErr w:type="spellStart"/>
      <w:r w:rsidRPr="005E1C45">
        <w:rPr>
          <w:rFonts w:ascii="Times New Roman" w:eastAsia="Times New Roman" w:hAnsi="Times New Roman" w:cs="Times New Roman"/>
          <w:kern w:val="0"/>
          <w14:ligatures w14:val="none"/>
        </w:rPr>
        <w:t>Anigboro</w:t>
      </w:r>
      <w:proofErr w:type="spellEnd"/>
      <w:r w:rsidRPr="005E1C45">
        <w:rPr>
          <w:rFonts w:ascii="Times New Roman" w:eastAsia="Times New Roman" w:hAnsi="Times New Roman" w:cs="Times New Roman"/>
          <w:kern w:val="0"/>
          <w14:ligatures w14:val="none"/>
        </w:rPr>
        <w:t xml:space="preserve"> et al., 2011; Assogba et al., 2019).</w:t>
      </w:r>
    </w:p>
    <w:p w14:paraId="4B59F8B2" w14:textId="77777777" w:rsidR="005E1C45" w:rsidRPr="005E1C45" w:rsidRDefault="005E1C45"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The GC-MS analysis confirming the presence of multiple PAHs supports the chemical basis for the observed biological effects. PAHs such as benzo[a]pyrene are metabolized to reactive intermediates that generate ROS, thereby initiating and sustaining oxidative stress responses (Drabik-Markiewicz et al., 2009; EFSA, 2008). Moreover, the traditional smoking methods employed in many regions often lack temperature control or filtration, contributing to the high PAH load (Gheorghe et al., 2019; Forsberg et al., 2012).</w:t>
      </w:r>
    </w:p>
    <w:p w14:paraId="55A69E5A" w14:textId="77777777" w:rsidR="005E1C45" w:rsidRPr="005E1C45" w:rsidRDefault="005E1C45"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Overall, the study aligns with a growing body of evidence implicating oxidant-mediated pathways in food-related toxicity (</w:t>
      </w:r>
      <w:proofErr w:type="spellStart"/>
      <w:r w:rsidRPr="005E1C45">
        <w:rPr>
          <w:rFonts w:ascii="Times New Roman" w:eastAsia="Times New Roman" w:hAnsi="Times New Roman" w:cs="Times New Roman"/>
          <w:kern w:val="0"/>
          <w14:ligatures w14:val="none"/>
        </w:rPr>
        <w:t>Douny</w:t>
      </w:r>
      <w:proofErr w:type="spellEnd"/>
      <w:r w:rsidRPr="005E1C45">
        <w:rPr>
          <w:rFonts w:ascii="Times New Roman" w:eastAsia="Times New Roman" w:hAnsi="Times New Roman" w:cs="Times New Roman"/>
          <w:kern w:val="0"/>
          <w14:ligatures w14:val="none"/>
        </w:rPr>
        <w:t xml:space="preserve"> et al., 2019; Gómez-Guillén et al., 2009). It highlights the need for public awareness and regulatory action concerning traditional fish processing techniques, especially in resource-limited settings where these practices are culturally entrenched. Additionally, antioxidant supplementation and improved processing strategies may offer protective measures, meriting future research (EFSA, 2011; </w:t>
      </w:r>
      <w:proofErr w:type="spellStart"/>
      <w:r w:rsidRPr="005E1C45">
        <w:rPr>
          <w:rFonts w:ascii="Times New Roman" w:eastAsia="Times New Roman" w:hAnsi="Times New Roman" w:cs="Times New Roman"/>
          <w:kern w:val="0"/>
          <w14:ligatures w14:val="none"/>
        </w:rPr>
        <w:t>Goulas</w:t>
      </w:r>
      <w:proofErr w:type="spellEnd"/>
      <w:r w:rsidRPr="005E1C45">
        <w:rPr>
          <w:rFonts w:ascii="Times New Roman" w:eastAsia="Times New Roman" w:hAnsi="Times New Roman" w:cs="Times New Roman"/>
          <w:kern w:val="0"/>
          <w14:ligatures w14:val="none"/>
        </w:rPr>
        <w:t xml:space="preserve"> &amp; </w:t>
      </w:r>
      <w:proofErr w:type="spellStart"/>
      <w:r w:rsidRPr="005E1C45">
        <w:rPr>
          <w:rFonts w:ascii="Times New Roman" w:eastAsia="Times New Roman" w:hAnsi="Times New Roman" w:cs="Times New Roman"/>
          <w:kern w:val="0"/>
          <w14:ligatures w14:val="none"/>
        </w:rPr>
        <w:t>Kontominas</w:t>
      </w:r>
      <w:proofErr w:type="spellEnd"/>
      <w:r w:rsidRPr="005E1C45">
        <w:rPr>
          <w:rFonts w:ascii="Times New Roman" w:eastAsia="Times New Roman" w:hAnsi="Times New Roman" w:cs="Times New Roman"/>
          <w:kern w:val="0"/>
          <w14:ligatures w14:val="none"/>
        </w:rPr>
        <w:t>, 2005).</w:t>
      </w:r>
    </w:p>
    <w:p w14:paraId="1F0F44DA" w14:textId="42BA08A8" w:rsidR="00154159" w:rsidRPr="00154159" w:rsidRDefault="00154159" w:rsidP="00697BFF">
      <w:pPr>
        <w:spacing w:after="0" w:line="240" w:lineRule="auto"/>
        <w:jc w:val="both"/>
        <w:rPr>
          <w:rFonts w:ascii="Times New Roman" w:eastAsia="Times New Roman" w:hAnsi="Times New Roman" w:cs="Times New Roman"/>
          <w:kern w:val="0"/>
          <w14:ligatures w14:val="none"/>
        </w:rPr>
      </w:pPr>
    </w:p>
    <w:p w14:paraId="27D10F4D" w14:textId="634110AC" w:rsidR="00154159" w:rsidRPr="00154159" w:rsidRDefault="00154159" w:rsidP="00697BFF">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t xml:space="preserve">5 </w:t>
      </w:r>
      <w:r w:rsidRPr="00154159">
        <w:rPr>
          <w:rFonts w:ascii="Times New Roman" w:eastAsia="Times New Roman" w:hAnsi="Times New Roman" w:cs="Times New Roman"/>
          <w:b/>
          <w:bCs/>
          <w:kern w:val="0"/>
          <w:sz w:val="36"/>
          <w:szCs w:val="36"/>
          <w14:ligatures w14:val="none"/>
        </w:rPr>
        <w:t>Conclusion</w:t>
      </w:r>
    </w:p>
    <w:p w14:paraId="1A44C7FA" w14:textId="77777777" w:rsidR="00154159" w:rsidRPr="00154159" w:rsidRDefault="00154159"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kern w:val="0"/>
          <w14:ligatures w14:val="none"/>
        </w:rPr>
        <w:t>The current study establishes a clear link between smoked fish extract consumption and oxidative stress-induced liver and kidney damage in albino rats. The observed biochemical and histological changes were dose-dependent and coincided with increased PAH content in the extract. These findings underscore the potential public health risks associated with frequent consumption of traditionally smoked fish contaminated with PAHs.</w:t>
      </w:r>
    </w:p>
    <w:p w14:paraId="5BB894D7" w14:textId="77777777" w:rsidR="00154159" w:rsidRPr="00154159" w:rsidRDefault="007E26BB" w:rsidP="00697BFF">
      <w:pPr>
        <w:spacing w:after="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4C6531BB">
          <v:rect id="_x0000_i1025" style="width:0;height:1.5pt" o:hralign="center" o:hrstd="t" o:hr="t" fillcolor="#a0a0a0" stroked="f"/>
        </w:pict>
      </w:r>
    </w:p>
    <w:p w14:paraId="5332DFD6" w14:textId="6E0DEF5B" w:rsidR="00154159" w:rsidRPr="00154159" w:rsidRDefault="00154159" w:rsidP="00697BFF">
      <w:pPr>
        <w:spacing w:before="100" w:beforeAutospacing="1" w:after="100" w:afterAutospacing="1" w:line="240" w:lineRule="auto"/>
        <w:jc w:val="both"/>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lastRenderedPageBreak/>
        <w:t xml:space="preserve">5.2 </w:t>
      </w:r>
      <w:r w:rsidRPr="00154159">
        <w:rPr>
          <w:rFonts w:ascii="Times New Roman" w:eastAsia="Times New Roman" w:hAnsi="Times New Roman" w:cs="Times New Roman"/>
          <w:b/>
          <w:bCs/>
          <w:kern w:val="0"/>
          <w:sz w:val="36"/>
          <w:szCs w:val="36"/>
          <w14:ligatures w14:val="none"/>
        </w:rPr>
        <w:t>Recommendations</w:t>
      </w:r>
    </w:p>
    <w:p w14:paraId="61C1E583" w14:textId="77777777" w:rsidR="00154159" w:rsidRPr="00154159" w:rsidRDefault="00154159" w:rsidP="00697BFF">
      <w:pPr>
        <w:numPr>
          <w:ilvl w:val="0"/>
          <w:numId w:val="6"/>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Public Health Awareness:</w:t>
      </w:r>
      <w:r w:rsidRPr="00154159">
        <w:rPr>
          <w:rFonts w:ascii="Times New Roman" w:eastAsia="Times New Roman" w:hAnsi="Times New Roman" w:cs="Times New Roman"/>
          <w:kern w:val="0"/>
          <w14:ligatures w14:val="none"/>
        </w:rPr>
        <w:t xml:space="preserve"> Government and health authorities should sensitize the public on the dangers of consuming smoked fish, particularly from unregulated sources.</w:t>
      </w:r>
    </w:p>
    <w:p w14:paraId="668ECB72" w14:textId="77777777" w:rsidR="00154159" w:rsidRPr="00154159" w:rsidRDefault="00154159" w:rsidP="00697BFF">
      <w:pPr>
        <w:numPr>
          <w:ilvl w:val="0"/>
          <w:numId w:val="6"/>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Regulation of Smoking Practices:</w:t>
      </w:r>
      <w:r w:rsidRPr="00154159">
        <w:rPr>
          <w:rFonts w:ascii="Times New Roman" w:eastAsia="Times New Roman" w:hAnsi="Times New Roman" w:cs="Times New Roman"/>
          <w:kern w:val="0"/>
          <w14:ligatures w14:val="none"/>
        </w:rPr>
        <w:t xml:space="preserve"> Adoption of cleaner, modern smoking technologies that limit PAH formation should be encouraged, and traditional methods should be evaluated for safety compliance.</w:t>
      </w:r>
    </w:p>
    <w:p w14:paraId="0F1FD418" w14:textId="77777777" w:rsidR="00154159" w:rsidRPr="00154159" w:rsidRDefault="00154159" w:rsidP="00697BFF">
      <w:pPr>
        <w:numPr>
          <w:ilvl w:val="0"/>
          <w:numId w:val="6"/>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Routine Monitoring:</w:t>
      </w:r>
      <w:r w:rsidRPr="00154159">
        <w:rPr>
          <w:rFonts w:ascii="Times New Roman" w:eastAsia="Times New Roman" w:hAnsi="Times New Roman" w:cs="Times New Roman"/>
          <w:kern w:val="0"/>
          <w14:ligatures w14:val="none"/>
        </w:rPr>
        <w:t xml:space="preserve"> Regular monitoring of smoked fish sold in markets for PAH content should be mandated by food safety agencies.</w:t>
      </w:r>
    </w:p>
    <w:p w14:paraId="531863FA" w14:textId="77777777" w:rsidR="00154159" w:rsidRPr="00154159" w:rsidRDefault="00154159" w:rsidP="00697BFF">
      <w:pPr>
        <w:numPr>
          <w:ilvl w:val="0"/>
          <w:numId w:val="6"/>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Dietary Antioxidants:</w:t>
      </w:r>
      <w:r w:rsidRPr="00154159">
        <w:rPr>
          <w:rFonts w:ascii="Times New Roman" w:eastAsia="Times New Roman" w:hAnsi="Times New Roman" w:cs="Times New Roman"/>
          <w:kern w:val="0"/>
          <w14:ligatures w14:val="none"/>
        </w:rPr>
        <w:t xml:space="preserve"> Future research should explore the potential protective effects of dietary antioxidants (e.g., vitamin C, E, polyphenols) against smoked fish-induced oxidative damage.</w:t>
      </w:r>
    </w:p>
    <w:p w14:paraId="69C03DB1" w14:textId="12A5145E" w:rsidR="00154159" w:rsidRDefault="00154159" w:rsidP="00697BFF">
      <w:pPr>
        <w:numPr>
          <w:ilvl w:val="0"/>
          <w:numId w:val="6"/>
        </w:numPr>
        <w:spacing w:before="100" w:beforeAutospacing="1" w:after="100" w:afterAutospacing="1" w:line="240" w:lineRule="auto"/>
        <w:jc w:val="both"/>
        <w:rPr>
          <w:rFonts w:ascii="Times New Roman" w:eastAsia="Times New Roman" w:hAnsi="Times New Roman" w:cs="Times New Roman"/>
          <w:kern w:val="0"/>
          <w14:ligatures w14:val="none"/>
        </w:rPr>
      </w:pPr>
      <w:r w:rsidRPr="00154159">
        <w:rPr>
          <w:rFonts w:ascii="Times New Roman" w:eastAsia="Times New Roman" w:hAnsi="Times New Roman" w:cs="Times New Roman"/>
          <w:b/>
          <w:bCs/>
          <w:kern w:val="0"/>
          <w14:ligatures w14:val="none"/>
        </w:rPr>
        <w:t>Further Studies:</w:t>
      </w:r>
      <w:r w:rsidRPr="00154159">
        <w:rPr>
          <w:rFonts w:ascii="Times New Roman" w:eastAsia="Times New Roman" w:hAnsi="Times New Roman" w:cs="Times New Roman"/>
          <w:kern w:val="0"/>
          <w14:ligatures w14:val="none"/>
        </w:rPr>
        <w:t xml:space="preserve"> Long-term studies are needed to understand the chronic effects of low-dose PAH exposure from smoked foods and to establish safe consumption limits.</w:t>
      </w:r>
    </w:p>
    <w:p w14:paraId="2BB5E7F8" w14:textId="77777777" w:rsidR="002364BE" w:rsidRDefault="002364BE" w:rsidP="00697BFF">
      <w:pPr>
        <w:spacing w:before="100" w:beforeAutospacing="1" w:after="100" w:afterAutospacing="1" w:line="240" w:lineRule="auto"/>
        <w:jc w:val="both"/>
        <w:rPr>
          <w:rFonts w:ascii="Times New Roman" w:eastAsia="Times New Roman" w:hAnsi="Times New Roman" w:cs="Times New Roman"/>
          <w:kern w:val="0"/>
          <w14:ligatures w14:val="none"/>
        </w:rPr>
      </w:pPr>
    </w:p>
    <w:p w14:paraId="620B1CFC" w14:textId="7C90DC89" w:rsidR="009D5501" w:rsidRDefault="002364BE"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2364BE">
        <w:rPr>
          <w:rFonts w:ascii="Times New Roman" w:eastAsia="Times New Roman" w:hAnsi="Times New Roman" w:cs="Times New Roman"/>
          <w:kern w:val="0"/>
          <w14:ligatures w14:val="none"/>
        </w:rPr>
        <w:t>Ethical Approval</w:t>
      </w:r>
    </w:p>
    <w:p w14:paraId="5C69683F" w14:textId="6A008641" w:rsidR="002364BE" w:rsidRDefault="002364BE" w:rsidP="00697BFF">
      <w:pPr>
        <w:spacing w:before="100" w:beforeAutospacing="1" w:after="100" w:afterAutospacing="1" w:line="240" w:lineRule="auto"/>
        <w:jc w:val="both"/>
        <w:rPr>
          <w:rFonts w:ascii="Times New Roman" w:eastAsia="Times New Roman" w:hAnsi="Times New Roman" w:cs="Times New Roman"/>
          <w:kern w:val="0"/>
          <w14:ligatures w14:val="none"/>
        </w:rPr>
      </w:pPr>
      <w:r w:rsidRPr="002364BE">
        <w:rPr>
          <w:rFonts w:ascii="Times New Roman" w:eastAsia="Times New Roman" w:hAnsi="Times New Roman" w:cs="Times New Roman"/>
          <w:kern w:val="0"/>
          <w14:ligatures w14:val="none"/>
        </w:rPr>
        <w:t>The experimental protocol was reviewed and approved by the Institutional Animal Ethics Committee, and all procedures adhered to international guidelines for the care and use of laboratory animals.</w:t>
      </w:r>
    </w:p>
    <w:p w14:paraId="1DD696D7" w14:textId="77777777" w:rsidR="002364BE" w:rsidRDefault="002364BE" w:rsidP="00697BFF">
      <w:pPr>
        <w:spacing w:before="100" w:beforeAutospacing="1" w:after="100" w:afterAutospacing="1" w:line="240" w:lineRule="auto"/>
        <w:jc w:val="both"/>
        <w:rPr>
          <w:rFonts w:ascii="Times New Roman" w:eastAsia="Times New Roman" w:hAnsi="Times New Roman" w:cs="Times New Roman"/>
          <w:kern w:val="0"/>
          <w14:ligatures w14:val="none"/>
        </w:rPr>
      </w:pPr>
    </w:p>
    <w:p w14:paraId="4205B94B" w14:textId="77777777" w:rsidR="009D5501" w:rsidRPr="00FE7640" w:rsidRDefault="009D5501" w:rsidP="00697BFF">
      <w:pPr>
        <w:jc w:val="both"/>
        <w:rPr>
          <w:rFonts w:ascii="Calibri" w:eastAsia="Calibri" w:hAnsi="Calibri" w:cs="Times New Roman"/>
          <w:highlight w:val="yellow"/>
        </w:rPr>
      </w:pPr>
      <w:bookmarkStart w:id="1" w:name="_Hlk193540946"/>
      <w:bookmarkStart w:id="2" w:name="_Hlk180402183"/>
      <w:bookmarkStart w:id="3" w:name="_Hlk183680988"/>
      <w:r w:rsidRPr="00FE7640">
        <w:rPr>
          <w:rFonts w:ascii="Calibri" w:eastAsia="Calibri" w:hAnsi="Calibri" w:cs="Times New Roman"/>
          <w:highlight w:val="yellow"/>
        </w:rPr>
        <w:t>Disclaimer (Artificial intelligence)</w:t>
      </w:r>
    </w:p>
    <w:p w14:paraId="70A244F7" w14:textId="77777777" w:rsidR="009D5501" w:rsidRPr="009C5487" w:rsidRDefault="009D5501" w:rsidP="00697BFF">
      <w:pPr>
        <w:jc w:val="both"/>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1C3CA5F4" w14:textId="77777777" w:rsidR="009D5501" w:rsidRPr="009C5487" w:rsidRDefault="009D5501" w:rsidP="00697BFF">
      <w:pPr>
        <w:jc w:val="both"/>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5DB73C9C" w14:textId="77777777" w:rsidR="009D5501" w:rsidRPr="009C5487" w:rsidRDefault="009D5501" w:rsidP="00697BFF">
      <w:pPr>
        <w:jc w:val="both"/>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599D04A3" w14:textId="77777777" w:rsidR="009D5501" w:rsidRPr="009C5487" w:rsidRDefault="009D5501" w:rsidP="00697BFF">
      <w:pPr>
        <w:jc w:val="both"/>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7C7C47E" w14:textId="77777777" w:rsidR="009D5501" w:rsidRPr="009C5487" w:rsidRDefault="009D5501" w:rsidP="00697BFF">
      <w:pPr>
        <w:jc w:val="both"/>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45CA0976" w14:textId="77777777" w:rsidR="009D5501" w:rsidRPr="009C5487" w:rsidRDefault="009D5501" w:rsidP="00697BFF">
      <w:pPr>
        <w:jc w:val="both"/>
        <w:rPr>
          <w:rFonts w:ascii="Calibri" w:eastAsia="Calibri" w:hAnsi="Calibri" w:cs="Times New Roman"/>
          <w:highlight w:val="yellow"/>
        </w:rPr>
      </w:pPr>
      <w:r w:rsidRPr="009C5487">
        <w:rPr>
          <w:rFonts w:ascii="Calibri" w:eastAsia="Calibri" w:hAnsi="Calibri" w:cs="Times New Roman"/>
          <w:highlight w:val="yellow"/>
        </w:rPr>
        <w:t>1.</w:t>
      </w:r>
    </w:p>
    <w:p w14:paraId="72D9DF16" w14:textId="77777777" w:rsidR="009D5501" w:rsidRPr="009C5487" w:rsidRDefault="009D5501" w:rsidP="00697BFF">
      <w:pPr>
        <w:jc w:val="both"/>
        <w:rPr>
          <w:rFonts w:ascii="Calibri" w:eastAsia="Calibri" w:hAnsi="Calibri" w:cs="Times New Roman"/>
          <w:highlight w:val="yellow"/>
        </w:rPr>
      </w:pPr>
      <w:r w:rsidRPr="009C5487">
        <w:rPr>
          <w:rFonts w:ascii="Calibri" w:eastAsia="Calibri" w:hAnsi="Calibri" w:cs="Times New Roman"/>
          <w:highlight w:val="yellow"/>
        </w:rPr>
        <w:t>2.</w:t>
      </w:r>
    </w:p>
    <w:p w14:paraId="2B504C6C" w14:textId="77777777" w:rsidR="009D5501" w:rsidRPr="009C5487" w:rsidRDefault="009D5501" w:rsidP="00697BFF">
      <w:pPr>
        <w:jc w:val="both"/>
        <w:rPr>
          <w:rFonts w:ascii="Calibri" w:eastAsia="Calibri" w:hAnsi="Calibri" w:cs="Times New Roman"/>
        </w:rPr>
      </w:pPr>
      <w:r w:rsidRPr="009C5487">
        <w:rPr>
          <w:rFonts w:ascii="Calibri" w:eastAsia="Calibri" w:hAnsi="Calibri" w:cs="Times New Roman"/>
          <w:highlight w:val="yellow"/>
        </w:rPr>
        <w:lastRenderedPageBreak/>
        <w:t>3.</w:t>
      </w:r>
      <w:bookmarkEnd w:id="1"/>
    </w:p>
    <w:bookmarkEnd w:id="2"/>
    <w:bookmarkEnd w:id="3"/>
    <w:p w14:paraId="12542B16" w14:textId="77777777" w:rsidR="009D5501" w:rsidRPr="00154159" w:rsidRDefault="009D5501" w:rsidP="00697BFF">
      <w:pPr>
        <w:spacing w:before="100" w:beforeAutospacing="1" w:after="100" w:afterAutospacing="1" w:line="240" w:lineRule="auto"/>
        <w:jc w:val="both"/>
        <w:rPr>
          <w:rFonts w:ascii="Times New Roman" w:eastAsia="Times New Roman" w:hAnsi="Times New Roman" w:cs="Times New Roman"/>
          <w:kern w:val="0"/>
          <w14:ligatures w14:val="none"/>
        </w:rPr>
      </w:pPr>
    </w:p>
    <w:p w14:paraId="0695F33D" w14:textId="47A4DA4F" w:rsidR="005E1C45" w:rsidRPr="005E1C45" w:rsidRDefault="005E1C45" w:rsidP="00697BFF">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5E1C45">
        <w:rPr>
          <w:rFonts w:ascii="Times New Roman" w:eastAsia="Times New Roman" w:hAnsi="Times New Roman" w:cs="Times New Roman"/>
          <w:b/>
          <w:bCs/>
          <w:kern w:val="0"/>
          <w:sz w:val="27"/>
          <w:szCs w:val="27"/>
          <w14:ligatures w14:val="none"/>
        </w:rPr>
        <w:t>References</w:t>
      </w:r>
      <w:r>
        <w:rPr>
          <w:rFonts w:ascii="Times New Roman" w:eastAsia="Times New Roman" w:hAnsi="Times New Roman" w:cs="Times New Roman"/>
          <w:b/>
          <w:bCs/>
          <w:kern w:val="0"/>
          <w:sz w:val="27"/>
          <w:szCs w:val="27"/>
          <w14:ligatures w14:val="none"/>
        </w:rPr>
        <w:t>:</w:t>
      </w:r>
    </w:p>
    <w:p w14:paraId="41A10CE1"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Abbas, O., Hayder, N., &amp; </w:t>
      </w:r>
      <w:proofErr w:type="spellStart"/>
      <w:r w:rsidRPr="005E1C45">
        <w:rPr>
          <w:rFonts w:ascii="Times New Roman" w:eastAsia="Times New Roman" w:hAnsi="Times New Roman" w:cs="Times New Roman"/>
          <w:kern w:val="0"/>
          <w14:ligatures w14:val="none"/>
        </w:rPr>
        <w:t>Bakheit</w:t>
      </w:r>
      <w:proofErr w:type="spellEnd"/>
      <w:r w:rsidRPr="005E1C45">
        <w:rPr>
          <w:rFonts w:ascii="Times New Roman" w:eastAsia="Times New Roman" w:hAnsi="Times New Roman" w:cs="Times New Roman"/>
          <w:kern w:val="0"/>
          <w14:ligatures w14:val="none"/>
        </w:rPr>
        <w:t xml:space="preserve">, H. (2021). Polycyclic aromatic hydrocarbons in food: A review on occurrence and analytical methods. </w:t>
      </w:r>
      <w:r w:rsidRPr="005E1C45">
        <w:rPr>
          <w:rFonts w:ascii="Times New Roman" w:eastAsia="Times New Roman" w:hAnsi="Times New Roman" w:cs="Times New Roman"/>
          <w:i/>
          <w:iCs/>
          <w:kern w:val="0"/>
          <w14:ligatures w14:val="none"/>
        </w:rPr>
        <w:t>Food Chemistry</w:t>
      </w:r>
      <w:r w:rsidRPr="005E1C45">
        <w:rPr>
          <w:rFonts w:ascii="Times New Roman" w:eastAsia="Times New Roman" w:hAnsi="Times New Roman" w:cs="Times New Roman"/>
          <w:kern w:val="0"/>
          <w14:ligatures w14:val="none"/>
        </w:rPr>
        <w:t>, 343, 128525. https://doi.org/10.1016/j.foodchem.2020.128525</w:t>
      </w:r>
    </w:p>
    <w:p w14:paraId="5A77E389"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5E1C45">
        <w:rPr>
          <w:rFonts w:ascii="Times New Roman" w:eastAsia="Times New Roman" w:hAnsi="Times New Roman" w:cs="Times New Roman"/>
          <w:kern w:val="0"/>
          <w14:ligatures w14:val="none"/>
        </w:rPr>
        <w:t>Akpambang</w:t>
      </w:r>
      <w:proofErr w:type="spellEnd"/>
      <w:r w:rsidRPr="005E1C45">
        <w:rPr>
          <w:rFonts w:ascii="Times New Roman" w:eastAsia="Times New Roman" w:hAnsi="Times New Roman" w:cs="Times New Roman"/>
          <w:kern w:val="0"/>
          <w14:ligatures w14:val="none"/>
        </w:rPr>
        <w:t xml:space="preserve">, V. O. E., Purcaro, G., </w:t>
      </w:r>
      <w:proofErr w:type="spellStart"/>
      <w:r w:rsidRPr="005E1C45">
        <w:rPr>
          <w:rFonts w:ascii="Times New Roman" w:eastAsia="Times New Roman" w:hAnsi="Times New Roman" w:cs="Times New Roman"/>
          <w:kern w:val="0"/>
          <w14:ligatures w14:val="none"/>
        </w:rPr>
        <w:t>Lajide</w:t>
      </w:r>
      <w:proofErr w:type="spellEnd"/>
      <w:r w:rsidRPr="005E1C45">
        <w:rPr>
          <w:rFonts w:ascii="Times New Roman" w:eastAsia="Times New Roman" w:hAnsi="Times New Roman" w:cs="Times New Roman"/>
          <w:kern w:val="0"/>
          <w14:ligatures w14:val="none"/>
        </w:rPr>
        <w:t xml:space="preserve">, L., Amoo, I. A., Conte, L. S., &amp; Moret, S. (2009). Determination of polycyclic aromatic hydrocarbons (PAHs) in commonly consumed Nigerian smoked/grilled fish and meat. </w:t>
      </w:r>
      <w:r w:rsidRPr="005E1C45">
        <w:rPr>
          <w:rFonts w:ascii="Times New Roman" w:eastAsia="Times New Roman" w:hAnsi="Times New Roman" w:cs="Times New Roman"/>
          <w:i/>
          <w:iCs/>
          <w:kern w:val="0"/>
          <w14:ligatures w14:val="none"/>
        </w:rPr>
        <w:t>Food Additives &amp; Contaminants: Part A</w:t>
      </w:r>
      <w:r w:rsidRPr="005E1C45">
        <w:rPr>
          <w:rFonts w:ascii="Times New Roman" w:eastAsia="Times New Roman" w:hAnsi="Times New Roman" w:cs="Times New Roman"/>
          <w:kern w:val="0"/>
          <w14:ligatures w14:val="none"/>
        </w:rPr>
        <w:t>, 26(7), 1096–1103. https://doi.org/10.1080/02652030902735185</w:t>
      </w:r>
    </w:p>
    <w:p w14:paraId="4460E9C4"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Al </w:t>
      </w:r>
      <w:proofErr w:type="spellStart"/>
      <w:r w:rsidRPr="005E1C45">
        <w:rPr>
          <w:rFonts w:ascii="Times New Roman" w:eastAsia="Times New Roman" w:hAnsi="Times New Roman" w:cs="Times New Roman"/>
          <w:kern w:val="0"/>
          <w14:ligatures w14:val="none"/>
        </w:rPr>
        <w:t>Bulushi</w:t>
      </w:r>
      <w:proofErr w:type="spellEnd"/>
      <w:r w:rsidRPr="005E1C45">
        <w:rPr>
          <w:rFonts w:ascii="Times New Roman" w:eastAsia="Times New Roman" w:hAnsi="Times New Roman" w:cs="Times New Roman"/>
          <w:kern w:val="0"/>
          <w14:ligatures w14:val="none"/>
        </w:rPr>
        <w:t xml:space="preserve">, I., Poole, S., Deeth, H. C., &amp; Dykes, G. A. (2009). Biogenic amines in fish: Roles in intoxication, spoilage, and nitrosamine formation—A review. </w:t>
      </w:r>
      <w:r w:rsidRPr="005E1C45">
        <w:rPr>
          <w:rFonts w:ascii="Times New Roman" w:eastAsia="Times New Roman" w:hAnsi="Times New Roman" w:cs="Times New Roman"/>
          <w:i/>
          <w:iCs/>
          <w:kern w:val="0"/>
          <w14:ligatures w14:val="none"/>
        </w:rPr>
        <w:t>Critical Reviews in Food Science and Nutrition</w:t>
      </w:r>
      <w:r w:rsidRPr="005E1C45">
        <w:rPr>
          <w:rFonts w:ascii="Times New Roman" w:eastAsia="Times New Roman" w:hAnsi="Times New Roman" w:cs="Times New Roman"/>
          <w:kern w:val="0"/>
          <w14:ligatures w14:val="none"/>
        </w:rPr>
        <w:t>, 49(4), 369–377. https://doi.org/10.1080/10408390802067514</w:t>
      </w:r>
    </w:p>
    <w:p w14:paraId="54F4ECBA"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5E1C45">
        <w:rPr>
          <w:rFonts w:ascii="Times New Roman" w:eastAsia="Times New Roman" w:hAnsi="Times New Roman" w:cs="Times New Roman"/>
          <w:kern w:val="0"/>
          <w14:ligatures w14:val="none"/>
        </w:rPr>
        <w:t>Alomirah</w:t>
      </w:r>
      <w:proofErr w:type="spellEnd"/>
      <w:r w:rsidRPr="005E1C45">
        <w:rPr>
          <w:rFonts w:ascii="Times New Roman" w:eastAsia="Times New Roman" w:hAnsi="Times New Roman" w:cs="Times New Roman"/>
          <w:kern w:val="0"/>
          <w14:ligatures w14:val="none"/>
        </w:rPr>
        <w:t>, H., Al-Zenki, S., Al-</w:t>
      </w:r>
      <w:proofErr w:type="spellStart"/>
      <w:r w:rsidRPr="005E1C45">
        <w:rPr>
          <w:rFonts w:ascii="Times New Roman" w:eastAsia="Times New Roman" w:hAnsi="Times New Roman" w:cs="Times New Roman"/>
          <w:kern w:val="0"/>
          <w14:ligatures w14:val="none"/>
        </w:rPr>
        <w:t>Hooti</w:t>
      </w:r>
      <w:proofErr w:type="spellEnd"/>
      <w:r w:rsidRPr="005E1C45">
        <w:rPr>
          <w:rFonts w:ascii="Times New Roman" w:eastAsia="Times New Roman" w:hAnsi="Times New Roman" w:cs="Times New Roman"/>
          <w:kern w:val="0"/>
          <w14:ligatures w14:val="none"/>
        </w:rPr>
        <w:t xml:space="preserve">, S., Zaghloul, S., Sawaya, W., Ahmed, N., &amp; Kannan, K. (2011). Concentrations and dietary exposure to polycyclic aromatic hydrocarbons (PAHs) from grilled and smoked foods. </w:t>
      </w:r>
      <w:r w:rsidRPr="005E1C45">
        <w:rPr>
          <w:rFonts w:ascii="Times New Roman" w:eastAsia="Times New Roman" w:hAnsi="Times New Roman" w:cs="Times New Roman"/>
          <w:i/>
          <w:iCs/>
          <w:kern w:val="0"/>
          <w14:ligatures w14:val="none"/>
        </w:rPr>
        <w:t>Food Control</w:t>
      </w:r>
      <w:r w:rsidRPr="005E1C45">
        <w:rPr>
          <w:rFonts w:ascii="Times New Roman" w:eastAsia="Times New Roman" w:hAnsi="Times New Roman" w:cs="Times New Roman"/>
          <w:kern w:val="0"/>
          <w14:ligatures w14:val="none"/>
        </w:rPr>
        <w:t>, 22(12), 2028–2035. https://doi.org/10.1016/j.foodcont.2011.05.024</w:t>
      </w:r>
    </w:p>
    <w:p w14:paraId="532A8452"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5E1C45">
        <w:rPr>
          <w:rFonts w:ascii="Times New Roman" w:eastAsia="Times New Roman" w:hAnsi="Times New Roman" w:cs="Times New Roman"/>
          <w:kern w:val="0"/>
          <w14:ligatures w14:val="none"/>
        </w:rPr>
        <w:t>Anigboro</w:t>
      </w:r>
      <w:proofErr w:type="spellEnd"/>
      <w:r w:rsidRPr="005E1C45">
        <w:rPr>
          <w:rFonts w:ascii="Times New Roman" w:eastAsia="Times New Roman" w:hAnsi="Times New Roman" w:cs="Times New Roman"/>
          <w:kern w:val="0"/>
          <w14:ligatures w14:val="none"/>
        </w:rPr>
        <w:t xml:space="preserve">, A. A., Okoye, Z. S., &amp; Adegoke, G. O. (2011). Histological and biochemical alterations in liver and kidney of rats following dietary exposure to smoke-dried catfish. </w:t>
      </w:r>
      <w:r w:rsidRPr="005E1C45">
        <w:rPr>
          <w:rFonts w:ascii="Times New Roman" w:eastAsia="Times New Roman" w:hAnsi="Times New Roman" w:cs="Times New Roman"/>
          <w:i/>
          <w:iCs/>
          <w:kern w:val="0"/>
          <w14:ligatures w14:val="none"/>
        </w:rPr>
        <w:t>African Journal of Biochemistry Research</w:t>
      </w:r>
      <w:r w:rsidRPr="005E1C45">
        <w:rPr>
          <w:rFonts w:ascii="Times New Roman" w:eastAsia="Times New Roman" w:hAnsi="Times New Roman" w:cs="Times New Roman"/>
          <w:kern w:val="0"/>
          <w14:ligatures w14:val="none"/>
        </w:rPr>
        <w:t>, 5(10), 287–293.</w:t>
      </w:r>
    </w:p>
    <w:p w14:paraId="21231515"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Assogba, M. F., Bonzi-Coulibaly, Y. L., Coulibaly, A. Y., </w:t>
      </w:r>
      <w:proofErr w:type="spellStart"/>
      <w:r w:rsidRPr="005E1C45">
        <w:rPr>
          <w:rFonts w:ascii="Times New Roman" w:eastAsia="Times New Roman" w:hAnsi="Times New Roman" w:cs="Times New Roman"/>
          <w:kern w:val="0"/>
          <w14:ligatures w14:val="none"/>
        </w:rPr>
        <w:t>Tchobo</w:t>
      </w:r>
      <w:proofErr w:type="spellEnd"/>
      <w:r w:rsidRPr="005E1C45">
        <w:rPr>
          <w:rFonts w:ascii="Times New Roman" w:eastAsia="Times New Roman" w:hAnsi="Times New Roman" w:cs="Times New Roman"/>
          <w:kern w:val="0"/>
          <w14:ligatures w14:val="none"/>
        </w:rPr>
        <w:t xml:space="preserve">, P. F., Sanni, A., &amp; </w:t>
      </w:r>
      <w:proofErr w:type="spellStart"/>
      <w:r w:rsidRPr="005E1C45">
        <w:rPr>
          <w:rFonts w:ascii="Times New Roman" w:eastAsia="Times New Roman" w:hAnsi="Times New Roman" w:cs="Times New Roman"/>
          <w:kern w:val="0"/>
          <w14:ligatures w14:val="none"/>
        </w:rPr>
        <w:t>Hounhouigan</w:t>
      </w:r>
      <w:proofErr w:type="spellEnd"/>
      <w:r w:rsidRPr="005E1C45">
        <w:rPr>
          <w:rFonts w:ascii="Times New Roman" w:eastAsia="Times New Roman" w:hAnsi="Times New Roman" w:cs="Times New Roman"/>
          <w:kern w:val="0"/>
          <w14:ligatures w14:val="none"/>
        </w:rPr>
        <w:t xml:space="preserve">, D. J. (2019). Polycyclic aromatic hydrocarbons content and antioxidant properties of smoked fish processed by traditional and improved smoking kilns in Benin. </w:t>
      </w:r>
      <w:r w:rsidRPr="005E1C45">
        <w:rPr>
          <w:rFonts w:ascii="Times New Roman" w:eastAsia="Times New Roman" w:hAnsi="Times New Roman" w:cs="Times New Roman"/>
          <w:i/>
          <w:iCs/>
          <w:kern w:val="0"/>
          <w14:ligatures w14:val="none"/>
        </w:rPr>
        <w:t>Food Control</w:t>
      </w:r>
      <w:r w:rsidRPr="005E1C45">
        <w:rPr>
          <w:rFonts w:ascii="Times New Roman" w:eastAsia="Times New Roman" w:hAnsi="Times New Roman" w:cs="Times New Roman"/>
          <w:kern w:val="0"/>
          <w14:ligatures w14:val="none"/>
        </w:rPr>
        <w:t>, 106, 106698. https://doi.org/10.1016/j.foodcont.2019.106698</w:t>
      </w:r>
    </w:p>
    <w:p w14:paraId="59EC918E"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Daniel, D. S., Phillips, J. R., &amp; Bannister, L. A. (2013). Detecting oxidative DNA damage using the comet assay. </w:t>
      </w:r>
      <w:r w:rsidRPr="005E1C45">
        <w:rPr>
          <w:rFonts w:ascii="Times New Roman" w:eastAsia="Times New Roman" w:hAnsi="Times New Roman" w:cs="Times New Roman"/>
          <w:i/>
          <w:iCs/>
          <w:kern w:val="0"/>
          <w14:ligatures w14:val="none"/>
        </w:rPr>
        <w:t>Journal of Visualized Experiments</w:t>
      </w:r>
      <w:r w:rsidRPr="005E1C45">
        <w:rPr>
          <w:rFonts w:ascii="Times New Roman" w:eastAsia="Times New Roman" w:hAnsi="Times New Roman" w:cs="Times New Roman"/>
          <w:kern w:val="0"/>
          <w14:ligatures w14:val="none"/>
        </w:rPr>
        <w:t>, (80), e50600. https://doi.org/10.3791/50600</w:t>
      </w:r>
    </w:p>
    <w:p w14:paraId="6398E700"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Darwish, W. S., </w:t>
      </w:r>
      <w:proofErr w:type="spellStart"/>
      <w:r w:rsidRPr="005E1C45">
        <w:rPr>
          <w:rFonts w:ascii="Times New Roman" w:eastAsia="Times New Roman" w:hAnsi="Times New Roman" w:cs="Times New Roman"/>
          <w:kern w:val="0"/>
          <w14:ligatures w14:val="none"/>
        </w:rPr>
        <w:t>Ikenaka</w:t>
      </w:r>
      <w:proofErr w:type="spellEnd"/>
      <w:r w:rsidRPr="005E1C45">
        <w:rPr>
          <w:rFonts w:ascii="Times New Roman" w:eastAsia="Times New Roman" w:hAnsi="Times New Roman" w:cs="Times New Roman"/>
          <w:kern w:val="0"/>
          <w14:ligatures w14:val="none"/>
        </w:rPr>
        <w:t xml:space="preserve">, Y., Nakayama, S. M. M., &amp; Ishizuka, M. (2019). Environmental pollutants as risk factors for oxidative stress and liver dysfunction in aquatic organisms: A review. </w:t>
      </w:r>
      <w:r w:rsidRPr="005E1C45">
        <w:rPr>
          <w:rFonts w:ascii="Times New Roman" w:eastAsia="Times New Roman" w:hAnsi="Times New Roman" w:cs="Times New Roman"/>
          <w:i/>
          <w:iCs/>
          <w:kern w:val="0"/>
          <w14:ligatures w14:val="none"/>
        </w:rPr>
        <w:t>Environmental Science and Pollution Research</w:t>
      </w:r>
      <w:r w:rsidRPr="005E1C45">
        <w:rPr>
          <w:rFonts w:ascii="Times New Roman" w:eastAsia="Times New Roman" w:hAnsi="Times New Roman" w:cs="Times New Roman"/>
          <w:kern w:val="0"/>
          <w14:ligatures w14:val="none"/>
        </w:rPr>
        <w:t>, 26, 4025–4043. https://doi.org/10.1007/s11356-018-3883-0</w:t>
      </w:r>
    </w:p>
    <w:p w14:paraId="7BE2D2D9"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Domingo, J. L., &amp; Nadal, M. (2015). Human dietary exposure to polycyclic aromatic hydrocarbons: A review of the scientific literature. </w:t>
      </w:r>
      <w:r w:rsidRPr="005E1C45">
        <w:rPr>
          <w:rFonts w:ascii="Times New Roman" w:eastAsia="Times New Roman" w:hAnsi="Times New Roman" w:cs="Times New Roman"/>
          <w:i/>
          <w:iCs/>
          <w:kern w:val="0"/>
          <w14:ligatures w14:val="none"/>
        </w:rPr>
        <w:t>Food and Chemical Toxicology</w:t>
      </w:r>
      <w:r w:rsidRPr="005E1C45">
        <w:rPr>
          <w:rFonts w:ascii="Times New Roman" w:eastAsia="Times New Roman" w:hAnsi="Times New Roman" w:cs="Times New Roman"/>
          <w:kern w:val="0"/>
          <w14:ligatures w14:val="none"/>
        </w:rPr>
        <w:t xml:space="preserve">, 86, 144–153. </w:t>
      </w:r>
      <w:hyperlink r:id="rId12" w:tgtFrame="_new" w:history="1">
        <w:r w:rsidRPr="005E1C45">
          <w:rPr>
            <w:rFonts w:ascii="Times New Roman" w:eastAsia="Times New Roman" w:hAnsi="Times New Roman" w:cs="Times New Roman"/>
            <w:color w:val="0000FF"/>
            <w:kern w:val="0"/>
            <w:u w:val="single"/>
            <w14:ligatures w14:val="none"/>
          </w:rPr>
          <w:t>https://doi.org/10.1016/j.fct.2015.10.002</w:t>
        </w:r>
      </w:hyperlink>
    </w:p>
    <w:p w14:paraId="47BFC598"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5E1C45">
        <w:rPr>
          <w:rFonts w:ascii="Times New Roman" w:eastAsia="Times New Roman" w:hAnsi="Times New Roman" w:cs="Times New Roman"/>
          <w:kern w:val="0"/>
          <w14:ligatures w14:val="none"/>
        </w:rPr>
        <w:t>Douny</w:t>
      </w:r>
      <w:proofErr w:type="spellEnd"/>
      <w:r w:rsidRPr="005E1C45">
        <w:rPr>
          <w:rFonts w:ascii="Times New Roman" w:eastAsia="Times New Roman" w:hAnsi="Times New Roman" w:cs="Times New Roman"/>
          <w:kern w:val="0"/>
          <w14:ligatures w14:val="none"/>
        </w:rPr>
        <w:t xml:space="preserve">, C., </w:t>
      </w:r>
      <w:proofErr w:type="spellStart"/>
      <w:r w:rsidRPr="005E1C45">
        <w:rPr>
          <w:rFonts w:ascii="Times New Roman" w:eastAsia="Times New Roman" w:hAnsi="Times New Roman" w:cs="Times New Roman"/>
          <w:kern w:val="0"/>
          <w14:ligatures w14:val="none"/>
        </w:rPr>
        <w:t>Tittlemier</w:t>
      </w:r>
      <w:proofErr w:type="spellEnd"/>
      <w:r w:rsidRPr="005E1C45">
        <w:rPr>
          <w:rFonts w:ascii="Times New Roman" w:eastAsia="Times New Roman" w:hAnsi="Times New Roman" w:cs="Times New Roman"/>
          <w:kern w:val="0"/>
          <w14:ligatures w14:val="none"/>
        </w:rPr>
        <w:t xml:space="preserve">, S. A., De Saeger, S., &amp; </w:t>
      </w:r>
      <w:proofErr w:type="spellStart"/>
      <w:r w:rsidRPr="005E1C45">
        <w:rPr>
          <w:rFonts w:ascii="Times New Roman" w:eastAsia="Times New Roman" w:hAnsi="Times New Roman" w:cs="Times New Roman"/>
          <w:kern w:val="0"/>
          <w14:ligatures w14:val="none"/>
        </w:rPr>
        <w:t>Scippo</w:t>
      </w:r>
      <w:proofErr w:type="spellEnd"/>
      <w:r w:rsidRPr="005E1C45">
        <w:rPr>
          <w:rFonts w:ascii="Times New Roman" w:eastAsia="Times New Roman" w:hAnsi="Times New Roman" w:cs="Times New Roman"/>
          <w:kern w:val="0"/>
          <w14:ligatures w14:val="none"/>
        </w:rPr>
        <w:t xml:space="preserve">, M. L. (2019). Occurrence and levels of chemical contaminants in foods from sub-Saharan Africa: A review. </w:t>
      </w:r>
      <w:r w:rsidRPr="005E1C45">
        <w:rPr>
          <w:rFonts w:ascii="Times New Roman" w:eastAsia="Times New Roman" w:hAnsi="Times New Roman" w:cs="Times New Roman"/>
          <w:i/>
          <w:iCs/>
          <w:kern w:val="0"/>
          <w14:ligatures w14:val="none"/>
        </w:rPr>
        <w:t>Critical Reviews in Food Science and Nutrition</w:t>
      </w:r>
      <w:r w:rsidRPr="005E1C45">
        <w:rPr>
          <w:rFonts w:ascii="Times New Roman" w:eastAsia="Times New Roman" w:hAnsi="Times New Roman" w:cs="Times New Roman"/>
          <w:kern w:val="0"/>
          <w14:ligatures w14:val="none"/>
        </w:rPr>
        <w:t>, 59(14), 2356–2372. https://doi.org/10.1080/10408398.2018.1449971</w:t>
      </w:r>
    </w:p>
    <w:p w14:paraId="230C2E50"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5E1C45">
        <w:rPr>
          <w:rFonts w:ascii="Times New Roman" w:eastAsia="Times New Roman" w:hAnsi="Times New Roman" w:cs="Times New Roman"/>
          <w:kern w:val="0"/>
          <w14:ligatures w14:val="none"/>
        </w:rPr>
        <w:t>Douny</w:t>
      </w:r>
      <w:proofErr w:type="spellEnd"/>
      <w:r w:rsidRPr="005E1C45">
        <w:rPr>
          <w:rFonts w:ascii="Times New Roman" w:eastAsia="Times New Roman" w:hAnsi="Times New Roman" w:cs="Times New Roman"/>
          <w:kern w:val="0"/>
          <w14:ligatures w14:val="none"/>
        </w:rPr>
        <w:t xml:space="preserve">, C., Mbong, A. M., El Khoury, A., &amp; </w:t>
      </w:r>
      <w:proofErr w:type="spellStart"/>
      <w:r w:rsidRPr="005E1C45">
        <w:rPr>
          <w:rFonts w:ascii="Times New Roman" w:eastAsia="Times New Roman" w:hAnsi="Times New Roman" w:cs="Times New Roman"/>
          <w:kern w:val="0"/>
          <w14:ligatures w14:val="none"/>
        </w:rPr>
        <w:t>Scippo</w:t>
      </w:r>
      <w:proofErr w:type="spellEnd"/>
      <w:r w:rsidRPr="005E1C45">
        <w:rPr>
          <w:rFonts w:ascii="Times New Roman" w:eastAsia="Times New Roman" w:hAnsi="Times New Roman" w:cs="Times New Roman"/>
          <w:kern w:val="0"/>
          <w14:ligatures w14:val="none"/>
        </w:rPr>
        <w:t xml:space="preserve">, M. L. (2021). Dietary exposure to chemical contaminants in smoked fish in sub-Saharan Africa: Risk assessment and implications. </w:t>
      </w:r>
      <w:r w:rsidRPr="005E1C45">
        <w:rPr>
          <w:rFonts w:ascii="Times New Roman" w:eastAsia="Times New Roman" w:hAnsi="Times New Roman" w:cs="Times New Roman"/>
          <w:i/>
          <w:iCs/>
          <w:kern w:val="0"/>
          <w14:ligatures w14:val="none"/>
        </w:rPr>
        <w:t>Food Additives &amp; Contaminants: Part A</w:t>
      </w:r>
      <w:r w:rsidRPr="005E1C45">
        <w:rPr>
          <w:rFonts w:ascii="Times New Roman" w:eastAsia="Times New Roman" w:hAnsi="Times New Roman" w:cs="Times New Roman"/>
          <w:kern w:val="0"/>
          <w14:ligatures w14:val="none"/>
        </w:rPr>
        <w:t>, 38(5), 805–819. https://doi.org/10.1080/19440049.2021.1903190</w:t>
      </w:r>
    </w:p>
    <w:p w14:paraId="25598197"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lastRenderedPageBreak/>
        <w:t xml:space="preserve">Drabik-Markiewicz, G., Van Hoeck, E., De </w:t>
      </w:r>
      <w:proofErr w:type="spellStart"/>
      <w:r w:rsidRPr="005E1C45">
        <w:rPr>
          <w:rFonts w:ascii="Times New Roman" w:eastAsia="Times New Roman" w:hAnsi="Times New Roman" w:cs="Times New Roman"/>
          <w:kern w:val="0"/>
          <w14:ligatures w14:val="none"/>
        </w:rPr>
        <w:t>Meulenaer</w:t>
      </w:r>
      <w:proofErr w:type="spellEnd"/>
      <w:r w:rsidRPr="005E1C45">
        <w:rPr>
          <w:rFonts w:ascii="Times New Roman" w:eastAsia="Times New Roman" w:hAnsi="Times New Roman" w:cs="Times New Roman"/>
          <w:kern w:val="0"/>
          <w14:ligatures w14:val="none"/>
        </w:rPr>
        <w:t xml:space="preserve">, B., &amp; De </w:t>
      </w:r>
      <w:proofErr w:type="spellStart"/>
      <w:r w:rsidRPr="005E1C45">
        <w:rPr>
          <w:rFonts w:ascii="Times New Roman" w:eastAsia="Times New Roman" w:hAnsi="Times New Roman" w:cs="Times New Roman"/>
          <w:kern w:val="0"/>
          <w14:ligatures w14:val="none"/>
        </w:rPr>
        <w:t>Kimpe</w:t>
      </w:r>
      <w:proofErr w:type="spellEnd"/>
      <w:r w:rsidRPr="005E1C45">
        <w:rPr>
          <w:rFonts w:ascii="Times New Roman" w:eastAsia="Times New Roman" w:hAnsi="Times New Roman" w:cs="Times New Roman"/>
          <w:kern w:val="0"/>
          <w14:ligatures w14:val="none"/>
        </w:rPr>
        <w:t xml:space="preserve">, N. (2009). Influence of meat composition on the formation of </w:t>
      </w:r>
      <w:proofErr w:type="spellStart"/>
      <w:r w:rsidRPr="005E1C45">
        <w:rPr>
          <w:rFonts w:ascii="Times New Roman" w:eastAsia="Times New Roman" w:hAnsi="Times New Roman" w:cs="Times New Roman"/>
          <w:kern w:val="0"/>
          <w14:ligatures w14:val="none"/>
        </w:rPr>
        <w:t>Nε</w:t>
      </w:r>
      <w:proofErr w:type="spellEnd"/>
      <w:r w:rsidRPr="005E1C45">
        <w:rPr>
          <w:rFonts w:ascii="Times New Roman" w:eastAsia="Times New Roman" w:hAnsi="Times New Roman" w:cs="Times New Roman"/>
          <w:kern w:val="0"/>
          <w14:ligatures w14:val="none"/>
        </w:rPr>
        <w:t>-(</w:t>
      </w:r>
      <w:proofErr w:type="spellStart"/>
      <w:r w:rsidRPr="005E1C45">
        <w:rPr>
          <w:rFonts w:ascii="Times New Roman" w:eastAsia="Times New Roman" w:hAnsi="Times New Roman" w:cs="Times New Roman"/>
          <w:kern w:val="0"/>
          <w14:ligatures w14:val="none"/>
        </w:rPr>
        <w:t>carboxymethyl</w:t>
      </w:r>
      <w:proofErr w:type="spellEnd"/>
      <w:r w:rsidRPr="005E1C45">
        <w:rPr>
          <w:rFonts w:ascii="Times New Roman" w:eastAsia="Times New Roman" w:hAnsi="Times New Roman" w:cs="Times New Roman"/>
          <w:kern w:val="0"/>
          <w14:ligatures w14:val="none"/>
        </w:rPr>
        <w:t xml:space="preserve">)lysine and </w:t>
      </w:r>
      <w:proofErr w:type="spellStart"/>
      <w:r w:rsidRPr="005E1C45">
        <w:rPr>
          <w:rFonts w:ascii="Times New Roman" w:eastAsia="Times New Roman" w:hAnsi="Times New Roman" w:cs="Times New Roman"/>
          <w:kern w:val="0"/>
          <w14:ligatures w14:val="none"/>
        </w:rPr>
        <w:t>Nε</w:t>
      </w:r>
      <w:proofErr w:type="spellEnd"/>
      <w:r w:rsidRPr="005E1C45">
        <w:rPr>
          <w:rFonts w:ascii="Times New Roman" w:eastAsia="Times New Roman" w:hAnsi="Times New Roman" w:cs="Times New Roman"/>
          <w:kern w:val="0"/>
          <w14:ligatures w14:val="none"/>
        </w:rPr>
        <w:t>-(</w:t>
      </w:r>
      <w:proofErr w:type="spellStart"/>
      <w:r w:rsidRPr="005E1C45">
        <w:rPr>
          <w:rFonts w:ascii="Times New Roman" w:eastAsia="Times New Roman" w:hAnsi="Times New Roman" w:cs="Times New Roman"/>
          <w:kern w:val="0"/>
          <w14:ligatures w14:val="none"/>
        </w:rPr>
        <w:t>carboxyethyl</w:t>
      </w:r>
      <w:proofErr w:type="spellEnd"/>
      <w:r w:rsidRPr="005E1C45">
        <w:rPr>
          <w:rFonts w:ascii="Times New Roman" w:eastAsia="Times New Roman" w:hAnsi="Times New Roman" w:cs="Times New Roman"/>
          <w:kern w:val="0"/>
          <w14:ligatures w14:val="none"/>
        </w:rPr>
        <w:t xml:space="preserve">)lysine in cooked pork meat. </w:t>
      </w:r>
      <w:r w:rsidRPr="005E1C45">
        <w:rPr>
          <w:rFonts w:ascii="Times New Roman" w:eastAsia="Times New Roman" w:hAnsi="Times New Roman" w:cs="Times New Roman"/>
          <w:i/>
          <w:iCs/>
          <w:kern w:val="0"/>
          <w14:ligatures w14:val="none"/>
        </w:rPr>
        <w:t>Food Chemistry</w:t>
      </w:r>
      <w:r w:rsidRPr="005E1C45">
        <w:rPr>
          <w:rFonts w:ascii="Times New Roman" w:eastAsia="Times New Roman" w:hAnsi="Times New Roman" w:cs="Times New Roman"/>
          <w:kern w:val="0"/>
          <w14:ligatures w14:val="none"/>
        </w:rPr>
        <w:t>, 116(1), 74–79. https://doi.org/10.1016/j.foodchem.2009.02.009</w:t>
      </w:r>
    </w:p>
    <w:p w14:paraId="75CD3F1D"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Duedahl-Olesen, L., White, S., Binderup, M. L., &amp; Jensen, A. (2015). Polycyclic aromatic hydrocarbons (PAHs) in Danish smoked fish and meat products. </w:t>
      </w:r>
      <w:r w:rsidRPr="005E1C45">
        <w:rPr>
          <w:rFonts w:ascii="Times New Roman" w:eastAsia="Times New Roman" w:hAnsi="Times New Roman" w:cs="Times New Roman"/>
          <w:i/>
          <w:iCs/>
          <w:kern w:val="0"/>
          <w14:ligatures w14:val="none"/>
        </w:rPr>
        <w:t>Food Control</w:t>
      </w:r>
      <w:r w:rsidRPr="005E1C45">
        <w:rPr>
          <w:rFonts w:ascii="Times New Roman" w:eastAsia="Times New Roman" w:hAnsi="Times New Roman" w:cs="Times New Roman"/>
          <w:kern w:val="0"/>
          <w14:ligatures w14:val="none"/>
        </w:rPr>
        <w:t>, 50, 126–132. https://doi.org/10.1016/j.foodcont.2014.08.013</w:t>
      </w:r>
    </w:p>
    <w:p w14:paraId="5DFB43C1"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EFSA (European Food Safety Authority). (2008). Polycyclic aromatic hydrocarbons in food—Scientific opinion of the Panel on Contaminants in the Food Chain. </w:t>
      </w:r>
      <w:r w:rsidRPr="005E1C45">
        <w:rPr>
          <w:rFonts w:ascii="Times New Roman" w:eastAsia="Times New Roman" w:hAnsi="Times New Roman" w:cs="Times New Roman"/>
          <w:i/>
          <w:iCs/>
          <w:kern w:val="0"/>
          <w14:ligatures w14:val="none"/>
        </w:rPr>
        <w:t>EFSA Journal</w:t>
      </w:r>
      <w:r w:rsidRPr="005E1C45">
        <w:rPr>
          <w:rFonts w:ascii="Times New Roman" w:eastAsia="Times New Roman" w:hAnsi="Times New Roman" w:cs="Times New Roman"/>
          <w:kern w:val="0"/>
          <w14:ligatures w14:val="none"/>
        </w:rPr>
        <w:t xml:space="preserve">, 6(8), 724. </w:t>
      </w:r>
      <w:hyperlink r:id="rId13" w:tgtFrame="_new" w:history="1">
        <w:r w:rsidRPr="005E1C45">
          <w:rPr>
            <w:rFonts w:ascii="Times New Roman" w:eastAsia="Times New Roman" w:hAnsi="Times New Roman" w:cs="Times New Roman"/>
            <w:color w:val="0000FF"/>
            <w:kern w:val="0"/>
            <w:u w:val="single"/>
            <w14:ligatures w14:val="none"/>
          </w:rPr>
          <w:t>https://doi.org/10.2903/j.efsa.2008.724</w:t>
        </w:r>
      </w:hyperlink>
    </w:p>
    <w:p w14:paraId="0B6325A6"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EFSA (European Food Safety Authority). (2011). Scientific Opinion on the risks for public health related to the presence of polycyclic aromatic hydrocarbons in food. </w:t>
      </w:r>
      <w:r w:rsidRPr="005E1C45">
        <w:rPr>
          <w:rFonts w:ascii="Times New Roman" w:eastAsia="Times New Roman" w:hAnsi="Times New Roman" w:cs="Times New Roman"/>
          <w:i/>
          <w:iCs/>
          <w:kern w:val="0"/>
          <w14:ligatures w14:val="none"/>
        </w:rPr>
        <w:t>EFSA Journal</w:t>
      </w:r>
      <w:r w:rsidRPr="005E1C45">
        <w:rPr>
          <w:rFonts w:ascii="Times New Roman" w:eastAsia="Times New Roman" w:hAnsi="Times New Roman" w:cs="Times New Roman"/>
          <w:kern w:val="0"/>
          <w14:ligatures w14:val="none"/>
        </w:rPr>
        <w:t>, 9(11), 2503. https://doi.org/10.2903/j.efsa.2011.2503</w:t>
      </w:r>
    </w:p>
    <w:p w14:paraId="75A7FF4F"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5E1C45">
        <w:rPr>
          <w:rFonts w:ascii="Times New Roman" w:eastAsia="Times New Roman" w:hAnsi="Times New Roman" w:cs="Times New Roman"/>
          <w:kern w:val="0"/>
          <w14:ligatures w14:val="none"/>
        </w:rPr>
        <w:t>Eldaly</w:t>
      </w:r>
      <w:proofErr w:type="spellEnd"/>
      <w:r w:rsidRPr="005E1C45">
        <w:rPr>
          <w:rFonts w:ascii="Times New Roman" w:eastAsia="Times New Roman" w:hAnsi="Times New Roman" w:cs="Times New Roman"/>
          <w:kern w:val="0"/>
          <w14:ligatures w14:val="none"/>
        </w:rPr>
        <w:t xml:space="preserve">, E. A., Aly, N. M., Morsy, F. M., &amp; </w:t>
      </w:r>
      <w:proofErr w:type="spellStart"/>
      <w:r w:rsidRPr="005E1C45">
        <w:rPr>
          <w:rFonts w:ascii="Times New Roman" w:eastAsia="Times New Roman" w:hAnsi="Times New Roman" w:cs="Times New Roman"/>
          <w:kern w:val="0"/>
          <w14:ligatures w14:val="none"/>
        </w:rPr>
        <w:t>Mosaad</w:t>
      </w:r>
      <w:proofErr w:type="spellEnd"/>
      <w:r w:rsidRPr="005E1C45">
        <w:rPr>
          <w:rFonts w:ascii="Times New Roman" w:eastAsia="Times New Roman" w:hAnsi="Times New Roman" w:cs="Times New Roman"/>
          <w:kern w:val="0"/>
          <w14:ligatures w14:val="none"/>
        </w:rPr>
        <w:t xml:space="preserve">, G. M. (2016). Oxidative stress and gene expression changes in response to benzo[a]pyrene exposure in rats. </w:t>
      </w:r>
      <w:r w:rsidRPr="005E1C45">
        <w:rPr>
          <w:rFonts w:ascii="Times New Roman" w:eastAsia="Times New Roman" w:hAnsi="Times New Roman" w:cs="Times New Roman"/>
          <w:i/>
          <w:iCs/>
          <w:kern w:val="0"/>
          <w14:ligatures w14:val="none"/>
        </w:rPr>
        <w:t>Toxicology and Industrial Health</w:t>
      </w:r>
      <w:r w:rsidRPr="005E1C45">
        <w:rPr>
          <w:rFonts w:ascii="Times New Roman" w:eastAsia="Times New Roman" w:hAnsi="Times New Roman" w:cs="Times New Roman"/>
          <w:kern w:val="0"/>
          <w14:ligatures w14:val="none"/>
        </w:rPr>
        <w:t>, 32(2), 311–318. https://doi.org/10.1177/0748233713506093</w:t>
      </w:r>
    </w:p>
    <w:p w14:paraId="48FA67C5"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Forsberg, N. D., Wilson, G. R., &amp; Anderson, K. A. (2012). Determination of parent and substituted polycyclic aromatic hydrocarbons in high-fat salmon using a modified </w:t>
      </w:r>
      <w:proofErr w:type="spellStart"/>
      <w:r w:rsidRPr="005E1C45">
        <w:rPr>
          <w:rFonts w:ascii="Times New Roman" w:eastAsia="Times New Roman" w:hAnsi="Times New Roman" w:cs="Times New Roman"/>
          <w:kern w:val="0"/>
          <w14:ligatures w14:val="none"/>
        </w:rPr>
        <w:t>QuEChERS</w:t>
      </w:r>
      <w:proofErr w:type="spellEnd"/>
      <w:r w:rsidRPr="005E1C45">
        <w:rPr>
          <w:rFonts w:ascii="Times New Roman" w:eastAsia="Times New Roman" w:hAnsi="Times New Roman" w:cs="Times New Roman"/>
          <w:kern w:val="0"/>
          <w14:ligatures w14:val="none"/>
        </w:rPr>
        <w:t xml:space="preserve"> extraction, dispersive SPE and GC–MS. </w:t>
      </w:r>
      <w:r w:rsidRPr="005E1C45">
        <w:rPr>
          <w:rFonts w:ascii="Times New Roman" w:eastAsia="Times New Roman" w:hAnsi="Times New Roman" w:cs="Times New Roman"/>
          <w:i/>
          <w:iCs/>
          <w:kern w:val="0"/>
          <w14:ligatures w14:val="none"/>
        </w:rPr>
        <w:t>Journal of Agricultural and Food Chemistry</w:t>
      </w:r>
      <w:r w:rsidRPr="005E1C45">
        <w:rPr>
          <w:rFonts w:ascii="Times New Roman" w:eastAsia="Times New Roman" w:hAnsi="Times New Roman" w:cs="Times New Roman"/>
          <w:kern w:val="0"/>
          <w14:ligatures w14:val="none"/>
        </w:rPr>
        <w:t>, 60(35), 9032–9040. https://doi.org/10.1021/jf3024522</w:t>
      </w:r>
    </w:p>
    <w:p w14:paraId="496BC3F6"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Gheorghe, S., Stoica, C., Lucaciu, I., &amp; Vasile, G. G. (2019). Occurrence of polycyclic aromatic hydrocarbons (PAHs) in smoked fish from Romanian markets and estimation of their health risks. </w:t>
      </w:r>
      <w:r w:rsidRPr="005E1C45">
        <w:rPr>
          <w:rFonts w:ascii="Times New Roman" w:eastAsia="Times New Roman" w:hAnsi="Times New Roman" w:cs="Times New Roman"/>
          <w:i/>
          <w:iCs/>
          <w:kern w:val="0"/>
          <w14:ligatures w14:val="none"/>
        </w:rPr>
        <w:t>Environmental Monitoring and Assessment</w:t>
      </w:r>
      <w:r w:rsidRPr="005E1C45">
        <w:rPr>
          <w:rFonts w:ascii="Times New Roman" w:eastAsia="Times New Roman" w:hAnsi="Times New Roman" w:cs="Times New Roman"/>
          <w:kern w:val="0"/>
          <w14:ligatures w14:val="none"/>
        </w:rPr>
        <w:t>, 191, 225. https://doi.org/10.1007/s10661-019-7334-0</w:t>
      </w:r>
    </w:p>
    <w:p w14:paraId="46499493" w14:textId="77777777" w:rsidR="005E1C45" w:rsidRP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Gibis, M. (2016). Polycyclic aromatic hydrocarbons in meat products: Formation, occurrence, and risk assessment. </w:t>
      </w:r>
      <w:r w:rsidRPr="005E1C45">
        <w:rPr>
          <w:rFonts w:ascii="Times New Roman" w:eastAsia="Times New Roman" w:hAnsi="Times New Roman" w:cs="Times New Roman"/>
          <w:i/>
          <w:iCs/>
          <w:kern w:val="0"/>
          <w14:ligatures w14:val="none"/>
        </w:rPr>
        <w:t>Current Opinion in Food Science</w:t>
      </w:r>
      <w:r w:rsidRPr="005E1C45">
        <w:rPr>
          <w:rFonts w:ascii="Times New Roman" w:eastAsia="Times New Roman" w:hAnsi="Times New Roman" w:cs="Times New Roman"/>
          <w:kern w:val="0"/>
          <w14:ligatures w14:val="none"/>
        </w:rPr>
        <w:t>, 7, 68–74. https://doi.org/10.1016/j.cofs.2015.11.006</w:t>
      </w:r>
    </w:p>
    <w:p w14:paraId="0FD5ADF0" w14:textId="6982B443" w:rsidR="005E1C45" w:rsidRDefault="005E1C45" w:rsidP="00697BFF">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5E1C45">
        <w:rPr>
          <w:rFonts w:ascii="Times New Roman" w:eastAsia="Times New Roman" w:hAnsi="Times New Roman" w:cs="Times New Roman"/>
          <w:kern w:val="0"/>
          <w14:ligatures w14:val="none"/>
        </w:rPr>
        <w:t xml:space="preserve">Goulas, A. E., &amp; </w:t>
      </w:r>
      <w:proofErr w:type="spellStart"/>
      <w:r w:rsidRPr="005E1C45">
        <w:rPr>
          <w:rFonts w:ascii="Times New Roman" w:eastAsia="Times New Roman" w:hAnsi="Times New Roman" w:cs="Times New Roman"/>
          <w:kern w:val="0"/>
          <w14:ligatures w14:val="none"/>
        </w:rPr>
        <w:t>Kontominas</w:t>
      </w:r>
      <w:proofErr w:type="spellEnd"/>
      <w:r w:rsidRPr="005E1C45">
        <w:rPr>
          <w:rFonts w:ascii="Times New Roman" w:eastAsia="Times New Roman" w:hAnsi="Times New Roman" w:cs="Times New Roman"/>
          <w:kern w:val="0"/>
          <w14:ligatures w14:val="none"/>
        </w:rPr>
        <w:t>, M. G. (2005). Effect of salting and smoking-method on the keeping quality of chub mackerel (</w:t>
      </w:r>
      <w:proofErr w:type="spellStart"/>
      <w:r w:rsidRPr="005E1C45">
        <w:rPr>
          <w:rFonts w:ascii="Times New Roman" w:eastAsia="Times New Roman" w:hAnsi="Times New Roman" w:cs="Times New Roman"/>
          <w:kern w:val="0"/>
          <w14:ligatures w14:val="none"/>
        </w:rPr>
        <w:t>Scomber</w:t>
      </w:r>
      <w:proofErr w:type="spellEnd"/>
      <w:r w:rsidRPr="005E1C45">
        <w:rPr>
          <w:rFonts w:ascii="Times New Roman" w:eastAsia="Times New Roman" w:hAnsi="Times New Roman" w:cs="Times New Roman"/>
          <w:kern w:val="0"/>
          <w14:ligatures w14:val="none"/>
        </w:rPr>
        <w:t xml:space="preserve"> </w:t>
      </w:r>
      <w:proofErr w:type="spellStart"/>
      <w:r w:rsidRPr="005E1C45">
        <w:rPr>
          <w:rFonts w:ascii="Times New Roman" w:eastAsia="Times New Roman" w:hAnsi="Times New Roman" w:cs="Times New Roman"/>
          <w:kern w:val="0"/>
          <w14:ligatures w14:val="none"/>
        </w:rPr>
        <w:t>japonicus</w:t>
      </w:r>
      <w:proofErr w:type="spellEnd"/>
      <w:r w:rsidRPr="005E1C45">
        <w:rPr>
          <w:rFonts w:ascii="Times New Roman" w:eastAsia="Times New Roman" w:hAnsi="Times New Roman" w:cs="Times New Roman"/>
          <w:kern w:val="0"/>
          <w14:ligatures w14:val="none"/>
        </w:rPr>
        <w:t xml:space="preserve">): Biochemical and sensory attributes. </w:t>
      </w:r>
      <w:r w:rsidRPr="005E1C45">
        <w:rPr>
          <w:rFonts w:ascii="Times New Roman" w:eastAsia="Times New Roman" w:hAnsi="Times New Roman" w:cs="Times New Roman"/>
          <w:i/>
          <w:iCs/>
          <w:kern w:val="0"/>
          <w14:ligatures w14:val="none"/>
        </w:rPr>
        <w:t>Food Chemistry</w:t>
      </w:r>
      <w:r w:rsidRPr="005E1C45">
        <w:rPr>
          <w:rFonts w:ascii="Times New Roman" w:eastAsia="Times New Roman" w:hAnsi="Times New Roman" w:cs="Times New Roman"/>
          <w:kern w:val="0"/>
          <w14:ligatures w14:val="none"/>
        </w:rPr>
        <w:t xml:space="preserve">, 93(3), 511–520. </w:t>
      </w:r>
      <w:hyperlink r:id="rId14" w:history="1">
        <w:r w:rsidR="00227FD6" w:rsidRPr="00163766">
          <w:rPr>
            <w:rStyle w:val="Hyperlink"/>
            <w:rFonts w:ascii="Times New Roman" w:eastAsia="Times New Roman" w:hAnsi="Times New Roman" w:cs="Times New Roman"/>
            <w:kern w:val="0"/>
            <w14:ligatures w14:val="none"/>
          </w:rPr>
          <w:t>https://doi.org/10.1016/j.foodchem.2004.10.028</w:t>
        </w:r>
      </w:hyperlink>
    </w:p>
    <w:p w14:paraId="4B83DBC4" w14:textId="0C508252" w:rsidR="00227FD6" w:rsidRDefault="00227FD6" w:rsidP="00697BFF">
      <w:pPr>
        <w:pStyle w:val="NormalWeb"/>
        <w:numPr>
          <w:ilvl w:val="0"/>
          <w:numId w:val="7"/>
        </w:numPr>
        <w:jc w:val="both"/>
      </w:pPr>
      <w:r>
        <w:rPr>
          <w:rStyle w:val="relative"/>
          <w:rFonts w:eastAsiaTheme="majorEastAsia"/>
        </w:rPr>
        <w:t xml:space="preserve">Saoudi, M., </w:t>
      </w:r>
      <w:proofErr w:type="spellStart"/>
      <w:r>
        <w:rPr>
          <w:rStyle w:val="relative"/>
          <w:rFonts w:eastAsiaTheme="majorEastAsia"/>
        </w:rPr>
        <w:t>Abdelmouleh</w:t>
      </w:r>
      <w:proofErr w:type="spellEnd"/>
      <w:r>
        <w:rPr>
          <w:rStyle w:val="relative"/>
          <w:rFonts w:eastAsiaTheme="majorEastAsia"/>
        </w:rPr>
        <w:t xml:space="preserve">, A., </w:t>
      </w:r>
      <w:proofErr w:type="spellStart"/>
      <w:r>
        <w:rPr>
          <w:rStyle w:val="relative"/>
          <w:rFonts w:eastAsiaTheme="majorEastAsia"/>
        </w:rPr>
        <w:t>Jamoussi</w:t>
      </w:r>
      <w:proofErr w:type="spellEnd"/>
      <w:r>
        <w:rPr>
          <w:rStyle w:val="relative"/>
          <w:rFonts w:eastAsiaTheme="majorEastAsia"/>
        </w:rPr>
        <w:t xml:space="preserve">, K., Kammoun, A., &amp; El Feki, A. (2008). Hematological toxicity associated with tissue extract from poisonous fish </w:t>
      </w:r>
      <w:proofErr w:type="spellStart"/>
      <w:r>
        <w:rPr>
          <w:rStyle w:val="Emphasis"/>
          <w:rFonts w:eastAsiaTheme="majorEastAsia"/>
        </w:rPr>
        <w:t>Lagocephalus</w:t>
      </w:r>
      <w:proofErr w:type="spellEnd"/>
      <w:r>
        <w:rPr>
          <w:rStyle w:val="Emphasis"/>
          <w:rFonts w:eastAsiaTheme="majorEastAsia"/>
        </w:rPr>
        <w:t xml:space="preserve"> </w:t>
      </w:r>
      <w:proofErr w:type="spellStart"/>
      <w:r>
        <w:rPr>
          <w:rStyle w:val="Emphasis"/>
          <w:rFonts w:eastAsiaTheme="majorEastAsia"/>
        </w:rPr>
        <w:t>lagocephalus</w:t>
      </w:r>
      <w:proofErr w:type="spellEnd"/>
      <w:r>
        <w:rPr>
          <w:rStyle w:val="relative"/>
          <w:rFonts w:eastAsiaTheme="majorEastAsia"/>
        </w:rPr>
        <w:t xml:space="preserve">—Influence on erythrocyte function in Wistar rats. </w:t>
      </w:r>
      <w:r>
        <w:rPr>
          <w:rStyle w:val="Emphasis"/>
          <w:rFonts w:eastAsiaTheme="majorEastAsia"/>
        </w:rPr>
        <w:t>Journal of Food Science, 73</w:t>
      </w:r>
      <w:r>
        <w:rPr>
          <w:rStyle w:val="relative"/>
          <w:rFonts w:eastAsiaTheme="majorEastAsia"/>
        </w:rPr>
        <w:t xml:space="preserve">(7), H155–H159. </w:t>
      </w:r>
      <w:hyperlink r:id="rId15" w:tgtFrame="_new" w:history="1">
        <w:r>
          <w:rPr>
            <w:rStyle w:val="Hyperlink"/>
            <w:rFonts w:eastAsiaTheme="majorEastAsia"/>
          </w:rPr>
          <w:t>https://doi.org/10.1111/j.1750-3841.2008.00885.x</w:t>
        </w:r>
      </w:hyperlink>
      <w:hyperlink r:id="rId16" w:tgtFrame="_blank" w:history="1">
        <w:r>
          <w:rPr>
            <w:rStyle w:val="max-w-full"/>
            <w:rFonts w:eastAsiaTheme="majorEastAsia"/>
            <w:color w:val="0000FF"/>
            <w:u w:val="single"/>
          </w:rPr>
          <w:t>Wiley Online Library</w:t>
        </w:r>
        <w:r>
          <w:rPr>
            <w:rStyle w:val="-me-1"/>
            <w:color w:val="0000FF"/>
            <w:u w:val="single"/>
          </w:rPr>
          <w:t>+2</w:t>
        </w:r>
        <w:r>
          <w:rPr>
            <w:rStyle w:val="max-w-full"/>
            <w:rFonts w:eastAsiaTheme="majorEastAsia"/>
            <w:color w:val="0000FF"/>
            <w:u w:val="single"/>
          </w:rPr>
          <w:t>PubMed</w:t>
        </w:r>
        <w:r>
          <w:rPr>
            <w:rStyle w:val="-me-1"/>
            <w:color w:val="0000FF"/>
            <w:u w:val="single"/>
          </w:rPr>
          <w:t>+2</w:t>
        </w:r>
        <w:r>
          <w:rPr>
            <w:rStyle w:val="max-w-full"/>
            <w:rFonts w:eastAsiaTheme="majorEastAsia"/>
            <w:color w:val="0000FF"/>
            <w:u w:val="single"/>
          </w:rPr>
          <w:t>AGRIS</w:t>
        </w:r>
        <w:r>
          <w:rPr>
            <w:rStyle w:val="-me-1"/>
            <w:color w:val="0000FF"/>
            <w:u w:val="single"/>
          </w:rPr>
          <w:t>+2</w:t>
        </w:r>
      </w:hyperlink>
    </w:p>
    <w:p w14:paraId="1C92C2CD" w14:textId="7608F139" w:rsidR="00227FD6" w:rsidRDefault="00227FD6" w:rsidP="00697BFF">
      <w:pPr>
        <w:pStyle w:val="NormalWeb"/>
        <w:numPr>
          <w:ilvl w:val="0"/>
          <w:numId w:val="7"/>
        </w:numPr>
        <w:jc w:val="both"/>
      </w:pPr>
      <w:proofErr w:type="spellStart"/>
      <w:r>
        <w:rPr>
          <w:rStyle w:val="relative"/>
          <w:rFonts w:eastAsiaTheme="majorEastAsia"/>
        </w:rPr>
        <w:t>Omodara</w:t>
      </w:r>
      <w:proofErr w:type="spellEnd"/>
      <w:r>
        <w:rPr>
          <w:rStyle w:val="relative"/>
          <w:rFonts w:eastAsiaTheme="majorEastAsia"/>
        </w:rPr>
        <w:t xml:space="preserve">, N. B., </w:t>
      </w:r>
      <w:proofErr w:type="spellStart"/>
      <w:r>
        <w:rPr>
          <w:rStyle w:val="relative"/>
          <w:rFonts w:eastAsiaTheme="majorEastAsia"/>
        </w:rPr>
        <w:t>Olabemiwo</w:t>
      </w:r>
      <w:proofErr w:type="spellEnd"/>
      <w:r>
        <w:rPr>
          <w:rStyle w:val="relative"/>
          <w:rFonts w:eastAsiaTheme="majorEastAsia"/>
        </w:rPr>
        <w:t xml:space="preserve">, O. M., </w:t>
      </w:r>
      <w:proofErr w:type="spellStart"/>
      <w:r>
        <w:rPr>
          <w:rStyle w:val="relative"/>
          <w:rFonts w:eastAsiaTheme="majorEastAsia"/>
        </w:rPr>
        <w:t>Adedosu</w:t>
      </w:r>
      <w:proofErr w:type="spellEnd"/>
      <w:r>
        <w:rPr>
          <w:rStyle w:val="relative"/>
          <w:rFonts w:eastAsiaTheme="majorEastAsia"/>
        </w:rPr>
        <w:t xml:space="preserve">, T. A., &amp; Esan, A. O. (2024). Preliminary assessment of the acute toxicity effects of fried cat fish extract on biochemical, hematological and histopathological parameters of Wistar rats. </w:t>
      </w:r>
      <w:r>
        <w:rPr>
          <w:rStyle w:val="Emphasis"/>
          <w:rFonts w:eastAsiaTheme="majorEastAsia"/>
        </w:rPr>
        <w:t>Journal of the Chemical Society of Nigeria, 49</w:t>
      </w:r>
      <w:r>
        <w:rPr>
          <w:rStyle w:val="relative"/>
          <w:rFonts w:eastAsiaTheme="majorEastAsia"/>
        </w:rPr>
        <w:t xml:space="preserve">(5). </w:t>
      </w:r>
      <w:hyperlink r:id="rId17" w:tgtFrame="_new" w:history="1">
        <w:r>
          <w:rPr>
            <w:rStyle w:val="Hyperlink"/>
            <w:rFonts w:eastAsiaTheme="majorEastAsia"/>
          </w:rPr>
          <w:t>https://doi.org/10.46602/jcsn.v49i5.99</w:t>
        </w:r>
      </w:hyperlink>
    </w:p>
    <w:p w14:paraId="00EED263" w14:textId="77777777" w:rsidR="00227FD6" w:rsidRPr="005E1C45" w:rsidRDefault="00227FD6" w:rsidP="00697BFF">
      <w:pPr>
        <w:spacing w:before="100" w:beforeAutospacing="1" w:after="100" w:afterAutospacing="1" w:line="240" w:lineRule="auto"/>
        <w:ind w:left="720"/>
        <w:jc w:val="both"/>
        <w:rPr>
          <w:rFonts w:ascii="Times New Roman" w:eastAsia="Times New Roman" w:hAnsi="Times New Roman" w:cs="Times New Roman"/>
          <w:kern w:val="0"/>
          <w14:ligatures w14:val="none"/>
        </w:rPr>
      </w:pPr>
    </w:p>
    <w:p w14:paraId="743EA08A" w14:textId="77777777" w:rsidR="00C653CA" w:rsidRDefault="00C653CA" w:rsidP="00697BFF">
      <w:pPr>
        <w:jc w:val="both"/>
      </w:pPr>
    </w:p>
    <w:sectPr w:rsidR="00C653C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9DF31" w14:textId="77777777" w:rsidR="007E26BB" w:rsidRDefault="007E26BB" w:rsidP="00EA560E">
      <w:pPr>
        <w:spacing w:after="0" w:line="240" w:lineRule="auto"/>
      </w:pPr>
      <w:r>
        <w:separator/>
      </w:r>
    </w:p>
  </w:endnote>
  <w:endnote w:type="continuationSeparator" w:id="0">
    <w:p w14:paraId="35C3A783" w14:textId="77777777" w:rsidR="007E26BB" w:rsidRDefault="007E26BB" w:rsidP="00EA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FA0C2" w14:textId="77777777" w:rsidR="00EA560E" w:rsidRDefault="00EA5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C860" w14:textId="77777777" w:rsidR="00EA560E" w:rsidRDefault="00EA5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BF998" w14:textId="77777777" w:rsidR="00EA560E" w:rsidRDefault="00EA5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9B4D9" w14:textId="77777777" w:rsidR="007E26BB" w:rsidRDefault="007E26BB" w:rsidP="00EA560E">
      <w:pPr>
        <w:spacing w:after="0" w:line="240" w:lineRule="auto"/>
      </w:pPr>
      <w:r>
        <w:separator/>
      </w:r>
    </w:p>
  </w:footnote>
  <w:footnote w:type="continuationSeparator" w:id="0">
    <w:p w14:paraId="38D7ECCC" w14:textId="77777777" w:rsidR="007E26BB" w:rsidRDefault="007E26BB" w:rsidP="00EA5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06E66" w14:textId="3CE3BCC1" w:rsidR="00EA560E" w:rsidRDefault="007E26BB">
    <w:pPr>
      <w:pStyle w:val="Header"/>
    </w:pPr>
    <w:r>
      <w:rPr>
        <w:noProof/>
      </w:rPr>
      <w:pict w14:anchorId="64D43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948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5C1DC" w14:textId="53DE4B0C" w:rsidR="00EA560E" w:rsidRDefault="007E26BB">
    <w:pPr>
      <w:pStyle w:val="Header"/>
    </w:pPr>
    <w:r>
      <w:rPr>
        <w:noProof/>
      </w:rPr>
      <w:pict w14:anchorId="12E77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948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C08D7" w14:textId="3B1958CC" w:rsidR="00EA560E" w:rsidRDefault="007E26BB">
    <w:pPr>
      <w:pStyle w:val="Header"/>
    </w:pPr>
    <w:r>
      <w:rPr>
        <w:noProof/>
      </w:rPr>
      <w:pict w14:anchorId="7DDDA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948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613B"/>
    <w:multiLevelType w:val="multilevel"/>
    <w:tmpl w:val="E5268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404D2"/>
    <w:multiLevelType w:val="multilevel"/>
    <w:tmpl w:val="3E2A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1B067E"/>
    <w:multiLevelType w:val="multilevel"/>
    <w:tmpl w:val="7BE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147F4C"/>
    <w:multiLevelType w:val="multilevel"/>
    <w:tmpl w:val="B194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BB0D37"/>
    <w:multiLevelType w:val="multilevel"/>
    <w:tmpl w:val="6C3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BA34CB"/>
    <w:multiLevelType w:val="multilevel"/>
    <w:tmpl w:val="21EEF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F7281E"/>
    <w:multiLevelType w:val="multilevel"/>
    <w:tmpl w:val="A2566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642354"/>
    <w:multiLevelType w:val="multilevel"/>
    <w:tmpl w:val="2FC85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0557E7"/>
    <w:multiLevelType w:val="multilevel"/>
    <w:tmpl w:val="09F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6"/>
  </w:num>
  <w:num w:numId="4">
    <w:abstractNumId w:val="3"/>
  </w:num>
  <w:num w:numId="5">
    <w:abstractNumId w:val="1"/>
  </w:num>
  <w:num w:numId="6">
    <w:abstractNumId w:val="5"/>
  </w:num>
  <w:num w:numId="7">
    <w:abstractNumId w:val="7"/>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40B"/>
    <w:rsid w:val="000835A6"/>
    <w:rsid w:val="000B0621"/>
    <w:rsid w:val="00126F32"/>
    <w:rsid w:val="0014246B"/>
    <w:rsid w:val="00154159"/>
    <w:rsid w:val="001A4FFD"/>
    <w:rsid w:val="00227FD6"/>
    <w:rsid w:val="002364BE"/>
    <w:rsid w:val="002F6CBB"/>
    <w:rsid w:val="0033168C"/>
    <w:rsid w:val="003A2023"/>
    <w:rsid w:val="00505BDA"/>
    <w:rsid w:val="00536AC9"/>
    <w:rsid w:val="0059771D"/>
    <w:rsid w:val="005E1C45"/>
    <w:rsid w:val="00616D1B"/>
    <w:rsid w:val="00697BFF"/>
    <w:rsid w:val="006D7210"/>
    <w:rsid w:val="007A6757"/>
    <w:rsid w:val="007E26BB"/>
    <w:rsid w:val="009D0245"/>
    <w:rsid w:val="009D5501"/>
    <w:rsid w:val="00A1540B"/>
    <w:rsid w:val="00C2007A"/>
    <w:rsid w:val="00C30412"/>
    <w:rsid w:val="00C653CA"/>
    <w:rsid w:val="00CB3964"/>
    <w:rsid w:val="00D03851"/>
    <w:rsid w:val="00D26224"/>
    <w:rsid w:val="00D87B80"/>
    <w:rsid w:val="00DD026A"/>
    <w:rsid w:val="00E94850"/>
    <w:rsid w:val="00EA560E"/>
    <w:rsid w:val="00FE3327"/>
    <w:rsid w:val="00FE6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AFA9E3"/>
  <w15:chartTrackingRefBased/>
  <w15:docId w15:val="{198BB44D-B4FD-4688-A238-0AB6D17CB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412"/>
  </w:style>
  <w:style w:type="paragraph" w:styleId="Heading1">
    <w:name w:val="heading 1"/>
    <w:basedOn w:val="Normal"/>
    <w:next w:val="Normal"/>
    <w:link w:val="Heading1Char"/>
    <w:uiPriority w:val="9"/>
    <w:qFormat/>
    <w:rsid w:val="00A154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154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154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154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154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154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54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54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54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4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154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154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154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154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154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54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54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540B"/>
    <w:rPr>
      <w:rFonts w:eastAsiaTheme="majorEastAsia" w:cstheme="majorBidi"/>
      <w:color w:val="272727" w:themeColor="text1" w:themeTint="D8"/>
    </w:rPr>
  </w:style>
  <w:style w:type="paragraph" w:styleId="Title">
    <w:name w:val="Title"/>
    <w:basedOn w:val="Normal"/>
    <w:next w:val="Normal"/>
    <w:link w:val="TitleChar"/>
    <w:uiPriority w:val="10"/>
    <w:qFormat/>
    <w:rsid w:val="00A15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5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54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54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540B"/>
    <w:pPr>
      <w:spacing w:before="160"/>
      <w:jc w:val="center"/>
    </w:pPr>
    <w:rPr>
      <w:i/>
      <w:iCs/>
      <w:color w:val="404040" w:themeColor="text1" w:themeTint="BF"/>
    </w:rPr>
  </w:style>
  <w:style w:type="character" w:customStyle="1" w:styleId="QuoteChar">
    <w:name w:val="Quote Char"/>
    <w:basedOn w:val="DefaultParagraphFont"/>
    <w:link w:val="Quote"/>
    <w:uiPriority w:val="29"/>
    <w:rsid w:val="00A1540B"/>
    <w:rPr>
      <w:i/>
      <w:iCs/>
      <w:color w:val="404040" w:themeColor="text1" w:themeTint="BF"/>
    </w:rPr>
  </w:style>
  <w:style w:type="paragraph" w:styleId="ListParagraph">
    <w:name w:val="List Paragraph"/>
    <w:basedOn w:val="Normal"/>
    <w:uiPriority w:val="34"/>
    <w:qFormat/>
    <w:rsid w:val="00A1540B"/>
    <w:pPr>
      <w:ind w:left="720"/>
      <w:contextualSpacing/>
    </w:pPr>
  </w:style>
  <w:style w:type="character" w:styleId="IntenseEmphasis">
    <w:name w:val="Intense Emphasis"/>
    <w:basedOn w:val="DefaultParagraphFont"/>
    <w:uiPriority w:val="21"/>
    <w:qFormat/>
    <w:rsid w:val="00A1540B"/>
    <w:rPr>
      <w:i/>
      <w:iCs/>
      <w:color w:val="2F5496" w:themeColor="accent1" w:themeShade="BF"/>
    </w:rPr>
  </w:style>
  <w:style w:type="paragraph" w:styleId="IntenseQuote">
    <w:name w:val="Intense Quote"/>
    <w:basedOn w:val="Normal"/>
    <w:next w:val="Normal"/>
    <w:link w:val="IntenseQuoteChar"/>
    <w:uiPriority w:val="30"/>
    <w:qFormat/>
    <w:rsid w:val="00A154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1540B"/>
    <w:rPr>
      <w:i/>
      <w:iCs/>
      <w:color w:val="2F5496" w:themeColor="accent1" w:themeShade="BF"/>
    </w:rPr>
  </w:style>
  <w:style w:type="character" w:styleId="IntenseReference">
    <w:name w:val="Intense Reference"/>
    <w:basedOn w:val="DefaultParagraphFont"/>
    <w:uiPriority w:val="32"/>
    <w:qFormat/>
    <w:rsid w:val="00A1540B"/>
    <w:rPr>
      <w:b/>
      <w:bCs/>
      <w:smallCaps/>
      <w:color w:val="2F5496" w:themeColor="accent1" w:themeShade="BF"/>
      <w:spacing w:val="5"/>
    </w:rPr>
  </w:style>
  <w:style w:type="character" w:styleId="Strong">
    <w:name w:val="Strong"/>
    <w:basedOn w:val="DefaultParagraphFont"/>
    <w:uiPriority w:val="22"/>
    <w:qFormat/>
    <w:rsid w:val="005E1C45"/>
    <w:rPr>
      <w:b/>
      <w:bCs/>
    </w:rPr>
  </w:style>
  <w:style w:type="character" w:styleId="Emphasis">
    <w:name w:val="Emphasis"/>
    <w:basedOn w:val="DefaultParagraphFont"/>
    <w:uiPriority w:val="20"/>
    <w:qFormat/>
    <w:rsid w:val="005E1C45"/>
    <w:rPr>
      <w:i/>
      <w:iCs/>
    </w:rPr>
  </w:style>
  <w:style w:type="character" w:styleId="Hyperlink">
    <w:name w:val="Hyperlink"/>
    <w:basedOn w:val="DefaultParagraphFont"/>
    <w:uiPriority w:val="99"/>
    <w:unhideWhenUsed/>
    <w:rsid w:val="005E1C45"/>
    <w:rPr>
      <w:color w:val="0000FF"/>
      <w:u w:val="single"/>
    </w:rPr>
  </w:style>
  <w:style w:type="character" w:customStyle="1" w:styleId="UnresolvedMention">
    <w:name w:val="Unresolved Mention"/>
    <w:basedOn w:val="DefaultParagraphFont"/>
    <w:uiPriority w:val="99"/>
    <w:semiHidden/>
    <w:unhideWhenUsed/>
    <w:rsid w:val="00C2007A"/>
    <w:rPr>
      <w:color w:val="605E5C"/>
      <w:shd w:val="clear" w:color="auto" w:fill="E1DFDD"/>
    </w:rPr>
  </w:style>
  <w:style w:type="paragraph" w:styleId="Header">
    <w:name w:val="header"/>
    <w:basedOn w:val="Normal"/>
    <w:link w:val="HeaderChar"/>
    <w:uiPriority w:val="99"/>
    <w:unhideWhenUsed/>
    <w:rsid w:val="00EA5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60E"/>
  </w:style>
  <w:style w:type="paragraph" w:styleId="Footer">
    <w:name w:val="footer"/>
    <w:basedOn w:val="Normal"/>
    <w:link w:val="FooterChar"/>
    <w:uiPriority w:val="99"/>
    <w:unhideWhenUsed/>
    <w:rsid w:val="00EA5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60E"/>
  </w:style>
  <w:style w:type="paragraph" w:styleId="NormalWeb">
    <w:name w:val="Normal (Web)"/>
    <w:basedOn w:val="Normal"/>
    <w:uiPriority w:val="99"/>
    <w:semiHidden/>
    <w:unhideWhenUsed/>
    <w:rsid w:val="00227FD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relative">
    <w:name w:val="relative"/>
    <w:basedOn w:val="DefaultParagraphFont"/>
    <w:rsid w:val="00227FD6"/>
  </w:style>
  <w:style w:type="character" w:customStyle="1" w:styleId="ms-1">
    <w:name w:val="ms-1"/>
    <w:basedOn w:val="DefaultParagraphFont"/>
    <w:rsid w:val="00227FD6"/>
  </w:style>
  <w:style w:type="character" w:customStyle="1" w:styleId="max-w-full">
    <w:name w:val="max-w-full"/>
    <w:basedOn w:val="DefaultParagraphFont"/>
    <w:rsid w:val="00227FD6"/>
  </w:style>
  <w:style w:type="character" w:customStyle="1" w:styleId="-me-1">
    <w:name w:val="-me-1"/>
    <w:basedOn w:val="DefaultParagraphFont"/>
    <w:rsid w:val="00227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95321">
      <w:bodyDiv w:val="1"/>
      <w:marLeft w:val="0"/>
      <w:marRight w:val="0"/>
      <w:marTop w:val="0"/>
      <w:marBottom w:val="0"/>
      <w:divBdr>
        <w:top w:val="none" w:sz="0" w:space="0" w:color="auto"/>
        <w:left w:val="none" w:sz="0" w:space="0" w:color="auto"/>
        <w:bottom w:val="none" w:sz="0" w:space="0" w:color="auto"/>
        <w:right w:val="none" w:sz="0" w:space="0" w:color="auto"/>
      </w:divBdr>
    </w:div>
    <w:div w:id="141122129">
      <w:bodyDiv w:val="1"/>
      <w:marLeft w:val="0"/>
      <w:marRight w:val="0"/>
      <w:marTop w:val="0"/>
      <w:marBottom w:val="0"/>
      <w:divBdr>
        <w:top w:val="none" w:sz="0" w:space="0" w:color="auto"/>
        <w:left w:val="none" w:sz="0" w:space="0" w:color="auto"/>
        <w:bottom w:val="none" w:sz="0" w:space="0" w:color="auto"/>
        <w:right w:val="none" w:sz="0" w:space="0" w:color="auto"/>
      </w:divBdr>
    </w:div>
    <w:div w:id="414594252">
      <w:bodyDiv w:val="1"/>
      <w:marLeft w:val="0"/>
      <w:marRight w:val="0"/>
      <w:marTop w:val="0"/>
      <w:marBottom w:val="0"/>
      <w:divBdr>
        <w:top w:val="none" w:sz="0" w:space="0" w:color="auto"/>
        <w:left w:val="none" w:sz="0" w:space="0" w:color="auto"/>
        <w:bottom w:val="none" w:sz="0" w:space="0" w:color="auto"/>
        <w:right w:val="none" w:sz="0" w:space="0" w:color="auto"/>
      </w:divBdr>
    </w:div>
    <w:div w:id="759526465">
      <w:bodyDiv w:val="1"/>
      <w:marLeft w:val="0"/>
      <w:marRight w:val="0"/>
      <w:marTop w:val="0"/>
      <w:marBottom w:val="0"/>
      <w:divBdr>
        <w:top w:val="none" w:sz="0" w:space="0" w:color="auto"/>
        <w:left w:val="none" w:sz="0" w:space="0" w:color="auto"/>
        <w:bottom w:val="none" w:sz="0" w:space="0" w:color="auto"/>
        <w:right w:val="none" w:sz="0" w:space="0" w:color="auto"/>
      </w:divBdr>
    </w:div>
    <w:div w:id="859201693">
      <w:bodyDiv w:val="1"/>
      <w:marLeft w:val="0"/>
      <w:marRight w:val="0"/>
      <w:marTop w:val="0"/>
      <w:marBottom w:val="0"/>
      <w:divBdr>
        <w:top w:val="none" w:sz="0" w:space="0" w:color="auto"/>
        <w:left w:val="none" w:sz="0" w:space="0" w:color="auto"/>
        <w:bottom w:val="none" w:sz="0" w:space="0" w:color="auto"/>
        <w:right w:val="none" w:sz="0" w:space="0" w:color="auto"/>
      </w:divBdr>
    </w:div>
    <w:div w:id="876966072">
      <w:bodyDiv w:val="1"/>
      <w:marLeft w:val="0"/>
      <w:marRight w:val="0"/>
      <w:marTop w:val="0"/>
      <w:marBottom w:val="0"/>
      <w:divBdr>
        <w:top w:val="none" w:sz="0" w:space="0" w:color="auto"/>
        <w:left w:val="none" w:sz="0" w:space="0" w:color="auto"/>
        <w:bottom w:val="none" w:sz="0" w:space="0" w:color="auto"/>
        <w:right w:val="none" w:sz="0" w:space="0" w:color="auto"/>
      </w:divBdr>
    </w:div>
    <w:div w:id="883102869">
      <w:bodyDiv w:val="1"/>
      <w:marLeft w:val="0"/>
      <w:marRight w:val="0"/>
      <w:marTop w:val="0"/>
      <w:marBottom w:val="0"/>
      <w:divBdr>
        <w:top w:val="none" w:sz="0" w:space="0" w:color="auto"/>
        <w:left w:val="none" w:sz="0" w:space="0" w:color="auto"/>
        <w:bottom w:val="none" w:sz="0" w:space="0" w:color="auto"/>
        <w:right w:val="none" w:sz="0" w:space="0" w:color="auto"/>
      </w:divBdr>
    </w:div>
    <w:div w:id="140483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903/j.efsa.2008.72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1016/j.fct.2015.10.002" TargetMode="External"/><Relationship Id="rId17" Type="http://schemas.openxmlformats.org/officeDocument/2006/relationships/hyperlink" Target="https://doi.org/10.46602/jcsn.v49i5.99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ubmed.ncbi.nlm.nih.gov/18606390/?utm_source=chatgpt.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j.1750-3841.2008.00885.x"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16/j.foodchem.2004.10.028"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3700</Words>
  <Characters>21091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gift wokocha</dc:creator>
  <cp:keywords/>
  <dc:description/>
  <cp:lastModifiedBy>SDI CPU 1127</cp:lastModifiedBy>
  <cp:revision>6</cp:revision>
  <dcterms:created xsi:type="dcterms:W3CDTF">2025-05-13T18:42:00Z</dcterms:created>
  <dcterms:modified xsi:type="dcterms:W3CDTF">2025-05-15T09:45:00Z</dcterms:modified>
</cp:coreProperties>
</file>